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3D733" w14:textId="1F029021" w:rsidR="00D7074D" w:rsidRPr="009F0A63" w:rsidRDefault="00EA04A1" w:rsidP="00EA04A1">
      <w:pPr>
        <w:pStyle w:val="BMSBodyText"/>
        <w:rPr>
          <w:noProof/>
        </w:rPr>
      </w:pPr>
      <w:r w:rsidRPr="009F0A63">
        <w:rPr>
          <w:noProof/>
        </w:rPr>
        <w:drawing>
          <wp:inline distT="0" distB="0" distL="0" distR="0" wp14:anchorId="784FB0CB" wp14:editId="243E5CC6">
            <wp:extent cx="198120" cy="17272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8120" cy="172720"/>
                    </a:xfrm>
                    <a:prstGeom prst="rect">
                      <a:avLst/>
                    </a:prstGeom>
                    <a:noFill/>
                    <a:ln>
                      <a:noFill/>
                    </a:ln>
                  </pic:spPr>
                </pic:pic>
              </a:graphicData>
            </a:graphic>
          </wp:inline>
        </w:drawing>
      </w:r>
      <w:r w:rsidRPr="009F0A63">
        <w:rPr>
          <w:sz w:val="22"/>
          <w:szCs w:val="22"/>
        </w:rPr>
        <w:t>This medicinal product is subject to additional monitoring</w:t>
      </w:r>
      <w:r w:rsidR="00525D03" w:rsidRPr="009F0A63">
        <w:rPr>
          <w:sz w:val="22"/>
          <w:szCs w:val="22"/>
        </w:rPr>
        <w:t xml:space="preserve"> in Australia</w:t>
      </w:r>
      <w:r w:rsidRPr="009F0A63">
        <w:rPr>
          <w:sz w:val="22"/>
          <w:szCs w:val="22"/>
        </w:rPr>
        <w:t xml:space="preserve">. This will allow quick identification of new safety information. Healthcare professionals are asked to report any suspected adverse </w:t>
      </w:r>
      <w:r w:rsidR="00525D03" w:rsidRPr="009F0A63">
        <w:rPr>
          <w:sz w:val="22"/>
          <w:szCs w:val="22"/>
        </w:rPr>
        <w:t xml:space="preserve">events </w:t>
      </w:r>
      <w:r w:rsidR="006A5DFA" w:rsidRPr="009F0A63">
        <w:rPr>
          <w:sz w:val="22"/>
          <w:szCs w:val="22"/>
        </w:rPr>
        <w:t>at www.tga.gov.au/reporting-problems</w:t>
      </w:r>
      <w:r w:rsidRPr="009F0A63">
        <w:rPr>
          <w:sz w:val="22"/>
          <w:szCs w:val="22"/>
        </w:rPr>
        <w:t>.</w:t>
      </w:r>
    </w:p>
    <w:p w14:paraId="73F7A17B" w14:textId="1C0C312E" w:rsidR="00473CDF" w:rsidRPr="009F0A63" w:rsidRDefault="004032BD" w:rsidP="001A2060">
      <w:pPr>
        <w:pStyle w:val="Title"/>
        <w:rPr>
          <w:rFonts w:eastAsia="SimSun"/>
        </w:rPr>
      </w:pPr>
      <w:r w:rsidRPr="009F0A63">
        <w:rPr>
          <w:rFonts w:eastAsia="SimSun"/>
        </w:rPr>
        <w:t>Australian P</w:t>
      </w:r>
      <w:r w:rsidR="00544A7F" w:rsidRPr="009F0A63">
        <w:rPr>
          <w:rFonts w:eastAsia="SimSun"/>
        </w:rPr>
        <w:t xml:space="preserve">roduct </w:t>
      </w:r>
      <w:r w:rsidRPr="009F0A63">
        <w:rPr>
          <w:rFonts w:eastAsia="SimSun"/>
        </w:rPr>
        <w:t>I</w:t>
      </w:r>
      <w:r w:rsidR="00544A7F" w:rsidRPr="009F0A63">
        <w:rPr>
          <w:rFonts w:eastAsia="SimSun"/>
        </w:rPr>
        <w:t>nformation</w:t>
      </w:r>
      <w:r w:rsidRPr="009F0A63">
        <w:rPr>
          <w:rFonts w:eastAsia="SimSun"/>
        </w:rPr>
        <w:t xml:space="preserve"> </w:t>
      </w:r>
    </w:p>
    <w:p w14:paraId="510597A0" w14:textId="0D7F394E" w:rsidR="004032BD" w:rsidRPr="009F0A63" w:rsidRDefault="0044468F" w:rsidP="001A2060">
      <w:pPr>
        <w:pStyle w:val="Title"/>
        <w:rPr>
          <w:rFonts w:eastAsia="SimSun"/>
        </w:rPr>
      </w:pPr>
      <w:r w:rsidRPr="009F0A63">
        <w:rPr>
          <w:rFonts w:eastAsia="SimSun"/>
        </w:rPr>
        <w:t>OPDUALAG</w:t>
      </w:r>
      <w:r w:rsidR="008C5CCD" w:rsidRPr="009F0A63">
        <w:rPr>
          <w:rFonts w:eastAsia="SimSun" w:cs="Times New Roman"/>
          <w:b w:val="0"/>
          <w:bCs/>
          <w:szCs w:val="32"/>
          <w:vertAlign w:val="superscript"/>
        </w:rPr>
        <w:t>™</w:t>
      </w:r>
      <w:r w:rsidR="00544A7F" w:rsidRPr="009F0A63">
        <w:rPr>
          <w:rFonts w:eastAsia="SimSun"/>
          <w:szCs w:val="32"/>
          <w:vertAlign w:val="superscript"/>
          <w:lang w:val="en-US"/>
        </w:rPr>
        <w:t xml:space="preserve"> </w:t>
      </w:r>
      <w:r w:rsidR="00544A7F" w:rsidRPr="009F0A63">
        <w:rPr>
          <w:rFonts w:eastAsia="SimSun"/>
          <w:lang w:val="en-US"/>
        </w:rPr>
        <w:t>(</w:t>
      </w:r>
      <w:r w:rsidR="0097552A" w:rsidRPr="009F0A63">
        <w:rPr>
          <w:rFonts w:eastAsia="SimSun"/>
          <w:lang w:val="en-US"/>
        </w:rPr>
        <w:t>NIVOLUMAB/</w:t>
      </w:r>
      <w:r w:rsidR="008C5CCD" w:rsidRPr="009F0A63">
        <w:rPr>
          <w:rFonts w:eastAsia="SimSun"/>
          <w:lang w:val="en-US"/>
        </w:rPr>
        <w:t>RELATLIMAB</w:t>
      </w:r>
      <w:r w:rsidR="00F65196" w:rsidRPr="009F0A63">
        <w:rPr>
          <w:rFonts w:eastAsia="SimSun"/>
          <w:lang w:val="en-US"/>
        </w:rPr>
        <w:t>)</w:t>
      </w:r>
    </w:p>
    <w:p w14:paraId="54F134D8" w14:textId="77777777" w:rsidR="001A3992" w:rsidRPr="009F0A63" w:rsidRDefault="001A3992" w:rsidP="00E376B1">
      <w:pPr>
        <w:pStyle w:val="Heading1"/>
        <w:numPr>
          <w:ilvl w:val="0"/>
          <w:numId w:val="30"/>
        </w:numPr>
      </w:pPr>
      <w:r w:rsidRPr="009F0A63">
        <w:t>Name of the medicine</w:t>
      </w:r>
    </w:p>
    <w:p w14:paraId="3ECECFD6" w14:textId="75D538B9" w:rsidR="00D509F2" w:rsidRPr="009F0A63" w:rsidRDefault="0097552A" w:rsidP="00D509F2">
      <w:pPr>
        <w:pStyle w:val="BMSBodyText"/>
        <w:rPr>
          <w:sz w:val="22"/>
          <w:szCs w:val="22"/>
        </w:rPr>
      </w:pPr>
      <w:r w:rsidRPr="009F0A63">
        <w:rPr>
          <w:noProof/>
          <w:sz w:val="22"/>
          <w:szCs w:val="22"/>
        </w:rPr>
        <w:t>nivolumab/</w:t>
      </w:r>
      <w:r w:rsidR="00AE52E9" w:rsidRPr="009F0A63">
        <w:rPr>
          <w:noProof/>
          <w:sz w:val="22"/>
          <w:szCs w:val="22"/>
        </w:rPr>
        <w:t>r</w:t>
      </w:r>
      <w:r w:rsidR="00D14D3F" w:rsidRPr="009F0A63">
        <w:rPr>
          <w:noProof/>
          <w:sz w:val="22"/>
          <w:szCs w:val="22"/>
        </w:rPr>
        <w:t>elatlimab</w:t>
      </w:r>
    </w:p>
    <w:p w14:paraId="40A1BF9F" w14:textId="77777777" w:rsidR="001A3992" w:rsidRPr="009F0A63" w:rsidRDefault="001A3992" w:rsidP="00E376B1">
      <w:pPr>
        <w:pStyle w:val="Heading1"/>
      </w:pPr>
      <w:r w:rsidRPr="009F0A63">
        <w:t>Qualitative and quantitative composition</w:t>
      </w:r>
    </w:p>
    <w:p w14:paraId="41B007CA" w14:textId="2F574330" w:rsidR="00CC71B3" w:rsidRPr="009F0A63" w:rsidRDefault="0044468F" w:rsidP="00CC71B3">
      <w:pPr>
        <w:pStyle w:val="BMSBodyText"/>
        <w:rPr>
          <w:sz w:val="22"/>
          <w:szCs w:val="22"/>
        </w:rPr>
      </w:pPr>
      <w:r w:rsidRPr="009F0A63">
        <w:rPr>
          <w:noProof/>
          <w:sz w:val="22"/>
          <w:szCs w:val="22"/>
        </w:rPr>
        <w:t>OPDUALAG</w:t>
      </w:r>
      <w:r w:rsidR="00CC71B3" w:rsidRPr="009F0A63">
        <w:rPr>
          <w:noProof/>
          <w:sz w:val="22"/>
          <w:szCs w:val="22"/>
        </w:rPr>
        <w:t xml:space="preserve"> </w:t>
      </w:r>
      <w:r w:rsidR="0097552A" w:rsidRPr="009F0A63">
        <w:rPr>
          <w:noProof/>
          <w:sz w:val="22"/>
          <w:szCs w:val="22"/>
        </w:rPr>
        <w:t>240</w:t>
      </w:r>
      <w:r w:rsidR="0097552A" w:rsidRPr="009F0A63">
        <w:rPr>
          <w:noProof/>
        </w:rPr>
        <w:t> </w:t>
      </w:r>
      <w:r w:rsidR="0097552A" w:rsidRPr="009F0A63">
        <w:rPr>
          <w:noProof/>
          <w:sz w:val="22"/>
          <w:szCs w:val="22"/>
        </w:rPr>
        <w:t>mg nivolumab</w:t>
      </w:r>
      <w:r w:rsidR="006F0054" w:rsidRPr="009F0A63">
        <w:rPr>
          <w:noProof/>
          <w:sz w:val="22"/>
          <w:szCs w:val="22"/>
        </w:rPr>
        <w:t>/</w:t>
      </w:r>
      <w:r w:rsidR="00CC71B3" w:rsidRPr="009F0A63">
        <w:rPr>
          <w:noProof/>
          <w:sz w:val="22"/>
          <w:szCs w:val="22"/>
        </w:rPr>
        <w:t>80</w:t>
      </w:r>
      <w:r w:rsidR="00CC71B3" w:rsidRPr="009F0A63">
        <w:rPr>
          <w:noProof/>
        </w:rPr>
        <w:t> </w:t>
      </w:r>
      <w:r w:rsidR="00CC71B3" w:rsidRPr="009F0A63">
        <w:rPr>
          <w:noProof/>
          <w:sz w:val="22"/>
          <w:szCs w:val="22"/>
        </w:rPr>
        <w:t>mg</w:t>
      </w:r>
      <w:r w:rsidR="00087FE6" w:rsidRPr="009F0A63">
        <w:rPr>
          <w:noProof/>
          <w:sz w:val="22"/>
          <w:szCs w:val="22"/>
        </w:rPr>
        <w:t xml:space="preserve"> relatlimab </w:t>
      </w:r>
      <w:r w:rsidR="00CC71B3" w:rsidRPr="009F0A63">
        <w:rPr>
          <w:noProof/>
          <w:sz w:val="22"/>
          <w:szCs w:val="22"/>
        </w:rPr>
        <w:t>concentrate for solution for infusion.</w:t>
      </w:r>
    </w:p>
    <w:p w14:paraId="08CEAD3A" w14:textId="2B353DCF" w:rsidR="002441E6" w:rsidRPr="009F0A63" w:rsidRDefault="002441E6" w:rsidP="00191BBA">
      <w:pPr>
        <w:pStyle w:val="BMSBodyText"/>
        <w:rPr>
          <w:noProof/>
          <w:sz w:val="22"/>
          <w:szCs w:val="22"/>
        </w:rPr>
      </w:pPr>
      <w:r w:rsidRPr="009F0A63">
        <w:rPr>
          <w:noProof/>
          <w:sz w:val="22"/>
          <w:szCs w:val="22"/>
        </w:rPr>
        <w:t xml:space="preserve">Each mL of concentrate for solution for infusion contains </w:t>
      </w:r>
      <w:r w:rsidR="006F0054" w:rsidRPr="009F0A63">
        <w:rPr>
          <w:noProof/>
          <w:sz w:val="22"/>
          <w:szCs w:val="22"/>
        </w:rPr>
        <w:t xml:space="preserve">12 mg nivolumab and </w:t>
      </w:r>
      <w:r w:rsidRPr="009F0A63">
        <w:rPr>
          <w:noProof/>
          <w:sz w:val="22"/>
          <w:szCs w:val="22"/>
        </w:rPr>
        <w:t>4 mg relatlimab .</w:t>
      </w:r>
    </w:p>
    <w:p w14:paraId="7BD85226" w14:textId="03AB880E" w:rsidR="002441E6" w:rsidRPr="009F0A63" w:rsidRDefault="002441E6" w:rsidP="00191BBA">
      <w:pPr>
        <w:pStyle w:val="BMSBodyText"/>
        <w:rPr>
          <w:noProof/>
          <w:sz w:val="22"/>
          <w:szCs w:val="22"/>
        </w:rPr>
      </w:pPr>
      <w:r w:rsidRPr="009F0A63">
        <w:rPr>
          <w:noProof/>
          <w:sz w:val="22"/>
          <w:szCs w:val="22"/>
        </w:rPr>
        <w:t xml:space="preserve">One vial of 20 mL contains </w:t>
      </w:r>
      <w:r w:rsidR="00A62838" w:rsidRPr="009F0A63">
        <w:rPr>
          <w:noProof/>
          <w:sz w:val="22"/>
          <w:szCs w:val="22"/>
        </w:rPr>
        <w:t xml:space="preserve">240 mg nivolumab and </w:t>
      </w:r>
      <w:r w:rsidRPr="009F0A63">
        <w:rPr>
          <w:noProof/>
          <w:sz w:val="22"/>
          <w:szCs w:val="22"/>
        </w:rPr>
        <w:t>80 mg relatlimab .</w:t>
      </w:r>
    </w:p>
    <w:p w14:paraId="5E63118E" w14:textId="05B87299" w:rsidR="000B2D75" w:rsidRPr="009F0A63" w:rsidRDefault="002441E6" w:rsidP="00191BBA">
      <w:pPr>
        <w:pStyle w:val="BMSBodyText"/>
        <w:rPr>
          <w:noProof/>
          <w:sz w:val="22"/>
          <w:szCs w:val="22"/>
        </w:rPr>
      </w:pPr>
      <w:r w:rsidRPr="009F0A63">
        <w:rPr>
          <w:noProof/>
          <w:sz w:val="22"/>
          <w:szCs w:val="22"/>
        </w:rPr>
        <w:t>Relatlimab</w:t>
      </w:r>
      <w:r w:rsidR="00F1519F" w:rsidRPr="009F0A63">
        <w:rPr>
          <w:noProof/>
          <w:sz w:val="22"/>
          <w:szCs w:val="22"/>
        </w:rPr>
        <w:t xml:space="preserve"> (rch)</w:t>
      </w:r>
      <w:r w:rsidRPr="009F0A63">
        <w:rPr>
          <w:noProof/>
          <w:sz w:val="22"/>
          <w:szCs w:val="22"/>
        </w:rPr>
        <w:t xml:space="preserve"> and nivolumab</w:t>
      </w:r>
      <w:r w:rsidR="00F1519F" w:rsidRPr="009F0A63">
        <w:rPr>
          <w:noProof/>
          <w:sz w:val="22"/>
          <w:szCs w:val="22"/>
        </w:rPr>
        <w:t xml:space="preserve"> (rch)</w:t>
      </w:r>
      <w:r w:rsidRPr="009F0A63">
        <w:rPr>
          <w:noProof/>
          <w:sz w:val="22"/>
          <w:szCs w:val="22"/>
        </w:rPr>
        <w:t xml:space="preserve"> are human immunoglobulin G4 (IgG4) monoclonal antibodies (HuMAb) produced in Chinese hamster ovary cells by recombinant DNA technology.</w:t>
      </w:r>
    </w:p>
    <w:p w14:paraId="7F999607" w14:textId="3C3DC729" w:rsidR="002441E6" w:rsidRPr="009F0A63" w:rsidRDefault="00A51FE7" w:rsidP="002441E6">
      <w:pPr>
        <w:rPr>
          <w:lang w:val="en-US"/>
        </w:rPr>
      </w:pPr>
      <w:r w:rsidRPr="009F0A63">
        <w:rPr>
          <w:noProof/>
        </w:rPr>
        <w:t xml:space="preserve">For the full list of excipients, </w:t>
      </w:r>
      <w:r w:rsidR="003A5664" w:rsidRPr="009F0A63">
        <w:rPr>
          <w:snapToGrid w:val="0"/>
        </w:rPr>
        <w:t>see section 6.1 List of excipients</w:t>
      </w:r>
      <w:r w:rsidRPr="009F0A63">
        <w:rPr>
          <w:noProof/>
        </w:rPr>
        <w:t>.</w:t>
      </w:r>
    </w:p>
    <w:p w14:paraId="3F527148" w14:textId="77777777" w:rsidR="001A3992" w:rsidRPr="009F0A63" w:rsidRDefault="001A3992" w:rsidP="00C27979">
      <w:pPr>
        <w:pStyle w:val="Heading1"/>
      </w:pPr>
      <w:r w:rsidRPr="009F0A63">
        <w:t>Pharmaceutical form</w:t>
      </w:r>
    </w:p>
    <w:p w14:paraId="00E708D1" w14:textId="1BEBD533" w:rsidR="007D4FBF" w:rsidRPr="009F0A63" w:rsidRDefault="007D4FBF" w:rsidP="007D4FBF">
      <w:pPr>
        <w:autoSpaceDE w:val="0"/>
        <w:autoSpaceDN w:val="0"/>
        <w:adjustRightInd w:val="0"/>
        <w:rPr>
          <w:lang w:val="en-US" w:eastAsia="fr-BE"/>
        </w:rPr>
      </w:pPr>
      <w:r w:rsidRPr="009F0A63">
        <w:rPr>
          <w:lang w:val="en-US" w:eastAsia="fr-BE"/>
        </w:rPr>
        <w:t>Concentrate for solution for infusion (sterile concentrate)</w:t>
      </w:r>
      <w:r w:rsidR="007F0215" w:rsidRPr="009F0A63">
        <w:rPr>
          <w:lang w:val="en-US" w:eastAsia="fr-BE"/>
        </w:rPr>
        <w:t>.</w:t>
      </w:r>
    </w:p>
    <w:p w14:paraId="4036C4D3" w14:textId="18047A94" w:rsidR="007D4FBF" w:rsidRPr="009F0A63" w:rsidRDefault="007D4FBF" w:rsidP="007D4FBF">
      <w:pPr>
        <w:autoSpaceDE w:val="0"/>
        <w:autoSpaceDN w:val="0"/>
        <w:adjustRightInd w:val="0"/>
        <w:rPr>
          <w:lang w:val="en-US" w:eastAsia="fr-BE"/>
        </w:rPr>
      </w:pPr>
      <w:r w:rsidRPr="009F0A63">
        <w:rPr>
          <w:lang w:val="en-US" w:eastAsia="fr-BE"/>
        </w:rPr>
        <w:t xml:space="preserve">Clear to opalescent, </w:t>
      </w:r>
      <w:proofErr w:type="spellStart"/>
      <w:r w:rsidRPr="009F0A63">
        <w:rPr>
          <w:lang w:val="en-US" w:eastAsia="fr-BE"/>
        </w:rPr>
        <w:t>colo</w:t>
      </w:r>
      <w:r w:rsidR="007B7716" w:rsidRPr="009F0A63">
        <w:rPr>
          <w:lang w:val="en-US" w:eastAsia="fr-BE"/>
        </w:rPr>
        <w:t>u</w:t>
      </w:r>
      <w:r w:rsidRPr="009F0A63">
        <w:rPr>
          <w:lang w:val="en-US" w:eastAsia="fr-BE"/>
        </w:rPr>
        <w:t>rless</w:t>
      </w:r>
      <w:proofErr w:type="spellEnd"/>
      <w:r w:rsidRPr="009F0A63">
        <w:rPr>
          <w:lang w:val="en-US" w:eastAsia="fr-BE"/>
        </w:rPr>
        <w:t xml:space="preserve"> to slightly yellow liquid that may contain few light particles.</w:t>
      </w:r>
    </w:p>
    <w:p w14:paraId="1029B44A" w14:textId="77777777" w:rsidR="007D4FBF" w:rsidRDefault="007D4FBF" w:rsidP="007D4FBF">
      <w:pPr>
        <w:autoSpaceDE w:val="0"/>
        <w:autoSpaceDN w:val="0"/>
        <w:adjustRightInd w:val="0"/>
        <w:rPr>
          <w:lang w:val="en-US" w:eastAsia="fr-BE"/>
        </w:rPr>
      </w:pPr>
      <w:r w:rsidRPr="009F0A63">
        <w:rPr>
          <w:lang w:val="en-US" w:eastAsia="fr-BE"/>
        </w:rPr>
        <w:t>The solution has a pH of approximately 5.8 and an osmolality of approximately 310</w:t>
      </w:r>
      <w:r w:rsidRPr="009F0A63">
        <w:rPr>
          <w:noProof/>
        </w:rPr>
        <w:t> </w:t>
      </w:r>
      <w:proofErr w:type="spellStart"/>
      <w:r w:rsidRPr="009F0A63">
        <w:rPr>
          <w:lang w:val="en-US" w:eastAsia="fr-BE"/>
        </w:rPr>
        <w:t>mOsm</w:t>
      </w:r>
      <w:proofErr w:type="spellEnd"/>
      <w:r w:rsidRPr="009F0A63">
        <w:rPr>
          <w:lang w:val="en-US" w:eastAsia="fr-BE"/>
        </w:rPr>
        <w:t>/kg.</w:t>
      </w:r>
    </w:p>
    <w:p w14:paraId="58C6FC72" w14:textId="77777777" w:rsidR="001A3992" w:rsidRPr="000A4651" w:rsidRDefault="001A3992" w:rsidP="00C27979">
      <w:pPr>
        <w:pStyle w:val="Heading1"/>
      </w:pPr>
      <w:r w:rsidRPr="000A4651">
        <w:t>Clinical particulars</w:t>
      </w:r>
    </w:p>
    <w:p w14:paraId="64CF8B96" w14:textId="77777777" w:rsidR="001A3992" w:rsidRPr="000A4651" w:rsidRDefault="003B14A8" w:rsidP="0083119C">
      <w:pPr>
        <w:pStyle w:val="Heading2"/>
      </w:pPr>
      <w:r w:rsidRPr="000A4651">
        <w:t>Therapeutic indications</w:t>
      </w:r>
    </w:p>
    <w:p w14:paraId="774BE08E" w14:textId="6F13532C" w:rsidR="00B605E0" w:rsidRPr="00B605E0" w:rsidRDefault="00025D4A" w:rsidP="0020264B">
      <w:pPr>
        <w:rPr>
          <w:lang w:val="en-US" w:eastAsia="fr-BE"/>
        </w:rPr>
      </w:pPr>
      <w:bookmarkStart w:id="0" w:name="_Hlk77087057"/>
      <w:r w:rsidRPr="0055231F">
        <w:t>OPDUALAG is indicated for the treatment of patients with unresectable or metastatic melanoma</w:t>
      </w:r>
      <w:r w:rsidR="00AA6B11" w:rsidRPr="0055231F">
        <w:t xml:space="preserve"> who are at least 12 years old</w:t>
      </w:r>
      <w:r w:rsidR="002A3B6B" w:rsidRPr="0055231F">
        <w:rPr>
          <w:lang w:val="en-US" w:eastAsia="fr-BE"/>
        </w:rPr>
        <w:t>.</w:t>
      </w:r>
    </w:p>
    <w:bookmarkEnd w:id="0"/>
    <w:p w14:paraId="4D307C13" w14:textId="77777777" w:rsidR="001A3992" w:rsidRPr="000A4651" w:rsidRDefault="001A3992" w:rsidP="0083119C">
      <w:pPr>
        <w:pStyle w:val="Heading2"/>
      </w:pPr>
      <w:r w:rsidRPr="000A4651">
        <w:t>Do</w:t>
      </w:r>
      <w:r w:rsidR="00413966" w:rsidRPr="000A4651">
        <w:t>se and method of administration</w:t>
      </w:r>
    </w:p>
    <w:p w14:paraId="52E977A3" w14:textId="77777777" w:rsidR="008A164F" w:rsidRPr="0055231F" w:rsidRDefault="008A164F" w:rsidP="00C84D8B">
      <w:r w:rsidRPr="0055231F">
        <w:t>Treatment must be initiated and supervised by physicians experienced in the treatment of cancer.</w:t>
      </w:r>
    </w:p>
    <w:p w14:paraId="20B94BDF" w14:textId="6B474386" w:rsidR="001F05FC" w:rsidRPr="0055231F" w:rsidRDefault="006B5CB8" w:rsidP="00E55F90">
      <w:pPr>
        <w:autoSpaceDE w:val="0"/>
        <w:autoSpaceDN w:val="0"/>
        <w:adjustRightInd w:val="0"/>
        <w:rPr>
          <w:lang w:val="en-US" w:eastAsia="fr-BE"/>
        </w:rPr>
      </w:pPr>
      <w:r w:rsidRPr="0055231F">
        <w:rPr>
          <w:rFonts w:eastAsia="TimesNewRoman"/>
          <w:lang w:val="en-US" w:eastAsia="fr-BE"/>
        </w:rPr>
        <w:t xml:space="preserve">The recommended dose of </w:t>
      </w:r>
      <w:r w:rsidR="0044468F" w:rsidRPr="0055231F">
        <w:t>OPDUALAG</w:t>
      </w:r>
      <w:r w:rsidR="00856093" w:rsidRPr="0055231F">
        <w:rPr>
          <w:rFonts w:eastAsia="TimesNewRoman"/>
          <w:lang w:val="en-US" w:eastAsia="fr-BE"/>
        </w:rPr>
        <w:t xml:space="preserve"> for</w:t>
      </w:r>
      <w:r w:rsidR="00856093" w:rsidRPr="0055231F">
        <w:rPr>
          <w:b/>
          <w:bCs/>
          <w:lang w:val="en-US" w:eastAsia="fr-BE"/>
        </w:rPr>
        <w:t xml:space="preserve"> </w:t>
      </w:r>
      <w:r w:rsidR="00856093" w:rsidRPr="0055231F">
        <w:rPr>
          <w:lang w:val="en-US" w:eastAsia="fr-BE"/>
        </w:rPr>
        <w:t>a</w:t>
      </w:r>
      <w:r w:rsidRPr="0055231F">
        <w:rPr>
          <w:lang w:val="en-US" w:eastAsia="fr-BE"/>
        </w:rPr>
        <w:t>dult patients</w:t>
      </w:r>
      <w:r w:rsidR="00EF0AB7" w:rsidRPr="0055231F">
        <w:rPr>
          <w:lang w:val="en-US" w:eastAsia="fr-BE"/>
        </w:rPr>
        <w:t>,</w:t>
      </w:r>
      <w:r w:rsidR="00F551D3" w:rsidRPr="0055231F">
        <w:rPr>
          <w:lang w:val="en-US" w:eastAsia="fr-BE"/>
        </w:rPr>
        <w:t xml:space="preserve"> or </w:t>
      </w:r>
      <w:r w:rsidR="00EF0AB7" w:rsidRPr="0055231F">
        <w:rPr>
          <w:lang w:val="en-US" w:eastAsia="fr-BE"/>
        </w:rPr>
        <w:t xml:space="preserve">for </w:t>
      </w:r>
      <w:proofErr w:type="spellStart"/>
      <w:r w:rsidR="00F551D3" w:rsidRPr="0055231F">
        <w:rPr>
          <w:lang w:val="en-US" w:eastAsia="fr-BE"/>
        </w:rPr>
        <w:t>paediatric</w:t>
      </w:r>
      <w:proofErr w:type="spellEnd"/>
      <w:r w:rsidR="00F551D3" w:rsidRPr="0055231F">
        <w:rPr>
          <w:lang w:val="en-US" w:eastAsia="fr-BE"/>
        </w:rPr>
        <w:t xml:space="preserve"> patients who are 12 years or older and weigh at least 40 kg</w:t>
      </w:r>
      <w:r w:rsidR="00856093" w:rsidRPr="0055231F">
        <w:rPr>
          <w:lang w:val="en-US" w:eastAsia="fr-BE"/>
        </w:rPr>
        <w:t>,</w:t>
      </w:r>
      <w:r w:rsidRPr="0055231F">
        <w:rPr>
          <w:lang w:val="en-US" w:eastAsia="fr-BE"/>
        </w:rPr>
        <w:t xml:space="preserve"> </w:t>
      </w:r>
      <w:r w:rsidR="00856093" w:rsidRPr="0055231F">
        <w:rPr>
          <w:lang w:val="en-US" w:eastAsia="fr-BE"/>
        </w:rPr>
        <w:t xml:space="preserve">is </w:t>
      </w:r>
      <w:r w:rsidRPr="0055231F">
        <w:rPr>
          <w:lang w:val="en-US" w:eastAsia="fr-BE"/>
        </w:rPr>
        <w:t>480 mg nivolumab</w:t>
      </w:r>
      <w:r w:rsidR="00FA7130" w:rsidRPr="0055231F">
        <w:rPr>
          <w:lang w:val="en-US" w:eastAsia="fr-BE"/>
        </w:rPr>
        <w:t xml:space="preserve"> and 160 mg </w:t>
      </w:r>
      <w:proofErr w:type="spellStart"/>
      <w:r w:rsidR="00FA7130" w:rsidRPr="0055231F">
        <w:rPr>
          <w:lang w:val="en-US" w:eastAsia="fr-BE"/>
        </w:rPr>
        <w:t>relatlimab</w:t>
      </w:r>
      <w:proofErr w:type="spellEnd"/>
      <w:r w:rsidRPr="0055231F">
        <w:rPr>
          <w:lang w:val="en-US" w:eastAsia="fr-BE"/>
        </w:rPr>
        <w:t xml:space="preserve"> administered as a</w:t>
      </w:r>
      <w:r w:rsidR="00F551D3" w:rsidRPr="0055231F">
        <w:rPr>
          <w:lang w:val="en-US" w:eastAsia="fr-BE"/>
        </w:rPr>
        <w:t xml:space="preserve"> 30-minute</w:t>
      </w:r>
      <w:r w:rsidRPr="0055231F">
        <w:rPr>
          <w:lang w:val="en-US" w:eastAsia="fr-BE"/>
        </w:rPr>
        <w:t xml:space="preserve"> intravenous infusion </w:t>
      </w:r>
      <w:r w:rsidR="00F551D3" w:rsidRPr="0055231F">
        <w:rPr>
          <w:lang w:val="en-US" w:eastAsia="fr-BE"/>
        </w:rPr>
        <w:t>once every 4 weeks, until disease progression or unacceptable toxicity</w:t>
      </w:r>
      <w:r w:rsidR="001F05FC" w:rsidRPr="0055231F">
        <w:rPr>
          <w:lang w:val="en-US" w:eastAsia="fr-BE"/>
        </w:rPr>
        <w:t>.</w:t>
      </w:r>
    </w:p>
    <w:p w14:paraId="73F30FE7" w14:textId="2ACAA5EB" w:rsidR="00D878B0" w:rsidRDefault="006B5CB8" w:rsidP="00760589">
      <w:pPr>
        <w:autoSpaceDE w:val="0"/>
        <w:autoSpaceDN w:val="0"/>
        <w:adjustRightInd w:val="0"/>
        <w:rPr>
          <w:lang w:val="en-US" w:eastAsia="fr-BE"/>
        </w:rPr>
      </w:pPr>
      <w:r w:rsidRPr="0055231F">
        <w:rPr>
          <w:lang w:val="en-US" w:eastAsia="fr-BE"/>
        </w:rPr>
        <w:t xml:space="preserve">Dose escalation or reduction is not recommended. </w:t>
      </w:r>
      <w:r w:rsidR="00760589" w:rsidRPr="0055231F">
        <w:rPr>
          <w:lang w:val="en-US" w:eastAsia="fr-BE"/>
        </w:rPr>
        <w:t xml:space="preserve">In general, withhold OPDUALAG for severe (Grade 3) immune-related adverse reactions. Permanently discontinue OPDUALAG for life-threatening (Grade 4) </w:t>
      </w:r>
      <w:r w:rsidR="002F54B5" w:rsidRPr="0055231F">
        <w:rPr>
          <w:lang w:val="en-US" w:eastAsia="fr-BE"/>
        </w:rPr>
        <w:t>immune-related adverse reactions</w:t>
      </w:r>
      <w:r w:rsidR="00760589" w:rsidRPr="0055231F">
        <w:rPr>
          <w:lang w:val="en-US" w:eastAsia="fr-BE"/>
        </w:rPr>
        <w:t xml:space="preserve">, recurrent severe (Grade 3) </w:t>
      </w:r>
      <w:r w:rsidR="00DD1B94" w:rsidRPr="0055231F">
        <w:rPr>
          <w:lang w:val="en-US" w:eastAsia="fr-BE"/>
        </w:rPr>
        <w:t>i</w:t>
      </w:r>
      <w:r w:rsidR="002F54B5" w:rsidRPr="0055231F">
        <w:rPr>
          <w:lang w:val="en-US" w:eastAsia="fr-BE"/>
        </w:rPr>
        <w:t>mmune-related adverse reactions</w:t>
      </w:r>
      <w:r w:rsidR="00760589" w:rsidRPr="0055231F">
        <w:rPr>
          <w:lang w:val="en-US" w:eastAsia="fr-BE"/>
        </w:rPr>
        <w:t xml:space="preserve"> that require systemic immunosuppressive treatment, or an inability to reduce corticosteroid dose to 10 mg or less of prednisone or equivalent per day within 12 weeks of initiating steroids. Dosage modifications for adverse reactions that require management different from these general guidelines are </w:t>
      </w:r>
      <w:proofErr w:type="spellStart"/>
      <w:r w:rsidR="00760589" w:rsidRPr="0055231F">
        <w:rPr>
          <w:lang w:val="en-US" w:eastAsia="fr-BE"/>
        </w:rPr>
        <w:t>summarised</w:t>
      </w:r>
      <w:proofErr w:type="spellEnd"/>
      <w:r w:rsidR="00760589" w:rsidRPr="0055231F">
        <w:rPr>
          <w:lang w:val="en-US" w:eastAsia="fr-BE"/>
        </w:rPr>
        <w:t xml:space="preserve"> in</w:t>
      </w:r>
      <w:r w:rsidR="00760589" w:rsidRPr="0055231F" w:rsidDel="00760589">
        <w:rPr>
          <w:lang w:val="en-US" w:eastAsia="fr-BE"/>
        </w:rPr>
        <w:t xml:space="preserve"> </w:t>
      </w:r>
      <w:r w:rsidRPr="0055231F">
        <w:rPr>
          <w:lang w:val="en-US" w:eastAsia="fr-BE"/>
        </w:rPr>
        <w:t>Table 1. Detailed guidelines for the management of immune-related adverse reactions are described in section 4.4</w:t>
      </w:r>
      <w:r w:rsidR="00CB15A3" w:rsidRPr="0055231F">
        <w:rPr>
          <w:lang w:val="en-US" w:eastAsia="fr-BE"/>
        </w:rPr>
        <w:t xml:space="preserve"> Special </w:t>
      </w:r>
      <w:r w:rsidR="003D7E2B" w:rsidRPr="0055231F">
        <w:rPr>
          <w:lang w:val="en-US" w:eastAsia="fr-BE"/>
        </w:rPr>
        <w:t>warnings and precautions for use</w:t>
      </w:r>
      <w:r w:rsidRPr="0055231F">
        <w:rPr>
          <w:lang w:val="en-US" w:eastAsia="fr-BE"/>
        </w:rPr>
        <w:t>.</w:t>
      </w:r>
      <w:r w:rsidRPr="006B5CB8">
        <w:rPr>
          <w:lang w:val="en-US" w:eastAsia="fr-BE"/>
        </w:rPr>
        <w:t xml:space="preserve"> </w:t>
      </w:r>
    </w:p>
    <w:tbl>
      <w:tblPr>
        <w:tblW w:w="0" w:type="auto"/>
        <w:tblCellMar>
          <w:left w:w="57" w:type="dxa"/>
          <w:right w:w="57" w:type="dxa"/>
        </w:tblCellMar>
        <w:tblLook w:val="04A0" w:firstRow="1" w:lastRow="0" w:firstColumn="1" w:lastColumn="0" w:noHBand="0" w:noVBand="1"/>
      </w:tblPr>
      <w:tblGrid>
        <w:gridCol w:w="1668"/>
        <w:gridCol w:w="3435"/>
        <w:gridCol w:w="3923"/>
      </w:tblGrid>
      <w:tr w:rsidR="00D878B0" w:rsidRPr="00D92AAA" w14:paraId="7BE2F8BB" w14:textId="77777777" w:rsidTr="00E55F90">
        <w:trPr>
          <w:tblHeader/>
        </w:trPr>
        <w:tc>
          <w:tcPr>
            <w:tcW w:w="9026" w:type="dxa"/>
            <w:gridSpan w:val="3"/>
            <w:tcBorders>
              <w:bottom w:val="single" w:sz="4" w:space="0" w:color="auto"/>
            </w:tcBorders>
            <w:shd w:val="clear" w:color="auto" w:fill="auto"/>
          </w:tcPr>
          <w:p w14:paraId="15FBE73E" w14:textId="725268AF" w:rsidR="00D878B0" w:rsidRPr="00D92AAA" w:rsidRDefault="00D878B0" w:rsidP="00532AD1">
            <w:pPr>
              <w:pStyle w:val="BMSTableTitle"/>
              <w:rPr>
                <w:color w:val="000000"/>
                <w:szCs w:val="24"/>
              </w:rPr>
            </w:pPr>
            <w:bookmarkStart w:id="1" w:name="BMS_TBL_vHhZC"/>
            <w:bookmarkStart w:id="2" w:name="BMS_TBL_TableTable1_"/>
            <w:bookmarkStart w:id="3" w:name="TBL1"/>
            <w:r w:rsidRPr="00D92AAA">
              <w:rPr>
                <w:szCs w:val="24"/>
              </w:rPr>
              <w:lastRenderedPageBreak/>
              <w:t>Table 1</w:t>
            </w:r>
            <w:bookmarkEnd w:id="1"/>
            <w:bookmarkEnd w:id="2"/>
            <w:r w:rsidRPr="00D92AAA">
              <w:rPr>
                <w:szCs w:val="24"/>
              </w:rPr>
              <w:t>:</w:t>
            </w:r>
            <w:bookmarkEnd w:id="3"/>
            <w:r w:rsidRPr="00D92AAA">
              <w:rPr>
                <w:szCs w:val="24"/>
              </w:rPr>
              <w:tab/>
              <w:t xml:space="preserve">Recommended treatment modifications for </w:t>
            </w:r>
            <w:r w:rsidR="0044468F" w:rsidRPr="00D92AAA">
              <w:rPr>
                <w:sz w:val="22"/>
                <w:szCs w:val="22"/>
              </w:rPr>
              <w:t>OPDUALAG</w:t>
            </w:r>
          </w:p>
        </w:tc>
      </w:tr>
      <w:tr w:rsidR="002B4230" w:rsidRPr="00D92AAA" w14:paraId="20443357" w14:textId="77777777" w:rsidTr="00E55F90">
        <w:trPr>
          <w:trHeight w:val="283"/>
          <w:tblHeader/>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4D6D1B83" w14:textId="2024E361" w:rsidR="00D878B0" w:rsidRPr="00D92AAA" w:rsidRDefault="0033640B" w:rsidP="00996720">
            <w:pPr>
              <w:pStyle w:val="BMSTableHeader"/>
              <w:keepNext/>
              <w:keepLines/>
              <w:spacing w:before="0" w:after="0"/>
              <w:jc w:val="left"/>
              <w:rPr>
                <w:lang w:val="en-GB" w:eastAsia="en-US"/>
              </w:rPr>
            </w:pPr>
            <w:r>
              <w:rPr>
                <w:lang w:val="en-GB" w:eastAsia="en-US"/>
              </w:rPr>
              <w:t xml:space="preserve">Immune-related </w:t>
            </w:r>
            <w:r w:rsidR="00BF779F">
              <w:rPr>
                <w:lang w:val="en-GB" w:eastAsia="en-US"/>
              </w:rPr>
              <w:t>a</w:t>
            </w:r>
            <w:r>
              <w:rPr>
                <w:lang w:val="en-GB" w:eastAsia="en-US"/>
              </w:rPr>
              <w:t xml:space="preserve">dverse </w:t>
            </w:r>
            <w:r w:rsidR="00BF779F">
              <w:rPr>
                <w:lang w:val="en-GB" w:eastAsia="en-US"/>
              </w:rPr>
              <w:t>r</w:t>
            </w:r>
            <w:r w:rsidR="00AB511E" w:rsidRPr="00D92AAA">
              <w:rPr>
                <w:lang w:val="en-GB" w:eastAsia="en-US"/>
              </w:rPr>
              <w:t>eaction</w:t>
            </w:r>
          </w:p>
        </w:tc>
        <w:tc>
          <w:tcPr>
            <w:tcW w:w="3435" w:type="dxa"/>
            <w:tcBorders>
              <w:top w:val="single" w:sz="4" w:space="0" w:color="auto"/>
              <w:left w:val="single" w:sz="4" w:space="0" w:color="auto"/>
              <w:bottom w:val="single" w:sz="4" w:space="0" w:color="auto"/>
              <w:right w:val="single" w:sz="4" w:space="0" w:color="auto"/>
            </w:tcBorders>
            <w:shd w:val="clear" w:color="auto" w:fill="auto"/>
            <w:vAlign w:val="center"/>
          </w:tcPr>
          <w:p w14:paraId="6DC55AE9" w14:textId="6B9C3EB4" w:rsidR="00D878B0" w:rsidRPr="00D92AAA" w:rsidRDefault="00D878B0" w:rsidP="00996720">
            <w:pPr>
              <w:pStyle w:val="BMSTableHeader"/>
              <w:keepNext/>
              <w:keepLines/>
              <w:jc w:val="left"/>
              <w:rPr>
                <w:lang w:val="en-GB" w:eastAsia="en-US"/>
              </w:rPr>
            </w:pPr>
            <w:proofErr w:type="spellStart"/>
            <w:r w:rsidRPr="00D92AAA">
              <w:rPr>
                <w:lang w:val="en-GB" w:eastAsia="en-US"/>
              </w:rPr>
              <w:t>Severity</w:t>
            </w:r>
            <w:r w:rsidR="002B4230" w:rsidRPr="00D92AAA">
              <w:rPr>
                <w:vertAlign w:val="superscript"/>
                <w:lang w:val="en-GB" w:eastAsia="en-US"/>
              </w:rPr>
              <w:t>a</w:t>
            </w:r>
            <w:proofErr w:type="spellEnd"/>
          </w:p>
        </w:tc>
        <w:tc>
          <w:tcPr>
            <w:tcW w:w="3923" w:type="dxa"/>
            <w:tcBorders>
              <w:top w:val="single" w:sz="4" w:space="0" w:color="auto"/>
              <w:left w:val="single" w:sz="4" w:space="0" w:color="auto"/>
              <w:bottom w:val="single" w:sz="4" w:space="0" w:color="auto"/>
              <w:right w:val="single" w:sz="4" w:space="0" w:color="auto"/>
            </w:tcBorders>
            <w:shd w:val="clear" w:color="auto" w:fill="auto"/>
            <w:vAlign w:val="center"/>
          </w:tcPr>
          <w:p w14:paraId="473D932E" w14:textId="641E7673" w:rsidR="00D878B0" w:rsidRPr="00D92AAA" w:rsidRDefault="00760589">
            <w:pPr>
              <w:pStyle w:val="BMSTableHeader"/>
              <w:keepNext/>
              <w:keepLines/>
              <w:jc w:val="left"/>
              <w:rPr>
                <w:lang w:val="en-GB" w:eastAsia="en-US"/>
              </w:rPr>
            </w:pPr>
            <w:r w:rsidRPr="00D92AAA">
              <w:rPr>
                <w:lang w:val="en-GB" w:eastAsia="en-US"/>
              </w:rPr>
              <w:t xml:space="preserve">OPDUALAG dose </w:t>
            </w:r>
            <w:r w:rsidR="00D878B0" w:rsidRPr="00D92AAA">
              <w:rPr>
                <w:lang w:val="en-GB" w:eastAsia="en-US"/>
              </w:rPr>
              <w:t>modification</w:t>
            </w:r>
          </w:p>
        </w:tc>
      </w:tr>
      <w:tr w:rsidR="002B4230" w:rsidRPr="00D92AAA" w14:paraId="12A2DC39" w14:textId="77777777" w:rsidTr="00E55F90">
        <w:trPr>
          <w:trHeight w:val="283"/>
        </w:trPr>
        <w:tc>
          <w:tcPr>
            <w:tcW w:w="16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3724C19" w14:textId="7FB30BBD" w:rsidR="00D878B0" w:rsidRPr="00D92AAA" w:rsidRDefault="00760589" w:rsidP="002B4230">
            <w:pPr>
              <w:pStyle w:val="BMSTableText"/>
              <w:keepNext/>
              <w:keepLines/>
              <w:jc w:val="left"/>
              <w:rPr>
                <w:lang w:val="en-GB"/>
              </w:rPr>
            </w:pPr>
            <w:r w:rsidRPr="00D92AAA">
              <w:rPr>
                <w:lang w:val="en-GB"/>
              </w:rPr>
              <w:t>P</w:t>
            </w:r>
            <w:r w:rsidR="00D878B0" w:rsidRPr="00D92AAA">
              <w:rPr>
                <w:lang w:val="en-GB"/>
              </w:rPr>
              <w:t>neumonitis</w:t>
            </w:r>
          </w:p>
        </w:tc>
        <w:tc>
          <w:tcPr>
            <w:tcW w:w="3435" w:type="dxa"/>
            <w:tcBorders>
              <w:top w:val="single" w:sz="4" w:space="0" w:color="auto"/>
              <w:left w:val="single" w:sz="4" w:space="0" w:color="auto"/>
              <w:bottom w:val="single" w:sz="4" w:space="0" w:color="auto"/>
              <w:right w:val="single" w:sz="4" w:space="0" w:color="auto"/>
            </w:tcBorders>
            <w:shd w:val="clear" w:color="auto" w:fill="auto"/>
            <w:vAlign w:val="center"/>
          </w:tcPr>
          <w:p w14:paraId="02DE3D78" w14:textId="12D65C6E" w:rsidR="00D878B0" w:rsidRPr="00D92AAA" w:rsidRDefault="00D878B0" w:rsidP="00996720">
            <w:pPr>
              <w:pStyle w:val="BMSTableText"/>
              <w:keepNext/>
              <w:keepLines/>
              <w:spacing w:before="0" w:after="0"/>
              <w:jc w:val="left"/>
              <w:rPr>
                <w:lang w:val="en-GB"/>
              </w:rPr>
            </w:pPr>
            <w:r w:rsidRPr="00D92AAA">
              <w:rPr>
                <w:lang w:val="en-GB"/>
              </w:rPr>
              <w:t>Grade 2 </w:t>
            </w:r>
          </w:p>
        </w:tc>
        <w:tc>
          <w:tcPr>
            <w:tcW w:w="3923" w:type="dxa"/>
            <w:tcBorders>
              <w:top w:val="single" w:sz="4" w:space="0" w:color="auto"/>
              <w:left w:val="single" w:sz="4" w:space="0" w:color="auto"/>
              <w:bottom w:val="single" w:sz="4" w:space="0" w:color="auto"/>
              <w:right w:val="single" w:sz="4" w:space="0" w:color="auto"/>
            </w:tcBorders>
            <w:shd w:val="clear" w:color="auto" w:fill="auto"/>
            <w:vAlign w:val="center"/>
          </w:tcPr>
          <w:p w14:paraId="56D05D94" w14:textId="3736A5E5" w:rsidR="00D878B0" w:rsidRPr="00D92AAA" w:rsidRDefault="00D878B0">
            <w:pPr>
              <w:pStyle w:val="BMSTableText"/>
              <w:keepNext/>
              <w:keepLines/>
              <w:spacing w:before="0" w:after="0"/>
              <w:jc w:val="left"/>
              <w:rPr>
                <w:lang w:val="en-GB"/>
              </w:rPr>
            </w:pPr>
            <w:proofErr w:type="spellStart"/>
            <w:r w:rsidRPr="00D92AAA">
              <w:rPr>
                <w:lang w:val="en-GB"/>
              </w:rPr>
              <w:t>Withhold</w:t>
            </w:r>
            <w:r w:rsidR="002B4230" w:rsidRPr="00D92AAA">
              <w:rPr>
                <w:vertAlign w:val="superscript"/>
                <w:lang w:val="en-GB"/>
              </w:rPr>
              <w:t>b</w:t>
            </w:r>
            <w:proofErr w:type="spellEnd"/>
          </w:p>
        </w:tc>
      </w:tr>
      <w:tr w:rsidR="002B4230" w:rsidRPr="00D92AAA" w14:paraId="4571606F" w14:textId="77777777" w:rsidTr="00E55F90">
        <w:trPr>
          <w:trHeight w:val="283"/>
        </w:trPr>
        <w:tc>
          <w:tcPr>
            <w:tcW w:w="166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E727F0" w14:textId="77777777" w:rsidR="00D878B0" w:rsidRPr="00D92AAA" w:rsidRDefault="00D878B0">
            <w:pPr>
              <w:pStyle w:val="BMSTableText"/>
              <w:keepNext/>
              <w:keepLines/>
              <w:jc w:val="left"/>
              <w:rPr>
                <w:lang w:val="en-GB"/>
              </w:rPr>
            </w:pPr>
          </w:p>
        </w:tc>
        <w:tc>
          <w:tcPr>
            <w:tcW w:w="3435" w:type="dxa"/>
            <w:tcBorders>
              <w:top w:val="single" w:sz="4" w:space="0" w:color="auto"/>
              <w:left w:val="single" w:sz="4" w:space="0" w:color="auto"/>
              <w:bottom w:val="single" w:sz="4" w:space="0" w:color="auto"/>
              <w:right w:val="single" w:sz="4" w:space="0" w:color="auto"/>
            </w:tcBorders>
            <w:shd w:val="clear" w:color="auto" w:fill="auto"/>
            <w:vAlign w:val="center"/>
          </w:tcPr>
          <w:p w14:paraId="1AF3E2A1" w14:textId="46872147" w:rsidR="00D878B0" w:rsidRPr="00D92AAA" w:rsidRDefault="00D878B0">
            <w:pPr>
              <w:pStyle w:val="BMSTableText"/>
              <w:keepNext/>
              <w:keepLines/>
              <w:spacing w:before="0" w:after="0"/>
              <w:jc w:val="left"/>
              <w:rPr>
                <w:lang w:val="en-GB"/>
              </w:rPr>
            </w:pPr>
            <w:r w:rsidRPr="00D92AAA">
              <w:rPr>
                <w:lang w:val="en-GB"/>
              </w:rPr>
              <w:t>Grade 3 or 4 </w:t>
            </w:r>
          </w:p>
        </w:tc>
        <w:tc>
          <w:tcPr>
            <w:tcW w:w="3923" w:type="dxa"/>
            <w:tcBorders>
              <w:top w:val="single" w:sz="4" w:space="0" w:color="auto"/>
              <w:left w:val="single" w:sz="4" w:space="0" w:color="auto"/>
              <w:bottom w:val="single" w:sz="4" w:space="0" w:color="auto"/>
              <w:right w:val="single" w:sz="4" w:space="0" w:color="auto"/>
            </w:tcBorders>
            <w:shd w:val="clear" w:color="auto" w:fill="auto"/>
            <w:vAlign w:val="center"/>
          </w:tcPr>
          <w:p w14:paraId="1949F60F" w14:textId="49147E87" w:rsidR="00D878B0" w:rsidRPr="00D92AAA" w:rsidRDefault="00D878B0">
            <w:pPr>
              <w:pStyle w:val="BMSTableText"/>
              <w:keepNext/>
              <w:keepLines/>
              <w:spacing w:before="0" w:after="0"/>
              <w:jc w:val="left"/>
              <w:rPr>
                <w:lang w:val="en-GB"/>
              </w:rPr>
            </w:pPr>
            <w:r w:rsidRPr="00D92AAA">
              <w:rPr>
                <w:lang w:val="en-GB"/>
              </w:rPr>
              <w:t>Permanently discontinue</w:t>
            </w:r>
          </w:p>
        </w:tc>
      </w:tr>
      <w:tr w:rsidR="00F87B69" w:rsidRPr="00D92AAA" w14:paraId="1194E092" w14:textId="77777777" w:rsidTr="00E55F90">
        <w:trPr>
          <w:trHeight w:val="283"/>
        </w:trPr>
        <w:tc>
          <w:tcPr>
            <w:tcW w:w="16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98D6B00" w14:textId="1A687B50" w:rsidR="00D878B0" w:rsidRPr="00D92AAA" w:rsidRDefault="00760589" w:rsidP="002B4230">
            <w:pPr>
              <w:pStyle w:val="BMSTableText"/>
              <w:keepNext/>
              <w:keepLines/>
              <w:jc w:val="left"/>
              <w:rPr>
                <w:lang w:val="en-GB"/>
              </w:rPr>
            </w:pPr>
            <w:r w:rsidRPr="00D92AAA">
              <w:rPr>
                <w:lang w:val="en-GB"/>
              </w:rPr>
              <w:t>Colitis</w:t>
            </w:r>
          </w:p>
        </w:tc>
        <w:tc>
          <w:tcPr>
            <w:tcW w:w="3435" w:type="dxa"/>
            <w:tcBorders>
              <w:top w:val="single" w:sz="4" w:space="0" w:color="auto"/>
              <w:left w:val="single" w:sz="4" w:space="0" w:color="auto"/>
              <w:bottom w:val="single" w:sz="4" w:space="0" w:color="auto"/>
              <w:right w:val="single" w:sz="4" w:space="0" w:color="auto"/>
            </w:tcBorders>
            <w:shd w:val="clear" w:color="auto" w:fill="auto"/>
            <w:vAlign w:val="center"/>
          </w:tcPr>
          <w:p w14:paraId="314EAF53" w14:textId="77777777" w:rsidR="00D878B0" w:rsidRPr="00D92AAA" w:rsidRDefault="00D878B0" w:rsidP="00996720">
            <w:pPr>
              <w:pStyle w:val="BMSTableText"/>
              <w:keepNext/>
              <w:keepLines/>
              <w:spacing w:before="0" w:after="0"/>
              <w:jc w:val="left"/>
              <w:rPr>
                <w:lang w:val="en-GB"/>
              </w:rPr>
            </w:pPr>
            <w:r w:rsidRPr="00D92AAA">
              <w:rPr>
                <w:lang w:val="en-GB"/>
              </w:rPr>
              <w:t>Grade</w:t>
            </w:r>
            <w:r w:rsidRPr="00D92AAA">
              <w:rPr>
                <w:noProof/>
              </w:rPr>
              <w:t> </w:t>
            </w:r>
            <w:r w:rsidRPr="00D92AAA">
              <w:rPr>
                <w:lang w:val="en-GB"/>
              </w:rPr>
              <w:t>2</w:t>
            </w:r>
            <w:r w:rsidRPr="00D92AAA">
              <w:rPr>
                <w:noProof/>
              </w:rPr>
              <w:t> </w:t>
            </w:r>
            <w:r w:rsidRPr="00D92AAA">
              <w:rPr>
                <w:lang w:val="en-GB"/>
              </w:rPr>
              <w:t>or</w:t>
            </w:r>
            <w:r w:rsidRPr="00D92AAA">
              <w:rPr>
                <w:noProof/>
              </w:rPr>
              <w:t> </w:t>
            </w:r>
            <w:r w:rsidRPr="00D92AAA">
              <w:rPr>
                <w:lang w:val="en-GB"/>
              </w:rPr>
              <w:t>3</w:t>
            </w:r>
            <w:r w:rsidRPr="00D92AAA">
              <w:rPr>
                <w:noProof/>
              </w:rPr>
              <w:t> </w:t>
            </w:r>
            <w:r w:rsidRPr="00D92AAA">
              <w:rPr>
                <w:lang w:val="en-GB"/>
              </w:rPr>
              <w:t>diarrhoea or colitis</w:t>
            </w:r>
          </w:p>
        </w:tc>
        <w:tc>
          <w:tcPr>
            <w:tcW w:w="3923" w:type="dxa"/>
            <w:tcBorders>
              <w:top w:val="single" w:sz="4" w:space="0" w:color="auto"/>
              <w:left w:val="single" w:sz="4" w:space="0" w:color="auto"/>
              <w:bottom w:val="single" w:sz="4" w:space="0" w:color="auto"/>
              <w:right w:val="single" w:sz="4" w:space="0" w:color="auto"/>
            </w:tcBorders>
            <w:shd w:val="clear" w:color="auto" w:fill="auto"/>
            <w:vAlign w:val="center"/>
          </w:tcPr>
          <w:p w14:paraId="32A8D234" w14:textId="40420C1E" w:rsidR="00D878B0" w:rsidRPr="00D92AAA" w:rsidRDefault="00D878B0">
            <w:pPr>
              <w:pStyle w:val="BMSTableText"/>
              <w:keepNext/>
              <w:keepLines/>
              <w:spacing w:before="0" w:after="0"/>
              <w:jc w:val="left"/>
              <w:rPr>
                <w:lang w:val="en-GB"/>
              </w:rPr>
            </w:pPr>
            <w:proofErr w:type="spellStart"/>
            <w:r w:rsidRPr="00D92AAA">
              <w:rPr>
                <w:lang w:val="en-GB"/>
              </w:rPr>
              <w:t>Withhold</w:t>
            </w:r>
            <w:r w:rsidR="002B4230" w:rsidRPr="00D92AAA">
              <w:rPr>
                <w:vertAlign w:val="superscript"/>
                <w:lang w:val="en-GB"/>
              </w:rPr>
              <w:t>b</w:t>
            </w:r>
            <w:proofErr w:type="spellEnd"/>
          </w:p>
        </w:tc>
      </w:tr>
      <w:tr w:rsidR="002B4230" w:rsidRPr="00D92AAA" w14:paraId="3F1971B3" w14:textId="77777777" w:rsidTr="00E55F90">
        <w:trPr>
          <w:trHeight w:val="283"/>
        </w:trPr>
        <w:tc>
          <w:tcPr>
            <w:tcW w:w="166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778060D" w14:textId="77777777" w:rsidR="00D878B0" w:rsidRPr="00D92AAA" w:rsidRDefault="00D878B0">
            <w:pPr>
              <w:pStyle w:val="BMSTableText"/>
              <w:keepNext/>
              <w:keepLines/>
              <w:jc w:val="left"/>
              <w:rPr>
                <w:lang w:val="en-GB"/>
              </w:rPr>
            </w:pPr>
          </w:p>
        </w:tc>
        <w:tc>
          <w:tcPr>
            <w:tcW w:w="3435" w:type="dxa"/>
            <w:tcBorders>
              <w:top w:val="single" w:sz="4" w:space="0" w:color="auto"/>
              <w:left w:val="single" w:sz="4" w:space="0" w:color="auto"/>
              <w:bottom w:val="single" w:sz="4" w:space="0" w:color="auto"/>
              <w:right w:val="single" w:sz="4" w:space="0" w:color="auto"/>
            </w:tcBorders>
            <w:shd w:val="clear" w:color="auto" w:fill="auto"/>
            <w:vAlign w:val="center"/>
          </w:tcPr>
          <w:p w14:paraId="728CDF5C" w14:textId="77777777" w:rsidR="00D878B0" w:rsidRPr="00D92AAA" w:rsidRDefault="00D878B0">
            <w:pPr>
              <w:pStyle w:val="BMSTableText"/>
              <w:keepNext/>
              <w:keepLines/>
              <w:spacing w:before="0" w:after="0"/>
              <w:jc w:val="left"/>
              <w:rPr>
                <w:lang w:val="en-GB"/>
              </w:rPr>
            </w:pPr>
            <w:r w:rsidRPr="00D92AAA">
              <w:rPr>
                <w:lang w:val="en-GB"/>
              </w:rPr>
              <w:t>Grade 4 diarrhoea or colitis</w:t>
            </w:r>
          </w:p>
        </w:tc>
        <w:tc>
          <w:tcPr>
            <w:tcW w:w="3923" w:type="dxa"/>
            <w:tcBorders>
              <w:top w:val="single" w:sz="4" w:space="0" w:color="auto"/>
              <w:left w:val="single" w:sz="4" w:space="0" w:color="auto"/>
              <w:bottom w:val="single" w:sz="4" w:space="0" w:color="auto"/>
              <w:right w:val="single" w:sz="4" w:space="0" w:color="auto"/>
            </w:tcBorders>
            <w:shd w:val="clear" w:color="auto" w:fill="auto"/>
            <w:vAlign w:val="center"/>
          </w:tcPr>
          <w:p w14:paraId="2161C6EF" w14:textId="40D7AA19" w:rsidR="00D878B0" w:rsidRPr="00D92AAA" w:rsidRDefault="00D878B0">
            <w:pPr>
              <w:pStyle w:val="BMSTableText"/>
              <w:keepNext/>
              <w:keepLines/>
              <w:spacing w:before="0" w:after="0"/>
              <w:jc w:val="left"/>
              <w:rPr>
                <w:lang w:val="en-GB"/>
              </w:rPr>
            </w:pPr>
            <w:r w:rsidRPr="00D92AAA">
              <w:rPr>
                <w:lang w:val="en-GB"/>
              </w:rPr>
              <w:t xml:space="preserve">Permanently discontinue </w:t>
            </w:r>
          </w:p>
        </w:tc>
      </w:tr>
      <w:tr w:rsidR="00F87B69" w:rsidRPr="00D92AAA" w14:paraId="71FF4689" w14:textId="77777777" w:rsidTr="00E55F90">
        <w:trPr>
          <w:trHeight w:val="283"/>
        </w:trPr>
        <w:tc>
          <w:tcPr>
            <w:tcW w:w="16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E2BC6AE" w14:textId="2CA55AB3" w:rsidR="00D878B0" w:rsidRPr="00D92AAA" w:rsidRDefault="00760589" w:rsidP="002B4230">
            <w:pPr>
              <w:pStyle w:val="BMSTableText"/>
              <w:keepNext/>
              <w:keepLines/>
              <w:jc w:val="left"/>
              <w:rPr>
                <w:lang w:val="en-GB"/>
              </w:rPr>
            </w:pPr>
            <w:r w:rsidRPr="00D92AAA">
              <w:rPr>
                <w:lang w:val="en-GB"/>
              </w:rPr>
              <w:t>H</w:t>
            </w:r>
            <w:r w:rsidR="00D878B0" w:rsidRPr="00D92AAA">
              <w:rPr>
                <w:lang w:val="en-GB"/>
              </w:rPr>
              <w:t>epatitis</w:t>
            </w:r>
          </w:p>
        </w:tc>
        <w:tc>
          <w:tcPr>
            <w:tcW w:w="3435" w:type="dxa"/>
            <w:tcBorders>
              <w:top w:val="single" w:sz="4" w:space="0" w:color="auto"/>
              <w:left w:val="single" w:sz="4" w:space="0" w:color="auto"/>
              <w:bottom w:val="single" w:sz="4" w:space="0" w:color="auto"/>
              <w:right w:val="single" w:sz="4" w:space="0" w:color="auto"/>
            </w:tcBorders>
            <w:shd w:val="clear" w:color="auto" w:fill="auto"/>
            <w:vAlign w:val="center"/>
          </w:tcPr>
          <w:p w14:paraId="0ADA3236" w14:textId="77777777" w:rsidR="002F55EC" w:rsidRPr="00D92AAA" w:rsidRDefault="002F55EC" w:rsidP="00996720">
            <w:pPr>
              <w:pStyle w:val="BMSTableText"/>
              <w:jc w:val="left"/>
            </w:pPr>
            <w:r w:rsidRPr="00D92AAA">
              <w:t>AST/ALT increases to more than 3 and up to 5 times ULN</w:t>
            </w:r>
          </w:p>
          <w:p w14:paraId="6FC4FD1C" w14:textId="77777777" w:rsidR="002F55EC" w:rsidRPr="00D92AAA" w:rsidRDefault="002F55EC">
            <w:pPr>
              <w:pStyle w:val="BMSTableText"/>
              <w:jc w:val="left"/>
            </w:pPr>
            <w:r w:rsidRPr="00D92AAA">
              <w:t>or</w:t>
            </w:r>
          </w:p>
          <w:p w14:paraId="0071D536" w14:textId="732EFD8D" w:rsidR="00D878B0" w:rsidRPr="00D92AAA" w:rsidRDefault="002F55EC">
            <w:pPr>
              <w:pStyle w:val="BMSTableText"/>
              <w:keepNext/>
              <w:keepLines/>
              <w:spacing w:before="0" w:after="0"/>
              <w:jc w:val="left"/>
              <w:rPr>
                <w:lang w:val="en-GB"/>
              </w:rPr>
            </w:pPr>
            <w:r w:rsidRPr="00D92AAA">
              <w:t>Total bilirubin increases to more than 1.5 and up to 3 times ULN</w:t>
            </w:r>
          </w:p>
        </w:tc>
        <w:tc>
          <w:tcPr>
            <w:tcW w:w="3923" w:type="dxa"/>
            <w:tcBorders>
              <w:top w:val="single" w:sz="4" w:space="0" w:color="auto"/>
              <w:left w:val="single" w:sz="4" w:space="0" w:color="auto"/>
              <w:bottom w:val="single" w:sz="4" w:space="0" w:color="auto"/>
              <w:right w:val="single" w:sz="4" w:space="0" w:color="auto"/>
            </w:tcBorders>
            <w:shd w:val="clear" w:color="auto" w:fill="auto"/>
            <w:vAlign w:val="center"/>
          </w:tcPr>
          <w:p w14:paraId="5430DF9C" w14:textId="3D3668E8" w:rsidR="00D878B0" w:rsidRPr="00D92AAA" w:rsidRDefault="00D878B0">
            <w:pPr>
              <w:pStyle w:val="BMSTableText"/>
              <w:keepNext/>
              <w:keepLines/>
              <w:spacing w:before="0" w:after="0"/>
              <w:jc w:val="left"/>
              <w:rPr>
                <w:lang w:val="en-GB"/>
              </w:rPr>
            </w:pPr>
            <w:proofErr w:type="spellStart"/>
            <w:r w:rsidRPr="00D92AAA">
              <w:rPr>
                <w:lang w:val="en-GB"/>
              </w:rPr>
              <w:t>Withhold</w:t>
            </w:r>
            <w:r w:rsidR="002B4230" w:rsidRPr="00D92AAA">
              <w:rPr>
                <w:vertAlign w:val="superscript"/>
                <w:lang w:val="en-GB"/>
              </w:rPr>
              <w:t>b</w:t>
            </w:r>
            <w:proofErr w:type="spellEnd"/>
          </w:p>
        </w:tc>
      </w:tr>
      <w:tr w:rsidR="00F87B69" w:rsidRPr="00D92AAA" w14:paraId="53DACB32" w14:textId="77777777" w:rsidTr="00E55F90">
        <w:trPr>
          <w:trHeight w:val="283"/>
        </w:trPr>
        <w:tc>
          <w:tcPr>
            <w:tcW w:w="166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41FCA3" w14:textId="77777777" w:rsidR="00D878B0" w:rsidRPr="00D92AAA" w:rsidRDefault="00D878B0" w:rsidP="00E55F90">
            <w:pPr>
              <w:keepNext/>
              <w:keepLines/>
              <w:jc w:val="left"/>
            </w:pPr>
          </w:p>
        </w:tc>
        <w:tc>
          <w:tcPr>
            <w:tcW w:w="3435" w:type="dxa"/>
            <w:tcBorders>
              <w:top w:val="single" w:sz="4" w:space="0" w:color="auto"/>
              <w:left w:val="single" w:sz="4" w:space="0" w:color="auto"/>
              <w:bottom w:val="single" w:sz="4" w:space="0" w:color="auto"/>
              <w:right w:val="single" w:sz="4" w:space="0" w:color="auto"/>
            </w:tcBorders>
            <w:shd w:val="clear" w:color="auto" w:fill="auto"/>
            <w:vAlign w:val="center"/>
          </w:tcPr>
          <w:p w14:paraId="46DF75BE" w14:textId="77777777" w:rsidR="00D61FA0" w:rsidRPr="00D92AAA" w:rsidRDefault="00D61FA0" w:rsidP="002B4230">
            <w:pPr>
              <w:pStyle w:val="BMSTableText"/>
              <w:jc w:val="left"/>
            </w:pPr>
            <w:r w:rsidRPr="00D92AAA">
              <w:t>AST or ALT increases to more than 5 times ULN regardless of baseline.</w:t>
            </w:r>
          </w:p>
          <w:p w14:paraId="05B4C2EF" w14:textId="77777777" w:rsidR="00D61FA0" w:rsidRPr="00D92AAA" w:rsidRDefault="00D61FA0" w:rsidP="00996720">
            <w:pPr>
              <w:pStyle w:val="BMSTableText"/>
              <w:jc w:val="left"/>
            </w:pPr>
            <w:r w:rsidRPr="00D92AAA">
              <w:t>or</w:t>
            </w:r>
          </w:p>
          <w:p w14:paraId="02A6F430" w14:textId="77777777" w:rsidR="00D61FA0" w:rsidRPr="00D92AAA" w:rsidRDefault="00D61FA0">
            <w:pPr>
              <w:pStyle w:val="BMSTableText"/>
              <w:jc w:val="left"/>
            </w:pPr>
            <w:r w:rsidRPr="00D92AAA">
              <w:t>Total bilirubin increases to more than 3 times ULN.</w:t>
            </w:r>
          </w:p>
          <w:p w14:paraId="59F2931A" w14:textId="77777777" w:rsidR="00D61FA0" w:rsidRPr="00D92AAA" w:rsidRDefault="00D61FA0">
            <w:pPr>
              <w:pStyle w:val="BMSTableText"/>
              <w:jc w:val="left"/>
            </w:pPr>
            <w:r w:rsidRPr="00D92AAA">
              <w:t>or</w:t>
            </w:r>
          </w:p>
          <w:p w14:paraId="7A647382" w14:textId="0EB5E6E9" w:rsidR="00D878B0" w:rsidRPr="00D92AAA" w:rsidRDefault="008E7B20">
            <w:pPr>
              <w:pStyle w:val="BMSTableText"/>
              <w:keepNext/>
              <w:keepLines/>
              <w:spacing w:before="0" w:after="0"/>
              <w:jc w:val="left"/>
              <w:rPr>
                <w:lang w:val="en-GB"/>
              </w:rPr>
            </w:pPr>
            <w:r w:rsidRPr="00D92AAA">
              <w:t>Concurrent AST or ALT increase to more than 3 times ULN and total bilirubin increase to more than 2 times ULN.</w:t>
            </w:r>
          </w:p>
        </w:tc>
        <w:tc>
          <w:tcPr>
            <w:tcW w:w="3923" w:type="dxa"/>
            <w:tcBorders>
              <w:top w:val="single" w:sz="4" w:space="0" w:color="auto"/>
              <w:left w:val="single" w:sz="4" w:space="0" w:color="auto"/>
              <w:bottom w:val="single" w:sz="4" w:space="0" w:color="auto"/>
              <w:right w:val="single" w:sz="4" w:space="0" w:color="auto"/>
            </w:tcBorders>
            <w:shd w:val="clear" w:color="auto" w:fill="auto"/>
            <w:vAlign w:val="center"/>
          </w:tcPr>
          <w:p w14:paraId="7AB02DD2" w14:textId="6B634FDE" w:rsidR="00D878B0" w:rsidRPr="00D92AAA" w:rsidRDefault="00D878B0">
            <w:pPr>
              <w:pStyle w:val="BMSTableText"/>
              <w:keepNext/>
              <w:keepLines/>
              <w:spacing w:before="0" w:after="0"/>
              <w:jc w:val="left"/>
              <w:rPr>
                <w:lang w:val="en-GB"/>
              </w:rPr>
            </w:pPr>
            <w:r w:rsidRPr="00D92AAA">
              <w:rPr>
                <w:lang w:val="en-GB"/>
              </w:rPr>
              <w:t xml:space="preserve">Permanently discontinue </w:t>
            </w:r>
          </w:p>
        </w:tc>
      </w:tr>
      <w:tr w:rsidR="002B4230" w:rsidRPr="00D92AAA" w14:paraId="577F51E1" w14:textId="77777777" w:rsidTr="00E55F90">
        <w:trPr>
          <w:trHeight w:val="283"/>
        </w:trPr>
        <w:tc>
          <w:tcPr>
            <w:tcW w:w="16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BB22B63" w14:textId="5BFBD6CE" w:rsidR="00D878B0" w:rsidRPr="00D92AAA" w:rsidRDefault="00760589" w:rsidP="002B4230">
            <w:pPr>
              <w:pStyle w:val="BMSTableText"/>
              <w:keepNext/>
              <w:keepLines/>
              <w:jc w:val="left"/>
              <w:rPr>
                <w:lang w:val="en-GB"/>
              </w:rPr>
            </w:pPr>
            <w:r w:rsidRPr="00D92AAA">
              <w:rPr>
                <w:lang w:val="en-GB"/>
              </w:rPr>
              <w:t>N</w:t>
            </w:r>
            <w:r w:rsidR="00D878B0" w:rsidRPr="00D92AAA">
              <w:rPr>
                <w:lang w:val="en-GB"/>
              </w:rPr>
              <w:t>ephritis and renal dysfunction</w:t>
            </w:r>
          </w:p>
        </w:tc>
        <w:tc>
          <w:tcPr>
            <w:tcW w:w="3435" w:type="dxa"/>
            <w:tcBorders>
              <w:top w:val="single" w:sz="4" w:space="0" w:color="auto"/>
              <w:left w:val="single" w:sz="4" w:space="0" w:color="auto"/>
              <w:bottom w:val="single" w:sz="4" w:space="0" w:color="auto"/>
              <w:right w:val="single" w:sz="4" w:space="0" w:color="auto"/>
            </w:tcBorders>
            <w:shd w:val="clear" w:color="auto" w:fill="auto"/>
            <w:vAlign w:val="center"/>
          </w:tcPr>
          <w:p w14:paraId="4D372FDC" w14:textId="77777777" w:rsidR="00D878B0" w:rsidRPr="00D92AAA" w:rsidRDefault="00D878B0" w:rsidP="00996720">
            <w:pPr>
              <w:pStyle w:val="BMSTableText"/>
              <w:keepNext/>
              <w:keepLines/>
              <w:spacing w:before="0" w:after="0"/>
              <w:jc w:val="left"/>
              <w:rPr>
                <w:lang w:val="en-GB"/>
              </w:rPr>
            </w:pPr>
            <w:r w:rsidRPr="00D92AAA">
              <w:rPr>
                <w:lang w:val="en-GB"/>
              </w:rPr>
              <w:t xml:space="preserve">Grade 2 or 3 creatinine elevation </w:t>
            </w:r>
          </w:p>
        </w:tc>
        <w:tc>
          <w:tcPr>
            <w:tcW w:w="3923" w:type="dxa"/>
            <w:tcBorders>
              <w:top w:val="single" w:sz="4" w:space="0" w:color="auto"/>
              <w:left w:val="single" w:sz="4" w:space="0" w:color="auto"/>
              <w:bottom w:val="single" w:sz="4" w:space="0" w:color="auto"/>
              <w:right w:val="single" w:sz="4" w:space="0" w:color="auto"/>
            </w:tcBorders>
            <w:shd w:val="clear" w:color="auto" w:fill="auto"/>
            <w:vAlign w:val="center"/>
          </w:tcPr>
          <w:p w14:paraId="3588ADC6" w14:textId="34E8EED3" w:rsidR="00D878B0" w:rsidRPr="00D92AAA" w:rsidRDefault="00D878B0">
            <w:pPr>
              <w:pStyle w:val="BMSTableText"/>
              <w:keepNext/>
              <w:keepLines/>
              <w:spacing w:before="0" w:after="0"/>
              <w:jc w:val="left"/>
              <w:rPr>
                <w:lang w:val="en-GB"/>
              </w:rPr>
            </w:pPr>
            <w:proofErr w:type="spellStart"/>
            <w:r w:rsidRPr="00D92AAA">
              <w:rPr>
                <w:lang w:val="en-GB"/>
              </w:rPr>
              <w:t>Withhold</w:t>
            </w:r>
            <w:r w:rsidR="002B4230" w:rsidRPr="00D92AAA">
              <w:rPr>
                <w:vertAlign w:val="superscript"/>
                <w:lang w:val="en-GB"/>
              </w:rPr>
              <w:t>b</w:t>
            </w:r>
            <w:proofErr w:type="spellEnd"/>
          </w:p>
        </w:tc>
      </w:tr>
      <w:tr w:rsidR="002B4230" w:rsidRPr="00D92AAA" w14:paraId="0D813D11" w14:textId="77777777" w:rsidTr="00E55F90">
        <w:trPr>
          <w:trHeight w:val="283"/>
        </w:trPr>
        <w:tc>
          <w:tcPr>
            <w:tcW w:w="166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A75137B" w14:textId="77777777" w:rsidR="00D878B0" w:rsidRPr="00D92AAA" w:rsidRDefault="00D878B0">
            <w:pPr>
              <w:pStyle w:val="BMSTableText"/>
              <w:keepNext/>
              <w:keepLines/>
              <w:jc w:val="left"/>
              <w:rPr>
                <w:lang w:val="en-GB"/>
              </w:rPr>
            </w:pPr>
          </w:p>
        </w:tc>
        <w:tc>
          <w:tcPr>
            <w:tcW w:w="3435" w:type="dxa"/>
            <w:tcBorders>
              <w:top w:val="single" w:sz="4" w:space="0" w:color="auto"/>
              <w:left w:val="single" w:sz="4" w:space="0" w:color="auto"/>
              <w:bottom w:val="single" w:sz="4" w:space="0" w:color="auto"/>
              <w:right w:val="single" w:sz="4" w:space="0" w:color="auto"/>
            </w:tcBorders>
            <w:shd w:val="clear" w:color="auto" w:fill="auto"/>
            <w:vAlign w:val="center"/>
          </w:tcPr>
          <w:p w14:paraId="0879415C" w14:textId="77777777" w:rsidR="00D878B0" w:rsidRPr="00D92AAA" w:rsidRDefault="00D878B0">
            <w:pPr>
              <w:pStyle w:val="BMSTableText"/>
              <w:keepNext/>
              <w:keepLines/>
              <w:spacing w:before="0" w:after="0"/>
              <w:jc w:val="left"/>
              <w:rPr>
                <w:lang w:val="en-GB"/>
              </w:rPr>
            </w:pPr>
            <w:r w:rsidRPr="00D92AAA">
              <w:rPr>
                <w:lang w:val="en-GB"/>
              </w:rPr>
              <w:t>Grade 4 creatinine elevation</w:t>
            </w:r>
          </w:p>
        </w:tc>
        <w:tc>
          <w:tcPr>
            <w:tcW w:w="3923" w:type="dxa"/>
            <w:tcBorders>
              <w:top w:val="single" w:sz="4" w:space="0" w:color="auto"/>
              <w:left w:val="single" w:sz="4" w:space="0" w:color="auto"/>
              <w:bottom w:val="single" w:sz="4" w:space="0" w:color="auto"/>
              <w:right w:val="single" w:sz="4" w:space="0" w:color="auto"/>
            </w:tcBorders>
            <w:shd w:val="clear" w:color="auto" w:fill="auto"/>
            <w:vAlign w:val="center"/>
          </w:tcPr>
          <w:p w14:paraId="2ECD1A93" w14:textId="671EDE3B" w:rsidR="00D878B0" w:rsidRPr="00D92AAA" w:rsidRDefault="00D878B0">
            <w:pPr>
              <w:pStyle w:val="BMSTableText"/>
              <w:keepNext/>
              <w:keepLines/>
              <w:spacing w:before="0" w:after="0"/>
              <w:jc w:val="left"/>
              <w:rPr>
                <w:lang w:val="en-GB"/>
              </w:rPr>
            </w:pPr>
            <w:r w:rsidRPr="00D92AAA">
              <w:rPr>
                <w:lang w:val="en-GB"/>
              </w:rPr>
              <w:t xml:space="preserve">Permanently discontinue </w:t>
            </w:r>
          </w:p>
        </w:tc>
      </w:tr>
      <w:tr w:rsidR="002B4230" w:rsidRPr="00D92AAA" w14:paraId="684E5B94" w14:textId="77777777" w:rsidTr="00E55F90">
        <w:trPr>
          <w:cantSplit/>
          <w:trHeight w:val="283"/>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3210697A" w14:textId="26406583" w:rsidR="002B4230" w:rsidRPr="00D92AAA" w:rsidRDefault="002B4230" w:rsidP="002B4230">
            <w:pPr>
              <w:pStyle w:val="BMSTableText"/>
              <w:keepNext/>
              <w:keepLines/>
              <w:jc w:val="left"/>
              <w:rPr>
                <w:lang w:val="en-GB"/>
              </w:rPr>
            </w:pPr>
            <w:proofErr w:type="spellStart"/>
            <w:r w:rsidRPr="00D92AAA">
              <w:rPr>
                <w:lang w:val="en-GB"/>
              </w:rPr>
              <w:t>Endocrinopathies</w:t>
            </w:r>
            <w:r w:rsidRPr="00D92AAA">
              <w:rPr>
                <w:vertAlign w:val="superscript"/>
                <w:lang w:val="en-GB"/>
              </w:rPr>
              <w:t>c</w:t>
            </w:r>
            <w:proofErr w:type="spellEnd"/>
          </w:p>
        </w:tc>
        <w:tc>
          <w:tcPr>
            <w:tcW w:w="3435" w:type="dxa"/>
            <w:tcBorders>
              <w:top w:val="single" w:sz="4" w:space="0" w:color="auto"/>
              <w:left w:val="single" w:sz="4" w:space="0" w:color="auto"/>
              <w:right w:val="single" w:sz="4" w:space="0" w:color="auto"/>
            </w:tcBorders>
            <w:shd w:val="clear" w:color="auto" w:fill="auto"/>
            <w:vAlign w:val="center"/>
          </w:tcPr>
          <w:p w14:paraId="5C2E3117" w14:textId="04BAFB4C" w:rsidR="002B4230" w:rsidRPr="00D92AAA" w:rsidRDefault="002B4230">
            <w:pPr>
              <w:pStyle w:val="BMSTableText"/>
              <w:keepNext/>
              <w:keepLines/>
              <w:spacing w:before="0" w:after="0"/>
              <w:jc w:val="left"/>
              <w:rPr>
                <w:lang w:val="en-GB"/>
              </w:rPr>
            </w:pPr>
            <w:r w:rsidRPr="00D92AAA">
              <w:rPr>
                <w:lang w:val="en-GB"/>
              </w:rPr>
              <w:t>Grade 3 or 4</w:t>
            </w:r>
          </w:p>
        </w:tc>
        <w:tc>
          <w:tcPr>
            <w:tcW w:w="3923" w:type="dxa"/>
            <w:tcBorders>
              <w:top w:val="single" w:sz="4" w:space="0" w:color="auto"/>
              <w:left w:val="single" w:sz="4" w:space="0" w:color="auto"/>
              <w:right w:val="single" w:sz="4" w:space="0" w:color="auto"/>
            </w:tcBorders>
            <w:shd w:val="clear" w:color="auto" w:fill="auto"/>
            <w:vAlign w:val="center"/>
          </w:tcPr>
          <w:p w14:paraId="731E3118" w14:textId="432C6782" w:rsidR="002B4230" w:rsidRPr="00D92AAA" w:rsidRDefault="002B4230" w:rsidP="00996720">
            <w:pPr>
              <w:pStyle w:val="BMSTableText"/>
              <w:keepNext/>
              <w:keepLines/>
              <w:spacing w:before="0" w:after="0"/>
              <w:jc w:val="left"/>
              <w:rPr>
                <w:lang w:val="en-GB"/>
              </w:rPr>
            </w:pPr>
            <w:r w:rsidRPr="00D92AAA">
              <w:rPr>
                <w:lang w:val="en-GB"/>
              </w:rPr>
              <w:t xml:space="preserve">Withhold until clinically stable or </w:t>
            </w:r>
            <w:r w:rsidR="00AB511E" w:rsidRPr="00D92AAA">
              <w:rPr>
                <w:lang w:val="en-GB"/>
              </w:rPr>
              <w:t>p</w:t>
            </w:r>
            <w:r w:rsidRPr="00D92AAA">
              <w:rPr>
                <w:lang w:val="en-GB"/>
              </w:rPr>
              <w:t>ermanently discontinue, depending on severity</w:t>
            </w:r>
          </w:p>
        </w:tc>
      </w:tr>
      <w:tr w:rsidR="00AB511E" w:rsidRPr="00D92AAA" w14:paraId="383FE471" w14:textId="77777777" w:rsidTr="00E55F90">
        <w:trPr>
          <w:cantSplit/>
          <w:trHeight w:val="283"/>
        </w:trPr>
        <w:tc>
          <w:tcPr>
            <w:tcW w:w="16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AEEF091" w14:textId="2395E3DB" w:rsidR="00AB511E" w:rsidRPr="00D92AAA" w:rsidRDefault="00AB511E" w:rsidP="002B4230">
            <w:pPr>
              <w:pStyle w:val="BMSTableText"/>
              <w:keepNext/>
              <w:keepLines/>
              <w:spacing w:before="0" w:after="0"/>
              <w:jc w:val="left"/>
            </w:pPr>
            <w:r w:rsidRPr="00D92AAA">
              <w:t>Exfoliative skin reactions</w:t>
            </w:r>
          </w:p>
        </w:tc>
        <w:tc>
          <w:tcPr>
            <w:tcW w:w="3435" w:type="dxa"/>
            <w:tcBorders>
              <w:top w:val="single" w:sz="4" w:space="0" w:color="auto"/>
              <w:left w:val="single" w:sz="4" w:space="0" w:color="auto"/>
              <w:right w:val="single" w:sz="4" w:space="0" w:color="auto"/>
            </w:tcBorders>
            <w:shd w:val="clear" w:color="auto" w:fill="auto"/>
            <w:vAlign w:val="center"/>
          </w:tcPr>
          <w:p w14:paraId="105D3703" w14:textId="75F8C9D9" w:rsidR="00AB511E" w:rsidRPr="00D92AAA" w:rsidRDefault="00AB511E">
            <w:pPr>
              <w:pStyle w:val="BMSTableText"/>
              <w:keepNext/>
              <w:keepLines/>
              <w:spacing w:before="0" w:after="0"/>
              <w:jc w:val="left"/>
            </w:pPr>
            <w:r w:rsidRPr="00D92AAA">
              <w:rPr>
                <w:lang w:val="en-GB"/>
              </w:rPr>
              <w:t>Suspected SJS, TEN or DRESS</w:t>
            </w:r>
          </w:p>
        </w:tc>
        <w:tc>
          <w:tcPr>
            <w:tcW w:w="3923" w:type="dxa"/>
            <w:tcBorders>
              <w:top w:val="single" w:sz="4" w:space="0" w:color="auto"/>
              <w:left w:val="single" w:sz="4" w:space="0" w:color="auto"/>
              <w:right w:val="single" w:sz="4" w:space="0" w:color="auto"/>
            </w:tcBorders>
            <w:shd w:val="clear" w:color="auto" w:fill="auto"/>
            <w:vAlign w:val="center"/>
          </w:tcPr>
          <w:p w14:paraId="15F6CDBF" w14:textId="411E9504" w:rsidR="00AB511E" w:rsidRPr="00D92AAA" w:rsidRDefault="00AB511E">
            <w:pPr>
              <w:pStyle w:val="BMSTableText"/>
              <w:keepNext/>
              <w:keepLines/>
              <w:spacing w:before="0" w:after="0"/>
              <w:jc w:val="left"/>
            </w:pPr>
            <w:r w:rsidRPr="00D92AAA">
              <w:t>Withhold</w:t>
            </w:r>
          </w:p>
        </w:tc>
      </w:tr>
      <w:tr w:rsidR="002B4230" w:rsidRPr="00D92AAA" w14:paraId="29A8D119" w14:textId="77777777" w:rsidTr="00E55F90">
        <w:trPr>
          <w:trHeight w:val="283"/>
        </w:trPr>
        <w:tc>
          <w:tcPr>
            <w:tcW w:w="166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6AAA851" w14:textId="77777777" w:rsidR="00D878B0" w:rsidRPr="00D92AAA" w:rsidRDefault="00D878B0">
            <w:pPr>
              <w:pStyle w:val="BMSTableText"/>
              <w:keepNext/>
              <w:keepLines/>
              <w:spacing w:before="0" w:after="0"/>
              <w:jc w:val="left"/>
            </w:pPr>
          </w:p>
        </w:tc>
        <w:tc>
          <w:tcPr>
            <w:tcW w:w="3435" w:type="dxa"/>
            <w:tcBorders>
              <w:top w:val="single" w:sz="4" w:space="0" w:color="auto"/>
              <w:left w:val="single" w:sz="4" w:space="0" w:color="auto"/>
              <w:bottom w:val="single" w:sz="4" w:space="0" w:color="auto"/>
              <w:right w:val="single" w:sz="4" w:space="0" w:color="auto"/>
            </w:tcBorders>
            <w:shd w:val="clear" w:color="auto" w:fill="auto"/>
            <w:vAlign w:val="center"/>
          </w:tcPr>
          <w:p w14:paraId="552D1385" w14:textId="4AE3A841" w:rsidR="00D878B0" w:rsidRPr="00D92AAA" w:rsidRDefault="00D878B0">
            <w:pPr>
              <w:pStyle w:val="BMSTableText"/>
              <w:keepNext/>
              <w:keepLines/>
              <w:spacing w:before="0" w:after="0"/>
              <w:jc w:val="left"/>
              <w:rPr>
                <w:lang w:val="en-GB"/>
              </w:rPr>
            </w:pPr>
            <w:r w:rsidRPr="00D92AAA">
              <w:rPr>
                <w:lang w:val="en-GB"/>
              </w:rPr>
              <w:t xml:space="preserve">Confirmed </w:t>
            </w:r>
            <w:r w:rsidR="00A975FA" w:rsidRPr="00D92AAA">
              <w:rPr>
                <w:lang w:val="en-GB"/>
              </w:rPr>
              <w:t>SJS, TEN or DRESS</w:t>
            </w:r>
          </w:p>
        </w:tc>
        <w:tc>
          <w:tcPr>
            <w:tcW w:w="3923" w:type="dxa"/>
            <w:tcBorders>
              <w:top w:val="single" w:sz="4" w:space="0" w:color="auto"/>
              <w:left w:val="single" w:sz="4" w:space="0" w:color="auto"/>
              <w:bottom w:val="single" w:sz="4" w:space="0" w:color="auto"/>
              <w:right w:val="single" w:sz="4" w:space="0" w:color="auto"/>
            </w:tcBorders>
            <w:shd w:val="clear" w:color="auto" w:fill="auto"/>
            <w:vAlign w:val="center"/>
          </w:tcPr>
          <w:p w14:paraId="3D52B9A5" w14:textId="75EF1055" w:rsidR="00D878B0" w:rsidRPr="00D92AAA" w:rsidRDefault="00D878B0">
            <w:pPr>
              <w:pStyle w:val="BMSTableText"/>
              <w:keepNext/>
              <w:keepLines/>
              <w:spacing w:before="0" w:after="0"/>
              <w:jc w:val="left"/>
            </w:pPr>
            <w:r w:rsidRPr="00D92AAA">
              <w:rPr>
                <w:lang w:val="en-GB"/>
              </w:rPr>
              <w:t>Permanently discontinue</w:t>
            </w:r>
          </w:p>
        </w:tc>
      </w:tr>
      <w:tr w:rsidR="00A975FA" w:rsidRPr="00D92AAA" w14:paraId="0657B8C8" w14:textId="77777777" w:rsidTr="00E55F90">
        <w:trPr>
          <w:trHeight w:val="283"/>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4C6A83F9" w14:textId="6F5273C1" w:rsidR="00A975FA" w:rsidRPr="00D92AAA" w:rsidRDefault="00F0214D" w:rsidP="002B4230">
            <w:pPr>
              <w:pStyle w:val="BMSTableText"/>
              <w:keepNext/>
              <w:keepLines/>
              <w:spacing w:before="0" w:after="0"/>
              <w:jc w:val="left"/>
            </w:pPr>
            <w:r w:rsidRPr="00D92AAA">
              <w:t>M</w:t>
            </w:r>
            <w:r w:rsidR="00A975FA" w:rsidRPr="00D92AAA">
              <w:t>yocarditis</w:t>
            </w:r>
          </w:p>
        </w:tc>
        <w:tc>
          <w:tcPr>
            <w:tcW w:w="3435" w:type="dxa"/>
            <w:tcBorders>
              <w:top w:val="single" w:sz="4" w:space="0" w:color="auto"/>
              <w:left w:val="single" w:sz="4" w:space="0" w:color="auto"/>
              <w:bottom w:val="single" w:sz="4" w:space="0" w:color="auto"/>
              <w:right w:val="single" w:sz="4" w:space="0" w:color="auto"/>
            </w:tcBorders>
            <w:shd w:val="clear" w:color="auto" w:fill="auto"/>
            <w:vAlign w:val="center"/>
          </w:tcPr>
          <w:p w14:paraId="2D55C3C5" w14:textId="173A8CE3" w:rsidR="00A975FA" w:rsidRPr="00D92AAA" w:rsidRDefault="00A975FA" w:rsidP="00996720">
            <w:pPr>
              <w:pStyle w:val="BMSTableText"/>
              <w:keepNext/>
              <w:keepLines/>
              <w:spacing w:before="0" w:after="0"/>
              <w:jc w:val="left"/>
              <w:rPr>
                <w:lang w:val="en-GB"/>
              </w:rPr>
            </w:pPr>
            <w:r w:rsidRPr="00D92AAA">
              <w:rPr>
                <w:lang w:val="en-GB"/>
              </w:rPr>
              <w:t>Grade 2, 3 or 4</w:t>
            </w:r>
          </w:p>
        </w:tc>
        <w:tc>
          <w:tcPr>
            <w:tcW w:w="3923" w:type="dxa"/>
            <w:tcBorders>
              <w:top w:val="single" w:sz="4" w:space="0" w:color="auto"/>
              <w:left w:val="single" w:sz="4" w:space="0" w:color="auto"/>
              <w:right w:val="single" w:sz="4" w:space="0" w:color="auto"/>
            </w:tcBorders>
            <w:shd w:val="clear" w:color="auto" w:fill="auto"/>
            <w:vAlign w:val="center"/>
          </w:tcPr>
          <w:p w14:paraId="28A613F0" w14:textId="378AABFD" w:rsidR="00A975FA" w:rsidRPr="00D92AAA" w:rsidRDefault="00A975FA">
            <w:pPr>
              <w:pStyle w:val="BMSBodyText"/>
              <w:spacing w:after="0" w:line="240" w:lineRule="auto"/>
              <w:jc w:val="left"/>
              <w:rPr>
                <w:color w:val="auto"/>
                <w:sz w:val="20"/>
                <w:lang w:val="en-GB"/>
              </w:rPr>
            </w:pPr>
            <w:r w:rsidRPr="00D92AAA">
              <w:rPr>
                <w:color w:val="auto"/>
                <w:sz w:val="20"/>
                <w:lang w:val="en-GB"/>
              </w:rPr>
              <w:t>Permanently discontinue</w:t>
            </w:r>
          </w:p>
        </w:tc>
      </w:tr>
      <w:tr w:rsidR="00AB511E" w:rsidRPr="00D92AAA" w14:paraId="60672644" w14:textId="77777777" w:rsidTr="00E55F90">
        <w:trPr>
          <w:trHeight w:val="290"/>
        </w:trPr>
        <w:tc>
          <w:tcPr>
            <w:tcW w:w="1668" w:type="dxa"/>
            <w:vMerge w:val="restart"/>
            <w:tcBorders>
              <w:top w:val="single" w:sz="4" w:space="0" w:color="auto"/>
              <w:left w:val="single" w:sz="4" w:space="0" w:color="auto"/>
              <w:right w:val="single" w:sz="4" w:space="0" w:color="auto"/>
            </w:tcBorders>
            <w:shd w:val="clear" w:color="auto" w:fill="auto"/>
            <w:vAlign w:val="center"/>
          </w:tcPr>
          <w:p w14:paraId="5FC9EC28" w14:textId="74E99C4B" w:rsidR="00AB511E" w:rsidRPr="00D92AAA" w:rsidRDefault="00AB511E" w:rsidP="002B4230">
            <w:pPr>
              <w:pStyle w:val="BMSTableText"/>
              <w:keepNext/>
              <w:keepLines/>
              <w:spacing w:before="0" w:after="0"/>
              <w:jc w:val="left"/>
            </w:pPr>
            <w:r w:rsidRPr="00D92AAA">
              <w:t>Neurological toxicity</w:t>
            </w:r>
          </w:p>
        </w:tc>
        <w:tc>
          <w:tcPr>
            <w:tcW w:w="3435" w:type="dxa"/>
            <w:tcBorders>
              <w:top w:val="single" w:sz="4" w:space="0" w:color="auto"/>
              <w:left w:val="single" w:sz="4" w:space="0" w:color="auto"/>
              <w:bottom w:val="single" w:sz="4" w:space="0" w:color="auto"/>
              <w:right w:val="single" w:sz="4" w:space="0" w:color="auto"/>
            </w:tcBorders>
            <w:shd w:val="clear" w:color="auto" w:fill="auto"/>
            <w:vAlign w:val="center"/>
          </w:tcPr>
          <w:p w14:paraId="3D6960D1" w14:textId="5DB8CD4D" w:rsidR="00AB511E" w:rsidRPr="00D92AAA" w:rsidRDefault="00AB511E" w:rsidP="00F87B69">
            <w:pPr>
              <w:pStyle w:val="BMSBodyText"/>
              <w:spacing w:after="0" w:line="240" w:lineRule="auto"/>
              <w:jc w:val="left"/>
              <w:rPr>
                <w:color w:val="auto"/>
                <w:sz w:val="20"/>
                <w:lang w:val="en-GB"/>
              </w:rPr>
            </w:pPr>
            <w:r w:rsidRPr="00D92AAA">
              <w:rPr>
                <w:color w:val="auto"/>
                <w:sz w:val="20"/>
                <w:lang w:val="en-GB"/>
              </w:rPr>
              <w:t>Grade 2</w:t>
            </w:r>
          </w:p>
        </w:tc>
        <w:tc>
          <w:tcPr>
            <w:tcW w:w="3923" w:type="dxa"/>
            <w:tcBorders>
              <w:top w:val="single" w:sz="4" w:space="0" w:color="auto"/>
              <w:left w:val="single" w:sz="4" w:space="0" w:color="auto"/>
              <w:bottom w:val="single" w:sz="4" w:space="0" w:color="auto"/>
              <w:right w:val="single" w:sz="4" w:space="0" w:color="auto"/>
            </w:tcBorders>
            <w:shd w:val="clear" w:color="auto" w:fill="auto"/>
            <w:vAlign w:val="center"/>
          </w:tcPr>
          <w:p w14:paraId="1C1157EF" w14:textId="6CC6A505" w:rsidR="00AB511E" w:rsidRPr="00D92AAA" w:rsidRDefault="00AB511E" w:rsidP="00F87B69">
            <w:pPr>
              <w:pStyle w:val="BMSBodyText"/>
              <w:spacing w:after="0" w:line="240" w:lineRule="auto"/>
              <w:jc w:val="left"/>
              <w:rPr>
                <w:color w:val="auto"/>
                <w:sz w:val="20"/>
                <w:lang w:val="en-GB"/>
              </w:rPr>
            </w:pPr>
            <w:proofErr w:type="spellStart"/>
            <w:r w:rsidRPr="00D92AAA">
              <w:rPr>
                <w:color w:val="auto"/>
                <w:sz w:val="20"/>
                <w:lang w:val="en-GB"/>
              </w:rPr>
              <w:t>Withhold</w:t>
            </w:r>
            <w:r w:rsidRPr="00D92AAA">
              <w:rPr>
                <w:color w:val="auto"/>
                <w:sz w:val="20"/>
                <w:vertAlign w:val="superscript"/>
                <w:lang w:val="en-GB"/>
              </w:rPr>
              <w:t>b</w:t>
            </w:r>
            <w:proofErr w:type="spellEnd"/>
          </w:p>
        </w:tc>
      </w:tr>
      <w:tr w:rsidR="00AB511E" w:rsidRPr="00D92AAA" w14:paraId="49AE5328" w14:textId="77777777" w:rsidTr="00E55F90">
        <w:trPr>
          <w:trHeight w:val="290"/>
        </w:trPr>
        <w:tc>
          <w:tcPr>
            <w:tcW w:w="1668" w:type="dxa"/>
            <w:vMerge/>
            <w:tcBorders>
              <w:left w:val="single" w:sz="4" w:space="0" w:color="auto"/>
              <w:bottom w:val="single" w:sz="4" w:space="0" w:color="auto"/>
              <w:right w:val="single" w:sz="4" w:space="0" w:color="auto"/>
            </w:tcBorders>
            <w:shd w:val="clear" w:color="auto" w:fill="auto"/>
            <w:vAlign w:val="center"/>
          </w:tcPr>
          <w:p w14:paraId="2D7A6702" w14:textId="77777777" w:rsidR="00AB511E" w:rsidRPr="00D92AAA" w:rsidRDefault="00AB511E" w:rsidP="002B4230">
            <w:pPr>
              <w:pStyle w:val="BMSTableText"/>
              <w:keepNext/>
              <w:keepLines/>
              <w:spacing w:before="0" w:after="0"/>
              <w:jc w:val="left"/>
            </w:pPr>
          </w:p>
        </w:tc>
        <w:tc>
          <w:tcPr>
            <w:tcW w:w="3435" w:type="dxa"/>
            <w:tcBorders>
              <w:top w:val="single" w:sz="4" w:space="0" w:color="auto"/>
              <w:left w:val="single" w:sz="4" w:space="0" w:color="auto"/>
              <w:bottom w:val="single" w:sz="4" w:space="0" w:color="auto"/>
              <w:right w:val="single" w:sz="4" w:space="0" w:color="auto"/>
            </w:tcBorders>
            <w:shd w:val="clear" w:color="auto" w:fill="auto"/>
            <w:vAlign w:val="center"/>
          </w:tcPr>
          <w:p w14:paraId="35FBD3A4" w14:textId="128AF526" w:rsidR="00AB511E" w:rsidRPr="00D92AAA" w:rsidRDefault="00AB511E" w:rsidP="00F87B69">
            <w:pPr>
              <w:pStyle w:val="BMSBodyText"/>
              <w:spacing w:after="0" w:line="240" w:lineRule="auto"/>
              <w:jc w:val="left"/>
              <w:rPr>
                <w:color w:val="auto"/>
                <w:sz w:val="20"/>
                <w:lang w:val="en-GB"/>
              </w:rPr>
            </w:pPr>
            <w:r w:rsidRPr="00D92AAA">
              <w:rPr>
                <w:color w:val="auto"/>
                <w:sz w:val="20"/>
                <w:lang w:val="en-GB"/>
              </w:rPr>
              <w:t>Grade 3 or 4</w:t>
            </w:r>
          </w:p>
        </w:tc>
        <w:tc>
          <w:tcPr>
            <w:tcW w:w="3923" w:type="dxa"/>
            <w:tcBorders>
              <w:top w:val="single" w:sz="4" w:space="0" w:color="auto"/>
              <w:left w:val="single" w:sz="4" w:space="0" w:color="auto"/>
              <w:bottom w:val="single" w:sz="4" w:space="0" w:color="auto"/>
              <w:right w:val="single" w:sz="4" w:space="0" w:color="auto"/>
            </w:tcBorders>
            <w:shd w:val="clear" w:color="auto" w:fill="auto"/>
            <w:vAlign w:val="center"/>
          </w:tcPr>
          <w:p w14:paraId="4BCE7012" w14:textId="48226233" w:rsidR="00AB511E" w:rsidRPr="00D92AAA" w:rsidRDefault="00AB511E" w:rsidP="00F87B69">
            <w:pPr>
              <w:pStyle w:val="BMSBodyText"/>
              <w:spacing w:after="0" w:line="240" w:lineRule="auto"/>
              <w:jc w:val="left"/>
              <w:rPr>
                <w:color w:val="auto"/>
                <w:sz w:val="20"/>
                <w:lang w:val="en-GB"/>
              </w:rPr>
            </w:pPr>
            <w:r w:rsidRPr="00D92AAA">
              <w:rPr>
                <w:color w:val="auto"/>
                <w:sz w:val="20"/>
                <w:lang w:val="en-GB"/>
              </w:rPr>
              <w:t>Permanently discontinue</w:t>
            </w:r>
          </w:p>
        </w:tc>
      </w:tr>
    </w:tbl>
    <w:p w14:paraId="7CC15814" w14:textId="0172A4CF" w:rsidR="00662ED7" w:rsidRPr="0074533F" w:rsidRDefault="002B4230" w:rsidP="00E55F90">
      <w:pPr>
        <w:spacing w:line="276" w:lineRule="auto"/>
        <w:jc w:val="left"/>
        <w:rPr>
          <w:noProof/>
          <w:sz w:val="20"/>
        </w:rPr>
      </w:pPr>
      <w:r w:rsidRPr="0074533F">
        <w:rPr>
          <w:rFonts w:eastAsia="Times New Roman" w:cs="Times New Roman"/>
          <w:noProof/>
          <w:color w:val="000000"/>
          <w:sz w:val="20"/>
          <w:szCs w:val="20"/>
          <w:lang w:val="en-US"/>
        </w:rPr>
        <w:t>ALT = alanine aminotransferase, AST = aspartate aminotransferase, DRESS = Drug Rash with Eosinophilia and Systemic Symptoms, SJS = Stevens Johnson Syndrome, TEN = toxic epidermal necrolysis, ULN = upper limit of normal.</w:t>
      </w:r>
    </w:p>
    <w:p w14:paraId="2D887F35" w14:textId="00CC9B01" w:rsidR="002B4230" w:rsidRPr="0074533F" w:rsidRDefault="00662ED7" w:rsidP="00760589">
      <w:pPr>
        <w:pStyle w:val="EMEABodyText"/>
        <w:tabs>
          <w:tab w:val="left" w:pos="540"/>
        </w:tabs>
        <w:ind w:left="540" w:hanging="540"/>
        <w:rPr>
          <w:noProof/>
          <w:sz w:val="20"/>
        </w:rPr>
      </w:pPr>
      <w:r w:rsidRPr="0074533F">
        <w:rPr>
          <w:rStyle w:val="EMEASuperscript"/>
        </w:rPr>
        <w:t>a</w:t>
      </w:r>
      <w:r w:rsidRPr="0074533F">
        <w:rPr>
          <w:noProof/>
          <w:sz w:val="20"/>
        </w:rPr>
        <w:tab/>
      </w:r>
      <w:r w:rsidR="002B4230" w:rsidRPr="0074533F">
        <w:rPr>
          <w:noProof/>
          <w:sz w:val="20"/>
        </w:rPr>
        <w:t xml:space="preserve">Toxicity grades </w:t>
      </w:r>
      <w:r w:rsidR="000150C8" w:rsidRPr="0074533F">
        <w:rPr>
          <w:noProof/>
          <w:sz w:val="20"/>
        </w:rPr>
        <w:t xml:space="preserve">in this table (and throughout this product information document) </w:t>
      </w:r>
      <w:r w:rsidR="002B4230" w:rsidRPr="0074533F">
        <w:rPr>
          <w:noProof/>
          <w:sz w:val="20"/>
        </w:rPr>
        <w:t xml:space="preserve">are in accordance with </w:t>
      </w:r>
      <w:r w:rsidR="000150C8" w:rsidRPr="0074533F">
        <w:rPr>
          <w:noProof/>
          <w:sz w:val="20"/>
        </w:rPr>
        <w:t xml:space="preserve">the </w:t>
      </w:r>
      <w:r w:rsidR="002B4230" w:rsidRPr="0074533F">
        <w:rPr>
          <w:noProof/>
          <w:sz w:val="20"/>
        </w:rPr>
        <w:t>National Cancer Institute Common Terminology Criteria for Adverse Events Version 5.0 (NCI</w:t>
      </w:r>
      <w:r w:rsidR="002B4230" w:rsidRPr="0074533F">
        <w:rPr>
          <w:noProof/>
          <w:sz w:val="20"/>
        </w:rPr>
        <w:noBreakHyphen/>
        <w:t>CTCAE v5).</w:t>
      </w:r>
    </w:p>
    <w:p w14:paraId="5DF8884A" w14:textId="77777777" w:rsidR="002B4230" w:rsidRPr="0074533F" w:rsidRDefault="002B4230" w:rsidP="002B4230">
      <w:pPr>
        <w:pStyle w:val="EMEABodyText"/>
        <w:tabs>
          <w:tab w:val="left" w:pos="540"/>
        </w:tabs>
        <w:ind w:left="540" w:hanging="540"/>
        <w:rPr>
          <w:noProof/>
          <w:sz w:val="20"/>
        </w:rPr>
      </w:pPr>
      <w:r w:rsidRPr="0074533F">
        <w:rPr>
          <w:rStyle w:val="EMEASuperscript"/>
        </w:rPr>
        <w:t>b</w:t>
      </w:r>
      <w:r w:rsidRPr="0074533F">
        <w:rPr>
          <w:noProof/>
          <w:sz w:val="20"/>
        </w:rPr>
        <w:tab/>
        <w:t>Resume in patients with complete or partial resolution (Grade 0 to 1) after corticosteroid taper. Permanently discontinue if no complete or partial resolution within 12 weeks of last dose or inability to reduce prednisone to 10 mg per day (or equivalent) or less within 12 weeks of initiating steroids.</w:t>
      </w:r>
    </w:p>
    <w:p w14:paraId="205CEFD4" w14:textId="45ABCBB8" w:rsidR="00662ED7" w:rsidDel="00F87B69" w:rsidRDefault="002B4230" w:rsidP="00662ED7">
      <w:pPr>
        <w:pStyle w:val="EMEABodyText"/>
        <w:tabs>
          <w:tab w:val="left" w:pos="540"/>
        </w:tabs>
        <w:ind w:left="540" w:hanging="540"/>
        <w:rPr>
          <w:noProof/>
          <w:sz w:val="20"/>
        </w:rPr>
      </w:pPr>
      <w:r w:rsidRPr="0074533F">
        <w:rPr>
          <w:rStyle w:val="EMEASuperscript"/>
        </w:rPr>
        <w:t>c</w:t>
      </w:r>
      <w:r w:rsidRPr="0074533F">
        <w:rPr>
          <w:noProof/>
          <w:sz w:val="20"/>
        </w:rPr>
        <w:tab/>
      </w:r>
      <w:r w:rsidR="00F0214D" w:rsidRPr="00522476" w:rsidDel="00F87B69">
        <w:rPr>
          <w:noProof/>
          <w:sz w:val="20"/>
        </w:rPr>
        <w:t>Recommendation</w:t>
      </w:r>
      <w:r w:rsidR="00F0214D" w:rsidRPr="00522476">
        <w:rPr>
          <w:noProof/>
          <w:sz w:val="20"/>
        </w:rPr>
        <w:t>s</w:t>
      </w:r>
      <w:r w:rsidR="00F0214D" w:rsidRPr="00522476" w:rsidDel="00F87B69">
        <w:rPr>
          <w:noProof/>
          <w:sz w:val="20"/>
        </w:rPr>
        <w:t xml:space="preserve"> for the use of hormone replacement therapy </w:t>
      </w:r>
      <w:r w:rsidR="00F0214D" w:rsidRPr="00522476">
        <w:rPr>
          <w:noProof/>
          <w:sz w:val="20"/>
        </w:rPr>
        <w:t>are</w:t>
      </w:r>
      <w:r w:rsidR="00F0214D" w:rsidRPr="00522476" w:rsidDel="00F87B69">
        <w:rPr>
          <w:noProof/>
          <w:sz w:val="20"/>
        </w:rPr>
        <w:t xml:space="preserve"> provided in section 4.4 Special warnings and precautions for use.</w:t>
      </w:r>
      <w:r w:rsidR="00F0214D" w:rsidRPr="0074533F">
        <w:rPr>
          <w:noProof/>
          <w:sz w:val="20"/>
        </w:rPr>
        <w:t xml:space="preserve"> </w:t>
      </w:r>
      <w:r w:rsidRPr="0074533F">
        <w:rPr>
          <w:noProof/>
          <w:sz w:val="20"/>
        </w:rPr>
        <w:t>Depending on clinical severity, consider withholding for Grade 2 endocrinopathy until symptom improvement with hormone replacement. Resume OPDUALAG once acute symptoms have resolved.</w:t>
      </w:r>
      <w:r>
        <w:rPr>
          <w:noProof/>
          <w:sz w:val="20"/>
        </w:rPr>
        <w:t xml:space="preserve"> </w:t>
      </w:r>
    </w:p>
    <w:p w14:paraId="28695589" w14:textId="2EB43532" w:rsidR="00662ED7" w:rsidRDefault="00662ED7" w:rsidP="00662ED7">
      <w:pPr>
        <w:pStyle w:val="EMEABodyText"/>
        <w:ind w:left="567" w:hanging="567"/>
        <w:rPr>
          <w:noProof/>
          <w:sz w:val="20"/>
        </w:rPr>
      </w:pPr>
    </w:p>
    <w:p w14:paraId="5AB22B6B" w14:textId="4503E13D" w:rsidR="001F03B7" w:rsidRPr="004E0F60" w:rsidRDefault="00EE2A60" w:rsidP="003067DE">
      <w:pPr>
        <w:pStyle w:val="Heading3"/>
      </w:pPr>
      <w:r>
        <w:lastRenderedPageBreak/>
        <w:t xml:space="preserve">DOSE IN </w:t>
      </w:r>
      <w:r w:rsidR="001F03B7" w:rsidRPr="004E0F60">
        <w:t>SPECIAL POPULATIONS</w:t>
      </w:r>
    </w:p>
    <w:p w14:paraId="1BE0F6A2" w14:textId="77777777" w:rsidR="00403F48" w:rsidRPr="00403F48" w:rsidRDefault="00403F48" w:rsidP="009E2783">
      <w:pPr>
        <w:pStyle w:val="Heading4"/>
        <w:rPr>
          <w:rFonts w:hint="eastAsia"/>
        </w:rPr>
      </w:pPr>
      <w:r w:rsidRPr="00403F48">
        <w:t>Paediatric patients</w:t>
      </w:r>
    </w:p>
    <w:p w14:paraId="5A672AFE" w14:textId="47C0E4B0" w:rsidR="00BD5CC4" w:rsidRDefault="00225A77" w:rsidP="00043919">
      <w:pPr>
        <w:autoSpaceDE w:val="0"/>
        <w:autoSpaceDN w:val="0"/>
        <w:adjustRightInd w:val="0"/>
        <w:rPr>
          <w:rFonts w:eastAsia="TimesNewRoman"/>
          <w:lang w:val="en-US" w:eastAsia="fr-BE"/>
        </w:rPr>
      </w:pPr>
      <w:r w:rsidRPr="009E2783">
        <w:rPr>
          <w:rFonts w:eastAsia="TimesNewRoman"/>
          <w:lang w:val="en-US" w:eastAsia="fr-BE"/>
        </w:rPr>
        <w:t>The recommended OPDUALAG dosage</w:t>
      </w:r>
      <w:r w:rsidR="00E36CC4" w:rsidRPr="009E2783">
        <w:rPr>
          <w:rFonts w:eastAsia="TimesNewRoman"/>
          <w:lang w:val="en-US" w:eastAsia="fr-BE"/>
        </w:rPr>
        <w:t xml:space="preserve"> </w:t>
      </w:r>
      <w:r w:rsidRPr="009E2783">
        <w:rPr>
          <w:rFonts w:eastAsia="TimesNewRoman"/>
          <w:lang w:val="en-US" w:eastAsia="fr-BE"/>
        </w:rPr>
        <w:t>for</w:t>
      </w:r>
      <w:r w:rsidR="00E36CC4" w:rsidRPr="009E2783">
        <w:rPr>
          <w:rFonts w:eastAsia="TimesNewRoman"/>
          <w:lang w:val="en-US" w:eastAsia="fr-BE"/>
        </w:rPr>
        <w:t xml:space="preserve"> </w:t>
      </w:r>
      <w:proofErr w:type="spellStart"/>
      <w:r w:rsidR="00E36CC4" w:rsidRPr="009E2783">
        <w:rPr>
          <w:rFonts w:eastAsia="TimesNewRoman"/>
          <w:lang w:val="en-US" w:eastAsia="fr-BE"/>
        </w:rPr>
        <w:t>paediatric</w:t>
      </w:r>
      <w:proofErr w:type="spellEnd"/>
      <w:r w:rsidR="00E36CC4" w:rsidRPr="009E2783">
        <w:rPr>
          <w:rFonts w:eastAsia="TimesNewRoman"/>
          <w:lang w:val="en-US" w:eastAsia="fr-BE"/>
        </w:rPr>
        <w:t xml:space="preserve"> patients who are at least 12 years old and weigh at least 40 kg is th</w:t>
      </w:r>
      <w:r w:rsidRPr="009E2783">
        <w:rPr>
          <w:rFonts w:eastAsia="TimesNewRoman"/>
          <w:lang w:val="en-US" w:eastAsia="fr-BE"/>
        </w:rPr>
        <w:t>e</w:t>
      </w:r>
      <w:r w:rsidR="00E36CC4" w:rsidRPr="009E2783">
        <w:rPr>
          <w:rFonts w:eastAsia="TimesNewRoman"/>
          <w:lang w:val="en-US" w:eastAsia="fr-BE"/>
        </w:rPr>
        <w:t xml:space="preserve"> same </w:t>
      </w:r>
      <w:r w:rsidRPr="009E2783">
        <w:rPr>
          <w:rFonts w:eastAsia="TimesNewRoman"/>
          <w:lang w:val="en-US" w:eastAsia="fr-BE"/>
        </w:rPr>
        <w:t>as for</w:t>
      </w:r>
      <w:r w:rsidR="00E36CC4" w:rsidRPr="009E2783">
        <w:rPr>
          <w:rFonts w:eastAsia="TimesNewRoman"/>
          <w:lang w:val="en-US" w:eastAsia="fr-BE"/>
        </w:rPr>
        <w:t xml:space="preserve"> adults</w:t>
      </w:r>
      <w:r w:rsidRPr="009E2783">
        <w:rPr>
          <w:rFonts w:eastAsia="TimesNewRoman"/>
          <w:lang w:val="en-US" w:eastAsia="fr-BE"/>
        </w:rPr>
        <w:t xml:space="preserve">. </w:t>
      </w:r>
      <w:r w:rsidRPr="009E2783">
        <w:rPr>
          <w:lang w:val="en-US" w:eastAsia="fr-BE"/>
        </w:rPr>
        <w:t xml:space="preserve">A recommended dose has not been established for </w:t>
      </w:r>
      <w:proofErr w:type="spellStart"/>
      <w:r w:rsidRPr="009E2783">
        <w:rPr>
          <w:lang w:val="en-US" w:eastAsia="fr-BE"/>
        </w:rPr>
        <w:t>paediatric</w:t>
      </w:r>
      <w:proofErr w:type="spellEnd"/>
      <w:r w:rsidRPr="009E2783">
        <w:rPr>
          <w:lang w:val="en-US" w:eastAsia="fr-BE"/>
        </w:rPr>
        <w:t xml:space="preserve"> patients who are 12 years or older </w:t>
      </w:r>
      <w:r w:rsidR="0028333D">
        <w:rPr>
          <w:lang w:val="en-US" w:eastAsia="fr-BE"/>
        </w:rPr>
        <w:t>and</w:t>
      </w:r>
      <w:r w:rsidRPr="009E2783">
        <w:rPr>
          <w:lang w:val="en-US" w:eastAsia="fr-BE"/>
        </w:rPr>
        <w:t xml:space="preserve"> weigh </w:t>
      </w:r>
      <w:r w:rsidRPr="008F0837">
        <w:rPr>
          <w:i/>
          <w:iCs/>
          <w:lang w:val="en-US" w:eastAsia="fr-BE"/>
        </w:rPr>
        <w:t>less</w:t>
      </w:r>
      <w:r w:rsidRPr="009E2783">
        <w:rPr>
          <w:lang w:val="en-US" w:eastAsia="fr-BE"/>
        </w:rPr>
        <w:t xml:space="preserve"> than 40 kg. </w:t>
      </w:r>
    </w:p>
    <w:p w14:paraId="5E9DA20B" w14:textId="77777777" w:rsidR="009F1AB2" w:rsidRPr="009E2783" w:rsidRDefault="009F1AB2" w:rsidP="009E2783">
      <w:pPr>
        <w:pStyle w:val="Heading4"/>
        <w:rPr>
          <w:rFonts w:hint="eastAsia"/>
        </w:rPr>
      </w:pPr>
      <w:r w:rsidRPr="009E2783">
        <w:rPr>
          <w:rFonts w:hint="eastAsia"/>
        </w:rPr>
        <w:t xml:space="preserve">Elderly patients </w:t>
      </w:r>
    </w:p>
    <w:p w14:paraId="37880711" w14:textId="63BFFB0B" w:rsidR="00F6093E" w:rsidRPr="009E2783" w:rsidRDefault="00F6093E" w:rsidP="00F6093E">
      <w:r w:rsidRPr="009E2783">
        <w:t xml:space="preserve">No dose adjustment is required for patients </w:t>
      </w:r>
      <w:r w:rsidR="00043919" w:rsidRPr="009E2783">
        <w:t xml:space="preserve">who are at least </w:t>
      </w:r>
      <w:r w:rsidRPr="009E2783">
        <w:t>65</w:t>
      </w:r>
      <w:r w:rsidRPr="009E2783">
        <w:rPr>
          <w:noProof/>
        </w:rPr>
        <w:t> </w:t>
      </w:r>
      <w:r w:rsidRPr="009E2783">
        <w:t>years</w:t>
      </w:r>
      <w:r w:rsidR="00043919" w:rsidRPr="009E2783">
        <w:t xml:space="preserve"> old</w:t>
      </w:r>
      <w:r w:rsidRPr="009E2783">
        <w:t xml:space="preserve"> (see section</w:t>
      </w:r>
      <w:r w:rsidRPr="009E2783">
        <w:rPr>
          <w:noProof/>
        </w:rPr>
        <w:t> </w:t>
      </w:r>
      <w:r w:rsidRPr="009E2783">
        <w:t>5.2</w:t>
      </w:r>
      <w:r w:rsidR="00415667" w:rsidRPr="009E2783">
        <w:t xml:space="preserve"> Pharmacokinetics</w:t>
      </w:r>
      <w:r w:rsidRPr="009E2783">
        <w:t>).</w:t>
      </w:r>
    </w:p>
    <w:p w14:paraId="2444137C" w14:textId="77777777" w:rsidR="00D22A77" w:rsidRPr="009E2783" w:rsidRDefault="00D22A77" w:rsidP="009E2783">
      <w:pPr>
        <w:pStyle w:val="Heading4"/>
        <w:rPr>
          <w:rFonts w:hint="eastAsia"/>
        </w:rPr>
      </w:pPr>
      <w:r w:rsidRPr="009E2783">
        <w:rPr>
          <w:rFonts w:hint="eastAsia"/>
        </w:rPr>
        <w:t xml:space="preserve">Patients with renal impairment </w:t>
      </w:r>
    </w:p>
    <w:p w14:paraId="62AC50CA" w14:textId="79E9D02F" w:rsidR="00D22A77" w:rsidRPr="009E2783" w:rsidRDefault="00225A77" w:rsidP="00D22A77">
      <w:r w:rsidRPr="009E2783">
        <w:rPr>
          <w:bCs/>
          <w:iCs/>
        </w:rPr>
        <w:t>N</w:t>
      </w:r>
      <w:r w:rsidR="00370ABE" w:rsidRPr="009E2783">
        <w:rPr>
          <w:bCs/>
          <w:iCs/>
        </w:rPr>
        <w:t xml:space="preserve">o dose adjustment is required in patients with mild or moderate renal impairment. </w:t>
      </w:r>
      <w:r w:rsidR="00972486" w:rsidRPr="009E2783">
        <w:rPr>
          <w:bCs/>
          <w:iCs/>
        </w:rPr>
        <w:t>The effect of</w:t>
      </w:r>
      <w:r w:rsidR="00370ABE" w:rsidRPr="009E2783">
        <w:rPr>
          <w:bCs/>
          <w:iCs/>
        </w:rPr>
        <w:t xml:space="preserve"> severe renal impairment</w:t>
      </w:r>
      <w:r w:rsidR="00972486" w:rsidRPr="009E2783">
        <w:t xml:space="preserve"> is unknown </w:t>
      </w:r>
      <w:r w:rsidR="00972486" w:rsidRPr="009E2783">
        <w:rPr>
          <w:bCs/>
          <w:iCs/>
        </w:rPr>
        <w:t>(see section</w:t>
      </w:r>
      <w:r w:rsidR="00972486" w:rsidRPr="009E2783">
        <w:rPr>
          <w:noProof/>
        </w:rPr>
        <w:t> </w:t>
      </w:r>
      <w:r w:rsidR="00972486" w:rsidRPr="009E2783">
        <w:rPr>
          <w:bCs/>
          <w:iCs/>
        </w:rPr>
        <w:t>5.2 Pharmacokinetics).</w:t>
      </w:r>
    </w:p>
    <w:p w14:paraId="07A43FEF" w14:textId="77777777" w:rsidR="00D22A77" w:rsidRPr="009E2783" w:rsidRDefault="00D22A77" w:rsidP="009E2783">
      <w:pPr>
        <w:pStyle w:val="Heading4"/>
        <w:rPr>
          <w:rFonts w:hint="eastAsia"/>
        </w:rPr>
      </w:pPr>
      <w:r w:rsidRPr="009E2783">
        <w:rPr>
          <w:rFonts w:hint="eastAsia"/>
        </w:rPr>
        <w:t>Patients with hepatic impairment</w:t>
      </w:r>
    </w:p>
    <w:p w14:paraId="4335728A" w14:textId="64901DC5" w:rsidR="00D22A77" w:rsidRPr="004E0F60" w:rsidRDefault="00225A77" w:rsidP="00D22A77">
      <w:r w:rsidRPr="009E2783">
        <w:rPr>
          <w:bCs/>
          <w:iCs/>
        </w:rPr>
        <w:t>No</w:t>
      </w:r>
      <w:r w:rsidR="00FA24AD" w:rsidRPr="009E2783">
        <w:rPr>
          <w:bCs/>
          <w:iCs/>
        </w:rPr>
        <w:t xml:space="preserve"> dose adjustment is required in patients with mild or moderate hepatic impairment</w:t>
      </w:r>
      <w:r w:rsidR="00972486" w:rsidRPr="009E2783">
        <w:rPr>
          <w:bCs/>
          <w:iCs/>
        </w:rPr>
        <w:t>. The effect of severe hepatic impairment is unknown</w:t>
      </w:r>
      <w:r w:rsidR="00FA24AD" w:rsidRPr="009E2783">
        <w:rPr>
          <w:bCs/>
          <w:iCs/>
        </w:rPr>
        <w:t xml:space="preserve"> (see section</w:t>
      </w:r>
      <w:r w:rsidR="00FA24AD" w:rsidRPr="009E2783">
        <w:rPr>
          <w:noProof/>
        </w:rPr>
        <w:t> </w:t>
      </w:r>
      <w:r w:rsidR="00FA24AD" w:rsidRPr="009E2783">
        <w:rPr>
          <w:bCs/>
          <w:iCs/>
        </w:rPr>
        <w:t>5.2</w:t>
      </w:r>
      <w:r w:rsidR="00F214F3" w:rsidRPr="009E2783">
        <w:rPr>
          <w:bCs/>
          <w:iCs/>
        </w:rPr>
        <w:t xml:space="preserve"> Pharmacokinetics</w:t>
      </w:r>
      <w:r w:rsidR="00FA24AD" w:rsidRPr="009E2783">
        <w:rPr>
          <w:bCs/>
          <w:iCs/>
        </w:rPr>
        <w:t>).</w:t>
      </w:r>
      <w:r w:rsidR="00FA24AD">
        <w:rPr>
          <w:bCs/>
          <w:iCs/>
        </w:rPr>
        <w:t xml:space="preserve"> </w:t>
      </w:r>
    </w:p>
    <w:p w14:paraId="74F57D17" w14:textId="77777777" w:rsidR="00AB15A1" w:rsidRPr="009E2783" w:rsidRDefault="00AB15A1" w:rsidP="003067DE">
      <w:pPr>
        <w:pStyle w:val="Heading3"/>
      </w:pPr>
      <w:r w:rsidRPr="009E2783">
        <w:t>METHOD OF ADMINISTRATION</w:t>
      </w:r>
    </w:p>
    <w:p w14:paraId="33BEF184" w14:textId="19509B8E" w:rsidR="004225F2" w:rsidRPr="009E2783" w:rsidRDefault="004225F2" w:rsidP="00AB15A1">
      <w:pPr>
        <w:spacing w:after="120"/>
      </w:pPr>
      <w:r w:rsidRPr="009E2783">
        <w:t>OPDUALAG is supplied as a single-dose vial and does not contain any preservatives</w:t>
      </w:r>
      <w:r w:rsidR="00282E79" w:rsidRPr="009E2783">
        <w:t>: a</w:t>
      </w:r>
      <w:r w:rsidRPr="009E2783">
        <w:t xml:space="preserve">septic technique must be </w:t>
      </w:r>
      <w:r w:rsidR="00282E79" w:rsidRPr="009E2783">
        <w:t>used</w:t>
      </w:r>
      <w:r w:rsidR="00962F18" w:rsidRPr="009E2783">
        <w:t xml:space="preserve"> during preparation</w:t>
      </w:r>
      <w:r w:rsidRPr="009E2783">
        <w:t>.</w:t>
      </w:r>
    </w:p>
    <w:p w14:paraId="09A168F0" w14:textId="36516BDC" w:rsidR="00F42FC7" w:rsidRPr="009E2783" w:rsidRDefault="003F060F" w:rsidP="00E55F90">
      <w:r w:rsidRPr="009E2783">
        <w:t xml:space="preserve">OPDUALAG can be </w:t>
      </w:r>
      <w:r w:rsidR="00282E79" w:rsidRPr="009E2783">
        <w:t>administered</w:t>
      </w:r>
      <w:r w:rsidRPr="009E2783">
        <w:t xml:space="preserve"> either</w:t>
      </w:r>
      <w:r w:rsidR="00962F18" w:rsidRPr="009E2783">
        <w:t xml:space="preserve"> undiluted or after dilution (see '</w:t>
      </w:r>
      <w:r w:rsidR="00962F18" w:rsidRPr="009E2783">
        <w:fldChar w:fldCharType="begin"/>
      </w:r>
      <w:r w:rsidR="00962F18" w:rsidRPr="009E2783">
        <w:instrText xml:space="preserve"> REF _Ref113449069 \h </w:instrText>
      </w:r>
      <w:r w:rsidR="00E40855" w:rsidRPr="009E2783">
        <w:instrText xml:space="preserve"> \* MERGEFORMAT </w:instrText>
      </w:r>
      <w:r w:rsidR="00962F18" w:rsidRPr="009E2783">
        <w:fldChar w:fldCharType="separate"/>
      </w:r>
      <w:r w:rsidR="00F32BB0" w:rsidRPr="009E2783">
        <w:rPr>
          <w:rFonts w:hint="eastAsia"/>
        </w:rPr>
        <w:t>Preparing the infusion</w:t>
      </w:r>
      <w:r w:rsidR="00962F18" w:rsidRPr="009E2783">
        <w:fldChar w:fldCharType="end"/>
      </w:r>
      <w:r w:rsidR="00962F18" w:rsidRPr="009E2783">
        <w:t>,’ below).</w:t>
      </w:r>
    </w:p>
    <w:p w14:paraId="2680EFF6" w14:textId="0EE7DF10" w:rsidR="00712501" w:rsidRPr="009E2783" w:rsidRDefault="00712501" w:rsidP="009E2783">
      <w:pPr>
        <w:pStyle w:val="Heading4"/>
        <w:rPr>
          <w:rFonts w:hint="eastAsia"/>
        </w:rPr>
      </w:pPr>
      <w:bookmarkStart w:id="4" w:name="_Ref113449069"/>
      <w:r w:rsidRPr="009E2783">
        <w:rPr>
          <w:rFonts w:hint="eastAsia"/>
        </w:rPr>
        <w:t>Preparing the infusion</w:t>
      </w:r>
      <w:bookmarkEnd w:id="4"/>
    </w:p>
    <w:p w14:paraId="3B826DF5" w14:textId="67E298A8" w:rsidR="00712501" w:rsidRPr="009E2783" w:rsidRDefault="00712501" w:rsidP="00640762">
      <w:pPr>
        <w:pStyle w:val="BMSBodyText"/>
        <w:numPr>
          <w:ilvl w:val="0"/>
          <w:numId w:val="37"/>
        </w:numPr>
        <w:ind w:left="426"/>
        <w:jc w:val="left"/>
        <w:rPr>
          <w:color w:val="auto"/>
          <w:sz w:val="22"/>
          <w:szCs w:val="22"/>
        </w:rPr>
      </w:pPr>
      <w:r w:rsidRPr="009E2783">
        <w:rPr>
          <w:iCs/>
          <w:sz w:val="22"/>
          <w:szCs w:val="22"/>
        </w:rPr>
        <w:t xml:space="preserve">Inspect the OPDUALAG concentrate for particulate matter or </w:t>
      </w:r>
      <w:proofErr w:type="spellStart"/>
      <w:r w:rsidRPr="009E2783">
        <w:rPr>
          <w:iCs/>
          <w:sz w:val="22"/>
          <w:szCs w:val="22"/>
        </w:rPr>
        <w:t>discolo</w:t>
      </w:r>
      <w:r w:rsidR="00B723ED" w:rsidRPr="009E2783">
        <w:rPr>
          <w:iCs/>
          <w:sz w:val="22"/>
          <w:szCs w:val="22"/>
        </w:rPr>
        <w:t>u</w:t>
      </w:r>
      <w:r w:rsidRPr="009E2783">
        <w:rPr>
          <w:iCs/>
          <w:sz w:val="22"/>
          <w:szCs w:val="22"/>
        </w:rPr>
        <w:t>ration</w:t>
      </w:r>
      <w:proofErr w:type="spellEnd"/>
      <w:r w:rsidRPr="009E2783">
        <w:rPr>
          <w:iCs/>
          <w:sz w:val="22"/>
          <w:szCs w:val="22"/>
        </w:rPr>
        <w:t>. Do not shake the vial. OPDUALAG</w:t>
      </w:r>
      <w:r w:rsidRPr="009E2783">
        <w:rPr>
          <w:color w:val="auto"/>
          <w:sz w:val="22"/>
          <w:szCs w:val="22"/>
        </w:rPr>
        <w:t xml:space="preserve"> is a clear to opalescent, </w:t>
      </w:r>
      <w:proofErr w:type="spellStart"/>
      <w:r w:rsidRPr="009E2783">
        <w:rPr>
          <w:color w:val="auto"/>
          <w:sz w:val="22"/>
          <w:szCs w:val="22"/>
        </w:rPr>
        <w:t>colo</w:t>
      </w:r>
      <w:r w:rsidR="00F95826" w:rsidRPr="009E2783">
        <w:rPr>
          <w:color w:val="auto"/>
          <w:sz w:val="22"/>
          <w:szCs w:val="22"/>
        </w:rPr>
        <w:t>u</w:t>
      </w:r>
      <w:r w:rsidRPr="009E2783">
        <w:rPr>
          <w:color w:val="auto"/>
          <w:sz w:val="22"/>
          <w:szCs w:val="22"/>
        </w:rPr>
        <w:t>rless</w:t>
      </w:r>
      <w:proofErr w:type="spellEnd"/>
      <w:r w:rsidRPr="009E2783">
        <w:rPr>
          <w:color w:val="auto"/>
          <w:sz w:val="22"/>
          <w:szCs w:val="22"/>
        </w:rPr>
        <w:t xml:space="preserve"> to slightly yellow solution. Discard the vial if the solution is cloudy, is </w:t>
      </w:r>
      <w:proofErr w:type="spellStart"/>
      <w:r w:rsidRPr="009E2783">
        <w:rPr>
          <w:color w:val="auto"/>
          <w:sz w:val="22"/>
          <w:szCs w:val="22"/>
        </w:rPr>
        <w:t>discolo</w:t>
      </w:r>
      <w:r w:rsidR="00B723ED" w:rsidRPr="009E2783">
        <w:rPr>
          <w:color w:val="auto"/>
          <w:sz w:val="22"/>
          <w:szCs w:val="22"/>
        </w:rPr>
        <w:t>u</w:t>
      </w:r>
      <w:r w:rsidRPr="009E2783">
        <w:rPr>
          <w:color w:val="auto"/>
          <w:sz w:val="22"/>
          <w:szCs w:val="22"/>
        </w:rPr>
        <w:t>red</w:t>
      </w:r>
      <w:proofErr w:type="spellEnd"/>
      <w:r w:rsidRPr="009E2783">
        <w:rPr>
          <w:color w:val="auto"/>
          <w:sz w:val="22"/>
          <w:szCs w:val="22"/>
        </w:rPr>
        <w:t>, or contains extraneous particulate matter other than a few translucent-to-white particles.</w:t>
      </w:r>
    </w:p>
    <w:p w14:paraId="15C135AF" w14:textId="054E2960" w:rsidR="00712501" w:rsidRPr="009E2783" w:rsidRDefault="00712501" w:rsidP="00961F02">
      <w:pPr>
        <w:pStyle w:val="BMSBodyText"/>
        <w:keepNext/>
        <w:keepLines/>
        <w:numPr>
          <w:ilvl w:val="0"/>
          <w:numId w:val="34"/>
        </w:numPr>
        <w:spacing w:line="22" w:lineRule="atLeast"/>
        <w:ind w:left="448" w:hanging="448"/>
        <w:jc w:val="left"/>
        <w:rPr>
          <w:color w:val="auto"/>
          <w:sz w:val="22"/>
          <w:szCs w:val="22"/>
        </w:rPr>
      </w:pPr>
      <w:r w:rsidRPr="009E2783">
        <w:rPr>
          <w:color w:val="auto"/>
          <w:sz w:val="22"/>
          <w:szCs w:val="22"/>
        </w:rPr>
        <w:t>Withdraw the required volume of OPDUALAG concentrate using a sterile syringe and transfer the concentrate into a sterile, intravenous container</w:t>
      </w:r>
      <w:r w:rsidR="00786294" w:rsidRPr="009E2783">
        <w:rPr>
          <w:color w:val="auto"/>
          <w:sz w:val="22"/>
          <w:szCs w:val="22"/>
        </w:rPr>
        <w:t xml:space="preserve">. OPDUALAG is compatible with </w:t>
      </w:r>
      <w:proofErr w:type="spellStart"/>
      <w:r w:rsidRPr="009E2783">
        <w:rPr>
          <w:color w:val="auto"/>
          <w:sz w:val="22"/>
          <w:szCs w:val="22"/>
        </w:rPr>
        <w:t>ethylvinyl</w:t>
      </w:r>
      <w:proofErr w:type="spellEnd"/>
      <w:r w:rsidRPr="009E2783">
        <w:rPr>
          <w:color w:val="auto"/>
          <w:sz w:val="22"/>
          <w:szCs w:val="22"/>
        </w:rPr>
        <w:t xml:space="preserve"> acetate (EVA), </w:t>
      </w:r>
      <w:r w:rsidR="00786294" w:rsidRPr="009E2783">
        <w:rPr>
          <w:color w:val="auto"/>
          <w:sz w:val="22"/>
          <w:szCs w:val="22"/>
        </w:rPr>
        <w:t>di(2-</w:t>
      </w:r>
      <w:proofErr w:type="gramStart"/>
      <w:r w:rsidR="00786294" w:rsidRPr="009E2783">
        <w:rPr>
          <w:color w:val="auto"/>
          <w:sz w:val="22"/>
          <w:szCs w:val="22"/>
        </w:rPr>
        <w:t>ethylhexyl)phthalate</w:t>
      </w:r>
      <w:proofErr w:type="gramEnd"/>
      <w:r w:rsidR="00786294" w:rsidRPr="009E2783">
        <w:rPr>
          <w:color w:val="auto"/>
          <w:sz w:val="22"/>
          <w:szCs w:val="22"/>
        </w:rPr>
        <w:t xml:space="preserve"> (DEHP)-</w:t>
      </w:r>
      <w:proofErr w:type="spellStart"/>
      <w:r w:rsidR="00786294" w:rsidRPr="009E2783">
        <w:rPr>
          <w:color w:val="auto"/>
          <w:sz w:val="22"/>
          <w:szCs w:val="22"/>
        </w:rPr>
        <w:t>plasticised</w:t>
      </w:r>
      <w:proofErr w:type="spellEnd"/>
      <w:r w:rsidR="00786294" w:rsidRPr="009E2783">
        <w:rPr>
          <w:color w:val="auto"/>
          <w:sz w:val="22"/>
          <w:szCs w:val="22"/>
        </w:rPr>
        <w:t xml:space="preserve"> </w:t>
      </w:r>
      <w:r w:rsidRPr="009E2783">
        <w:rPr>
          <w:color w:val="auto"/>
          <w:sz w:val="22"/>
          <w:szCs w:val="22"/>
        </w:rPr>
        <w:t xml:space="preserve">polyvinyl chloride </w:t>
      </w:r>
      <w:r w:rsidR="00786294" w:rsidRPr="009E2783">
        <w:rPr>
          <w:color w:val="auto"/>
          <w:sz w:val="22"/>
          <w:szCs w:val="22"/>
        </w:rPr>
        <w:t>(</w:t>
      </w:r>
      <w:r w:rsidRPr="009E2783">
        <w:rPr>
          <w:color w:val="auto"/>
          <w:sz w:val="22"/>
          <w:szCs w:val="22"/>
        </w:rPr>
        <w:t>PVC</w:t>
      </w:r>
      <w:r w:rsidR="00786294" w:rsidRPr="009E2783">
        <w:rPr>
          <w:color w:val="auto"/>
          <w:sz w:val="22"/>
          <w:szCs w:val="22"/>
        </w:rPr>
        <w:t>)</w:t>
      </w:r>
      <w:r w:rsidRPr="009E2783">
        <w:rPr>
          <w:color w:val="auto"/>
          <w:sz w:val="22"/>
          <w:szCs w:val="22"/>
        </w:rPr>
        <w:t xml:space="preserve">, </w:t>
      </w:r>
      <w:r w:rsidR="00786294" w:rsidRPr="009E2783">
        <w:rPr>
          <w:color w:val="auto"/>
          <w:sz w:val="22"/>
          <w:szCs w:val="22"/>
        </w:rPr>
        <w:t xml:space="preserve">and </w:t>
      </w:r>
      <w:r w:rsidRPr="009E2783">
        <w:rPr>
          <w:color w:val="auto"/>
          <w:sz w:val="22"/>
          <w:szCs w:val="22"/>
        </w:rPr>
        <w:t>polyolefin</w:t>
      </w:r>
      <w:r w:rsidR="00786294" w:rsidRPr="009E2783">
        <w:rPr>
          <w:color w:val="auto"/>
          <w:sz w:val="22"/>
          <w:szCs w:val="22"/>
        </w:rPr>
        <w:t xml:space="preserve"> (PO</w:t>
      </w:r>
      <w:r w:rsidRPr="009E2783">
        <w:rPr>
          <w:color w:val="auto"/>
          <w:sz w:val="22"/>
          <w:szCs w:val="22"/>
        </w:rPr>
        <w:t>)</w:t>
      </w:r>
      <w:r w:rsidR="00786294" w:rsidRPr="009E2783">
        <w:rPr>
          <w:color w:val="auto"/>
          <w:sz w:val="22"/>
          <w:szCs w:val="22"/>
        </w:rPr>
        <w:t xml:space="preserve"> containers</w:t>
      </w:r>
      <w:r w:rsidRPr="009E2783">
        <w:rPr>
          <w:color w:val="auto"/>
          <w:sz w:val="22"/>
          <w:szCs w:val="22"/>
        </w:rPr>
        <w:t>.</w:t>
      </w:r>
    </w:p>
    <w:p w14:paraId="33FE7EFB" w14:textId="6F35B347" w:rsidR="00961F02" w:rsidRPr="009E2783" w:rsidRDefault="00961F02" w:rsidP="00E55F90">
      <w:pPr>
        <w:pStyle w:val="BMSBodyText"/>
        <w:keepNext/>
        <w:keepLines/>
        <w:numPr>
          <w:ilvl w:val="0"/>
          <w:numId w:val="34"/>
        </w:numPr>
        <w:spacing w:line="22" w:lineRule="atLeast"/>
        <w:ind w:left="448" w:hanging="448"/>
        <w:jc w:val="left"/>
        <w:rPr>
          <w:color w:val="auto"/>
          <w:sz w:val="22"/>
          <w:szCs w:val="22"/>
        </w:rPr>
      </w:pPr>
      <w:r w:rsidRPr="009E2783">
        <w:rPr>
          <w:sz w:val="22"/>
          <w:szCs w:val="18"/>
        </w:rPr>
        <w:t>If diluting prior to administration:</w:t>
      </w:r>
    </w:p>
    <w:p w14:paraId="4B12B483" w14:textId="6DCD2964" w:rsidR="00282E79" w:rsidRPr="009E2783" w:rsidRDefault="00961F02" w:rsidP="00E55F90">
      <w:pPr>
        <w:pStyle w:val="BMSBodyText"/>
        <w:numPr>
          <w:ilvl w:val="0"/>
          <w:numId w:val="42"/>
        </w:numPr>
        <w:spacing w:line="22" w:lineRule="atLeast"/>
        <w:rPr>
          <w:sz w:val="22"/>
          <w:szCs w:val="18"/>
        </w:rPr>
      </w:pPr>
      <w:r w:rsidRPr="009E2783">
        <w:rPr>
          <w:sz w:val="22"/>
          <w:szCs w:val="18"/>
        </w:rPr>
        <w:t>Dilute OPDUALAG solution with either sodium chloride 9 mg/mL (0.9%) solution for injection or glucose 50 mg/mL (5%) solution for injection to prepare an infusion meeting the following parameters</w:t>
      </w:r>
      <w:r w:rsidR="00282E79" w:rsidRPr="009E2783">
        <w:rPr>
          <w:sz w:val="22"/>
          <w:szCs w:val="18"/>
        </w:rPr>
        <w:t>:</w:t>
      </w:r>
    </w:p>
    <w:p w14:paraId="15E786BA" w14:textId="41ED8ECB" w:rsidR="00962F18" w:rsidRPr="009E2783" w:rsidRDefault="00962F18" w:rsidP="00E55F90">
      <w:pPr>
        <w:pStyle w:val="BMSBodyText"/>
        <w:numPr>
          <w:ilvl w:val="1"/>
          <w:numId w:val="43"/>
        </w:numPr>
        <w:spacing w:line="22" w:lineRule="atLeast"/>
        <w:rPr>
          <w:szCs w:val="18"/>
        </w:rPr>
      </w:pPr>
      <w:r w:rsidRPr="009E2783">
        <w:rPr>
          <w:sz w:val="22"/>
          <w:szCs w:val="18"/>
        </w:rPr>
        <w:t xml:space="preserve">The final concentration should not be below </w:t>
      </w:r>
      <w:r w:rsidR="002E552A" w:rsidRPr="009E2783">
        <w:rPr>
          <w:sz w:val="22"/>
          <w:szCs w:val="18"/>
        </w:rPr>
        <w:t>3</w:t>
      </w:r>
      <w:r w:rsidRPr="009E2783">
        <w:rPr>
          <w:sz w:val="22"/>
          <w:szCs w:val="18"/>
        </w:rPr>
        <w:t xml:space="preserve"> mg/mL nivolumab and </w:t>
      </w:r>
      <w:r w:rsidR="002E552A" w:rsidRPr="009E2783">
        <w:rPr>
          <w:sz w:val="22"/>
          <w:szCs w:val="18"/>
        </w:rPr>
        <w:t xml:space="preserve">1 </w:t>
      </w:r>
      <w:r w:rsidRPr="009E2783">
        <w:rPr>
          <w:sz w:val="22"/>
          <w:szCs w:val="18"/>
        </w:rPr>
        <w:t xml:space="preserve">mg/mL </w:t>
      </w:r>
      <w:proofErr w:type="spellStart"/>
      <w:r w:rsidRPr="009E2783">
        <w:rPr>
          <w:sz w:val="22"/>
          <w:szCs w:val="18"/>
        </w:rPr>
        <w:t>relatlimab</w:t>
      </w:r>
      <w:proofErr w:type="spellEnd"/>
      <w:r w:rsidRPr="009E2783">
        <w:rPr>
          <w:sz w:val="22"/>
          <w:szCs w:val="18"/>
        </w:rPr>
        <w:t xml:space="preserve">. </w:t>
      </w:r>
    </w:p>
    <w:p w14:paraId="3A18A064" w14:textId="616FB7B5" w:rsidR="00962F18" w:rsidRPr="009E2783" w:rsidRDefault="00962F18" w:rsidP="00E55F90">
      <w:pPr>
        <w:pStyle w:val="BMSBodyText"/>
        <w:numPr>
          <w:ilvl w:val="1"/>
          <w:numId w:val="43"/>
        </w:numPr>
        <w:spacing w:line="22" w:lineRule="atLeast"/>
        <w:rPr>
          <w:sz w:val="22"/>
          <w:szCs w:val="18"/>
        </w:rPr>
      </w:pPr>
      <w:r w:rsidRPr="009E2783">
        <w:rPr>
          <w:sz w:val="22"/>
          <w:szCs w:val="18"/>
        </w:rPr>
        <w:t>The total infusion volume must not exceed 160 mL, or for adult patients weighing less than 40 kg, the total infusion volume should not exceed 4 mL per kilogram of patient weight.</w:t>
      </w:r>
    </w:p>
    <w:p w14:paraId="06003A32" w14:textId="5EDB99CE" w:rsidR="00712501" w:rsidRPr="009E2783" w:rsidRDefault="00712501" w:rsidP="00E55F90">
      <w:pPr>
        <w:pStyle w:val="BMSBodyText"/>
        <w:numPr>
          <w:ilvl w:val="0"/>
          <w:numId w:val="42"/>
        </w:numPr>
        <w:spacing w:line="22" w:lineRule="atLeast"/>
        <w:rPr>
          <w:sz w:val="22"/>
          <w:szCs w:val="18"/>
        </w:rPr>
      </w:pPr>
      <w:r w:rsidRPr="009E2783">
        <w:rPr>
          <w:sz w:val="22"/>
          <w:szCs w:val="18"/>
        </w:rPr>
        <w:t xml:space="preserve">Gently mix the infusion by manual rotation. </w:t>
      </w:r>
      <w:r w:rsidRPr="009E2783">
        <w:rPr>
          <w:b/>
          <w:bCs/>
          <w:sz w:val="22"/>
          <w:szCs w:val="18"/>
        </w:rPr>
        <w:t>Do not shake.</w:t>
      </w:r>
    </w:p>
    <w:p w14:paraId="29A84B34" w14:textId="77777777" w:rsidR="00962F18" w:rsidRPr="009E2783" w:rsidRDefault="00962F18" w:rsidP="00E55F90">
      <w:pPr>
        <w:pStyle w:val="BMSBodyText"/>
      </w:pPr>
    </w:p>
    <w:p w14:paraId="31EDC524" w14:textId="23A9EEF6" w:rsidR="00112C28" w:rsidRPr="009E2783" w:rsidRDefault="00B47E0D" w:rsidP="009E2783">
      <w:pPr>
        <w:pStyle w:val="Heading4"/>
        <w:rPr>
          <w:rFonts w:hint="eastAsia"/>
        </w:rPr>
      </w:pPr>
      <w:r w:rsidRPr="009E2783">
        <w:rPr>
          <w:rFonts w:hint="eastAsia"/>
        </w:rPr>
        <w:lastRenderedPageBreak/>
        <w:t>Administration</w:t>
      </w:r>
    </w:p>
    <w:p w14:paraId="7520A079" w14:textId="1130D4EB" w:rsidR="00786294" w:rsidRPr="00087061" w:rsidRDefault="00B47E0D" w:rsidP="00786294">
      <w:pPr>
        <w:pStyle w:val="BMSBodyText"/>
        <w:numPr>
          <w:ilvl w:val="0"/>
          <w:numId w:val="37"/>
        </w:numPr>
        <w:ind w:left="426"/>
        <w:jc w:val="left"/>
        <w:rPr>
          <w:sz w:val="22"/>
          <w:szCs w:val="22"/>
        </w:rPr>
      </w:pPr>
      <w:r w:rsidRPr="00087061">
        <w:rPr>
          <w:iCs/>
          <w:sz w:val="22"/>
          <w:szCs w:val="22"/>
        </w:rPr>
        <w:t xml:space="preserve">Administer the </w:t>
      </w:r>
      <w:r w:rsidR="00112C28" w:rsidRPr="00087061">
        <w:rPr>
          <w:iCs/>
          <w:sz w:val="22"/>
          <w:szCs w:val="22"/>
        </w:rPr>
        <w:t>OPDUALAG</w:t>
      </w:r>
      <w:r w:rsidRPr="00087061">
        <w:rPr>
          <w:iCs/>
          <w:sz w:val="22"/>
          <w:szCs w:val="22"/>
        </w:rPr>
        <w:t xml:space="preserve"> infusion over 30 minutes</w:t>
      </w:r>
      <w:r w:rsidR="00961F02" w:rsidRPr="00087061">
        <w:rPr>
          <w:iCs/>
          <w:sz w:val="22"/>
          <w:szCs w:val="22"/>
        </w:rPr>
        <w:t xml:space="preserve"> </w:t>
      </w:r>
      <w:r w:rsidR="00786294" w:rsidRPr="00087061">
        <w:rPr>
          <w:iCs/>
          <w:sz w:val="22"/>
          <w:szCs w:val="22"/>
        </w:rPr>
        <w:t>through an intravenous line containing</w:t>
      </w:r>
      <w:r w:rsidRPr="00087061">
        <w:rPr>
          <w:iCs/>
          <w:sz w:val="22"/>
          <w:szCs w:val="22"/>
        </w:rPr>
        <w:t xml:space="preserve"> </w:t>
      </w:r>
      <w:r w:rsidR="00786294" w:rsidRPr="00087061">
        <w:rPr>
          <w:iCs/>
          <w:sz w:val="22"/>
          <w:szCs w:val="22"/>
        </w:rPr>
        <w:t>a</w:t>
      </w:r>
      <w:r w:rsidRPr="00087061">
        <w:rPr>
          <w:iCs/>
          <w:sz w:val="22"/>
          <w:szCs w:val="22"/>
        </w:rPr>
        <w:t xml:space="preserve"> sterile, non</w:t>
      </w:r>
      <w:r w:rsidR="00225A77" w:rsidRPr="00087061">
        <w:rPr>
          <w:iCs/>
          <w:sz w:val="22"/>
          <w:szCs w:val="22"/>
        </w:rPr>
        <w:t>-</w:t>
      </w:r>
      <w:r w:rsidRPr="00087061">
        <w:rPr>
          <w:iCs/>
          <w:sz w:val="22"/>
          <w:szCs w:val="22"/>
        </w:rPr>
        <w:t xml:space="preserve">pyrogenic, low </w:t>
      </w:r>
      <w:r w:rsidR="00961F02" w:rsidRPr="00087061">
        <w:rPr>
          <w:iCs/>
          <w:sz w:val="22"/>
          <w:szCs w:val="22"/>
        </w:rPr>
        <w:t>protein-</w:t>
      </w:r>
      <w:r w:rsidRPr="00087061">
        <w:rPr>
          <w:iCs/>
          <w:sz w:val="22"/>
          <w:szCs w:val="22"/>
        </w:rPr>
        <w:t xml:space="preserve">binding filter (pore size of 0.2 </w:t>
      </w:r>
      <w:proofErr w:type="spellStart"/>
      <w:r w:rsidRPr="00087061">
        <w:rPr>
          <w:iCs/>
          <w:sz w:val="22"/>
          <w:szCs w:val="22"/>
        </w:rPr>
        <w:t>μm</w:t>
      </w:r>
      <w:proofErr w:type="spellEnd"/>
      <w:r w:rsidRPr="00087061">
        <w:rPr>
          <w:iCs/>
          <w:sz w:val="22"/>
          <w:szCs w:val="22"/>
        </w:rPr>
        <w:t xml:space="preserve"> to 1.2 </w:t>
      </w:r>
      <w:proofErr w:type="spellStart"/>
      <w:r w:rsidRPr="00087061">
        <w:rPr>
          <w:iCs/>
          <w:sz w:val="22"/>
          <w:szCs w:val="22"/>
        </w:rPr>
        <w:t>μm</w:t>
      </w:r>
      <w:proofErr w:type="spellEnd"/>
      <w:r w:rsidRPr="00087061">
        <w:rPr>
          <w:iCs/>
          <w:sz w:val="22"/>
          <w:szCs w:val="22"/>
        </w:rPr>
        <w:t>).</w:t>
      </w:r>
      <w:r w:rsidR="00786294" w:rsidRPr="00087061">
        <w:rPr>
          <w:iCs/>
          <w:sz w:val="22"/>
          <w:szCs w:val="22"/>
        </w:rPr>
        <w:t xml:space="preserve"> </w:t>
      </w:r>
    </w:p>
    <w:p w14:paraId="40D92919" w14:textId="1965022E" w:rsidR="00961F02" w:rsidRPr="009E2783" w:rsidRDefault="00961F02" w:rsidP="00961F02">
      <w:pPr>
        <w:pStyle w:val="BMSBodyText"/>
        <w:numPr>
          <w:ilvl w:val="0"/>
          <w:numId w:val="42"/>
        </w:numPr>
        <w:spacing w:line="22" w:lineRule="atLeast"/>
        <w:rPr>
          <w:sz w:val="22"/>
          <w:szCs w:val="18"/>
        </w:rPr>
      </w:pPr>
      <w:r w:rsidRPr="009E2783">
        <w:rPr>
          <w:sz w:val="22"/>
          <w:szCs w:val="22"/>
        </w:rPr>
        <w:t>Do not administer by intravenous push or bolus injection.</w:t>
      </w:r>
    </w:p>
    <w:p w14:paraId="396E64C4" w14:textId="1062FEE4" w:rsidR="00961F02" w:rsidRPr="00964BAB" w:rsidRDefault="00961F02" w:rsidP="00E55F90">
      <w:pPr>
        <w:pStyle w:val="BMSBodyText"/>
        <w:numPr>
          <w:ilvl w:val="0"/>
          <w:numId w:val="42"/>
        </w:numPr>
        <w:spacing w:line="22" w:lineRule="atLeast"/>
        <w:rPr>
          <w:sz w:val="22"/>
          <w:szCs w:val="18"/>
        </w:rPr>
      </w:pPr>
      <w:r w:rsidRPr="00964BAB">
        <w:rPr>
          <w:sz w:val="22"/>
          <w:szCs w:val="18"/>
        </w:rPr>
        <w:t>Do not co-administer other medicinal products through the same infusion line.</w:t>
      </w:r>
    </w:p>
    <w:p w14:paraId="3ED02033" w14:textId="545AB800" w:rsidR="00786294" w:rsidRPr="00964BAB" w:rsidRDefault="00640762" w:rsidP="00786294">
      <w:pPr>
        <w:pStyle w:val="BMSBodyText"/>
        <w:numPr>
          <w:ilvl w:val="0"/>
          <w:numId w:val="37"/>
        </w:numPr>
        <w:ind w:left="426"/>
        <w:jc w:val="left"/>
        <w:rPr>
          <w:sz w:val="22"/>
          <w:szCs w:val="22"/>
        </w:rPr>
      </w:pPr>
      <w:r w:rsidRPr="00964BAB">
        <w:rPr>
          <w:iCs/>
          <w:sz w:val="22"/>
          <w:szCs w:val="22"/>
        </w:rPr>
        <w:t>F</w:t>
      </w:r>
      <w:r w:rsidR="00786294" w:rsidRPr="00964BAB">
        <w:rPr>
          <w:iCs/>
          <w:sz w:val="22"/>
          <w:szCs w:val="22"/>
        </w:rPr>
        <w:t xml:space="preserve">lush the </w:t>
      </w:r>
      <w:r w:rsidRPr="00964BAB">
        <w:rPr>
          <w:iCs/>
          <w:sz w:val="22"/>
          <w:szCs w:val="22"/>
        </w:rPr>
        <w:t xml:space="preserve">intravenous </w:t>
      </w:r>
      <w:r w:rsidR="00786294" w:rsidRPr="00964BAB">
        <w:rPr>
          <w:iCs/>
          <w:sz w:val="22"/>
          <w:szCs w:val="22"/>
        </w:rPr>
        <w:t xml:space="preserve">line </w:t>
      </w:r>
      <w:r w:rsidRPr="00964BAB">
        <w:rPr>
          <w:iCs/>
          <w:sz w:val="22"/>
          <w:szCs w:val="22"/>
        </w:rPr>
        <w:t>at the end of infusion</w:t>
      </w:r>
      <w:r w:rsidR="00786294" w:rsidRPr="00964BAB">
        <w:rPr>
          <w:sz w:val="22"/>
          <w:szCs w:val="22"/>
        </w:rPr>
        <w:t>.</w:t>
      </w:r>
    </w:p>
    <w:p w14:paraId="5DD28E6A" w14:textId="77777777" w:rsidR="00786294" w:rsidRPr="00964BAB" w:rsidRDefault="00786294" w:rsidP="00E55F90">
      <w:pPr>
        <w:pStyle w:val="BMSBodyText"/>
      </w:pPr>
    </w:p>
    <w:p w14:paraId="23A6E6AB" w14:textId="43A65177" w:rsidR="00B47E0D" w:rsidRPr="00964BAB" w:rsidRDefault="00112C28" w:rsidP="00E55F90">
      <w:r w:rsidRPr="00964BAB">
        <w:rPr>
          <w:rFonts w:cs="Times New Roman"/>
        </w:rPr>
        <w:t>OPDUALAG</w:t>
      </w:r>
      <w:r w:rsidR="00B47E0D" w:rsidRPr="00964BAB">
        <w:rPr>
          <w:rFonts w:cs="Times New Roman"/>
        </w:rPr>
        <w:t xml:space="preserve"> is compatible </w:t>
      </w:r>
      <w:r w:rsidR="00786294" w:rsidRPr="00964BAB">
        <w:rPr>
          <w:rFonts w:cs="Times New Roman"/>
        </w:rPr>
        <w:t xml:space="preserve">with </w:t>
      </w:r>
      <w:r w:rsidR="00B47E0D" w:rsidRPr="00964BAB">
        <w:rPr>
          <w:rFonts w:cs="Times New Roman"/>
        </w:rPr>
        <w:t xml:space="preserve">PVC infusion sets and in-line filters with </w:t>
      </w:r>
      <w:proofErr w:type="spellStart"/>
      <w:r w:rsidR="00B47E0D" w:rsidRPr="00964BAB">
        <w:rPr>
          <w:rFonts w:cs="Times New Roman"/>
        </w:rPr>
        <w:t>polyethersulfone</w:t>
      </w:r>
      <w:proofErr w:type="spellEnd"/>
      <w:r w:rsidR="00B47E0D" w:rsidRPr="00964BAB">
        <w:rPr>
          <w:rFonts w:cs="Times New Roman"/>
        </w:rPr>
        <w:t xml:space="preserve"> (PES), nylon, and polyvinylidene fluoride (PV</w:t>
      </w:r>
      <w:r w:rsidR="00B47E0D" w:rsidRPr="00964BAB">
        <w:t>DF) membranes.</w:t>
      </w:r>
    </w:p>
    <w:p w14:paraId="6126740B" w14:textId="77777777" w:rsidR="001A3992" w:rsidRPr="00964BAB" w:rsidRDefault="001A3992" w:rsidP="0083119C">
      <w:pPr>
        <w:pStyle w:val="Heading2"/>
      </w:pPr>
      <w:r w:rsidRPr="00964BAB">
        <w:t>Contraindications</w:t>
      </w:r>
    </w:p>
    <w:p w14:paraId="51AB619E" w14:textId="36CCD925" w:rsidR="0088369C" w:rsidRDefault="0088369C" w:rsidP="00EA48C0">
      <w:pPr>
        <w:rPr>
          <w:noProof/>
        </w:rPr>
      </w:pPr>
      <w:r w:rsidRPr="00964BAB">
        <w:rPr>
          <w:noProof/>
        </w:rPr>
        <w:t>Hypersensitivity to the active substances or any of the excipients listed in section 6.1.</w:t>
      </w:r>
    </w:p>
    <w:p w14:paraId="5BAFDE01" w14:textId="0749AFA0" w:rsidR="001A3992" w:rsidRDefault="00E74A56" w:rsidP="0083119C">
      <w:pPr>
        <w:pStyle w:val="Heading2"/>
      </w:pPr>
      <w:r w:rsidRPr="000A4651">
        <w:t>Special warnings and p</w:t>
      </w:r>
      <w:r w:rsidR="001A3992" w:rsidRPr="000A4651">
        <w:t xml:space="preserve">recautions </w:t>
      </w:r>
      <w:r w:rsidRPr="000A4651">
        <w:t>for use</w:t>
      </w:r>
    </w:p>
    <w:p w14:paraId="6FD112B7" w14:textId="77777777" w:rsidR="006745AA" w:rsidRPr="003067DE" w:rsidRDefault="006745AA" w:rsidP="003067DE">
      <w:pPr>
        <w:pStyle w:val="Heading3"/>
      </w:pPr>
      <w:r w:rsidRPr="003067DE">
        <w:t>Severe and fatal immune-related adverse reactions</w:t>
      </w:r>
    </w:p>
    <w:p w14:paraId="30E34C97" w14:textId="67B8AAC6" w:rsidR="00494A9F" w:rsidRPr="003859CF" w:rsidRDefault="00225A77" w:rsidP="00B124A4">
      <w:r w:rsidRPr="003067DE">
        <w:t>OPDUALAG can cause immune</w:t>
      </w:r>
      <w:r w:rsidR="00494A9F" w:rsidRPr="003067DE">
        <w:t>-related adverse reactions</w:t>
      </w:r>
      <w:r w:rsidR="00996720" w:rsidRPr="003067DE">
        <w:t xml:space="preserve">, which can be severe or fatal, </w:t>
      </w:r>
      <w:r w:rsidR="00D34CFE" w:rsidRPr="003067DE">
        <w:t xml:space="preserve">and </w:t>
      </w:r>
      <w:r w:rsidR="00996720" w:rsidRPr="003067DE">
        <w:t>can occur in any organ system or tissue</w:t>
      </w:r>
      <w:r w:rsidR="00B124A4" w:rsidRPr="003067DE">
        <w:t xml:space="preserve">. </w:t>
      </w:r>
      <w:r w:rsidR="00494A9F" w:rsidRPr="003067DE">
        <w:t>Immune-related adverse reactions affecting more than one system</w:t>
      </w:r>
      <w:r w:rsidR="005A30DE" w:rsidRPr="003067DE">
        <w:t>/tissue</w:t>
      </w:r>
      <w:r w:rsidR="00494A9F" w:rsidRPr="003067DE">
        <w:t xml:space="preserve"> can occur simultaneously</w:t>
      </w:r>
      <w:r w:rsidR="00526A45" w:rsidRPr="003067DE">
        <w:t>.</w:t>
      </w:r>
      <w:r w:rsidR="005A30DE" w:rsidRPr="003067DE">
        <w:t xml:space="preserve"> M</w:t>
      </w:r>
      <w:r w:rsidR="00D34CFE" w:rsidRPr="003067DE">
        <w:t xml:space="preserve">ost </w:t>
      </w:r>
      <w:r w:rsidR="005A30DE" w:rsidRPr="003067DE">
        <w:t>immune-related adverse reactions</w:t>
      </w:r>
      <w:r w:rsidR="00D34CFE" w:rsidRPr="003067DE">
        <w:t xml:space="preserve"> manifest during treatment, </w:t>
      </w:r>
      <w:r w:rsidR="005A30DE" w:rsidRPr="003067DE">
        <w:t>however, patients should continue to be monitored for a minimum of 5 months after the last dose, as an immune-</w:t>
      </w:r>
      <w:r w:rsidR="005A30DE" w:rsidRPr="003859CF">
        <w:t>related adverse reaction to OPDUALAG may occur at any time during or after discontinuation of therapy.</w:t>
      </w:r>
    </w:p>
    <w:p w14:paraId="136F64C2" w14:textId="2304F138" w:rsidR="005A30DE" w:rsidRPr="003859CF" w:rsidRDefault="00996720" w:rsidP="005A30DE">
      <w:r w:rsidRPr="003859CF">
        <w:t xml:space="preserve">Early identification and management of </w:t>
      </w:r>
      <w:r w:rsidR="005A30DE" w:rsidRPr="003859CF">
        <w:t>immune-related adverse reactions</w:t>
      </w:r>
      <w:r w:rsidRPr="003859CF">
        <w:t xml:space="preserve"> are essential to </w:t>
      </w:r>
      <w:r w:rsidR="00D34CFE" w:rsidRPr="003859CF">
        <w:t>minimise risk</w:t>
      </w:r>
      <w:r w:rsidRPr="003859CF">
        <w:t>. Monitor patients</w:t>
      </w:r>
      <w:r w:rsidR="00D34CFE" w:rsidRPr="003859CF">
        <w:t xml:space="preserve"> </w:t>
      </w:r>
      <w:r w:rsidRPr="003859CF">
        <w:t xml:space="preserve">closely for symptoms and signs that may be clinical manifestations of underlying </w:t>
      </w:r>
      <w:r w:rsidR="005A30DE" w:rsidRPr="003859CF">
        <w:t>immune-related adverse reactions</w:t>
      </w:r>
      <w:r w:rsidRPr="003859CF">
        <w:t>. Evaluate</w:t>
      </w:r>
      <w:r w:rsidR="00D34CFE" w:rsidRPr="003859CF">
        <w:t xml:space="preserve"> </w:t>
      </w:r>
      <w:r w:rsidR="00266329" w:rsidRPr="003859CF">
        <w:t>hepatic</w:t>
      </w:r>
      <w:r w:rsidRPr="003859CF">
        <w:t xml:space="preserve"> enzymes, creatinine,</w:t>
      </w:r>
      <w:r w:rsidR="00696827" w:rsidRPr="003859CF">
        <w:t xml:space="preserve"> serum glucose,</w:t>
      </w:r>
      <w:r w:rsidRPr="003859CF">
        <w:t xml:space="preserve"> and thyroid function at baseline and periodically during treatment. </w:t>
      </w:r>
      <w:r w:rsidR="00266329" w:rsidRPr="003859CF">
        <w:t>Where an</w:t>
      </w:r>
      <w:r w:rsidRPr="003859CF">
        <w:t xml:space="preserve"> </w:t>
      </w:r>
      <w:r w:rsidR="005A30DE" w:rsidRPr="003859CF">
        <w:t>immune-related adverse reaction</w:t>
      </w:r>
      <w:r w:rsidR="00266329" w:rsidRPr="003859CF">
        <w:t xml:space="preserve"> is suspected</w:t>
      </w:r>
      <w:r w:rsidRPr="003859CF">
        <w:t xml:space="preserve">, </w:t>
      </w:r>
      <w:r w:rsidR="005A30DE" w:rsidRPr="003859CF">
        <w:t xml:space="preserve">conduct </w:t>
      </w:r>
      <w:r w:rsidR="00266329" w:rsidRPr="003859CF">
        <w:t>investigations</w:t>
      </w:r>
      <w:r w:rsidRPr="003859CF">
        <w:t xml:space="preserve"> to exclude alternative </w:t>
      </w:r>
      <w:r w:rsidR="00D34CFE" w:rsidRPr="003859CF">
        <w:t>a</w:t>
      </w:r>
      <w:r w:rsidRPr="003859CF">
        <w:t>etiologies, including</w:t>
      </w:r>
      <w:r w:rsidR="00D34CFE" w:rsidRPr="003859CF">
        <w:t xml:space="preserve"> </w:t>
      </w:r>
      <w:r w:rsidRPr="003859CF">
        <w:t>infection. Institute medical management promptly, including special</w:t>
      </w:r>
      <w:r w:rsidR="005A0C23" w:rsidRPr="003859CF">
        <w:t>ist</w:t>
      </w:r>
      <w:r w:rsidRPr="003859CF">
        <w:t xml:space="preserve"> consultation as appropriate.</w:t>
      </w:r>
      <w:r w:rsidR="005A0C23" w:rsidRPr="003859CF">
        <w:t xml:space="preserve"> </w:t>
      </w:r>
      <w:r w:rsidR="00D10402" w:rsidRPr="003859CF">
        <w:t>Withhold or discontinue OPDUALAG b</w:t>
      </w:r>
      <w:r w:rsidR="00526A45" w:rsidRPr="003859CF">
        <w:t xml:space="preserve">ased on the severity of </w:t>
      </w:r>
      <w:r w:rsidR="00DD1B94" w:rsidRPr="003859CF">
        <w:t>a reaction</w:t>
      </w:r>
      <w:r w:rsidR="00D10402" w:rsidRPr="003859CF">
        <w:t xml:space="preserve"> (see section 4.2 Dose and method of administration)</w:t>
      </w:r>
      <w:r w:rsidR="00526A45" w:rsidRPr="003859CF">
        <w:t xml:space="preserve">. </w:t>
      </w:r>
      <w:r w:rsidR="00D10402" w:rsidRPr="003859CF">
        <w:t>In general, if OPDUALAG requires interruption or discontinuation</w:t>
      </w:r>
      <w:r w:rsidR="00DD1B94" w:rsidRPr="003859CF">
        <w:t xml:space="preserve"> for an </w:t>
      </w:r>
      <w:r w:rsidR="005A30DE" w:rsidRPr="003859CF">
        <w:t>immune-related adverse reaction</w:t>
      </w:r>
      <w:r w:rsidR="00D10402" w:rsidRPr="003859CF">
        <w:t xml:space="preserve">, </w:t>
      </w:r>
      <w:r w:rsidR="003C7ABE" w:rsidRPr="003859CF">
        <w:t>commence</w:t>
      </w:r>
      <w:r w:rsidR="00D10402" w:rsidRPr="003859CF">
        <w:t xml:space="preserve"> systemic corticosteroid therapy (1 to 2 mg/kg/day prednisone or equivalent). Upon improvement to Grade 1 or less, initiate corticosteroid taper and continue to taper over at least 1 month to avoid rebound/recurrence. Consider other systemic immunosuppressants </w:t>
      </w:r>
      <w:r w:rsidR="003C7ABE" w:rsidRPr="003859CF">
        <w:t>if there is worsening or no improvement despite corticosteroid use.</w:t>
      </w:r>
      <w:r w:rsidR="00DD1B94" w:rsidRPr="003859CF">
        <w:t xml:space="preserve"> </w:t>
      </w:r>
      <w:r w:rsidR="005A30DE" w:rsidRPr="003859CF">
        <w:t xml:space="preserve">Do not resume OPDUALAG, and consider antibiotic prophylaxis to prevent opportunistic infection, while the patient is receiving immunosuppressive doses of corticosteroids or other immunosuppressive therapy. </w:t>
      </w:r>
    </w:p>
    <w:p w14:paraId="0259CC06" w14:textId="6EDA0500" w:rsidR="000E2A6E" w:rsidRPr="00494A9F" w:rsidRDefault="005A30DE" w:rsidP="000E2A6E">
      <w:r w:rsidRPr="003859CF">
        <w:t>Management guidelines for some specific immune-related adverse reactions (some of which may not require systemic steroids) are discussed below.</w:t>
      </w:r>
    </w:p>
    <w:p w14:paraId="7E4E9BA2" w14:textId="77777777" w:rsidR="0018172E" w:rsidRPr="004E0F60" w:rsidRDefault="0018172E" w:rsidP="009E2783">
      <w:pPr>
        <w:pStyle w:val="Heading4"/>
        <w:rPr>
          <w:rFonts w:hint="eastAsia"/>
        </w:rPr>
      </w:pPr>
      <w:r w:rsidRPr="004E0F60">
        <w:t>Immune</w:t>
      </w:r>
      <w:r w:rsidRPr="004E0F60">
        <w:noBreakHyphen/>
        <w:t>related pneumonitis</w:t>
      </w:r>
    </w:p>
    <w:p w14:paraId="28B59010" w14:textId="00429976" w:rsidR="0018172E" w:rsidRPr="004E0F60" w:rsidRDefault="005A0C23" w:rsidP="00F817D0">
      <w:pPr>
        <w:spacing w:after="120"/>
      </w:pPr>
      <w:r w:rsidRPr="00386E53">
        <w:t xml:space="preserve">OPDUALAG can cause immune-related </w:t>
      </w:r>
      <w:r w:rsidR="00F817D0" w:rsidRPr="00386E53">
        <w:t xml:space="preserve">pneumonitis </w:t>
      </w:r>
      <w:r w:rsidRPr="00386E53">
        <w:t>(</w:t>
      </w:r>
      <w:r w:rsidR="00F817D0" w:rsidRPr="00386E53">
        <w:t>interstitial lung disease</w:t>
      </w:r>
      <w:r w:rsidRPr="00386E53">
        <w:t>)</w:t>
      </w:r>
      <w:r w:rsidR="00F817D0" w:rsidRPr="00386E53">
        <w:t xml:space="preserve">, </w:t>
      </w:r>
      <w:r w:rsidRPr="00386E53">
        <w:t xml:space="preserve">and </w:t>
      </w:r>
      <w:r w:rsidR="00F76B53" w:rsidRPr="00386E53">
        <w:t xml:space="preserve">a </w:t>
      </w:r>
      <w:r w:rsidR="00F817D0" w:rsidRPr="00386E53">
        <w:t>fatal case</w:t>
      </w:r>
      <w:r w:rsidRPr="00386E53">
        <w:t xml:space="preserve"> occurred in clinical studies </w:t>
      </w:r>
      <w:r w:rsidR="00F817D0" w:rsidRPr="00386E53">
        <w:t>(see section 4.8</w:t>
      </w:r>
      <w:r w:rsidR="00DC2FD8" w:rsidRPr="00386E53">
        <w:t xml:space="preserve"> Adver</w:t>
      </w:r>
      <w:r w:rsidR="00546634" w:rsidRPr="00386E53">
        <w:t>se effects</w:t>
      </w:r>
      <w:r w:rsidR="00F817D0" w:rsidRPr="00386E53">
        <w:t xml:space="preserve">). </w:t>
      </w:r>
      <w:r w:rsidR="00523567" w:rsidRPr="00386E53">
        <w:t xml:space="preserve">Withhold or permanently discontinue OPDUALAG based on severity (see Table 1 in section 4.2 Dose and method of administration). </w:t>
      </w:r>
      <w:r w:rsidR="00F817D0" w:rsidRPr="00386E53">
        <w:t>For Grade 3 or 4 pneumonitis, corticosteroids should be initiated at a dose of 2 to 4 mg/kg/day methylprednisolone equivalents.</w:t>
      </w:r>
      <w:r w:rsidR="00E62454" w:rsidRPr="00386E53">
        <w:t xml:space="preserve"> </w:t>
      </w:r>
      <w:r w:rsidR="00F817D0" w:rsidRPr="00386E53">
        <w:t xml:space="preserve">For Grade 2 pneumonitis, corticosteroids </w:t>
      </w:r>
      <w:r w:rsidR="00077024" w:rsidRPr="00386E53">
        <w:t>may</w:t>
      </w:r>
      <w:r w:rsidR="00E62454" w:rsidRPr="00386E53">
        <w:t xml:space="preserve"> be </w:t>
      </w:r>
      <w:r w:rsidR="00F817D0" w:rsidRPr="00386E53">
        <w:t>initiated at a dose of 1 mg/kg/day methylprednisolone equivalent</w:t>
      </w:r>
      <w:r w:rsidR="00E62454" w:rsidRPr="00386E53">
        <w:t>s, and increased to 2 to 4 mg/kg/day methylprednisolone equivalents i</w:t>
      </w:r>
      <w:r w:rsidR="00F817D0" w:rsidRPr="00386E53">
        <w:t>f worsening or no improvement occurs</w:t>
      </w:r>
      <w:r w:rsidR="0018172E" w:rsidRPr="00386E53">
        <w:t xml:space="preserve">. </w:t>
      </w:r>
    </w:p>
    <w:p w14:paraId="04E4B93D" w14:textId="17F3B8C7" w:rsidR="001A3992" w:rsidRPr="000A4651" w:rsidRDefault="00752172" w:rsidP="009E2783">
      <w:pPr>
        <w:pStyle w:val="Heading4"/>
        <w:rPr>
          <w:rFonts w:hint="eastAsia"/>
        </w:rPr>
      </w:pPr>
      <w:r>
        <w:lastRenderedPageBreak/>
        <w:t>Immune-related colitis</w:t>
      </w:r>
    </w:p>
    <w:p w14:paraId="0E8674E1" w14:textId="16F8E808" w:rsidR="000A02E3" w:rsidRPr="00386E53" w:rsidRDefault="00135E24" w:rsidP="00135E24">
      <w:pPr>
        <w:spacing w:after="120"/>
      </w:pPr>
      <w:r w:rsidRPr="00386E53">
        <w:t>OPDUALAG can cause immune-related</w:t>
      </w:r>
      <w:r w:rsidR="000A02E3" w:rsidRPr="00386E53">
        <w:t xml:space="preserve"> colitis</w:t>
      </w:r>
      <w:r w:rsidRPr="00386E53">
        <w:t>,</w:t>
      </w:r>
      <w:r w:rsidR="00077024" w:rsidRPr="00386E53">
        <w:t xml:space="preserve"> </w:t>
      </w:r>
      <w:r w:rsidRPr="00386E53">
        <w:t>defined as requiring use of corticosteroids and with no clear alternate aetiology</w:t>
      </w:r>
      <w:r w:rsidR="000A02E3" w:rsidRPr="00386E53">
        <w:t xml:space="preserve"> (see section 4.8</w:t>
      </w:r>
      <w:r w:rsidR="00546634" w:rsidRPr="00386E53">
        <w:t xml:space="preserve"> Adverse effects</w:t>
      </w:r>
      <w:r w:rsidR="000A02E3" w:rsidRPr="00386E53">
        <w:t>).</w:t>
      </w:r>
      <w:r w:rsidR="00077024" w:rsidRPr="00386E53">
        <w:t xml:space="preserve"> </w:t>
      </w:r>
      <w:r w:rsidR="00523567" w:rsidRPr="00386E53">
        <w:t>Withhold or permanently discontinue OPDUALAG based on severity (see Table 1</w:t>
      </w:r>
      <w:r w:rsidR="005A0C23" w:rsidRPr="00386E53">
        <w:t>,</w:t>
      </w:r>
      <w:r w:rsidR="00523567" w:rsidRPr="00386E53">
        <w:t xml:space="preserve"> section 4.2 </w:t>
      </w:r>
      <w:proofErr w:type="gramStart"/>
      <w:r w:rsidR="00523567" w:rsidRPr="00386E53">
        <w:t>Dose</w:t>
      </w:r>
      <w:proofErr w:type="gramEnd"/>
      <w:r w:rsidR="00523567" w:rsidRPr="00386E53">
        <w:t xml:space="preserve"> and method of administration). </w:t>
      </w:r>
    </w:p>
    <w:p w14:paraId="6134A4E3" w14:textId="02C7541C" w:rsidR="00523567" w:rsidRDefault="00077024" w:rsidP="00077024">
      <w:pPr>
        <w:spacing w:after="120"/>
      </w:pPr>
      <w:r w:rsidRPr="00386E53">
        <w:t xml:space="preserve">For Grade 3 or 4 diarrhoea/colitis, corticosteroids should be initiated at a dose of 1 to 2 mg/kg/day methylprednisolone equivalents. For Grade 2 diarrhoea/colitis, corticosteroids may be initiated at a dose of 0.5 to 1 mg/kg/day methylprednisolone equivalents, and increased to 1 to 2 mg/kg/day methylprednisolone equivalents </w:t>
      </w:r>
      <w:r w:rsidR="00523567" w:rsidRPr="00386E53">
        <w:t>if worsening or no improvement occurs.</w:t>
      </w:r>
      <w:r w:rsidR="00523567" w:rsidRPr="004E0F60">
        <w:t xml:space="preserve"> </w:t>
      </w:r>
    </w:p>
    <w:p w14:paraId="3785A293" w14:textId="16A55EDB" w:rsidR="00077024" w:rsidRPr="004E0F60" w:rsidRDefault="00523567" w:rsidP="00077024">
      <w:pPr>
        <w:spacing w:after="120"/>
      </w:pPr>
      <w:r w:rsidRPr="007A61E4">
        <w:t>Where immune-related colitis appears to be corticosteroid-refractory, consider repeating investigations for infectious diseases including cytomegalovirus (CMV) infection/reactivation. If diagnosis of corticosteroid-refractory immune-related colitis is confirmed, consider alternative immunosuppressive therapy.</w:t>
      </w:r>
    </w:p>
    <w:p w14:paraId="2BF36467" w14:textId="10D6E290" w:rsidR="00752172" w:rsidRPr="007A61E4" w:rsidRDefault="00752172" w:rsidP="009E2783">
      <w:pPr>
        <w:pStyle w:val="Heading4"/>
        <w:rPr>
          <w:rFonts w:hint="eastAsia"/>
        </w:rPr>
      </w:pPr>
      <w:r w:rsidRPr="007A61E4">
        <w:t xml:space="preserve">Immune-related </w:t>
      </w:r>
      <w:r w:rsidR="00FE3400" w:rsidRPr="007A61E4">
        <w:t>hepatitis</w:t>
      </w:r>
    </w:p>
    <w:p w14:paraId="72C9D888" w14:textId="0692C828" w:rsidR="001D6010" w:rsidRPr="007A61E4" w:rsidRDefault="00077024" w:rsidP="001D6010">
      <w:pPr>
        <w:spacing w:after="120"/>
      </w:pPr>
      <w:r w:rsidRPr="007A61E4">
        <w:t xml:space="preserve">OPDUALAG can cause immune-related </w:t>
      </w:r>
      <w:r w:rsidR="001D6010" w:rsidRPr="007A61E4">
        <w:t>hepatitis</w:t>
      </w:r>
      <w:r w:rsidR="00127E19" w:rsidRPr="007A61E4">
        <w:t>, defined as requiring use of corticosteroids and with no clear alternate aetiology</w:t>
      </w:r>
      <w:r w:rsidR="001D6010" w:rsidRPr="007A61E4">
        <w:t xml:space="preserve"> (see section 4.8</w:t>
      </w:r>
      <w:r w:rsidR="00546634" w:rsidRPr="007A61E4">
        <w:t xml:space="preserve"> Adverse effects</w:t>
      </w:r>
      <w:r w:rsidR="001D6010" w:rsidRPr="007A61E4">
        <w:t xml:space="preserve">). </w:t>
      </w:r>
      <w:r w:rsidR="00523567" w:rsidRPr="007A61E4">
        <w:t>Withhold or permanently discontinue OPDUALAG based on severity (see Table 1</w:t>
      </w:r>
      <w:r w:rsidR="005A0C23" w:rsidRPr="007A61E4">
        <w:t>,</w:t>
      </w:r>
      <w:r w:rsidR="00523567" w:rsidRPr="007A61E4">
        <w:t xml:space="preserve"> section 4.2 </w:t>
      </w:r>
      <w:proofErr w:type="gramStart"/>
      <w:r w:rsidR="00523567" w:rsidRPr="007A61E4">
        <w:t>Dose</w:t>
      </w:r>
      <w:proofErr w:type="gramEnd"/>
      <w:r w:rsidR="00523567" w:rsidRPr="007A61E4">
        <w:t xml:space="preserve"> and method of administration). </w:t>
      </w:r>
    </w:p>
    <w:p w14:paraId="1377A86B" w14:textId="4B250A07" w:rsidR="00127E19" w:rsidRPr="004E0F60" w:rsidRDefault="00127E19" w:rsidP="00127E19">
      <w:pPr>
        <w:spacing w:after="120"/>
      </w:pPr>
      <w:r w:rsidRPr="007A61E4">
        <w:t xml:space="preserve">For AST or ALT increases to more than 5 times </w:t>
      </w:r>
      <w:r w:rsidR="00523567" w:rsidRPr="007A61E4">
        <w:t>the upper limit of normal (</w:t>
      </w:r>
      <w:r w:rsidRPr="007A61E4">
        <w:t>ULN</w:t>
      </w:r>
      <w:r w:rsidR="00523567" w:rsidRPr="007A61E4">
        <w:t xml:space="preserve">), </w:t>
      </w:r>
      <w:r w:rsidRPr="007A61E4">
        <w:t xml:space="preserve">regardless of baseline, </w:t>
      </w:r>
      <w:r w:rsidR="00523567" w:rsidRPr="007A61E4">
        <w:t xml:space="preserve">or for </w:t>
      </w:r>
      <w:r w:rsidRPr="007A61E4">
        <w:t xml:space="preserve">total bilirubin increases to more than 3 times ULN, or </w:t>
      </w:r>
      <w:r w:rsidR="00523567" w:rsidRPr="007A61E4">
        <w:t>for</w:t>
      </w:r>
      <w:r w:rsidRPr="007A61E4">
        <w:t xml:space="preserve"> AST or ALT increase to more than 3 times ULN </w:t>
      </w:r>
      <w:r w:rsidR="00523567" w:rsidRPr="007A61E4">
        <w:t>with concurrent</w:t>
      </w:r>
      <w:r w:rsidRPr="007A61E4">
        <w:t xml:space="preserve"> total bilirubin increase to more than 2 times ULN, corticosteroids should be initiated at a dose of 1 to 2 mg/kg/day methylprednisolone equivalents. For AST/ALT increases to more than 3 </w:t>
      </w:r>
      <w:r w:rsidR="00523567" w:rsidRPr="007A61E4">
        <w:t>but not more than</w:t>
      </w:r>
      <w:r w:rsidRPr="007A61E4">
        <w:t xml:space="preserve"> 5 times ULN, or total bilirubin increases to more than 1.5 </w:t>
      </w:r>
      <w:r w:rsidR="00523567" w:rsidRPr="007A61E4">
        <w:t>but not more than</w:t>
      </w:r>
      <w:r w:rsidRPr="007A61E4">
        <w:t xml:space="preserve"> 3 times ULN, corticosteroids may be initiated at a dose of 0.5 to 1 mg/kg/day methylprednisolone equivalents, and increased to 1 to 2 mg/kg/day methylprednisolone equivalents if </w:t>
      </w:r>
      <w:r w:rsidR="00523567" w:rsidRPr="007A61E4">
        <w:t xml:space="preserve">liver function is </w:t>
      </w:r>
      <w:r w:rsidRPr="007A61E4">
        <w:t xml:space="preserve">worsening or no improvement occurs. </w:t>
      </w:r>
    </w:p>
    <w:p w14:paraId="71669518" w14:textId="1D9FA9CF" w:rsidR="00752172" w:rsidRPr="007A61E4" w:rsidRDefault="00752172" w:rsidP="009E2783">
      <w:pPr>
        <w:pStyle w:val="Heading4"/>
        <w:rPr>
          <w:rFonts w:hint="eastAsia"/>
        </w:rPr>
      </w:pPr>
      <w:r w:rsidRPr="007A61E4">
        <w:t xml:space="preserve">Immune-related </w:t>
      </w:r>
      <w:r w:rsidR="009D624D" w:rsidRPr="007A61E4">
        <w:t xml:space="preserve">nephritis </w:t>
      </w:r>
      <w:r w:rsidR="00127E19" w:rsidRPr="007A61E4">
        <w:t xml:space="preserve">with </w:t>
      </w:r>
      <w:r w:rsidR="009D624D" w:rsidRPr="007A61E4">
        <w:t>renal dysfunction</w:t>
      </w:r>
    </w:p>
    <w:p w14:paraId="5233133E" w14:textId="3D0103D6" w:rsidR="00813B18" w:rsidRPr="007A61E4" w:rsidRDefault="00127E19" w:rsidP="00813B18">
      <w:pPr>
        <w:spacing w:after="120"/>
      </w:pPr>
      <w:r w:rsidRPr="007A61E4">
        <w:t xml:space="preserve">OPDUALAG can cause immune-related </w:t>
      </w:r>
      <w:r w:rsidR="00813B18" w:rsidRPr="007A61E4">
        <w:t xml:space="preserve">nephritis </w:t>
      </w:r>
      <w:r w:rsidR="00523567" w:rsidRPr="007A61E4">
        <w:t xml:space="preserve">with </w:t>
      </w:r>
      <w:r w:rsidR="00813B18" w:rsidRPr="007A61E4">
        <w:t>renal dysfunction</w:t>
      </w:r>
      <w:r w:rsidR="00523567" w:rsidRPr="007A61E4">
        <w:t>, defined as requiring use of corticosteroids and with no clear alternate aetiology</w:t>
      </w:r>
      <w:r w:rsidR="00813B18" w:rsidRPr="007A61E4">
        <w:t xml:space="preserve"> (see section 4.8</w:t>
      </w:r>
      <w:r w:rsidR="00546634" w:rsidRPr="007A61E4">
        <w:t xml:space="preserve"> Adverse effects</w:t>
      </w:r>
      <w:r w:rsidR="00813B18" w:rsidRPr="007A61E4">
        <w:t xml:space="preserve">). </w:t>
      </w:r>
      <w:r w:rsidR="00523567" w:rsidRPr="007A61E4">
        <w:t>Withhold or permanently discontinue OPDUALAG based on severity (see Table 1</w:t>
      </w:r>
      <w:r w:rsidR="00715A81" w:rsidRPr="007A61E4">
        <w:t>,</w:t>
      </w:r>
      <w:r w:rsidR="00523567" w:rsidRPr="007A61E4">
        <w:t xml:space="preserve"> section 4.2 </w:t>
      </w:r>
      <w:proofErr w:type="gramStart"/>
      <w:r w:rsidR="00523567" w:rsidRPr="007A61E4">
        <w:t>Dose</w:t>
      </w:r>
      <w:proofErr w:type="gramEnd"/>
      <w:r w:rsidR="00523567" w:rsidRPr="007A61E4">
        <w:t xml:space="preserve"> and method of administration). </w:t>
      </w:r>
    </w:p>
    <w:p w14:paraId="2E6145E6" w14:textId="5E5B248A" w:rsidR="009D624D" w:rsidRPr="00813B18" w:rsidRDefault="00813B18" w:rsidP="00813B18">
      <w:pPr>
        <w:spacing w:after="120"/>
      </w:pPr>
      <w:r w:rsidRPr="007A61E4">
        <w:t>For Grade 4 serum creatinine elevation, corticosteroids should be initiated at a dose of 1 to 2 mg/kg/day methylprednisolone equivalents.</w:t>
      </w:r>
      <w:r w:rsidR="00523567" w:rsidRPr="007A61E4">
        <w:t xml:space="preserve"> </w:t>
      </w:r>
      <w:r w:rsidRPr="007A61E4">
        <w:t xml:space="preserve">For Grade 2 or 3 serum creatinine elevation, corticosteroids </w:t>
      </w:r>
      <w:r w:rsidR="00523567" w:rsidRPr="007A61E4">
        <w:t xml:space="preserve">may </w:t>
      </w:r>
      <w:r w:rsidRPr="007A61E4">
        <w:t>be initiated at a dose of 0.5 to 1 mg/kg/day methylprednisolone equivalents</w:t>
      </w:r>
      <w:r w:rsidR="00523567" w:rsidRPr="007A61E4">
        <w:t xml:space="preserve">, and </w:t>
      </w:r>
      <w:r w:rsidRPr="007A61E4">
        <w:t>increased to 1 to 2 mg/kg/day methylprednisolone equivalents</w:t>
      </w:r>
      <w:r w:rsidR="00696827" w:rsidRPr="007A61E4">
        <w:t xml:space="preserve"> if worsening or no improvement occurs. </w:t>
      </w:r>
    </w:p>
    <w:p w14:paraId="3EC28898" w14:textId="6D0D8AA3" w:rsidR="00450E1A" w:rsidRPr="009A0B0F" w:rsidRDefault="00450E1A" w:rsidP="009E2783">
      <w:pPr>
        <w:pStyle w:val="Heading4"/>
        <w:rPr>
          <w:rFonts w:hint="eastAsia"/>
        </w:rPr>
      </w:pPr>
      <w:r w:rsidRPr="009A0B0F">
        <w:t xml:space="preserve">Immune-related </w:t>
      </w:r>
      <w:r w:rsidR="00D7672F" w:rsidRPr="00B64095">
        <w:t>endocrinopathies</w:t>
      </w:r>
    </w:p>
    <w:p w14:paraId="01ECD9C1" w14:textId="157F2B49" w:rsidR="0091779A" w:rsidRDefault="00696827" w:rsidP="00CE6CD3">
      <w:pPr>
        <w:spacing w:after="120"/>
      </w:pPr>
      <w:r>
        <w:t>OPDUALAG can cause immune-related</w:t>
      </w:r>
      <w:r w:rsidRPr="005A1381">
        <w:t xml:space="preserve"> </w:t>
      </w:r>
      <w:r w:rsidR="005D46BD" w:rsidRPr="005A1381">
        <w:t>endocrinopathies</w:t>
      </w:r>
      <w:r w:rsidR="00A2687D">
        <w:t xml:space="preserve"> </w:t>
      </w:r>
      <w:r w:rsidR="005D46BD" w:rsidRPr="005A1381">
        <w:t xml:space="preserve">including </w:t>
      </w:r>
      <w:r w:rsidR="000150C8">
        <w:t xml:space="preserve">thyroiditis, </w:t>
      </w:r>
      <w:r w:rsidR="005D46BD" w:rsidRPr="005A1381">
        <w:t>hypothyroidism</w:t>
      </w:r>
      <w:r w:rsidR="00D22FB0">
        <w:t>,</w:t>
      </w:r>
      <w:r w:rsidR="000150C8">
        <w:t xml:space="preserve"> </w:t>
      </w:r>
      <w:r w:rsidR="005D46BD" w:rsidRPr="005A1381">
        <w:t>hyperthyroidism, adrenal insufficiency</w:t>
      </w:r>
      <w:r w:rsidR="00D22FB0">
        <w:t xml:space="preserve"> (primary or secondary)</w:t>
      </w:r>
      <w:r w:rsidR="005D46BD" w:rsidRPr="005A1381">
        <w:t xml:space="preserve">, </w:t>
      </w:r>
      <w:proofErr w:type="spellStart"/>
      <w:r w:rsidR="005D46BD" w:rsidRPr="005A1381">
        <w:t>hypophysitis</w:t>
      </w:r>
      <w:proofErr w:type="spellEnd"/>
      <w:r w:rsidR="005D46BD">
        <w:t xml:space="preserve"> </w:t>
      </w:r>
      <w:r w:rsidR="00D22FB0">
        <w:t>with or without</w:t>
      </w:r>
      <w:r>
        <w:t xml:space="preserve"> hypopituitarism, </w:t>
      </w:r>
      <w:r w:rsidR="00C43509">
        <w:t>and</w:t>
      </w:r>
      <w:r w:rsidR="005D46BD" w:rsidRPr="005A1381">
        <w:t xml:space="preserve"> diabetes mellitus</w:t>
      </w:r>
      <w:r>
        <w:t xml:space="preserve"> with the potential for</w:t>
      </w:r>
      <w:r w:rsidR="005D46BD" w:rsidRPr="005A1381">
        <w:t xml:space="preserve"> </w:t>
      </w:r>
      <w:r w:rsidR="005D46BD" w:rsidRPr="00AA226C">
        <w:t>diabetic ketoacidosis (see</w:t>
      </w:r>
      <w:r w:rsidR="005D46BD" w:rsidRPr="005A1381">
        <w:t xml:space="preserve"> section 4.8</w:t>
      </w:r>
      <w:r w:rsidR="00546634">
        <w:t xml:space="preserve"> Adverse effects</w:t>
      </w:r>
      <w:r w:rsidR="005D46BD" w:rsidRPr="005A1381">
        <w:t>).</w:t>
      </w:r>
      <w:r w:rsidR="00A2687D" w:rsidRPr="00A2687D">
        <w:t xml:space="preserve"> </w:t>
      </w:r>
      <w:r w:rsidR="00DA5D82" w:rsidRPr="005C6DE4">
        <w:t>Patients may present with fatigue, headache, mental status changes, abdominal pain, unusual bowel habits, and hypotension, or nonspecific symptoms which may resemble other causes such as brain metastasis or underlying disease.</w:t>
      </w:r>
    </w:p>
    <w:p w14:paraId="56494C87" w14:textId="26901E73" w:rsidR="00CE6CD3" w:rsidRDefault="00CE6CD3" w:rsidP="00CE6CD3">
      <w:pPr>
        <w:spacing w:after="120"/>
      </w:pPr>
      <w:r w:rsidRPr="005C6DE4">
        <w:t xml:space="preserve">Unless an alternate </w:t>
      </w:r>
      <w:r>
        <w:t>a</w:t>
      </w:r>
      <w:r w:rsidRPr="005C6DE4">
        <w:t>etiology has been identified, signs or symptoms of endocrinopathies shoul</w:t>
      </w:r>
      <w:r>
        <w:t>d be considered immune-related. Withhold or permanently discontinue OPDUALAG based on severity (see Table 1 in section 4.2 D</w:t>
      </w:r>
      <w:r w:rsidRPr="00D10402">
        <w:t>ose and method of administration</w:t>
      </w:r>
      <w:r>
        <w:t xml:space="preserve">). </w:t>
      </w:r>
    </w:p>
    <w:p w14:paraId="316B84F8" w14:textId="77777777" w:rsidR="002946A1" w:rsidRPr="005A1381" w:rsidRDefault="002946A1" w:rsidP="002946A1">
      <w:pPr>
        <w:spacing w:after="120"/>
      </w:pPr>
      <w:r w:rsidRPr="00BA5EB4">
        <w:t xml:space="preserve">For symptomatic hypothyroidism, </w:t>
      </w:r>
      <w:r>
        <w:t>OPDUALAG</w:t>
      </w:r>
      <w:r w:rsidRPr="00774AE7">
        <w:t xml:space="preserve"> </w:t>
      </w:r>
      <w:r w:rsidRPr="00BA5EB4">
        <w:t xml:space="preserve">should be withheld, and thyroid hormone replacement should be initiated as needed. For symptomatic hyperthyroidism, </w:t>
      </w:r>
      <w:r>
        <w:t xml:space="preserve">OPDUALAG </w:t>
      </w:r>
      <w:r w:rsidRPr="00BA5EB4">
        <w:t xml:space="preserve">should be withheld and </w:t>
      </w:r>
      <w:r>
        <w:t xml:space="preserve">antithyroid medication </w:t>
      </w:r>
      <w:r w:rsidRPr="00BA5EB4">
        <w:t xml:space="preserve">should be initiated as needed. Corticosteroids at a dose of 1 to 2 mg/kg/day </w:t>
      </w:r>
      <w:r w:rsidRPr="00BA5EB4">
        <w:lastRenderedPageBreak/>
        <w:t>methylprednisolone equivalents should also be considered if acute inflammation of the thyroid is suspected. Upon improvement</w:t>
      </w:r>
      <w:r>
        <w:t>, OPDUALAG</w:t>
      </w:r>
      <w:r w:rsidRPr="00774AE7">
        <w:t xml:space="preserve"> </w:t>
      </w:r>
      <w:r w:rsidRPr="00BA5EB4">
        <w:t xml:space="preserve">may be resumed after corticosteroid taper, if needed. </w:t>
      </w:r>
      <w:r w:rsidRPr="005A1381">
        <w:t xml:space="preserve">Monitoring of thyroid function should continue to ensure appropriate hormone replacement is utilised. </w:t>
      </w:r>
      <w:r>
        <w:t>OPDUALAG</w:t>
      </w:r>
      <w:r w:rsidRPr="00774AE7">
        <w:t xml:space="preserve"> </w:t>
      </w:r>
      <w:r w:rsidRPr="005A1381">
        <w:t>must be permanently discontinued for life-threatening</w:t>
      </w:r>
      <w:r>
        <w:t xml:space="preserve"> (Grade 4)</w:t>
      </w:r>
      <w:r w:rsidRPr="005A1381">
        <w:t xml:space="preserve"> hyp</w:t>
      </w:r>
      <w:r>
        <w:t>erthyroidism or hypothyroidism.</w:t>
      </w:r>
    </w:p>
    <w:p w14:paraId="04D8EAAD" w14:textId="77777777" w:rsidR="002946A1" w:rsidRPr="005A1381" w:rsidRDefault="002946A1" w:rsidP="002946A1">
      <w:pPr>
        <w:spacing w:after="120"/>
      </w:pPr>
      <w:r>
        <w:t>OPDUALAG</w:t>
      </w:r>
      <w:r w:rsidRPr="00774AE7">
        <w:t xml:space="preserve"> </w:t>
      </w:r>
      <w:r w:rsidRPr="005A1381">
        <w:t>must be permanently discontinued for severe (Grade 3) or life-threatening (Grade 4) adrenal insufficiency. For symptomatic</w:t>
      </w:r>
      <w:r>
        <w:t xml:space="preserve"> </w:t>
      </w:r>
      <w:r w:rsidRPr="005A1381">
        <w:t>Grade</w:t>
      </w:r>
      <w:r>
        <w:t> </w:t>
      </w:r>
      <w:r w:rsidRPr="005A1381">
        <w:t>2</w:t>
      </w:r>
      <w:r>
        <w:t> </w:t>
      </w:r>
      <w:r w:rsidRPr="005A1381">
        <w:t xml:space="preserve">adrenal insufficiency, </w:t>
      </w:r>
      <w:r>
        <w:t>OPDUALAG</w:t>
      </w:r>
      <w:r w:rsidRPr="00774AE7">
        <w:t xml:space="preserve"> </w:t>
      </w:r>
      <w:r w:rsidRPr="005A1381">
        <w:t>should be withheld, and physiologic corticosteroid replacement should be initiated as needed. Monitoring of adrenal function and hormone levels should continue to ensure appropriate corticosteroid replacement is utilised.</w:t>
      </w:r>
      <w:r>
        <w:t xml:space="preserve"> </w:t>
      </w:r>
    </w:p>
    <w:p w14:paraId="10AF9464" w14:textId="63BDF082" w:rsidR="002946A1" w:rsidRPr="005A1381" w:rsidRDefault="002946A1" w:rsidP="002946A1">
      <w:pPr>
        <w:spacing w:after="120"/>
      </w:pPr>
      <w:r>
        <w:t>OPDUALAG</w:t>
      </w:r>
      <w:r w:rsidRPr="00774AE7">
        <w:t xml:space="preserve"> </w:t>
      </w:r>
      <w:r w:rsidRPr="005A1381">
        <w:t xml:space="preserve">must be permanently discontinued for life-threatening (Grade 4) </w:t>
      </w:r>
      <w:proofErr w:type="spellStart"/>
      <w:r w:rsidRPr="005A1381">
        <w:t>hypophysitis</w:t>
      </w:r>
      <w:proofErr w:type="spellEnd"/>
      <w:r w:rsidRPr="005A1381">
        <w:t>.</w:t>
      </w:r>
      <w:r>
        <w:t xml:space="preserve"> </w:t>
      </w:r>
      <w:r w:rsidRPr="005A1381">
        <w:t>For symptomatic Grade</w:t>
      </w:r>
      <w:r>
        <w:t> </w:t>
      </w:r>
      <w:r w:rsidRPr="005A1381">
        <w:t>2</w:t>
      </w:r>
      <w:r>
        <w:t> </w:t>
      </w:r>
      <w:r w:rsidRPr="005A1381">
        <w:t>or</w:t>
      </w:r>
      <w:r>
        <w:t> </w:t>
      </w:r>
      <w:r w:rsidRPr="005A1381">
        <w:t xml:space="preserve">3 </w:t>
      </w:r>
      <w:proofErr w:type="spellStart"/>
      <w:r w:rsidRPr="005A1381">
        <w:t>hypophysitis</w:t>
      </w:r>
      <w:proofErr w:type="spellEnd"/>
      <w:r w:rsidR="00702BA0">
        <w:t>,</w:t>
      </w:r>
      <w:r w:rsidRPr="005A1381">
        <w:t xml:space="preserve"> </w:t>
      </w:r>
      <w:r>
        <w:t>OPDUALAG</w:t>
      </w:r>
      <w:r w:rsidRPr="00774AE7">
        <w:t xml:space="preserve"> </w:t>
      </w:r>
      <w:r w:rsidRPr="005A1381">
        <w:t>should be withheld, and hormone replacement should be initiated as needed.</w:t>
      </w:r>
      <w:r>
        <w:t xml:space="preserve"> Corticosteroids at a dose of 1 to 2 mg/kg/day </w:t>
      </w:r>
      <w:r w:rsidRPr="005A1381">
        <w:t xml:space="preserve">methylprednisolone equivalents should also be considered if acute inflammation of the pituitary gland is suspected. Upon improvement, </w:t>
      </w:r>
      <w:r>
        <w:t>OPDUALAG</w:t>
      </w:r>
      <w:r w:rsidRPr="00774AE7">
        <w:t xml:space="preserve"> </w:t>
      </w:r>
      <w:r w:rsidRPr="005A1381">
        <w:t>may be resumed after corticosteroid taper, if needed. Monitoring of pituitary function and hormone levels should continue to ensure appropriate hormone replacement is utilised.</w:t>
      </w:r>
    </w:p>
    <w:p w14:paraId="3ADC73E1" w14:textId="77777777" w:rsidR="002946A1" w:rsidRPr="005D46BD" w:rsidRDefault="002946A1" w:rsidP="002946A1">
      <w:pPr>
        <w:spacing w:after="120"/>
      </w:pPr>
      <w:r w:rsidRPr="005A1381">
        <w:t xml:space="preserve">For symptomatic diabetes, </w:t>
      </w:r>
      <w:r>
        <w:t>OPDUALAG</w:t>
      </w:r>
      <w:r w:rsidRPr="00774AE7">
        <w:t xml:space="preserve"> </w:t>
      </w:r>
      <w:r w:rsidRPr="005A1381">
        <w:t xml:space="preserve">should be withheld, and insulin replacement should be initiated as needed. Monitoring of blood sugar should continue to ensure appropriate insulin replacement is utilised. </w:t>
      </w:r>
      <w:r>
        <w:t>OPDUALAG</w:t>
      </w:r>
      <w:r w:rsidRPr="00774AE7">
        <w:t xml:space="preserve"> </w:t>
      </w:r>
      <w:r w:rsidRPr="005A1381">
        <w:t>must be permanently discontinued for life-threatening diabetes</w:t>
      </w:r>
      <w:r>
        <w:t>.</w:t>
      </w:r>
    </w:p>
    <w:p w14:paraId="07956D45" w14:textId="09F3B6E0" w:rsidR="00BF779F" w:rsidRPr="001D52DE" w:rsidRDefault="00B93653" w:rsidP="002B40CE">
      <w:pPr>
        <w:rPr>
          <w:b/>
          <w:bCs/>
        </w:rPr>
      </w:pPr>
      <w:r w:rsidRPr="001D52DE">
        <w:rPr>
          <w:b/>
          <w:bCs/>
        </w:rPr>
        <w:t>Patients should be monitored for clinical signs and symptoms of endocrinopathies, and for hyperglycaemia and changes in thyroid function (at the start of treatment, periodically during treatment, and as indicated based on clinical evaluation).</w:t>
      </w:r>
    </w:p>
    <w:p w14:paraId="4C6B93E1" w14:textId="6B86E401" w:rsidR="00450E1A" w:rsidRPr="000A4651" w:rsidRDefault="00450E1A" w:rsidP="009E2783">
      <w:pPr>
        <w:pStyle w:val="Heading4"/>
        <w:rPr>
          <w:rFonts w:hint="eastAsia"/>
        </w:rPr>
      </w:pPr>
      <w:r>
        <w:t xml:space="preserve">Immune-related </w:t>
      </w:r>
      <w:r w:rsidR="007930EB">
        <w:t xml:space="preserve">skin reactions </w:t>
      </w:r>
    </w:p>
    <w:p w14:paraId="0F9B35C7" w14:textId="30E5F10D" w:rsidR="00715A81" w:rsidRPr="00367E94" w:rsidRDefault="00D22FB0" w:rsidP="00715A81">
      <w:pPr>
        <w:spacing w:after="120"/>
      </w:pPr>
      <w:r w:rsidRPr="00367E94">
        <w:t xml:space="preserve">OPDUALAG can cause immune-related </w:t>
      </w:r>
      <w:r w:rsidR="0091104F">
        <w:t>skin reactions</w:t>
      </w:r>
      <w:r w:rsidR="00715A81" w:rsidRPr="00367E94">
        <w:t>, defined as requiring use of corticosteroids and with no clear alternate aetiology</w:t>
      </w:r>
      <w:r w:rsidR="00715A81" w:rsidRPr="00367E94" w:rsidDel="00715A81">
        <w:t xml:space="preserve"> </w:t>
      </w:r>
      <w:r w:rsidR="00262198" w:rsidRPr="00367E94">
        <w:t>(see section 4.8</w:t>
      </w:r>
      <w:r w:rsidR="002F5C36" w:rsidRPr="00367E94">
        <w:t xml:space="preserve"> Adverse effects</w:t>
      </w:r>
      <w:r w:rsidR="00262198" w:rsidRPr="00367E94">
        <w:t>)</w:t>
      </w:r>
      <w:r w:rsidR="00715A81" w:rsidRPr="00367E94">
        <w:t>.</w:t>
      </w:r>
      <w:r w:rsidR="00262198" w:rsidRPr="00367E94">
        <w:t xml:space="preserve"> </w:t>
      </w:r>
      <w:r w:rsidR="00715A81" w:rsidRPr="00367E94">
        <w:t xml:space="preserve">Cases of exfoliative dermatitis, including Stevens-Johnson Syndrome (SJS), toxic epidermal necrolysis (TEN), and Drug Rash with Eosinophilia and Systemic Symptoms (DRESS) have occurred with the use of </w:t>
      </w:r>
      <w:r w:rsidR="005A0C23" w:rsidRPr="00367E94">
        <w:t xml:space="preserve">other therapeutic goods containing an </w:t>
      </w:r>
      <w:r w:rsidR="00715A81" w:rsidRPr="00367E94">
        <w:t>anti-PD-(L)1 antibod</w:t>
      </w:r>
      <w:r w:rsidR="005A0C23" w:rsidRPr="00367E94">
        <w:t>y</w:t>
      </w:r>
      <w:r w:rsidR="00715A81" w:rsidRPr="00367E94">
        <w:t xml:space="preserve"> such as nivolumab. These are rare, but can be fatal. Withhold or permanently discontinue OPDUALAG depending on severity (see Table 1, section 4.2 </w:t>
      </w:r>
      <w:proofErr w:type="gramStart"/>
      <w:r w:rsidR="00715A81" w:rsidRPr="00367E94">
        <w:t>Dose</w:t>
      </w:r>
      <w:proofErr w:type="gramEnd"/>
      <w:r w:rsidR="00715A81" w:rsidRPr="00367E94">
        <w:t xml:space="preserve"> and method of administration). </w:t>
      </w:r>
    </w:p>
    <w:p w14:paraId="065C7A3A" w14:textId="12C144F0" w:rsidR="00262198" w:rsidRDefault="00715A81" w:rsidP="00262198">
      <w:pPr>
        <w:spacing w:after="120"/>
      </w:pPr>
      <w:r w:rsidRPr="00367E94">
        <w:t>Topical emollients and/or topical corticosteroids may be adequate to treat mild to moderate non-exfoliative rashes.</w:t>
      </w:r>
      <w:r>
        <w:t xml:space="preserve"> </w:t>
      </w:r>
      <w:r w:rsidR="00262198" w:rsidRPr="005A1381">
        <w:t>Severe rash should be managed with high-dose cor</w:t>
      </w:r>
      <w:r w:rsidR="00262198">
        <w:t xml:space="preserve">ticosteroid </w:t>
      </w:r>
      <w:r w:rsidR="005837FA">
        <w:t>(</w:t>
      </w:r>
      <w:r w:rsidR="00262198">
        <w:t>1 </w:t>
      </w:r>
      <w:r w:rsidR="00262198" w:rsidRPr="00BC57D1">
        <w:t>to</w:t>
      </w:r>
      <w:r w:rsidR="00262198">
        <w:t> </w:t>
      </w:r>
      <w:r w:rsidR="00262198" w:rsidRPr="00BC57D1">
        <w:t>2</w:t>
      </w:r>
      <w:r w:rsidR="00262198" w:rsidRPr="005A1381">
        <w:t> </w:t>
      </w:r>
      <w:r w:rsidR="00262198">
        <w:t>mg/kg/day </w:t>
      </w:r>
      <w:r w:rsidR="00262198" w:rsidRPr="005A1381">
        <w:t>methylprednisolone</w:t>
      </w:r>
      <w:r w:rsidR="00262198">
        <w:t xml:space="preserve"> equivalents</w:t>
      </w:r>
      <w:r w:rsidR="005837FA">
        <w:t>)</w:t>
      </w:r>
      <w:r w:rsidR="00262198">
        <w:t>.</w:t>
      </w:r>
      <w:r>
        <w:t xml:space="preserve"> If exfoliative dermatitis is </w:t>
      </w:r>
      <w:r w:rsidR="00262198">
        <w:t>suspected,</w:t>
      </w:r>
      <w:r w:rsidR="00262198" w:rsidRPr="00EF61CF">
        <w:t xml:space="preserve"> </w:t>
      </w:r>
      <w:r w:rsidR="00262198" w:rsidRPr="00B542B1">
        <w:t>refer to a specialised unit for assessment and treatment.</w:t>
      </w:r>
      <w:r w:rsidR="00262198">
        <w:t xml:space="preserve"> </w:t>
      </w:r>
    </w:p>
    <w:p w14:paraId="56D30EB3" w14:textId="6E5F1DD8" w:rsidR="005D46BD" w:rsidRPr="000A4651" w:rsidRDefault="005D46BD" w:rsidP="009E2783">
      <w:pPr>
        <w:pStyle w:val="Heading4"/>
        <w:rPr>
          <w:rFonts w:hint="eastAsia"/>
        </w:rPr>
      </w:pPr>
      <w:r>
        <w:t xml:space="preserve">Immune-related </w:t>
      </w:r>
      <w:r w:rsidR="00E8557B">
        <w:t>myocarditis</w:t>
      </w:r>
    </w:p>
    <w:p w14:paraId="356E647A" w14:textId="70970F7E" w:rsidR="00CD506C" w:rsidRPr="00CD506C" w:rsidRDefault="005837FA" w:rsidP="008B0718">
      <w:pPr>
        <w:spacing w:after="120"/>
      </w:pPr>
      <w:r w:rsidRPr="00A34709">
        <w:t xml:space="preserve">OPDUALAG can cause </w:t>
      </w:r>
      <w:r w:rsidR="00CD506C" w:rsidRPr="00A34709">
        <w:t>immune-related myocarditis</w:t>
      </w:r>
      <w:r w:rsidRPr="00A34709">
        <w:t xml:space="preserve"> (see section 4.8 Adverse effects)</w:t>
      </w:r>
      <w:r w:rsidR="00CD506C" w:rsidRPr="00A34709">
        <w:t xml:space="preserve">. </w:t>
      </w:r>
      <w:r w:rsidRPr="00A34709">
        <w:t>D</w:t>
      </w:r>
      <w:r w:rsidR="00CD506C" w:rsidRPr="00A34709">
        <w:t xml:space="preserve">iagnosis requires a high index of suspicion. </w:t>
      </w:r>
      <w:r w:rsidRPr="00A34709">
        <w:t>Assess p</w:t>
      </w:r>
      <w:r w:rsidR="00CD506C" w:rsidRPr="00A34709">
        <w:t>atients with cardiac or cardio-pulmonary symptoms for potential myocarditis. If myocarditis is suspected, prompt</w:t>
      </w:r>
      <w:r w:rsidRPr="00A34709">
        <w:t>ly</w:t>
      </w:r>
      <w:r w:rsidR="00CD506C" w:rsidRPr="00A34709">
        <w:t xml:space="preserve"> initiat</w:t>
      </w:r>
      <w:r w:rsidRPr="00A34709">
        <w:t>e</w:t>
      </w:r>
      <w:r w:rsidR="00CD506C" w:rsidRPr="00A34709">
        <w:t xml:space="preserve"> high dose </w:t>
      </w:r>
      <w:r w:rsidRPr="00A34709">
        <w:t>cortico</w:t>
      </w:r>
      <w:r w:rsidR="00CD506C" w:rsidRPr="00A34709">
        <w:t>steroid (1 to 2 mg/kg/day</w:t>
      </w:r>
      <w:r w:rsidRPr="00A34709">
        <w:t xml:space="preserve"> methylprednisolone equivalents</w:t>
      </w:r>
      <w:r w:rsidR="00CD506C" w:rsidRPr="00A34709">
        <w:t xml:space="preserve">) and </w:t>
      </w:r>
      <w:r w:rsidRPr="00A34709">
        <w:t xml:space="preserve">urgent </w:t>
      </w:r>
      <w:r w:rsidR="00CD506C" w:rsidRPr="00A34709">
        <w:t xml:space="preserve">cardiology consultation with diagnostic workup according to current clinical guidelines. </w:t>
      </w:r>
      <w:r w:rsidRPr="00A34709">
        <w:t xml:space="preserve">If </w:t>
      </w:r>
      <w:r w:rsidR="00CD506C" w:rsidRPr="00A34709">
        <w:t xml:space="preserve">a diagnosis of myocarditis </w:t>
      </w:r>
      <w:r w:rsidRPr="00A34709">
        <w:t>(</w:t>
      </w:r>
      <w:r w:rsidR="00F10966" w:rsidRPr="00A34709">
        <w:t>Grade 2-4</w:t>
      </w:r>
      <w:r w:rsidRPr="00A34709">
        <w:t xml:space="preserve">) </w:t>
      </w:r>
      <w:r w:rsidR="00CD506C" w:rsidRPr="00A34709">
        <w:t xml:space="preserve">is established, permanently discontinue </w:t>
      </w:r>
      <w:r w:rsidRPr="00A34709">
        <w:t>OPDUALAG</w:t>
      </w:r>
      <w:r w:rsidR="00EA4C31" w:rsidRPr="00A34709">
        <w:t xml:space="preserve"> (see Table 1, section 4.2 </w:t>
      </w:r>
      <w:proofErr w:type="gramStart"/>
      <w:r w:rsidR="00EA4C31" w:rsidRPr="00A34709">
        <w:t>Dose</w:t>
      </w:r>
      <w:proofErr w:type="gramEnd"/>
      <w:r w:rsidR="00EA4C31" w:rsidRPr="00A34709">
        <w:t xml:space="preserve"> and method of administration)</w:t>
      </w:r>
      <w:r w:rsidR="00CD506C" w:rsidRPr="00A34709">
        <w:t>. If worsening or no improvement occurs despite corticosteroids, corticosteroid dose should be increased to 2 to 4 mg/kg/day methylprednisolone equivalents.</w:t>
      </w:r>
    </w:p>
    <w:p w14:paraId="3C2F0D68" w14:textId="69FFC808" w:rsidR="00E8557B" w:rsidRPr="000A4651" w:rsidRDefault="00B85208" w:rsidP="009E2783">
      <w:pPr>
        <w:pStyle w:val="Heading4"/>
        <w:rPr>
          <w:rFonts w:hint="eastAsia"/>
        </w:rPr>
      </w:pPr>
      <w:r>
        <w:t>Othe</w:t>
      </w:r>
      <w:r w:rsidR="00F456E9">
        <w:t>r</w:t>
      </w:r>
      <w:r>
        <w:t xml:space="preserve"> i</w:t>
      </w:r>
      <w:r w:rsidR="00E8557B">
        <w:t xml:space="preserve">mmune-related </w:t>
      </w:r>
      <w:r>
        <w:t>adverse reactions</w:t>
      </w:r>
    </w:p>
    <w:p w14:paraId="184C6E0F" w14:textId="4E4B723E" w:rsidR="00DB6731" w:rsidRPr="00B420BF" w:rsidRDefault="008925BF" w:rsidP="005A0C23">
      <w:pPr>
        <w:spacing w:after="120"/>
      </w:pPr>
      <w:r w:rsidRPr="00B420BF">
        <w:t xml:space="preserve">The following clinically significant immune-related adverse reactions </w:t>
      </w:r>
      <w:r w:rsidR="005A0C23" w:rsidRPr="00B420BF">
        <w:t xml:space="preserve">occurred at an incidence of &lt;1% (unless otherwise noted) in patients who received OPDUALAG or were reported with the use of other </w:t>
      </w:r>
      <w:r w:rsidR="005A0C23" w:rsidRPr="00B420BF">
        <w:lastRenderedPageBreak/>
        <w:t xml:space="preserve">therapeutic goods containing an anti-PD-(L)-1 antibody. </w:t>
      </w:r>
      <w:r w:rsidR="00DB6731" w:rsidRPr="00B420BF">
        <w:t>Severe or fatal cases have been reported for some of these adverse reactions.</w:t>
      </w:r>
    </w:p>
    <w:p w14:paraId="5005F239" w14:textId="65F99BF2" w:rsidR="00DB6731" w:rsidRPr="00B420BF" w:rsidRDefault="00DB6731" w:rsidP="005A0C23">
      <w:pPr>
        <w:spacing w:after="120"/>
      </w:pPr>
      <w:r w:rsidRPr="00B420BF">
        <w:rPr>
          <w:i/>
          <w:iCs/>
        </w:rPr>
        <w:t>Cardiac/</w:t>
      </w:r>
      <w:r w:rsidR="00086739" w:rsidRPr="00B420BF">
        <w:rPr>
          <w:i/>
          <w:iCs/>
        </w:rPr>
        <w:t>v</w:t>
      </w:r>
      <w:r w:rsidRPr="00B420BF">
        <w:rPr>
          <w:i/>
          <w:iCs/>
        </w:rPr>
        <w:t>ascular:</w:t>
      </w:r>
      <w:r w:rsidRPr="00B420BF">
        <w:t xml:space="preserve"> Pericarditis, vasculitis.</w:t>
      </w:r>
    </w:p>
    <w:p w14:paraId="030B18BB" w14:textId="497CFC73" w:rsidR="00DB6731" w:rsidRPr="00B420BF" w:rsidRDefault="00DB6731" w:rsidP="00DB6731">
      <w:pPr>
        <w:spacing w:after="120"/>
      </w:pPr>
      <w:r w:rsidRPr="00B420BF">
        <w:rPr>
          <w:i/>
          <w:iCs/>
        </w:rPr>
        <w:t>Nervous system:</w:t>
      </w:r>
      <w:r w:rsidRPr="00B420BF">
        <w:t xml:space="preserve"> Meningitis, encephalitis, </w:t>
      </w:r>
      <w:proofErr w:type="gramStart"/>
      <w:r w:rsidRPr="00B420BF">
        <w:t>myelitis</w:t>
      </w:r>
      <w:proofErr w:type="gramEnd"/>
      <w:r w:rsidRPr="00B420BF">
        <w:t xml:space="preserve"> and demyelination, myasthenic syndrome/myasthenia gravis (including exacerbation), Guillain-Barré syndrome, nerve paresis, autoimmune neuropathy. </w:t>
      </w:r>
    </w:p>
    <w:p w14:paraId="30291B93" w14:textId="261D7DC3" w:rsidR="00DB6731" w:rsidRPr="00B420BF" w:rsidRDefault="00DB6731" w:rsidP="00DB6731">
      <w:pPr>
        <w:spacing w:after="120"/>
      </w:pPr>
      <w:r w:rsidRPr="00B420BF">
        <w:rPr>
          <w:i/>
          <w:iCs/>
        </w:rPr>
        <w:t xml:space="preserve">Ocular: </w:t>
      </w:r>
      <w:r w:rsidRPr="00B420BF">
        <w:t>Uveitis, iritis, retinal detachment, visual impairment, blindness. Note: if uveitis occurs in combination with other immune-related adverse reactions, consider a Vogt-</w:t>
      </w:r>
      <w:proofErr w:type="spellStart"/>
      <w:r w:rsidRPr="00B420BF">
        <w:t>Koyanagi</w:t>
      </w:r>
      <w:proofErr w:type="spellEnd"/>
      <w:r w:rsidRPr="00B420BF">
        <w:t xml:space="preserve">-Harada (VKH)-like syndrome, as this may require treatment with systemic steroids to reduce the risk of permanent vision loss. </w:t>
      </w:r>
    </w:p>
    <w:p w14:paraId="581517C7" w14:textId="77777777" w:rsidR="00DB6731" w:rsidRPr="00B420BF" w:rsidRDefault="00DB6731" w:rsidP="00DB6731">
      <w:pPr>
        <w:spacing w:after="120"/>
      </w:pPr>
      <w:r w:rsidRPr="00B420BF">
        <w:rPr>
          <w:i/>
          <w:iCs/>
        </w:rPr>
        <w:t>Gastrointestinal:</w:t>
      </w:r>
      <w:r w:rsidRPr="00B420BF">
        <w:t xml:space="preserve"> Pancreatitis including increases in serum amylase and lipase levels, gastritis, duodenitis. </w:t>
      </w:r>
    </w:p>
    <w:p w14:paraId="54170D7C" w14:textId="297FB9DC" w:rsidR="00DB6731" w:rsidRPr="00B420BF" w:rsidRDefault="00DB6731" w:rsidP="00DB6731">
      <w:pPr>
        <w:spacing w:after="120"/>
      </w:pPr>
      <w:r w:rsidRPr="00B420BF">
        <w:rPr>
          <w:i/>
          <w:iCs/>
        </w:rPr>
        <w:t>Musculoskeletal:</w:t>
      </w:r>
      <w:r w:rsidRPr="00B420BF">
        <w:t xml:space="preserve"> Myositis/polymyositis, rhabdomyolysis (and associated sequelae including renal failure), arthritis, polymyalgia rheumatica. </w:t>
      </w:r>
    </w:p>
    <w:p w14:paraId="16E0F325" w14:textId="77777777" w:rsidR="00DB6731" w:rsidRPr="00B420BF" w:rsidRDefault="00DB6731" w:rsidP="00DB6731">
      <w:pPr>
        <w:spacing w:after="120"/>
      </w:pPr>
      <w:r w:rsidRPr="00B420BF">
        <w:rPr>
          <w:i/>
          <w:iCs/>
        </w:rPr>
        <w:t>Endocrine:</w:t>
      </w:r>
      <w:r w:rsidRPr="00B420BF">
        <w:t xml:space="preserve"> Hypoparathyroidism. </w:t>
      </w:r>
    </w:p>
    <w:p w14:paraId="22F0328E" w14:textId="60FDFE6C" w:rsidR="008925BF" w:rsidRPr="008925BF" w:rsidRDefault="00DB6731" w:rsidP="005A0C23">
      <w:pPr>
        <w:spacing w:after="120"/>
      </w:pPr>
      <w:r w:rsidRPr="00B420BF">
        <w:rPr>
          <w:i/>
          <w:iCs/>
        </w:rPr>
        <w:t>Other:</w:t>
      </w:r>
      <w:r w:rsidRPr="00B420BF">
        <w:t xml:space="preserve"> Haemolytic anaemia, aplastic anaemia, </w:t>
      </w:r>
      <w:proofErr w:type="spellStart"/>
      <w:r w:rsidRPr="00B420BF">
        <w:t>haemophagocytic</w:t>
      </w:r>
      <w:proofErr w:type="spellEnd"/>
      <w:r w:rsidRPr="00B420BF">
        <w:t xml:space="preserve"> </w:t>
      </w:r>
      <w:proofErr w:type="spellStart"/>
      <w:r w:rsidRPr="00B420BF">
        <w:t>lymphohistiocytosis</w:t>
      </w:r>
      <w:proofErr w:type="spellEnd"/>
      <w:r w:rsidRPr="00B420BF">
        <w:t xml:space="preserve"> (HLH), systemic inflammatory response syndrome, histiocytic necrotising lymphadenitis (Kikuchi lymphadenitis), sarcoidosis, immune thrombocytopenic purpura, solid organ transplant rejection.</w:t>
      </w:r>
    </w:p>
    <w:p w14:paraId="55A309B6" w14:textId="7E50E104" w:rsidR="001A3992" w:rsidRPr="00B420BF" w:rsidRDefault="004F4158" w:rsidP="003067DE">
      <w:pPr>
        <w:pStyle w:val="Heading3"/>
      </w:pPr>
      <w:r w:rsidRPr="00B420BF">
        <w:t xml:space="preserve">Infusion </w:t>
      </w:r>
      <w:r w:rsidR="00E36CC4" w:rsidRPr="00B420BF">
        <w:t>r</w:t>
      </w:r>
      <w:r w:rsidRPr="00B420BF">
        <w:t>eaction</w:t>
      </w:r>
      <w:r w:rsidR="00E36CC4" w:rsidRPr="00B420BF">
        <w:t>s</w:t>
      </w:r>
    </w:p>
    <w:p w14:paraId="157CDAD5" w14:textId="2EE7FF6F" w:rsidR="00B942CB" w:rsidRDefault="00B942CB" w:rsidP="003A1DA5">
      <w:pPr>
        <w:spacing w:after="120"/>
      </w:pPr>
      <w:r w:rsidRPr="005A1381">
        <w:t>Severe infusion reactions have been reported in</w:t>
      </w:r>
      <w:r>
        <w:t xml:space="preserve"> clinical trials of nivolumab in combination with </w:t>
      </w:r>
      <w:proofErr w:type="spellStart"/>
      <w:r>
        <w:t>relatlimab</w:t>
      </w:r>
      <w:proofErr w:type="spellEnd"/>
      <w:r w:rsidRPr="005A1381">
        <w:t xml:space="preserve"> (see section 4.8</w:t>
      </w:r>
      <w:r>
        <w:t xml:space="preserve"> Adverse effects</w:t>
      </w:r>
      <w:r w:rsidRPr="005A1381">
        <w:t>). In case of a severe</w:t>
      </w:r>
      <w:r>
        <w:t xml:space="preserve"> </w:t>
      </w:r>
      <w:r w:rsidRPr="005A1381">
        <w:t>or life-threatening</w:t>
      </w:r>
      <w:r>
        <w:t xml:space="preserve"> </w:t>
      </w:r>
      <w:r w:rsidRPr="005A1381">
        <w:t>infusion</w:t>
      </w:r>
      <w:r w:rsidRPr="00A91C92">
        <w:t xml:space="preserve"> reaction,</w:t>
      </w:r>
      <w:r>
        <w:t xml:space="preserve"> OPDUALAG</w:t>
      </w:r>
      <w:r w:rsidRPr="00774AE7">
        <w:t xml:space="preserve"> </w:t>
      </w:r>
      <w:r w:rsidRPr="00A91C92">
        <w:t xml:space="preserve">infusion must be </w:t>
      </w:r>
      <w:proofErr w:type="gramStart"/>
      <w:r w:rsidRPr="00A91C92">
        <w:t>discontinued</w:t>
      </w:r>
      <w:proofErr w:type="gramEnd"/>
      <w:r w:rsidRPr="00A91C92">
        <w:t xml:space="preserve"> and appropriate medical therapy administered. Patients with mild or moderate infusion reaction may receive </w:t>
      </w:r>
      <w:r>
        <w:t>OPDUALAG</w:t>
      </w:r>
      <w:r w:rsidRPr="00774AE7">
        <w:t xml:space="preserve"> </w:t>
      </w:r>
      <w:r w:rsidRPr="00A91C92">
        <w:t>with close monitoring</w:t>
      </w:r>
      <w:r>
        <w:t xml:space="preserve"> </w:t>
      </w:r>
      <w:r w:rsidRPr="00B307EC">
        <w:t>and use of premedication according to local treatment guidelines for prophylaxis of infusion reactions</w:t>
      </w:r>
      <w:r>
        <w:t>.</w:t>
      </w:r>
    </w:p>
    <w:p w14:paraId="6905E657" w14:textId="04456740" w:rsidR="003A1DA5" w:rsidRPr="00B420BF" w:rsidRDefault="003A1DA5" w:rsidP="003067DE">
      <w:pPr>
        <w:pStyle w:val="Heading3"/>
      </w:pPr>
      <w:r w:rsidRPr="00B420BF">
        <w:t>Complications of allogeneic ha</w:t>
      </w:r>
      <w:r w:rsidR="00BD3DA4">
        <w:t>e</w:t>
      </w:r>
      <w:r w:rsidRPr="00B420BF">
        <w:t xml:space="preserve">matopoietic stem cell transplantation </w:t>
      </w:r>
    </w:p>
    <w:p w14:paraId="253FA6F8" w14:textId="2AB1F666" w:rsidR="003A1DA5" w:rsidRPr="00B420BF" w:rsidRDefault="003A1DA5" w:rsidP="003A1DA5">
      <w:pPr>
        <w:spacing w:after="120"/>
      </w:pPr>
      <w:r w:rsidRPr="00B420BF">
        <w:t>Fatal and other serious complications can occur in patients who receive allogeneic h</w:t>
      </w:r>
      <w:r w:rsidR="00BD3DA4">
        <w:t>a</w:t>
      </w:r>
      <w:r w:rsidRPr="00B420BF">
        <w:t>ematopoietic stem cell transplantation (HSCT) before or after being treated with a</w:t>
      </w:r>
      <w:r w:rsidR="00FC0BFA">
        <w:t xml:space="preserve"> </w:t>
      </w:r>
      <w:r w:rsidR="00482252" w:rsidRPr="00635931">
        <w:t>PD-1</w:t>
      </w:r>
      <w:r w:rsidR="00482252">
        <w:t>/PD-L1</w:t>
      </w:r>
      <w:r w:rsidR="00482252" w:rsidRPr="00635931">
        <w:t xml:space="preserve"> </w:t>
      </w:r>
      <w:r w:rsidR="004F5626">
        <w:t>inhibitors</w:t>
      </w:r>
      <w:r w:rsidRPr="00B420BF">
        <w:t xml:space="preserve">. Transplant-related complications include hyperacute graft-versus-host-disease (GVHD), acute GVHD, chronic GVHD, hepatic </w:t>
      </w:r>
      <w:proofErr w:type="spellStart"/>
      <w:r w:rsidRPr="00B420BF">
        <w:t>veno</w:t>
      </w:r>
      <w:proofErr w:type="spellEnd"/>
      <w:r w:rsidRPr="00B420BF">
        <w:t xml:space="preserve">-occlusive disease after reduced intensity conditioning, and steroid-requiring febrile syndrome (without an identified infectious cause). These complications may occur despite intervening therapy between </w:t>
      </w:r>
      <w:r w:rsidR="004F5626" w:rsidRPr="00635931">
        <w:t>PD-1</w:t>
      </w:r>
      <w:r w:rsidR="004F5626">
        <w:t>/PD-L1</w:t>
      </w:r>
      <w:r w:rsidR="004F5626" w:rsidRPr="00635931">
        <w:t xml:space="preserve"> </w:t>
      </w:r>
      <w:r w:rsidR="004F5626">
        <w:t xml:space="preserve">inhibitor </w:t>
      </w:r>
      <w:r w:rsidRPr="00B420BF">
        <w:t xml:space="preserve">treatment and allogeneic HSCT. </w:t>
      </w:r>
    </w:p>
    <w:p w14:paraId="49E3B6ED" w14:textId="79056064" w:rsidR="003A1DA5" w:rsidRDefault="003A1DA5" w:rsidP="003A1DA5">
      <w:pPr>
        <w:spacing w:after="120"/>
      </w:pPr>
      <w:r w:rsidRPr="00B420BF">
        <w:t xml:space="preserve">Follow patients closely for evidence of transplant-related complications and intervene promptly. Consider the benefit versus risks of treatment with </w:t>
      </w:r>
      <w:r w:rsidR="00B20BE1">
        <w:t xml:space="preserve">a </w:t>
      </w:r>
      <w:r w:rsidR="00B20BE1" w:rsidRPr="00635931">
        <w:t>PD-1</w:t>
      </w:r>
      <w:r w:rsidR="00B20BE1">
        <w:t>/PD-L1</w:t>
      </w:r>
      <w:r w:rsidR="00B20BE1" w:rsidRPr="00635931">
        <w:t xml:space="preserve"> </w:t>
      </w:r>
      <w:r w:rsidR="00B20BE1">
        <w:t>inhibitor</w:t>
      </w:r>
      <w:r w:rsidR="00672EC2">
        <w:t xml:space="preserve"> </w:t>
      </w:r>
      <w:r w:rsidRPr="00B420BF">
        <w:t>prior to or after an allogeneic HSCT.</w:t>
      </w:r>
    </w:p>
    <w:p w14:paraId="07766BAE" w14:textId="3D9A2920" w:rsidR="00F456E9" w:rsidRPr="00B420BF" w:rsidRDefault="00F456E9" w:rsidP="003067DE">
      <w:pPr>
        <w:pStyle w:val="Heading3"/>
      </w:pPr>
      <w:r w:rsidRPr="00B420BF">
        <w:t xml:space="preserve">Patient </w:t>
      </w:r>
      <w:r w:rsidR="00D10402" w:rsidRPr="00B420BF">
        <w:t>c</w:t>
      </w:r>
      <w:r w:rsidRPr="00B420BF">
        <w:t>ard</w:t>
      </w:r>
    </w:p>
    <w:p w14:paraId="650DA563" w14:textId="360FDED0" w:rsidR="00F456E9" w:rsidRPr="00B420BF" w:rsidRDefault="00F456E9" w:rsidP="00F456E9">
      <w:r w:rsidRPr="00B420BF">
        <w:t xml:space="preserve">All prescribers of </w:t>
      </w:r>
      <w:r w:rsidR="0044468F" w:rsidRPr="00B420BF">
        <w:t>OPDUALAG</w:t>
      </w:r>
      <w:r w:rsidRPr="00B420BF">
        <w:t xml:space="preserve"> must be familiar with the physician information and management guidelines. The prescriber must discuss the risks of </w:t>
      </w:r>
      <w:r w:rsidR="0044468F" w:rsidRPr="00B420BF">
        <w:t>OPDUALAG</w:t>
      </w:r>
      <w:r w:rsidRPr="00B420BF">
        <w:t xml:space="preserve"> therapy with the patient. The patient will be provided with the patient card and instructed to </w:t>
      </w:r>
      <w:proofErr w:type="gramStart"/>
      <w:r w:rsidRPr="00B420BF">
        <w:t>carry the card at all times</w:t>
      </w:r>
      <w:proofErr w:type="gramEnd"/>
      <w:r w:rsidRPr="00B420BF">
        <w:t>.</w:t>
      </w:r>
    </w:p>
    <w:p w14:paraId="41E0109D" w14:textId="5E2882D2" w:rsidR="000801AC" w:rsidRPr="00B420BF" w:rsidRDefault="00EE2A60" w:rsidP="003067DE">
      <w:pPr>
        <w:pStyle w:val="Heading3"/>
      </w:pPr>
      <w:r w:rsidRPr="00B420BF">
        <w:t>Use in s</w:t>
      </w:r>
      <w:r w:rsidR="000801AC" w:rsidRPr="00B420BF">
        <w:t xml:space="preserve">pecial </w:t>
      </w:r>
      <w:r w:rsidR="00513E90" w:rsidRPr="00B420BF">
        <w:t>populations</w:t>
      </w:r>
    </w:p>
    <w:p w14:paraId="03B56D35" w14:textId="77777777" w:rsidR="00FC3BC0" w:rsidRPr="00B420BF" w:rsidRDefault="00FC3BC0" w:rsidP="009E2783">
      <w:pPr>
        <w:pStyle w:val="Heading4"/>
        <w:rPr>
          <w:rFonts w:hint="eastAsia"/>
        </w:rPr>
      </w:pPr>
      <w:r w:rsidRPr="00B420BF">
        <w:t xml:space="preserve">Populations excluded from registrational clinical trials </w:t>
      </w:r>
    </w:p>
    <w:p w14:paraId="7365D5B3" w14:textId="49B6E0B7" w:rsidR="00F34025" w:rsidRPr="00B420BF" w:rsidRDefault="00F34025" w:rsidP="00C8174A">
      <w:pPr>
        <w:spacing w:after="120"/>
        <w:rPr>
          <w:b/>
          <w:iCs/>
        </w:rPr>
      </w:pPr>
      <w:r w:rsidRPr="00B420BF">
        <w:t>Patients with active autoimmune disease, medical conditions requiring systemic treatment with moderate or high</w:t>
      </w:r>
      <w:r w:rsidRPr="00B420BF">
        <w:rPr>
          <w:iCs/>
        </w:rPr>
        <w:t xml:space="preserve"> dose corticosteroids or immunosuppressive medications, uveal melanoma, and active or untreated brain or leptomeningeal metastases were excluded from the pivotal clinical trial of </w:t>
      </w:r>
      <w:r w:rsidR="00B749F1" w:rsidRPr="00B420BF">
        <w:rPr>
          <w:iCs/>
        </w:rPr>
        <w:t>nivolumab</w:t>
      </w:r>
      <w:r w:rsidRPr="00B420BF">
        <w:rPr>
          <w:iCs/>
        </w:rPr>
        <w:t xml:space="preserve"> in combination with </w:t>
      </w:r>
      <w:proofErr w:type="spellStart"/>
      <w:r w:rsidR="00B749F1" w:rsidRPr="00B420BF">
        <w:rPr>
          <w:iCs/>
        </w:rPr>
        <w:t>relatlimab</w:t>
      </w:r>
      <w:proofErr w:type="spellEnd"/>
      <w:r w:rsidRPr="00B420BF">
        <w:rPr>
          <w:iCs/>
        </w:rPr>
        <w:t xml:space="preserve">. In the absence of data, </w:t>
      </w:r>
      <w:r w:rsidR="00B749F1" w:rsidRPr="00B420BF">
        <w:rPr>
          <w:iCs/>
        </w:rPr>
        <w:t>nivolumab</w:t>
      </w:r>
      <w:r w:rsidRPr="00B420BF">
        <w:rPr>
          <w:iCs/>
        </w:rPr>
        <w:t xml:space="preserve"> in combination with </w:t>
      </w:r>
      <w:proofErr w:type="spellStart"/>
      <w:r w:rsidR="00B749F1" w:rsidRPr="00B420BF">
        <w:rPr>
          <w:iCs/>
        </w:rPr>
        <w:lastRenderedPageBreak/>
        <w:t>relatlimab</w:t>
      </w:r>
      <w:proofErr w:type="spellEnd"/>
      <w:r w:rsidRPr="00B420BF">
        <w:rPr>
          <w:iCs/>
        </w:rPr>
        <w:t xml:space="preserve"> should be used with caution in these populations after careful consideration of the potential benefit/risk on an individual basis.</w:t>
      </w:r>
    </w:p>
    <w:p w14:paraId="1FD1C731" w14:textId="144698EF" w:rsidR="00591B6D" w:rsidRPr="00B420BF" w:rsidRDefault="00591B6D" w:rsidP="009E2783">
      <w:pPr>
        <w:pStyle w:val="Heading4"/>
        <w:rPr>
          <w:rFonts w:hint="eastAsia"/>
        </w:rPr>
      </w:pPr>
      <w:r w:rsidRPr="00B420BF">
        <w:t xml:space="preserve">Patients with renal impairment </w:t>
      </w:r>
    </w:p>
    <w:p w14:paraId="4DD36A82" w14:textId="5ADB5A76" w:rsidR="00591B6D" w:rsidRPr="00B420BF" w:rsidRDefault="004C1D92" w:rsidP="004C1D92">
      <w:pPr>
        <w:pStyle w:val="BMSBodyText"/>
        <w:rPr>
          <w:rFonts w:eastAsiaTheme="minorHAnsi" w:cstheme="minorBidi"/>
          <w:iCs/>
          <w:color w:val="auto"/>
          <w:sz w:val="22"/>
          <w:szCs w:val="22"/>
          <w:lang w:val="en-AU"/>
        </w:rPr>
      </w:pPr>
      <w:r w:rsidRPr="00B420BF">
        <w:rPr>
          <w:rFonts w:eastAsiaTheme="minorHAnsi" w:cstheme="minorBidi"/>
          <w:iCs/>
          <w:color w:val="auto"/>
          <w:sz w:val="22"/>
          <w:szCs w:val="22"/>
          <w:lang w:val="en-AU"/>
        </w:rPr>
        <w:t xml:space="preserve">The safety and efficacy of </w:t>
      </w:r>
      <w:r w:rsidR="00560E60" w:rsidRPr="00B420BF">
        <w:rPr>
          <w:rFonts w:eastAsiaTheme="minorHAnsi" w:cstheme="minorBidi"/>
          <w:iCs/>
          <w:color w:val="auto"/>
          <w:sz w:val="22"/>
          <w:szCs w:val="22"/>
          <w:lang w:val="en-AU"/>
        </w:rPr>
        <w:t>OPDUALAG</w:t>
      </w:r>
      <w:r w:rsidRPr="00B420BF">
        <w:rPr>
          <w:rFonts w:eastAsiaTheme="minorHAnsi" w:cstheme="minorBidi"/>
          <w:iCs/>
          <w:color w:val="auto"/>
          <w:sz w:val="22"/>
          <w:szCs w:val="22"/>
          <w:lang w:val="en-AU"/>
        </w:rPr>
        <w:t xml:space="preserve"> have not been studied in patients with severe renal impairment</w:t>
      </w:r>
      <w:r w:rsidR="00DF65A3" w:rsidRPr="00B420BF">
        <w:rPr>
          <w:rFonts w:eastAsiaTheme="minorHAnsi" w:cstheme="minorBidi"/>
          <w:iCs/>
          <w:color w:val="auto"/>
          <w:sz w:val="22"/>
          <w:szCs w:val="22"/>
          <w:lang w:val="en-AU"/>
        </w:rPr>
        <w:t xml:space="preserve"> (see section 5.2 - Pharmacokinetic properties</w:t>
      </w:r>
      <w:r w:rsidR="00B441A0" w:rsidRPr="00B420BF">
        <w:rPr>
          <w:rFonts w:eastAsiaTheme="minorHAnsi" w:cstheme="minorBidi"/>
          <w:iCs/>
          <w:color w:val="auto"/>
          <w:sz w:val="22"/>
          <w:szCs w:val="22"/>
          <w:lang w:val="en-AU"/>
        </w:rPr>
        <w:t xml:space="preserve"> - renal impairment</w:t>
      </w:r>
      <w:r w:rsidR="00DF65A3" w:rsidRPr="00B420BF">
        <w:rPr>
          <w:rFonts w:eastAsiaTheme="minorHAnsi" w:cstheme="minorBidi"/>
          <w:iCs/>
          <w:color w:val="auto"/>
          <w:sz w:val="22"/>
          <w:szCs w:val="22"/>
          <w:lang w:val="en-AU"/>
        </w:rPr>
        <w:t>)</w:t>
      </w:r>
      <w:r w:rsidRPr="00B420BF">
        <w:rPr>
          <w:rFonts w:eastAsiaTheme="minorHAnsi" w:cstheme="minorBidi"/>
          <w:iCs/>
          <w:color w:val="auto"/>
          <w:sz w:val="22"/>
          <w:szCs w:val="22"/>
          <w:lang w:val="en-AU"/>
        </w:rPr>
        <w:t>.</w:t>
      </w:r>
    </w:p>
    <w:p w14:paraId="42A9D08C" w14:textId="77777777" w:rsidR="00591B6D" w:rsidRPr="00B420BF" w:rsidRDefault="00591B6D" w:rsidP="009E2783">
      <w:pPr>
        <w:pStyle w:val="Heading4"/>
        <w:rPr>
          <w:rFonts w:hint="eastAsia"/>
        </w:rPr>
      </w:pPr>
      <w:r w:rsidRPr="00B420BF">
        <w:t>Patients with hepatic impairment</w:t>
      </w:r>
    </w:p>
    <w:p w14:paraId="07B2641A" w14:textId="07D7AE1E" w:rsidR="00591B6D" w:rsidRPr="00BE5436" w:rsidRDefault="00496F73" w:rsidP="00591B6D">
      <w:r w:rsidRPr="00B420BF">
        <w:rPr>
          <w:szCs w:val="24"/>
        </w:rPr>
        <w:t>The safety and efficacy of</w:t>
      </w:r>
      <w:r w:rsidRPr="00B420BF">
        <w:rPr>
          <w:noProof/>
          <w:szCs w:val="24"/>
        </w:rPr>
        <w:t xml:space="preserve"> OPDUALAG</w:t>
      </w:r>
      <w:r w:rsidRPr="00B420BF">
        <w:rPr>
          <w:szCs w:val="24"/>
        </w:rPr>
        <w:t xml:space="preserve"> ha</w:t>
      </w:r>
      <w:r w:rsidR="0047148E" w:rsidRPr="00B420BF">
        <w:rPr>
          <w:szCs w:val="24"/>
        </w:rPr>
        <w:t>ve</w:t>
      </w:r>
      <w:r w:rsidRPr="00B420BF">
        <w:rPr>
          <w:szCs w:val="24"/>
        </w:rPr>
        <w:t xml:space="preserve"> not been studied in patients with severe hepatic impairment</w:t>
      </w:r>
      <w:r w:rsidR="00DF65A3" w:rsidRPr="00B420BF">
        <w:rPr>
          <w:szCs w:val="24"/>
        </w:rPr>
        <w:t xml:space="preserve"> (</w:t>
      </w:r>
      <w:r w:rsidR="00DF65A3" w:rsidRPr="00B420BF">
        <w:rPr>
          <w:iCs/>
        </w:rPr>
        <w:t>see section 5.2 - Pharmacokinetic properties</w:t>
      </w:r>
      <w:r w:rsidR="00B441A0" w:rsidRPr="00B420BF">
        <w:rPr>
          <w:iCs/>
        </w:rPr>
        <w:t xml:space="preserve"> - hepatic impairment</w:t>
      </w:r>
      <w:r w:rsidR="00DF65A3" w:rsidRPr="00B420BF">
        <w:rPr>
          <w:iCs/>
        </w:rPr>
        <w:t>)</w:t>
      </w:r>
      <w:r w:rsidRPr="00B420BF">
        <w:rPr>
          <w:szCs w:val="24"/>
        </w:rPr>
        <w:t>.</w:t>
      </w:r>
    </w:p>
    <w:p w14:paraId="71F49AE0" w14:textId="10534760" w:rsidR="001A3992" w:rsidRPr="0083119C" w:rsidRDefault="001A3992" w:rsidP="009E2783">
      <w:pPr>
        <w:pStyle w:val="Heading4"/>
        <w:rPr>
          <w:rFonts w:hint="eastAsia"/>
        </w:rPr>
      </w:pPr>
      <w:r w:rsidRPr="0083119C">
        <w:t>Paediatric use</w:t>
      </w:r>
    </w:p>
    <w:p w14:paraId="6291D1A4" w14:textId="44DBAFD9" w:rsidR="00A005F4" w:rsidRPr="0083119C" w:rsidRDefault="00A005F4" w:rsidP="007819CC">
      <w:pPr>
        <w:autoSpaceDE w:val="0"/>
        <w:autoSpaceDN w:val="0"/>
        <w:adjustRightInd w:val="0"/>
        <w:rPr>
          <w:rFonts w:eastAsia="TimesNewRoman"/>
          <w:lang w:val="en-US" w:eastAsia="fr-BE"/>
        </w:rPr>
      </w:pPr>
      <w:r w:rsidRPr="0083119C">
        <w:rPr>
          <w:rFonts w:eastAsia="TimesNewRoman"/>
          <w:lang w:val="en-US" w:eastAsia="fr-BE"/>
        </w:rPr>
        <w:t>The safety and efficacy</w:t>
      </w:r>
      <w:r w:rsidR="00E36CC4" w:rsidRPr="0083119C">
        <w:rPr>
          <w:rFonts w:eastAsia="TimesNewRoman"/>
          <w:lang w:val="en-US" w:eastAsia="fr-BE"/>
        </w:rPr>
        <w:t xml:space="preserve"> of OPDUALAG </w:t>
      </w:r>
      <w:r w:rsidRPr="0083119C">
        <w:rPr>
          <w:rFonts w:eastAsia="TimesNewRoman"/>
          <w:lang w:val="en-US" w:eastAsia="fr-BE"/>
        </w:rPr>
        <w:t xml:space="preserve">for the treatment of unresectable or metastatic melanoma </w:t>
      </w:r>
      <w:r w:rsidR="00E36CC4" w:rsidRPr="0083119C">
        <w:rPr>
          <w:rFonts w:eastAsia="TimesNewRoman"/>
          <w:lang w:val="en-US" w:eastAsia="fr-BE"/>
        </w:rPr>
        <w:t xml:space="preserve">in </w:t>
      </w:r>
      <w:proofErr w:type="spellStart"/>
      <w:r w:rsidR="00E36CC4" w:rsidRPr="0083119C">
        <w:rPr>
          <w:rFonts w:eastAsia="TimesNewRoman"/>
          <w:lang w:val="en-US" w:eastAsia="fr-BE"/>
        </w:rPr>
        <w:t>paediatric</w:t>
      </w:r>
      <w:proofErr w:type="spellEnd"/>
      <w:r w:rsidR="00E36CC4" w:rsidRPr="0083119C">
        <w:rPr>
          <w:rFonts w:eastAsia="TimesNewRoman"/>
          <w:lang w:val="en-US" w:eastAsia="fr-BE"/>
        </w:rPr>
        <w:t xml:space="preserve"> patients who are at least 12 years old and weigh at least 40 kg </w:t>
      </w:r>
      <w:r w:rsidRPr="0083119C">
        <w:rPr>
          <w:rFonts w:eastAsia="TimesNewRoman"/>
          <w:lang w:val="en-US" w:eastAsia="fr-BE"/>
        </w:rPr>
        <w:t xml:space="preserve">have been established. This usage </w:t>
      </w:r>
      <w:r w:rsidR="00E36CC4" w:rsidRPr="0083119C">
        <w:rPr>
          <w:rFonts w:eastAsia="TimesNewRoman"/>
          <w:lang w:val="en-US" w:eastAsia="fr-BE"/>
        </w:rPr>
        <w:t xml:space="preserve">is supported by the same evidence that supports </w:t>
      </w:r>
      <w:r w:rsidRPr="0083119C">
        <w:rPr>
          <w:rFonts w:eastAsia="TimesNewRoman"/>
          <w:lang w:val="en-US" w:eastAsia="fr-BE"/>
        </w:rPr>
        <w:t xml:space="preserve">this </w:t>
      </w:r>
      <w:r w:rsidR="00E36CC4" w:rsidRPr="0083119C">
        <w:rPr>
          <w:rFonts w:eastAsia="TimesNewRoman"/>
          <w:lang w:val="en-US" w:eastAsia="fr-BE"/>
        </w:rPr>
        <w:t>use in adults (see 5.1 Pharmacodynamic properties - Clinical trials)</w:t>
      </w:r>
      <w:r w:rsidRPr="0083119C">
        <w:rPr>
          <w:rFonts w:eastAsia="TimesNewRoman"/>
          <w:lang w:val="en-US" w:eastAsia="fr-BE"/>
        </w:rPr>
        <w:t>,</w:t>
      </w:r>
      <w:r w:rsidR="00E36CC4" w:rsidRPr="0083119C">
        <w:rPr>
          <w:rFonts w:eastAsia="TimesNewRoman"/>
          <w:lang w:val="en-US" w:eastAsia="fr-BE"/>
        </w:rPr>
        <w:t xml:space="preserve"> </w:t>
      </w:r>
      <w:r w:rsidRPr="0083119C">
        <w:rPr>
          <w:rFonts w:eastAsia="TimesNewRoman"/>
          <w:lang w:val="en-US" w:eastAsia="fr-BE"/>
        </w:rPr>
        <w:t>plus</w:t>
      </w:r>
      <w:r w:rsidR="00E36CC4" w:rsidRPr="0083119C">
        <w:rPr>
          <w:rFonts w:eastAsia="TimesNewRoman"/>
          <w:lang w:val="en-US" w:eastAsia="fr-BE"/>
        </w:rPr>
        <w:t xml:space="preserve"> additional data analyses that suggest that </w:t>
      </w:r>
      <w:r w:rsidR="007819CC" w:rsidRPr="0083119C">
        <w:rPr>
          <w:rFonts w:eastAsia="TimesNewRoman"/>
          <w:lang w:val="en-US" w:eastAsia="fr-BE"/>
        </w:rPr>
        <w:t xml:space="preserve">at the recommended OPDUALAG dose, </w:t>
      </w:r>
      <w:r w:rsidR="00E36CC4" w:rsidRPr="0083119C">
        <w:rPr>
          <w:rFonts w:eastAsia="TimesNewRoman"/>
          <w:lang w:val="en-US" w:eastAsia="fr-BE"/>
        </w:rPr>
        <w:t xml:space="preserve">nivolumab and </w:t>
      </w:r>
      <w:proofErr w:type="spellStart"/>
      <w:r w:rsidR="00E36CC4" w:rsidRPr="0083119C">
        <w:rPr>
          <w:rFonts w:eastAsia="TimesNewRoman"/>
          <w:lang w:val="en-US" w:eastAsia="fr-BE"/>
        </w:rPr>
        <w:t>relatlimab</w:t>
      </w:r>
      <w:proofErr w:type="spellEnd"/>
      <w:r w:rsidR="00E36CC4" w:rsidRPr="0083119C">
        <w:rPr>
          <w:rFonts w:eastAsia="TimesNewRoman"/>
          <w:lang w:val="en-US" w:eastAsia="fr-BE"/>
        </w:rPr>
        <w:t xml:space="preserve"> exposures in </w:t>
      </w:r>
      <w:proofErr w:type="spellStart"/>
      <w:r w:rsidR="00E36CC4" w:rsidRPr="0083119C">
        <w:rPr>
          <w:rFonts w:eastAsia="TimesNewRoman"/>
          <w:lang w:val="en-US" w:eastAsia="fr-BE"/>
        </w:rPr>
        <w:t>p</w:t>
      </w:r>
      <w:r w:rsidR="007819CC" w:rsidRPr="0083119C">
        <w:rPr>
          <w:rFonts w:eastAsia="TimesNewRoman"/>
          <w:lang w:val="en-US" w:eastAsia="fr-BE"/>
        </w:rPr>
        <w:t>a</w:t>
      </w:r>
      <w:r w:rsidR="00E36CC4" w:rsidRPr="0083119C">
        <w:rPr>
          <w:rFonts w:eastAsia="TimesNewRoman"/>
          <w:lang w:val="en-US" w:eastAsia="fr-BE"/>
        </w:rPr>
        <w:t>ediatric</w:t>
      </w:r>
      <w:proofErr w:type="spellEnd"/>
      <w:r w:rsidR="00E36CC4" w:rsidRPr="0083119C">
        <w:rPr>
          <w:rFonts w:eastAsia="TimesNewRoman"/>
          <w:lang w:val="en-US" w:eastAsia="fr-BE"/>
        </w:rPr>
        <w:t xml:space="preserve"> patients 12 years of age who weigh at least 40 kg are expected to</w:t>
      </w:r>
      <w:r w:rsidR="00043919" w:rsidRPr="0083119C">
        <w:rPr>
          <w:rFonts w:eastAsia="TimesNewRoman"/>
          <w:lang w:val="en-US" w:eastAsia="fr-BE"/>
        </w:rPr>
        <w:t xml:space="preserve"> </w:t>
      </w:r>
      <w:r w:rsidR="00E36CC4" w:rsidRPr="0083119C">
        <w:rPr>
          <w:rFonts w:eastAsia="TimesNewRoman"/>
          <w:lang w:val="en-US" w:eastAsia="fr-BE"/>
        </w:rPr>
        <w:t>result in similar safety and efficacy to that of adults. The pharmacokinetics of monoclonal</w:t>
      </w:r>
      <w:r w:rsidR="00043919" w:rsidRPr="0083119C">
        <w:rPr>
          <w:rFonts w:eastAsia="TimesNewRoman"/>
          <w:lang w:val="en-US" w:eastAsia="fr-BE"/>
        </w:rPr>
        <w:t xml:space="preserve"> </w:t>
      </w:r>
      <w:r w:rsidR="00E36CC4" w:rsidRPr="0083119C">
        <w:rPr>
          <w:rFonts w:eastAsia="TimesNewRoman"/>
          <w:lang w:val="en-US" w:eastAsia="fr-BE"/>
        </w:rPr>
        <w:t xml:space="preserve">antibodies and the </w:t>
      </w:r>
      <w:r w:rsidRPr="0083119C">
        <w:rPr>
          <w:rFonts w:eastAsia="TimesNewRoman"/>
          <w:lang w:val="en-US" w:eastAsia="fr-BE"/>
        </w:rPr>
        <w:t>nature</w:t>
      </w:r>
      <w:r w:rsidR="00E36CC4" w:rsidRPr="0083119C">
        <w:rPr>
          <w:rFonts w:eastAsia="TimesNewRoman"/>
          <w:lang w:val="en-US" w:eastAsia="fr-BE"/>
        </w:rPr>
        <w:t xml:space="preserve"> of melanoma is sufficiently </w:t>
      </w:r>
      <w:proofErr w:type="gramStart"/>
      <w:r w:rsidR="00E36CC4" w:rsidRPr="0083119C">
        <w:rPr>
          <w:rFonts w:eastAsia="TimesNewRoman"/>
          <w:lang w:val="en-US" w:eastAsia="fr-BE"/>
        </w:rPr>
        <w:t>similar to</w:t>
      </w:r>
      <w:proofErr w:type="gramEnd"/>
      <w:r w:rsidR="00E36CC4" w:rsidRPr="0083119C">
        <w:rPr>
          <w:rFonts w:eastAsia="TimesNewRoman"/>
          <w:lang w:val="en-US" w:eastAsia="fr-BE"/>
        </w:rPr>
        <w:t xml:space="preserve"> allow extrapolation of data</w:t>
      </w:r>
      <w:r w:rsidRPr="0083119C">
        <w:rPr>
          <w:rFonts w:eastAsia="TimesNewRoman"/>
          <w:lang w:val="en-US" w:eastAsia="fr-BE"/>
        </w:rPr>
        <w:t xml:space="preserve"> </w:t>
      </w:r>
      <w:r w:rsidR="007819CC" w:rsidRPr="0083119C">
        <w:rPr>
          <w:rFonts w:eastAsia="TimesNewRoman"/>
          <w:lang w:val="en-US" w:eastAsia="fr-BE"/>
        </w:rPr>
        <w:t xml:space="preserve">from </w:t>
      </w:r>
      <w:r w:rsidRPr="0083119C">
        <w:rPr>
          <w:rFonts w:eastAsia="TimesNewRoman"/>
          <w:lang w:val="en-US" w:eastAsia="fr-BE"/>
        </w:rPr>
        <w:t>adult patients to pediatric patients 12 years of age or older (who weigh at least 40 kg). A recommended dosage for pediatric patients 12 years of age or older who weigh less than 40 kg has not been established</w:t>
      </w:r>
      <w:r w:rsidR="007819CC" w:rsidRPr="0083119C">
        <w:rPr>
          <w:rFonts w:eastAsia="TimesNewRoman"/>
          <w:lang w:val="en-US" w:eastAsia="fr-BE"/>
        </w:rPr>
        <w:t>.</w:t>
      </w:r>
    </w:p>
    <w:p w14:paraId="0608644C" w14:textId="1684B51A" w:rsidR="00A70201" w:rsidRPr="00BE5436" w:rsidRDefault="00A005F4" w:rsidP="00E36CC4">
      <w:pPr>
        <w:autoSpaceDE w:val="0"/>
        <w:autoSpaceDN w:val="0"/>
        <w:adjustRightInd w:val="0"/>
        <w:rPr>
          <w:rFonts w:eastAsia="TimesNewRoman"/>
          <w:lang w:val="en-US" w:eastAsia="fr-BE"/>
        </w:rPr>
      </w:pPr>
      <w:r w:rsidRPr="0083119C">
        <w:rPr>
          <w:rFonts w:eastAsia="TimesNewRoman"/>
          <w:lang w:val="en-US" w:eastAsia="fr-BE"/>
        </w:rPr>
        <w:t xml:space="preserve">The safety and efficacy of </w:t>
      </w:r>
      <w:r w:rsidRPr="0083119C">
        <w:t>OPDUALAG</w:t>
      </w:r>
      <w:r w:rsidRPr="0083119C">
        <w:rPr>
          <w:rFonts w:eastAsia="TimesNewRoman"/>
          <w:lang w:val="en-US" w:eastAsia="fr-BE"/>
        </w:rPr>
        <w:t xml:space="preserve"> in children below</w:t>
      </w:r>
      <w:r w:rsidRPr="0083119C">
        <w:rPr>
          <w:noProof/>
        </w:rPr>
        <w:t> </w:t>
      </w:r>
      <w:r w:rsidRPr="0083119C">
        <w:rPr>
          <w:rFonts w:eastAsia="TimesNewRoman"/>
          <w:lang w:val="en-US" w:eastAsia="fr-BE"/>
        </w:rPr>
        <w:t>12</w:t>
      </w:r>
      <w:r w:rsidRPr="0083119C">
        <w:rPr>
          <w:noProof/>
        </w:rPr>
        <w:t> </w:t>
      </w:r>
      <w:r w:rsidRPr="0083119C">
        <w:rPr>
          <w:rFonts w:eastAsia="TimesNewRoman"/>
          <w:lang w:val="en-US" w:eastAsia="fr-BE"/>
        </w:rPr>
        <w:t>years of age and/or weighing less than</w:t>
      </w:r>
      <w:r w:rsidRPr="0083119C">
        <w:rPr>
          <w:noProof/>
        </w:rPr>
        <w:t> </w:t>
      </w:r>
      <w:r w:rsidRPr="0083119C">
        <w:rPr>
          <w:rFonts w:eastAsia="TimesNewRoman"/>
          <w:lang w:val="en-US" w:eastAsia="fr-BE"/>
        </w:rPr>
        <w:t>40</w:t>
      </w:r>
      <w:r w:rsidRPr="0083119C">
        <w:rPr>
          <w:noProof/>
        </w:rPr>
        <w:t> </w:t>
      </w:r>
      <w:r w:rsidRPr="0083119C">
        <w:rPr>
          <w:rFonts w:eastAsia="TimesNewRoman"/>
          <w:lang w:val="en-US" w:eastAsia="fr-BE"/>
        </w:rPr>
        <w:t>kg have not been established. No data are available.</w:t>
      </w:r>
      <w:r>
        <w:rPr>
          <w:rFonts w:eastAsia="TimesNewRoman"/>
          <w:lang w:val="en-US" w:eastAsia="fr-BE"/>
        </w:rPr>
        <w:t xml:space="preserve"> </w:t>
      </w:r>
    </w:p>
    <w:p w14:paraId="126FCCA9" w14:textId="77777777" w:rsidR="0061153A" w:rsidRPr="0083119C" w:rsidRDefault="0061153A" w:rsidP="009E2783">
      <w:pPr>
        <w:pStyle w:val="Heading4"/>
        <w:rPr>
          <w:rFonts w:hint="eastAsia"/>
        </w:rPr>
      </w:pPr>
      <w:r w:rsidRPr="0083119C">
        <w:t xml:space="preserve">Elderly patients </w:t>
      </w:r>
    </w:p>
    <w:p w14:paraId="19D058E3" w14:textId="35122C12" w:rsidR="0061153A" w:rsidRPr="0083119C" w:rsidRDefault="007819CC" w:rsidP="0061153A">
      <w:pPr>
        <w:autoSpaceDE w:val="0"/>
        <w:autoSpaceDN w:val="0"/>
        <w:adjustRightInd w:val="0"/>
      </w:pPr>
      <w:r w:rsidRPr="0083119C">
        <w:t>Of 355 patients who received OPDUALAG in RELATIVITY-047, 47% were 65 years or older, 29% were 65 to 74 years old, 17% were 75 to 84 years old, and 1.7% were 85 years or older. No overall differences in safety or effectiveness were observed between elderly patients and younger patients.</w:t>
      </w:r>
    </w:p>
    <w:p w14:paraId="37896E24" w14:textId="77777777" w:rsidR="001A3992" w:rsidRPr="0083119C" w:rsidRDefault="001A3992" w:rsidP="0083119C">
      <w:pPr>
        <w:pStyle w:val="Heading2"/>
      </w:pPr>
      <w:r w:rsidRPr="0083119C">
        <w:t>Interactions with other medicines and other forms of interactions</w:t>
      </w:r>
    </w:p>
    <w:p w14:paraId="2BCBCAA9" w14:textId="48F4DBAB" w:rsidR="003D053D" w:rsidRPr="0083119C" w:rsidRDefault="00DB592A" w:rsidP="00F84376">
      <w:pPr>
        <w:rPr>
          <w:bCs/>
          <w:iCs/>
        </w:rPr>
      </w:pPr>
      <w:r w:rsidRPr="0083119C">
        <w:rPr>
          <w:bCs/>
          <w:iCs/>
        </w:rPr>
        <w:t>Nivolumab</w:t>
      </w:r>
      <w:r w:rsidR="00F84376" w:rsidRPr="0083119C">
        <w:rPr>
          <w:bCs/>
          <w:iCs/>
        </w:rPr>
        <w:t xml:space="preserve"> and </w:t>
      </w:r>
      <w:proofErr w:type="spellStart"/>
      <w:r w:rsidRPr="0083119C">
        <w:rPr>
          <w:bCs/>
          <w:iCs/>
        </w:rPr>
        <w:t>relatlimab</w:t>
      </w:r>
      <w:proofErr w:type="spellEnd"/>
      <w:r w:rsidR="00F84376" w:rsidRPr="0083119C">
        <w:rPr>
          <w:bCs/>
          <w:iCs/>
        </w:rPr>
        <w:t xml:space="preserve"> are both human monoclonal antibodies and as such, no interaction studies have been conducted. As monoclonal antibodies are not metabolised by cytochrome P450 (CYP) enzymes or other drug metabolising enzymes, </w:t>
      </w:r>
      <w:proofErr w:type="gramStart"/>
      <w:r w:rsidR="00F84376" w:rsidRPr="0083119C">
        <w:rPr>
          <w:bCs/>
          <w:iCs/>
        </w:rPr>
        <w:t>inhibition</w:t>
      </w:r>
      <w:proofErr w:type="gramEnd"/>
      <w:r w:rsidR="00F84376" w:rsidRPr="0083119C">
        <w:rPr>
          <w:bCs/>
          <w:iCs/>
        </w:rPr>
        <w:t xml:space="preserve"> or induction of these enzymes by co-administered medicinal products is not anticipated to affect the pharmacokinetics of </w:t>
      </w:r>
      <w:r w:rsidR="007B7E5C" w:rsidRPr="0083119C">
        <w:rPr>
          <w:bCs/>
          <w:iCs/>
        </w:rPr>
        <w:t>nivolumab</w:t>
      </w:r>
      <w:r w:rsidR="00F84376" w:rsidRPr="0083119C">
        <w:rPr>
          <w:bCs/>
          <w:iCs/>
        </w:rPr>
        <w:t xml:space="preserve"> or </w:t>
      </w:r>
      <w:proofErr w:type="spellStart"/>
      <w:r w:rsidR="007B7E5C" w:rsidRPr="0083119C">
        <w:rPr>
          <w:bCs/>
          <w:iCs/>
        </w:rPr>
        <w:t>relatlimab</w:t>
      </w:r>
      <w:proofErr w:type="spellEnd"/>
      <w:r w:rsidR="00F84376" w:rsidRPr="0083119C">
        <w:rPr>
          <w:bCs/>
          <w:iCs/>
        </w:rPr>
        <w:t>.</w:t>
      </w:r>
    </w:p>
    <w:p w14:paraId="0D7E27C1" w14:textId="77777777" w:rsidR="00F13D99" w:rsidRPr="0083119C" w:rsidRDefault="00F13D99" w:rsidP="003067DE">
      <w:pPr>
        <w:pStyle w:val="Heading3"/>
      </w:pPr>
      <w:r w:rsidRPr="0083119C">
        <w:t xml:space="preserve">Other forms of interaction </w:t>
      </w:r>
    </w:p>
    <w:p w14:paraId="3BC7DE12" w14:textId="77777777" w:rsidR="00F13D99" w:rsidRPr="0083119C" w:rsidRDefault="00F13D99" w:rsidP="009E2783">
      <w:pPr>
        <w:pStyle w:val="Heading4"/>
        <w:rPr>
          <w:rFonts w:hint="eastAsia"/>
        </w:rPr>
      </w:pPr>
      <w:r w:rsidRPr="0083119C">
        <w:rPr>
          <w:rFonts w:hint="eastAsia"/>
        </w:rPr>
        <w:t>Systemic immunosuppression</w:t>
      </w:r>
    </w:p>
    <w:p w14:paraId="548FFC1B" w14:textId="08D5E3CF" w:rsidR="00D678D5" w:rsidRDefault="00D678D5" w:rsidP="00D678D5">
      <w:pPr>
        <w:rPr>
          <w:bCs/>
          <w:iCs/>
        </w:rPr>
      </w:pPr>
      <w:r w:rsidRPr="0083119C">
        <w:rPr>
          <w:bCs/>
          <w:iCs/>
        </w:rPr>
        <w:t>The use of systemic corticosteroids and other immunosuppressants at baseline</w:t>
      </w:r>
      <w:r w:rsidR="001D496D" w:rsidRPr="0083119C">
        <w:rPr>
          <w:bCs/>
          <w:iCs/>
        </w:rPr>
        <w:t xml:space="preserve"> (</w:t>
      </w:r>
      <w:r w:rsidRPr="0083119C">
        <w:rPr>
          <w:bCs/>
          <w:iCs/>
        </w:rPr>
        <w:t>before starting</w:t>
      </w:r>
      <w:r w:rsidR="001C372D" w:rsidRPr="0083119C">
        <w:rPr>
          <w:bCs/>
          <w:iCs/>
        </w:rPr>
        <w:t xml:space="preserve"> </w:t>
      </w:r>
      <w:r w:rsidR="007B7E5C" w:rsidRPr="0083119C">
        <w:rPr>
          <w:bCs/>
          <w:iCs/>
        </w:rPr>
        <w:t>nivolumab</w:t>
      </w:r>
      <w:r w:rsidRPr="0083119C">
        <w:rPr>
          <w:bCs/>
          <w:iCs/>
        </w:rPr>
        <w:t xml:space="preserve"> in combination with </w:t>
      </w:r>
      <w:proofErr w:type="spellStart"/>
      <w:r w:rsidR="007B7E5C" w:rsidRPr="0083119C">
        <w:rPr>
          <w:bCs/>
          <w:iCs/>
        </w:rPr>
        <w:t>relatlimab</w:t>
      </w:r>
      <w:proofErr w:type="spellEnd"/>
      <w:r w:rsidR="001D496D" w:rsidRPr="0083119C">
        <w:rPr>
          <w:bCs/>
          <w:iCs/>
        </w:rPr>
        <w:t>)</w:t>
      </w:r>
      <w:r w:rsidRPr="0083119C">
        <w:rPr>
          <w:bCs/>
          <w:iCs/>
        </w:rPr>
        <w:t xml:space="preserve"> should be avoided because of their potential interference with pharmacodynamic activity. However, systemic corticosteroids and other immunosuppressants can be used after starting </w:t>
      </w:r>
      <w:r w:rsidR="00886EDF" w:rsidRPr="0083119C">
        <w:rPr>
          <w:bCs/>
          <w:iCs/>
        </w:rPr>
        <w:t>nivolumab</w:t>
      </w:r>
      <w:r w:rsidRPr="0083119C">
        <w:rPr>
          <w:bCs/>
          <w:iCs/>
        </w:rPr>
        <w:t xml:space="preserve"> in combination with </w:t>
      </w:r>
      <w:proofErr w:type="spellStart"/>
      <w:r w:rsidR="00886EDF" w:rsidRPr="0083119C">
        <w:rPr>
          <w:bCs/>
          <w:iCs/>
        </w:rPr>
        <w:t>relatlimab</w:t>
      </w:r>
      <w:proofErr w:type="spellEnd"/>
      <w:r w:rsidRPr="0083119C">
        <w:rPr>
          <w:bCs/>
          <w:iCs/>
        </w:rPr>
        <w:t xml:space="preserve"> to treat immune-related adverse reactions.</w:t>
      </w:r>
    </w:p>
    <w:p w14:paraId="10100AF8" w14:textId="77777777" w:rsidR="00C814EA" w:rsidRDefault="00C814EA" w:rsidP="00D678D5">
      <w:pPr>
        <w:rPr>
          <w:bCs/>
          <w:iCs/>
        </w:rPr>
      </w:pPr>
    </w:p>
    <w:p w14:paraId="4CE55743" w14:textId="77777777" w:rsidR="00C814EA" w:rsidRPr="00D678D5" w:rsidRDefault="00C814EA" w:rsidP="00D678D5">
      <w:pPr>
        <w:rPr>
          <w:bCs/>
          <w:iCs/>
        </w:rPr>
      </w:pPr>
    </w:p>
    <w:p w14:paraId="47C33CD2" w14:textId="77777777" w:rsidR="001A3992" w:rsidRPr="0083119C" w:rsidRDefault="001A3992" w:rsidP="0083119C">
      <w:pPr>
        <w:pStyle w:val="Heading2"/>
      </w:pPr>
      <w:r w:rsidRPr="0083119C">
        <w:lastRenderedPageBreak/>
        <w:t xml:space="preserve">Fertility, pregnancy and lactation </w:t>
      </w:r>
    </w:p>
    <w:p w14:paraId="632CC5FE" w14:textId="77777777" w:rsidR="00227BA9" w:rsidRPr="0083119C" w:rsidRDefault="00227BA9" w:rsidP="003067DE">
      <w:pPr>
        <w:pStyle w:val="Heading3"/>
      </w:pPr>
      <w:r w:rsidRPr="0083119C">
        <w:t>Effects on fertility</w:t>
      </w:r>
    </w:p>
    <w:p w14:paraId="47B47AE3" w14:textId="3DB4D097" w:rsidR="00227BA9" w:rsidRPr="0083119C" w:rsidRDefault="00227BA9" w:rsidP="00227BA9">
      <w:r w:rsidRPr="0083119C">
        <w:rPr>
          <w:noProof/>
        </w:rPr>
        <w:t>Studies to evaluate the effect of nivolumab and/or relatlimab on fertility have not been performed</w:t>
      </w:r>
      <w:r w:rsidR="00086739" w:rsidRPr="0083119C">
        <w:rPr>
          <w:noProof/>
        </w:rPr>
        <w:t>, so their effect on</w:t>
      </w:r>
      <w:r w:rsidRPr="0083119C">
        <w:rPr>
          <w:noProof/>
        </w:rPr>
        <w:t xml:space="preserve"> fertility </w:t>
      </w:r>
      <w:r w:rsidR="00086739" w:rsidRPr="0083119C">
        <w:rPr>
          <w:noProof/>
        </w:rPr>
        <w:t xml:space="preserve">(male and female) </w:t>
      </w:r>
      <w:r w:rsidRPr="0083119C">
        <w:rPr>
          <w:noProof/>
        </w:rPr>
        <w:t>is unknown</w:t>
      </w:r>
      <w:r w:rsidRPr="0083119C">
        <w:t>.</w:t>
      </w:r>
    </w:p>
    <w:p w14:paraId="00EF172F" w14:textId="58C5A1D5" w:rsidR="002A3C06" w:rsidRPr="0083119C" w:rsidRDefault="002A3C06" w:rsidP="003067DE">
      <w:pPr>
        <w:pStyle w:val="Heading3"/>
      </w:pPr>
      <w:r w:rsidRPr="0083119C">
        <w:t>Contraception</w:t>
      </w:r>
    </w:p>
    <w:p w14:paraId="05A1B1AB" w14:textId="6F02A907" w:rsidR="002A3C06" w:rsidRPr="0083119C" w:rsidRDefault="00A356F5" w:rsidP="006357FA">
      <w:pPr>
        <w:rPr>
          <w:noProof/>
        </w:rPr>
      </w:pPr>
      <w:r w:rsidRPr="0083119C">
        <w:rPr>
          <w:noProof/>
        </w:rPr>
        <w:t>Advise females of reproductive potential to use e</w:t>
      </w:r>
      <w:r w:rsidR="006357FA" w:rsidRPr="0083119C">
        <w:rPr>
          <w:noProof/>
        </w:rPr>
        <w:t xml:space="preserve">ffective contraception </w:t>
      </w:r>
      <w:r w:rsidRPr="0083119C">
        <w:rPr>
          <w:noProof/>
        </w:rPr>
        <w:t>during treatment and</w:t>
      </w:r>
      <w:r w:rsidR="006357FA" w:rsidRPr="0083119C">
        <w:rPr>
          <w:noProof/>
        </w:rPr>
        <w:t xml:space="preserve"> for at least 5 months following the last dose of OPDUALAG.</w:t>
      </w:r>
    </w:p>
    <w:p w14:paraId="7EA40642" w14:textId="27C32CFD" w:rsidR="006377C9" w:rsidRPr="0083119C" w:rsidRDefault="006377C9" w:rsidP="003067DE">
      <w:pPr>
        <w:pStyle w:val="Heading3"/>
      </w:pPr>
      <w:r w:rsidRPr="0083119C">
        <w:t>Use in pregnancy (Category D)</w:t>
      </w:r>
    </w:p>
    <w:p w14:paraId="7A071FC7" w14:textId="2816B2A7" w:rsidR="00D1366B" w:rsidRDefault="00480B08" w:rsidP="006377C9">
      <w:pPr>
        <w:rPr>
          <w:noProof/>
        </w:rPr>
      </w:pPr>
      <w:r w:rsidRPr="0083119C">
        <w:t xml:space="preserve">Based on its mechanism of action and data from animal studies, </w:t>
      </w:r>
      <w:r w:rsidR="008B57B9" w:rsidRPr="0083119C">
        <w:t>OPDUALAG</w:t>
      </w:r>
      <w:r w:rsidRPr="0083119C">
        <w:t xml:space="preserve"> can cause </w:t>
      </w:r>
      <w:proofErr w:type="spellStart"/>
      <w:r w:rsidRPr="0083119C">
        <w:t>fetal</w:t>
      </w:r>
      <w:proofErr w:type="spellEnd"/>
      <w:r w:rsidRPr="0083119C">
        <w:t xml:space="preserve"> harm when administered during pregnancy. </w:t>
      </w:r>
      <w:r w:rsidR="00677A23" w:rsidRPr="0083119C">
        <w:rPr>
          <w:noProof/>
        </w:rPr>
        <w:t xml:space="preserve">Administration of nivolumab to cynomolgus monkeys from the onset of organogenesis through delivery resulted in increased abortion and premature infant death (see below). </w:t>
      </w:r>
      <w:r w:rsidR="00C31988" w:rsidRPr="0083119C">
        <w:rPr>
          <w:noProof/>
        </w:rPr>
        <w:t xml:space="preserve">There are no </w:t>
      </w:r>
      <w:r w:rsidRPr="0083119C">
        <w:rPr>
          <w:noProof/>
        </w:rPr>
        <w:t xml:space="preserve">clinical </w:t>
      </w:r>
      <w:r w:rsidR="008B57B9" w:rsidRPr="0083119C">
        <w:rPr>
          <w:noProof/>
        </w:rPr>
        <w:t xml:space="preserve">data </w:t>
      </w:r>
      <w:r w:rsidR="00C31988" w:rsidRPr="0083119C">
        <w:rPr>
          <w:noProof/>
        </w:rPr>
        <w:t xml:space="preserve">on the use of </w:t>
      </w:r>
      <w:r w:rsidR="008B57B9" w:rsidRPr="0083119C">
        <w:rPr>
          <w:noProof/>
        </w:rPr>
        <w:t>OPDUALAG</w:t>
      </w:r>
      <w:r w:rsidR="00C31988" w:rsidRPr="0083119C">
        <w:rPr>
          <w:noProof/>
        </w:rPr>
        <w:t xml:space="preserve"> in pregnan</w:t>
      </w:r>
      <w:r w:rsidRPr="0083119C">
        <w:rPr>
          <w:noProof/>
        </w:rPr>
        <w:t>cy</w:t>
      </w:r>
      <w:r w:rsidR="0024139B" w:rsidRPr="0083119C">
        <w:rPr>
          <w:noProof/>
        </w:rPr>
        <w:t>, however, the PD-1/PD-L1 pathway is involved in maintaining immune tolerance to a fetus</w:t>
      </w:r>
      <w:r w:rsidR="008B57B9" w:rsidRPr="0083119C">
        <w:rPr>
          <w:noProof/>
        </w:rPr>
        <w:t>.</w:t>
      </w:r>
      <w:r w:rsidRPr="0083119C">
        <w:rPr>
          <w:noProof/>
        </w:rPr>
        <w:t xml:space="preserve"> </w:t>
      </w:r>
      <w:r w:rsidR="00226EE8">
        <w:t xml:space="preserve">The effects of OPDUALAG are likely to be greater during the second and third trimesters of pregnancy. </w:t>
      </w:r>
      <w:r w:rsidR="0024139B" w:rsidRPr="0083119C">
        <w:rPr>
          <w:noProof/>
        </w:rPr>
        <w:t xml:space="preserve">Human IgG4 is known to cross the placenta; therefore, nivolumab and relatlimab both have the potential to be transmitted from a pregnant person to the developing fetus. Advise patients of the potential risk to a fetus. </w:t>
      </w:r>
    </w:p>
    <w:p w14:paraId="5CA7D3CF" w14:textId="0E16EFA2" w:rsidR="0024139B" w:rsidRPr="0083119C" w:rsidRDefault="008B57B9" w:rsidP="00D1366B">
      <w:pPr>
        <w:rPr>
          <w:noProof/>
        </w:rPr>
      </w:pPr>
      <w:r w:rsidRPr="0083119C">
        <w:rPr>
          <w:u w:val="single"/>
        </w:rPr>
        <w:t>A</w:t>
      </w:r>
      <w:r w:rsidR="00480B08" w:rsidRPr="0083119C">
        <w:rPr>
          <w:u w:val="single"/>
        </w:rPr>
        <w:t>nimal data</w:t>
      </w:r>
      <w:r w:rsidRPr="0083119C">
        <w:rPr>
          <w:u w:val="single"/>
        </w:rPr>
        <w:t>:</w:t>
      </w:r>
      <w:r w:rsidRPr="0083119C">
        <w:rPr>
          <w:noProof/>
        </w:rPr>
        <w:t xml:space="preserve"> </w:t>
      </w:r>
    </w:p>
    <w:p w14:paraId="1E3AEB61" w14:textId="66A4198F" w:rsidR="0040525F" w:rsidRPr="0083119C" w:rsidRDefault="0024139B" w:rsidP="00D1366B">
      <w:pPr>
        <w:rPr>
          <w:noProof/>
        </w:rPr>
      </w:pPr>
      <w:r w:rsidRPr="0083119C">
        <w:rPr>
          <w:noProof/>
        </w:rPr>
        <w:t>N</w:t>
      </w:r>
      <w:r w:rsidR="008B57B9" w:rsidRPr="0083119C">
        <w:rPr>
          <w:noProof/>
        </w:rPr>
        <w:t>o</w:t>
      </w:r>
      <w:r w:rsidR="008B57B9" w:rsidRPr="0083119C">
        <w:rPr>
          <w:bCs/>
          <w:noProof/>
        </w:rPr>
        <w:t xml:space="preserve"> dedicated reproductive toxicity studies were conducted with </w:t>
      </w:r>
      <w:r w:rsidRPr="0083119C">
        <w:rPr>
          <w:bCs/>
          <w:noProof/>
        </w:rPr>
        <w:t>OPDUALAG</w:t>
      </w:r>
      <w:r w:rsidR="0040525F" w:rsidRPr="0083119C">
        <w:rPr>
          <w:bCs/>
          <w:noProof/>
        </w:rPr>
        <w:t xml:space="preserve"> (nivolumab in combination with relatlimab)</w:t>
      </w:r>
      <w:r w:rsidR="00677A23" w:rsidRPr="0083119C">
        <w:rPr>
          <w:bCs/>
          <w:noProof/>
        </w:rPr>
        <w:t xml:space="preserve">. </w:t>
      </w:r>
    </w:p>
    <w:p w14:paraId="63045265" w14:textId="63F0E01C" w:rsidR="00937F08" w:rsidRPr="0083119C" w:rsidRDefault="00937F08" w:rsidP="00937F08">
      <w:pPr>
        <w:rPr>
          <w:noProof/>
        </w:rPr>
      </w:pPr>
      <w:r w:rsidRPr="0083119C">
        <w:rPr>
          <w:noProof/>
        </w:rPr>
        <w:t>Blockade of the PD</w:t>
      </w:r>
      <w:r w:rsidRPr="0083119C">
        <w:rPr>
          <w:noProof/>
        </w:rPr>
        <w:noBreakHyphen/>
        <w:t>1/PD</w:t>
      </w:r>
      <w:r w:rsidRPr="0083119C">
        <w:rPr>
          <w:noProof/>
        </w:rPr>
        <w:noBreakHyphen/>
        <w:t>L1 pathway has been shown in murine models of pregnancy to disrupt tolerance to the fetus and to increase fetal loss.</w:t>
      </w:r>
    </w:p>
    <w:p w14:paraId="6C12ACE9" w14:textId="62220987" w:rsidR="00677A23" w:rsidRPr="0083119C" w:rsidRDefault="00937F08" w:rsidP="00516DCF">
      <w:pPr>
        <w:rPr>
          <w:strike/>
          <w:noProof/>
        </w:rPr>
      </w:pPr>
      <w:r w:rsidRPr="0083119C">
        <w:rPr>
          <w:noProof/>
        </w:rPr>
        <w:t xml:space="preserve">The effects of nivolumab on prenatal and postnatal development were evaluated in </w:t>
      </w:r>
      <w:r w:rsidR="00925AF0" w:rsidRPr="0083119C">
        <w:rPr>
          <w:noProof/>
        </w:rPr>
        <w:t xml:space="preserve">cynomolgus </w:t>
      </w:r>
      <w:r w:rsidRPr="0083119C">
        <w:rPr>
          <w:noProof/>
        </w:rPr>
        <w:t xml:space="preserve">monkeys that received nivolumab </w:t>
      </w:r>
      <w:r w:rsidR="003D5868" w:rsidRPr="0083119C">
        <w:rPr>
          <w:noProof/>
        </w:rPr>
        <w:t>at 10 and 50</w:t>
      </w:r>
      <w:r w:rsidR="00CC07F0" w:rsidRPr="0083119C">
        <w:rPr>
          <w:noProof/>
        </w:rPr>
        <w:t xml:space="preserve"> </w:t>
      </w:r>
      <w:r w:rsidR="003D5868" w:rsidRPr="0083119C">
        <w:rPr>
          <w:noProof/>
        </w:rPr>
        <w:t xml:space="preserve">mg/kg </w:t>
      </w:r>
      <w:r w:rsidRPr="0083119C">
        <w:rPr>
          <w:noProof/>
        </w:rPr>
        <w:t xml:space="preserve">twice weekly from the onset of organogenesis in the first trimester through delivery, at exposure levels either 8 or 35 times higher than those observed at the clinical dose of 3 mg/kg of nivolumab (based on AUC). </w:t>
      </w:r>
      <w:bookmarkStart w:id="5" w:name="_Hlk113609349"/>
      <w:r w:rsidRPr="0083119C">
        <w:rPr>
          <w:noProof/>
        </w:rPr>
        <w:t>There was a dose-dependent increase in fetal losses and increased neonatal mortality beginning in the third trimester</w:t>
      </w:r>
      <w:r w:rsidR="003D5868" w:rsidRPr="0083119C">
        <w:rPr>
          <w:noProof/>
        </w:rPr>
        <w:t xml:space="preserve"> and after birth</w:t>
      </w:r>
      <w:bookmarkEnd w:id="5"/>
      <w:r w:rsidRPr="0083119C">
        <w:rPr>
          <w:noProof/>
        </w:rPr>
        <w:t>.</w:t>
      </w:r>
      <w:r w:rsidR="00516DCF" w:rsidRPr="0083119C">
        <w:rPr>
          <w:noProof/>
        </w:rPr>
        <w:t xml:space="preserve"> </w:t>
      </w:r>
      <w:r w:rsidR="00086739" w:rsidRPr="0083119C">
        <w:rPr>
          <w:noProof/>
        </w:rPr>
        <w:t xml:space="preserve">In surviving infants (18 of 32 compared to 11 of 16 vehicle-exposed infants), </w:t>
      </w:r>
      <w:r w:rsidRPr="0083119C">
        <w:rPr>
          <w:noProof/>
        </w:rPr>
        <w:t>no treatment-related clinical signs, alterations to normal development, organ-weight effects, or gross and microscopic pathology changes</w:t>
      </w:r>
      <w:r w:rsidR="0040525F" w:rsidRPr="0083119C">
        <w:rPr>
          <w:noProof/>
        </w:rPr>
        <w:t xml:space="preserve"> were seen</w:t>
      </w:r>
      <w:r w:rsidRPr="0083119C">
        <w:rPr>
          <w:noProof/>
        </w:rPr>
        <w:t>. Results for growth indices, as well as teratogenic, neurobehavioral, immunological, and clinical pathology parameters throughout the 6</w:t>
      </w:r>
      <w:r w:rsidRPr="0083119C">
        <w:rPr>
          <w:noProof/>
        </w:rPr>
        <w:noBreakHyphen/>
        <w:t>month postnatal period were comparable to the control group. However, based on their mechanism of action, fetal exposure to nivolumab, and, similarly, relatlimab, may increase the risk of developing immune-related disorders or altering the normal immune response</w:t>
      </w:r>
      <w:r w:rsidR="00CC07F0" w:rsidRPr="0083119C">
        <w:rPr>
          <w:noProof/>
        </w:rPr>
        <w:t>. I</w:t>
      </w:r>
      <w:r w:rsidRPr="0083119C">
        <w:rPr>
          <w:noProof/>
        </w:rPr>
        <w:t>mmune-related disorders have been reported in PD</w:t>
      </w:r>
      <w:r w:rsidRPr="0083119C">
        <w:rPr>
          <w:noProof/>
        </w:rPr>
        <w:noBreakHyphen/>
        <w:t>1</w:t>
      </w:r>
      <w:r w:rsidR="00CC07F0" w:rsidRPr="0083119C">
        <w:rPr>
          <w:noProof/>
        </w:rPr>
        <w:t xml:space="preserve"> knockout mice</w:t>
      </w:r>
      <w:r w:rsidRPr="0083119C">
        <w:rPr>
          <w:noProof/>
        </w:rPr>
        <w:t xml:space="preserve"> and PD</w:t>
      </w:r>
      <w:r w:rsidRPr="0083119C">
        <w:rPr>
          <w:noProof/>
        </w:rPr>
        <w:noBreakHyphen/>
        <w:t>1/LAG</w:t>
      </w:r>
      <w:r w:rsidRPr="0083119C">
        <w:rPr>
          <w:noProof/>
        </w:rPr>
        <w:noBreakHyphen/>
        <w:t xml:space="preserve">3 knockout mice. </w:t>
      </w:r>
    </w:p>
    <w:p w14:paraId="53E7D63D" w14:textId="2A5B6373" w:rsidR="00677A23" w:rsidRPr="00712087" w:rsidRDefault="00677A23" w:rsidP="00FE6945">
      <w:pPr>
        <w:rPr>
          <w:noProof/>
        </w:rPr>
      </w:pPr>
      <w:r w:rsidRPr="0083119C">
        <w:rPr>
          <w:bCs/>
          <w:noProof/>
        </w:rPr>
        <w:t>There are no specific animal data on the reproductive toxicity of relatlimab</w:t>
      </w:r>
      <w:r w:rsidRPr="0083119C">
        <w:rPr>
          <w:noProof/>
        </w:rPr>
        <w:t xml:space="preserve">. </w:t>
      </w:r>
      <w:r w:rsidR="00FE6945" w:rsidRPr="0083119C">
        <w:rPr>
          <w:noProof/>
        </w:rPr>
        <w:t>The effects of a murine surrogate anti-LAG-3 antibody was evaluated in mice using syngeneic and allogeneic breeding models</w:t>
      </w:r>
      <w:r w:rsidR="00A10A3A" w:rsidRPr="0083119C">
        <w:rPr>
          <w:noProof/>
        </w:rPr>
        <w:t>, and no</w:t>
      </w:r>
      <w:r w:rsidRPr="0083119C">
        <w:rPr>
          <w:noProof/>
        </w:rPr>
        <w:t xml:space="preserve"> maternal or developmental effects were seen when anti-LAG-3 antibodies were administered beginning on gestation day 6. However, based on the mechanism of action, blockade of LAG-3 with </w:t>
      </w:r>
      <w:r w:rsidRPr="00712087">
        <w:rPr>
          <w:noProof/>
        </w:rPr>
        <w:t xml:space="preserve">relatlimab can have a similar negative effect as nivolumab on pregnancy. </w:t>
      </w:r>
    </w:p>
    <w:p w14:paraId="0A6DEC77" w14:textId="77777777" w:rsidR="006377C9" w:rsidRPr="00712087" w:rsidRDefault="006377C9" w:rsidP="003067DE">
      <w:pPr>
        <w:pStyle w:val="Heading3"/>
      </w:pPr>
      <w:r w:rsidRPr="00712087">
        <w:t>Use in lactation</w:t>
      </w:r>
    </w:p>
    <w:p w14:paraId="271FA124" w14:textId="6289B1C5" w:rsidR="003C741E" w:rsidRPr="00712087" w:rsidRDefault="00CC07F0" w:rsidP="00CC07F0">
      <w:pPr>
        <w:rPr>
          <w:noProof/>
        </w:rPr>
      </w:pPr>
      <w:r w:rsidRPr="00712087">
        <w:rPr>
          <w:noProof/>
        </w:rPr>
        <w:t xml:space="preserve">There are no data on the presence of nivolumab and relatlimab in human milk, the effects on a breastfed child, or the effects on milk production. Because nivolumab and relatlimab may be excreted in human </w:t>
      </w:r>
      <w:r w:rsidRPr="00712087">
        <w:rPr>
          <w:noProof/>
        </w:rPr>
        <w:lastRenderedPageBreak/>
        <w:t>milk and because of the potential for serious adverse reactions in a breastfed child, advise patients not to breastfeed during treatment with OPDUALAG and for at least 5 months after the last dose.</w:t>
      </w:r>
      <w:r w:rsidRPr="00712087" w:rsidDel="00CC07F0">
        <w:rPr>
          <w:noProof/>
        </w:rPr>
        <w:t xml:space="preserve"> </w:t>
      </w:r>
    </w:p>
    <w:p w14:paraId="0375B0C2" w14:textId="0DF7DEF7" w:rsidR="001A3992" w:rsidRPr="00712087" w:rsidRDefault="001A3992" w:rsidP="0083119C">
      <w:pPr>
        <w:pStyle w:val="Heading2"/>
      </w:pPr>
      <w:r w:rsidRPr="00712087">
        <w:t>Effects on ab</w:t>
      </w:r>
      <w:r w:rsidR="003C741E" w:rsidRPr="00712087">
        <w:t>ility to drive and use machines</w:t>
      </w:r>
    </w:p>
    <w:p w14:paraId="19A4E498" w14:textId="543660AA" w:rsidR="00871298" w:rsidRPr="00871298" w:rsidRDefault="0044468F" w:rsidP="00072439">
      <w:pPr>
        <w:rPr>
          <w:noProof/>
        </w:rPr>
      </w:pPr>
      <w:r w:rsidRPr="00712087">
        <w:rPr>
          <w:noProof/>
        </w:rPr>
        <w:t>OPDUALAG</w:t>
      </w:r>
      <w:r w:rsidR="00871298" w:rsidRPr="00712087">
        <w:rPr>
          <w:noProof/>
        </w:rPr>
        <w:t xml:space="preserve"> may influence the ability to drive and use machines</w:t>
      </w:r>
      <w:r w:rsidR="00CC07F0" w:rsidRPr="00712087">
        <w:rPr>
          <w:noProof/>
        </w:rPr>
        <w:t xml:space="preserve"> </w:t>
      </w:r>
      <w:r w:rsidR="00072439" w:rsidRPr="00712087">
        <w:rPr>
          <w:noProof/>
        </w:rPr>
        <w:t xml:space="preserve">if </w:t>
      </w:r>
      <w:r w:rsidR="00871298" w:rsidRPr="00712087">
        <w:rPr>
          <w:noProof/>
        </w:rPr>
        <w:t>adverse reactions such as fatigue</w:t>
      </w:r>
      <w:r w:rsidR="00072439" w:rsidRPr="00712087">
        <w:rPr>
          <w:noProof/>
        </w:rPr>
        <w:t xml:space="preserve"> occur</w:t>
      </w:r>
      <w:r w:rsidR="00871298" w:rsidRPr="00712087">
        <w:rPr>
          <w:noProof/>
        </w:rPr>
        <w:t xml:space="preserve"> (see section 4.8</w:t>
      </w:r>
      <w:r w:rsidR="00FD0DE1" w:rsidRPr="00712087">
        <w:rPr>
          <w:noProof/>
        </w:rPr>
        <w:t xml:space="preserve"> Adverse effects</w:t>
      </w:r>
      <w:r w:rsidR="00871298" w:rsidRPr="00712087">
        <w:rPr>
          <w:noProof/>
        </w:rPr>
        <w:t>)</w:t>
      </w:r>
      <w:r w:rsidR="00CC07F0" w:rsidRPr="00712087">
        <w:rPr>
          <w:noProof/>
        </w:rPr>
        <w:t xml:space="preserve">. Advise </w:t>
      </w:r>
      <w:r w:rsidR="00871298" w:rsidRPr="00712087">
        <w:rPr>
          <w:noProof/>
        </w:rPr>
        <w:t xml:space="preserve">patients to use caution when driving or operating machinery until they </w:t>
      </w:r>
      <w:r w:rsidR="00072439" w:rsidRPr="00712087">
        <w:rPr>
          <w:noProof/>
        </w:rPr>
        <w:t>know how</w:t>
      </w:r>
      <w:r w:rsidR="00871298" w:rsidRPr="00712087">
        <w:rPr>
          <w:noProof/>
        </w:rPr>
        <w:t xml:space="preserve"> </w:t>
      </w:r>
      <w:r w:rsidRPr="00712087">
        <w:rPr>
          <w:noProof/>
        </w:rPr>
        <w:t>OPDUALAG</w:t>
      </w:r>
      <w:r w:rsidR="00072439" w:rsidRPr="00712087">
        <w:rPr>
          <w:noProof/>
        </w:rPr>
        <w:t xml:space="preserve"> </w:t>
      </w:r>
      <w:r w:rsidR="00871298" w:rsidRPr="00712087">
        <w:rPr>
          <w:noProof/>
        </w:rPr>
        <w:t>affect</w:t>
      </w:r>
      <w:r w:rsidR="00072439" w:rsidRPr="00712087">
        <w:rPr>
          <w:noProof/>
        </w:rPr>
        <w:t>s</w:t>
      </w:r>
      <w:r w:rsidR="00871298" w:rsidRPr="00712087">
        <w:rPr>
          <w:noProof/>
        </w:rPr>
        <w:t xml:space="preserve"> the</w:t>
      </w:r>
      <w:r w:rsidR="00072439" w:rsidRPr="00712087">
        <w:rPr>
          <w:noProof/>
        </w:rPr>
        <w:t xml:space="preserve">m, and </w:t>
      </w:r>
      <w:r w:rsidR="00871298" w:rsidRPr="00712087">
        <w:rPr>
          <w:noProof/>
        </w:rPr>
        <w:t xml:space="preserve">to </w:t>
      </w:r>
      <w:r w:rsidR="00072439" w:rsidRPr="00712087">
        <w:rPr>
          <w:noProof/>
        </w:rPr>
        <w:t>stop driving and using</w:t>
      </w:r>
      <w:r w:rsidR="00871298" w:rsidRPr="00712087">
        <w:rPr>
          <w:noProof/>
        </w:rPr>
        <w:t xml:space="preserve"> machines if they experience </w:t>
      </w:r>
      <w:r w:rsidR="00072439" w:rsidRPr="00712087">
        <w:rPr>
          <w:noProof/>
        </w:rPr>
        <w:t xml:space="preserve">impairing effects such as </w:t>
      </w:r>
      <w:r w:rsidR="00871298" w:rsidRPr="00712087">
        <w:rPr>
          <w:noProof/>
        </w:rPr>
        <w:t>fatigue or dizziness</w:t>
      </w:r>
      <w:r w:rsidR="00E2758B" w:rsidRPr="00712087">
        <w:rPr>
          <w:noProof/>
        </w:rPr>
        <w:t>.</w:t>
      </w:r>
    </w:p>
    <w:p w14:paraId="7150EC92" w14:textId="77777777" w:rsidR="001A3992" w:rsidRPr="000A4651" w:rsidRDefault="001A3992" w:rsidP="0083119C">
      <w:pPr>
        <w:pStyle w:val="Heading2"/>
      </w:pPr>
      <w:r w:rsidRPr="000A4651">
        <w:t>Adverse effects (Undesirable effects)</w:t>
      </w:r>
    </w:p>
    <w:p w14:paraId="5A55A107" w14:textId="77777777" w:rsidR="009E5F40" w:rsidRPr="00067540" w:rsidRDefault="009E5F40" w:rsidP="003067DE">
      <w:pPr>
        <w:pStyle w:val="Heading3"/>
      </w:pPr>
      <w:r w:rsidRPr="00067540">
        <w:t xml:space="preserve">Summary of the safety profile </w:t>
      </w:r>
    </w:p>
    <w:p w14:paraId="2D3FDB1A" w14:textId="5A79992E" w:rsidR="00BF5C1D" w:rsidRPr="00067540" w:rsidRDefault="009E5F40" w:rsidP="00A95B56">
      <w:pPr>
        <w:spacing w:after="120"/>
      </w:pPr>
      <w:r w:rsidRPr="00067540">
        <w:t xml:space="preserve">The safety of </w:t>
      </w:r>
      <w:r w:rsidR="00EB7A13" w:rsidRPr="00067540">
        <w:t>OPDUALAG</w:t>
      </w:r>
      <w:r w:rsidRPr="00067540">
        <w:t xml:space="preserve"> has been evaluated in </w:t>
      </w:r>
      <w:r w:rsidR="00A95B56" w:rsidRPr="00067540">
        <w:t xml:space="preserve">RELATIVITY-047 </w:t>
      </w:r>
      <w:r w:rsidRPr="00067540">
        <w:t>(study CA224047)</w:t>
      </w:r>
      <w:r w:rsidR="00A95B56" w:rsidRPr="00067540">
        <w:t xml:space="preserve">, a randomised (1:1), double-blinded trial in 714 patients with previously untreated metastatic or unresectable melanoma (see section 5.1 Pharmacodynamic properties – Clinical trials). Patients received intravenous infusion with either OPDUALAG (nivolumab 480 mg and </w:t>
      </w:r>
      <w:proofErr w:type="spellStart"/>
      <w:r w:rsidR="00A95B56" w:rsidRPr="00067540">
        <w:t>relatlimab</w:t>
      </w:r>
      <w:proofErr w:type="spellEnd"/>
      <w:r w:rsidR="00A95B56" w:rsidRPr="00067540">
        <w:t xml:space="preserve"> 160 mg, n=355) or nivolumab 480 mg</w:t>
      </w:r>
      <w:r w:rsidR="00EB7A13" w:rsidRPr="00067540">
        <w:t xml:space="preserve"> (n=359), once </w:t>
      </w:r>
      <w:r w:rsidR="00A95B56" w:rsidRPr="00067540">
        <w:t>every 4 weeks</w:t>
      </w:r>
      <w:r w:rsidR="00EB7A13" w:rsidRPr="00067540">
        <w:t>,</w:t>
      </w:r>
      <w:r w:rsidR="00A95B56" w:rsidRPr="00067540">
        <w:t xml:space="preserve"> until disease progression or unacceptable toxicity. The median duration of exposure </w:t>
      </w:r>
      <w:r w:rsidR="00EB7A13" w:rsidRPr="00067540">
        <w:t xml:space="preserve">to OPDUALAG </w:t>
      </w:r>
      <w:r w:rsidR="00A95B56" w:rsidRPr="00067540">
        <w:t xml:space="preserve">was 6 months (range: 0 to 31 months) and </w:t>
      </w:r>
      <w:r w:rsidR="00EB7A13" w:rsidRPr="00067540">
        <w:t xml:space="preserve">to nivolumab monotherapy was </w:t>
      </w:r>
      <w:r w:rsidR="00A95B56" w:rsidRPr="00067540">
        <w:t>5 months (range: 0 to 32 months).</w:t>
      </w:r>
    </w:p>
    <w:p w14:paraId="19FDCB74" w14:textId="1D527E2F" w:rsidR="002304A6" w:rsidRDefault="006071C7" w:rsidP="006071C7">
      <w:pPr>
        <w:spacing w:after="120"/>
      </w:pPr>
      <w:r w:rsidRPr="00067540">
        <w:t>The frequencies included below and in Table 2 are based on all reported adverse reactions, regardless of the investigator assessment of causality.</w:t>
      </w:r>
      <w:r w:rsidR="00A37066" w:rsidRPr="00067540">
        <w:t xml:space="preserve"> </w:t>
      </w:r>
      <w:r w:rsidR="00A93B0D" w:rsidRPr="00067540">
        <w:t>T</w:t>
      </w:r>
      <w:r w:rsidRPr="00067540">
        <w:t xml:space="preserve">he most common adverse reactions (≥ </w:t>
      </w:r>
      <w:r w:rsidR="00A95B56" w:rsidRPr="00067540">
        <w:t>2</w:t>
      </w:r>
      <w:r w:rsidRPr="00067540">
        <w:t xml:space="preserve">0%) were </w:t>
      </w:r>
      <w:r w:rsidR="00A95B56" w:rsidRPr="00067540">
        <w:t xml:space="preserve">musculoskeletal pain (45%), </w:t>
      </w:r>
      <w:r w:rsidRPr="00067540">
        <w:t>fatigue (39%), rash (2</w:t>
      </w:r>
      <w:r w:rsidR="0040525F" w:rsidRPr="00067540">
        <w:t>8</w:t>
      </w:r>
      <w:r w:rsidRPr="00067540">
        <w:t xml:space="preserve">%), pruritus (25%), </w:t>
      </w:r>
      <w:r w:rsidR="00A95B56" w:rsidRPr="00067540">
        <w:t xml:space="preserve">and </w:t>
      </w:r>
      <w:r w:rsidRPr="00067540">
        <w:t>diarrhoea (2</w:t>
      </w:r>
      <w:r w:rsidR="0040525F" w:rsidRPr="00067540">
        <w:t>4</w:t>
      </w:r>
      <w:r w:rsidRPr="00067540">
        <w:t xml:space="preserve">%). </w:t>
      </w:r>
      <w:r w:rsidR="00A95B56" w:rsidRPr="00067540">
        <w:t>Serious adverse reactions occurred in 36% of patients who received OPDUALAG</w:t>
      </w:r>
      <w:r w:rsidR="00EB7A13" w:rsidRPr="00067540">
        <w:t xml:space="preserve">: the </w:t>
      </w:r>
      <w:r w:rsidRPr="00067540">
        <w:t xml:space="preserve">most common </w:t>
      </w:r>
      <w:r w:rsidR="00633A81" w:rsidRPr="00067540">
        <w:t xml:space="preserve">(≥ 1%) </w:t>
      </w:r>
      <w:r w:rsidRPr="00067540">
        <w:t xml:space="preserve">were </w:t>
      </w:r>
      <w:r w:rsidR="00EB7A13" w:rsidRPr="00067540">
        <w:t xml:space="preserve">adrenal insufficiency (1.4%), anaemia (1.4%), </w:t>
      </w:r>
      <w:r w:rsidRPr="00067540">
        <w:t>colitis</w:t>
      </w:r>
      <w:r w:rsidR="00EB7A13" w:rsidRPr="00067540">
        <w:t xml:space="preserve"> (1.4%)</w:t>
      </w:r>
      <w:r w:rsidRPr="00067540">
        <w:t>,</w:t>
      </w:r>
      <w:r w:rsidR="00EB7A13" w:rsidRPr="00067540">
        <w:t xml:space="preserve"> pneumonia (1.4%),</w:t>
      </w:r>
      <w:r w:rsidRPr="00067540">
        <w:t xml:space="preserve"> </w:t>
      </w:r>
      <w:r w:rsidR="00EB7A13" w:rsidRPr="00067540">
        <w:t xml:space="preserve">acute myocardial infarction (1.1%), back pain (1.1%), </w:t>
      </w:r>
      <w:r w:rsidRPr="00067540">
        <w:t>diarrhoea</w:t>
      </w:r>
      <w:r w:rsidR="00EB7A13" w:rsidRPr="00067540">
        <w:t xml:space="preserve"> (1.1%)</w:t>
      </w:r>
      <w:r w:rsidRPr="00067540">
        <w:t>, myocarditis</w:t>
      </w:r>
      <w:r w:rsidR="00EB7A13" w:rsidRPr="00067540">
        <w:t xml:space="preserve"> (1.1%)</w:t>
      </w:r>
      <w:r w:rsidRPr="00067540">
        <w:t>, and</w:t>
      </w:r>
      <w:r w:rsidR="00EB7A13" w:rsidRPr="00067540">
        <w:t xml:space="preserve"> pneumonitis (1.1%)</w:t>
      </w:r>
      <w:r w:rsidRPr="00067540">
        <w:t>. Incidences of Grade 3-5 adverse reactions in patients with advanced (unresectable or metastatic) melanoma were 4</w:t>
      </w:r>
      <w:r w:rsidR="005A4681" w:rsidRPr="00067540">
        <w:t>0</w:t>
      </w:r>
      <w:r w:rsidRPr="00067540">
        <w:t xml:space="preserve">% for </w:t>
      </w:r>
      <w:r w:rsidR="00EB7A13" w:rsidRPr="00067540">
        <w:t>OPDUALAG</w:t>
      </w:r>
      <w:r w:rsidRPr="00067540">
        <w:t xml:space="preserve"> and 3</w:t>
      </w:r>
      <w:r w:rsidR="005A4681" w:rsidRPr="00067540">
        <w:t>1</w:t>
      </w:r>
      <w:r w:rsidRPr="00067540">
        <w:t xml:space="preserve">% for nivolumab </w:t>
      </w:r>
      <w:r w:rsidR="00EB7A13" w:rsidRPr="00067540">
        <w:t>monotherapy</w:t>
      </w:r>
      <w:r w:rsidRPr="00067540">
        <w:t>.</w:t>
      </w:r>
      <w:r w:rsidR="00EB7A13" w:rsidRPr="00067540">
        <w:t xml:space="preserve"> Three (0.8%) fatal adverse events occurred in patients receiving OPDUALAG: one case each of </w:t>
      </w:r>
      <w:proofErr w:type="spellStart"/>
      <w:r w:rsidR="00EB7A13" w:rsidRPr="00067540">
        <w:t>haemophagocytic</w:t>
      </w:r>
      <w:proofErr w:type="spellEnd"/>
      <w:r w:rsidR="00EB7A13" w:rsidRPr="00067540">
        <w:t xml:space="preserve"> </w:t>
      </w:r>
      <w:proofErr w:type="spellStart"/>
      <w:r w:rsidR="00EB7A13" w:rsidRPr="00067540">
        <w:t>lymphohistiocytosis</w:t>
      </w:r>
      <w:proofErr w:type="spellEnd"/>
      <w:r w:rsidR="00EB7A13" w:rsidRPr="00067540">
        <w:t>, acute oedema of the lung, and pneumonitis.</w:t>
      </w:r>
      <w:r w:rsidR="002304A6">
        <w:t xml:space="preserve"> </w:t>
      </w:r>
    </w:p>
    <w:p w14:paraId="3540D653" w14:textId="77777777" w:rsidR="002304A6" w:rsidRPr="00B462FC" w:rsidRDefault="002304A6" w:rsidP="002304A6">
      <w:pPr>
        <w:spacing w:after="120"/>
      </w:pPr>
      <w:r w:rsidRPr="00625DE9">
        <w:t>OPDUALAG was permanently discontinued due to adverse reactions in 18% of patients. No reactions led to discontinuation in ≥1% of patients except for myocarditis (1.7%) and pneumonitis (1.4%).</w:t>
      </w:r>
      <w:r w:rsidRPr="00B462FC">
        <w:t xml:space="preserve"> </w:t>
      </w:r>
    </w:p>
    <w:p w14:paraId="5067884E" w14:textId="0382353B" w:rsidR="006071C7" w:rsidRDefault="002304A6" w:rsidP="002304A6">
      <w:pPr>
        <w:spacing w:after="120"/>
      </w:pPr>
      <w:r w:rsidRPr="00625DE9">
        <w:t>Dosage interruptions due to an adverse reaction occurred in 43% of patients who received OPDUALAG. Adverse reactions that required dosage interruption in ≥2% of patients who received OPDUALAG were diarrhoea (3.9%), troponin increased (3.9%), AST increased (2.8%), troponin T increased (2.8%), ALT increased (2.3%), arthralgia (2.3%), hypothyroidism (2.3%), anaemia (2%), fatigue (2%), pneumonitis (2%), and rash (2%).</w:t>
      </w:r>
    </w:p>
    <w:p w14:paraId="1649EFAA" w14:textId="6C280A03" w:rsidR="00805D2F" w:rsidRDefault="00CC2129" w:rsidP="003067DE">
      <w:pPr>
        <w:pStyle w:val="Heading3"/>
      </w:pPr>
      <w:r w:rsidRPr="00CC2129">
        <w:t>Tabulated summary of adverse reactions</w:t>
      </w:r>
    </w:p>
    <w:p w14:paraId="12F6DFEF" w14:textId="77777777" w:rsidR="008F52EC" w:rsidRDefault="002304A6" w:rsidP="002304A6">
      <w:pPr>
        <w:spacing w:after="120"/>
      </w:pPr>
      <w:r>
        <w:t>Tables 2 and 3 summarise the adverse reactions and laboratory abnormalities, respectively, reported in RELATIVITY-047.</w:t>
      </w:r>
    </w:p>
    <w:p w14:paraId="3A99BAAD" w14:textId="77777777" w:rsidR="008F52EC" w:rsidRDefault="008F52EC">
      <w:pPr>
        <w:spacing w:line="276" w:lineRule="auto"/>
        <w:jc w:val="left"/>
      </w:pPr>
      <w:r>
        <w:br w:type="page"/>
      </w:r>
    </w:p>
    <w:p w14:paraId="59E8E928" w14:textId="23F9A0C7" w:rsidR="008701C3" w:rsidRDefault="002304A6" w:rsidP="002304A6">
      <w:pPr>
        <w:spacing w:after="120"/>
      </w:pPr>
      <w:r>
        <w:lastRenderedPageBreak/>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3"/>
        <w:gridCol w:w="1455"/>
        <w:gridCol w:w="23"/>
        <w:gridCol w:w="1434"/>
        <w:gridCol w:w="43"/>
        <w:gridCol w:w="1391"/>
        <w:gridCol w:w="21"/>
        <w:gridCol w:w="1456"/>
      </w:tblGrid>
      <w:tr w:rsidR="003D1220" w:rsidRPr="002046D6" w14:paraId="38DE83CE" w14:textId="77777777" w:rsidTr="00DC06F9">
        <w:trPr>
          <w:tblHeader/>
        </w:trPr>
        <w:tc>
          <w:tcPr>
            <w:tcW w:w="9026" w:type="dxa"/>
            <w:gridSpan w:val="8"/>
            <w:tcBorders>
              <w:top w:val="nil"/>
              <w:left w:val="nil"/>
              <w:bottom w:val="single" w:sz="4" w:space="0" w:color="auto"/>
              <w:right w:val="nil"/>
            </w:tcBorders>
            <w:shd w:val="clear" w:color="auto" w:fill="auto"/>
            <w:vAlign w:val="center"/>
          </w:tcPr>
          <w:p w14:paraId="5A81992F" w14:textId="712887EC" w:rsidR="003D1220" w:rsidRPr="002046D6" w:rsidRDefault="003D1220" w:rsidP="00CC42FC">
            <w:pPr>
              <w:pStyle w:val="BMSTableTitle"/>
              <w:ind w:left="1080" w:hanging="1080"/>
            </w:pPr>
            <w:r w:rsidRPr="002046D6">
              <w:rPr>
                <w:bCs/>
              </w:rPr>
              <w:t xml:space="preserve">Table </w:t>
            </w:r>
            <w:r>
              <w:rPr>
                <w:bCs/>
              </w:rPr>
              <w:t>2</w:t>
            </w:r>
            <w:r w:rsidRPr="002046D6">
              <w:rPr>
                <w:bCs/>
              </w:rPr>
              <w:t>:</w:t>
            </w:r>
            <w:r w:rsidRPr="002046D6">
              <w:tab/>
            </w:r>
            <w:r w:rsidRPr="002046D6">
              <w:rPr>
                <w:bCs/>
              </w:rPr>
              <w:t xml:space="preserve">Adverse </w:t>
            </w:r>
            <w:r w:rsidR="00B462FC">
              <w:rPr>
                <w:bCs/>
              </w:rPr>
              <w:t>r</w:t>
            </w:r>
            <w:r w:rsidRPr="002046D6">
              <w:rPr>
                <w:bCs/>
              </w:rPr>
              <w:t>eactions in ≥</w:t>
            </w:r>
            <w:r>
              <w:rPr>
                <w:bCs/>
              </w:rPr>
              <w:t>15</w:t>
            </w:r>
            <w:r w:rsidRPr="002046D6">
              <w:rPr>
                <w:bCs/>
              </w:rPr>
              <w:t xml:space="preserve">% of </w:t>
            </w:r>
            <w:r w:rsidR="00B462FC">
              <w:rPr>
                <w:bCs/>
              </w:rPr>
              <w:t>p</w:t>
            </w:r>
            <w:r w:rsidRPr="002046D6">
              <w:rPr>
                <w:bCs/>
              </w:rPr>
              <w:t>atients</w:t>
            </w:r>
            <w:r>
              <w:rPr>
                <w:bCs/>
              </w:rPr>
              <w:t xml:space="preserve"> - RELATIVITY</w:t>
            </w:r>
            <w:r w:rsidRPr="002046D6">
              <w:rPr>
                <w:bCs/>
              </w:rPr>
              <w:t>-</w:t>
            </w:r>
            <w:r>
              <w:rPr>
                <w:bCs/>
              </w:rPr>
              <w:t>047</w:t>
            </w:r>
          </w:p>
        </w:tc>
      </w:tr>
      <w:tr w:rsidR="003D1220" w:rsidRPr="002046D6" w14:paraId="41E0247C" w14:textId="77777777" w:rsidTr="00DC06F9">
        <w:trPr>
          <w:tblHeader/>
        </w:trPr>
        <w:tc>
          <w:tcPr>
            <w:tcW w:w="3203" w:type="dxa"/>
            <w:vMerge w:val="restart"/>
            <w:tcBorders>
              <w:top w:val="single" w:sz="4" w:space="0" w:color="auto"/>
            </w:tcBorders>
            <w:shd w:val="clear" w:color="auto" w:fill="auto"/>
            <w:vAlign w:val="center"/>
          </w:tcPr>
          <w:p w14:paraId="4B73469C" w14:textId="77777777" w:rsidR="003D1220" w:rsidRPr="002046D6" w:rsidRDefault="003D1220" w:rsidP="00CC42FC">
            <w:pPr>
              <w:pStyle w:val="BMSTableHeader"/>
            </w:pPr>
            <w:r w:rsidRPr="002046D6">
              <w:t>Adverse Reaction</w:t>
            </w:r>
          </w:p>
        </w:tc>
        <w:tc>
          <w:tcPr>
            <w:tcW w:w="2912" w:type="dxa"/>
            <w:gridSpan w:val="3"/>
            <w:tcBorders>
              <w:top w:val="single" w:sz="4" w:space="0" w:color="auto"/>
            </w:tcBorders>
            <w:shd w:val="clear" w:color="auto" w:fill="auto"/>
            <w:vAlign w:val="center"/>
          </w:tcPr>
          <w:p w14:paraId="2068A12C" w14:textId="77777777" w:rsidR="003D1220" w:rsidRDefault="003D1220" w:rsidP="00CC42FC">
            <w:pPr>
              <w:pStyle w:val="BMSTableHeader"/>
              <w:rPr>
                <w:lang w:val="en-US"/>
              </w:rPr>
            </w:pPr>
            <w:r>
              <w:rPr>
                <w:lang w:val="en-US"/>
              </w:rPr>
              <w:t>OPDUALAG</w:t>
            </w:r>
          </w:p>
          <w:p w14:paraId="68FBC7EF" w14:textId="77777777" w:rsidR="003D1220" w:rsidRPr="002046D6" w:rsidRDefault="003D1220" w:rsidP="00CC42FC">
            <w:pPr>
              <w:pStyle w:val="BMSTableHeader"/>
            </w:pPr>
            <w:r>
              <w:rPr>
                <w:lang w:val="en-US"/>
              </w:rPr>
              <w:t>(n=355)</w:t>
            </w:r>
          </w:p>
        </w:tc>
        <w:tc>
          <w:tcPr>
            <w:tcW w:w="2911" w:type="dxa"/>
            <w:gridSpan w:val="4"/>
            <w:tcBorders>
              <w:top w:val="single" w:sz="4" w:space="0" w:color="auto"/>
            </w:tcBorders>
            <w:shd w:val="clear" w:color="auto" w:fill="auto"/>
            <w:vAlign w:val="center"/>
          </w:tcPr>
          <w:p w14:paraId="1E320972" w14:textId="77777777" w:rsidR="003D1220" w:rsidRDefault="003D1220" w:rsidP="00CC42FC">
            <w:pPr>
              <w:pStyle w:val="BMSTableHeader"/>
              <w:rPr>
                <w:lang w:val="en-US"/>
              </w:rPr>
            </w:pPr>
            <w:r>
              <w:rPr>
                <w:lang w:val="en-US"/>
              </w:rPr>
              <w:t>Nivolumab</w:t>
            </w:r>
          </w:p>
          <w:p w14:paraId="00A12A4B" w14:textId="77777777" w:rsidR="003D1220" w:rsidRPr="002046D6" w:rsidRDefault="003D1220" w:rsidP="00CC42FC">
            <w:pPr>
              <w:pStyle w:val="BMSTableHeader"/>
            </w:pPr>
            <w:r w:rsidRPr="002046D6">
              <w:rPr>
                <w:lang w:val="en-US"/>
              </w:rPr>
              <w:t>(n=</w:t>
            </w:r>
            <w:r>
              <w:rPr>
                <w:lang w:val="en-US"/>
              </w:rPr>
              <w:t>359</w:t>
            </w:r>
            <w:r w:rsidRPr="002046D6">
              <w:rPr>
                <w:lang w:val="en-US"/>
              </w:rPr>
              <w:t>)</w:t>
            </w:r>
          </w:p>
        </w:tc>
      </w:tr>
      <w:tr w:rsidR="003D1220" w:rsidRPr="00845924" w14:paraId="26C5666C" w14:textId="77777777" w:rsidTr="00DC06F9">
        <w:tc>
          <w:tcPr>
            <w:tcW w:w="3203" w:type="dxa"/>
            <w:vMerge/>
            <w:shd w:val="clear" w:color="auto" w:fill="auto"/>
            <w:vAlign w:val="center"/>
          </w:tcPr>
          <w:p w14:paraId="4EE48D74" w14:textId="77777777" w:rsidR="003D1220" w:rsidRPr="00845924" w:rsidRDefault="003D1220" w:rsidP="00CC42FC">
            <w:pPr>
              <w:pStyle w:val="BMSTableText"/>
              <w:spacing w:before="0" w:after="0"/>
              <w:jc w:val="left"/>
            </w:pPr>
          </w:p>
        </w:tc>
        <w:tc>
          <w:tcPr>
            <w:tcW w:w="1455" w:type="dxa"/>
            <w:shd w:val="clear" w:color="auto" w:fill="auto"/>
            <w:vAlign w:val="center"/>
          </w:tcPr>
          <w:p w14:paraId="3113695E" w14:textId="77777777" w:rsidR="003D1220" w:rsidRPr="00845924" w:rsidRDefault="003D1220" w:rsidP="00CC42FC">
            <w:pPr>
              <w:pStyle w:val="BMSTableHeader"/>
            </w:pPr>
            <w:r w:rsidRPr="00845924">
              <w:t>All Grades</w:t>
            </w:r>
            <w:r w:rsidRPr="00845924">
              <w:br/>
              <w:t>(%)</w:t>
            </w:r>
          </w:p>
        </w:tc>
        <w:tc>
          <w:tcPr>
            <w:tcW w:w="1457" w:type="dxa"/>
            <w:gridSpan w:val="2"/>
            <w:shd w:val="clear" w:color="auto" w:fill="auto"/>
            <w:vAlign w:val="center"/>
          </w:tcPr>
          <w:p w14:paraId="50BE06E6" w14:textId="77777777" w:rsidR="003D1220" w:rsidRPr="00845924" w:rsidRDefault="003D1220" w:rsidP="00CC42FC">
            <w:pPr>
              <w:pStyle w:val="BMSTableHeader"/>
            </w:pPr>
            <w:r w:rsidRPr="00845924">
              <w:t>Grades 3-4</w:t>
            </w:r>
            <w:r w:rsidRPr="00845924">
              <w:br/>
              <w:t>(%)</w:t>
            </w:r>
          </w:p>
        </w:tc>
        <w:tc>
          <w:tcPr>
            <w:tcW w:w="1455" w:type="dxa"/>
            <w:gridSpan w:val="3"/>
            <w:shd w:val="clear" w:color="auto" w:fill="auto"/>
            <w:vAlign w:val="center"/>
          </w:tcPr>
          <w:p w14:paraId="251B97E6" w14:textId="77777777" w:rsidR="003D1220" w:rsidRPr="00845924" w:rsidRDefault="003D1220" w:rsidP="00CC42FC">
            <w:pPr>
              <w:pStyle w:val="BMSTableHeader"/>
            </w:pPr>
            <w:r w:rsidRPr="00845924">
              <w:t>All Grades</w:t>
            </w:r>
            <w:r w:rsidRPr="00845924">
              <w:br/>
              <w:t>(%)</w:t>
            </w:r>
          </w:p>
        </w:tc>
        <w:tc>
          <w:tcPr>
            <w:tcW w:w="1456" w:type="dxa"/>
            <w:shd w:val="clear" w:color="auto" w:fill="auto"/>
            <w:vAlign w:val="center"/>
          </w:tcPr>
          <w:p w14:paraId="2E9F0D13" w14:textId="77777777" w:rsidR="003D1220" w:rsidRPr="00845924" w:rsidRDefault="003D1220" w:rsidP="00CC42FC">
            <w:pPr>
              <w:pStyle w:val="BMSTableHeader"/>
            </w:pPr>
            <w:r w:rsidRPr="00845924">
              <w:t>Grades 3-4</w:t>
            </w:r>
            <w:r w:rsidRPr="00845924">
              <w:br/>
              <w:t>(%)</w:t>
            </w:r>
          </w:p>
        </w:tc>
      </w:tr>
      <w:tr w:rsidR="003D1220" w:rsidRPr="002046D6" w14:paraId="0A9C0CD2" w14:textId="77777777" w:rsidTr="00DC06F9">
        <w:tc>
          <w:tcPr>
            <w:tcW w:w="9026" w:type="dxa"/>
            <w:gridSpan w:val="8"/>
            <w:shd w:val="clear" w:color="auto" w:fill="auto"/>
            <w:vAlign w:val="center"/>
          </w:tcPr>
          <w:p w14:paraId="7DF712E0" w14:textId="77777777" w:rsidR="003D1220" w:rsidRPr="002046D6" w:rsidRDefault="003D1220" w:rsidP="00CC42FC">
            <w:pPr>
              <w:pStyle w:val="BMSTableText"/>
              <w:keepNext/>
              <w:spacing w:before="0" w:after="0"/>
              <w:jc w:val="left"/>
              <w:rPr>
                <w:b/>
              </w:rPr>
            </w:pPr>
            <w:r w:rsidRPr="002046D6">
              <w:rPr>
                <w:b/>
              </w:rPr>
              <w:t>Musculoskeletal and Connective</w:t>
            </w:r>
            <w:r>
              <w:rPr>
                <w:b/>
              </w:rPr>
              <w:t xml:space="preserve"> </w:t>
            </w:r>
            <w:r w:rsidRPr="002046D6">
              <w:rPr>
                <w:b/>
              </w:rPr>
              <w:t>Tissue</w:t>
            </w:r>
          </w:p>
        </w:tc>
      </w:tr>
      <w:tr w:rsidR="003D1220" w:rsidRPr="002046D6" w14:paraId="2932A116" w14:textId="77777777" w:rsidTr="00DC06F9">
        <w:tc>
          <w:tcPr>
            <w:tcW w:w="3203" w:type="dxa"/>
            <w:shd w:val="clear" w:color="auto" w:fill="auto"/>
            <w:vAlign w:val="center"/>
          </w:tcPr>
          <w:p w14:paraId="1FA48811" w14:textId="77777777" w:rsidR="003D1220" w:rsidRPr="002046D6" w:rsidRDefault="003D1220" w:rsidP="00CC42FC">
            <w:pPr>
              <w:pStyle w:val="BMSTableText"/>
              <w:spacing w:before="0" w:after="0"/>
              <w:jc w:val="left"/>
            </w:pPr>
            <w:r>
              <w:tab/>
              <w:t xml:space="preserve">Musculoskeletal </w:t>
            </w:r>
            <w:proofErr w:type="spellStart"/>
            <w:r>
              <w:t>pain</w:t>
            </w:r>
            <w:r>
              <w:rPr>
                <w:rStyle w:val="BMSSuperscript"/>
              </w:rPr>
              <w:t>a</w:t>
            </w:r>
            <w:proofErr w:type="spellEnd"/>
          </w:p>
        </w:tc>
        <w:tc>
          <w:tcPr>
            <w:tcW w:w="1455" w:type="dxa"/>
            <w:shd w:val="clear" w:color="auto" w:fill="auto"/>
            <w:vAlign w:val="center"/>
          </w:tcPr>
          <w:p w14:paraId="0604BB5D" w14:textId="77777777" w:rsidR="003D1220" w:rsidRPr="002E0F48" w:rsidRDefault="003D1220" w:rsidP="00CC42FC">
            <w:pPr>
              <w:pStyle w:val="BMSTableText"/>
              <w:spacing w:before="0" w:after="0"/>
            </w:pPr>
            <w:r>
              <w:t>45</w:t>
            </w:r>
          </w:p>
        </w:tc>
        <w:tc>
          <w:tcPr>
            <w:tcW w:w="1457" w:type="dxa"/>
            <w:gridSpan w:val="2"/>
            <w:shd w:val="clear" w:color="auto" w:fill="auto"/>
            <w:vAlign w:val="center"/>
          </w:tcPr>
          <w:p w14:paraId="7E948153" w14:textId="77777777" w:rsidR="003D1220" w:rsidRPr="002E0F48" w:rsidRDefault="003D1220" w:rsidP="00CC42FC">
            <w:pPr>
              <w:pStyle w:val="BMSTableText"/>
              <w:spacing w:before="0" w:after="0"/>
            </w:pPr>
            <w:r>
              <w:t>4.2</w:t>
            </w:r>
          </w:p>
        </w:tc>
        <w:tc>
          <w:tcPr>
            <w:tcW w:w="1455" w:type="dxa"/>
            <w:gridSpan w:val="3"/>
            <w:shd w:val="clear" w:color="auto" w:fill="auto"/>
            <w:vAlign w:val="center"/>
          </w:tcPr>
          <w:p w14:paraId="2232433E" w14:textId="77777777" w:rsidR="003D1220" w:rsidRPr="002E0F48" w:rsidRDefault="003D1220" w:rsidP="00CC42FC">
            <w:pPr>
              <w:pStyle w:val="BMSTableText"/>
              <w:spacing w:before="0" w:after="0"/>
            </w:pPr>
            <w:r>
              <w:t>31</w:t>
            </w:r>
          </w:p>
        </w:tc>
        <w:tc>
          <w:tcPr>
            <w:tcW w:w="1456" w:type="dxa"/>
            <w:shd w:val="clear" w:color="auto" w:fill="auto"/>
            <w:vAlign w:val="center"/>
          </w:tcPr>
          <w:p w14:paraId="7D4A5F30" w14:textId="77777777" w:rsidR="003D1220" w:rsidRPr="002E0F48" w:rsidRDefault="003D1220" w:rsidP="00CC42FC">
            <w:pPr>
              <w:pStyle w:val="BMSTableText"/>
              <w:spacing w:before="0" w:after="0"/>
            </w:pPr>
            <w:r>
              <w:t>1.7</w:t>
            </w:r>
          </w:p>
        </w:tc>
      </w:tr>
      <w:tr w:rsidR="003D1220" w:rsidRPr="002046D6" w14:paraId="2A993FEB" w14:textId="77777777" w:rsidTr="00DC06F9">
        <w:tc>
          <w:tcPr>
            <w:tcW w:w="9026" w:type="dxa"/>
            <w:gridSpan w:val="8"/>
            <w:shd w:val="clear" w:color="auto" w:fill="auto"/>
            <w:vAlign w:val="center"/>
          </w:tcPr>
          <w:p w14:paraId="165A8B28" w14:textId="77777777" w:rsidR="003D1220" w:rsidRPr="002046D6" w:rsidRDefault="003D1220" w:rsidP="00CC42FC">
            <w:pPr>
              <w:pStyle w:val="BMSTableText"/>
              <w:spacing w:before="0" w:after="0"/>
              <w:jc w:val="left"/>
              <w:rPr>
                <w:b/>
              </w:rPr>
            </w:pPr>
            <w:r w:rsidRPr="002046D6">
              <w:rPr>
                <w:b/>
              </w:rPr>
              <w:t>General</w:t>
            </w:r>
          </w:p>
        </w:tc>
      </w:tr>
      <w:tr w:rsidR="003D1220" w:rsidRPr="002046D6" w14:paraId="07C5D02F" w14:textId="77777777" w:rsidTr="00DC06F9">
        <w:tc>
          <w:tcPr>
            <w:tcW w:w="3203" w:type="dxa"/>
            <w:shd w:val="clear" w:color="auto" w:fill="auto"/>
            <w:vAlign w:val="center"/>
          </w:tcPr>
          <w:p w14:paraId="5435F1A9" w14:textId="77777777" w:rsidR="003D1220" w:rsidRPr="002046D6" w:rsidRDefault="003D1220" w:rsidP="00CC42FC">
            <w:pPr>
              <w:pStyle w:val="BMSTableText"/>
              <w:spacing w:before="0" w:after="0"/>
              <w:jc w:val="left"/>
            </w:pPr>
            <w:r>
              <w:tab/>
            </w:r>
            <w:proofErr w:type="spellStart"/>
            <w:r w:rsidRPr="00A21395">
              <w:t>Fatigue</w:t>
            </w:r>
            <w:r>
              <w:rPr>
                <w:rStyle w:val="BMSSuperscript"/>
              </w:rPr>
              <w:t>a</w:t>
            </w:r>
            <w:proofErr w:type="spellEnd"/>
          </w:p>
        </w:tc>
        <w:tc>
          <w:tcPr>
            <w:tcW w:w="1455" w:type="dxa"/>
            <w:shd w:val="clear" w:color="auto" w:fill="auto"/>
            <w:vAlign w:val="center"/>
          </w:tcPr>
          <w:p w14:paraId="3484D1B0" w14:textId="77777777" w:rsidR="003D1220" w:rsidRPr="002E0F48" w:rsidRDefault="003D1220" w:rsidP="00CC42FC">
            <w:pPr>
              <w:pStyle w:val="BMSTableText"/>
              <w:spacing w:before="0" w:after="0"/>
            </w:pPr>
            <w:r w:rsidRPr="002E0F48">
              <w:t>39</w:t>
            </w:r>
          </w:p>
        </w:tc>
        <w:tc>
          <w:tcPr>
            <w:tcW w:w="1457" w:type="dxa"/>
            <w:gridSpan w:val="2"/>
            <w:shd w:val="clear" w:color="auto" w:fill="auto"/>
            <w:vAlign w:val="center"/>
          </w:tcPr>
          <w:p w14:paraId="666D18FD" w14:textId="77777777" w:rsidR="003D1220" w:rsidRPr="002E0F48" w:rsidRDefault="003D1220" w:rsidP="00CC42FC">
            <w:pPr>
              <w:pStyle w:val="BMSTableText"/>
              <w:spacing w:before="0" w:after="0"/>
            </w:pPr>
            <w:r w:rsidRPr="002E0F48">
              <w:t>2</w:t>
            </w:r>
          </w:p>
        </w:tc>
        <w:tc>
          <w:tcPr>
            <w:tcW w:w="1455" w:type="dxa"/>
            <w:gridSpan w:val="3"/>
            <w:shd w:val="clear" w:color="auto" w:fill="auto"/>
            <w:vAlign w:val="center"/>
          </w:tcPr>
          <w:p w14:paraId="026489C4" w14:textId="77777777" w:rsidR="003D1220" w:rsidRPr="002E0F48" w:rsidRDefault="003D1220" w:rsidP="00CC42FC">
            <w:pPr>
              <w:pStyle w:val="BMSTableText"/>
              <w:spacing w:before="0" w:after="0"/>
            </w:pPr>
            <w:r w:rsidRPr="002E0F48">
              <w:t>29</w:t>
            </w:r>
          </w:p>
        </w:tc>
        <w:tc>
          <w:tcPr>
            <w:tcW w:w="1456" w:type="dxa"/>
            <w:shd w:val="clear" w:color="auto" w:fill="auto"/>
            <w:vAlign w:val="center"/>
          </w:tcPr>
          <w:p w14:paraId="6605CE3C" w14:textId="77777777" w:rsidR="003D1220" w:rsidRPr="002E0F48" w:rsidRDefault="003D1220" w:rsidP="00CC42FC">
            <w:pPr>
              <w:pStyle w:val="BMSTableText"/>
              <w:spacing w:before="0" w:after="0"/>
            </w:pPr>
            <w:r w:rsidRPr="002E0F48">
              <w:t>0.6</w:t>
            </w:r>
          </w:p>
        </w:tc>
      </w:tr>
      <w:tr w:rsidR="003D1220" w:rsidRPr="002046D6" w14:paraId="351760BF" w14:textId="77777777" w:rsidTr="00DC06F9">
        <w:tc>
          <w:tcPr>
            <w:tcW w:w="9026" w:type="dxa"/>
            <w:gridSpan w:val="8"/>
            <w:shd w:val="clear" w:color="auto" w:fill="auto"/>
            <w:vAlign w:val="center"/>
          </w:tcPr>
          <w:p w14:paraId="4AD05345" w14:textId="77777777" w:rsidR="003D1220" w:rsidRDefault="003D1220" w:rsidP="00CC42FC">
            <w:pPr>
              <w:pStyle w:val="BMSTableText"/>
              <w:spacing w:before="0" w:after="0"/>
              <w:jc w:val="left"/>
            </w:pPr>
            <w:r w:rsidRPr="002046D6">
              <w:rPr>
                <w:b/>
              </w:rPr>
              <w:t>Skin and Subcutaneous Tissue</w:t>
            </w:r>
          </w:p>
        </w:tc>
      </w:tr>
      <w:tr w:rsidR="003D1220" w:rsidRPr="002046D6" w14:paraId="19A29000" w14:textId="77777777" w:rsidTr="00DC06F9">
        <w:tc>
          <w:tcPr>
            <w:tcW w:w="3203" w:type="dxa"/>
            <w:shd w:val="clear" w:color="auto" w:fill="auto"/>
            <w:vAlign w:val="center"/>
          </w:tcPr>
          <w:p w14:paraId="5CE761B1" w14:textId="77777777" w:rsidR="003D1220" w:rsidRDefault="003D1220" w:rsidP="00CC42FC">
            <w:pPr>
              <w:pStyle w:val="BMSTableText"/>
              <w:spacing w:before="0" w:after="0"/>
              <w:jc w:val="left"/>
            </w:pPr>
            <w:r>
              <w:tab/>
            </w:r>
            <w:proofErr w:type="spellStart"/>
            <w:r>
              <w:t>Rash</w:t>
            </w:r>
            <w:r>
              <w:rPr>
                <w:rStyle w:val="BMSSuperscript"/>
              </w:rPr>
              <w:t>a</w:t>
            </w:r>
            <w:proofErr w:type="spellEnd"/>
          </w:p>
        </w:tc>
        <w:tc>
          <w:tcPr>
            <w:tcW w:w="1455" w:type="dxa"/>
            <w:shd w:val="clear" w:color="auto" w:fill="auto"/>
            <w:vAlign w:val="center"/>
          </w:tcPr>
          <w:p w14:paraId="339BA921" w14:textId="77777777" w:rsidR="003D1220" w:rsidRDefault="003D1220" w:rsidP="00CC42FC">
            <w:pPr>
              <w:pStyle w:val="BMSTableText"/>
              <w:spacing w:before="0" w:after="0"/>
            </w:pPr>
            <w:r>
              <w:t>28</w:t>
            </w:r>
          </w:p>
        </w:tc>
        <w:tc>
          <w:tcPr>
            <w:tcW w:w="1457" w:type="dxa"/>
            <w:gridSpan w:val="2"/>
            <w:shd w:val="clear" w:color="auto" w:fill="auto"/>
            <w:vAlign w:val="center"/>
          </w:tcPr>
          <w:p w14:paraId="75B42B0E" w14:textId="77777777" w:rsidR="003D1220" w:rsidRDefault="003D1220" w:rsidP="00CC42FC">
            <w:pPr>
              <w:pStyle w:val="BMSTableText"/>
              <w:spacing w:before="0" w:after="0"/>
            </w:pPr>
            <w:r>
              <w:t>1.4</w:t>
            </w:r>
          </w:p>
        </w:tc>
        <w:tc>
          <w:tcPr>
            <w:tcW w:w="1455" w:type="dxa"/>
            <w:gridSpan w:val="3"/>
            <w:shd w:val="clear" w:color="auto" w:fill="auto"/>
            <w:vAlign w:val="center"/>
          </w:tcPr>
          <w:p w14:paraId="1BE4B0A6" w14:textId="77777777" w:rsidR="003D1220" w:rsidRDefault="003D1220" w:rsidP="00CC42FC">
            <w:pPr>
              <w:pStyle w:val="BMSTableText"/>
              <w:spacing w:before="0" w:after="0"/>
            </w:pPr>
            <w:r>
              <w:t>21</w:t>
            </w:r>
          </w:p>
        </w:tc>
        <w:tc>
          <w:tcPr>
            <w:tcW w:w="1456" w:type="dxa"/>
            <w:shd w:val="clear" w:color="auto" w:fill="auto"/>
            <w:vAlign w:val="center"/>
          </w:tcPr>
          <w:p w14:paraId="2F598DD2" w14:textId="77777777" w:rsidR="003D1220" w:rsidRDefault="003D1220" w:rsidP="00CC42FC">
            <w:pPr>
              <w:pStyle w:val="BMSTableText"/>
              <w:spacing w:before="0" w:after="0"/>
            </w:pPr>
            <w:r>
              <w:t>1.9</w:t>
            </w:r>
          </w:p>
        </w:tc>
      </w:tr>
      <w:tr w:rsidR="003D1220" w:rsidRPr="002046D6" w14:paraId="12273883" w14:textId="77777777" w:rsidTr="00DC06F9">
        <w:tc>
          <w:tcPr>
            <w:tcW w:w="3203" w:type="dxa"/>
            <w:shd w:val="clear" w:color="auto" w:fill="auto"/>
            <w:vAlign w:val="center"/>
          </w:tcPr>
          <w:p w14:paraId="0C7B1A42" w14:textId="77777777" w:rsidR="003D1220" w:rsidRDefault="003D1220" w:rsidP="00CC42FC">
            <w:pPr>
              <w:pStyle w:val="BMSTableText"/>
              <w:spacing w:before="0" w:after="0"/>
              <w:jc w:val="left"/>
            </w:pPr>
            <w:r>
              <w:tab/>
              <w:t>Pruritus</w:t>
            </w:r>
          </w:p>
        </w:tc>
        <w:tc>
          <w:tcPr>
            <w:tcW w:w="1455" w:type="dxa"/>
            <w:shd w:val="clear" w:color="auto" w:fill="auto"/>
            <w:vAlign w:val="center"/>
          </w:tcPr>
          <w:p w14:paraId="69AB09AD" w14:textId="77777777" w:rsidR="003D1220" w:rsidRDefault="003D1220" w:rsidP="00CC42FC">
            <w:pPr>
              <w:pStyle w:val="BMSTableText"/>
              <w:spacing w:before="0" w:after="0"/>
            </w:pPr>
            <w:r>
              <w:t>25</w:t>
            </w:r>
          </w:p>
        </w:tc>
        <w:tc>
          <w:tcPr>
            <w:tcW w:w="1457" w:type="dxa"/>
            <w:gridSpan w:val="2"/>
            <w:shd w:val="clear" w:color="auto" w:fill="auto"/>
            <w:vAlign w:val="center"/>
          </w:tcPr>
          <w:p w14:paraId="619F186C" w14:textId="77777777" w:rsidR="003D1220" w:rsidRDefault="003D1220" w:rsidP="00CC42FC">
            <w:pPr>
              <w:pStyle w:val="BMSTableText"/>
              <w:spacing w:before="0" w:after="0"/>
            </w:pPr>
            <w:r>
              <w:t>0</w:t>
            </w:r>
          </w:p>
        </w:tc>
        <w:tc>
          <w:tcPr>
            <w:tcW w:w="1455" w:type="dxa"/>
            <w:gridSpan w:val="3"/>
            <w:shd w:val="clear" w:color="auto" w:fill="auto"/>
            <w:vAlign w:val="center"/>
          </w:tcPr>
          <w:p w14:paraId="2F78DAA0" w14:textId="77777777" w:rsidR="003D1220" w:rsidRDefault="003D1220" w:rsidP="00CC42FC">
            <w:pPr>
              <w:pStyle w:val="BMSTableText"/>
              <w:spacing w:before="0" w:after="0"/>
            </w:pPr>
            <w:r>
              <w:t>17</w:t>
            </w:r>
          </w:p>
        </w:tc>
        <w:tc>
          <w:tcPr>
            <w:tcW w:w="1456" w:type="dxa"/>
            <w:shd w:val="clear" w:color="auto" w:fill="auto"/>
            <w:vAlign w:val="center"/>
          </w:tcPr>
          <w:p w14:paraId="4A67FB79" w14:textId="77777777" w:rsidR="003D1220" w:rsidRDefault="003D1220" w:rsidP="00CC42FC">
            <w:pPr>
              <w:pStyle w:val="BMSTableText"/>
              <w:spacing w:before="0" w:after="0"/>
            </w:pPr>
            <w:r>
              <w:t>0.6</w:t>
            </w:r>
          </w:p>
        </w:tc>
      </w:tr>
      <w:tr w:rsidR="003D1220" w:rsidRPr="002046D6" w14:paraId="3FB7750A" w14:textId="77777777" w:rsidTr="00DC06F9">
        <w:tc>
          <w:tcPr>
            <w:tcW w:w="9026" w:type="dxa"/>
            <w:gridSpan w:val="8"/>
            <w:shd w:val="clear" w:color="auto" w:fill="auto"/>
            <w:vAlign w:val="center"/>
          </w:tcPr>
          <w:p w14:paraId="05AFAE1E" w14:textId="77777777" w:rsidR="003D1220" w:rsidRDefault="003D1220" w:rsidP="00CC42FC">
            <w:pPr>
              <w:pStyle w:val="BMSTableText"/>
              <w:keepNext/>
              <w:spacing w:before="0" w:after="0"/>
              <w:jc w:val="left"/>
            </w:pPr>
            <w:r w:rsidRPr="002046D6">
              <w:rPr>
                <w:b/>
              </w:rPr>
              <w:t>Gastrointestinal</w:t>
            </w:r>
          </w:p>
        </w:tc>
      </w:tr>
      <w:tr w:rsidR="003D1220" w:rsidRPr="002046D6" w14:paraId="6AB5B421" w14:textId="77777777" w:rsidTr="00DC06F9">
        <w:tc>
          <w:tcPr>
            <w:tcW w:w="3203" w:type="dxa"/>
            <w:shd w:val="clear" w:color="auto" w:fill="auto"/>
            <w:vAlign w:val="center"/>
          </w:tcPr>
          <w:p w14:paraId="7C11C6B0" w14:textId="77777777" w:rsidR="003D1220" w:rsidRDefault="003D1220" w:rsidP="00CC42FC">
            <w:pPr>
              <w:pStyle w:val="BMSTableText"/>
              <w:spacing w:before="0" w:after="0"/>
              <w:jc w:val="left"/>
            </w:pPr>
            <w:r>
              <w:tab/>
            </w:r>
            <w:proofErr w:type="spellStart"/>
            <w:r>
              <w:t>Diarrhea</w:t>
            </w:r>
            <w:r>
              <w:rPr>
                <w:rStyle w:val="BMSSuperscript"/>
              </w:rPr>
              <w:t>a</w:t>
            </w:r>
            <w:proofErr w:type="spellEnd"/>
          </w:p>
        </w:tc>
        <w:tc>
          <w:tcPr>
            <w:tcW w:w="1455" w:type="dxa"/>
            <w:shd w:val="clear" w:color="auto" w:fill="auto"/>
            <w:vAlign w:val="center"/>
          </w:tcPr>
          <w:p w14:paraId="510047C5" w14:textId="77777777" w:rsidR="003D1220" w:rsidRDefault="003D1220" w:rsidP="00CC42FC">
            <w:pPr>
              <w:pStyle w:val="BMSTableText"/>
              <w:spacing w:before="0" w:after="0"/>
            </w:pPr>
            <w:r>
              <w:t>24</w:t>
            </w:r>
          </w:p>
        </w:tc>
        <w:tc>
          <w:tcPr>
            <w:tcW w:w="1457" w:type="dxa"/>
            <w:gridSpan w:val="2"/>
            <w:shd w:val="clear" w:color="auto" w:fill="auto"/>
            <w:vAlign w:val="center"/>
          </w:tcPr>
          <w:p w14:paraId="12CE37E5" w14:textId="77777777" w:rsidR="003D1220" w:rsidRDefault="003D1220" w:rsidP="00CC42FC">
            <w:pPr>
              <w:pStyle w:val="BMSTableText"/>
              <w:spacing w:before="0" w:after="0"/>
            </w:pPr>
            <w:r>
              <w:t>2</w:t>
            </w:r>
          </w:p>
        </w:tc>
        <w:tc>
          <w:tcPr>
            <w:tcW w:w="1455" w:type="dxa"/>
            <w:gridSpan w:val="3"/>
            <w:shd w:val="clear" w:color="auto" w:fill="auto"/>
            <w:vAlign w:val="center"/>
          </w:tcPr>
          <w:p w14:paraId="0C43122E" w14:textId="77777777" w:rsidR="003D1220" w:rsidRDefault="003D1220" w:rsidP="00CC42FC">
            <w:pPr>
              <w:pStyle w:val="BMSTableText"/>
              <w:spacing w:before="0" w:after="0"/>
            </w:pPr>
            <w:r>
              <w:t>17</w:t>
            </w:r>
          </w:p>
        </w:tc>
        <w:tc>
          <w:tcPr>
            <w:tcW w:w="1456" w:type="dxa"/>
            <w:shd w:val="clear" w:color="auto" w:fill="auto"/>
            <w:vAlign w:val="center"/>
          </w:tcPr>
          <w:p w14:paraId="041D14DA" w14:textId="77777777" w:rsidR="003D1220" w:rsidRDefault="003D1220" w:rsidP="00CC42FC">
            <w:pPr>
              <w:pStyle w:val="BMSTableText"/>
              <w:spacing w:before="0" w:after="0"/>
            </w:pPr>
            <w:r>
              <w:t>1.4</w:t>
            </w:r>
          </w:p>
        </w:tc>
      </w:tr>
      <w:tr w:rsidR="003D1220" w:rsidRPr="002046D6" w14:paraId="44FA8F08" w14:textId="77777777" w:rsidTr="00DC06F9">
        <w:tc>
          <w:tcPr>
            <w:tcW w:w="3203" w:type="dxa"/>
            <w:shd w:val="clear" w:color="auto" w:fill="auto"/>
            <w:vAlign w:val="center"/>
          </w:tcPr>
          <w:p w14:paraId="57CC3406" w14:textId="77777777" w:rsidR="003D1220" w:rsidRDefault="003D1220" w:rsidP="00CC42FC">
            <w:pPr>
              <w:pStyle w:val="BMSTableText"/>
              <w:spacing w:before="0" w:after="0"/>
              <w:jc w:val="left"/>
            </w:pPr>
            <w:r>
              <w:tab/>
              <w:t>Nausea</w:t>
            </w:r>
          </w:p>
        </w:tc>
        <w:tc>
          <w:tcPr>
            <w:tcW w:w="1455" w:type="dxa"/>
            <w:shd w:val="clear" w:color="auto" w:fill="auto"/>
            <w:vAlign w:val="center"/>
          </w:tcPr>
          <w:p w14:paraId="4FF4A272" w14:textId="77777777" w:rsidR="003D1220" w:rsidRDefault="003D1220" w:rsidP="00CC42FC">
            <w:pPr>
              <w:pStyle w:val="BMSTableText"/>
              <w:spacing w:before="0" w:after="0"/>
            </w:pPr>
            <w:r>
              <w:t>17</w:t>
            </w:r>
          </w:p>
        </w:tc>
        <w:tc>
          <w:tcPr>
            <w:tcW w:w="1457" w:type="dxa"/>
            <w:gridSpan w:val="2"/>
            <w:shd w:val="clear" w:color="auto" w:fill="auto"/>
            <w:vAlign w:val="center"/>
          </w:tcPr>
          <w:p w14:paraId="7708C833" w14:textId="77777777" w:rsidR="003D1220" w:rsidRDefault="003D1220" w:rsidP="00CC42FC">
            <w:pPr>
              <w:pStyle w:val="BMSTableText"/>
              <w:spacing w:before="0" w:after="0"/>
            </w:pPr>
            <w:r>
              <w:t>0.6</w:t>
            </w:r>
          </w:p>
        </w:tc>
        <w:tc>
          <w:tcPr>
            <w:tcW w:w="1455" w:type="dxa"/>
            <w:gridSpan w:val="3"/>
            <w:shd w:val="clear" w:color="auto" w:fill="auto"/>
            <w:vAlign w:val="center"/>
          </w:tcPr>
          <w:p w14:paraId="26F55619" w14:textId="77777777" w:rsidR="003D1220" w:rsidRDefault="003D1220" w:rsidP="00CC42FC">
            <w:pPr>
              <w:pStyle w:val="BMSTableText"/>
              <w:spacing w:before="0" w:after="0"/>
            </w:pPr>
            <w:r>
              <w:t>14</w:t>
            </w:r>
          </w:p>
        </w:tc>
        <w:tc>
          <w:tcPr>
            <w:tcW w:w="1456" w:type="dxa"/>
            <w:shd w:val="clear" w:color="auto" w:fill="auto"/>
            <w:vAlign w:val="center"/>
          </w:tcPr>
          <w:p w14:paraId="2CF4C371" w14:textId="77777777" w:rsidR="003D1220" w:rsidRDefault="003D1220" w:rsidP="00CC42FC">
            <w:pPr>
              <w:pStyle w:val="BMSTableText"/>
              <w:spacing w:before="0" w:after="0"/>
            </w:pPr>
            <w:r>
              <w:t>0</w:t>
            </w:r>
          </w:p>
        </w:tc>
      </w:tr>
      <w:tr w:rsidR="003D1220" w:rsidRPr="002046D6" w14:paraId="59E0597D" w14:textId="77777777" w:rsidTr="00DC06F9">
        <w:tc>
          <w:tcPr>
            <w:tcW w:w="9026" w:type="dxa"/>
            <w:gridSpan w:val="8"/>
            <w:shd w:val="clear" w:color="auto" w:fill="auto"/>
            <w:vAlign w:val="center"/>
          </w:tcPr>
          <w:p w14:paraId="5B4DFC99" w14:textId="77777777" w:rsidR="003D1220" w:rsidRDefault="003D1220" w:rsidP="00CC42FC">
            <w:pPr>
              <w:pStyle w:val="BMSTableText"/>
              <w:spacing w:before="0" w:after="0"/>
              <w:jc w:val="left"/>
            </w:pPr>
            <w:r w:rsidRPr="00345800">
              <w:rPr>
                <w:b/>
              </w:rPr>
              <w:t>Nervous System</w:t>
            </w:r>
          </w:p>
        </w:tc>
      </w:tr>
      <w:tr w:rsidR="003D1220" w:rsidRPr="002046D6" w14:paraId="0F2FBA4F" w14:textId="77777777" w:rsidTr="00DC06F9">
        <w:tc>
          <w:tcPr>
            <w:tcW w:w="3203" w:type="dxa"/>
            <w:shd w:val="clear" w:color="auto" w:fill="auto"/>
            <w:vAlign w:val="center"/>
          </w:tcPr>
          <w:p w14:paraId="0ED5FD6F" w14:textId="77777777" w:rsidR="003D1220" w:rsidRDefault="003D1220" w:rsidP="00CC42FC">
            <w:pPr>
              <w:pStyle w:val="BMSTableText"/>
              <w:spacing w:before="0" w:after="0"/>
              <w:jc w:val="left"/>
            </w:pPr>
            <w:r>
              <w:tab/>
            </w:r>
            <w:proofErr w:type="spellStart"/>
            <w:r>
              <w:t>Headache</w:t>
            </w:r>
            <w:r>
              <w:rPr>
                <w:rStyle w:val="BMSSuperscript"/>
              </w:rPr>
              <w:t>a</w:t>
            </w:r>
            <w:proofErr w:type="spellEnd"/>
          </w:p>
        </w:tc>
        <w:tc>
          <w:tcPr>
            <w:tcW w:w="1455" w:type="dxa"/>
            <w:shd w:val="clear" w:color="auto" w:fill="auto"/>
            <w:vAlign w:val="center"/>
          </w:tcPr>
          <w:p w14:paraId="426849D1" w14:textId="77777777" w:rsidR="003D1220" w:rsidRDefault="003D1220" w:rsidP="00CC42FC">
            <w:pPr>
              <w:pStyle w:val="BMSTableText"/>
              <w:spacing w:before="0" w:after="0"/>
            </w:pPr>
            <w:r>
              <w:t>18</w:t>
            </w:r>
          </w:p>
        </w:tc>
        <w:tc>
          <w:tcPr>
            <w:tcW w:w="1457" w:type="dxa"/>
            <w:gridSpan w:val="2"/>
            <w:shd w:val="clear" w:color="auto" w:fill="auto"/>
            <w:vAlign w:val="center"/>
          </w:tcPr>
          <w:p w14:paraId="35E49D22" w14:textId="77777777" w:rsidR="003D1220" w:rsidRDefault="003D1220" w:rsidP="00CC42FC">
            <w:pPr>
              <w:pStyle w:val="BMSTableText"/>
              <w:spacing w:before="0" w:after="0"/>
            </w:pPr>
            <w:r>
              <w:t>0.3</w:t>
            </w:r>
          </w:p>
        </w:tc>
        <w:tc>
          <w:tcPr>
            <w:tcW w:w="1455" w:type="dxa"/>
            <w:gridSpan w:val="3"/>
            <w:shd w:val="clear" w:color="auto" w:fill="auto"/>
            <w:vAlign w:val="center"/>
          </w:tcPr>
          <w:p w14:paraId="1E6D02C3" w14:textId="77777777" w:rsidR="003D1220" w:rsidRDefault="003D1220" w:rsidP="00CC42FC">
            <w:pPr>
              <w:pStyle w:val="BMSTableText"/>
              <w:spacing w:before="0" w:after="0"/>
            </w:pPr>
            <w:r>
              <w:t>12</w:t>
            </w:r>
          </w:p>
        </w:tc>
        <w:tc>
          <w:tcPr>
            <w:tcW w:w="1456" w:type="dxa"/>
            <w:shd w:val="clear" w:color="auto" w:fill="auto"/>
            <w:vAlign w:val="center"/>
          </w:tcPr>
          <w:p w14:paraId="570FAB69" w14:textId="77777777" w:rsidR="003D1220" w:rsidRDefault="003D1220" w:rsidP="00CC42FC">
            <w:pPr>
              <w:pStyle w:val="BMSTableText"/>
              <w:spacing w:before="0" w:after="0"/>
            </w:pPr>
            <w:r>
              <w:t>0.3</w:t>
            </w:r>
          </w:p>
        </w:tc>
      </w:tr>
      <w:tr w:rsidR="003D1220" w:rsidRPr="002046D6" w14:paraId="047310F9" w14:textId="77777777" w:rsidTr="00DC06F9">
        <w:tc>
          <w:tcPr>
            <w:tcW w:w="9026" w:type="dxa"/>
            <w:gridSpan w:val="8"/>
            <w:shd w:val="clear" w:color="auto" w:fill="auto"/>
            <w:vAlign w:val="center"/>
          </w:tcPr>
          <w:p w14:paraId="350B100A" w14:textId="77777777" w:rsidR="003D1220" w:rsidRDefault="003D1220" w:rsidP="00CC42FC">
            <w:pPr>
              <w:pStyle w:val="BMSTableText"/>
              <w:spacing w:before="0" w:after="0"/>
              <w:jc w:val="left"/>
            </w:pPr>
            <w:r w:rsidRPr="007B5349">
              <w:rPr>
                <w:b/>
              </w:rPr>
              <w:t>Endocrine</w:t>
            </w:r>
          </w:p>
        </w:tc>
      </w:tr>
      <w:tr w:rsidR="003D1220" w:rsidRPr="002046D6" w14:paraId="6D1FF28D" w14:textId="77777777" w:rsidTr="00DC06F9">
        <w:tc>
          <w:tcPr>
            <w:tcW w:w="3203" w:type="dxa"/>
            <w:shd w:val="clear" w:color="auto" w:fill="auto"/>
            <w:vAlign w:val="center"/>
          </w:tcPr>
          <w:p w14:paraId="4D5EE2EB" w14:textId="77777777" w:rsidR="003D1220" w:rsidRDefault="003D1220" w:rsidP="00CC42FC">
            <w:pPr>
              <w:pStyle w:val="BMSTableText"/>
              <w:spacing w:before="0" w:after="0"/>
              <w:jc w:val="left"/>
            </w:pPr>
            <w:r>
              <w:tab/>
            </w:r>
            <w:proofErr w:type="spellStart"/>
            <w:r>
              <w:t>Hypothyroidism</w:t>
            </w:r>
            <w:r>
              <w:rPr>
                <w:rStyle w:val="BMSSuperscript"/>
              </w:rPr>
              <w:t>a</w:t>
            </w:r>
            <w:proofErr w:type="spellEnd"/>
          </w:p>
        </w:tc>
        <w:tc>
          <w:tcPr>
            <w:tcW w:w="1455" w:type="dxa"/>
            <w:shd w:val="clear" w:color="auto" w:fill="auto"/>
            <w:vAlign w:val="center"/>
          </w:tcPr>
          <w:p w14:paraId="4C342FA1" w14:textId="77777777" w:rsidR="003D1220" w:rsidRDefault="003D1220" w:rsidP="00CC42FC">
            <w:pPr>
              <w:pStyle w:val="BMSTableText"/>
              <w:spacing w:before="0" w:after="0"/>
            </w:pPr>
            <w:r>
              <w:t>17</w:t>
            </w:r>
          </w:p>
        </w:tc>
        <w:tc>
          <w:tcPr>
            <w:tcW w:w="1457" w:type="dxa"/>
            <w:gridSpan w:val="2"/>
            <w:shd w:val="clear" w:color="auto" w:fill="auto"/>
            <w:vAlign w:val="center"/>
          </w:tcPr>
          <w:p w14:paraId="091420AA" w14:textId="77777777" w:rsidR="003D1220" w:rsidRDefault="003D1220" w:rsidP="00CC42FC">
            <w:pPr>
              <w:pStyle w:val="BMSTableText"/>
              <w:spacing w:before="0" w:after="0"/>
            </w:pPr>
            <w:r>
              <w:t>0</w:t>
            </w:r>
          </w:p>
        </w:tc>
        <w:tc>
          <w:tcPr>
            <w:tcW w:w="1455" w:type="dxa"/>
            <w:gridSpan w:val="3"/>
            <w:shd w:val="clear" w:color="auto" w:fill="auto"/>
            <w:vAlign w:val="center"/>
          </w:tcPr>
          <w:p w14:paraId="6435BFD2" w14:textId="77777777" w:rsidR="003D1220" w:rsidRDefault="003D1220" w:rsidP="00CC42FC">
            <w:pPr>
              <w:pStyle w:val="BMSTableText"/>
              <w:spacing w:before="0" w:after="0"/>
            </w:pPr>
            <w:r>
              <w:t>14</w:t>
            </w:r>
          </w:p>
        </w:tc>
        <w:tc>
          <w:tcPr>
            <w:tcW w:w="1456" w:type="dxa"/>
            <w:shd w:val="clear" w:color="auto" w:fill="auto"/>
            <w:vAlign w:val="center"/>
          </w:tcPr>
          <w:p w14:paraId="7D0CBF9D" w14:textId="77777777" w:rsidR="003D1220" w:rsidRDefault="003D1220" w:rsidP="00CC42FC">
            <w:pPr>
              <w:pStyle w:val="BMSTableText"/>
              <w:spacing w:before="0" w:after="0"/>
            </w:pPr>
            <w:r>
              <w:t>0</w:t>
            </w:r>
          </w:p>
        </w:tc>
      </w:tr>
      <w:tr w:rsidR="003D1220" w:rsidRPr="002046D6" w14:paraId="58E32972" w14:textId="77777777" w:rsidTr="00DC06F9">
        <w:tc>
          <w:tcPr>
            <w:tcW w:w="9026" w:type="dxa"/>
            <w:gridSpan w:val="8"/>
            <w:shd w:val="clear" w:color="auto" w:fill="auto"/>
            <w:vAlign w:val="center"/>
          </w:tcPr>
          <w:p w14:paraId="7DA909A0" w14:textId="77777777" w:rsidR="003D1220" w:rsidRPr="00CA3330" w:rsidRDefault="003D1220" w:rsidP="00CC42FC">
            <w:pPr>
              <w:pStyle w:val="BMSTableText"/>
              <w:spacing w:before="0" w:after="0"/>
              <w:jc w:val="left"/>
              <w:rPr>
                <w:b/>
                <w:bCs/>
              </w:rPr>
            </w:pPr>
            <w:r w:rsidRPr="00CA3330">
              <w:rPr>
                <w:b/>
                <w:bCs/>
              </w:rPr>
              <w:t xml:space="preserve">Metabolism </w:t>
            </w:r>
            <w:r>
              <w:rPr>
                <w:b/>
                <w:bCs/>
              </w:rPr>
              <w:t>a</w:t>
            </w:r>
            <w:r w:rsidRPr="00CA3330">
              <w:rPr>
                <w:b/>
                <w:bCs/>
              </w:rPr>
              <w:t>nd Nutrition Disorders</w:t>
            </w:r>
          </w:p>
        </w:tc>
      </w:tr>
      <w:tr w:rsidR="003D1220" w:rsidRPr="002046D6" w14:paraId="3A8F5978" w14:textId="77777777" w:rsidTr="00DC06F9">
        <w:tc>
          <w:tcPr>
            <w:tcW w:w="3203" w:type="dxa"/>
            <w:shd w:val="clear" w:color="auto" w:fill="auto"/>
            <w:vAlign w:val="center"/>
          </w:tcPr>
          <w:p w14:paraId="1DB9F107" w14:textId="77777777" w:rsidR="003D1220" w:rsidRPr="002259C5" w:rsidRDefault="003D1220" w:rsidP="00CC42FC">
            <w:pPr>
              <w:pStyle w:val="BMSTableText"/>
              <w:spacing w:before="0" w:after="0"/>
              <w:jc w:val="left"/>
            </w:pPr>
            <w:r w:rsidRPr="00CA3330">
              <w:rPr>
                <w:b/>
                <w:bCs/>
              </w:rPr>
              <w:tab/>
            </w:r>
            <w:r w:rsidRPr="002259C5">
              <w:t>Decreased appetite</w:t>
            </w:r>
          </w:p>
        </w:tc>
        <w:tc>
          <w:tcPr>
            <w:tcW w:w="1478" w:type="dxa"/>
            <w:gridSpan w:val="2"/>
            <w:shd w:val="clear" w:color="auto" w:fill="auto"/>
            <w:vAlign w:val="center"/>
          </w:tcPr>
          <w:p w14:paraId="016061A1" w14:textId="77777777" w:rsidR="003D1220" w:rsidRPr="002259C5" w:rsidRDefault="003D1220" w:rsidP="00CC42FC">
            <w:pPr>
              <w:pStyle w:val="BMSTableText"/>
              <w:spacing w:before="0" w:after="0"/>
            </w:pPr>
            <w:r w:rsidRPr="002259C5">
              <w:t>15</w:t>
            </w:r>
          </w:p>
        </w:tc>
        <w:tc>
          <w:tcPr>
            <w:tcW w:w="1477" w:type="dxa"/>
            <w:gridSpan w:val="2"/>
            <w:shd w:val="clear" w:color="auto" w:fill="auto"/>
            <w:vAlign w:val="center"/>
          </w:tcPr>
          <w:p w14:paraId="698E06EC" w14:textId="77777777" w:rsidR="003D1220" w:rsidRPr="002259C5" w:rsidRDefault="003D1220" w:rsidP="00CC42FC">
            <w:pPr>
              <w:pStyle w:val="BMSTableText"/>
              <w:spacing w:before="0" w:after="0"/>
            </w:pPr>
            <w:r w:rsidRPr="002259C5">
              <w:t>0.6</w:t>
            </w:r>
          </w:p>
        </w:tc>
        <w:tc>
          <w:tcPr>
            <w:tcW w:w="1391" w:type="dxa"/>
            <w:shd w:val="clear" w:color="auto" w:fill="auto"/>
            <w:vAlign w:val="center"/>
          </w:tcPr>
          <w:p w14:paraId="08AC76BD" w14:textId="77777777" w:rsidR="003D1220" w:rsidRPr="002259C5" w:rsidRDefault="003D1220" w:rsidP="00CC42FC">
            <w:pPr>
              <w:pStyle w:val="BMSTableText"/>
              <w:spacing w:before="0" w:after="0"/>
            </w:pPr>
            <w:r>
              <w:t>7</w:t>
            </w:r>
          </w:p>
        </w:tc>
        <w:tc>
          <w:tcPr>
            <w:tcW w:w="1477" w:type="dxa"/>
            <w:gridSpan w:val="2"/>
            <w:shd w:val="clear" w:color="auto" w:fill="auto"/>
            <w:vAlign w:val="center"/>
          </w:tcPr>
          <w:p w14:paraId="5B53D7EC" w14:textId="77777777" w:rsidR="003D1220" w:rsidRPr="002259C5" w:rsidRDefault="003D1220" w:rsidP="00CC42FC">
            <w:pPr>
              <w:pStyle w:val="BMSTableText"/>
              <w:spacing w:before="0" w:after="0"/>
            </w:pPr>
            <w:r>
              <w:t>0.3</w:t>
            </w:r>
          </w:p>
        </w:tc>
      </w:tr>
      <w:tr w:rsidR="003D1220" w:rsidRPr="002046D6" w14:paraId="3C4DF73C" w14:textId="77777777" w:rsidTr="00DC06F9">
        <w:tc>
          <w:tcPr>
            <w:tcW w:w="9026" w:type="dxa"/>
            <w:gridSpan w:val="8"/>
            <w:shd w:val="clear" w:color="auto" w:fill="auto"/>
            <w:vAlign w:val="center"/>
          </w:tcPr>
          <w:p w14:paraId="2868172E" w14:textId="77777777" w:rsidR="003D1220" w:rsidRDefault="003D1220" w:rsidP="00CC42FC">
            <w:pPr>
              <w:pStyle w:val="BMSTableText"/>
              <w:spacing w:before="0" w:after="0"/>
              <w:jc w:val="left"/>
            </w:pPr>
            <w:r w:rsidRPr="00CA3330">
              <w:rPr>
                <w:b/>
                <w:bCs/>
              </w:rPr>
              <w:t xml:space="preserve">Respiratory, Thoracic </w:t>
            </w:r>
            <w:r>
              <w:rPr>
                <w:b/>
                <w:bCs/>
              </w:rPr>
              <w:t>a</w:t>
            </w:r>
            <w:r w:rsidRPr="00CA3330">
              <w:rPr>
                <w:b/>
                <w:bCs/>
              </w:rPr>
              <w:t>nd Mediastinal Disorders</w:t>
            </w:r>
          </w:p>
        </w:tc>
      </w:tr>
      <w:tr w:rsidR="003D1220" w:rsidRPr="002046D6" w14:paraId="73575045" w14:textId="77777777" w:rsidTr="00DC06F9">
        <w:tc>
          <w:tcPr>
            <w:tcW w:w="3203" w:type="dxa"/>
            <w:shd w:val="clear" w:color="auto" w:fill="auto"/>
            <w:vAlign w:val="center"/>
          </w:tcPr>
          <w:p w14:paraId="16128321" w14:textId="77777777" w:rsidR="003D1220" w:rsidRPr="00CA3330" w:rsidRDefault="003D1220" w:rsidP="00CC42FC">
            <w:pPr>
              <w:pStyle w:val="BMSTableText"/>
              <w:spacing w:before="0" w:after="0"/>
              <w:ind w:left="360"/>
              <w:jc w:val="left"/>
            </w:pPr>
            <w:proofErr w:type="spellStart"/>
            <w:r w:rsidRPr="00CA3330">
              <w:t>Cough</w:t>
            </w:r>
            <w:r>
              <w:rPr>
                <w:rStyle w:val="BMSSuperscript"/>
              </w:rPr>
              <w:t>a</w:t>
            </w:r>
            <w:proofErr w:type="spellEnd"/>
          </w:p>
        </w:tc>
        <w:tc>
          <w:tcPr>
            <w:tcW w:w="1455" w:type="dxa"/>
            <w:shd w:val="clear" w:color="auto" w:fill="auto"/>
            <w:vAlign w:val="center"/>
          </w:tcPr>
          <w:p w14:paraId="5F3D43A8" w14:textId="77777777" w:rsidR="003D1220" w:rsidRDefault="003D1220" w:rsidP="00CC42FC">
            <w:pPr>
              <w:pStyle w:val="BMSTableText"/>
              <w:spacing w:before="0" w:after="0"/>
            </w:pPr>
            <w:r>
              <w:t>15</w:t>
            </w:r>
          </w:p>
        </w:tc>
        <w:tc>
          <w:tcPr>
            <w:tcW w:w="1457" w:type="dxa"/>
            <w:gridSpan w:val="2"/>
            <w:shd w:val="clear" w:color="auto" w:fill="auto"/>
            <w:vAlign w:val="center"/>
          </w:tcPr>
          <w:p w14:paraId="4C59667D" w14:textId="77777777" w:rsidR="003D1220" w:rsidRDefault="003D1220" w:rsidP="00CC42FC">
            <w:pPr>
              <w:pStyle w:val="BMSTableText"/>
              <w:spacing w:before="0" w:after="0"/>
            </w:pPr>
            <w:r>
              <w:t>0.3</w:t>
            </w:r>
          </w:p>
        </w:tc>
        <w:tc>
          <w:tcPr>
            <w:tcW w:w="1455" w:type="dxa"/>
            <w:gridSpan w:val="3"/>
            <w:shd w:val="clear" w:color="auto" w:fill="auto"/>
            <w:vAlign w:val="center"/>
          </w:tcPr>
          <w:p w14:paraId="1CBD96D0" w14:textId="77777777" w:rsidR="003D1220" w:rsidRDefault="003D1220" w:rsidP="00CC42FC">
            <w:pPr>
              <w:pStyle w:val="BMSTableText"/>
              <w:spacing w:before="0" w:after="0"/>
            </w:pPr>
            <w:r>
              <w:t>11</w:t>
            </w:r>
          </w:p>
        </w:tc>
        <w:tc>
          <w:tcPr>
            <w:tcW w:w="1456" w:type="dxa"/>
            <w:shd w:val="clear" w:color="auto" w:fill="auto"/>
            <w:vAlign w:val="center"/>
          </w:tcPr>
          <w:p w14:paraId="304F7564" w14:textId="77777777" w:rsidR="003D1220" w:rsidRDefault="003D1220" w:rsidP="00CC42FC">
            <w:pPr>
              <w:pStyle w:val="BMSTableText"/>
              <w:spacing w:before="0" w:after="0"/>
            </w:pPr>
            <w:r>
              <w:t>0</w:t>
            </w:r>
          </w:p>
        </w:tc>
      </w:tr>
    </w:tbl>
    <w:p w14:paraId="73DA5907" w14:textId="77777777" w:rsidR="00DC06F9" w:rsidRPr="006B25FA" w:rsidRDefault="00DC06F9" w:rsidP="00DC06F9">
      <w:pPr>
        <w:pStyle w:val="BMSTableNoteInfo"/>
        <w:rPr>
          <w:rFonts w:eastAsia="TimesNewRoman"/>
        </w:rPr>
      </w:pPr>
      <w:r w:rsidRPr="006B25FA">
        <w:t xml:space="preserve">Toxicity was graded per </w:t>
      </w:r>
      <w:r w:rsidRPr="006B25FA">
        <w:rPr>
          <w:rFonts w:eastAsia="TimesNewRoman"/>
        </w:rPr>
        <w:t>NCI CTCAE v5.</w:t>
      </w:r>
    </w:p>
    <w:p w14:paraId="40FF95F0" w14:textId="1A9651A4" w:rsidR="003D1220" w:rsidRPr="006B25FA" w:rsidRDefault="00DC06F9" w:rsidP="00DC06F9">
      <w:pPr>
        <w:spacing w:after="120"/>
        <w:rPr>
          <w:sz w:val="20"/>
          <w:szCs w:val="20"/>
        </w:rPr>
      </w:pPr>
      <w:r w:rsidRPr="006B25FA">
        <w:rPr>
          <w:rStyle w:val="BMSTableNote"/>
          <w:sz w:val="20"/>
          <w:szCs w:val="20"/>
          <w:lang w:val="en-US"/>
        </w:rPr>
        <w:t>a</w:t>
      </w:r>
      <w:r w:rsidRPr="006B25FA">
        <w:rPr>
          <w:sz w:val="20"/>
          <w:szCs w:val="20"/>
        </w:rPr>
        <w:tab/>
        <w:t xml:space="preserve">Includes </w:t>
      </w:r>
      <w:r w:rsidRPr="006B25FA">
        <w:rPr>
          <w:sz w:val="20"/>
          <w:szCs w:val="20"/>
          <w:lang w:val="en-US"/>
        </w:rPr>
        <w:t>multiple terms</w:t>
      </w:r>
    </w:p>
    <w:p w14:paraId="011F5574" w14:textId="77777777" w:rsidR="00377804" w:rsidRDefault="00377804" w:rsidP="002304A6">
      <w:pPr>
        <w:spacing w:after="120"/>
      </w:pPr>
    </w:p>
    <w:p w14:paraId="5C3DCF0D" w14:textId="77777777" w:rsidR="00BB439C" w:rsidRDefault="00BB439C" w:rsidP="00BB439C">
      <w:r w:rsidRPr="006B25FA">
        <w:t>Clinically relevant adverse reactions in &lt;15% of patients who received OPDUALAG included vitiligo, adrenal insufficiency, myocarditis, and hepatitis.</w:t>
      </w:r>
    </w:p>
    <w:p w14:paraId="22559F36" w14:textId="369B4428" w:rsidR="008F52EC" w:rsidRDefault="008F52EC">
      <w:pPr>
        <w:spacing w:line="276" w:lineRule="auto"/>
        <w:jc w:val="lef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8"/>
        <w:gridCol w:w="1822"/>
        <w:gridCol w:w="1650"/>
        <w:gridCol w:w="1736"/>
        <w:gridCol w:w="1650"/>
      </w:tblGrid>
      <w:tr w:rsidR="008D4BE5" w:rsidRPr="00506352" w14:paraId="29C1A738" w14:textId="77777777" w:rsidTr="00E14C24">
        <w:trPr>
          <w:tblHeader/>
        </w:trPr>
        <w:tc>
          <w:tcPr>
            <w:tcW w:w="9026" w:type="dxa"/>
            <w:gridSpan w:val="5"/>
            <w:tcBorders>
              <w:top w:val="nil"/>
              <w:left w:val="nil"/>
              <w:bottom w:val="single" w:sz="4" w:space="0" w:color="auto"/>
              <w:right w:val="nil"/>
            </w:tcBorders>
            <w:shd w:val="clear" w:color="auto" w:fill="auto"/>
            <w:vAlign w:val="center"/>
          </w:tcPr>
          <w:p w14:paraId="40D796D1" w14:textId="59412A10" w:rsidR="008D4BE5" w:rsidRPr="00E372A4" w:rsidRDefault="008D4BE5" w:rsidP="00CC42FC">
            <w:pPr>
              <w:pStyle w:val="BMSTableTitle"/>
              <w:ind w:left="1080" w:hanging="1080"/>
              <w:rPr>
                <w:color w:val="000000"/>
              </w:rPr>
            </w:pPr>
            <w:r w:rsidRPr="00F43280">
              <w:rPr>
                <w:bCs/>
              </w:rPr>
              <w:lastRenderedPageBreak/>
              <w:t xml:space="preserve">Table </w:t>
            </w:r>
            <w:r>
              <w:rPr>
                <w:bCs/>
              </w:rPr>
              <w:t>3</w:t>
            </w:r>
            <w:r w:rsidRPr="00F43280">
              <w:rPr>
                <w:bCs/>
              </w:rPr>
              <w:t>:</w:t>
            </w:r>
            <w:r w:rsidRPr="00F43280">
              <w:rPr>
                <w:bCs/>
              </w:rPr>
              <w:tab/>
              <w:t xml:space="preserve">Laboratory </w:t>
            </w:r>
            <w:r w:rsidR="00B462FC">
              <w:rPr>
                <w:bCs/>
              </w:rPr>
              <w:t>a</w:t>
            </w:r>
            <w:r>
              <w:rPr>
                <w:bCs/>
              </w:rPr>
              <w:t>bnormalities (≥15</w:t>
            </w:r>
            <w:r w:rsidRPr="00F43280">
              <w:rPr>
                <w:bCs/>
              </w:rPr>
              <w:t>%</w:t>
            </w:r>
            <w:r>
              <w:rPr>
                <w:bCs/>
              </w:rPr>
              <w:t xml:space="preserve">) </w:t>
            </w:r>
            <w:r w:rsidR="00B462FC">
              <w:rPr>
                <w:bCs/>
              </w:rPr>
              <w:t>t</w:t>
            </w:r>
            <w:r>
              <w:rPr>
                <w:bCs/>
              </w:rPr>
              <w:t xml:space="preserve">hat </w:t>
            </w:r>
            <w:r w:rsidR="00B462FC">
              <w:rPr>
                <w:bCs/>
              </w:rPr>
              <w:t>w</w:t>
            </w:r>
            <w:r w:rsidRPr="00F43280">
              <w:rPr>
                <w:bCs/>
              </w:rPr>
              <w:t>orsen</w:t>
            </w:r>
            <w:r>
              <w:rPr>
                <w:bCs/>
              </w:rPr>
              <w:t xml:space="preserve">ed </w:t>
            </w:r>
            <w:r w:rsidRPr="00F43280">
              <w:rPr>
                <w:bCs/>
              </w:rPr>
              <w:t xml:space="preserve">from </w:t>
            </w:r>
            <w:proofErr w:type="spellStart"/>
            <w:r w:rsidR="00B462FC">
              <w:rPr>
                <w:bCs/>
              </w:rPr>
              <w:t>b</w:t>
            </w:r>
            <w:r w:rsidRPr="00F43280">
              <w:rPr>
                <w:bCs/>
              </w:rPr>
              <w:t>aseline</w:t>
            </w:r>
            <w:r w:rsidRPr="00974412">
              <w:rPr>
                <w:rStyle w:val="BMSSuperscript"/>
              </w:rPr>
              <w:t>a</w:t>
            </w:r>
            <w:proofErr w:type="spellEnd"/>
            <w:r w:rsidRPr="00F43280">
              <w:rPr>
                <w:bCs/>
              </w:rPr>
              <w:t xml:space="preserve"> in </w:t>
            </w:r>
            <w:r w:rsidR="00B462FC">
              <w:rPr>
                <w:bCs/>
              </w:rPr>
              <w:t>p</w:t>
            </w:r>
            <w:r w:rsidRPr="00F43280">
              <w:rPr>
                <w:bCs/>
              </w:rPr>
              <w:t xml:space="preserve">atients </w:t>
            </w:r>
            <w:r w:rsidR="00B462FC">
              <w:rPr>
                <w:bCs/>
              </w:rPr>
              <w:t>w</w:t>
            </w:r>
            <w:r>
              <w:rPr>
                <w:bCs/>
              </w:rPr>
              <w:t xml:space="preserve">ho </w:t>
            </w:r>
            <w:r w:rsidR="00B462FC">
              <w:rPr>
                <w:bCs/>
              </w:rPr>
              <w:t>r</w:t>
            </w:r>
            <w:r>
              <w:rPr>
                <w:bCs/>
              </w:rPr>
              <w:t xml:space="preserve">eceived </w:t>
            </w:r>
            <w:r w:rsidRPr="00F43280">
              <w:rPr>
                <w:bCs/>
              </w:rPr>
              <w:t>OP</w:t>
            </w:r>
            <w:r>
              <w:rPr>
                <w:bCs/>
              </w:rPr>
              <w:t>DUALAG in RELATIVITY-047</w:t>
            </w:r>
          </w:p>
        </w:tc>
      </w:tr>
      <w:tr w:rsidR="008D4BE5" w:rsidRPr="00506352" w14:paraId="3BE12951" w14:textId="77777777" w:rsidTr="00E14C24">
        <w:trPr>
          <w:tblHeader/>
        </w:trPr>
        <w:tc>
          <w:tcPr>
            <w:tcW w:w="2168" w:type="dxa"/>
            <w:vMerge w:val="restart"/>
            <w:tcBorders>
              <w:top w:val="single" w:sz="4" w:space="0" w:color="auto"/>
            </w:tcBorders>
            <w:shd w:val="clear" w:color="auto" w:fill="auto"/>
            <w:vAlign w:val="center"/>
          </w:tcPr>
          <w:p w14:paraId="0538DA47" w14:textId="77777777" w:rsidR="008D4BE5" w:rsidRPr="00657FCE" w:rsidRDefault="008D4BE5" w:rsidP="00CC42FC">
            <w:pPr>
              <w:pStyle w:val="BMSTableHeader"/>
            </w:pPr>
            <w:r w:rsidRPr="00657FCE">
              <w:t>Laboratory Abnormality</w:t>
            </w:r>
          </w:p>
        </w:tc>
        <w:tc>
          <w:tcPr>
            <w:tcW w:w="3472" w:type="dxa"/>
            <w:gridSpan w:val="2"/>
            <w:tcBorders>
              <w:top w:val="single" w:sz="4" w:space="0" w:color="auto"/>
            </w:tcBorders>
            <w:shd w:val="clear" w:color="auto" w:fill="auto"/>
            <w:vAlign w:val="center"/>
          </w:tcPr>
          <w:p w14:paraId="711A7B7B" w14:textId="77777777" w:rsidR="008D4BE5" w:rsidRPr="00CE7970" w:rsidRDefault="008D4BE5" w:rsidP="00CC42FC">
            <w:pPr>
              <w:pStyle w:val="BMSTableHeader"/>
              <w:rPr>
                <w:vertAlign w:val="superscript"/>
                <w:lang w:val="en-US"/>
              </w:rPr>
            </w:pPr>
            <w:proofErr w:type="spellStart"/>
            <w:r>
              <w:t>OPDUALAG</w:t>
            </w:r>
            <w:r>
              <w:rPr>
                <w:vertAlign w:val="superscript"/>
                <w:lang w:val="en-US"/>
              </w:rPr>
              <w:t>a</w:t>
            </w:r>
            <w:proofErr w:type="spellEnd"/>
          </w:p>
        </w:tc>
        <w:tc>
          <w:tcPr>
            <w:tcW w:w="3386" w:type="dxa"/>
            <w:gridSpan w:val="2"/>
            <w:tcBorders>
              <w:top w:val="single" w:sz="4" w:space="0" w:color="auto"/>
            </w:tcBorders>
            <w:shd w:val="clear" w:color="auto" w:fill="auto"/>
            <w:vAlign w:val="center"/>
          </w:tcPr>
          <w:p w14:paraId="20000589" w14:textId="77777777" w:rsidR="008D4BE5" w:rsidRPr="00CE7970" w:rsidRDefault="008D4BE5" w:rsidP="00CC42FC">
            <w:pPr>
              <w:pStyle w:val="BMSTableHeader"/>
              <w:rPr>
                <w:vertAlign w:val="superscript"/>
                <w:lang w:val="en-US"/>
              </w:rPr>
            </w:pPr>
            <w:proofErr w:type="spellStart"/>
            <w:r>
              <w:t>Nivolumab</w:t>
            </w:r>
            <w:r>
              <w:rPr>
                <w:vertAlign w:val="superscript"/>
                <w:lang w:val="en-US"/>
              </w:rPr>
              <w:t>a</w:t>
            </w:r>
            <w:proofErr w:type="spellEnd"/>
          </w:p>
        </w:tc>
      </w:tr>
      <w:tr w:rsidR="008D4BE5" w:rsidRPr="00506352" w14:paraId="7D168D7E" w14:textId="77777777" w:rsidTr="00E14C24">
        <w:tc>
          <w:tcPr>
            <w:tcW w:w="2168" w:type="dxa"/>
            <w:vMerge/>
            <w:shd w:val="clear" w:color="auto" w:fill="auto"/>
            <w:vAlign w:val="center"/>
          </w:tcPr>
          <w:p w14:paraId="47FAEC61" w14:textId="77777777" w:rsidR="008D4BE5" w:rsidRPr="00506352" w:rsidRDefault="008D4BE5" w:rsidP="00CC42FC">
            <w:pPr>
              <w:pStyle w:val="BMSTableHeader"/>
            </w:pPr>
          </w:p>
        </w:tc>
        <w:tc>
          <w:tcPr>
            <w:tcW w:w="1822" w:type="dxa"/>
            <w:shd w:val="clear" w:color="auto" w:fill="auto"/>
            <w:vAlign w:val="center"/>
          </w:tcPr>
          <w:p w14:paraId="004B2AEC" w14:textId="77777777" w:rsidR="008D4BE5" w:rsidRPr="00506352" w:rsidRDefault="008D4BE5" w:rsidP="00CC42FC">
            <w:pPr>
              <w:pStyle w:val="BMSTableHeader"/>
            </w:pPr>
            <w:r w:rsidRPr="00657FCE">
              <w:t>Grades 1-4</w:t>
            </w:r>
            <w:r w:rsidRPr="00657FCE">
              <w:br/>
              <w:t>(%)</w:t>
            </w:r>
          </w:p>
        </w:tc>
        <w:tc>
          <w:tcPr>
            <w:tcW w:w="1650" w:type="dxa"/>
            <w:shd w:val="clear" w:color="auto" w:fill="auto"/>
            <w:vAlign w:val="center"/>
          </w:tcPr>
          <w:p w14:paraId="5EBA3F81" w14:textId="77777777" w:rsidR="008D4BE5" w:rsidRPr="00506352" w:rsidRDefault="008D4BE5" w:rsidP="00CC42FC">
            <w:pPr>
              <w:pStyle w:val="BMSTableHeader"/>
            </w:pPr>
            <w:r w:rsidRPr="00657FCE">
              <w:t>Grades 3-4</w:t>
            </w:r>
            <w:r w:rsidRPr="00657FCE">
              <w:br/>
              <w:t>(%)</w:t>
            </w:r>
          </w:p>
        </w:tc>
        <w:tc>
          <w:tcPr>
            <w:tcW w:w="1736" w:type="dxa"/>
            <w:shd w:val="clear" w:color="auto" w:fill="auto"/>
            <w:vAlign w:val="center"/>
          </w:tcPr>
          <w:p w14:paraId="2A23124E" w14:textId="77777777" w:rsidR="008D4BE5" w:rsidRPr="00506352" w:rsidRDefault="008D4BE5" w:rsidP="00CC42FC">
            <w:pPr>
              <w:pStyle w:val="BMSTableHeader"/>
            </w:pPr>
            <w:r w:rsidRPr="00657FCE">
              <w:t>Grades 1-4</w:t>
            </w:r>
            <w:r w:rsidRPr="00657FCE">
              <w:br/>
              <w:t>(%)</w:t>
            </w:r>
          </w:p>
        </w:tc>
        <w:tc>
          <w:tcPr>
            <w:tcW w:w="1650" w:type="dxa"/>
            <w:shd w:val="clear" w:color="auto" w:fill="auto"/>
            <w:vAlign w:val="center"/>
          </w:tcPr>
          <w:p w14:paraId="1E82056B" w14:textId="77777777" w:rsidR="008D4BE5" w:rsidRPr="00506352" w:rsidRDefault="008D4BE5" w:rsidP="00CC42FC">
            <w:pPr>
              <w:pStyle w:val="BMSTableHeader"/>
            </w:pPr>
            <w:r w:rsidRPr="00657FCE">
              <w:t>Grades 3-4</w:t>
            </w:r>
            <w:r w:rsidRPr="00657FCE">
              <w:br/>
              <w:t>(%)</w:t>
            </w:r>
          </w:p>
        </w:tc>
      </w:tr>
      <w:tr w:rsidR="008D4BE5" w:rsidRPr="00506352" w14:paraId="41D81089" w14:textId="77777777" w:rsidTr="00E14C24">
        <w:tc>
          <w:tcPr>
            <w:tcW w:w="9026" w:type="dxa"/>
            <w:gridSpan w:val="5"/>
            <w:shd w:val="clear" w:color="auto" w:fill="auto"/>
            <w:vAlign w:val="center"/>
          </w:tcPr>
          <w:p w14:paraId="653F20BE" w14:textId="77777777" w:rsidR="008D4BE5" w:rsidRDefault="008D4BE5" w:rsidP="00CC42FC">
            <w:pPr>
              <w:pStyle w:val="BMSTableText"/>
              <w:spacing w:before="0" w:after="0"/>
              <w:jc w:val="left"/>
            </w:pPr>
            <w:r w:rsidRPr="00417D78">
              <w:rPr>
                <w:b/>
              </w:rPr>
              <w:t>Chemistry</w:t>
            </w:r>
          </w:p>
        </w:tc>
      </w:tr>
      <w:tr w:rsidR="008D4BE5" w:rsidRPr="00506352" w14:paraId="3C2A6CDD" w14:textId="77777777" w:rsidTr="00E14C24">
        <w:tc>
          <w:tcPr>
            <w:tcW w:w="2168" w:type="dxa"/>
            <w:shd w:val="clear" w:color="auto" w:fill="auto"/>
            <w:vAlign w:val="center"/>
          </w:tcPr>
          <w:p w14:paraId="18FF26BF" w14:textId="77777777" w:rsidR="008D4BE5" w:rsidRPr="007E3272" w:rsidRDefault="008D4BE5" w:rsidP="00CC42FC">
            <w:pPr>
              <w:pStyle w:val="BMSTableText"/>
              <w:spacing w:before="0" w:after="0"/>
              <w:jc w:val="left"/>
            </w:pPr>
            <w:r w:rsidRPr="007E3272">
              <w:tab/>
              <w:t>Increased AST</w:t>
            </w:r>
          </w:p>
        </w:tc>
        <w:tc>
          <w:tcPr>
            <w:tcW w:w="1822" w:type="dxa"/>
            <w:shd w:val="clear" w:color="auto" w:fill="auto"/>
            <w:vAlign w:val="center"/>
          </w:tcPr>
          <w:p w14:paraId="0F7E3219" w14:textId="77777777" w:rsidR="008D4BE5" w:rsidRDefault="008D4BE5" w:rsidP="00CC42FC">
            <w:pPr>
              <w:pStyle w:val="BMSTableText"/>
              <w:spacing w:before="0" w:after="0"/>
            </w:pPr>
            <w:r>
              <w:t>30</w:t>
            </w:r>
          </w:p>
        </w:tc>
        <w:tc>
          <w:tcPr>
            <w:tcW w:w="1650" w:type="dxa"/>
            <w:shd w:val="clear" w:color="auto" w:fill="auto"/>
            <w:vAlign w:val="center"/>
          </w:tcPr>
          <w:p w14:paraId="7754B236" w14:textId="77777777" w:rsidR="008D4BE5" w:rsidRDefault="008D4BE5" w:rsidP="00CC42FC">
            <w:pPr>
              <w:pStyle w:val="BMSTableText"/>
              <w:spacing w:before="0" w:after="0"/>
            </w:pPr>
            <w:r>
              <w:t>2.3</w:t>
            </w:r>
          </w:p>
        </w:tc>
        <w:tc>
          <w:tcPr>
            <w:tcW w:w="1736" w:type="dxa"/>
            <w:shd w:val="clear" w:color="auto" w:fill="auto"/>
            <w:vAlign w:val="center"/>
          </w:tcPr>
          <w:p w14:paraId="0745A640" w14:textId="77777777" w:rsidR="008D4BE5" w:rsidRDefault="008D4BE5" w:rsidP="00CC42FC">
            <w:pPr>
              <w:pStyle w:val="BMSTableText"/>
              <w:spacing w:before="0" w:after="0"/>
            </w:pPr>
            <w:r>
              <w:t>22</w:t>
            </w:r>
          </w:p>
        </w:tc>
        <w:tc>
          <w:tcPr>
            <w:tcW w:w="1650" w:type="dxa"/>
            <w:shd w:val="clear" w:color="auto" w:fill="auto"/>
            <w:vAlign w:val="center"/>
          </w:tcPr>
          <w:p w14:paraId="160796A1" w14:textId="77777777" w:rsidR="008D4BE5" w:rsidRDefault="008D4BE5" w:rsidP="00CC42FC">
            <w:pPr>
              <w:pStyle w:val="BMSTableText"/>
              <w:spacing w:before="0" w:after="0"/>
            </w:pPr>
            <w:r>
              <w:t>1.4</w:t>
            </w:r>
          </w:p>
        </w:tc>
      </w:tr>
      <w:tr w:rsidR="008D4BE5" w:rsidRPr="00506352" w14:paraId="60409ADB" w14:textId="77777777" w:rsidTr="00E14C24">
        <w:tc>
          <w:tcPr>
            <w:tcW w:w="2168" w:type="dxa"/>
            <w:shd w:val="clear" w:color="auto" w:fill="auto"/>
            <w:vAlign w:val="center"/>
          </w:tcPr>
          <w:p w14:paraId="429F33F9" w14:textId="77777777" w:rsidR="008D4BE5" w:rsidRPr="007E3272" w:rsidRDefault="008D4BE5" w:rsidP="00CC42FC">
            <w:pPr>
              <w:pStyle w:val="BMSTableText"/>
              <w:spacing w:before="0" w:after="0"/>
              <w:jc w:val="left"/>
            </w:pPr>
            <w:r w:rsidRPr="007E3272">
              <w:tab/>
              <w:t>Increased ALT</w:t>
            </w:r>
          </w:p>
        </w:tc>
        <w:tc>
          <w:tcPr>
            <w:tcW w:w="1822" w:type="dxa"/>
            <w:shd w:val="clear" w:color="auto" w:fill="auto"/>
            <w:vAlign w:val="center"/>
          </w:tcPr>
          <w:p w14:paraId="7099C18E" w14:textId="77777777" w:rsidR="008D4BE5" w:rsidRDefault="008D4BE5" w:rsidP="00CC42FC">
            <w:pPr>
              <w:pStyle w:val="BMSTableText"/>
              <w:spacing w:before="0" w:after="0"/>
            </w:pPr>
            <w:r>
              <w:t>26</w:t>
            </w:r>
          </w:p>
        </w:tc>
        <w:tc>
          <w:tcPr>
            <w:tcW w:w="1650" w:type="dxa"/>
            <w:shd w:val="clear" w:color="auto" w:fill="auto"/>
            <w:vAlign w:val="center"/>
          </w:tcPr>
          <w:p w14:paraId="55A34637" w14:textId="77777777" w:rsidR="008D4BE5" w:rsidRDefault="008D4BE5" w:rsidP="00CC42FC">
            <w:pPr>
              <w:pStyle w:val="BMSTableText"/>
              <w:spacing w:before="0" w:after="0"/>
            </w:pPr>
            <w:r>
              <w:t>3.2</w:t>
            </w:r>
          </w:p>
        </w:tc>
        <w:tc>
          <w:tcPr>
            <w:tcW w:w="1736" w:type="dxa"/>
            <w:shd w:val="clear" w:color="auto" w:fill="auto"/>
            <w:vAlign w:val="center"/>
          </w:tcPr>
          <w:p w14:paraId="73C99FE4" w14:textId="77777777" w:rsidR="008D4BE5" w:rsidRDefault="008D4BE5" w:rsidP="00CC42FC">
            <w:pPr>
              <w:pStyle w:val="BMSTableText"/>
              <w:spacing w:before="0" w:after="0"/>
            </w:pPr>
            <w:r>
              <w:t>25</w:t>
            </w:r>
          </w:p>
        </w:tc>
        <w:tc>
          <w:tcPr>
            <w:tcW w:w="1650" w:type="dxa"/>
            <w:shd w:val="clear" w:color="auto" w:fill="auto"/>
            <w:vAlign w:val="center"/>
          </w:tcPr>
          <w:p w14:paraId="1907EDF5" w14:textId="77777777" w:rsidR="008D4BE5" w:rsidRDefault="008D4BE5" w:rsidP="00CC42FC">
            <w:pPr>
              <w:pStyle w:val="BMSTableText"/>
              <w:spacing w:before="0" w:after="0"/>
            </w:pPr>
            <w:r>
              <w:t>2</w:t>
            </w:r>
          </w:p>
        </w:tc>
      </w:tr>
      <w:tr w:rsidR="008D4BE5" w:rsidRPr="00506352" w14:paraId="5124FF99" w14:textId="77777777" w:rsidTr="00E14C24">
        <w:tc>
          <w:tcPr>
            <w:tcW w:w="2168" w:type="dxa"/>
            <w:shd w:val="clear" w:color="auto" w:fill="auto"/>
            <w:vAlign w:val="center"/>
          </w:tcPr>
          <w:p w14:paraId="2981AF02" w14:textId="77777777" w:rsidR="008D4BE5" w:rsidRPr="007E3272" w:rsidRDefault="008D4BE5" w:rsidP="00CC42FC">
            <w:pPr>
              <w:pStyle w:val="BMSTableText"/>
              <w:spacing w:before="0" w:after="0"/>
              <w:jc w:val="left"/>
            </w:pPr>
            <w:r w:rsidRPr="007E3272">
              <w:tab/>
            </w:r>
            <w:r>
              <w:t>Decreased sodium</w:t>
            </w:r>
          </w:p>
        </w:tc>
        <w:tc>
          <w:tcPr>
            <w:tcW w:w="1822" w:type="dxa"/>
            <w:shd w:val="clear" w:color="auto" w:fill="auto"/>
            <w:vAlign w:val="center"/>
          </w:tcPr>
          <w:p w14:paraId="6F23A555" w14:textId="77777777" w:rsidR="008D4BE5" w:rsidRDefault="008D4BE5" w:rsidP="00CC42FC">
            <w:pPr>
              <w:pStyle w:val="BMSTableText"/>
              <w:spacing w:before="0" w:after="0"/>
            </w:pPr>
            <w:r>
              <w:t>24</w:t>
            </w:r>
          </w:p>
        </w:tc>
        <w:tc>
          <w:tcPr>
            <w:tcW w:w="1650" w:type="dxa"/>
            <w:shd w:val="clear" w:color="auto" w:fill="auto"/>
            <w:vAlign w:val="center"/>
          </w:tcPr>
          <w:p w14:paraId="458AA444" w14:textId="77777777" w:rsidR="008D4BE5" w:rsidRDefault="008D4BE5" w:rsidP="00CC42FC">
            <w:pPr>
              <w:pStyle w:val="BMSTableText"/>
              <w:spacing w:before="0" w:after="0"/>
            </w:pPr>
            <w:r>
              <w:t>1.2</w:t>
            </w:r>
          </w:p>
        </w:tc>
        <w:tc>
          <w:tcPr>
            <w:tcW w:w="1736" w:type="dxa"/>
            <w:shd w:val="clear" w:color="auto" w:fill="auto"/>
            <w:vAlign w:val="center"/>
          </w:tcPr>
          <w:p w14:paraId="72CC9E3D" w14:textId="77777777" w:rsidR="008D4BE5" w:rsidRDefault="008D4BE5" w:rsidP="00CC42FC">
            <w:pPr>
              <w:pStyle w:val="BMSTableText"/>
              <w:spacing w:before="0" w:after="0"/>
            </w:pPr>
            <w:r>
              <w:t>21</w:t>
            </w:r>
          </w:p>
        </w:tc>
        <w:tc>
          <w:tcPr>
            <w:tcW w:w="1650" w:type="dxa"/>
            <w:shd w:val="clear" w:color="auto" w:fill="auto"/>
            <w:vAlign w:val="center"/>
          </w:tcPr>
          <w:p w14:paraId="2EDF8CB0" w14:textId="77777777" w:rsidR="008D4BE5" w:rsidRDefault="008D4BE5" w:rsidP="00CC42FC">
            <w:pPr>
              <w:pStyle w:val="BMSTableText"/>
              <w:spacing w:before="0" w:after="0"/>
            </w:pPr>
            <w:r>
              <w:t>0.6</w:t>
            </w:r>
          </w:p>
        </w:tc>
      </w:tr>
      <w:tr w:rsidR="008D4BE5" w:rsidRPr="00506352" w14:paraId="4E88AAF6" w14:textId="77777777" w:rsidTr="00E14C24">
        <w:tc>
          <w:tcPr>
            <w:tcW w:w="2168" w:type="dxa"/>
            <w:shd w:val="clear" w:color="auto" w:fill="auto"/>
            <w:vAlign w:val="center"/>
          </w:tcPr>
          <w:p w14:paraId="136E6B40" w14:textId="77777777" w:rsidR="008D4BE5" w:rsidRPr="007E3272" w:rsidRDefault="008D4BE5" w:rsidP="00CC42FC">
            <w:pPr>
              <w:pStyle w:val="BMSTableText"/>
              <w:spacing w:before="0" w:after="0"/>
              <w:ind w:left="360" w:hanging="360"/>
              <w:jc w:val="left"/>
            </w:pPr>
            <w:r w:rsidRPr="007E3272">
              <w:tab/>
              <w:t>Increased alkaline phosphatase</w:t>
            </w:r>
          </w:p>
        </w:tc>
        <w:tc>
          <w:tcPr>
            <w:tcW w:w="1822" w:type="dxa"/>
            <w:shd w:val="clear" w:color="auto" w:fill="auto"/>
            <w:vAlign w:val="center"/>
          </w:tcPr>
          <w:p w14:paraId="0E15217D" w14:textId="77777777" w:rsidR="008D4BE5" w:rsidRDefault="008D4BE5" w:rsidP="00CC42FC">
            <w:pPr>
              <w:pStyle w:val="BMSTableText"/>
              <w:spacing w:before="0" w:after="0"/>
            </w:pPr>
            <w:r>
              <w:t>19</w:t>
            </w:r>
          </w:p>
        </w:tc>
        <w:tc>
          <w:tcPr>
            <w:tcW w:w="1650" w:type="dxa"/>
            <w:shd w:val="clear" w:color="auto" w:fill="auto"/>
            <w:vAlign w:val="center"/>
          </w:tcPr>
          <w:p w14:paraId="5BB26477" w14:textId="77777777" w:rsidR="008D4BE5" w:rsidRDefault="008D4BE5" w:rsidP="00CC42FC">
            <w:pPr>
              <w:pStyle w:val="BMSTableText"/>
              <w:spacing w:before="0" w:after="0"/>
            </w:pPr>
            <w:r>
              <w:t>0.6</w:t>
            </w:r>
          </w:p>
        </w:tc>
        <w:tc>
          <w:tcPr>
            <w:tcW w:w="1736" w:type="dxa"/>
            <w:shd w:val="clear" w:color="auto" w:fill="auto"/>
            <w:vAlign w:val="center"/>
          </w:tcPr>
          <w:p w14:paraId="65C521F0" w14:textId="77777777" w:rsidR="008D4BE5" w:rsidRDefault="008D4BE5" w:rsidP="00CC42FC">
            <w:pPr>
              <w:pStyle w:val="BMSTableText"/>
              <w:spacing w:before="0" w:after="0"/>
            </w:pPr>
            <w:r>
              <w:t>17</w:t>
            </w:r>
          </w:p>
        </w:tc>
        <w:tc>
          <w:tcPr>
            <w:tcW w:w="1650" w:type="dxa"/>
            <w:shd w:val="clear" w:color="auto" w:fill="auto"/>
            <w:vAlign w:val="center"/>
          </w:tcPr>
          <w:p w14:paraId="56B3E5ED" w14:textId="77777777" w:rsidR="008D4BE5" w:rsidRDefault="008D4BE5" w:rsidP="00CC42FC">
            <w:pPr>
              <w:pStyle w:val="BMSTableText"/>
              <w:spacing w:before="0" w:after="0"/>
            </w:pPr>
            <w:r>
              <w:t>0.9</w:t>
            </w:r>
          </w:p>
        </w:tc>
      </w:tr>
      <w:tr w:rsidR="008D4BE5" w:rsidRPr="00506352" w14:paraId="219EC765" w14:textId="77777777" w:rsidTr="00E14C24">
        <w:tc>
          <w:tcPr>
            <w:tcW w:w="2168" w:type="dxa"/>
            <w:shd w:val="clear" w:color="auto" w:fill="auto"/>
            <w:vAlign w:val="center"/>
          </w:tcPr>
          <w:p w14:paraId="6C136E7D" w14:textId="77777777" w:rsidR="008D4BE5" w:rsidRPr="007E3272" w:rsidRDefault="008D4BE5" w:rsidP="00CC42FC">
            <w:pPr>
              <w:pStyle w:val="BMSTableText"/>
              <w:spacing w:before="0" w:after="0"/>
              <w:ind w:left="360" w:hanging="360"/>
              <w:jc w:val="left"/>
            </w:pPr>
            <w:r w:rsidRPr="007E3272">
              <w:tab/>
              <w:t>Increased creatinine</w:t>
            </w:r>
          </w:p>
        </w:tc>
        <w:tc>
          <w:tcPr>
            <w:tcW w:w="1822" w:type="dxa"/>
            <w:shd w:val="clear" w:color="auto" w:fill="auto"/>
            <w:vAlign w:val="center"/>
          </w:tcPr>
          <w:p w14:paraId="4082AA6B" w14:textId="77777777" w:rsidR="008D4BE5" w:rsidRDefault="008D4BE5" w:rsidP="00CC42FC">
            <w:pPr>
              <w:pStyle w:val="BMSTableText"/>
              <w:spacing w:before="0" w:after="0"/>
            </w:pPr>
            <w:r>
              <w:t>19</w:t>
            </w:r>
          </w:p>
        </w:tc>
        <w:tc>
          <w:tcPr>
            <w:tcW w:w="1650" w:type="dxa"/>
            <w:shd w:val="clear" w:color="auto" w:fill="auto"/>
            <w:vAlign w:val="center"/>
          </w:tcPr>
          <w:p w14:paraId="6FD0B232" w14:textId="77777777" w:rsidR="008D4BE5" w:rsidRDefault="008D4BE5" w:rsidP="00CC42FC">
            <w:pPr>
              <w:pStyle w:val="BMSTableText"/>
              <w:spacing w:before="0" w:after="0"/>
            </w:pPr>
            <w:r>
              <w:t>0</w:t>
            </w:r>
          </w:p>
        </w:tc>
        <w:tc>
          <w:tcPr>
            <w:tcW w:w="1736" w:type="dxa"/>
            <w:shd w:val="clear" w:color="auto" w:fill="auto"/>
            <w:vAlign w:val="center"/>
          </w:tcPr>
          <w:p w14:paraId="34511483" w14:textId="77777777" w:rsidR="008D4BE5" w:rsidRDefault="008D4BE5" w:rsidP="00CC42FC">
            <w:pPr>
              <w:pStyle w:val="BMSTableText"/>
              <w:spacing w:before="0" w:after="0"/>
            </w:pPr>
            <w:r>
              <w:t>16</w:t>
            </w:r>
          </w:p>
        </w:tc>
        <w:tc>
          <w:tcPr>
            <w:tcW w:w="1650" w:type="dxa"/>
            <w:shd w:val="clear" w:color="auto" w:fill="auto"/>
            <w:vAlign w:val="center"/>
          </w:tcPr>
          <w:p w14:paraId="258CB23E" w14:textId="77777777" w:rsidR="008D4BE5" w:rsidRDefault="008D4BE5" w:rsidP="00CC42FC">
            <w:pPr>
              <w:pStyle w:val="BMSTableText"/>
              <w:spacing w:before="0" w:after="0"/>
            </w:pPr>
            <w:r>
              <w:t>0</w:t>
            </w:r>
          </w:p>
        </w:tc>
      </w:tr>
      <w:tr w:rsidR="008D4BE5" w:rsidRPr="00506352" w14:paraId="32ADC510" w14:textId="77777777" w:rsidTr="00E14C24">
        <w:tc>
          <w:tcPr>
            <w:tcW w:w="9026" w:type="dxa"/>
            <w:gridSpan w:val="5"/>
            <w:shd w:val="clear" w:color="auto" w:fill="auto"/>
            <w:vAlign w:val="center"/>
          </w:tcPr>
          <w:p w14:paraId="6354437C" w14:textId="2257352A" w:rsidR="008D4BE5" w:rsidRPr="007E3272" w:rsidRDefault="008D4BE5" w:rsidP="00CC42FC">
            <w:pPr>
              <w:pStyle w:val="BMSTableText"/>
              <w:spacing w:before="0" w:after="0"/>
              <w:jc w:val="left"/>
              <w:rPr>
                <w:b/>
              </w:rPr>
            </w:pPr>
            <w:proofErr w:type="spellStart"/>
            <w:r w:rsidRPr="007E3272">
              <w:rPr>
                <w:b/>
              </w:rPr>
              <w:t>H</w:t>
            </w:r>
            <w:r w:rsidR="00B462FC">
              <w:rPr>
                <w:b/>
              </w:rPr>
              <w:t>a</w:t>
            </w:r>
            <w:r w:rsidRPr="007E3272">
              <w:rPr>
                <w:b/>
              </w:rPr>
              <w:t>ematology</w:t>
            </w:r>
            <w:proofErr w:type="spellEnd"/>
          </w:p>
        </w:tc>
      </w:tr>
      <w:tr w:rsidR="008D4BE5" w:rsidRPr="00506352" w14:paraId="389E89B7" w14:textId="77777777" w:rsidTr="00E14C24">
        <w:tc>
          <w:tcPr>
            <w:tcW w:w="2168" w:type="dxa"/>
            <w:shd w:val="clear" w:color="auto" w:fill="auto"/>
            <w:vAlign w:val="center"/>
          </w:tcPr>
          <w:p w14:paraId="4F6DC88F" w14:textId="069F4C07" w:rsidR="008D4BE5" w:rsidRPr="007E3272" w:rsidRDefault="008D4BE5" w:rsidP="00CC42FC">
            <w:pPr>
              <w:pStyle w:val="BMSTableText"/>
              <w:spacing w:before="0" w:after="0"/>
              <w:ind w:left="360" w:hanging="360"/>
              <w:jc w:val="left"/>
            </w:pPr>
            <w:r w:rsidRPr="007E3272">
              <w:tab/>
            </w:r>
            <w:r>
              <w:t xml:space="preserve">Decreased </w:t>
            </w:r>
            <w:proofErr w:type="spellStart"/>
            <w:r>
              <w:t>h</w:t>
            </w:r>
            <w:r w:rsidR="00B462FC">
              <w:t>a</w:t>
            </w:r>
            <w:r>
              <w:t>emoglobin</w:t>
            </w:r>
            <w:proofErr w:type="spellEnd"/>
          </w:p>
        </w:tc>
        <w:tc>
          <w:tcPr>
            <w:tcW w:w="1822" w:type="dxa"/>
            <w:shd w:val="clear" w:color="auto" w:fill="auto"/>
            <w:vAlign w:val="center"/>
          </w:tcPr>
          <w:p w14:paraId="41B3F64F" w14:textId="77777777" w:rsidR="008D4BE5" w:rsidRDefault="008D4BE5" w:rsidP="00CC42FC">
            <w:pPr>
              <w:pStyle w:val="BMSTableText"/>
              <w:spacing w:before="0" w:after="0"/>
            </w:pPr>
            <w:r>
              <w:t>37</w:t>
            </w:r>
          </w:p>
        </w:tc>
        <w:tc>
          <w:tcPr>
            <w:tcW w:w="1650" w:type="dxa"/>
            <w:shd w:val="clear" w:color="auto" w:fill="auto"/>
            <w:vAlign w:val="center"/>
          </w:tcPr>
          <w:p w14:paraId="2FFCFECE" w14:textId="77777777" w:rsidR="008D4BE5" w:rsidRDefault="008D4BE5" w:rsidP="00CC42FC">
            <w:pPr>
              <w:pStyle w:val="BMSTableText"/>
              <w:spacing w:before="0" w:after="0"/>
            </w:pPr>
            <w:r>
              <w:t>2.7</w:t>
            </w:r>
          </w:p>
        </w:tc>
        <w:tc>
          <w:tcPr>
            <w:tcW w:w="1736" w:type="dxa"/>
            <w:shd w:val="clear" w:color="auto" w:fill="auto"/>
            <w:vAlign w:val="center"/>
          </w:tcPr>
          <w:p w14:paraId="17C7F0F7" w14:textId="77777777" w:rsidR="008D4BE5" w:rsidRDefault="008D4BE5" w:rsidP="00CC42FC">
            <w:pPr>
              <w:pStyle w:val="BMSTableText"/>
              <w:spacing w:before="0" w:after="0"/>
            </w:pPr>
            <w:r>
              <w:t>31</w:t>
            </w:r>
          </w:p>
        </w:tc>
        <w:tc>
          <w:tcPr>
            <w:tcW w:w="1650" w:type="dxa"/>
            <w:shd w:val="clear" w:color="auto" w:fill="auto"/>
            <w:vAlign w:val="center"/>
          </w:tcPr>
          <w:p w14:paraId="6C73FC2F" w14:textId="77777777" w:rsidR="008D4BE5" w:rsidRDefault="008D4BE5" w:rsidP="00CC42FC">
            <w:pPr>
              <w:pStyle w:val="BMSTableText"/>
              <w:spacing w:before="0" w:after="0"/>
            </w:pPr>
            <w:r>
              <w:t>3.5</w:t>
            </w:r>
          </w:p>
        </w:tc>
      </w:tr>
      <w:tr w:rsidR="008D4BE5" w:rsidRPr="00506352" w14:paraId="453D2809" w14:textId="77777777" w:rsidTr="00E14C24">
        <w:tc>
          <w:tcPr>
            <w:tcW w:w="2168" w:type="dxa"/>
            <w:shd w:val="clear" w:color="auto" w:fill="auto"/>
            <w:vAlign w:val="center"/>
          </w:tcPr>
          <w:p w14:paraId="35160806" w14:textId="77777777" w:rsidR="008D4BE5" w:rsidRPr="007E3272" w:rsidRDefault="008D4BE5" w:rsidP="00CC42FC">
            <w:pPr>
              <w:pStyle w:val="BMSTableText"/>
              <w:spacing w:before="0" w:after="0"/>
              <w:ind w:left="360" w:hanging="360"/>
              <w:jc w:val="left"/>
            </w:pPr>
            <w:r w:rsidRPr="007E3272">
              <w:tab/>
            </w:r>
            <w:r>
              <w:t>Decreased l</w:t>
            </w:r>
            <w:r w:rsidRPr="007E3272">
              <w:t>ympho</w:t>
            </w:r>
            <w:r>
              <w:t>cytes</w:t>
            </w:r>
          </w:p>
        </w:tc>
        <w:tc>
          <w:tcPr>
            <w:tcW w:w="1822" w:type="dxa"/>
            <w:shd w:val="clear" w:color="auto" w:fill="auto"/>
            <w:vAlign w:val="center"/>
          </w:tcPr>
          <w:p w14:paraId="293EA027" w14:textId="77777777" w:rsidR="008D4BE5" w:rsidRDefault="008D4BE5" w:rsidP="00CC42FC">
            <w:pPr>
              <w:pStyle w:val="BMSTableText"/>
              <w:spacing w:before="0" w:after="0"/>
            </w:pPr>
            <w:r>
              <w:t>32</w:t>
            </w:r>
          </w:p>
        </w:tc>
        <w:tc>
          <w:tcPr>
            <w:tcW w:w="1650" w:type="dxa"/>
            <w:shd w:val="clear" w:color="auto" w:fill="auto"/>
            <w:vAlign w:val="center"/>
          </w:tcPr>
          <w:p w14:paraId="6292C711" w14:textId="77777777" w:rsidR="008D4BE5" w:rsidRDefault="008D4BE5" w:rsidP="00CC42FC">
            <w:pPr>
              <w:pStyle w:val="BMSTableText"/>
              <w:spacing w:before="0" w:after="0"/>
            </w:pPr>
            <w:r>
              <w:t>2.5</w:t>
            </w:r>
          </w:p>
        </w:tc>
        <w:tc>
          <w:tcPr>
            <w:tcW w:w="1736" w:type="dxa"/>
            <w:shd w:val="clear" w:color="auto" w:fill="auto"/>
            <w:vAlign w:val="center"/>
          </w:tcPr>
          <w:p w14:paraId="33EBBB48" w14:textId="77777777" w:rsidR="008D4BE5" w:rsidRDefault="008D4BE5" w:rsidP="00CC42FC">
            <w:pPr>
              <w:pStyle w:val="BMSTableText"/>
              <w:spacing w:before="0" w:after="0"/>
            </w:pPr>
            <w:r>
              <w:t>24</w:t>
            </w:r>
          </w:p>
        </w:tc>
        <w:tc>
          <w:tcPr>
            <w:tcW w:w="1650" w:type="dxa"/>
            <w:shd w:val="clear" w:color="auto" w:fill="auto"/>
            <w:vAlign w:val="center"/>
          </w:tcPr>
          <w:p w14:paraId="757C8668" w14:textId="77777777" w:rsidR="008D4BE5" w:rsidRDefault="008D4BE5" w:rsidP="00CC42FC">
            <w:pPr>
              <w:pStyle w:val="BMSTableText"/>
              <w:spacing w:before="0" w:after="0"/>
            </w:pPr>
            <w:r>
              <w:t>2.9</w:t>
            </w:r>
          </w:p>
        </w:tc>
      </w:tr>
    </w:tbl>
    <w:p w14:paraId="232E4346" w14:textId="0912BDA0" w:rsidR="008D4BE5" w:rsidRPr="00925AF0" w:rsidRDefault="00E14C24" w:rsidP="007229FB">
      <w:pPr>
        <w:pStyle w:val="BMSTableNoteInfo"/>
      </w:pPr>
      <w:proofErr w:type="spellStart"/>
      <w:r w:rsidRPr="00824455">
        <w:rPr>
          <w:rStyle w:val="BMSTableNote"/>
        </w:rPr>
        <w:t>a</w:t>
      </w:r>
      <w:proofErr w:type="spellEnd"/>
      <w:r w:rsidRPr="0059588F">
        <w:tab/>
        <w:t xml:space="preserve">Each test incidence is based on the number of patients who had both baseline and at least one on-study laboratory measurement available: </w:t>
      </w:r>
      <w:r>
        <w:t>OPDUALAG</w:t>
      </w:r>
      <w:r w:rsidRPr="0059588F">
        <w:t xml:space="preserve"> group (range: </w:t>
      </w:r>
      <w:r>
        <w:t xml:space="preserve">280 </w:t>
      </w:r>
      <w:r w:rsidRPr="0059588F">
        <w:t xml:space="preserve">to </w:t>
      </w:r>
      <w:r>
        <w:t>342</w:t>
      </w:r>
      <w:r w:rsidRPr="0059588F">
        <w:t xml:space="preserve"> patients) and </w:t>
      </w:r>
      <w:r>
        <w:t>nivolumab</w:t>
      </w:r>
      <w:r w:rsidRPr="0059588F">
        <w:t xml:space="preserve"> group (range: </w:t>
      </w:r>
      <w:r>
        <w:t>276</w:t>
      </w:r>
      <w:r w:rsidRPr="0059588F">
        <w:t xml:space="preserve"> to </w:t>
      </w:r>
      <w:r>
        <w:t>345</w:t>
      </w:r>
      <w:r w:rsidRPr="0059588F">
        <w:t> patients).</w:t>
      </w:r>
    </w:p>
    <w:p w14:paraId="6739356E" w14:textId="46FE3E61" w:rsidR="002304A6" w:rsidRDefault="002304A6" w:rsidP="002304A6">
      <w:pPr>
        <w:rPr>
          <w:sz w:val="20"/>
        </w:rPr>
      </w:pPr>
    </w:p>
    <w:p w14:paraId="4101C6CA" w14:textId="77777777" w:rsidR="00907887" w:rsidRPr="0088616C" w:rsidRDefault="00907887" w:rsidP="003067DE">
      <w:pPr>
        <w:pStyle w:val="Heading3"/>
      </w:pPr>
      <w:r w:rsidRPr="0088616C">
        <w:t xml:space="preserve">Description of selected immune-related adverse reactions </w:t>
      </w:r>
    </w:p>
    <w:p w14:paraId="745C3055" w14:textId="6E0167F6" w:rsidR="00907887" w:rsidRPr="0088616C" w:rsidRDefault="000C0006" w:rsidP="00907887">
      <w:pPr>
        <w:rPr>
          <w:noProof/>
        </w:rPr>
      </w:pPr>
      <w:r w:rsidRPr="0088616C">
        <w:rPr>
          <w:noProof/>
        </w:rPr>
        <w:t>Nivolumab</w:t>
      </w:r>
      <w:r w:rsidR="00B64BA8" w:rsidRPr="0088616C">
        <w:rPr>
          <w:noProof/>
        </w:rPr>
        <w:t xml:space="preserve"> and/or </w:t>
      </w:r>
      <w:r w:rsidR="009D2289" w:rsidRPr="0088616C">
        <w:rPr>
          <w:noProof/>
        </w:rPr>
        <w:t>relatlimab</w:t>
      </w:r>
      <w:r w:rsidR="00B64BA8" w:rsidRPr="0088616C">
        <w:rPr>
          <w:noProof/>
        </w:rPr>
        <w:t xml:space="preserve"> are associated with immune-related adverse reactions. </w:t>
      </w:r>
      <w:bookmarkStart w:id="6" w:name="_Hlk114217825"/>
      <w:r w:rsidR="00753598" w:rsidRPr="00B72DBA">
        <w:t>Most immune-related adverse reactions improved or resolved with appropriate management, including initiation of corticosteroids and treatment modifications, except for endocrinopathies due the continuing need for hormone replacement therapy</w:t>
      </w:r>
      <w:r w:rsidR="00B72DBA" w:rsidRPr="00B72DBA">
        <w:t>.</w:t>
      </w:r>
      <w:bookmarkEnd w:id="6"/>
      <w:r w:rsidR="00B64BA8" w:rsidRPr="0088616C">
        <w:rPr>
          <w:noProof/>
        </w:rPr>
        <w:t xml:space="preserve"> The management guidelines for these are described in section 4.4</w:t>
      </w:r>
      <w:r w:rsidR="00FD0DE1" w:rsidRPr="0088616C">
        <w:rPr>
          <w:noProof/>
        </w:rPr>
        <w:t xml:space="preserve"> Special </w:t>
      </w:r>
      <w:r w:rsidR="00120CE2" w:rsidRPr="0088616C">
        <w:rPr>
          <w:noProof/>
        </w:rPr>
        <w:t>w</w:t>
      </w:r>
      <w:r w:rsidR="00FD0DE1" w:rsidRPr="0088616C">
        <w:rPr>
          <w:noProof/>
        </w:rPr>
        <w:t xml:space="preserve">arnings and </w:t>
      </w:r>
      <w:r w:rsidR="00120CE2" w:rsidRPr="0088616C">
        <w:rPr>
          <w:noProof/>
        </w:rPr>
        <w:t>precautions</w:t>
      </w:r>
      <w:r w:rsidR="00907887" w:rsidRPr="0088616C">
        <w:rPr>
          <w:noProof/>
        </w:rPr>
        <w:t>.</w:t>
      </w:r>
    </w:p>
    <w:p w14:paraId="58820715" w14:textId="77777777" w:rsidR="00AA657C" w:rsidRPr="0088616C" w:rsidRDefault="00AA657C" w:rsidP="009E2783">
      <w:pPr>
        <w:pStyle w:val="Heading4"/>
        <w:rPr>
          <w:rFonts w:hint="eastAsia"/>
        </w:rPr>
      </w:pPr>
      <w:r w:rsidRPr="0088616C">
        <w:rPr>
          <w:rFonts w:hint="eastAsia"/>
        </w:rPr>
        <w:t>Immune</w:t>
      </w:r>
      <w:r w:rsidRPr="0088616C">
        <w:rPr>
          <w:rFonts w:hint="eastAsia"/>
        </w:rPr>
        <w:noBreakHyphen/>
        <w:t>related pneumonitis</w:t>
      </w:r>
    </w:p>
    <w:p w14:paraId="1D4EA64E" w14:textId="067B9809" w:rsidR="00EB56C7" w:rsidRPr="0088616C" w:rsidRDefault="00EB56C7" w:rsidP="00C4105A">
      <w:pPr>
        <w:rPr>
          <w:noProof/>
        </w:rPr>
      </w:pPr>
      <w:r w:rsidRPr="0088616C">
        <w:rPr>
          <w:noProof/>
        </w:rPr>
        <w:t xml:space="preserve">In patients treated with </w:t>
      </w:r>
      <w:r w:rsidR="006B3FF7" w:rsidRPr="0088616C">
        <w:rPr>
          <w:noProof/>
        </w:rPr>
        <w:t>nivolumab</w:t>
      </w:r>
      <w:r w:rsidRPr="0088616C">
        <w:rPr>
          <w:noProof/>
        </w:rPr>
        <w:t xml:space="preserve"> in combination with </w:t>
      </w:r>
      <w:r w:rsidR="006B3FF7" w:rsidRPr="0088616C">
        <w:rPr>
          <w:noProof/>
        </w:rPr>
        <w:t>relatlimab</w:t>
      </w:r>
      <w:r w:rsidRPr="0088616C">
        <w:rPr>
          <w:noProof/>
        </w:rPr>
        <w:t>, pneumonitis, including interstitial lung disease and lung infiltration occurred in 4.2% (15/355) of patients. Incidences of Grade 3/4 were 0.8% (3/355). Fatal events occurred in 0.28% (1/355) of patients. Median time to onset was 20 weeks (range: 3.6-94.4). Resolution occurred in 12</w:t>
      </w:r>
      <w:r w:rsidR="00DF4C2C" w:rsidRPr="0088616C">
        <w:rPr>
          <w:noProof/>
        </w:rPr>
        <w:t>/15</w:t>
      </w:r>
      <w:r w:rsidRPr="0088616C">
        <w:rPr>
          <w:noProof/>
        </w:rPr>
        <w:t xml:space="preserve"> patients (80.0%) with a median time to resolution of 12.0 weeks (range:  2.3-18.6+). Immune-related pneumonitis led to permanent discontinuation of </w:t>
      </w:r>
      <w:r w:rsidR="00844317" w:rsidRPr="0088616C">
        <w:rPr>
          <w:noProof/>
        </w:rPr>
        <w:t>nivolumab</w:t>
      </w:r>
      <w:r w:rsidRPr="0088616C">
        <w:rPr>
          <w:noProof/>
        </w:rPr>
        <w:t xml:space="preserve"> in combination with </w:t>
      </w:r>
      <w:r w:rsidR="00844317" w:rsidRPr="0088616C">
        <w:rPr>
          <w:noProof/>
        </w:rPr>
        <w:t>relatlimab</w:t>
      </w:r>
      <w:r w:rsidRPr="0088616C">
        <w:rPr>
          <w:noProof/>
        </w:rPr>
        <w:t xml:space="preserve"> in 1.7% of patients and required high dose corticosteroids (prednisone ≥ 40 mg per day or equivalent) in 60% of patients.</w:t>
      </w:r>
    </w:p>
    <w:p w14:paraId="0F542C51" w14:textId="4859D922" w:rsidR="00820266" w:rsidRPr="0088616C" w:rsidRDefault="00820266" w:rsidP="009E2783">
      <w:pPr>
        <w:pStyle w:val="Heading4"/>
        <w:rPr>
          <w:rFonts w:hint="eastAsia"/>
        </w:rPr>
      </w:pPr>
      <w:r w:rsidRPr="0088616C">
        <w:rPr>
          <w:rFonts w:hint="eastAsia"/>
        </w:rPr>
        <w:t>Immune</w:t>
      </w:r>
      <w:r w:rsidRPr="0088616C">
        <w:rPr>
          <w:rFonts w:hint="eastAsia"/>
        </w:rPr>
        <w:noBreakHyphen/>
        <w:t xml:space="preserve">related </w:t>
      </w:r>
      <w:r w:rsidR="0062170C" w:rsidRPr="0088616C">
        <w:rPr>
          <w:rFonts w:hint="eastAsia"/>
        </w:rPr>
        <w:t>colitis</w:t>
      </w:r>
    </w:p>
    <w:p w14:paraId="79852A88" w14:textId="6C0FB641" w:rsidR="00820266" w:rsidRPr="0088616C" w:rsidRDefault="0062170C" w:rsidP="00820266">
      <w:pPr>
        <w:rPr>
          <w:noProof/>
        </w:rPr>
      </w:pPr>
      <w:r w:rsidRPr="0088616C">
        <w:rPr>
          <w:noProof/>
        </w:rPr>
        <w:t xml:space="preserve">In patients treated with </w:t>
      </w:r>
      <w:r w:rsidR="006B3FF7" w:rsidRPr="0088616C">
        <w:rPr>
          <w:noProof/>
        </w:rPr>
        <w:t>nivolumab</w:t>
      </w:r>
      <w:r w:rsidRPr="0088616C">
        <w:rPr>
          <w:noProof/>
        </w:rPr>
        <w:t xml:space="preserve"> in combination with </w:t>
      </w:r>
      <w:r w:rsidR="006B3FF7" w:rsidRPr="0088616C">
        <w:rPr>
          <w:noProof/>
        </w:rPr>
        <w:t>relatlimab</w:t>
      </w:r>
      <w:r w:rsidRPr="0088616C">
        <w:rPr>
          <w:noProof/>
        </w:rPr>
        <w:t>, diarrhoea, colitis, or frequent bowel movements occurred in 14.4% (51/355), of patients . Incidences of Grade 3/4 were 1.7% (6/355). Median time to onset was 11.86 weeks (range: 0.1</w:t>
      </w:r>
      <w:r w:rsidR="00025617">
        <w:rPr>
          <w:noProof/>
        </w:rPr>
        <w:t>-</w:t>
      </w:r>
      <w:r w:rsidRPr="0088616C">
        <w:rPr>
          <w:noProof/>
        </w:rPr>
        <w:t xml:space="preserve"> 95.6). Resolution occurred in 42</w:t>
      </w:r>
      <w:r w:rsidR="00DF4C2C" w:rsidRPr="0088616C">
        <w:rPr>
          <w:noProof/>
        </w:rPr>
        <w:t>/50</w:t>
      </w:r>
      <w:r w:rsidRPr="0088616C">
        <w:rPr>
          <w:noProof/>
        </w:rPr>
        <w:t xml:space="preserve"> patients (84.0%) with a median time to resolution of 4.5 weeks (range: 0.1-103.9+). Immune-related colitis led to permanent discontinuation of </w:t>
      </w:r>
      <w:r w:rsidR="00F34648" w:rsidRPr="0088616C">
        <w:rPr>
          <w:noProof/>
        </w:rPr>
        <w:t>nivolumab</w:t>
      </w:r>
      <w:r w:rsidRPr="0088616C">
        <w:rPr>
          <w:noProof/>
        </w:rPr>
        <w:t xml:space="preserve"> in combination with </w:t>
      </w:r>
      <w:r w:rsidR="00F34648" w:rsidRPr="0088616C">
        <w:rPr>
          <w:noProof/>
        </w:rPr>
        <w:t>relatlimab</w:t>
      </w:r>
      <w:r w:rsidRPr="0088616C">
        <w:rPr>
          <w:noProof/>
        </w:rPr>
        <w:t xml:space="preserve"> in 2.0% of patients and required high dose corticosteroids (prednisone ≥ 40 mg per day or equivalent) in 35.3% of patients</w:t>
      </w:r>
      <w:r w:rsidR="00F6553D" w:rsidRPr="0088616C">
        <w:rPr>
          <w:noProof/>
        </w:rPr>
        <w:t xml:space="preserve"> </w:t>
      </w:r>
      <w:r w:rsidR="00F6553D" w:rsidRPr="0088616C">
        <w:t>with immune-related colitis</w:t>
      </w:r>
      <w:r w:rsidRPr="0088616C">
        <w:rPr>
          <w:noProof/>
        </w:rPr>
        <w:t>.</w:t>
      </w:r>
    </w:p>
    <w:p w14:paraId="2BDA0F14" w14:textId="159D5414" w:rsidR="008654F9" w:rsidRPr="0088616C" w:rsidRDefault="008654F9" w:rsidP="009E2783">
      <w:pPr>
        <w:pStyle w:val="Heading4"/>
        <w:rPr>
          <w:rFonts w:hint="eastAsia"/>
        </w:rPr>
      </w:pPr>
      <w:r w:rsidRPr="0088616C">
        <w:rPr>
          <w:rFonts w:hint="eastAsia"/>
        </w:rPr>
        <w:lastRenderedPageBreak/>
        <w:t>Immune</w:t>
      </w:r>
      <w:r w:rsidRPr="0088616C">
        <w:rPr>
          <w:rFonts w:hint="eastAsia"/>
        </w:rPr>
        <w:noBreakHyphen/>
        <w:t xml:space="preserve">related </w:t>
      </w:r>
      <w:r w:rsidR="00462E5F" w:rsidRPr="0088616C">
        <w:rPr>
          <w:rFonts w:hint="eastAsia"/>
        </w:rPr>
        <w:t>hepatitis</w:t>
      </w:r>
    </w:p>
    <w:p w14:paraId="79AD8FD4" w14:textId="5C71E773" w:rsidR="00820266" w:rsidRPr="0088616C" w:rsidRDefault="00462E5F" w:rsidP="008654F9">
      <w:r w:rsidRPr="0088616C">
        <w:t xml:space="preserve">In patients treated with </w:t>
      </w:r>
      <w:r w:rsidR="0053199D" w:rsidRPr="0088616C">
        <w:t>nivolumab</w:t>
      </w:r>
      <w:r w:rsidRPr="0088616C">
        <w:t xml:space="preserve"> in combination with </w:t>
      </w:r>
      <w:proofErr w:type="spellStart"/>
      <w:r w:rsidR="0053199D" w:rsidRPr="0088616C">
        <w:t>relatlimab</w:t>
      </w:r>
      <w:proofErr w:type="spellEnd"/>
      <w:r w:rsidRPr="0088616C">
        <w:t>, liver function test abnormalities occurred in 12.1% (43/355) of patients. Incidences of Grade 3/4 were 3.9 % (14/355). Median time to onset was 9 weeks (range: 2.0-104.0). Resolution occurred in 34</w:t>
      </w:r>
      <w:r w:rsidR="00DF4C2C" w:rsidRPr="0088616C">
        <w:t>/43</w:t>
      </w:r>
      <w:r w:rsidRPr="0088616C">
        <w:t> patients (79.1%) with a median time to resolution of 4.71</w:t>
      </w:r>
      <w:r w:rsidRPr="0088616C">
        <w:rPr>
          <w:noProof/>
        </w:rPr>
        <w:t> </w:t>
      </w:r>
      <w:r w:rsidRPr="0088616C">
        <w:t xml:space="preserve">weeks (range: 0.7-54.0). Immune-related hepatitis led to permanent discontinuation of </w:t>
      </w:r>
      <w:r w:rsidR="00F04512" w:rsidRPr="0088616C">
        <w:t>nivolumab</w:t>
      </w:r>
      <w:r w:rsidRPr="0088616C">
        <w:t xml:space="preserve"> in combination with </w:t>
      </w:r>
      <w:r w:rsidR="00F04512" w:rsidRPr="0088616C">
        <w:rPr>
          <w:noProof/>
        </w:rPr>
        <w:t>relatlimab</w:t>
      </w:r>
      <w:r w:rsidRPr="0088616C">
        <w:t xml:space="preserve"> in 1.4% of patients and required high dose corticosteroids in 27.9% of patients</w:t>
      </w:r>
      <w:r w:rsidR="00656D59" w:rsidRPr="0088616C">
        <w:t xml:space="preserve"> with immune-related hepatitis</w:t>
      </w:r>
      <w:r w:rsidRPr="0088616C">
        <w:t>.</w:t>
      </w:r>
    </w:p>
    <w:p w14:paraId="65A6B13F" w14:textId="3C0B5241" w:rsidR="0010621E" w:rsidRPr="007A0FFA" w:rsidRDefault="0010621E" w:rsidP="009E2783">
      <w:pPr>
        <w:pStyle w:val="Heading4"/>
        <w:rPr>
          <w:rFonts w:hint="eastAsia"/>
        </w:rPr>
      </w:pPr>
      <w:r w:rsidRPr="007A0FFA">
        <w:rPr>
          <w:rFonts w:hint="eastAsia"/>
        </w:rPr>
        <w:t>Immune</w:t>
      </w:r>
      <w:r w:rsidRPr="007A0FFA">
        <w:rPr>
          <w:rFonts w:hint="eastAsia"/>
        </w:rPr>
        <w:noBreakHyphen/>
        <w:t>related nephritis or renal dysfunction</w:t>
      </w:r>
    </w:p>
    <w:p w14:paraId="3F6E86BF" w14:textId="184271E5" w:rsidR="0010621E" w:rsidRPr="007A0FFA" w:rsidRDefault="0010621E" w:rsidP="0010621E">
      <w:pPr>
        <w:pStyle w:val="EMEABodyText"/>
        <w:rPr>
          <w:rFonts w:eastAsiaTheme="minorHAnsi" w:cstheme="minorBidi"/>
          <w:noProof/>
          <w:szCs w:val="22"/>
          <w:lang w:val="en-AU"/>
        </w:rPr>
      </w:pPr>
      <w:r w:rsidRPr="007A0FFA">
        <w:rPr>
          <w:rFonts w:eastAsiaTheme="minorHAnsi" w:cstheme="minorBidi"/>
          <w:noProof/>
          <w:szCs w:val="22"/>
          <w:lang w:val="en-AU"/>
        </w:rPr>
        <w:t xml:space="preserve">In patients treated with </w:t>
      </w:r>
      <w:r w:rsidR="0053199D" w:rsidRPr="007A0FFA">
        <w:rPr>
          <w:rFonts w:eastAsiaTheme="minorHAnsi" w:cstheme="minorBidi"/>
          <w:noProof/>
          <w:szCs w:val="22"/>
          <w:lang w:val="en-AU"/>
        </w:rPr>
        <w:t>nivolumab</w:t>
      </w:r>
      <w:r w:rsidRPr="007A0FFA">
        <w:rPr>
          <w:rFonts w:eastAsiaTheme="minorHAnsi" w:cstheme="minorBidi"/>
          <w:noProof/>
          <w:szCs w:val="22"/>
          <w:lang w:val="en-AU"/>
        </w:rPr>
        <w:t xml:space="preserve"> in combination with </w:t>
      </w:r>
      <w:r w:rsidR="0053199D" w:rsidRPr="007A0FFA">
        <w:rPr>
          <w:rFonts w:eastAsiaTheme="minorHAnsi" w:cstheme="minorBidi"/>
          <w:noProof/>
          <w:szCs w:val="22"/>
          <w:lang w:val="en-AU"/>
        </w:rPr>
        <w:t>relatlimab</w:t>
      </w:r>
      <w:r w:rsidRPr="007A0FFA">
        <w:rPr>
          <w:rFonts w:eastAsiaTheme="minorHAnsi" w:cstheme="minorBidi"/>
          <w:noProof/>
          <w:szCs w:val="22"/>
          <w:lang w:val="en-AU"/>
        </w:rPr>
        <w:t>, nephritis or renal dysfunction occurred in 3.9% (14/355) of patients . Incidences of Grade 3/4 were 1.4% (5/355). Median time to onset was 18.36 weeks (range: 1.9-98.1). Resolution occurred in 12</w:t>
      </w:r>
      <w:r w:rsidR="00157D24" w:rsidRPr="007A0FFA">
        <w:rPr>
          <w:rFonts w:eastAsiaTheme="minorHAnsi" w:cstheme="minorBidi"/>
          <w:noProof/>
          <w:szCs w:val="22"/>
          <w:lang w:val="en-AU"/>
        </w:rPr>
        <w:t>/14</w:t>
      </w:r>
      <w:r w:rsidRPr="007A0FFA">
        <w:rPr>
          <w:rFonts w:eastAsiaTheme="minorHAnsi" w:cstheme="minorBidi"/>
          <w:noProof/>
          <w:szCs w:val="22"/>
          <w:lang w:val="en-AU"/>
        </w:rPr>
        <w:t xml:space="preserve"> patients (85.7%) with a median time to resolution of 12.43 weeks (range: 0.9-51.0+). Immune-related nephritis and renal dysfunction led to permanent discontinuation of </w:t>
      </w:r>
      <w:r w:rsidR="00F04512" w:rsidRPr="007A0FFA">
        <w:rPr>
          <w:rFonts w:eastAsiaTheme="minorHAnsi" w:cstheme="minorBidi"/>
          <w:noProof/>
          <w:szCs w:val="22"/>
          <w:lang w:val="en-AU"/>
        </w:rPr>
        <w:t>nivolumab</w:t>
      </w:r>
      <w:r w:rsidRPr="007A0FFA">
        <w:rPr>
          <w:rFonts w:eastAsiaTheme="minorHAnsi" w:cstheme="minorBidi"/>
          <w:noProof/>
          <w:szCs w:val="22"/>
          <w:lang w:val="en-AU"/>
        </w:rPr>
        <w:t xml:space="preserve"> in combination with </w:t>
      </w:r>
      <w:r w:rsidR="00F01CE7" w:rsidRPr="007A0FFA">
        <w:rPr>
          <w:noProof/>
        </w:rPr>
        <w:t>relatlimab</w:t>
      </w:r>
      <w:r w:rsidRPr="007A0FFA">
        <w:rPr>
          <w:rFonts w:eastAsiaTheme="minorHAnsi" w:cstheme="minorBidi"/>
          <w:noProof/>
          <w:szCs w:val="22"/>
          <w:lang w:val="en-AU"/>
        </w:rPr>
        <w:t xml:space="preserve"> in 1.1% of patients and required high dose corticosteroids (prednisone ≥ 40 mg per day or equivalent) in 21.4% of patients</w:t>
      </w:r>
      <w:r w:rsidR="00271C92" w:rsidRPr="007A0FFA">
        <w:rPr>
          <w:rFonts w:eastAsiaTheme="minorHAnsi" w:cstheme="minorBidi"/>
          <w:noProof/>
          <w:szCs w:val="22"/>
          <w:lang w:val="en-AU"/>
        </w:rPr>
        <w:t xml:space="preserve"> </w:t>
      </w:r>
      <w:r w:rsidR="00271C92" w:rsidRPr="007A0FFA">
        <w:t>with i</w:t>
      </w:r>
      <w:r w:rsidR="00271C92" w:rsidRPr="007A0FFA">
        <w:rPr>
          <w:iCs/>
          <w:noProof/>
        </w:rPr>
        <w:t>mmune-related nephritis and renal dysfunction</w:t>
      </w:r>
      <w:r w:rsidRPr="007A0FFA">
        <w:rPr>
          <w:rFonts w:eastAsiaTheme="minorHAnsi" w:cstheme="minorBidi"/>
          <w:noProof/>
          <w:szCs w:val="22"/>
          <w:lang w:val="en-AU"/>
        </w:rPr>
        <w:t>.</w:t>
      </w:r>
    </w:p>
    <w:p w14:paraId="4386EB1E" w14:textId="4A59C447" w:rsidR="00100DED" w:rsidRPr="007A0FFA" w:rsidRDefault="00100DED" w:rsidP="009E2783">
      <w:pPr>
        <w:pStyle w:val="Heading4"/>
        <w:rPr>
          <w:rFonts w:hint="eastAsia"/>
        </w:rPr>
      </w:pPr>
      <w:r w:rsidRPr="007A0FFA">
        <w:rPr>
          <w:rFonts w:hint="eastAsia"/>
        </w:rPr>
        <w:t>Immune</w:t>
      </w:r>
      <w:r w:rsidRPr="007A0FFA">
        <w:rPr>
          <w:rFonts w:hint="eastAsia"/>
        </w:rPr>
        <w:noBreakHyphen/>
        <w:t>related endocrinopathies</w:t>
      </w:r>
    </w:p>
    <w:p w14:paraId="72B6A2DF" w14:textId="392FCC6C" w:rsidR="008701C3" w:rsidRPr="007A0FFA" w:rsidRDefault="00952F77" w:rsidP="00260EDC">
      <w:pPr>
        <w:rPr>
          <w:noProof/>
        </w:rPr>
      </w:pPr>
      <w:r w:rsidRPr="007A0FFA">
        <w:rPr>
          <w:noProof/>
        </w:rPr>
        <w:t xml:space="preserve">In patients treated with </w:t>
      </w:r>
      <w:r w:rsidR="00F41C70" w:rsidRPr="007A0FFA">
        <w:rPr>
          <w:noProof/>
        </w:rPr>
        <w:t>nivolumab</w:t>
      </w:r>
      <w:r w:rsidRPr="007A0FFA">
        <w:rPr>
          <w:noProof/>
        </w:rPr>
        <w:t xml:space="preserve"> in combination with </w:t>
      </w:r>
      <w:r w:rsidR="00F41C70" w:rsidRPr="007A0FFA">
        <w:rPr>
          <w:noProof/>
        </w:rPr>
        <w:t>relatlimab</w:t>
      </w:r>
      <w:r w:rsidRPr="007A0FFA">
        <w:rPr>
          <w:noProof/>
        </w:rPr>
        <w:t>, thyroid disorders, including hypothyroidism or hyperthyroidism, occurred in 19.4% (69/355) of patients. There were no incidences of Grade 3/4 thyroid disorder. Incidences of Grade 3/4 adrenal insufficiency occur</w:t>
      </w:r>
      <w:r w:rsidR="00502FF6" w:rsidRPr="007A0FFA">
        <w:rPr>
          <w:noProof/>
        </w:rPr>
        <w:t>r</w:t>
      </w:r>
      <w:r w:rsidRPr="007A0FFA">
        <w:rPr>
          <w:noProof/>
        </w:rPr>
        <w:t>ed in 0.8% (3/355). There were no incidences of Grade 3/4 hypophysitis or hypopituitarism. Incidences of Grade 3/4 diabetes mellitus (including Type 1 diabetes mellitus) were in 0.3% (1/355). Median time to onset of these endocrinopathies was 12.29 weeks (range: 1.0-71.0). Resolution occurred in 20</w:t>
      </w:r>
      <w:r w:rsidR="00B53A16" w:rsidRPr="007A0FFA">
        <w:rPr>
          <w:noProof/>
        </w:rPr>
        <w:t>/85</w:t>
      </w:r>
      <w:r w:rsidRPr="007A0FFA">
        <w:rPr>
          <w:noProof/>
        </w:rPr>
        <w:t xml:space="preserve"> patients (23.5%). Time to resolution ranged from 0.1+ -138.1+ weeks. Immune-related endocrinopathies led to permanent discontinuation of </w:t>
      </w:r>
      <w:r w:rsidR="00F01CE7" w:rsidRPr="007A0FFA">
        <w:rPr>
          <w:noProof/>
        </w:rPr>
        <w:t>nivolumab</w:t>
      </w:r>
      <w:r w:rsidRPr="007A0FFA">
        <w:rPr>
          <w:noProof/>
        </w:rPr>
        <w:t xml:space="preserve"> in combination with </w:t>
      </w:r>
      <w:r w:rsidR="00F01CE7" w:rsidRPr="007A0FFA">
        <w:rPr>
          <w:noProof/>
        </w:rPr>
        <w:t>relatlimab</w:t>
      </w:r>
      <w:r w:rsidRPr="007A0FFA">
        <w:rPr>
          <w:noProof/>
        </w:rPr>
        <w:t xml:space="preserve"> in 1.1% of patients and required high dose corticosteroids (prednisone ≥ 40 mg per day or equivalent) in 7.1% of patients</w:t>
      </w:r>
      <w:r w:rsidR="009E37D5" w:rsidRPr="007A0FFA">
        <w:rPr>
          <w:noProof/>
        </w:rPr>
        <w:t xml:space="preserve"> with immune-related endocrinopathies</w:t>
      </w:r>
      <w:r w:rsidRPr="007A0FFA">
        <w:rPr>
          <w:noProof/>
        </w:rPr>
        <w:t>.</w:t>
      </w:r>
    </w:p>
    <w:p w14:paraId="581178C5" w14:textId="22ABEC60" w:rsidR="002222FB" w:rsidRPr="007A0FFA" w:rsidRDefault="002222FB" w:rsidP="009E2783">
      <w:pPr>
        <w:pStyle w:val="Heading4"/>
        <w:rPr>
          <w:rFonts w:hint="eastAsia"/>
          <w:highlight w:val="green"/>
        </w:rPr>
      </w:pPr>
      <w:r w:rsidRPr="007A0FFA">
        <w:rPr>
          <w:rFonts w:hint="eastAsia"/>
        </w:rPr>
        <w:t>Immune</w:t>
      </w:r>
      <w:r w:rsidRPr="007A0FFA">
        <w:rPr>
          <w:rFonts w:hint="eastAsia"/>
        </w:rPr>
        <w:noBreakHyphen/>
        <w:t xml:space="preserve">related </w:t>
      </w:r>
      <w:r w:rsidR="007A0FFA" w:rsidRPr="007A0FFA">
        <w:t>skin reactions</w:t>
      </w:r>
    </w:p>
    <w:p w14:paraId="2D6E8E5D" w14:textId="30EE9CAE" w:rsidR="00325B97" w:rsidRPr="007A0FFA" w:rsidRDefault="00325B97" w:rsidP="00DD2DD3">
      <w:pPr>
        <w:spacing w:after="120"/>
      </w:pPr>
      <w:r w:rsidRPr="007A0FFA">
        <w:t xml:space="preserve">In patients treated with </w:t>
      </w:r>
      <w:r w:rsidR="0015479F" w:rsidRPr="007A0FFA">
        <w:t>nivolumab</w:t>
      </w:r>
      <w:r w:rsidRPr="007A0FFA">
        <w:t xml:space="preserve"> in combination with </w:t>
      </w:r>
      <w:proofErr w:type="spellStart"/>
      <w:r w:rsidR="0015479F" w:rsidRPr="007A0FFA">
        <w:t>relatlimab</w:t>
      </w:r>
      <w:proofErr w:type="spellEnd"/>
      <w:r w:rsidRPr="007A0FFA">
        <w:t>, rash occurred in 42.3% (150/355) of patients. Incidences of Grade 3/4 events were 1.4% (5/355). Median time to onset was 6.5 weeks (range: 0.1-97.9). Resolution occurred in 64</w:t>
      </w:r>
      <w:r w:rsidR="00B53A16" w:rsidRPr="007A0FFA">
        <w:t>/150</w:t>
      </w:r>
      <w:r w:rsidRPr="007A0FFA">
        <w:t xml:space="preserve"> patients (42.7%). Time to resolution ranged from 0.1-142.6+ weeks. Immune-related skin adverse reactions led to permanent discontinuation of </w:t>
      </w:r>
      <w:r w:rsidR="006456E5" w:rsidRPr="007A0FFA">
        <w:t>nivolumab</w:t>
      </w:r>
      <w:r w:rsidRPr="007A0FFA">
        <w:t xml:space="preserve"> in combination with </w:t>
      </w:r>
      <w:r w:rsidR="006456E5" w:rsidRPr="007A0FFA">
        <w:rPr>
          <w:noProof/>
        </w:rPr>
        <w:t>relatlimab</w:t>
      </w:r>
      <w:r w:rsidRPr="007A0FFA">
        <w:t xml:space="preserve"> in 0.3% of patients and required high dose corticosteroids (prednisone ≥ 40 mg per day or equivalent) in 2.7% of patients with immune-related skin adverse reactions.</w:t>
      </w:r>
    </w:p>
    <w:p w14:paraId="257A5BD5" w14:textId="5E062962" w:rsidR="003D6F42" w:rsidRPr="007A0FFA" w:rsidRDefault="003D6F42" w:rsidP="009E2783">
      <w:pPr>
        <w:pStyle w:val="Heading4"/>
        <w:rPr>
          <w:rFonts w:hint="eastAsia"/>
        </w:rPr>
      </w:pPr>
      <w:r w:rsidRPr="007A0FFA">
        <w:rPr>
          <w:rFonts w:hint="eastAsia"/>
        </w:rPr>
        <w:t>Immune</w:t>
      </w:r>
      <w:r w:rsidRPr="007A0FFA">
        <w:rPr>
          <w:rFonts w:hint="eastAsia"/>
        </w:rPr>
        <w:noBreakHyphen/>
        <w:t>related myocarditis</w:t>
      </w:r>
    </w:p>
    <w:p w14:paraId="39584500" w14:textId="493E6332" w:rsidR="00A07386" w:rsidRPr="007A0FFA" w:rsidRDefault="008A7A37" w:rsidP="00A07386">
      <w:pPr>
        <w:spacing w:after="120"/>
      </w:pPr>
      <w:r w:rsidRPr="007A0FFA">
        <w:t xml:space="preserve">In patients treated with </w:t>
      </w:r>
      <w:r w:rsidR="0015479F" w:rsidRPr="007A0FFA">
        <w:t>nivolumab</w:t>
      </w:r>
      <w:r w:rsidRPr="007A0FFA">
        <w:t xml:space="preserve"> in combination with </w:t>
      </w:r>
      <w:proofErr w:type="spellStart"/>
      <w:r w:rsidR="0015479F" w:rsidRPr="007A0FFA">
        <w:t>relatlimab</w:t>
      </w:r>
      <w:proofErr w:type="spellEnd"/>
      <w:r w:rsidRPr="007A0FFA">
        <w:t>, myocarditis occurred in 1.4% (5/355) of patients. Incidences of Grade 3/4 events were 0.6 % (2/355). Median time to onset was 4.14 weeks (range: 2.1-6.3). Resolution occurred in 5</w:t>
      </w:r>
      <w:r w:rsidR="00B53A16" w:rsidRPr="007A0FFA">
        <w:t>/5</w:t>
      </w:r>
      <w:r w:rsidRPr="007A0FFA">
        <w:t xml:space="preserve"> patients (100%) with a median time to resolution of 3 weeks (1.9-14.0). Myocarditis led to permanent discontinuation of </w:t>
      </w:r>
      <w:r w:rsidR="006456E5" w:rsidRPr="007A0FFA">
        <w:t>nivolumab</w:t>
      </w:r>
      <w:r w:rsidRPr="007A0FFA">
        <w:t xml:space="preserve"> in combination with </w:t>
      </w:r>
      <w:r w:rsidR="006456E5" w:rsidRPr="007A0FFA">
        <w:rPr>
          <w:noProof/>
        </w:rPr>
        <w:t>relatlimab</w:t>
      </w:r>
      <w:r w:rsidRPr="007A0FFA">
        <w:t xml:space="preserve"> in 1.4% of patients and required high dose corticosteroids (prednisone ≥ 40 mg per day or equivalent) in 100% of patients with immune-related myocarditis.</w:t>
      </w:r>
    </w:p>
    <w:p w14:paraId="560A4935" w14:textId="7970470F" w:rsidR="001A4987" w:rsidRPr="007A0FFA" w:rsidRDefault="001A4987" w:rsidP="009E2783">
      <w:pPr>
        <w:pStyle w:val="Heading4"/>
        <w:rPr>
          <w:rFonts w:hint="eastAsia"/>
        </w:rPr>
      </w:pPr>
      <w:r w:rsidRPr="007A0FFA">
        <w:rPr>
          <w:rFonts w:hint="eastAsia"/>
        </w:rPr>
        <w:t xml:space="preserve">Infusion </w:t>
      </w:r>
      <w:r w:rsidR="003A1DA5" w:rsidRPr="007A0FFA">
        <w:rPr>
          <w:rFonts w:hint="eastAsia"/>
        </w:rPr>
        <w:t>r</w:t>
      </w:r>
      <w:r w:rsidRPr="007A0FFA">
        <w:rPr>
          <w:rFonts w:hint="eastAsia"/>
        </w:rPr>
        <w:t>eactions</w:t>
      </w:r>
    </w:p>
    <w:p w14:paraId="708B89DE" w14:textId="66ED793F" w:rsidR="005823FA" w:rsidRPr="007A0FFA" w:rsidRDefault="005823FA" w:rsidP="00260EDC">
      <w:r w:rsidRPr="007A0FFA">
        <w:t xml:space="preserve">In patients treated with </w:t>
      </w:r>
      <w:r w:rsidR="006456E5" w:rsidRPr="007A0FFA">
        <w:t>nivolumab</w:t>
      </w:r>
      <w:r w:rsidRPr="007A0FFA">
        <w:t xml:space="preserve"> in combination with </w:t>
      </w:r>
      <w:r w:rsidR="006456E5" w:rsidRPr="007A0FFA">
        <w:rPr>
          <w:noProof/>
        </w:rPr>
        <w:t>relatlimab</w:t>
      </w:r>
      <w:r w:rsidRPr="007A0FFA">
        <w:t>, hypersensitivity/infusion reactions</w:t>
      </w:r>
      <w:r w:rsidR="00D20734" w:rsidRPr="007A0FFA">
        <w:t xml:space="preserve"> </w:t>
      </w:r>
      <w:r w:rsidRPr="007A0FFA">
        <w:t xml:space="preserve">occurred in 6.5% (23/355) of patients. </w:t>
      </w:r>
      <w:r w:rsidR="0088500A" w:rsidRPr="007A0FFA">
        <w:t>All incidents were Grade 1/2.</w:t>
      </w:r>
    </w:p>
    <w:p w14:paraId="74EC3473" w14:textId="63237CA0" w:rsidR="00A31BC4" w:rsidRPr="007A0FFA" w:rsidRDefault="00EE6744" w:rsidP="009E2783">
      <w:pPr>
        <w:pStyle w:val="Heading4"/>
        <w:rPr>
          <w:rFonts w:ascii="Times New Roman" w:eastAsiaTheme="minorHAnsi" w:hAnsi="Times New Roman" w:cstheme="minorBidi"/>
        </w:rPr>
      </w:pPr>
      <w:r w:rsidRPr="007A0FFA">
        <w:rPr>
          <w:rFonts w:hint="eastAsia"/>
        </w:rPr>
        <w:lastRenderedPageBreak/>
        <w:t>I</w:t>
      </w:r>
      <w:r w:rsidR="00A31BC4" w:rsidRPr="007A0FFA">
        <w:rPr>
          <w:rFonts w:hint="eastAsia"/>
        </w:rPr>
        <w:t>mmunogenicity</w:t>
      </w:r>
    </w:p>
    <w:p w14:paraId="3A7A1286" w14:textId="51FAB789" w:rsidR="00D058CC" w:rsidRPr="007A0FFA" w:rsidRDefault="00330876" w:rsidP="00AE2C20">
      <w:pPr>
        <w:rPr>
          <w:noProof/>
        </w:rPr>
      </w:pPr>
      <w:r w:rsidRPr="007A0FFA">
        <w:rPr>
          <w:noProof/>
        </w:rPr>
        <w:t xml:space="preserve">In study CA224047 out of the evaluable patients for anti-drug antibodies, the incidence of treatment-emergent anti-relatlimab antibodies and </w:t>
      </w:r>
      <w:r w:rsidR="002304A6" w:rsidRPr="007A0FFA">
        <w:rPr>
          <w:noProof/>
        </w:rPr>
        <w:t xml:space="preserve">neutralising </w:t>
      </w:r>
      <w:r w:rsidRPr="007A0FFA">
        <w:rPr>
          <w:noProof/>
        </w:rPr>
        <w:t xml:space="preserve">antibodies against relatlimab in the </w:t>
      </w:r>
      <w:r w:rsidR="00AE2C20" w:rsidRPr="007A0FFA">
        <w:rPr>
          <w:noProof/>
        </w:rPr>
        <w:t>OPDUALAG</w:t>
      </w:r>
      <w:r w:rsidRPr="007A0FFA">
        <w:rPr>
          <w:noProof/>
        </w:rPr>
        <w:t xml:space="preserve"> group were 5.6% (16/286) and 0.3% (1/286), respectively. The incidence of treatment-emergent anti-nivolumab antibodies and neutrali</w:t>
      </w:r>
      <w:r w:rsidR="002304A6" w:rsidRPr="007A0FFA">
        <w:rPr>
          <w:noProof/>
        </w:rPr>
        <w:t>s</w:t>
      </w:r>
      <w:r w:rsidRPr="007A0FFA">
        <w:rPr>
          <w:noProof/>
        </w:rPr>
        <w:t xml:space="preserve">ing antibodies against nivolumab in the </w:t>
      </w:r>
      <w:r w:rsidR="00AE2C20" w:rsidRPr="007A0FFA">
        <w:rPr>
          <w:noProof/>
        </w:rPr>
        <w:t>OPDUALAG</w:t>
      </w:r>
      <w:r w:rsidRPr="007A0FFA">
        <w:rPr>
          <w:noProof/>
        </w:rPr>
        <w:t xml:space="preserve"> group </w:t>
      </w:r>
      <w:r w:rsidR="00EC1D2B" w:rsidRPr="007A0FFA">
        <w:rPr>
          <w:noProof/>
        </w:rPr>
        <w:t>[</w:t>
      </w:r>
      <w:r w:rsidRPr="007A0FFA">
        <w:rPr>
          <w:noProof/>
        </w:rPr>
        <w:t>3.8% (11/288) and 0.3% (1/288), respectively</w:t>
      </w:r>
      <w:r w:rsidR="00EC1D2B" w:rsidRPr="007A0FFA">
        <w:rPr>
          <w:noProof/>
        </w:rPr>
        <w:t>]</w:t>
      </w:r>
      <w:r w:rsidRPr="007A0FFA">
        <w:rPr>
          <w:noProof/>
        </w:rPr>
        <w:t xml:space="preserve"> were similar to that observed in the nivolumab group </w:t>
      </w:r>
      <w:r w:rsidR="00EC1D2B" w:rsidRPr="007A0FFA">
        <w:rPr>
          <w:noProof/>
        </w:rPr>
        <w:t>[</w:t>
      </w:r>
      <w:r w:rsidRPr="007A0FFA">
        <w:rPr>
          <w:noProof/>
        </w:rPr>
        <w:t>5.9% (16/272) and 0.4% (1/272), respectively</w:t>
      </w:r>
      <w:r w:rsidR="00EC1D2B" w:rsidRPr="007A0FFA">
        <w:rPr>
          <w:noProof/>
        </w:rPr>
        <w:t>]</w:t>
      </w:r>
      <w:r w:rsidRPr="007A0FFA">
        <w:rPr>
          <w:noProof/>
        </w:rPr>
        <w:t>.</w:t>
      </w:r>
    </w:p>
    <w:p w14:paraId="7C24FDA8" w14:textId="02B5DD3B" w:rsidR="00F677B7" w:rsidRPr="007A0FFA" w:rsidRDefault="00F677B7" w:rsidP="003067DE">
      <w:pPr>
        <w:pStyle w:val="Heading3"/>
      </w:pPr>
      <w:r w:rsidRPr="007A0FFA">
        <w:t>Reporting suspected adverse effects</w:t>
      </w:r>
    </w:p>
    <w:p w14:paraId="3D139680" w14:textId="0A299D06" w:rsidR="00B57C92" w:rsidRPr="000A4651" w:rsidRDefault="00B57C92" w:rsidP="003D202A">
      <w:pPr>
        <w:rPr>
          <w:rFonts w:cs="Times New Roman"/>
        </w:rPr>
      </w:pPr>
      <w:r w:rsidRPr="007A0FFA">
        <w:rPr>
          <w:rFonts w:cs="Times New Roman"/>
        </w:rPr>
        <w:t xml:space="preserve">Reporting suspected adverse reactions after registration of the medicinal product is important. It allows continued monitoring of the benefit-risk balance of the medicinal product. </w:t>
      </w:r>
      <w:r w:rsidR="003D202A" w:rsidRPr="007A0FFA">
        <w:rPr>
          <w:rFonts w:cs="Times New Roman"/>
          <w:lang w:val="en-US"/>
        </w:rPr>
        <w:t>Healthcare professionals are asked to report any suspected adverse reactions at http://www.tga.gov.au/reporting-problems.</w:t>
      </w:r>
    </w:p>
    <w:p w14:paraId="6D047B41" w14:textId="77777777" w:rsidR="001A3992" w:rsidRPr="000A4651" w:rsidRDefault="001A3992" w:rsidP="0083119C">
      <w:pPr>
        <w:pStyle w:val="Heading2"/>
      </w:pPr>
      <w:r w:rsidRPr="000A4651">
        <w:t>Overdose</w:t>
      </w:r>
    </w:p>
    <w:p w14:paraId="6E6A9C70" w14:textId="1079A076" w:rsidR="00BF2535" w:rsidRDefault="00BF2535" w:rsidP="00C13A8C">
      <w:pPr>
        <w:rPr>
          <w:noProof/>
        </w:rPr>
      </w:pPr>
      <w:r>
        <w:rPr>
          <w:noProof/>
        </w:rPr>
        <w:t xml:space="preserve">No cases of overdose </w:t>
      </w:r>
      <w:r w:rsidR="00EC1D2B">
        <w:rPr>
          <w:noProof/>
        </w:rPr>
        <w:t xml:space="preserve">were </w:t>
      </w:r>
      <w:r>
        <w:rPr>
          <w:noProof/>
        </w:rPr>
        <w:t xml:space="preserve">reported in </w:t>
      </w:r>
      <w:r w:rsidR="00E3436C">
        <w:rPr>
          <w:noProof/>
        </w:rPr>
        <w:t xml:space="preserve">the pivotal </w:t>
      </w:r>
      <w:r>
        <w:rPr>
          <w:noProof/>
        </w:rPr>
        <w:t>clinical trial</w:t>
      </w:r>
      <w:r w:rsidR="00E3436C">
        <w:rPr>
          <w:noProof/>
        </w:rPr>
        <w:t xml:space="preserve"> (CA224047)</w:t>
      </w:r>
      <w:r>
        <w:rPr>
          <w:noProof/>
        </w:rPr>
        <w:t>. In case of overdose, patients should be closely monitored for signs or symptoms of adverse reactions, and appropriate symptomatic treatment instituted immediately</w:t>
      </w:r>
      <w:r w:rsidR="00D026DC">
        <w:rPr>
          <w:noProof/>
        </w:rPr>
        <w:t>.</w:t>
      </w:r>
    </w:p>
    <w:p w14:paraId="3A089AC3" w14:textId="6563A48B" w:rsidR="003D202A" w:rsidRPr="00BF2535" w:rsidRDefault="003D202A" w:rsidP="003D202A">
      <w:pPr>
        <w:rPr>
          <w:noProof/>
        </w:rPr>
      </w:pPr>
      <w:r w:rsidRPr="00BF2535">
        <w:rPr>
          <w:noProof/>
        </w:rPr>
        <w:t>For information on the management of overdose, contact the Poison Information Centre on 131126 (Australia).</w:t>
      </w:r>
    </w:p>
    <w:p w14:paraId="5FF95703" w14:textId="77777777" w:rsidR="001A3992" w:rsidRPr="000A4651" w:rsidRDefault="001A3992" w:rsidP="00C27979">
      <w:pPr>
        <w:pStyle w:val="Heading1"/>
      </w:pPr>
      <w:r w:rsidRPr="000A4651">
        <w:t>Pharmacological properties</w:t>
      </w:r>
    </w:p>
    <w:p w14:paraId="7B8BE53A" w14:textId="3076F219" w:rsidR="001A3992" w:rsidRPr="000A4651" w:rsidRDefault="00E61227" w:rsidP="0083119C">
      <w:pPr>
        <w:pStyle w:val="Heading2"/>
      </w:pPr>
      <w:r w:rsidRPr="000A4651">
        <w:t>Pharmacodynamic properties</w:t>
      </w:r>
    </w:p>
    <w:p w14:paraId="40E5EBCA" w14:textId="204C7C86" w:rsidR="001A3992" w:rsidRPr="00011842" w:rsidRDefault="001A3992" w:rsidP="003067DE">
      <w:pPr>
        <w:pStyle w:val="Heading3"/>
      </w:pPr>
      <w:r w:rsidRPr="00011842">
        <w:t>Mechanism of action</w:t>
      </w:r>
    </w:p>
    <w:p w14:paraId="24FCAA1E" w14:textId="4999A843" w:rsidR="00F93368" w:rsidRPr="0020501F" w:rsidRDefault="00F93368" w:rsidP="00B374FB">
      <w:pPr>
        <w:rPr>
          <w:noProof/>
        </w:rPr>
      </w:pPr>
      <w:r w:rsidRPr="00BF289F">
        <w:rPr>
          <w:noProof/>
        </w:rPr>
        <w:t>Relatlimab is a human IgG4 monoclonal antibody that binds to the LAG</w:t>
      </w:r>
      <w:r w:rsidRPr="00BF289F">
        <w:rPr>
          <w:noProof/>
        </w:rPr>
        <w:noBreakHyphen/>
        <w:t xml:space="preserve">3 </w:t>
      </w:r>
      <w:r w:rsidR="00EC1D2B" w:rsidRPr="00BF289F">
        <w:rPr>
          <w:noProof/>
        </w:rPr>
        <w:t xml:space="preserve">T cell </w:t>
      </w:r>
      <w:r w:rsidRPr="001D45BB">
        <w:rPr>
          <w:noProof/>
        </w:rPr>
        <w:t>receptor</w:t>
      </w:r>
      <w:r w:rsidR="00EC1D2B" w:rsidRPr="00E86F5F">
        <w:rPr>
          <w:noProof/>
        </w:rPr>
        <w:t xml:space="preserve">, </w:t>
      </w:r>
      <w:r w:rsidRPr="00AE0E75">
        <w:rPr>
          <w:noProof/>
        </w:rPr>
        <w:t>block</w:t>
      </w:r>
      <w:r w:rsidR="00EC1D2B" w:rsidRPr="007225CB">
        <w:rPr>
          <w:noProof/>
        </w:rPr>
        <w:t>s</w:t>
      </w:r>
      <w:r w:rsidRPr="00011842">
        <w:rPr>
          <w:noProof/>
        </w:rPr>
        <w:t xml:space="preserve"> interaction with </w:t>
      </w:r>
      <w:r w:rsidR="002F1ACD" w:rsidRPr="00011842">
        <w:rPr>
          <w:noProof/>
        </w:rPr>
        <w:t xml:space="preserve">its </w:t>
      </w:r>
      <w:r w:rsidRPr="00011842">
        <w:rPr>
          <w:noProof/>
        </w:rPr>
        <w:t>ligands</w:t>
      </w:r>
      <w:r w:rsidR="00EC1D2B" w:rsidRPr="00011842">
        <w:rPr>
          <w:noProof/>
        </w:rPr>
        <w:t xml:space="preserve"> (including major histocompatibility complex </w:t>
      </w:r>
      <w:r w:rsidR="002F1ACD" w:rsidRPr="00011842">
        <w:rPr>
          <w:noProof/>
        </w:rPr>
        <w:t xml:space="preserve">[MHC] </w:t>
      </w:r>
      <w:r w:rsidR="00EC1D2B" w:rsidRPr="00011842">
        <w:rPr>
          <w:noProof/>
        </w:rPr>
        <w:t>Class II)</w:t>
      </w:r>
      <w:r w:rsidR="002F1ACD" w:rsidRPr="00011842">
        <w:rPr>
          <w:noProof/>
        </w:rPr>
        <w:t>, and reduces LAG-3 pathway-mediated inhibition of the immune response</w:t>
      </w:r>
      <w:r w:rsidRPr="00011842">
        <w:rPr>
          <w:noProof/>
        </w:rPr>
        <w:t xml:space="preserve">. </w:t>
      </w:r>
      <w:r w:rsidR="0088047D" w:rsidRPr="00F14CFB">
        <w:t>Antagonism of this pathway promotes T cell proliferation and cytokine secretion.</w:t>
      </w:r>
    </w:p>
    <w:p w14:paraId="69A3C1C9" w14:textId="69D11071" w:rsidR="00F93368" w:rsidRPr="007A0FFA" w:rsidRDefault="00F93368" w:rsidP="00B374FB">
      <w:pPr>
        <w:rPr>
          <w:noProof/>
        </w:rPr>
      </w:pPr>
      <w:r w:rsidRPr="007A0FFA">
        <w:rPr>
          <w:noProof/>
        </w:rPr>
        <w:t xml:space="preserve">Binding of the </w:t>
      </w:r>
      <w:r w:rsidR="002F1ACD" w:rsidRPr="007A0FFA">
        <w:rPr>
          <w:noProof/>
        </w:rPr>
        <w:t>PD</w:t>
      </w:r>
      <w:r w:rsidR="002F1ACD" w:rsidRPr="007A0FFA">
        <w:rPr>
          <w:noProof/>
        </w:rPr>
        <w:noBreakHyphen/>
        <w:t xml:space="preserve">1 receptor found on T cells to its </w:t>
      </w:r>
      <w:r w:rsidRPr="007A0FFA">
        <w:rPr>
          <w:noProof/>
        </w:rPr>
        <w:t xml:space="preserve">ligands </w:t>
      </w:r>
      <w:r w:rsidR="002F1ACD" w:rsidRPr="007A0FFA">
        <w:rPr>
          <w:noProof/>
        </w:rPr>
        <w:t>(</w:t>
      </w:r>
      <w:r w:rsidRPr="007A0FFA">
        <w:rPr>
          <w:noProof/>
        </w:rPr>
        <w:t>PD</w:t>
      </w:r>
      <w:r w:rsidRPr="007A0FFA">
        <w:rPr>
          <w:noProof/>
        </w:rPr>
        <w:noBreakHyphen/>
        <w:t>L1 and PD</w:t>
      </w:r>
      <w:r w:rsidRPr="007A0FFA">
        <w:rPr>
          <w:noProof/>
        </w:rPr>
        <w:noBreakHyphen/>
        <w:t>L2</w:t>
      </w:r>
      <w:r w:rsidR="002F1ACD" w:rsidRPr="007A0FFA">
        <w:rPr>
          <w:noProof/>
        </w:rPr>
        <w:t>)</w:t>
      </w:r>
      <w:r w:rsidRPr="007A0FFA">
        <w:rPr>
          <w:noProof/>
        </w:rPr>
        <w:t>, inhibits T cell proliferation and cytokine production. Upregulation of PD</w:t>
      </w:r>
      <w:r w:rsidRPr="007A0FFA">
        <w:rPr>
          <w:noProof/>
        </w:rPr>
        <w:noBreakHyphen/>
        <w:t>1 ligands occurs in some tumours and signal</w:t>
      </w:r>
      <w:r w:rsidR="00A70034" w:rsidRPr="007A0FFA">
        <w:rPr>
          <w:noProof/>
        </w:rPr>
        <w:t>l</w:t>
      </w:r>
      <w:r w:rsidRPr="007A0FFA">
        <w:rPr>
          <w:noProof/>
        </w:rPr>
        <w:t>ing through this pathway can contribute to inhibition of active T cell immune surveillance of tumours. Nivolumab is a human IgG4 monoclonal antibody that binds to the PD</w:t>
      </w:r>
      <w:r w:rsidRPr="007A0FFA">
        <w:rPr>
          <w:noProof/>
        </w:rPr>
        <w:noBreakHyphen/>
        <w:t>1 receptor</w:t>
      </w:r>
      <w:r w:rsidR="002F1ACD" w:rsidRPr="007A0FFA">
        <w:rPr>
          <w:noProof/>
        </w:rPr>
        <w:t>,</w:t>
      </w:r>
      <w:r w:rsidRPr="007A0FFA">
        <w:rPr>
          <w:noProof/>
        </w:rPr>
        <w:t xml:space="preserve"> blocks interaction with PD</w:t>
      </w:r>
      <w:r w:rsidRPr="007A0FFA">
        <w:rPr>
          <w:noProof/>
        </w:rPr>
        <w:noBreakHyphen/>
        <w:t>L1 and PD</w:t>
      </w:r>
      <w:r w:rsidRPr="007A0FFA">
        <w:rPr>
          <w:noProof/>
        </w:rPr>
        <w:noBreakHyphen/>
        <w:t xml:space="preserve">L2, </w:t>
      </w:r>
      <w:r w:rsidR="002F1ACD" w:rsidRPr="007A0FFA">
        <w:rPr>
          <w:noProof/>
        </w:rPr>
        <w:t xml:space="preserve">and reduces </w:t>
      </w:r>
      <w:r w:rsidRPr="007A0FFA">
        <w:rPr>
          <w:noProof/>
        </w:rPr>
        <w:t>PD</w:t>
      </w:r>
      <w:r w:rsidRPr="007A0FFA">
        <w:rPr>
          <w:noProof/>
        </w:rPr>
        <w:noBreakHyphen/>
        <w:t>1 pathway-mediated inhibition of the immune response, including the anti-tumour immune response. In syngeneic mouse tumour models, blocking PD</w:t>
      </w:r>
      <w:r w:rsidRPr="007A0FFA">
        <w:rPr>
          <w:noProof/>
        </w:rPr>
        <w:noBreakHyphen/>
        <w:t>1 activity resulted in decreased tumour growth.</w:t>
      </w:r>
    </w:p>
    <w:p w14:paraId="26FEC3AB" w14:textId="6E3A31E9" w:rsidR="009B59BA" w:rsidRPr="007A0FFA" w:rsidRDefault="00F93368" w:rsidP="00F93368">
      <w:pPr>
        <w:rPr>
          <w:noProof/>
        </w:rPr>
      </w:pPr>
      <w:r w:rsidRPr="007A0FFA">
        <w:rPr>
          <w:noProof/>
        </w:rPr>
        <w:t xml:space="preserve">Combined </w:t>
      </w:r>
      <w:r w:rsidR="002F1ACD" w:rsidRPr="007A0FFA">
        <w:rPr>
          <w:noProof/>
        </w:rPr>
        <w:t xml:space="preserve">inhibition of </w:t>
      </w:r>
      <w:r w:rsidR="00BF289F" w:rsidRPr="007A0FFA">
        <w:rPr>
          <w:noProof/>
        </w:rPr>
        <w:t xml:space="preserve">PD-1 (with nivolumab) and </w:t>
      </w:r>
      <w:r w:rsidR="002F1ACD" w:rsidRPr="007A0FFA">
        <w:rPr>
          <w:noProof/>
        </w:rPr>
        <w:t xml:space="preserve">LAG-3 (with </w:t>
      </w:r>
      <w:r w:rsidRPr="007A0FFA">
        <w:rPr>
          <w:noProof/>
        </w:rPr>
        <w:t xml:space="preserve">relatlimab) </w:t>
      </w:r>
      <w:r w:rsidR="002F1ACD" w:rsidRPr="007A0FFA">
        <w:rPr>
          <w:noProof/>
        </w:rPr>
        <w:t xml:space="preserve">results in increased T-cell activation compared to the </w:t>
      </w:r>
      <w:r w:rsidRPr="007A0FFA">
        <w:rPr>
          <w:noProof/>
        </w:rPr>
        <w:t>effect of either antibody alone. In murine syngeneic tumour models, LAG</w:t>
      </w:r>
      <w:r w:rsidRPr="007A0FFA">
        <w:rPr>
          <w:noProof/>
        </w:rPr>
        <w:noBreakHyphen/>
        <w:t>3 blockade potentiates the anti-tumour activity of PD</w:t>
      </w:r>
      <w:r w:rsidRPr="007A0FFA">
        <w:rPr>
          <w:noProof/>
        </w:rPr>
        <w:noBreakHyphen/>
        <w:t>1 blocka</w:t>
      </w:r>
      <w:r w:rsidR="002F1ACD" w:rsidRPr="007A0FFA">
        <w:rPr>
          <w:noProof/>
        </w:rPr>
        <w:t>d</w:t>
      </w:r>
      <w:r w:rsidRPr="007A0FFA">
        <w:rPr>
          <w:noProof/>
        </w:rPr>
        <w:t>e, inhibiting tumour growth and promoting tumour regression.</w:t>
      </w:r>
    </w:p>
    <w:p w14:paraId="063161CA" w14:textId="7E9DEFB9" w:rsidR="00D979CF" w:rsidRPr="007A0FFA" w:rsidRDefault="00D979CF" w:rsidP="00565EBC">
      <w:pPr>
        <w:rPr>
          <w:rFonts w:ascii="Times New Roman Bold" w:eastAsiaTheme="majorEastAsia" w:hAnsi="Times New Roman Bold" w:cs="Times New Roman"/>
          <w:b/>
          <w:bCs/>
          <w:sz w:val="24"/>
          <w:szCs w:val="28"/>
          <w:u w:val="single"/>
        </w:rPr>
      </w:pPr>
      <w:r w:rsidRPr="007A0FFA">
        <w:rPr>
          <w:rFonts w:ascii="Times New Roman Bold" w:eastAsiaTheme="majorEastAsia" w:hAnsi="Times New Roman Bold" w:cs="Times New Roman"/>
          <w:b/>
          <w:bCs/>
          <w:sz w:val="24"/>
          <w:szCs w:val="28"/>
          <w:u w:val="single"/>
        </w:rPr>
        <w:t>Pharmaco</w:t>
      </w:r>
      <w:r w:rsidR="00C63E42" w:rsidRPr="007A0FFA">
        <w:rPr>
          <w:rFonts w:ascii="Times New Roman Bold" w:eastAsiaTheme="majorEastAsia" w:hAnsi="Times New Roman Bold" w:cs="Times New Roman"/>
          <w:b/>
          <w:bCs/>
          <w:sz w:val="24"/>
          <w:szCs w:val="28"/>
          <w:u w:val="single"/>
        </w:rPr>
        <w:t>dynamic</w:t>
      </w:r>
      <w:r w:rsidR="002F1ACD" w:rsidRPr="007A0FFA">
        <w:rPr>
          <w:rFonts w:ascii="Times New Roman Bold" w:eastAsiaTheme="majorEastAsia" w:hAnsi="Times New Roman Bold" w:cs="Times New Roman"/>
          <w:b/>
          <w:bCs/>
          <w:sz w:val="24"/>
          <w:szCs w:val="28"/>
          <w:u w:val="single"/>
        </w:rPr>
        <w:t>s</w:t>
      </w:r>
    </w:p>
    <w:p w14:paraId="42EE7BD7" w14:textId="65F27046" w:rsidR="00474714" w:rsidRPr="00B374FB" w:rsidRDefault="002F1ACD" w:rsidP="002F1ACD">
      <w:pPr>
        <w:rPr>
          <w:noProof/>
        </w:rPr>
      </w:pPr>
      <w:r w:rsidRPr="007A0FFA">
        <w:rPr>
          <w:noProof/>
        </w:rPr>
        <w:t>The exposure-response relationship and time course of pharmacodynamic response for the safety and effectiveness of OPDUALAG have not been fully characterised.</w:t>
      </w:r>
      <w:r w:rsidRPr="007A0FFA" w:rsidDel="002F1ACD">
        <w:rPr>
          <w:noProof/>
        </w:rPr>
        <w:t xml:space="preserve"> </w:t>
      </w:r>
    </w:p>
    <w:p w14:paraId="3D9B4E2A" w14:textId="77777777" w:rsidR="0000684D" w:rsidRDefault="0000684D" w:rsidP="003067DE">
      <w:pPr>
        <w:pStyle w:val="Heading3"/>
      </w:pPr>
    </w:p>
    <w:p w14:paraId="4F9378D4" w14:textId="126EBED3" w:rsidR="001A3992" w:rsidRDefault="001A3992" w:rsidP="003067DE">
      <w:pPr>
        <w:pStyle w:val="Heading3"/>
      </w:pPr>
      <w:r w:rsidRPr="000A4651">
        <w:t>Clinical trials</w:t>
      </w:r>
    </w:p>
    <w:p w14:paraId="5B7092DD" w14:textId="166D1F6F" w:rsidR="005946C1" w:rsidRPr="009A0F59" w:rsidRDefault="005946C1" w:rsidP="009846E9">
      <w:pPr>
        <w:rPr>
          <w:b/>
          <w:bCs/>
        </w:rPr>
      </w:pPr>
      <w:r w:rsidRPr="009A0F59">
        <w:rPr>
          <w:b/>
          <w:bCs/>
        </w:rPr>
        <w:t xml:space="preserve">Unresectable or metastatic melanoma </w:t>
      </w:r>
    </w:p>
    <w:p w14:paraId="03601ADB" w14:textId="026E8944" w:rsidR="004A56BC" w:rsidRPr="009A0F59" w:rsidRDefault="004A56BC" w:rsidP="004A56BC">
      <w:pPr>
        <w:rPr>
          <w:i/>
          <w:u w:val="single"/>
        </w:rPr>
      </w:pPr>
      <w:r w:rsidRPr="009A0F59">
        <w:rPr>
          <w:i/>
          <w:u w:val="single"/>
        </w:rPr>
        <w:t xml:space="preserve">Randomised phase 2/3 study of </w:t>
      </w:r>
      <w:r w:rsidR="007E674F" w:rsidRPr="009A0F59">
        <w:rPr>
          <w:i/>
          <w:u w:val="single"/>
        </w:rPr>
        <w:t>nivolumab</w:t>
      </w:r>
      <w:r w:rsidRPr="009A0F59">
        <w:rPr>
          <w:i/>
          <w:u w:val="single"/>
        </w:rPr>
        <w:t xml:space="preserve"> in combination with </w:t>
      </w:r>
      <w:proofErr w:type="spellStart"/>
      <w:r w:rsidR="007E674F" w:rsidRPr="009A0F59">
        <w:rPr>
          <w:i/>
          <w:u w:val="single"/>
        </w:rPr>
        <w:t>relatlimab</w:t>
      </w:r>
      <w:proofErr w:type="spellEnd"/>
      <w:r w:rsidRPr="009A0F59">
        <w:rPr>
          <w:i/>
          <w:u w:val="single"/>
        </w:rPr>
        <w:t xml:space="preserve"> </w:t>
      </w:r>
      <w:r w:rsidRPr="009A0F59">
        <w:rPr>
          <w:i/>
          <w:iCs/>
          <w:u w:val="single"/>
        </w:rPr>
        <w:t>vs. nivolumab (CA224047)</w:t>
      </w:r>
    </w:p>
    <w:p w14:paraId="05CC4EA1" w14:textId="36361FA2" w:rsidR="009124A7" w:rsidRPr="009A0F59" w:rsidRDefault="009124A7" w:rsidP="009124A7">
      <w:pPr>
        <w:rPr>
          <w:noProof/>
        </w:rPr>
      </w:pPr>
      <w:r w:rsidRPr="009A0F59">
        <w:rPr>
          <w:noProof/>
        </w:rPr>
        <w:t xml:space="preserve">The safety and efficacy of </w:t>
      </w:r>
      <w:r w:rsidR="006D5F3F" w:rsidRPr="009A0F59">
        <w:rPr>
          <w:noProof/>
        </w:rPr>
        <w:t>OPDUALAG</w:t>
      </w:r>
      <w:r w:rsidRPr="009A0F59">
        <w:rPr>
          <w:noProof/>
        </w:rPr>
        <w:t xml:space="preserve"> were </w:t>
      </w:r>
      <w:r w:rsidR="006D5F3F" w:rsidRPr="009A0F59">
        <w:rPr>
          <w:noProof/>
        </w:rPr>
        <w:t xml:space="preserve">investigated </w:t>
      </w:r>
      <w:r w:rsidRPr="009A0F59">
        <w:rPr>
          <w:noProof/>
        </w:rPr>
        <w:t>in a randomised, double-blinded study (CA224047</w:t>
      </w:r>
      <w:r w:rsidR="006D5F3F" w:rsidRPr="009A0F59">
        <w:rPr>
          <w:noProof/>
        </w:rPr>
        <w:t>/RELATIVITY-047</w:t>
      </w:r>
      <w:r w:rsidRPr="009A0F59">
        <w:rPr>
          <w:noProof/>
        </w:rPr>
        <w:t>)</w:t>
      </w:r>
      <w:r w:rsidR="00AE0E75" w:rsidRPr="009A0F59">
        <w:rPr>
          <w:noProof/>
        </w:rPr>
        <w:t xml:space="preserve"> </w:t>
      </w:r>
      <w:r w:rsidR="006D5F3F" w:rsidRPr="009A0F59">
        <w:rPr>
          <w:noProof/>
        </w:rPr>
        <w:t xml:space="preserve">in </w:t>
      </w:r>
      <w:r w:rsidRPr="009A0F59">
        <w:rPr>
          <w:noProof/>
        </w:rPr>
        <w:t xml:space="preserve">patients with </w:t>
      </w:r>
      <w:r w:rsidR="006D5F3F" w:rsidRPr="009A0F59">
        <w:rPr>
          <w:noProof/>
        </w:rPr>
        <w:t xml:space="preserve">previously untreated, </w:t>
      </w:r>
      <w:r w:rsidRPr="009A0F59">
        <w:rPr>
          <w:noProof/>
        </w:rPr>
        <w:t>histologically confirmed stage III (unresectable) or stage IV melanoma per American Joint Committee on Cancer (AJCC) version 8. Patients were allowed to have received prior adjuvant or neoadjuvant melanoma therapy (anti PD</w:t>
      </w:r>
      <w:r w:rsidR="006D5F3F" w:rsidRPr="009A0F59">
        <w:rPr>
          <w:noProof/>
        </w:rPr>
        <w:t>-(L)</w:t>
      </w:r>
      <w:r w:rsidRPr="009A0F59">
        <w:rPr>
          <w:noProof/>
        </w:rPr>
        <w:t>1, anti-CTLA</w:t>
      </w:r>
      <w:r w:rsidR="006D5F3F" w:rsidRPr="009A0F59">
        <w:rPr>
          <w:noProof/>
        </w:rPr>
        <w:t>-</w:t>
      </w:r>
      <w:r w:rsidRPr="009A0F59">
        <w:rPr>
          <w:noProof/>
        </w:rPr>
        <w:t>4, or BRAF</w:t>
      </w:r>
      <w:r w:rsidR="006D5F3F" w:rsidRPr="009A0F59">
        <w:rPr>
          <w:noProof/>
        </w:rPr>
        <w:t>/</w:t>
      </w:r>
      <w:r w:rsidRPr="009A0F59">
        <w:rPr>
          <w:noProof/>
        </w:rPr>
        <w:t xml:space="preserve">MEK </w:t>
      </w:r>
      <w:r w:rsidR="006D5F3F" w:rsidRPr="009A0F59">
        <w:rPr>
          <w:noProof/>
        </w:rPr>
        <w:t xml:space="preserve">targeted </w:t>
      </w:r>
      <w:r w:rsidRPr="009A0F59">
        <w:rPr>
          <w:noProof/>
        </w:rPr>
        <w:t xml:space="preserve">therapy was allowed as long as there was at least 6 months between the last dose of therapy and date of recurrence; interferon therapy was allowed as long as the last dose was at least 6 weeks prior to randomisation). Patients with active autoimmune disease, medical conditions requiring systemic treatment with moderate or high dose corticosteroids or immunosuppressive medications, uveal melanoma, active or untreated brain or leptomeningeal metastases </w:t>
      </w:r>
      <w:r w:rsidR="008D163B" w:rsidRPr="008D163B">
        <w:rPr>
          <w:noProof/>
        </w:rPr>
        <w:t xml:space="preserve">and those with a history of myocarditis, elevated troponin levels &gt;2 times ULN or ECOG performance status score ≥ 2 </w:t>
      </w:r>
      <w:r w:rsidRPr="009A0F59">
        <w:rPr>
          <w:noProof/>
        </w:rPr>
        <w:t>were excluded from the study.</w:t>
      </w:r>
    </w:p>
    <w:p w14:paraId="066D5D2E" w14:textId="3834075F" w:rsidR="009124A7" w:rsidRPr="009A0F59" w:rsidRDefault="009124A7" w:rsidP="009124A7">
      <w:pPr>
        <w:rPr>
          <w:noProof/>
        </w:rPr>
      </w:pPr>
      <w:r w:rsidRPr="009A0F59">
        <w:rPr>
          <w:noProof/>
        </w:rPr>
        <w:t xml:space="preserve">A total of 714 patients were randomised to receive either </w:t>
      </w:r>
      <w:r w:rsidR="006D5F3F" w:rsidRPr="009A0F59">
        <w:rPr>
          <w:noProof/>
        </w:rPr>
        <w:t>OPDUALAG (</w:t>
      </w:r>
      <w:r w:rsidR="00814AAA" w:rsidRPr="009A0F59">
        <w:rPr>
          <w:noProof/>
        </w:rPr>
        <w:t>nivolumab</w:t>
      </w:r>
      <w:r w:rsidR="006D5F3F" w:rsidRPr="009A0F59">
        <w:rPr>
          <w:noProof/>
        </w:rPr>
        <w:t xml:space="preserve"> 480 mg and </w:t>
      </w:r>
      <w:r w:rsidRPr="009A0F59">
        <w:rPr>
          <w:noProof/>
        </w:rPr>
        <w:t xml:space="preserve"> </w:t>
      </w:r>
      <w:r w:rsidR="00814AAA" w:rsidRPr="009A0F59">
        <w:rPr>
          <w:noProof/>
        </w:rPr>
        <w:t>relatlimab</w:t>
      </w:r>
      <w:r w:rsidR="006D5F3F" w:rsidRPr="009A0F59">
        <w:rPr>
          <w:noProof/>
        </w:rPr>
        <w:t xml:space="preserve"> 160 mg,</w:t>
      </w:r>
      <w:r w:rsidRPr="009A0F59">
        <w:rPr>
          <w:noProof/>
        </w:rPr>
        <w:t xml:space="preserve"> n=355) or nivolumab </w:t>
      </w:r>
      <w:r w:rsidR="006D5F3F" w:rsidRPr="009A0F59">
        <w:rPr>
          <w:noProof/>
        </w:rPr>
        <w:t xml:space="preserve">480 mg as monotherapy </w:t>
      </w:r>
      <w:r w:rsidRPr="009A0F59">
        <w:rPr>
          <w:noProof/>
        </w:rPr>
        <w:t>(n=359)</w:t>
      </w:r>
      <w:r w:rsidR="006D5F3F" w:rsidRPr="009A0F59">
        <w:rPr>
          <w:noProof/>
        </w:rPr>
        <w:t xml:space="preserve"> by intravenous infusion once </w:t>
      </w:r>
      <w:r w:rsidRPr="009A0F59">
        <w:rPr>
          <w:noProof/>
        </w:rPr>
        <w:t>every 4 weeks</w:t>
      </w:r>
      <w:r w:rsidR="006D5F3F" w:rsidRPr="009A0F59">
        <w:rPr>
          <w:noProof/>
        </w:rPr>
        <w:t>, until disease progression or unacceptable toxicity</w:t>
      </w:r>
      <w:r w:rsidRPr="009A0F59">
        <w:rPr>
          <w:noProof/>
        </w:rPr>
        <w:t>. Randomisation was stratified by tumour PD</w:t>
      </w:r>
      <w:r w:rsidR="00A857DD" w:rsidRPr="009A0F59">
        <w:rPr>
          <w:noProof/>
        </w:rPr>
        <w:t>-</w:t>
      </w:r>
      <w:r w:rsidRPr="009A0F59">
        <w:rPr>
          <w:noProof/>
        </w:rPr>
        <w:t>L1</w:t>
      </w:r>
      <w:r w:rsidR="00A857DD" w:rsidRPr="009A0F59">
        <w:rPr>
          <w:noProof/>
        </w:rPr>
        <w:t xml:space="preserve"> expression </w:t>
      </w:r>
      <w:r w:rsidRPr="009A0F59">
        <w:rPr>
          <w:noProof/>
        </w:rPr>
        <w:t>(</w:t>
      </w:r>
      <w:r w:rsidRPr="009A0F59">
        <w:rPr>
          <w:rFonts w:cs="Times New Roman"/>
          <w:noProof/>
        </w:rPr>
        <w:t>≥</w:t>
      </w:r>
      <w:r w:rsidRPr="009A0F59">
        <w:rPr>
          <w:noProof/>
        </w:rPr>
        <w:t xml:space="preserve">1% vs. &lt;1) </w:t>
      </w:r>
      <w:r w:rsidR="00A857DD" w:rsidRPr="009A0F59">
        <w:rPr>
          <w:noProof/>
        </w:rPr>
        <w:t>according to the</w:t>
      </w:r>
      <w:r w:rsidRPr="009A0F59">
        <w:rPr>
          <w:noProof/>
        </w:rPr>
        <w:t xml:space="preserve"> 28-8 pharmDx </w:t>
      </w:r>
      <w:r w:rsidR="00A857DD" w:rsidRPr="009A0F59">
        <w:rPr>
          <w:noProof/>
        </w:rPr>
        <w:t xml:space="preserve">IHC </w:t>
      </w:r>
      <w:r w:rsidRPr="009A0F59">
        <w:rPr>
          <w:noProof/>
        </w:rPr>
        <w:t>test, LAG</w:t>
      </w:r>
      <w:r w:rsidR="001568FB" w:rsidRPr="009A0F59">
        <w:rPr>
          <w:noProof/>
        </w:rPr>
        <w:t>-</w:t>
      </w:r>
      <w:r w:rsidRPr="009A0F59">
        <w:rPr>
          <w:noProof/>
        </w:rPr>
        <w:t>3 expression (</w:t>
      </w:r>
      <w:r w:rsidRPr="009A0F59">
        <w:rPr>
          <w:rFonts w:cs="Times New Roman"/>
          <w:noProof/>
        </w:rPr>
        <w:t>≥</w:t>
      </w:r>
      <w:r w:rsidRPr="009A0F59">
        <w:rPr>
          <w:noProof/>
        </w:rPr>
        <w:t>1% vs. &lt;1) as determined by a</w:t>
      </w:r>
      <w:r w:rsidR="00590598" w:rsidRPr="009A0F59">
        <w:rPr>
          <w:noProof/>
        </w:rPr>
        <w:t>n analytically</w:t>
      </w:r>
      <w:r w:rsidR="008470CB" w:rsidRPr="009A0F59">
        <w:rPr>
          <w:noProof/>
        </w:rPr>
        <w:t xml:space="preserve"> validated LAG-3 IHC</w:t>
      </w:r>
      <w:r w:rsidRPr="009A0F59">
        <w:rPr>
          <w:noProof/>
        </w:rPr>
        <w:t xml:space="preserve"> </w:t>
      </w:r>
      <w:r w:rsidR="00E36F1D" w:rsidRPr="009A0F59">
        <w:rPr>
          <w:noProof/>
        </w:rPr>
        <w:t xml:space="preserve">clinical trial </w:t>
      </w:r>
      <w:r w:rsidRPr="009A0F59">
        <w:rPr>
          <w:noProof/>
        </w:rPr>
        <w:t xml:space="preserve">assay, BRAF V600 mutation status, and </w:t>
      </w:r>
      <w:r w:rsidR="00A857DD" w:rsidRPr="009A0F59">
        <w:rPr>
          <w:noProof/>
        </w:rPr>
        <w:t xml:space="preserve">AJCC </w:t>
      </w:r>
      <w:r w:rsidRPr="009A0F59">
        <w:rPr>
          <w:noProof/>
        </w:rPr>
        <w:t xml:space="preserve">M stage (M0/M1any[0] vs. M1any[1]). Tumour assessments, according to the Response Evaluation Criteria in Solid Tumours (RECIST), version 1.1, were conducted 12 weeks after randomisation and continued every 8 weeks up to 52 weeks and then every 12 weeks </w:t>
      </w:r>
      <w:r w:rsidR="00E36F1D" w:rsidRPr="009A0F59">
        <w:rPr>
          <w:noProof/>
        </w:rPr>
        <w:t>thereafter</w:t>
      </w:r>
      <w:r w:rsidRPr="009A0F59">
        <w:rPr>
          <w:noProof/>
        </w:rPr>
        <w:t xml:space="preserve">. The primary efficacy outcome measure was progression-free survival </w:t>
      </w:r>
      <w:r w:rsidR="00A857DD" w:rsidRPr="009A0F59">
        <w:rPr>
          <w:noProof/>
        </w:rPr>
        <w:t xml:space="preserve">(PFS) </w:t>
      </w:r>
      <w:r w:rsidRPr="009A0F59">
        <w:rPr>
          <w:noProof/>
        </w:rPr>
        <w:t xml:space="preserve">determined by Blinded Independent Central Review (BICR). The secondary efficacy outcome measures were overall survival (OS), and </w:t>
      </w:r>
      <w:r w:rsidR="00DD7206" w:rsidRPr="009A0F59">
        <w:rPr>
          <w:noProof/>
        </w:rPr>
        <w:t>overall response rate (</w:t>
      </w:r>
      <w:r w:rsidRPr="009A0F59">
        <w:rPr>
          <w:noProof/>
        </w:rPr>
        <w:t>ORR</w:t>
      </w:r>
      <w:r w:rsidR="00DD7206" w:rsidRPr="009A0F59">
        <w:rPr>
          <w:noProof/>
        </w:rPr>
        <w:t>)</w:t>
      </w:r>
      <w:r w:rsidRPr="009A0F59">
        <w:rPr>
          <w:noProof/>
        </w:rPr>
        <w:t xml:space="preserve"> by BICR. </w:t>
      </w:r>
    </w:p>
    <w:p w14:paraId="049FD341" w14:textId="1DE632D1" w:rsidR="009124A7" w:rsidRPr="009124A7" w:rsidRDefault="00E36F1D" w:rsidP="009124A7">
      <w:pPr>
        <w:rPr>
          <w:noProof/>
        </w:rPr>
      </w:pPr>
      <w:r w:rsidRPr="009A0F59">
        <w:rPr>
          <w:noProof/>
        </w:rPr>
        <w:t>Amongst the randomised population,</w:t>
      </w:r>
      <w:r w:rsidR="009124A7" w:rsidRPr="009A0F59">
        <w:rPr>
          <w:noProof/>
        </w:rPr>
        <w:t xml:space="preserve"> </w:t>
      </w:r>
      <w:r w:rsidRPr="009A0F59">
        <w:rPr>
          <w:noProof/>
        </w:rPr>
        <w:t>t</w:t>
      </w:r>
      <w:r w:rsidR="009124A7" w:rsidRPr="009A0F59">
        <w:rPr>
          <w:noProof/>
        </w:rPr>
        <w:t xml:space="preserve">he median age was 63 years (range: 20-94), 58% were </w:t>
      </w:r>
      <w:r w:rsidRPr="009A0F59">
        <w:rPr>
          <w:noProof/>
        </w:rPr>
        <w:t>male</w:t>
      </w:r>
      <w:r w:rsidR="009124A7" w:rsidRPr="009A0F59">
        <w:rPr>
          <w:noProof/>
        </w:rPr>
        <w:t xml:space="preserve">, and 97% were white. Baseline ECOG performance status was 0 (67%) or 1 (33%). The majority of the patients had AJCC Stage IV disease (92%); 39% had M1c, 2.4% had M1d disease, </w:t>
      </w:r>
      <w:r w:rsidRPr="009A0F59">
        <w:rPr>
          <w:noProof/>
        </w:rPr>
        <w:t xml:space="preserve">and </w:t>
      </w:r>
      <w:r w:rsidR="009124A7" w:rsidRPr="009A0F59">
        <w:rPr>
          <w:noProof/>
        </w:rPr>
        <w:t xml:space="preserve">36% </w:t>
      </w:r>
      <w:r w:rsidRPr="009A0F59">
        <w:rPr>
          <w:noProof/>
        </w:rPr>
        <w:t xml:space="preserve">of patients </w:t>
      </w:r>
      <w:r w:rsidR="009124A7" w:rsidRPr="009A0F59">
        <w:rPr>
          <w:noProof/>
        </w:rPr>
        <w:t>had a baseline LDH level greater than ULN at study entry.</w:t>
      </w:r>
      <w:r w:rsidR="00E91FFF" w:rsidRPr="009A0F59">
        <w:rPr>
          <w:noProof/>
        </w:rPr>
        <w:t xml:space="preserve"> </w:t>
      </w:r>
      <w:r w:rsidR="009124A7" w:rsidRPr="009A0F59">
        <w:rPr>
          <w:noProof/>
        </w:rPr>
        <w:t>Thirty</w:t>
      </w:r>
      <w:r w:rsidR="00E91FFF" w:rsidRPr="009A0F59">
        <w:rPr>
          <w:noProof/>
        </w:rPr>
        <w:t>-</w:t>
      </w:r>
      <w:r w:rsidR="009124A7" w:rsidRPr="009A0F59">
        <w:rPr>
          <w:noProof/>
        </w:rPr>
        <w:t>nine percent of patients had BRAF mutation positive melanoma, 75% had LAG</w:t>
      </w:r>
      <w:r w:rsidR="001568FB" w:rsidRPr="009A0F59">
        <w:rPr>
          <w:noProof/>
        </w:rPr>
        <w:t>-</w:t>
      </w:r>
      <w:r w:rsidR="009124A7" w:rsidRPr="009A0F59">
        <w:rPr>
          <w:noProof/>
        </w:rPr>
        <w:t>3 ≥ 1% and 41% of patients had PD</w:t>
      </w:r>
      <w:r w:rsidRPr="009A0F59">
        <w:rPr>
          <w:noProof/>
        </w:rPr>
        <w:t>-</w:t>
      </w:r>
      <w:r w:rsidR="009124A7" w:rsidRPr="009A0F59">
        <w:rPr>
          <w:noProof/>
        </w:rPr>
        <w:t>L1 ≥ 1% tumour cell membrane expression.</w:t>
      </w:r>
      <w:r w:rsidR="009124A7" w:rsidRPr="009124A7">
        <w:rPr>
          <w:noProof/>
        </w:rPr>
        <w:t xml:space="preserve"> </w:t>
      </w:r>
    </w:p>
    <w:p w14:paraId="22F3CE7F" w14:textId="10C444E6" w:rsidR="00654AE6" w:rsidRDefault="007F6384" w:rsidP="009124A7">
      <w:pPr>
        <w:rPr>
          <w:noProof/>
        </w:rPr>
      </w:pPr>
      <w:r>
        <w:rPr>
          <w:noProof/>
        </w:rPr>
        <w:t>T</w:t>
      </w:r>
      <w:r w:rsidR="00654AE6">
        <w:rPr>
          <w:noProof/>
        </w:rPr>
        <w:t xml:space="preserve">he primary </w:t>
      </w:r>
      <w:r w:rsidR="005D5804">
        <w:rPr>
          <w:noProof/>
        </w:rPr>
        <w:t>efficacy endpoint</w:t>
      </w:r>
      <w:r w:rsidR="00654AE6">
        <w:rPr>
          <w:noProof/>
        </w:rPr>
        <w:t xml:space="preserve"> for PFS is shown in Figure 1 </w:t>
      </w:r>
      <w:r w:rsidR="005D5804">
        <w:rPr>
          <w:noProof/>
        </w:rPr>
        <w:t>and Table 4</w:t>
      </w:r>
      <w:r>
        <w:rPr>
          <w:noProof/>
        </w:rPr>
        <w:t xml:space="preserve"> and s</w:t>
      </w:r>
      <w:r w:rsidR="00462825">
        <w:rPr>
          <w:noProof/>
        </w:rPr>
        <w:t>econdary effica</w:t>
      </w:r>
      <w:r w:rsidR="00E736EB">
        <w:rPr>
          <w:noProof/>
        </w:rPr>
        <w:t>c</w:t>
      </w:r>
      <w:r w:rsidR="00462825">
        <w:rPr>
          <w:noProof/>
        </w:rPr>
        <w:t xml:space="preserve">y outcomes </w:t>
      </w:r>
      <w:r w:rsidR="00C1158D">
        <w:rPr>
          <w:noProof/>
        </w:rPr>
        <w:t xml:space="preserve">(OS and ORR) </w:t>
      </w:r>
      <w:r w:rsidR="00462825">
        <w:rPr>
          <w:noProof/>
        </w:rPr>
        <w:t>are also included in Table 4</w:t>
      </w:r>
      <w:r w:rsidR="00C1158D">
        <w:rPr>
          <w:noProof/>
        </w:rPr>
        <w:t>.</w:t>
      </w:r>
    </w:p>
    <w:p w14:paraId="46083F48" w14:textId="302DCD9E" w:rsidR="00583645" w:rsidRPr="00140C98" w:rsidRDefault="00583645" w:rsidP="00583645">
      <w:pPr>
        <w:pStyle w:val="BMSFigureCaption"/>
        <w:rPr>
          <w:color w:val="000000"/>
          <w:szCs w:val="24"/>
        </w:rPr>
      </w:pPr>
      <w:r w:rsidRPr="00140C98">
        <w:rPr>
          <w:szCs w:val="24"/>
        </w:rPr>
        <w:lastRenderedPageBreak/>
        <w:t>Figure</w:t>
      </w:r>
      <w:r w:rsidRPr="00140C98">
        <w:rPr>
          <w:noProof/>
          <w:szCs w:val="24"/>
        </w:rPr>
        <w:t> </w:t>
      </w:r>
      <w:r w:rsidRPr="00140C98">
        <w:rPr>
          <w:szCs w:val="24"/>
        </w:rPr>
        <w:t>1:</w:t>
      </w:r>
      <w:r w:rsidRPr="00140C98">
        <w:rPr>
          <w:szCs w:val="24"/>
        </w:rPr>
        <w:tab/>
      </w:r>
      <w:r w:rsidR="00D72D02">
        <w:rPr>
          <w:szCs w:val="24"/>
        </w:rPr>
        <w:t>K</w:t>
      </w:r>
      <w:r w:rsidR="00BB536D">
        <w:rPr>
          <w:szCs w:val="24"/>
        </w:rPr>
        <w:t>aplan-Meier</w:t>
      </w:r>
      <w:r w:rsidR="00D72D02">
        <w:rPr>
          <w:szCs w:val="24"/>
        </w:rPr>
        <w:t xml:space="preserve"> curves of </w:t>
      </w:r>
      <w:r w:rsidRPr="00140C98">
        <w:rPr>
          <w:szCs w:val="24"/>
        </w:rPr>
        <w:t>Progression-free survival (CA224047)</w:t>
      </w:r>
    </w:p>
    <w:p w14:paraId="6249567B" w14:textId="6B09AD5B" w:rsidR="00A302C6" w:rsidRPr="00A302C6" w:rsidRDefault="00E9042C" w:rsidP="00FD74A7">
      <w:pPr>
        <w:jc w:val="center"/>
      </w:pPr>
      <w:r>
        <w:rPr>
          <w:noProof/>
          <w:sz w:val="24"/>
          <w:szCs w:val="24"/>
        </w:rPr>
        <w:drawing>
          <wp:inline distT="0" distB="0" distL="0" distR="0" wp14:anchorId="6D4C7225" wp14:editId="2EC9143E">
            <wp:extent cx="4267200" cy="426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92100" cy="4292100"/>
                    </a:xfrm>
                    <a:prstGeom prst="rect">
                      <a:avLst/>
                    </a:prstGeom>
                    <a:noFill/>
                    <a:ln>
                      <a:noFill/>
                    </a:ln>
                  </pic:spPr>
                </pic:pic>
              </a:graphicData>
            </a:graphic>
          </wp:inline>
        </w:drawing>
      </w:r>
    </w:p>
    <w:p w14:paraId="141DEFAC" w14:textId="0D8F9915" w:rsidR="004D79F2" w:rsidRDefault="00530066" w:rsidP="00530066">
      <w:pPr>
        <w:pStyle w:val="EMEABodyText"/>
        <w:keepNext/>
        <w:rPr>
          <w:b/>
          <w:sz w:val="24"/>
          <w:szCs w:val="24"/>
        </w:rPr>
      </w:pPr>
      <w:r w:rsidRPr="00140C98">
        <w:rPr>
          <w:b/>
          <w:sz w:val="24"/>
          <w:szCs w:val="24"/>
        </w:rPr>
        <w:t>Table </w:t>
      </w:r>
      <w:r w:rsidR="00543FBC">
        <w:rPr>
          <w:b/>
          <w:sz w:val="24"/>
          <w:szCs w:val="24"/>
        </w:rPr>
        <w:t>4</w:t>
      </w:r>
      <w:r w:rsidRPr="00140C98">
        <w:rPr>
          <w:b/>
          <w:sz w:val="24"/>
          <w:szCs w:val="24"/>
        </w:rPr>
        <w:t>:</w:t>
      </w:r>
      <w:r w:rsidRPr="00140C98">
        <w:rPr>
          <w:b/>
          <w:sz w:val="24"/>
          <w:szCs w:val="24"/>
        </w:rPr>
        <w:tab/>
        <w:t>Efficacy results (CA224047)</w:t>
      </w:r>
    </w:p>
    <w:tbl>
      <w:tblPr>
        <w:tblW w:w="0" w:type="auto"/>
        <w:tblLook w:val="04A0" w:firstRow="1" w:lastRow="0" w:firstColumn="1" w:lastColumn="0" w:noHBand="0" w:noVBand="1"/>
      </w:tblPr>
      <w:tblGrid>
        <w:gridCol w:w="3682"/>
        <w:gridCol w:w="2674"/>
        <w:gridCol w:w="2670"/>
      </w:tblGrid>
      <w:tr w:rsidR="00614607" w:rsidRPr="00614607" w14:paraId="073BF05C" w14:textId="77777777" w:rsidTr="00C55867">
        <w:tc>
          <w:tcPr>
            <w:tcW w:w="3682" w:type="dxa"/>
            <w:tcBorders>
              <w:top w:val="double" w:sz="4" w:space="0" w:color="auto"/>
              <w:left w:val="nil"/>
              <w:bottom w:val="single" w:sz="4" w:space="0" w:color="auto"/>
              <w:right w:val="nil"/>
            </w:tcBorders>
          </w:tcPr>
          <w:p w14:paraId="4C9933D2" w14:textId="77777777" w:rsidR="00614607" w:rsidRPr="00614607" w:rsidRDefault="00614607" w:rsidP="00614607">
            <w:pPr>
              <w:keepNext/>
              <w:keepLines/>
              <w:tabs>
                <w:tab w:val="left" w:pos="180"/>
              </w:tabs>
              <w:spacing w:after="0"/>
              <w:jc w:val="left"/>
              <w:rPr>
                <w:rFonts w:eastAsia="Times New Roman" w:cs="Times New Roman"/>
                <w:lang w:val="en-GB"/>
              </w:rPr>
            </w:pPr>
          </w:p>
        </w:tc>
        <w:tc>
          <w:tcPr>
            <w:tcW w:w="2674" w:type="dxa"/>
            <w:tcBorders>
              <w:top w:val="double" w:sz="4" w:space="0" w:color="auto"/>
              <w:left w:val="nil"/>
              <w:bottom w:val="single" w:sz="4" w:space="0" w:color="auto"/>
              <w:right w:val="nil"/>
            </w:tcBorders>
            <w:hideMark/>
          </w:tcPr>
          <w:p w14:paraId="2C65EC9C" w14:textId="6A2A2217" w:rsidR="00614607" w:rsidRPr="00614607" w:rsidRDefault="00614607" w:rsidP="00614607">
            <w:pPr>
              <w:keepNext/>
              <w:keepLines/>
              <w:spacing w:after="0"/>
              <w:jc w:val="center"/>
              <w:rPr>
                <w:rFonts w:eastAsia="Times New Roman" w:cs="Times New Roman"/>
                <w:b/>
                <w:sz w:val="20"/>
                <w:szCs w:val="20"/>
                <w:lang w:val="en-GB"/>
              </w:rPr>
            </w:pPr>
            <w:r w:rsidRPr="00614607">
              <w:rPr>
                <w:rFonts w:eastAsia="Times New Roman" w:cs="Times New Roman"/>
                <w:b/>
                <w:lang w:val="en-GB"/>
              </w:rPr>
              <w:t>O</w:t>
            </w:r>
            <w:r w:rsidR="00BC28F8">
              <w:rPr>
                <w:rFonts w:eastAsia="Times New Roman" w:cs="Times New Roman"/>
                <w:b/>
                <w:lang w:val="en-GB"/>
              </w:rPr>
              <w:t>PDUALAG</w:t>
            </w:r>
            <w:r w:rsidRPr="00614607">
              <w:rPr>
                <w:rFonts w:eastAsia="Times New Roman" w:cs="Times New Roman"/>
                <w:b/>
                <w:sz w:val="20"/>
                <w:szCs w:val="20"/>
                <w:lang w:val="en-GB"/>
              </w:rPr>
              <w:br/>
              <w:t>(n=355)</w:t>
            </w:r>
          </w:p>
        </w:tc>
        <w:tc>
          <w:tcPr>
            <w:tcW w:w="2670" w:type="dxa"/>
            <w:tcBorders>
              <w:top w:val="double" w:sz="4" w:space="0" w:color="auto"/>
              <w:left w:val="nil"/>
              <w:bottom w:val="single" w:sz="4" w:space="0" w:color="auto"/>
              <w:right w:val="nil"/>
            </w:tcBorders>
            <w:hideMark/>
          </w:tcPr>
          <w:p w14:paraId="5D32F709" w14:textId="77777777" w:rsidR="00614607" w:rsidRPr="00614607" w:rsidRDefault="00614607" w:rsidP="00614607">
            <w:pPr>
              <w:keepNext/>
              <w:keepLines/>
              <w:spacing w:after="0"/>
              <w:jc w:val="center"/>
              <w:rPr>
                <w:rFonts w:eastAsia="Times New Roman" w:cs="Times New Roman"/>
                <w:b/>
                <w:sz w:val="20"/>
                <w:szCs w:val="20"/>
                <w:lang w:val="en-GB"/>
              </w:rPr>
            </w:pPr>
            <w:r w:rsidRPr="00614607">
              <w:rPr>
                <w:rFonts w:eastAsia="Times New Roman" w:cs="Times New Roman"/>
                <w:b/>
                <w:sz w:val="20"/>
                <w:szCs w:val="20"/>
                <w:lang w:val="en-GB"/>
              </w:rPr>
              <w:t>Nivolumab</w:t>
            </w:r>
            <w:r w:rsidRPr="00614607">
              <w:rPr>
                <w:rFonts w:eastAsia="Times New Roman" w:cs="Times New Roman"/>
                <w:b/>
                <w:sz w:val="20"/>
                <w:szCs w:val="20"/>
                <w:lang w:val="en-GB"/>
              </w:rPr>
              <w:br/>
              <w:t>(n=359)</w:t>
            </w:r>
          </w:p>
        </w:tc>
      </w:tr>
      <w:tr w:rsidR="00614607" w:rsidRPr="00614607" w14:paraId="5D6834A0" w14:textId="77777777" w:rsidTr="00C55867">
        <w:trPr>
          <w:trHeight w:val="261"/>
        </w:trPr>
        <w:tc>
          <w:tcPr>
            <w:tcW w:w="3682" w:type="dxa"/>
            <w:hideMark/>
          </w:tcPr>
          <w:p w14:paraId="2180B5F7" w14:textId="07A5758B" w:rsidR="00614607" w:rsidRPr="00614607" w:rsidRDefault="00614607" w:rsidP="00614607">
            <w:pPr>
              <w:keepNext/>
              <w:keepLines/>
              <w:tabs>
                <w:tab w:val="left" w:pos="180"/>
              </w:tabs>
              <w:spacing w:after="0"/>
              <w:jc w:val="left"/>
              <w:rPr>
                <w:rFonts w:eastAsia="Times New Roman" w:cs="Times New Roman"/>
                <w:b/>
                <w:sz w:val="20"/>
                <w:szCs w:val="20"/>
                <w:lang w:val="en-GB"/>
              </w:rPr>
            </w:pPr>
            <w:r w:rsidRPr="00614607">
              <w:rPr>
                <w:rFonts w:eastAsia="Times New Roman" w:cs="Times New Roman"/>
                <w:b/>
                <w:sz w:val="20"/>
                <w:szCs w:val="20"/>
                <w:lang w:val="en-GB"/>
              </w:rPr>
              <w:t xml:space="preserve">Progression-free </w:t>
            </w:r>
            <w:proofErr w:type="spellStart"/>
            <w:proofErr w:type="gramStart"/>
            <w:r w:rsidRPr="00614607">
              <w:rPr>
                <w:rFonts w:eastAsia="Times New Roman" w:cs="Times New Roman"/>
                <w:b/>
                <w:sz w:val="20"/>
                <w:szCs w:val="20"/>
                <w:lang w:val="en-GB"/>
              </w:rPr>
              <w:t>survival</w:t>
            </w:r>
            <w:r w:rsidRPr="00614607">
              <w:rPr>
                <w:rFonts w:eastAsia="Times New Roman" w:cs="Times New Roman"/>
                <w:sz w:val="20"/>
                <w:szCs w:val="20"/>
                <w:vertAlign w:val="superscript"/>
                <w:lang w:val="en-GB"/>
              </w:rPr>
              <w:t>a</w:t>
            </w:r>
            <w:r w:rsidR="00692558">
              <w:rPr>
                <w:rFonts w:eastAsia="Times New Roman" w:cs="Times New Roman"/>
                <w:sz w:val="20"/>
                <w:szCs w:val="20"/>
                <w:vertAlign w:val="superscript"/>
                <w:lang w:val="en-GB"/>
              </w:rPr>
              <w:t>,b</w:t>
            </w:r>
            <w:proofErr w:type="spellEnd"/>
            <w:proofErr w:type="gramEnd"/>
            <w:r w:rsidR="00692558">
              <w:rPr>
                <w:rFonts w:eastAsia="Times New Roman" w:cs="Times New Roman"/>
                <w:sz w:val="20"/>
                <w:szCs w:val="20"/>
                <w:vertAlign w:val="superscript"/>
                <w:lang w:val="en-GB"/>
              </w:rPr>
              <w:t xml:space="preserve"> </w:t>
            </w:r>
          </w:p>
        </w:tc>
        <w:tc>
          <w:tcPr>
            <w:tcW w:w="2674" w:type="dxa"/>
          </w:tcPr>
          <w:p w14:paraId="61D19594" w14:textId="77777777" w:rsidR="00614607" w:rsidRPr="00614607" w:rsidRDefault="00614607" w:rsidP="00614607">
            <w:pPr>
              <w:keepNext/>
              <w:keepLines/>
              <w:spacing w:after="0"/>
              <w:jc w:val="center"/>
              <w:rPr>
                <w:rFonts w:eastAsia="Times New Roman" w:cs="Times New Roman"/>
                <w:b/>
                <w:sz w:val="20"/>
                <w:szCs w:val="20"/>
                <w:lang w:val="en-GB"/>
              </w:rPr>
            </w:pPr>
          </w:p>
        </w:tc>
        <w:tc>
          <w:tcPr>
            <w:tcW w:w="2670" w:type="dxa"/>
          </w:tcPr>
          <w:p w14:paraId="4064283B" w14:textId="77777777" w:rsidR="00614607" w:rsidRPr="00614607" w:rsidRDefault="00614607" w:rsidP="00614607">
            <w:pPr>
              <w:keepNext/>
              <w:keepLines/>
              <w:spacing w:after="0"/>
              <w:jc w:val="center"/>
              <w:rPr>
                <w:rFonts w:eastAsia="Times New Roman" w:cs="Times New Roman"/>
                <w:b/>
                <w:sz w:val="20"/>
                <w:szCs w:val="20"/>
                <w:lang w:val="en-GB"/>
              </w:rPr>
            </w:pPr>
          </w:p>
        </w:tc>
      </w:tr>
      <w:tr w:rsidR="00614607" w:rsidRPr="00614607" w14:paraId="124228F8" w14:textId="77777777" w:rsidTr="00C55867">
        <w:trPr>
          <w:trHeight w:val="261"/>
        </w:trPr>
        <w:tc>
          <w:tcPr>
            <w:tcW w:w="3682" w:type="dxa"/>
            <w:hideMark/>
          </w:tcPr>
          <w:p w14:paraId="01B7CC20" w14:textId="1DB3B157" w:rsidR="00614607" w:rsidRPr="00614607" w:rsidRDefault="00614607" w:rsidP="00614607">
            <w:pPr>
              <w:keepNext/>
              <w:keepLines/>
              <w:tabs>
                <w:tab w:val="left" w:pos="180"/>
              </w:tabs>
              <w:spacing w:after="0"/>
              <w:jc w:val="left"/>
              <w:rPr>
                <w:rFonts w:eastAsia="Times New Roman" w:cs="Times New Roman"/>
                <w:sz w:val="20"/>
                <w:szCs w:val="20"/>
                <w:lang w:val="en-GB"/>
              </w:rPr>
            </w:pPr>
            <w:bookmarkStart w:id="7" w:name="_Hlk113616564"/>
            <w:r w:rsidRPr="00614607">
              <w:rPr>
                <w:rFonts w:eastAsia="Times New Roman" w:cs="Times New Roman"/>
                <w:sz w:val="20"/>
                <w:szCs w:val="20"/>
                <w:lang w:val="en-GB"/>
              </w:rPr>
              <w:tab/>
            </w:r>
            <w:r w:rsidR="00BD0790">
              <w:rPr>
                <w:rFonts w:eastAsia="Times New Roman" w:cs="Times New Roman"/>
                <w:sz w:val="20"/>
                <w:szCs w:val="20"/>
                <w:lang w:val="en-GB"/>
              </w:rPr>
              <w:t>Death or progression e</w:t>
            </w:r>
            <w:r w:rsidRPr="00614607">
              <w:rPr>
                <w:rFonts w:eastAsia="Times New Roman" w:cs="Times New Roman"/>
                <w:sz w:val="20"/>
                <w:szCs w:val="20"/>
                <w:lang w:val="en-GB"/>
              </w:rPr>
              <w:t>vents</w:t>
            </w:r>
            <w:r w:rsidR="00543FBC">
              <w:rPr>
                <w:rFonts w:eastAsia="Times New Roman" w:cs="Times New Roman"/>
                <w:sz w:val="20"/>
                <w:szCs w:val="20"/>
                <w:lang w:val="en-GB"/>
              </w:rPr>
              <w:t xml:space="preserve">, </w:t>
            </w:r>
            <w:r w:rsidRPr="00614607">
              <w:rPr>
                <w:rFonts w:eastAsia="Times New Roman" w:cs="Times New Roman"/>
                <w:sz w:val="20"/>
                <w:szCs w:val="20"/>
                <w:lang w:val="en-GB"/>
              </w:rPr>
              <w:t>n (%)</w:t>
            </w:r>
          </w:p>
        </w:tc>
        <w:tc>
          <w:tcPr>
            <w:tcW w:w="2674" w:type="dxa"/>
            <w:hideMark/>
          </w:tcPr>
          <w:p w14:paraId="031E8D9E" w14:textId="11A72236" w:rsidR="00614607" w:rsidRPr="00614607" w:rsidRDefault="00614607" w:rsidP="00614607">
            <w:pPr>
              <w:keepNext/>
              <w:keepLines/>
              <w:spacing w:after="0"/>
              <w:jc w:val="center"/>
              <w:rPr>
                <w:rFonts w:eastAsia="Times New Roman" w:cs="Times New Roman"/>
                <w:sz w:val="20"/>
                <w:szCs w:val="20"/>
                <w:lang w:val="en-GB"/>
              </w:rPr>
            </w:pPr>
            <w:r w:rsidRPr="00614607">
              <w:rPr>
                <w:rFonts w:eastAsia="Times New Roman" w:cs="Times New Roman"/>
                <w:sz w:val="20"/>
                <w:szCs w:val="20"/>
                <w:lang w:val="en-GB"/>
              </w:rPr>
              <w:t>180 (5</w:t>
            </w:r>
            <w:r w:rsidR="00543FBC">
              <w:rPr>
                <w:rFonts w:eastAsia="Times New Roman" w:cs="Times New Roman"/>
                <w:sz w:val="20"/>
                <w:szCs w:val="20"/>
                <w:lang w:val="en-GB"/>
              </w:rPr>
              <w:t>1</w:t>
            </w:r>
            <w:r w:rsidRPr="00614607">
              <w:rPr>
                <w:rFonts w:eastAsia="Times New Roman" w:cs="Times New Roman"/>
                <w:sz w:val="20"/>
                <w:szCs w:val="20"/>
                <w:lang w:val="en-GB"/>
              </w:rPr>
              <w:t>)</w:t>
            </w:r>
          </w:p>
        </w:tc>
        <w:tc>
          <w:tcPr>
            <w:tcW w:w="2670" w:type="dxa"/>
            <w:hideMark/>
          </w:tcPr>
          <w:p w14:paraId="462B9D66" w14:textId="53D82FA8" w:rsidR="00614607" w:rsidRPr="00614607" w:rsidRDefault="00614607" w:rsidP="00614607">
            <w:pPr>
              <w:keepNext/>
              <w:keepLines/>
              <w:spacing w:after="0"/>
              <w:jc w:val="center"/>
              <w:rPr>
                <w:rFonts w:eastAsia="Times New Roman" w:cs="Times New Roman"/>
                <w:sz w:val="20"/>
                <w:szCs w:val="20"/>
                <w:lang w:val="en-GB"/>
              </w:rPr>
            </w:pPr>
            <w:r w:rsidRPr="00614607">
              <w:rPr>
                <w:rFonts w:eastAsia="Times New Roman" w:cs="Times New Roman"/>
                <w:sz w:val="20"/>
                <w:szCs w:val="20"/>
                <w:lang w:val="en-GB"/>
              </w:rPr>
              <w:t>211 (5</w:t>
            </w:r>
            <w:r w:rsidR="00543FBC">
              <w:rPr>
                <w:rFonts w:eastAsia="Times New Roman" w:cs="Times New Roman"/>
                <w:sz w:val="20"/>
                <w:szCs w:val="20"/>
                <w:lang w:val="en-GB"/>
              </w:rPr>
              <w:t>9</w:t>
            </w:r>
            <w:r w:rsidRPr="00614607">
              <w:rPr>
                <w:rFonts w:eastAsia="Times New Roman" w:cs="Times New Roman"/>
                <w:sz w:val="20"/>
                <w:szCs w:val="20"/>
                <w:lang w:val="en-GB"/>
              </w:rPr>
              <w:t>)</w:t>
            </w:r>
          </w:p>
        </w:tc>
      </w:tr>
      <w:tr w:rsidR="00543FBC" w:rsidRPr="00614607" w14:paraId="219BE7D3" w14:textId="77777777" w:rsidTr="00C55867">
        <w:trPr>
          <w:trHeight w:val="261"/>
        </w:trPr>
        <w:tc>
          <w:tcPr>
            <w:tcW w:w="3682" w:type="dxa"/>
          </w:tcPr>
          <w:p w14:paraId="071008EB" w14:textId="27A92928" w:rsidR="00543FBC" w:rsidRPr="00614607" w:rsidRDefault="00543FBC" w:rsidP="00543FBC">
            <w:pPr>
              <w:keepNext/>
              <w:keepLines/>
              <w:tabs>
                <w:tab w:val="left" w:pos="180"/>
              </w:tabs>
              <w:spacing w:after="0"/>
              <w:jc w:val="left"/>
              <w:rPr>
                <w:rFonts w:eastAsia="Times New Roman" w:cs="Times New Roman"/>
                <w:sz w:val="20"/>
                <w:szCs w:val="20"/>
                <w:lang w:val="en-GB"/>
              </w:rPr>
            </w:pPr>
            <w:r w:rsidRPr="00614607">
              <w:rPr>
                <w:rFonts w:eastAsia="Times New Roman" w:cs="Times New Roman"/>
                <w:sz w:val="20"/>
                <w:szCs w:val="20"/>
                <w:lang w:val="en-GB"/>
              </w:rPr>
              <w:tab/>
              <w:t>Median</w:t>
            </w:r>
            <w:r>
              <w:rPr>
                <w:rFonts w:eastAsia="Times New Roman" w:cs="Times New Roman"/>
                <w:sz w:val="20"/>
                <w:szCs w:val="20"/>
                <w:lang w:val="en-GB"/>
              </w:rPr>
              <w:t xml:space="preserve">, months </w:t>
            </w:r>
            <w:r w:rsidRPr="00614607">
              <w:rPr>
                <w:rFonts w:eastAsia="Times New Roman" w:cs="Times New Roman"/>
                <w:sz w:val="20"/>
                <w:szCs w:val="20"/>
                <w:lang w:val="en-GB"/>
              </w:rPr>
              <w:t xml:space="preserve">(95% </w:t>
            </w:r>
            <w:proofErr w:type="gramStart"/>
            <w:r w:rsidRPr="00614607">
              <w:rPr>
                <w:rFonts w:eastAsia="Times New Roman" w:cs="Times New Roman"/>
                <w:sz w:val="20"/>
                <w:szCs w:val="20"/>
                <w:lang w:val="en-GB"/>
              </w:rPr>
              <w:t>CI)</w:t>
            </w:r>
            <w:r w:rsidR="00213128">
              <w:rPr>
                <w:rFonts w:eastAsia="Times New Roman" w:cs="Times New Roman"/>
                <w:sz w:val="20"/>
                <w:szCs w:val="20"/>
                <w:vertAlign w:val="superscript"/>
                <w:lang w:val="en-GB"/>
              </w:rPr>
              <w:t>c</w:t>
            </w:r>
            <w:proofErr w:type="gramEnd"/>
          </w:p>
        </w:tc>
        <w:tc>
          <w:tcPr>
            <w:tcW w:w="2674" w:type="dxa"/>
          </w:tcPr>
          <w:p w14:paraId="0D32DCBE" w14:textId="12B28154" w:rsidR="00543FBC" w:rsidRPr="00614607" w:rsidRDefault="00543FBC" w:rsidP="00543FBC">
            <w:pPr>
              <w:keepNext/>
              <w:keepLines/>
              <w:spacing w:after="0"/>
              <w:jc w:val="center"/>
              <w:rPr>
                <w:rFonts w:eastAsia="Times New Roman" w:cs="Times New Roman"/>
                <w:sz w:val="20"/>
                <w:szCs w:val="20"/>
                <w:lang w:val="en-GB"/>
              </w:rPr>
            </w:pPr>
            <w:r w:rsidRPr="00614607">
              <w:rPr>
                <w:rFonts w:eastAsia="Times New Roman" w:cs="Times New Roman"/>
                <w:sz w:val="20"/>
                <w:szCs w:val="20"/>
                <w:lang w:val="en-GB"/>
              </w:rPr>
              <w:t>10.2 (6.</w:t>
            </w:r>
            <w:r>
              <w:rPr>
                <w:rFonts w:eastAsia="Times New Roman" w:cs="Times New Roman"/>
                <w:sz w:val="20"/>
                <w:szCs w:val="20"/>
                <w:lang w:val="en-GB"/>
              </w:rPr>
              <w:t>4</w:t>
            </w:r>
            <w:r w:rsidRPr="00614607">
              <w:rPr>
                <w:rFonts w:eastAsia="Times New Roman" w:cs="Times New Roman"/>
                <w:sz w:val="20"/>
                <w:szCs w:val="20"/>
                <w:lang w:val="en-GB"/>
              </w:rPr>
              <w:t>, 15.7)</w:t>
            </w:r>
          </w:p>
        </w:tc>
        <w:tc>
          <w:tcPr>
            <w:tcW w:w="2670" w:type="dxa"/>
          </w:tcPr>
          <w:p w14:paraId="734B0F6E" w14:textId="5B07CD88" w:rsidR="00543FBC" w:rsidRPr="00614607" w:rsidRDefault="00543FBC" w:rsidP="00543FBC">
            <w:pPr>
              <w:keepNext/>
              <w:keepLines/>
              <w:spacing w:after="0"/>
              <w:jc w:val="center"/>
              <w:rPr>
                <w:rFonts w:eastAsia="Times New Roman" w:cs="Times New Roman"/>
                <w:sz w:val="20"/>
                <w:szCs w:val="20"/>
                <w:lang w:val="en-GB"/>
              </w:rPr>
            </w:pPr>
            <w:r w:rsidRPr="00614607">
              <w:rPr>
                <w:rFonts w:eastAsia="Times New Roman" w:cs="Times New Roman"/>
                <w:sz w:val="20"/>
                <w:szCs w:val="20"/>
                <w:lang w:val="en-GB"/>
              </w:rPr>
              <w:t>4.6 (3.</w:t>
            </w:r>
            <w:r>
              <w:rPr>
                <w:rFonts w:eastAsia="Times New Roman" w:cs="Times New Roman"/>
                <w:sz w:val="20"/>
                <w:szCs w:val="20"/>
                <w:lang w:val="en-GB"/>
              </w:rPr>
              <w:t>4</w:t>
            </w:r>
            <w:r w:rsidRPr="00614607">
              <w:rPr>
                <w:rFonts w:eastAsia="Times New Roman" w:cs="Times New Roman"/>
                <w:sz w:val="20"/>
                <w:szCs w:val="20"/>
                <w:lang w:val="en-GB"/>
              </w:rPr>
              <w:t>, 5.6)</w:t>
            </w:r>
          </w:p>
        </w:tc>
      </w:tr>
      <w:tr w:rsidR="00543FBC" w:rsidRPr="00614607" w14:paraId="4FFFCE4C" w14:textId="77777777" w:rsidTr="00C55867">
        <w:trPr>
          <w:trHeight w:val="261"/>
        </w:trPr>
        <w:tc>
          <w:tcPr>
            <w:tcW w:w="3682" w:type="dxa"/>
            <w:hideMark/>
          </w:tcPr>
          <w:p w14:paraId="0F2A78E7" w14:textId="204DDE52" w:rsidR="00543FBC" w:rsidRPr="00614607" w:rsidRDefault="00543FBC" w:rsidP="00543FBC">
            <w:pPr>
              <w:keepNext/>
              <w:keepLines/>
              <w:tabs>
                <w:tab w:val="left" w:pos="180"/>
              </w:tabs>
              <w:spacing w:after="0"/>
              <w:jc w:val="left"/>
              <w:rPr>
                <w:rFonts w:eastAsia="Times New Roman" w:cs="Times New Roman"/>
                <w:sz w:val="20"/>
                <w:szCs w:val="20"/>
                <w:lang w:val="en-GB"/>
              </w:rPr>
            </w:pPr>
            <w:r w:rsidRPr="00614607">
              <w:rPr>
                <w:rFonts w:eastAsia="Times New Roman" w:cs="Times New Roman"/>
                <w:sz w:val="20"/>
                <w:szCs w:val="20"/>
                <w:lang w:val="en-GB"/>
              </w:rPr>
              <w:tab/>
            </w:r>
            <w:r w:rsidRPr="00614607">
              <w:rPr>
                <w:rFonts w:eastAsia="Times New Roman" w:cs="Times New Roman"/>
                <w:sz w:val="20"/>
                <w:szCs w:val="20"/>
                <w:lang w:val="en-GB"/>
              </w:rPr>
              <w:tab/>
              <w:t xml:space="preserve">Hazard </w:t>
            </w:r>
            <w:proofErr w:type="spellStart"/>
            <w:r w:rsidR="00BD0790" w:rsidRPr="00614607">
              <w:rPr>
                <w:rFonts w:eastAsia="Times New Roman" w:cs="Times New Roman"/>
                <w:sz w:val="20"/>
                <w:szCs w:val="20"/>
                <w:lang w:val="en-GB"/>
              </w:rPr>
              <w:t>ratio</w:t>
            </w:r>
            <w:r w:rsidR="00213128">
              <w:rPr>
                <w:rFonts w:eastAsia="Times New Roman" w:cs="Times New Roman"/>
                <w:sz w:val="20"/>
                <w:szCs w:val="20"/>
                <w:vertAlign w:val="superscript"/>
                <w:lang w:val="en-GB"/>
              </w:rPr>
              <w:t>d</w:t>
            </w:r>
            <w:proofErr w:type="spellEnd"/>
            <w:r w:rsidR="00692558">
              <w:rPr>
                <w:rFonts w:eastAsia="Times New Roman" w:cs="Times New Roman"/>
                <w:sz w:val="20"/>
                <w:szCs w:val="20"/>
                <w:vertAlign w:val="superscript"/>
                <w:lang w:val="en-GB"/>
              </w:rPr>
              <w:t xml:space="preserve"> </w:t>
            </w:r>
            <w:r w:rsidR="00692558" w:rsidRPr="00614607">
              <w:rPr>
                <w:rFonts w:eastAsia="Times New Roman" w:cs="Times New Roman"/>
                <w:sz w:val="20"/>
                <w:szCs w:val="20"/>
                <w:lang w:val="en-GB"/>
              </w:rPr>
              <w:t>(95% CI)</w:t>
            </w:r>
          </w:p>
        </w:tc>
        <w:tc>
          <w:tcPr>
            <w:tcW w:w="5344" w:type="dxa"/>
            <w:gridSpan w:val="2"/>
            <w:hideMark/>
          </w:tcPr>
          <w:p w14:paraId="6B6D0258" w14:textId="7AC8E238" w:rsidR="00543FBC" w:rsidRPr="00614607" w:rsidRDefault="00543FBC" w:rsidP="00543FBC">
            <w:pPr>
              <w:keepNext/>
              <w:keepLines/>
              <w:spacing w:after="0"/>
              <w:jc w:val="center"/>
              <w:rPr>
                <w:rFonts w:eastAsia="Times New Roman" w:cs="Times New Roman"/>
                <w:sz w:val="20"/>
                <w:szCs w:val="20"/>
                <w:lang w:val="en-GB"/>
              </w:rPr>
            </w:pPr>
            <w:r w:rsidRPr="00614607">
              <w:rPr>
                <w:rFonts w:eastAsia="Times New Roman" w:cs="Times New Roman"/>
                <w:sz w:val="20"/>
                <w:szCs w:val="20"/>
                <w:lang w:val="en-GB"/>
              </w:rPr>
              <w:t xml:space="preserve">0.75 </w:t>
            </w:r>
            <w:r w:rsidR="00692558" w:rsidRPr="00614607">
              <w:rPr>
                <w:rFonts w:eastAsia="Times New Roman" w:cs="Times New Roman"/>
                <w:sz w:val="20"/>
                <w:szCs w:val="20"/>
                <w:lang w:val="en-GB"/>
              </w:rPr>
              <w:t>(0.62, 0.92)</w:t>
            </w:r>
          </w:p>
        </w:tc>
      </w:tr>
      <w:tr w:rsidR="00543FBC" w:rsidRPr="00614607" w14:paraId="112FAFFE" w14:textId="77777777" w:rsidTr="00E55F90">
        <w:trPr>
          <w:trHeight w:val="261"/>
        </w:trPr>
        <w:tc>
          <w:tcPr>
            <w:tcW w:w="3682" w:type="dxa"/>
            <w:hideMark/>
          </w:tcPr>
          <w:p w14:paraId="448D8B8E" w14:textId="1D9C3A60" w:rsidR="00543FBC" w:rsidRPr="00614607" w:rsidRDefault="00543FBC" w:rsidP="00543FBC">
            <w:pPr>
              <w:keepNext/>
              <w:keepLines/>
              <w:tabs>
                <w:tab w:val="left" w:pos="180"/>
              </w:tabs>
              <w:spacing w:after="0"/>
              <w:jc w:val="left"/>
              <w:rPr>
                <w:rFonts w:eastAsia="Times New Roman" w:cs="Times New Roman"/>
                <w:sz w:val="20"/>
                <w:szCs w:val="20"/>
                <w:lang w:val="en-GB"/>
              </w:rPr>
            </w:pPr>
            <w:r w:rsidRPr="00614607">
              <w:rPr>
                <w:rFonts w:eastAsia="Times New Roman" w:cs="Times New Roman"/>
                <w:sz w:val="20"/>
                <w:szCs w:val="20"/>
                <w:lang w:val="en-GB"/>
              </w:rPr>
              <w:tab/>
            </w:r>
            <w:r w:rsidRPr="00614607">
              <w:rPr>
                <w:rFonts w:eastAsia="Times New Roman" w:cs="Times New Roman"/>
                <w:sz w:val="20"/>
                <w:szCs w:val="20"/>
                <w:lang w:val="en-GB"/>
              </w:rPr>
              <w:tab/>
              <w:t>p-</w:t>
            </w:r>
            <w:proofErr w:type="spellStart"/>
            <w:r w:rsidR="00BD0790" w:rsidRPr="00614607">
              <w:rPr>
                <w:rFonts w:eastAsia="Times New Roman" w:cs="Times New Roman"/>
                <w:sz w:val="20"/>
                <w:szCs w:val="20"/>
                <w:lang w:val="en-GB"/>
              </w:rPr>
              <w:t>value</w:t>
            </w:r>
            <w:r w:rsidR="00213128">
              <w:rPr>
                <w:rFonts w:eastAsia="Times New Roman" w:cs="Times New Roman"/>
                <w:sz w:val="20"/>
                <w:szCs w:val="20"/>
                <w:vertAlign w:val="superscript"/>
                <w:lang w:val="en-GB"/>
              </w:rPr>
              <w:t>e</w:t>
            </w:r>
            <w:proofErr w:type="spellEnd"/>
          </w:p>
        </w:tc>
        <w:tc>
          <w:tcPr>
            <w:tcW w:w="5344" w:type="dxa"/>
            <w:gridSpan w:val="2"/>
            <w:hideMark/>
          </w:tcPr>
          <w:p w14:paraId="052FADEA" w14:textId="77777777" w:rsidR="00543FBC" w:rsidRPr="00614607" w:rsidRDefault="00543FBC" w:rsidP="00543FBC">
            <w:pPr>
              <w:keepNext/>
              <w:keepLines/>
              <w:spacing w:after="0"/>
              <w:jc w:val="center"/>
              <w:rPr>
                <w:rFonts w:eastAsia="Times New Roman" w:cs="Times New Roman"/>
                <w:sz w:val="20"/>
                <w:szCs w:val="20"/>
                <w:lang w:val="en-GB"/>
              </w:rPr>
            </w:pPr>
            <w:r w:rsidRPr="00614607">
              <w:rPr>
                <w:rFonts w:eastAsia="Times New Roman" w:cs="Times New Roman"/>
                <w:sz w:val="20"/>
                <w:szCs w:val="20"/>
                <w:lang w:val="en-GB"/>
              </w:rPr>
              <w:t>0.0055</w:t>
            </w:r>
          </w:p>
        </w:tc>
      </w:tr>
      <w:bookmarkEnd w:id="7"/>
      <w:tr w:rsidR="00BD0790" w:rsidRPr="00614607" w14:paraId="2CF33321" w14:textId="77777777" w:rsidTr="00AC1180">
        <w:trPr>
          <w:trHeight w:val="261"/>
        </w:trPr>
        <w:tc>
          <w:tcPr>
            <w:tcW w:w="3682" w:type="dxa"/>
            <w:tcBorders>
              <w:top w:val="single" w:sz="4" w:space="0" w:color="auto"/>
            </w:tcBorders>
          </w:tcPr>
          <w:p w14:paraId="20CE32F2" w14:textId="0D783E29" w:rsidR="00BD0790" w:rsidRPr="00AC1180" w:rsidRDefault="00BD0790" w:rsidP="00AC1180">
            <w:pPr>
              <w:keepNext/>
              <w:keepLines/>
              <w:tabs>
                <w:tab w:val="left" w:pos="180"/>
              </w:tabs>
              <w:spacing w:after="0"/>
              <w:jc w:val="left"/>
              <w:rPr>
                <w:rFonts w:eastAsia="Times New Roman" w:cs="Times New Roman"/>
                <w:b/>
                <w:bCs/>
                <w:sz w:val="20"/>
                <w:szCs w:val="20"/>
                <w:lang w:val="en-GB"/>
              </w:rPr>
            </w:pPr>
            <w:r w:rsidRPr="00AC1180">
              <w:rPr>
                <w:rFonts w:eastAsia="Times New Roman" w:cs="Times New Roman"/>
                <w:b/>
                <w:bCs/>
                <w:sz w:val="20"/>
                <w:szCs w:val="20"/>
                <w:lang w:val="en-GB"/>
              </w:rPr>
              <w:t xml:space="preserve">Overall </w:t>
            </w:r>
            <w:proofErr w:type="spellStart"/>
            <w:r w:rsidRPr="00AC1180">
              <w:rPr>
                <w:rFonts w:eastAsia="Times New Roman" w:cs="Times New Roman"/>
                <w:b/>
                <w:bCs/>
                <w:sz w:val="20"/>
                <w:szCs w:val="20"/>
                <w:lang w:val="en-GB"/>
              </w:rPr>
              <w:t>survival</w:t>
            </w:r>
            <w:r w:rsidR="00213128">
              <w:rPr>
                <w:rFonts w:eastAsia="Times New Roman" w:cs="Times New Roman"/>
                <w:b/>
                <w:bCs/>
                <w:sz w:val="20"/>
                <w:szCs w:val="20"/>
                <w:vertAlign w:val="superscript"/>
                <w:lang w:val="en-GB"/>
              </w:rPr>
              <w:t>f</w:t>
            </w:r>
            <w:proofErr w:type="spellEnd"/>
          </w:p>
        </w:tc>
        <w:tc>
          <w:tcPr>
            <w:tcW w:w="2674" w:type="dxa"/>
            <w:tcBorders>
              <w:top w:val="single" w:sz="4" w:space="0" w:color="auto"/>
            </w:tcBorders>
          </w:tcPr>
          <w:p w14:paraId="2185291C" w14:textId="77777777" w:rsidR="00BD0790" w:rsidRPr="00614607" w:rsidRDefault="00BD0790" w:rsidP="00AC1180">
            <w:pPr>
              <w:keepNext/>
              <w:keepLines/>
              <w:spacing w:after="0"/>
              <w:jc w:val="center"/>
              <w:rPr>
                <w:rFonts w:eastAsia="Times New Roman" w:cs="Times New Roman"/>
                <w:sz w:val="20"/>
                <w:szCs w:val="20"/>
                <w:lang w:val="en-GB"/>
              </w:rPr>
            </w:pPr>
          </w:p>
        </w:tc>
        <w:tc>
          <w:tcPr>
            <w:tcW w:w="2670" w:type="dxa"/>
            <w:tcBorders>
              <w:top w:val="single" w:sz="4" w:space="0" w:color="auto"/>
            </w:tcBorders>
          </w:tcPr>
          <w:p w14:paraId="0C86DDAF" w14:textId="77777777" w:rsidR="00BD0790" w:rsidRPr="00614607" w:rsidRDefault="00BD0790" w:rsidP="00AC1180">
            <w:pPr>
              <w:keepNext/>
              <w:keepLines/>
              <w:spacing w:after="0"/>
              <w:jc w:val="center"/>
              <w:rPr>
                <w:rFonts w:eastAsia="Times New Roman" w:cs="Times New Roman"/>
                <w:sz w:val="20"/>
                <w:szCs w:val="20"/>
                <w:lang w:val="en-GB"/>
              </w:rPr>
            </w:pPr>
          </w:p>
        </w:tc>
      </w:tr>
      <w:tr w:rsidR="00BD0790" w:rsidRPr="00614607" w14:paraId="2B41DAFF" w14:textId="77777777" w:rsidTr="00AC1180">
        <w:trPr>
          <w:trHeight w:val="261"/>
        </w:trPr>
        <w:tc>
          <w:tcPr>
            <w:tcW w:w="3682" w:type="dxa"/>
            <w:tcBorders>
              <w:top w:val="nil"/>
              <w:left w:val="nil"/>
              <w:right w:val="nil"/>
            </w:tcBorders>
          </w:tcPr>
          <w:p w14:paraId="08FD4771" w14:textId="77777777" w:rsidR="00BD0790" w:rsidRPr="00614607" w:rsidRDefault="00BD0790" w:rsidP="00AC1180">
            <w:pPr>
              <w:keepNext/>
              <w:keepLines/>
              <w:tabs>
                <w:tab w:val="left" w:pos="180"/>
              </w:tabs>
              <w:spacing w:after="0"/>
              <w:jc w:val="left"/>
              <w:rPr>
                <w:rFonts w:eastAsia="Times New Roman" w:cs="Times New Roman"/>
                <w:sz w:val="20"/>
                <w:szCs w:val="20"/>
                <w:lang w:val="en-GB"/>
              </w:rPr>
            </w:pPr>
            <w:r w:rsidRPr="00614607">
              <w:rPr>
                <w:rFonts w:eastAsia="Times New Roman" w:cs="Times New Roman"/>
                <w:sz w:val="20"/>
                <w:szCs w:val="20"/>
                <w:lang w:val="en-GB"/>
              </w:rPr>
              <w:tab/>
            </w:r>
            <w:r>
              <w:rPr>
                <w:rFonts w:eastAsia="Times New Roman" w:cs="Times New Roman"/>
                <w:sz w:val="20"/>
                <w:szCs w:val="20"/>
                <w:lang w:val="en-GB"/>
              </w:rPr>
              <w:t xml:space="preserve">Deaths, </w:t>
            </w:r>
            <w:r w:rsidRPr="00614607">
              <w:rPr>
                <w:rFonts w:eastAsia="Times New Roman" w:cs="Times New Roman"/>
                <w:sz w:val="20"/>
                <w:szCs w:val="20"/>
                <w:lang w:val="en-GB"/>
              </w:rPr>
              <w:t>n (%)</w:t>
            </w:r>
          </w:p>
        </w:tc>
        <w:tc>
          <w:tcPr>
            <w:tcW w:w="2674" w:type="dxa"/>
            <w:tcBorders>
              <w:top w:val="nil"/>
              <w:left w:val="nil"/>
              <w:right w:val="nil"/>
            </w:tcBorders>
          </w:tcPr>
          <w:p w14:paraId="77AA7458" w14:textId="425EA479" w:rsidR="00BD0790" w:rsidRPr="00614607" w:rsidRDefault="00692558" w:rsidP="00AC1180">
            <w:pPr>
              <w:keepNext/>
              <w:keepLines/>
              <w:spacing w:after="0"/>
              <w:jc w:val="center"/>
              <w:rPr>
                <w:rFonts w:eastAsia="Times New Roman" w:cs="Times New Roman"/>
                <w:sz w:val="20"/>
                <w:szCs w:val="20"/>
                <w:lang w:val="en-GB"/>
              </w:rPr>
            </w:pPr>
            <w:r>
              <w:rPr>
                <w:rFonts w:eastAsia="Times New Roman" w:cs="Times New Roman"/>
                <w:sz w:val="20"/>
                <w:szCs w:val="20"/>
                <w:lang w:val="en-GB"/>
              </w:rPr>
              <w:t>137 (39)</w:t>
            </w:r>
          </w:p>
        </w:tc>
        <w:tc>
          <w:tcPr>
            <w:tcW w:w="2670" w:type="dxa"/>
            <w:tcBorders>
              <w:top w:val="nil"/>
              <w:left w:val="nil"/>
              <w:right w:val="nil"/>
            </w:tcBorders>
          </w:tcPr>
          <w:p w14:paraId="613E39F2" w14:textId="4CB3D92E" w:rsidR="00BD0790" w:rsidRPr="00614607" w:rsidRDefault="00692558" w:rsidP="00AC1180">
            <w:pPr>
              <w:keepNext/>
              <w:keepLines/>
              <w:spacing w:after="0"/>
              <w:jc w:val="center"/>
              <w:rPr>
                <w:rFonts w:eastAsia="Times New Roman" w:cs="Times New Roman"/>
                <w:sz w:val="20"/>
                <w:szCs w:val="20"/>
                <w:lang w:val="en-GB"/>
              </w:rPr>
            </w:pPr>
            <w:r>
              <w:rPr>
                <w:rFonts w:eastAsia="Times New Roman" w:cs="Times New Roman"/>
                <w:sz w:val="20"/>
                <w:szCs w:val="20"/>
                <w:lang w:val="en-GB"/>
              </w:rPr>
              <w:t>160 (45)</w:t>
            </w:r>
          </w:p>
        </w:tc>
      </w:tr>
      <w:tr w:rsidR="00BD0790" w:rsidRPr="00614607" w14:paraId="16998FDB" w14:textId="77777777" w:rsidTr="00AC1180">
        <w:trPr>
          <w:trHeight w:val="261"/>
        </w:trPr>
        <w:tc>
          <w:tcPr>
            <w:tcW w:w="3682" w:type="dxa"/>
          </w:tcPr>
          <w:p w14:paraId="187B3990" w14:textId="58F550BB" w:rsidR="00BD0790" w:rsidRPr="00614607" w:rsidRDefault="00BD0790" w:rsidP="00AC1180">
            <w:pPr>
              <w:keepNext/>
              <w:keepLines/>
              <w:tabs>
                <w:tab w:val="left" w:pos="180"/>
              </w:tabs>
              <w:spacing w:after="0"/>
              <w:jc w:val="left"/>
              <w:rPr>
                <w:rFonts w:eastAsia="Times New Roman" w:cs="Times New Roman"/>
                <w:sz w:val="20"/>
                <w:szCs w:val="20"/>
                <w:lang w:val="en-GB"/>
              </w:rPr>
            </w:pPr>
            <w:r w:rsidRPr="00614607">
              <w:rPr>
                <w:rFonts w:eastAsia="Times New Roman" w:cs="Times New Roman"/>
                <w:sz w:val="20"/>
                <w:szCs w:val="20"/>
                <w:lang w:val="en-GB"/>
              </w:rPr>
              <w:tab/>
              <w:t>Median</w:t>
            </w:r>
            <w:r>
              <w:rPr>
                <w:rFonts w:eastAsia="Times New Roman" w:cs="Times New Roman"/>
                <w:sz w:val="20"/>
                <w:szCs w:val="20"/>
                <w:lang w:val="en-GB"/>
              </w:rPr>
              <w:t xml:space="preserve">, months </w:t>
            </w:r>
            <w:r w:rsidRPr="00614607">
              <w:rPr>
                <w:rFonts w:eastAsia="Times New Roman" w:cs="Times New Roman"/>
                <w:sz w:val="20"/>
                <w:szCs w:val="20"/>
                <w:lang w:val="en-GB"/>
              </w:rPr>
              <w:t xml:space="preserve">(95% </w:t>
            </w:r>
            <w:proofErr w:type="gramStart"/>
            <w:r w:rsidRPr="00614607">
              <w:rPr>
                <w:rFonts w:eastAsia="Times New Roman" w:cs="Times New Roman"/>
                <w:sz w:val="20"/>
                <w:szCs w:val="20"/>
                <w:lang w:val="en-GB"/>
              </w:rPr>
              <w:t>CI)</w:t>
            </w:r>
            <w:r w:rsidR="00213128">
              <w:rPr>
                <w:rFonts w:eastAsia="Times New Roman" w:cs="Times New Roman"/>
                <w:sz w:val="20"/>
                <w:szCs w:val="20"/>
                <w:vertAlign w:val="superscript"/>
                <w:lang w:val="en-GB"/>
              </w:rPr>
              <w:t>c</w:t>
            </w:r>
            <w:proofErr w:type="gramEnd"/>
          </w:p>
        </w:tc>
        <w:tc>
          <w:tcPr>
            <w:tcW w:w="2674" w:type="dxa"/>
          </w:tcPr>
          <w:p w14:paraId="4A5C0362" w14:textId="67BF3CBE" w:rsidR="00BD0790" w:rsidRPr="00614607" w:rsidRDefault="00692558" w:rsidP="00AC1180">
            <w:pPr>
              <w:keepNext/>
              <w:keepLines/>
              <w:spacing w:after="0"/>
              <w:jc w:val="center"/>
              <w:rPr>
                <w:rFonts w:eastAsia="Times New Roman" w:cs="Times New Roman"/>
                <w:sz w:val="20"/>
                <w:szCs w:val="20"/>
                <w:lang w:val="en-GB"/>
              </w:rPr>
            </w:pPr>
            <w:r>
              <w:rPr>
                <w:rFonts w:eastAsia="Times New Roman" w:cs="Times New Roman"/>
                <w:sz w:val="20"/>
                <w:szCs w:val="20"/>
                <w:lang w:val="en-GB"/>
              </w:rPr>
              <w:t>NR (34.2, NR)</w:t>
            </w:r>
          </w:p>
        </w:tc>
        <w:tc>
          <w:tcPr>
            <w:tcW w:w="2670" w:type="dxa"/>
          </w:tcPr>
          <w:p w14:paraId="46FA97AD" w14:textId="44023A21" w:rsidR="00BD0790" w:rsidRPr="00614607" w:rsidRDefault="00692558" w:rsidP="00AC1180">
            <w:pPr>
              <w:keepNext/>
              <w:keepLines/>
              <w:spacing w:after="0"/>
              <w:jc w:val="center"/>
              <w:rPr>
                <w:rFonts w:eastAsia="Times New Roman" w:cs="Times New Roman"/>
                <w:sz w:val="20"/>
                <w:szCs w:val="20"/>
                <w:lang w:val="en-GB"/>
              </w:rPr>
            </w:pPr>
            <w:r>
              <w:rPr>
                <w:rFonts w:eastAsia="Times New Roman" w:cs="Times New Roman"/>
                <w:sz w:val="20"/>
                <w:szCs w:val="20"/>
                <w:lang w:val="en-GB"/>
              </w:rPr>
              <w:t>34.1 (25.2, NR)</w:t>
            </w:r>
          </w:p>
        </w:tc>
      </w:tr>
      <w:tr w:rsidR="00692558" w:rsidRPr="00614607" w14:paraId="4846E590" w14:textId="77777777" w:rsidTr="00E55F90">
        <w:trPr>
          <w:trHeight w:val="261"/>
        </w:trPr>
        <w:tc>
          <w:tcPr>
            <w:tcW w:w="3682" w:type="dxa"/>
          </w:tcPr>
          <w:p w14:paraId="1C308D64" w14:textId="56270BB8" w:rsidR="00692558" w:rsidRPr="00614607" w:rsidRDefault="00692558" w:rsidP="00AC1180">
            <w:pPr>
              <w:keepNext/>
              <w:keepLines/>
              <w:tabs>
                <w:tab w:val="left" w:pos="180"/>
              </w:tabs>
              <w:spacing w:after="0"/>
              <w:jc w:val="left"/>
              <w:rPr>
                <w:rFonts w:eastAsia="Times New Roman" w:cs="Times New Roman"/>
                <w:sz w:val="20"/>
                <w:szCs w:val="20"/>
                <w:lang w:val="en-GB"/>
              </w:rPr>
            </w:pPr>
            <w:r w:rsidRPr="00614607">
              <w:rPr>
                <w:rFonts w:eastAsia="Times New Roman" w:cs="Times New Roman"/>
                <w:sz w:val="20"/>
                <w:szCs w:val="20"/>
                <w:lang w:val="en-GB"/>
              </w:rPr>
              <w:tab/>
            </w:r>
            <w:r w:rsidRPr="00614607">
              <w:rPr>
                <w:rFonts w:eastAsia="Times New Roman" w:cs="Times New Roman"/>
                <w:sz w:val="20"/>
                <w:szCs w:val="20"/>
                <w:lang w:val="en-GB"/>
              </w:rPr>
              <w:tab/>
              <w:t xml:space="preserve">Hazard </w:t>
            </w:r>
            <w:proofErr w:type="spellStart"/>
            <w:r w:rsidRPr="00614607">
              <w:rPr>
                <w:rFonts w:eastAsia="Times New Roman" w:cs="Times New Roman"/>
                <w:sz w:val="20"/>
                <w:szCs w:val="20"/>
                <w:lang w:val="en-GB"/>
              </w:rPr>
              <w:t>ratio</w:t>
            </w:r>
            <w:r w:rsidR="00213128">
              <w:rPr>
                <w:rFonts w:eastAsia="Times New Roman" w:cs="Times New Roman"/>
                <w:sz w:val="20"/>
                <w:szCs w:val="20"/>
                <w:vertAlign w:val="superscript"/>
                <w:lang w:val="en-GB"/>
              </w:rPr>
              <w:t>d</w:t>
            </w:r>
            <w:proofErr w:type="spellEnd"/>
            <w:r>
              <w:rPr>
                <w:rFonts w:eastAsia="Times New Roman" w:cs="Times New Roman"/>
                <w:sz w:val="20"/>
                <w:szCs w:val="20"/>
                <w:vertAlign w:val="superscript"/>
                <w:lang w:val="en-GB"/>
              </w:rPr>
              <w:t xml:space="preserve"> </w:t>
            </w:r>
            <w:r w:rsidRPr="00614607">
              <w:rPr>
                <w:rFonts w:eastAsia="Times New Roman" w:cs="Times New Roman"/>
                <w:sz w:val="20"/>
                <w:szCs w:val="20"/>
                <w:lang w:val="en-GB"/>
              </w:rPr>
              <w:t>(95% CI)</w:t>
            </w:r>
          </w:p>
        </w:tc>
        <w:tc>
          <w:tcPr>
            <w:tcW w:w="5344" w:type="dxa"/>
            <w:gridSpan w:val="2"/>
          </w:tcPr>
          <w:p w14:paraId="409C53C8" w14:textId="4C2B9AD2" w:rsidR="00692558" w:rsidRPr="00614607" w:rsidRDefault="00692558" w:rsidP="00AC1180">
            <w:pPr>
              <w:keepNext/>
              <w:keepLines/>
              <w:spacing w:after="0"/>
              <w:jc w:val="center"/>
              <w:rPr>
                <w:rFonts w:eastAsia="Times New Roman" w:cs="Times New Roman"/>
                <w:sz w:val="20"/>
                <w:szCs w:val="20"/>
                <w:lang w:val="en-GB"/>
              </w:rPr>
            </w:pPr>
            <w:r>
              <w:rPr>
                <w:rFonts w:eastAsia="Times New Roman" w:cs="Times New Roman"/>
                <w:sz w:val="20"/>
                <w:szCs w:val="20"/>
                <w:lang w:val="en-GB"/>
              </w:rPr>
              <w:t>0.80 (0.64, 1.01)</w:t>
            </w:r>
          </w:p>
        </w:tc>
      </w:tr>
      <w:tr w:rsidR="00BD0790" w:rsidRPr="00614607" w14:paraId="54E3EC90" w14:textId="77777777" w:rsidTr="00E55F90">
        <w:trPr>
          <w:trHeight w:val="261"/>
        </w:trPr>
        <w:tc>
          <w:tcPr>
            <w:tcW w:w="3682" w:type="dxa"/>
            <w:tcBorders>
              <w:bottom w:val="single" w:sz="4" w:space="0" w:color="auto"/>
            </w:tcBorders>
          </w:tcPr>
          <w:p w14:paraId="24E8503B" w14:textId="32F9805D" w:rsidR="00692558" w:rsidRPr="00E55F90" w:rsidRDefault="00BD0790" w:rsidP="00AC1180">
            <w:pPr>
              <w:keepNext/>
              <w:keepLines/>
              <w:tabs>
                <w:tab w:val="left" w:pos="180"/>
              </w:tabs>
              <w:spacing w:after="0"/>
              <w:jc w:val="left"/>
              <w:rPr>
                <w:rFonts w:eastAsia="Times New Roman" w:cs="Times New Roman"/>
                <w:sz w:val="20"/>
                <w:szCs w:val="20"/>
                <w:vertAlign w:val="superscript"/>
                <w:lang w:val="en-GB"/>
              </w:rPr>
            </w:pPr>
            <w:r w:rsidRPr="00614607">
              <w:rPr>
                <w:rFonts w:eastAsia="Times New Roman" w:cs="Times New Roman"/>
                <w:sz w:val="20"/>
                <w:szCs w:val="20"/>
                <w:lang w:val="en-GB"/>
              </w:rPr>
              <w:tab/>
            </w:r>
            <w:r w:rsidRPr="00614607">
              <w:rPr>
                <w:rFonts w:eastAsia="Times New Roman" w:cs="Times New Roman"/>
                <w:sz w:val="20"/>
                <w:szCs w:val="20"/>
                <w:lang w:val="en-GB"/>
              </w:rPr>
              <w:tab/>
              <w:t>p-</w:t>
            </w:r>
            <w:proofErr w:type="spellStart"/>
            <w:r w:rsidRPr="00614607">
              <w:rPr>
                <w:rFonts w:eastAsia="Times New Roman" w:cs="Times New Roman"/>
                <w:sz w:val="20"/>
                <w:szCs w:val="20"/>
                <w:lang w:val="en-GB"/>
              </w:rPr>
              <w:t>value</w:t>
            </w:r>
            <w:r w:rsidR="00213128">
              <w:rPr>
                <w:rFonts w:eastAsia="Times New Roman" w:cs="Times New Roman"/>
                <w:sz w:val="20"/>
                <w:szCs w:val="20"/>
                <w:vertAlign w:val="superscript"/>
                <w:lang w:val="en-GB"/>
              </w:rPr>
              <w:t>e</w:t>
            </w:r>
            <w:proofErr w:type="spellEnd"/>
          </w:p>
        </w:tc>
        <w:tc>
          <w:tcPr>
            <w:tcW w:w="5344" w:type="dxa"/>
            <w:gridSpan w:val="2"/>
            <w:tcBorders>
              <w:bottom w:val="single" w:sz="4" w:space="0" w:color="auto"/>
            </w:tcBorders>
          </w:tcPr>
          <w:p w14:paraId="7F5AAE76" w14:textId="28BE468E" w:rsidR="00692558" w:rsidRPr="00E55F90" w:rsidRDefault="00692558" w:rsidP="00692558">
            <w:pPr>
              <w:keepNext/>
              <w:keepLines/>
              <w:spacing w:after="0"/>
              <w:jc w:val="center"/>
              <w:rPr>
                <w:rFonts w:eastAsia="Times New Roman" w:cs="Times New Roman"/>
                <w:sz w:val="20"/>
                <w:szCs w:val="20"/>
                <w:vertAlign w:val="superscript"/>
                <w:lang w:val="en-GB"/>
              </w:rPr>
            </w:pPr>
            <w:proofErr w:type="spellStart"/>
            <w:r>
              <w:rPr>
                <w:rFonts w:eastAsia="Times New Roman" w:cs="Times New Roman"/>
                <w:sz w:val="20"/>
                <w:szCs w:val="20"/>
                <w:lang w:val="en-GB"/>
              </w:rPr>
              <w:t>NS</w:t>
            </w:r>
            <w:r w:rsidR="00213128" w:rsidRPr="00E55F90">
              <w:rPr>
                <w:rFonts w:eastAsia="Times New Roman" w:cs="Times New Roman"/>
                <w:sz w:val="20"/>
                <w:szCs w:val="20"/>
                <w:vertAlign w:val="superscript"/>
                <w:lang w:val="en-GB"/>
              </w:rPr>
              <w:t>g</w:t>
            </w:r>
            <w:proofErr w:type="spellEnd"/>
          </w:p>
        </w:tc>
      </w:tr>
      <w:tr w:rsidR="00692558" w:rsidRPr="00614607" w14:paraId="1C0DDE5C" w14:textId="77777777" w:rsidTr="00AC1180">
        <w:trPr>
          <w:trHeight w:val="261"/>
        </w:trPr>
        <w:tc>
          <w:tcPr>
            <w:tcW w:w="3682" w:type="dxa"/>
            <w:tcBorders>
              <w:top w:val="single" w:sz="4" w:space="0" w:color="auto"/>
            </w:tcBorders>
          </w:tcPr>
          <w:p w14:paraId="57305AC1" w14:textId="34B085FC" w:rsidR="00692558" w:rsidRPr="00AC1180" w:rsidRDefault="00692558" w:rsidP="00AC1180">
            <w:pPr>
              <w:keepNext/>
              <w:keepLines/>
              <w:tabs>
                <w:tab w:val="left" w:pos="180"/>
              </w:tabs>
              <w:spacing w:after="0"/>
              <w:jc w:val="left"/>
              <w:rPr>
                <w:rFonts w:eastAsia="Times New Roman" w:cs="Times New Roman"/>
                <w:b/>
                <w:bCs/>
                <w:sz w:val="20"/>
                <w:szCs w:val="20"/>
                <w:lang w:val="en-GB"/>
              </w:rPr>
            </w:pPr>
            <w:r w:rsidRPr="00AC1180">
              <w:rPr>
                <w:rFonts w:eastAsia="Times New Roman" w:cs="Times New Roman"/>
                <w:b/>
                <w:bCs/>
                <w:sz w:val="20"/>
                <w:szCs w:val="20"/>
                <w:lang w:val="en-GB"/>
              </w:rPr>
              <w:t xml:space="preserve">Overall </w:t>
            </w:r>
            <w:r>
              <w:rPr>
                <w:rFonts w:eastAsia="Times New Roman" w:cs="Times New Roman"/>
                <w:b/>
                <w:bCs/>
                <w:sz w:val="20"/>
                <w:szCs w:val="20"/>
                <w:lang w:val="en-GB"/>
              </w:rPr>
              <w:t xml:space="preserve">response </w:t>
            </w:r>
            <w:proofErr w:type="spellStart"/>
            <w:proofErr w:type="gramStart"/>
            <w:r>
              <w:rPr>
                <w:rFonts w:eastAsia="Times New Roman" w:cs="Times New Roman"/>
                <w:b/>
                <w:bCs/>
                <w:sz w:val="20"/>
                <w:szCs w:val="20"/>
                <w:lang w:val="en-GB"/>
              </w:rPr>
              <w:t>rate</w:t>
            </w:r>
            <w:r w:rsidRPr="00E55F90">
              <w:rPr>
                <w:rFonts w:eastAsia="Times New Roman" w:cs="Times New Roman"/>
                <w:b/>
                <w:sz w:val="20"/>
                <w:szCs w:val="20"/>
                <w:vertAlign w:val="superscript"/>
                <w:lang w:val="en-GB"/>
              </w:rPr>
              <w:t>b</w:t>
            </w:r>
            <w:r>
              <w:rPr>
                <w:rFonts w:eastAsia="Times New Roman" w:cs="Times New Roman"/>
                <w:b/>
                <w:sz w:val="20"/>
                <w:szCs w:val="20"/>
                <w:vertAlign w:val="superscript"/>
                <w:lang w:val="en-GB"/>
              </w:rPr>
              <w:t>,</w:t>
            </w:r>
            <w:r w:rsidR="00213128">
              <w:rPr>
                <w:rFonts w:eastAsia="Times New Roman" w:cs="Times New Roman"/>
                <w:b/>
                <w:sz w:val="20"/>
                <w:szCs w:val="20"/>
                <w:vertAlign w:val="superscript"/>
                <w:lang w:val="en-GB"/>
              </w:rPr>
              <w:t>f</w:t>
            </w:r>
            <w:proofErr w:type="gramEnd"/>
            <w:r>
              <w:rPr>
                <w:rFonts w:eastAsia="Times New Roman" w:cs="Times New Roman"/>
                <w:b/>
                <w:sz w:val="20"/>
                <w:szCs w:val="20"/>
                <w:vertAlign w:val="superscript"/>
                <w:lang w:val="en-GB"/>
              </w:rPr>
              <w:t>,</w:t>
            </w:r>
            <w:r w:rsidR="00213128">
              <w:rPr>
                <w:rFonts w:eastAsia="Times New Roman" w:cs="Times New Roman"/>
                <w:b/>
                <w:sz w:val="20"/>
                <w:szCs w:val="20"/>
                <w:vertAlign w:val="superscript"/>
                <w:lang w:val="en-GB"/>
              </w:rPr>
              <w:t>h</w:t>
            </w:r>
            <w:proofErr w:type="spellEnd"/>
          </w:p>
        </w:tc>
        <w:tc>
          <w:tcPr>
            <w:tcW w:w="2674" w:type="dxa"/>
            <w:tcBorders>
              <w:top w:val="single" w:sz="4" w:space="0" w:color="auto"/>
            </w:tcBorders>
          </w:tcPr>
          <w:p w14:paraId="75167A1F" w14:textId="77777777" w:rsidR="00692558" w:rsidRPr="00614607" w:rsidRDefault="00692558" w:rsidP="00AC1180">
            <w:pPr>
              <w:keepNext/>
              <w:keepLines/>
              <w:spacing w:after="0"/>
              <w:jc w:val="center"/>
              <w:rPr>
                <w:rFonts w:eastAsia="Times New Roman" w:cs="Times New Roman"/>
                <w:sz w:val="20"/>
                <w:szCs w:val="20"/>
                <w:lang w:val="en-GB"/>
              </w:rPr>
            </w:pPr>
          </w:p>
        </w:tc>
        <w:tc>
          <w:tcPr>
            <w:tcW w:w="2670" w:type="dxa"/>
            <w:tcBorders>
              <w:top w:val="single" w:sz="4" w:space="0" w:color="auto"/>
            </w:tcBorders>
          </w:tcPr>
          <w:p w14:paraId="7A57F98F" w14:textId="77777777" w:rsidR="00692558" w:rsidRPr="00614607" w:rsidRDefault="00692558" w:rsidP="00AC1180">
            <w:pPr>
              <w:keepNext/>
              <w:keepLines/>
              <w:spacing w:after="0"/>
              <w:jc w:val="center"/>
              <w:rPr>
                <w:rFonts w:eastAsia="Times New Roman" w:cs="Times New Roman"/>
                <w:sz w:val="20"/>
                <w:szCs w:val="20"/>
                <w:lang w:val="en-GB"/>
              </w:rPr>
            </w:pPr>
          </w:p>
        </w:tc>
      </w:tr>
      <w:tr w:rsidR="00692558" w:rsidRPr="00614607" w14:paraId="1985EB21" w14:textId="77777777" w:rsidTr="00AC1180">
        <w:trPr>
          <w:trHeight w:val="261"/>
        </w:trPr>
        <w:tc>
          <w:tcPr>
            <w:tcW w:w="3682" w:type="dxa"/>
            <w:tcBorders>
              <w:top w:val="nil"/>
              <w:left w:val="nil"/>
              <w:right w:val="nil"/>
            </w:tcBorders>
          </w:tcPr>
          <w:p w14:paraId="5B182931" w14:textId="1E5601B9" w:rsidR="00692558" w:rsidRPr="00614607" w:rsidRDefault="00692558" w:rsidP="00AC1180">
            <w:pPr>
              <w:keepNext/>
              <w:keepLines/>
              <w:tabs>
                <w:tab w:val="left" w:pos="180"/>
              </w:tabs>
              <w:spacing w:after="0"/>
              <w:jc w:val="left"/>
              <w:rPr>
                <w:rFonts w:eastAsia="Times New Roman" w:cs="Times New Roman"/>
                <w:sz w:val="20"/>
                <w:szCs w:val="20"/>
                <w:lang w:val="en-GB"/>
              </w:rPr>
            </w:pPr>
            <w:r w:rsidRPr="00614607">
              <w:rPr>
                <w:rFonts w:eastAsia="Times New Roman" w:cs="Times New Roman"/>
                <w:sz w:val="20"/>
                <w:szCs w:val="20"/>
                <w:lang w:val="en-GB"/>
              </w:rPr>
              <w:tab/>
            </w:r>
            <w:r w:rsidR="00A472EA">
              <w:rPr>
                <w:rFonts w:eastAsia="Times New Roman" w:cs="Times New Roman"/>
                <w:sz w:val="20"/>
                <w:szCs w:val="20"/>
                <w:lang w:val="en-GB"/>
              </w:rPr>
              <w:t>% of p</w:t>
            </w:r>
            <w:r>
              <w:rPr>
                <w:rFonts w:eastAsia="Times New Roman" w:cs="Times New Roman"/>
                <w:sz w:val="20"/>
                <w:szCs w:val="20"/>
                <w:lang w:val="en-GB"/>
              </w:rPr>
              <w:t>atients with a response</w:t>
            </w:r>
            <w:r w:rsidR="0051332E">
              <w:rPr>
                <w:rFonts w:eastAsia="Times New Roman" w:cs="Times New Roman"/>
                <w:sz w:val="20"/>
                <w:szCs w:val="20"/>
                <w:lang w:val="en-GB"/>
              </w:rPr>
              <w:t xml:space="preserve"> (</w:t>
            </w:r>
            <w:r w:rsidR="0051332E" w:rsidRPr="00614607">
              <w:rPr>
                <w:rFonts w:eastAsia="Times New Roman" w:cs="Times New Roman"/>
                <w:sz w:val="20"/>
                <w:szCs w:val="20"/>
                <w:lang w:val="en-GB"/>
              </w:rPr>
              <w:t>95% CI</w:t>
            </w:r>
            <w:r w:rsidR="0051332E">
              <w:rPr>
                <w:rFonts w:eastAsia="Times New Roman" w:cs="Times New Roman"/>
                <w:sz w:val="20"/>
                <w:szCs w:val="20"/>
                <w:lang w:val="en-GB"/>
              </w:rPr>
              <w:t>)</w:t>
            </w:r>
            <w:r>
              <w:rPr>
                <w:rFonts w:eastAsia="Times New Roman" w:cs="Times New Roman"/>
                <w:sz w:val="20"/>
                <w:szCs w:val="20"/>
                <w:lang w:val="en-GB"/>
              </w:rPr>
              <w:t xml:space="preserve"> </w:t>
            </w:r>
          </w:p>
        </w:tc>
        <w:tc>
          <w:tcPr>
            <w:tcW w:w="2674" w:type="dxa"/>
            <w:tcBorders>
              <w:top w:val="nil"/>
              <w:left w:val="nil"/>
              <w:right w:val="nil"/>
            </w:tcBorders>
          </w:tcPr>
          <w:p w14:paraId="48F1185D" w14:textId="23226E7E" w:rsidR="00692558" w:rsidRPr="00614607" w:rsidRDefault="00692558" w:rsidP="00AC1180">
            <w:pPr>
              <w:keepNext/>
              <w:keepLines/>
              <w:spacing w:after="0"/>
              <w:jc w:val="center"/>
              <w:rPr>
                <w:rFonts w:eastAsia="Times New Roman" w:cs="Times New Roman"/>
                <w:sz w:val="20"/>
                <w:szCs w:val="20"/>
                <w:lang w:val="en-GB"/>
              </w:rPr>
            </w:pPr>
            <w:r>
              <w:rPr>
                <w:rFonts w:eastAsia="Times New Roman" w:cs="Times New Roman"/>
                <w:sz w:val="20"/>
                <w:szCs w:val="20"/>
                <w:lang w:val="en-GB"/>
              </w:rPr>
              <w:t xml:space="preserve">43 </w:t>
            </w:r>
            <w:r w:rsidR="0051332E">
              <w:rPr>
                <w:rFonts w:eastAsia="Times New Roman" w:cs="Times New Roman"/>
                <w:sz w:val="20"/>
                <w:szCs w:val="20"/>
                <w:lang w:val="en-GB"/>
              </w:rPr>
              <w:t>(</w:t>
            </w:r>
            <w:r>
              <w:rPr>
                <w:rFonts w:eastAsia="Times New Roman" w:cs="Times New Roman"/>
                <w:sz w:val="20"/>
                <w:szCs w:val="20"/>
                <w:lang w:val="en-GB"/>
              </w:rPr>
              <w:t>38, 48</w:t>
            </w:r>
            <w:r w:rsidR="0051332E">
              <w:rPr>
                <w:rFonts w:eastAsia="Times New Roman" w:cs="Times New Roman"/>
                <w:sz w:val="20"/>
                <w:szCs w:val="20"/>
                <w:lang w:val="en-GB"/>
              </w:rPr>
              <w:t>)</w:t>
            </w:r>
          </w:p>
        </w:tc>
        <w:tc>
          <w:tcPr>
            <w:tcW w:w="2670" w:type="dxa"/>
            <w:tcBorders>
              <w:top w:val="nil"/>
              <w:left w:val="nil"/>
              <w:right w:val="nil"/>
            </w:tcBorders>
          </w:tcPr>
          <w:p w14:paraId="64408046" w14:textId="1F0156AE" w:rsidR="00692558" w:rsidRPr="00614607" w:rsidRDefault="0051332E" w:rsidP="00AC1180">
            <w:pPr>
              <w:keepNext/>
              <w:keepLines/>
              <w:spacing w:after="0"/>
              <w:jc w:val="center"/>
              <w:rPr>
                <w:rFonts w:eastAsia="Times New Roman" w:cs="Times New Roman"/>
                <w:sz w:val="20"/>
                <w:szCs w:val="20"/>
                <w:lang w:val="en-GB"/>
              </w:rPr>
            </w:pPr>
            <w:r>
              <w:rPr>
                <w:rFonts w:eastAsia="Times New Roman" w:cs="Times New Roman"/>
                <w:sz w:val="20"/>
                <w:szCs w:val="20"/>
                <w:lang w:val="en-GB"/>
              </w:rPr>
              <w:t>33</w:t>
            </w:r>
            <w:r w:rsidR="00692558">
              <w:rPr>
                <w:rFonts w:eastAsia="Times New Roman" w:cs="Times New Roman"/>
                <w:sz w:val="20"/>
                <w:szCs w:val="20"/>
                <w:lang w:val="en-GB"/>
              </w:rPr>
              <w:t xml:space="preserve"> (</w:t>
            </w:r>
            <w:r>
              <w:rPr>
                <w:rFonts w:eastAsia="Times New Roman" w:cs="Times New Roman"/>
                <w:sz w:val="20"/>
                <w:szCs w:val="20"/>
                <w:lang w:val="en-GB"/>
              </w:rPr>
              <w:t>28, 38</w:t>
            </w:r>
            <w:r w:rsidR="00692558">
              <w:rPr>
                <w:rFonts w:eastAsia="Times New Roman" w:cs="Times New Roman"/>
                <w:sz w:val="20"/>
                <w:szCs w:val="20"/>
                <w:lang w:val="en-GB"/>
              </w:rPr>
              <w:t>)</w:t>
            </w:r>
          </w:p>
        </w:tc>
      </w:tr>
      <w:tr w:rsidR="00692558" w:rsidRPr="00614607" w14:paraId="2FD4C1D1" w14:textId="77777777" w:rsidTr="00AC1180">
        <w:trPr>
          <w:trHeight w:val="261"/>
        </w:trPr>
        <w:tc>
          <w:tcPr>
            <w:tcW w:w="3682" w:type="dxa"/>
          </w:tcPr>
          <w:p w14:paraId="419A0178" w14:textId="5A977193" w:rsidR="00213128" w:rsidRPr="00614607" w:rsidRDefault="00692558" w:rsidP="00AC1180">
            <w:pPr>
              <w:keepNext/>
              <w:keepLines/>
              <w:tabs>
                <w:tab w:val="left" w:pos="180"/>
              </w:tabs>
              <w:spacing w:after="0"/>
              <w:jc w:val="left"/>
              <w:rPr>
                <w:rFonts w:eastAsia="Times New Roman" w:cs="Times New Roman"/>
                <w:sz w:val="20"/>
                <w:szCs w:val="20"/>
                <w:lang w:val="en-GB"/>
              </w:rPr>
            </w:pPr>
            <w:r w:rsidRPr="00614607">
              <w:rPr>
                <w:rFonts w:eastAsia="Times New Roman" w:cs="Times New Roman"/>
                <w:sz w:val="20"/>
                <w:szCs w:val="20"/>
                <w:lang w:val="en-GB"/>
              </w:rPr>
              <w:tab/>
            </w:r>
            <w:r w:rsidR="00213128">
              <w:rPr>
                <w:rFonts w:eastAsia="Times New Roman" w:cs="Times New Roman"/>
                <w:sz w:val="20"/>
                <w:szCs w:val="20"/>
                <w:lang w:val="en-GB"/>
              </w:rPr>
              <w:t>Complete response rate, n (%)</w:t>
            </w:r>
          </w:p>
        </w:tc>
        <w:tc>
          <w:tcPr>
            <w:tcW w:w="2674" w:type="dxa"/>
          </w:tcPr>
          <w:p w14:paraId="4C372013" w14:textId="46AC61E7" w:rsidR="00692558" w:rsidRPr="00614607" w:rsidRDefault="00213128" w:rsidP="00AC1180">
            <w:pPr>
              <w:keepNext/>
              <w:keepLines/>
              <w:spacing w:after="0"/>
              <w:jc w:val="center"/>
              <w:rPr>
                <w:rFonts w:eastAsia="Times New Roman" w:cs="Times New Roman"/>
                <w:sz w:val="20"/>
                <w:szCs w:val="20"/>
                <w:lang w:val="en-GB"/>
              </w:rPr>
            </w:pPr>
            <w:r>
              <w:rPr>
                <w:rFonts w:eastAsia="Times New Roman" w:cs="Times New Roman"/>
                <w:sz w:val="20"/>
                <w:szCs w:val="20"/>
                <w:lang w:val="en-GB"/>
              </w:rPr>
              <w:t>58 (16)</w:t>
            </w:r>
          </w:p>
        </w:tc>
        <w:tc>
          <w:tcPr>
            <w:tcW w:w="2670" w:type="dxa"/>
          </w:tcPr>
          <w:p w14:paraId="79D65DAD" w14:textId="3B6757F7" w:rsidR="00692558" w:rsidRPr="00614607" w:rsidRDefault="00213128" w:rsidP="00AC1180">
            <w:pPr>
              <w:keepNext/>
              <w:keepLines/>
              <w:spacing w:after="0"/>
              <w:jc w:val="center"/>
              <w:rPr>
                <w:rFonts w:eastAsia="Times New Roman" w:cs="Times New Roman"/>
                <w:sz w:val="20"/>
                <w:szCs w:val="20"/>
                <w:lang w:val="en-GB"/>
              </w:rPr>
            </w:pPr>
            <w:r>
              <w:rPr>
                <w:rFonts w:eastAsia="Times New Roman" w:cs="Times New Roman"/>
                <w:sz w:val="20"/>
                <w:szCs w:val="20"/>
                <w:lang w:val="en-GB"/>
              </w:rPr>
              <w:t>51 (14)</w:t>
            </w:r>
          </w:p>
        </w:tc>
      </w:tr>
      <w:tr w:rsidR="00213128" w:rsidRPr="00614607" w14:paraId="192BAF2A" w14:textId="77777777" w:rsidTr="00AC1180">
        <w:trPr>
          <w:trHeight w:val="261"/>
        </w:trPr>
        <w:tc>
          <w:tcPr>
            <w:tcW w:w="3682" w:type="dxa"/>
          </w:tcPr>
          <w:p w14:paraId="07EB3623" w14:textId="5D2241F6" w:rsidR="00213128" w:rsidRPr="00614607" w:rsidRDefault="00213128" w:rsidP="00213128">
            <w:pPr>
              <w:keepNext/>
              <w:keepLines/>
              <w:tabs>
                <w:tab w:val="left" w:pos="180"/>
              </w:tabs>
              <w:spacing w:after="0"/>
              <w:jc w:val="left"/>
              <w:rPr>
                <w:rFonts w:eastAsia="Times New Roman" w:cs="Times New Roman"/>
                <w:sz w:val="20"/>
                <w:szCs w:val="20"/>
                <w:lang w:val="en-GB"/>
              </w:rPr>
            </w:pPr>
            <w:r w:rsidRPr="00614607">
              <w:rPr>
                <w:rFonts w:eastAsia="Times New Roman" w:cs="Times New Roman"/>
                <w:sz w:val="20"/>
                <w:szCs w:val="20"/>
                <w:lang w:val="en-GB"/>
              </w:rPr>
              <w:tab/>
            </w:r>
            <w:r>
              <w:rPr>
                <w:rFonts w:eastAsia="Times New Roman" w:cs="Times New Roman"/>
                <w:sz w:val="20"/>
                <w:szCs w:val="20"/>
                <w:lang w:val="en-GB"/>
              </w:rPr>
              <w:t>Partial response rate, n (%)</w:t>
            </w:r>
          </w:p>
        </w:tc>
        <w:tc>
          <w:tcPr>
            <w:tcW w:w="2674" w:type="dxa"/>
          </w:tcPr>
          <w:p w14:paraId="6588967C" w14:textId="3388053F" w:rsidR="00213128" w:rsidRPr="00614607" w:rsidRDefault="00213128" w:rsidP="00213128">
            <w:pPr>
              <w:keepNext/>
              <w:keepLines/>
              <w:spacing w:after="0"/>
              <w:jc w:val="center"/>
              <w:rPr>
                <w:rFonts w:eastAsia="Times New Roman" w:cs="Times New Roman"/>
                <w:sz w:val="20"/>
                <w:szCs w:val="20"/>
                <w:lang w:val="en-GB"/>
              </w:rPr>
            </w:pPr>
            <w:r>
              <w:rPr>
                <w:rFonts w:eastAsia="Times New Roman" w:cs="Times New Roman"/>
                <w:sz w:val="20"/>
                <w:szCs w:val="20"/>
                <w:lang w:val="en-GB"/>
              </w:rPr>
              <w:t>95 (27)</w:t>
            </w:r>
          </w:p>
        </w:tc>
        <w:tc>
          <w:tcPr>
            <w:tcW w:w="2670" w:type="dxa"/>
          </w:tcPr>
          <w:p w14:paraId="4401EE9C" w14:textId="4050E91D" w:rsidR="00213128" w:rsidRPr="00614607" w:rsidRDefault="00213128" w:rsidP="00213128">
            <w:pPr>
              <w:keepNext/>
              <w:keepLines/>
              <w:spacing w:after="0"/>
              <w:jc w:val="center"/>
              <w:rPr>
                <w:rFonts w:eastAsia="Times New Roman" w:cs="Times New Roman"/>
                <w:sz w:val="20"/>
                <w:szCs w:val="20"/>
                <w:lang w:val="en-GB"/>
              </w:rPr>
            </w:pPr>
            <w:r>
              <w:rPr>
                <w:rFonts w:eastAsia="Times New Roman" w:cs="Times New Roman"/>
                <w:sz w:val="20"/>
                <w:szCs w:val="20"/>
                <w:lang w:val="en-GB"/>
              </w:rPr>
              <w:t>66 (18)</w:t>
            </w:r>
          </w:p>
        </w:tc>
      </w:tr>
    </w:tbl>
    <w:p w14:paraId="138E6DE1" w14:textId="35914E3A" w:rsidR="00692558" w:rsidRDefault="00692558" w:rsidP="00C55867">
      <w:pPr>
        <w:pStyle w:val="BMSTableNoteInfo"/>
        <w:spacing w:before="0"/>
        <w:rPr>
          <w:rStyle w:val="BMSSuperscript"/>
          <w:sz w:val="18"/>
          <w:szCs w:val="18"/>
        </w:rPr>
      </w:pPr>
      <w:r>
        <w:rPr>
          <w:rStyle w:val="BMSSuperscript"/>
          <w:sz w:val="18"/>
          <w:szCs w:val="18"/>
        </w:rPr>
        <w:t>CI = confidence interval; NR = not reached; NS = not significant.</w:t>
      </w:r>
    </w:p>
    <w:p w14:paraId="6079208C" w14:textId="181C2497" w:rsidR="00692558" w:rsidRDefault="00C55867" w:rsidP="00C55867">
      <w:pPr>
        <w:pStyle w:val="BMSTableNoteInfo"/>
        <w:spacing w:before="0"/>
        <w:rPr>
          <w:rStyle w:val="BMSTableNote"/>
          <w:sz w:val="18"/>
          <w:szCs w:val="18"/>
        </w:rPr>
      </w:pPr>
      <w:r w:rsidRPr="00FA1553">
        <w:rPr>
          <w:rStyle w:val="BMSSuperscript"/>
          <w:sz w:val="18"/>
          <w:szCs w:val="18"/>
        </w:rPr>
        <w:t>a</w:t>
      </w:r>
      <w:r w:rsidRPr="00FA1553">
        <w:rPr>
          <w:rStyle w:val="BMSTableNote"/>
          <w:sz w:val="18"/>
          <w:szCs w:val="18"/>
        </w:rPr>
        <w:tab/>
      </w:r>
      <w:r w:rsidR="00BD0790">
        <w:rPr>
          <w:rStyle w:val="BMSTableNote"/>
          <w:sz w:val="18"/>
          <w:szCs w:val="18"/>
        </w:rPr>
        <w:t>Final PFS analysis</w:t>
      </w:r>
      <w:r w:rsidR="00565F6D">
        <w:rPr>
          <w:rStyle w:val="BMSTableNote"/>
          <w:sz w:val="18"/>
          <w:szCs w:val="18"/>
        </w:rPr>
        <w:t xml:space="preserve"> (median follow</w:t>
      </w:r>
      <w:r w:rsidR="00271205">
        <w:rPr>
          <w:rStyle w:val="BMSTableNote"/>
          <w:sz w:val="18"/>
          <w:szCs w:val="18"/>
        </w:rPr>
        <w:t>-</w:t>
      </w:r>
      <w:r w:rsidR="00D94D79">
        <w:rPr>
          <w:rStyle w:val="BMSTableNote"/>
          <w:sz w:val="18"/>
          <w:szCs w:val="18"/>
        </w:rPr>
        <w:t xml:space="preserve">up 13.21 months </w:t>
      </w:r>
      <w:r w:rsidR="00C01AED">
        <w:rPr>
          <w:rStyle w:val="BMSTableNote"/>
          <w:sz w:val="18"/>
          <w:szCs w:val="18"/>
        </w:rPr>
        <w:t>[</w:t>
      </w:r>
      <w:r w:rsidR="00D94D79">
        <w:rPr>
          <w:rStyle w:val="BMSTableNote"/>
          <w:sz w:val="18"/>
          <w:szCs w:val="18"/>
        </w:rPr>
        <w:t>range: 0-33.1</w:t>
      </w:r>
      <w:r w:rsidR="00C01AED">
        <w:rPr>
          <w:rStyle w:val="BMSTableNote"/>
          <w:sz w:val="18"/>
          <w:szCs w:val="18"/>
        </w:rPr>
        <w:t>]</w:t>
      </w:r>
      <w:r w:rsidR="00D94D79">
        <w:rPr>
          <w:rStyle w:val="BMSTableNote"/>
          <w:sz w:val="18"/>
          <w:szCs w:val="18"/>
        </w:rPr>
        <w:t>)</w:t>
      </w:r>
      <w:r w:rsidR="00692558">
        <w:rPr>
          <w:rStyle w:val="BMSTableNote"/>
          <w:sz w:val="18"/>
          <w:szCs w:val="18"/>
        </w:rPr>
        <w:t>.</w:t>
      </w:r>
      <w:r w:rsidR="00BD0790">
        <w:rPr>
          <w:rStyle w:val="BMSTableNote"/>
          <w:sz w:val="18"/>
          <w:szCs w:val="18"/>
        </w:rPr>
        <w:t xml:space="preserve"> </w:t>
      </w:r>
      <w:r w:rsidR="00692558" w:rsidRPr="00BD0790">
        <w:rPr>
          <w:rStyle w:val="BMSTableNote"/>
          <w:sz w:val="18"/>
          <w:szCs w:val="18"/>
        </w:rPr>
        <w:t xml:space="preserve">The primary analysis of PFS accounted for subsequent therapy by censoring at the last evaluable </w:t>
      </w:r>
      <w:proofErr w:type="spellStart"/>
      <w:r w:rsidR="00692558" w:rsidRPr="00BD0790">
        <w:rPr>
          <w:rStyle w:val="BMSTableNote"/>
          <w:sz w:val="18"/>
          <w:szCs w:val="18"/>
        </w:rPr>
        <w:t>tumour</w:t>
      </w:r>
      <w:proofErr w:type="spellEnd"/>
      <w:r w:rsidR="00692558" w:rsidRPr="00BD0790">
        <w:rPr>
          <w:rStyle w:val="BMSTableNote"/>
          <w:sz w:val="18"/>
          <w:szCs w:val="18"/>
        </w:rPr>
        <w:t xml:space="preserve"> assessment on, or prior to, the date of subsequent therapy. A sensitivity analysis, irrespective of subsequent therapy was consistent with the primary PFS analysis.</w:t>
      </w:r>
      <w:r w:rsidR="00692558">
        <w:rPr>
          <w:rStyle w:val="BMSTableNote"/>
          <w:sz w:val="18"/>
          <w:szCs w:val="18"/>
        </w:rPr>
        <w:t xml:space="preserve"> </w:t>
      </w:r>
    </w:p>
    <w:p w14:paraId="435186B6" w14:textId="77777777" w:rsidR="00692558" w:rsidRPr="00FA1553" w:rsidRDefault="00C55867" w:rsidP="00692558">
      <w:pPr>
        <w:pStyle w:val="BMSTableNoteInfo"/>
        <w:spacing w:before="0"/>
        <w:rPr>
          <w:rStyle w:val="BMSSuperscript"/>
          <w:sz w:val="18"/>
          <w:szCs w:val="18"/>
        </w:rPr>
      </w:pPr>
      <w:r w:rsidRPr="00FA1553">
        <w:rPr>
          <w:rStyle w:val="BMSSuperscript"/>
          <w:sz w:val="18"/>
          <w:szCs w:val="18"/>
        </w:rPr>
        <w:t>b</w:t>
      </w:r>
      <w:r w:rsidRPr="00FA1553">
        <w:rPr>
          <w:rStyle w:val="BMSTableNote"/>
          <w:sz w:val="18"/>
          <w:szCs w:val="18"/>
        </w:rPr>
        <w:tab/>
      </w:r>
      <w:r w:rsidR="00692558">
        <w:rPr>
          <w:rStyle w:val="BMSTableNote"/>
          <w:sz w:val="18"/>
          <w:szCs w:val="18"/>
        </w:rPr>
        <w:t>A</w:t>
      </w:r>
      <w:r w:rsidR="00692558" w:rsidRPr="00FA1553">
        <w:rPr>
          <w:rStyle w:val="BMSTableNote"/>
          <w:sz w:val="18"/>
          <w:szCs w:val="18"/>
        </w:rPr>
        <w:t>ssessed by BICR</w:t>
      </w:r>
      <w:r w:rsidR="00692558">
        <w:rPr>
          <w:rStyle w:val="BMSTableNote"/>
          <w:sz w:val="18"/>
          <w:szCs w:val="18"/>
        </w:rPr>
        <w:t xml:space="preserve">. </w:t>
      </w:r>
    </w:p>
    <w:p w14:paraId="253F52A2" w14:textId="77777777" w:rsidR="00213128" w:rsidRDefault="00C55867" w:rsidP="00213128">
      <w:pPr>
        <w:pStyle w:val="BMSTableNoteInfo"/>
        <w:spacing w:before="0"/>
        <w:rPr>
          <w:rStyle w:val="BMSTableNote"/>
          <w:sz w:val="18"/>
          <w:szCs w:val="18"/>
        </w:rPr>
      </w:pPr>
      <w:r w:rsidRPr="00FA1553">
        <w:rPr>
          <w:rStyle w:val="BMSTableNote"/>
          <w:sz w:val="18"/>
          <w:szCs w:val="18"/>
        </w:rPr>
        <w:t>c</w:t>
      </w:r>
      <w:r w:rsidRPr="00FA1553">
        <w:rPr>
          <w:rStyle w:val="BMSTableNote"/>
          <w:sz w:val="18"/>
          <w:szCs w:val="18"/>
        </w:rPr>
        <w:tab/>
      </w:r>
      <w:r w:rsidR="00213128" w:rsidRPr="00FA1553">
        <w:rPr>
          <w:rStyle w:val="BMSTableNote"/>
          <w:sz w:val="18"/>
          <w:szCs w:val="18"/>
        </w:rPr>
        <w:t xml:space="preserve">Kaplan-Meier estimate </w:t>
      </w:r>
    </w:p>
    <w:p w14:paraId="4D442AB1" w14:textId="77777777" w:rsidR="00213128" w:rsidRPr="00FA1553" w:rsidRDefault="00C55867" w:rsidP="00213128">
      <w:pPr>
        <w:pStyle w:val="BMSTableNoteInfo"/>
        <w:spacing w:before="0"/>
        <w:rPr>
          <w:rStyle w:val="BMSTableNote"/>
          <w:sz w:val="18"/>
          <w:szCs w:val="18"/>
        </w:rPr>
      </w:pPr>
      <w:r w:rsidRPr="00FA1553">
        <w:rPr>
          <w:rStyle w:val="BMSTableNote"/>
          <w:sz w:val="18"/>
          <w:szCs w:val="18"/>
        </w:rPr>
        <w:t>d</w:t>
      </w:r>
      <w:r w:rsidRPr="00FA1553">
        <w:rPr>
          <w:rStyle w:val="BMSTableNote"/>
          <w:sz w:val="18"/>
          <w:szCs w:val="18"/>
        </w:rPr>
        <w:tab/>
      </w:r>
      <w:r w:rsidR="00213128" w:rsidRPr="00FA1553">
        <w:rPr>
          <w:rStyle w:val="BMSTableNote"/>
          <w:sz w:val="18"/>
          <w:szCs w:val="18"/>
        </w:rPr>
        <w:t>Based on stratified Cox proportional hazard model.</w:t>
      </w:r>
    </w:p>
    <w:p w14:paraId="1FC21BBA" w14:textId="77777777" w:rsidR="00213128" w:rsidRDefault="00BD0790" w:rsidP="00213128">
      <w:pPr>
        <w:pStyle w:val="BMSTableNoteInfo"/>
        <w:spacing w:before="0"/>
        <w:rPr>
          <w:rStyle w:val="BMSTableNote"/>
          <w:sz w:val="18"/>
          <w:szCs w:val="18"/>
        </w:rPr>
      </w:pPr>
      <w:r>
        <w:rPr>
          <w:rStyle w:val="BMSTableNote"/>
          <w:sz w:val="18"/>
          <w:szCs w:val="18"/>
        </w:rPr>
        <w:t>e</w:t>
      </w:r>
      <w:r w:rsidRPr="00FA1553">
        <w:rPr>
          <w:rStyle w:val="BMSTableNote"/>
          <w:sz w:val="18"/>
          <w:szCs w:val="18"/>
        </w:rPr>
        <w:tab/>
      </w:r>
      <w:r w:rsidR="00213128" w:rsidRPr="00FA1553">
        <w:rPr>
          <w:rStyle w:val="BMSTableNote"/>
          <w:sz w:val="18"/>
          <w:szCs w:val="18"/>
        </w:rPr>
        <w:t>Based on stratified log-rank test</w:t>
      </w:r>
    </w:p>
    <w:p w14:paraId="27E7B1A5" w14:textId="24486379" w:rsidR="00213128" w:rsidRDefault="00BD0790" w:rsidP="00213128">
      <w:pPr>
        <w:pStyle w:val="BMSTableNoteInfo"/>
        <w:spacing w:before="0"/>
        <w:rPr>
          <w:rStyle w:val="BMSTableNote"/>
          <w:sz w:val="18"/>
          <w:szCs w:val="18"/>
        </w:rPr>
      </w:pPr>
      <w:r>
        <w:rPr>
          <w:rStyle w:val="BMSTableNote"/>
          <w:sz w:val="18"/>
          <w:szCs w:val="18"/>
        </w:rPr>
        <w:lastRenderedPageBreak/>
        <w:t>f</w:t>
      </w:r>
      <w:r>
        <w:rPr>
          <w:rStyle w:val="BMSTableNote"/>
          <w:sz w:val="18"/>
          <w:szCs w:val="18"/>
        </w:rPr>
        <w:tab/>
      </w:r>
      <w:proofErr w:type="gramStart"/>
      <w:r w:rsidR="00213128">
        <w:rPr>
          <w:rStyle w:val="BMSTableNote"/>
          <w:sz w:val="18"/>
          <w:szCs w:val="18"/>
        </w:rPr>
        <w:t>At</w:t>
      </w:r>
      <w:proofErr w:type="gramEnd"/>
      <w:r w:rsidR="00213128">
        <w:rPr>
          <w:rStyle w:val="BMSTableNote"/>
          <w:sz w:val="18"/>
          <w:szCs w:val="18"/>
        </w:rPr>
        <w:t xml:space="preserve"> the time of final</w:t>
      </w:r>
      <w:r w:rsidR="00213128" w:rsidRPr="00BD0790">
        <w:rPr>
          <w:rStyle w:val="BMSTableNote"/>
          <w:sz w:val="18"/>
          <w:szCs w:val="18"/>
        </w:rPr>
        <w:t xml:space="preserve"> OS analysis, which was event-driven and occurred after the final PFS analysis</w:t>
      </w:r>
      <w:r w:rsidR="00580A99">
        <w:rPr>
          <w:rStyle w:val="BMSTableNote"/>
          <w:sz w:val="18"/>
          <w:szCs w:val="18"/>
        </w:rPr>
        <w:t xml:space="preserve"> </w:t>
      </w:r>
      <w:r w:rsidR="00400B0B">
        <w:rPr>
          <w:rStyle w:val="BMSTableNote"/>
          <w:sz w:val="18"/>
          <w:szCs w:val="18"/>
        </w:rPr>
        <w:t>with</w:t>
      </w:r>
      <w:r w:rsidR="00580A99">
        <w:rPr>
          <w:rStyle w:val="BMSTableNote"/>
          <w:sz w:val="18"/>
          <w:szCs w:val="18"/>
        </w:rPr>
        <w:t xml:space="preserve"> a median follow</w:t>
      </w:r>
      <w:r w:rsidR="00271205">
        <w:rPr>
          <w:rStyle w:val="BMSTableNote"/>
          <w:sz w:val="18"/>
          <w:szCs w:val="18"/>
        </w:rPr>
        <w:t>-up of 19.3 months (range 0.3-41.4)</w:t>
      </w:r>
      <w:r w:rsidR="00213128" w:rsidRPr="00BD0790">
        <w:rPr>
          <w:rStyle w:val="BMSTableNote"/>
          <w:sz w:val="18"/>
          <w:szCs w:val="18"/>
        </w:rPr>
        <w:t>.</w:t>
      </w:r>
    </w:p>
    <w:p w14:paraId="38FB38D6" w14:textId="77777777" w:rsidR="00213128" w:rsidRDefault="00BD0790" w:rsidP="00213128">
      <w:pPr>
        <w:pStyle w:val="BMSTableNoteInfo"/>
        <w:spacing w:before="0"/>
        <w:ind w:left="0" w:firstLine="0"/>
        <w:rPr>
          <w:rStyle w:val="BMSTableNote"/>
          <w:sz w:val="18"/>
          <w:szCs w:val="18"/>
        </w:rPr>
      </w:pPr>
      <w:r w:rsidRPr="00E55F90">
        <w:rPr>
          <w:rStyle w:val="BMSTableNote"/>
          <w:sz w:val="18"/>
          <w:szCs w:val="18"/>
        </w:rPr>
        <w:t>g</w:t>
      </w:r>
      <w:r>
        <w:rPr>
          <w:rStyle w:val="BMSTableNote"/>
          <w:sz w:val="18"/>
          <w:szCs w:val="18"/>
        </w:rPr>
        <w:tab/>
      </w:r>
      <w:r w:rsidR="00213128">
        <w:rPr>
          <w:rStyle w:val="BMSTableNote"/>
          <w:sz w:val="18"/>
          <w:szCs w:val="18"/>
        </w:rPr>
        <w:t>A</w:t>
      </w:r>
      <w:r w:rsidR="00213128" w:rsidRPr="00AE3994">
        <w:rPr>
          <w:rStyle w:val="BMSTableNote"/>
          <w:sz w:val="18"/>
          <w:szCs w:val="18"/>
        </w:rPr>
        <w:t>lpha level 0.04302.</w:t>
      </w:r>
    </w:p>
    <w:p w14:paraId="74F6B9D6" w14:textId="4450AD30" w:rsidR="00BD0790" w:rsidRPr="00BD0790" w:rsidRDefault="00213128" w:rsidP="00E55F90">
      <w:pPr>
        <w:pStyle w:val="BMSTableNoteInfo"/>
        <w:spacing w:before="0"/>
        <w:ind w:left="0" w:firstLine="0"/>
        <w:rPr>
          <w:rStyle w:val="BMSTableNote"/>
          <w:sz w:val="18"/>
          <w:szCs w:val="18"/>
        </w:rPr>
      </w:pPr>
      <w:r>
        <w:rPr>
          <w:rStyle w:val="BMSTableNote"/>
          <w:sz w:val="18"/>
          <w:szCs w:val="18"/>
        </w:rPr>
        <w:t>h</w:t>
      </w:r>
      <w:r>
        <w:rPr>
          <w:rStyle w:val="BMSTableNote"/>
          <w:sz w:val="18"/>
          <w:szCs w:val="18"/>
        </w:rPr>
        <w:tab/>
      </w:r>
      <w:r w:rsidR="00692558" w:rsidRPr="00692558">
        <w:rPr>
          <w:rStyle w:val="BMSTableNote"/>
          <w:sz w:val="18"/>
          <w:szCs w:val="18"/>
        </w:rPr>
        <w:t>Not formally tested based on the testing hierarchy.</w:t>
      </w:r>
    </w:p>
    <w:p w14:paraId="5C670125" w14:textId="1D6A8418" w:rsidR="006E513F" w:rsidRDefault="006E513F" w:rsidP="00E55F90">
      <w:pPr>
        <w:pStyle w:val="BMSTableNoteInfo"/>
        <w:ind w:left="0" w:firstLine="0"/>
        <w:rPr>
          <w:noProof/>
        </w:rPr>
      </w:pPr>
    </w:p>
    <w:p w14:paraId="0688349F" w14:textId="7411BD2B" w:rsidR="00543FBC" w:rsidRPr="00DF1788" w:rsidRDefault="006E513F" w:rsidP="00643944">
      <w:pPr>
        <w:rPr>
          <w:color w:val="000000"/>
        </w:rPr>
      </w:pPr>
      <w:r w:rsidRPr="00DF1788">
        <w:rPr>
          <w:color w:val="000000"/>
        </w:rPr>
        <w:t>In exploratory analys</w:t>
      </w:r>
      <w:r w:rsidR="00550321" w:rsidRPr="00DF1788">
        <w:rPr>
          <w:color w:val="000000"/>
        </w:rPr>
        <w:t>e</w:t>
      </w:r>
      <w:r w:rsidRPr="00DF1788">
        <w:rPr>
          <w:color w:val="000000"/>
        </w:rPr>
        <w:t>s</w:t>
      </w:r>
      <w:r w:rsidR="00550321" w:rsidRPr="00DF1788">
        <w:rPr>
          <w:color w:val="000000"/>
        </w:rPr>
        <w:t>,</w:t>
      </w:r>
      <w:r w:rsidRPr="00DF1788">
        <w:rPr>
          <w:color w:val="000000"/>
        </w:rPr>
        <w:t xml:space="preserve"> </w:t>
      </w:r>
      <w:r w:rsidR="00550321" w:rsidRPr="00DF1788">
        <w:rPr>
          <w:color w:val="000000"/>
        </w:rPr>
        <w:t xml:space="preserve">hazard ratio (HR) point estimates for PFS favoured OPDUALAG across </w:t>
      </w:r>
      <w:r w:rsidRPr="00DF1788">
        <w:rPr>
          <w:color w:val="000000"/>
        </w:rPr>
        <w:t xml:space="preserve">pre-specified subgroups, </w:t>
      </w:r>
      <w:r w:rsidR="00550321" w:rsidRPr="00DF1788">
        <w:rPr>
          <w:color w:val="000000"/>
        </w:rPr>
        <w:t>including those</w:t>
      </w:r>
      <w:r w:rsidRPr="00DF1788">
        <w:rPr>
          <w:color w:val="000000"/>
        </w:rPr>
        <w:t xml:space="preserve"> defined by the study stratification factors (PD</w:t>
      </w:r>
      <w:r w:rsidRPr="00DF1788">
        <w:rPr>
          <w:color w:val="000000"/>
        </w:rPr>
        <w:noBreakHyphen/>
        <w:t>L1, LAG</w:t>
      </w:r>
      <w:r w:rsidRPr="00DF1788">
        <w:rPr>
          <w:color w:val="000000"/>
        </w:rPr>
        <w:noBreakHyphen/>
        <w:t>3 and BRAF status, and M</w:t>
      </w:r>
      <w:r w:rsidRPr="00DF1788">
        <w:rPr>
          <w:color w:val="000000"/>
        </w:rPr>
        <w:noBreakHyphen/>
        <w:t xml:space="preserve">stage per AJCC version 8), and key clinical subgroups including baseline ECOG performance status, age, history of brain metastases, and baseline LDH level. </w:t>
      </w:r>
    </w:p>
    <w:p w14:paraId="047119F0" w14:textId="7546DAD2" w:rsidR="006E513F" w:rsidRDefault="006E513F" w:rsidP="00643944">
      <w:r w:rsidRPr="00DF1788">
        <w:rPr>
          <w:color w:val="000000"/>
        </w:rPr>
        <w:t xml:space="preserve">In the PD-L1 &lt;1% subgroup, the HR </w:t>
      </w:r>
      <w:r w:rsidR="00550321" w:rsidRPr="00DF1788">
        <w:rPr>
          <w:color w:val="000000"/>
        </w:rPr>
        <w:t xml:space="preserve">(95% CI) </w:t>
      </w:r>
      <w:r w:rsidRPr="00DF1788">
        <w:rPr>
          <w:color w:val="000000"/>
        </w:rPr>
        <w:t xml:space="preserve">for PFS was </w:t>
      </w:r>
      <w:r w:rsidR="009C3FA6" w:rsidRPr="00DF1788">
        <w:rPr>
          <w:color w:val="000000"/>
        </w:rPr>
        <w:t xml:space="preserve">0.66 </w:t>
      </w:r>
      <w:r w:rsidRPr="00DF1788">
        <w:rPr>
          <w:color w:val="000000"/>
        </w:rPr>
        <w:t>(</w:t>
      </w:r>
      <w:r w:rsidR="009C3FA6" w:rsidRPr="00DF1788">
        <w:rPr>
          <w:color w:val="000000"/>
        </w:rPr>
        <w:t>0.51, 0.84</w:t>
      </w:r>
      <w:r w:rsidRPr="00DF1788">
        <w:rPr>
          <w:color w:val="000000"/>
        </w:rPr>
        <w:t xml:space="preserve">) with median PFS of </w:t>
      </w:r>
      <w:r w:rsidR="0004054E" w:rsidRPr="00DF1788">
        <w:rPr>
          <w:color w:val="000000"/>
        </w:rPr>
        <w:t>6.</w:t>
      </w:r>
      <w:r w:rsidR="00B462FC">
        <w:rPr>
          <w:color w:val="000000"/>
        </w:rPr>
        <w:t>4</w:t>
      </w:r>
      <w:r w:rsidRPr="00DF1788">
        <w:rPr>
          <w:color w:val="000000"/>
        </w:rPr>
        <w:t xml:space="preserve"> and </w:t>
      </w:r>
      <w:r w:rsidR="0004054E" w:rsidRPr="00DF1788">
        <w:rPr>
          <w:color w:val="000000"/>
        </w:rPr>
        <w:t>2.9</w:t>
      </w:r>
      <w:r w:rsidRPr="00DF1788">
        <w:rPr>
          <w:color w:val="000000"/>
        </w:rPr>
        <w:t xml:space="preserve"> months for the OPDUALAG and nivolumab arms, respectively. In the PD-L1 </w:t>
      </w:r>
      <w:r w:rsidRPr="00DF1788">
        <w:rPr>
          <w:rFonts w:cs="Times New Roman"/>
          <w:color w:val="000000"/>
        </w:rPr>
        <w:t>≥</w:t>
      </w:r>
      <w:r w:rsidRPr="00DF1788">
        <w:rPr>
          <w:color w:val="000000"/>
        </w:rPr>
        <w:t xml:space="preserve">1% subgroup, the HR for PFS was </w:t>
      </w:r>
      <w:r w:rsidR="0004054E" w:rsidRPr="00DF1788">
        <w:rPr>
          <w:color w:val="000000"/>
        </w:rPr>
        <w:t>0.95</w:t>
      </w:r>
      <w:r w:rsidRPr="00DF1788">
        <w:rPr>
          <w:color w:val="000000"/>
        </w:rPr>
        <w:t xml:space="preserve"> (95% CI: </w:t>
      </w:r>
      <w:r w:rsidR="009437C7" w:rsidRPr="00DF1788">
        <w:rPr>
          <w:color w:val="000000"/>
        </w:rPr>
        <w:t>0.68</w:t>
      </w:r>
      <w:r w:rsidRPr="00DF1788">
        <w:rPr>
          <w:color w:val="000000"/>
        </w:rPr>
        <w:t xml:space="preserve">, </w:t>
      </w:r>
      <w:r w:rsidR="009437C7" w:rsidRPr="00DF1788">
        <w:rPr>
          <w:color w:val="000000"/>
        </w:rPr>
        <w:t>1.33</w:t>
      </w:r>
      <w:r w:rsidRPr="00DF1788">
        <w:rPr>
          <w:color w:val="000000"/>
        </w:rPr>
        <w:t xml:space="preserve">) with median PFS of </w:t>
      </w:r>
      <w:r w:rsidR="009437C7" w:rsidRPr="00DF1788">
        <w:rPr>
          <w:color w:val="000000"/>
        </w:rPr>
        <w:t>15.7</w:t>
      </w:r>
      <w:r w:rsidRPr="00DF1788">
        <w:rPr>
          <w:color w:val="000000"/>
        </w:rPr>
        <w:t xml:space="preserve"> and </w:t>
      </w:r>
      <w:r w:rsidR="009437C7" w:rsidRPr="00DF1788">
        <w:rPr>
          <w:color w:val="000000"/>
        </w:rPr>
        <w:t>14.7</w:t>
      </w:r>
      <w:r w:rsidRPr="00DF1788">
        <w:rPr>
          <w:color w:val="000000"/>
        </w:rPr>
        <w:t xml:space="preserve"> months for the OPDUALAG and nivolumab arms, respectively</w:t>
      </w:r>
      <w:r w:rsidRPr="00DF1788">
        <w:t>.</w:t>
      </w:r>
    </w:p>
    <w:p w14:paraId="678F2BB0" w14:textId="4FC4ACB6" w:rsidR="001A3992" w:rsidRPr="00DF1788" w:rsidRDefault="00E61227" w:rsidP="0083119C">
      <w:pPr>
        <w:pStyle w:val="Heading2"/>
      </w:pPr>
      <w:r w:rsidRPr="00DF1788">
        <w:t>Pharmacokinetic properties</w:t>
      </w:r>
    </w:p>
    <w:p w14:paraId="31A7E00C" w14:textId="057E7D14" w:rsidR="002E15A6" w:rsidRPr="00DF1788" w:rsidRDefault="002E15A6" w:rsidP="002E15A6">
      <w:r w:rsidRPr="00DF1788">
        <w:t xml:space="preserve">The pharmacokinetics (PK) of </w:t>
      </w:r>
      <w:proofErr w:type="spellStart"/>
      <w:r w:rsidRPr="00DF1788">
        <w:t>relatlimab</w:t>
      </w:r>
      <w:proofErr w:type="spellEnd"/>
      <w:r w:rsidRPr="00DF1788">
        <w:t xml:space="preserve"> following </w:t>
      </w:r>
      <w:r w:rsidR="00E91FFF" w:rsidRPr="00DF1788">
        <w:t xml:space="preserve">its </w:t>
      </w:r>
      <w:r w:rsidRPr="00DF1788">
        <w:t xml:space="preserve">administration </w:t>
      </w:r>
      <w:r w:rsidR="00E91FFF" w:rsidRPr="00DF1788">
        <w:t xml:space="preserve">in combination with </w:t>
      </w:r>
      <w:r w:rsidR="00ED0F82" w:rsidRPr="00DF1788">
        <w:t>nivolumab</w:t>
      </w:r>
      <w:r w:rsidRPr="00DF1788">
        <w:t xml:space="preserve"> was characteri</w:t>
      </w:r>
      <w:r w:rsidR="00223B08" w:rsidRPr="00DF1788">
        <w:t>s</w:t>
      </w:r>
      <w:r w:rsidRPr="00DF1788">
        <w:t xml:space="preserve">ed in patients with various cancers who received </w:t>
      </w:r>
      <w:proofErr w:type="spellStart"/>
      <w:r w:rsidRPr="00DF1788">
        <w:t>relatlimab</w:t>
      </w:r>
      <w:proofErr w:type="spellEnd"/>
      <w:r w:rsidRPr="00DF1788">
        <w:t xml:space="preserve"> doses of 20 to 800 mg every 2 weeks </w:t>
      </w:r>
      <w:r w:rsidR="00E91FFF" w:rsidRPr="00DF1788">
        <w:t xml:space="preserve">(0.25 to 10 times the approved recommended dose) or </w:t>
      </w:r>
      <w:r w:rsidRPr="00DF1788">
        <w:t xml:space="preserve">160 to 1440 mg every 4 weeks </w:t>
      </w:r>
      <w:r w:rsidR="00E91FFF" w:rsidRPr="00DF1788">
        <w:t xml:space="preserve">(1 to 9 times the approved recommended dose) </w:t>
      </w:r>
      <w:r w:rsidRPr="00DF1788">
        <w:t>either as a monotherapy or in combination with nivolumab doses of 80 or 240 mg every 2 weeks or 480 mg every 4 weeks.</w:t>
      </w:r>
    </w:p>
    <w:p w14:paraId="7091510F" w14:textId="73708183" w:rsidR="00406083" w:rsidRDefault="002E15A6" w:rsidP="002E15A6">
      <w:r w:rsidRPr="00DF1788">
        <w:t xml:space="preserve">Steady-state concentrations of </w:t>
      </w:r>
      <w:proofErr w:type="spellStart"/>
      <w:r w:rsidRPr="00DF1788">
        <w:t>relatlimab</w:t>
      </w:r>
      <w:proofErr w:type="spellEnd"/>
      <w:r w:rsidRPr="00DF1788">
        <w:t xml:space="preserve"> were reached by 16 weeks with an </w:t>
      </w:r>
      <w:r w:rsidR="00E91FFF" w:rsidRPr="00DF1788">
        <w:t>every-4-</w:t>
      </w:r>
      <w:r w:rsidRPr="00DF1788">
        <w:t>week</w:t>
      </w:r>
      <w:r w:rsidR="00E91FFF" w:rsidRPr="00DF1788">
        <w:t>s</w:t>
      </w:r>
      <w:r w:rsidRPr="00DF1788">
        <w:t xml:space="preserve"> regimen and the systemic accumulation was 1.9</w:t>
      </w:r>
      <w:r w:rsidR="00E91FFF" w:rsidRPr="00DF1788">
        <w:t>-</w:t>
      </w:r>
      <w:r w:rsidRPr="00DF1788">
        <w:t>fold. The average concentration (</w:t>
      </w:r>
      <w:proofErr w:type="spellStart"/>
      <w:r w:rsidRPr="00DF1788">
        <w:t>Cavg</w:t>
      </w:r>
      <w:proofErr w:type="spellEnd"/>
      <w:r w:rsidRPr="00DF1788">
        <w:t xml:space="preserve">) of </w:t>
      </w:r>
      <w:proofErr w:type="spellStart"/>
      <w:r w:rsidRPr="00DF1788">
        <w:t>relatlimab</w:t>
      </w:r>
      <w:proofErr w:type="spellEnd"/>
      <w:r w:rsidRPr="00DF1788">
        <w:t xml:space="preserve"> after the first dose increased dose proportionally at doses ≥160 mg every 4 weeks.</w:t>
      </w:r>
    </w:p>
    <w:tbl>
      <w:tblPr>
        <w:tblW w:w="5000" w:type="pct"/>
        <w:tblLayout w:type="fixed"/>
        <w:tblLook w:val="0000" w:firstRow="0" w:lastRow="0" w:firstColumn="0" w:lastColumn="0" w:noHBand="0" w:noVBand="0"/>
      </w:tblPr>
      <w:tblGrid>
        <w:gridCol w:w="2255"/>
        <w:gridCol w:w="2257"/>
        <w:gridCol w:w="2257"/>
        <w:gridCol w:w="2257"/>
      </w:tblGrid>
      <w:tr w:rsidR="000053DB" w:rsidRPr="00DF1788" w14:paraId="585A0EDF" w14:textId="77777777" w:rsidTr="00532AD1">
        <w:trPr>
          <w:tblHeader/>
        </w:trPr>
        <w:tc>
          <w:tcPr>
            <w:tcW w:w="9071" w:type="dxa"/>
            <w:gridSpan w:val="4"/>
            <w:tcBorders>
              <w:bottom w:val="single" w:sz="4" w:space="0" w:color="auto"/>
            </w:tcBorders>
            <w:shd w:val="clear" w:color="auto" w:fill="auto"/>
            <w:vAlign w:val="center"/>
          </w:tcPr>
          <w:p w14:paraId="71FED5B9" w14:textId="3E25653E" w:rsidR="000053DB" w:rsidRPr="00DF1788" w:rsidRDefault="000053DB" w:rsidP="00532AD1">
            <w:pPr>
              <w:pStyle w:val="BMSTableTitle"/>
              <w:ind w:left="1080" w:hanging="1080"/>
              <w:rPr>
                <w:sz w:val="22"/>
                <w:szCs w:val="22"/>
              </w:rPr>
            </w:pPr>
            <w:bookmarkStart w:id="8" w:name="YLD_TBL_bY8uA"/>
            <w:r w:rsidRPr="00DF1788">
              <w:rPr>
                <w:bCs/>
                <w:sz w:val="22"/>
                <w:szCs w:val="22"/>
              </w:rPr>
              <w:t xml:space="preserve">Table </w:t>
            </w:r>
            <w:bookmarkEnd w:id="8"/>
            <w:r w:rsidR="0056216F" w:rsidRPr="00DF1788">
              <w:rPr>
                <w:bCs/>
                <w:sz w:val="22"/>
                <w:szCs w:val="22"/>
              </w:rPr>
              <w:t>4</w:t>
            </w:r>
            <w:r w:rsidRPr="00DF1788">
              <w:rPr>
                <w:bCs/>
                <w:sz w:val="22"/>
                <w:szCs w:val="22"/>
              </w:rPr>
              <w:t>:</w:t>
            </w:r>
            <w:r w:rsidRPr="00DF1788">
              <w:rPr>
                <w:bCs/>
                <w:sz w:val="22"/>
                <w:szCs w:val="22"/>
              </w:rPr>
              <w:tab/>
              <w:t xml:space="preserve">Geometric </w:t>
            </w:r>
            <w:r w:rsidR="00223B08" w:rsidRPr="00DF1788">
              <w:rPr>
                <w:bCs/>
                <w:sz w:val="22"/>
                <w:szCs w:val="22"/>
              </w:rPr>
              <w:t>m</w:t>
            </w:r>
            <w:r w:rsidRPr="00DF1788">
              <w:rPr>
                <w:bCs/>
                <w:sz w:val="22"/>
                <w:szCs w:val="22"/>
              </w:rPr>
              <w:t xml:space="preserve">ean (CV%) of </w:t>
            </w:r>
            <w:proofErr w:type="spellStart"/>
            <w:r w:rsidR="00223B08" w:rsidRPr="00DF1788">
              <w:rPr>
                <w:bCs/>
                <w:sz w:val="22"/>
                <w:szCs w:val="22"/>
              </w:rPr>
              <w:t>r</w:t>
            </w:r>
            <w:r w:rsidRPr="00DF1788">
              <w:rPr>
                <w:bCs/>
                <w:sz w:val="22"/>
                <w:szCs w:val="22"/>
              </w:rPr>
              <w:t>elatlimab</w:t>
            </w:r>
            <w:proofErr w:type="spellEnd"/>
            <w:r w:rsidRPr="00DF1788">
              <w:rPr>
                <w:bCs/>
                <w:sz w:val="22"/>
                <w:szCs w:val="22"/>
              </w:rPr>
              <w:t xml:space="preserve"> and </w:t>
            </w:r>
            <w:r w:rsidR="00891836" w:rsidRPr="00DF1788">
              <w:rPr>
                <w:bCs/>
                <w:sz w:val="22"/>
                <w:szCs w:val="22"/>
              </w:rPr>
              <w:t>n</w:t>
            </w:r>
            <w:r w:rsidRPr="00DF1788">
              <w:rPr>
                <w:bCs/>
                <w:sz w:val="22"/>
                <w:szCs w:val="22"/>
              </w:rPr>
              <w:t xml:space="preserve">ivolumab </w:t>
            </w:r>
            <w:r w:rsidR="00891836" w:rsidRPr="00DF1788">
              <w:rPr>
                <w:bCs/>
                <w:sz w:val="22"/>
                <w:szCs w:val="22"/>
              </w:rPr>
              <w:t>s</w:t>
            </w:r>
            <w:r w:rsidRPr="00DF1788">
              <w:rPr>
                <w:bCs/>
                <w:sz w:val="22"/>
                <w:szCs w:val="22"/>
              </w:rPr>
              <w:t xml:space="preserve">teady-state </w:t>
            </w:r>
            <w:r w:rsidR="00891836" w:rsidRPr="00DF1788">
              <w:rPr>
                <w:bCs/>
                <w:sz w:val="22"/>
                <w:szCs w:val="22"/>
              </w:rPr>
              <w:t>e</w:t>
            </w:r>
            <w:r w:rsidRPr="00DF1788">
              <w:rPr>
                <w:bCs/>
                <w:sz w:val="22"/>
                <w:szCs w:val="22"/>
              </w:rPr>
              <w:t xml:space="preserve">xposures </w:t>
            </w:r>
            <w:r w:rsidR="00891836" w:rsidRPr="00DF1788">
              <w:rPr>
                <w:bCs/>
                <w:sz w:val="22"/>
                <w:szCs w:val="22"/>
              </w:rPr>
              <w:t>f</w:t>
            </w:r>
            <w:r w:rsidRPr="00DF1788">
              <w:rPr>
                <w:bCs/>
                <w:sz w:val="22"/>
                <w:szCs w:val="22"/>
              </w:rPr>
              <w:t xml:space="preserve">ollowing 160 mg </w:t>
            </w:r>
            <w:proofErr w:type="spellStart"/>
            <w:r w:rsidR="00891836" w:rsidRPr="00DF1788">
              <w:rPr>
                <w:bCs/>
                <w:sz w:val="22"/>
                <w:szCs w:val="22"/>
              </w:rPr>
              <w:t>r</w:t>
            </w:r>
            <w:r w:rsidRPr="00DF1788">
              <w:rPr>
                <w:bCs/>
                <w:sz w:val="22"/>
                <w:szCs w:val="22"/>
              </w:rPr>
              <w:t>elatlimab</w:t>
            </w:r>
            <w:proofErr w:type="spellEnd"/>
            <w:r w:rsidRPr="00DF1788">
              <w:rPr>
                <w:bCs/>
                <w:sz w:val="22"/>
                <w:szCs w:val="22"/>
              </w:rPr>
              <w:t xml:space="preserve"> and 480 mg </w:t>
            </w:r>
            <w:r w:rsidR="00891836" w:rsidRPr="00DF1788">
              <w:rPr>
                <w:bCs/>
                <w:sz w:val="22"/>
                <w:szCs w:val="22"/>
              </w:rPr>
              <w:t>n</w:t>
            </w:r>
            <w:r w:rsidRPr="00DF1788">
              <w:rPr>
                <w:bCs/>
                <w:sz w:val="22"/>
                <w:szCs w:val="22"/>
              </w:rPr>
              <w:t xml:space="preserve">ivolumab </w:t>
            </w:r>
            <w:r w:rsidR="00891836" w:rsidRPr="00DF1788">
              <w:rPr>
                <w:bCs/>
                <w:sz w:val="22"/>
                <w:szCs w:val="22"/>
              </w:rPr>
              <w:t>f</w:t>
            </w:r>
            <w:r w:rsidRPr="00DF1788">
              <w:rPr>
                <w:bCs/>
                <w:sz w:val="22"/>
                <w:szCs w:val="22"/>
              </w:rPr>
              <w:t xml:space="preserve">ixed </w:t>
            </w:r>
            <w:r w:rsidR="00891836" w:rsidRPr="00DF1788">
              <w:rPr>
                <w:bCs/>
                <w:sz w:val="22"/>
                <w:szCs w:val="22"/>
              </w:rPr>
              <w:t>d</w:t>
            </w:r>
            <w:r w:rsidRPr="00DF1788">
              <w:rPr>
                <w:bCs/>
                <w:sz w:val="22"/>
                <w:szCs w:val="22"/>
              </w:rPr>
              <w:t xml:space="preserve">ose </w:t>
            </w:r>
            <w:r w:rsidR="00891836" w:rsidRPr="00DF1788">
              <w:rPr>
                <w:bCs/>
                <w:sz w:val="22"/>
                <w:szCs w:val="22"/>
              </w:rPr>
              <w:t>c</w:t>
            </w:r>
            <w:r w:rsidRPr="00DF1788">
              <w:rPr>
                <w:bCs/>
                <w:sz w:val="22"/>
                <w:szCs w:val="22"/>
              </w:rPr>
              <w:t xml:space="preserve">ombination </w:t>
            </w:r>
            <w:r w:rsidR="00891836" w:rsidRPr="00DF1788">
              <w:rPr>
                <w:bCs/>
                <w:sz w:val="22"/>
                <w:szCs w:val="22"/>
              </w:rPr>
              <w:t>e</w:t>
            </w:r>
            <w:r w:rsidRPr="00DF1788">
              <w:rPr>
                <w:bCs/>
                <w:sz w:val="22"/>
                <w:szCs w:val="22"/>
              </w:rPr>
              <w:t>very 4 </w:t>
            </w:r>
            <w:r w:rsidR="00E91FFF" w:rsidRPr="00DF1788">
              <w:rPr>
                <w:bCs/>
                <w:sz w:val="22"/>
                <w:szCs w:val="22"/>
              </w:rPr>
              <w:t>w</w:t>
            </w:r>
            <w:r w:rsidRPr="00DF1788">
              <w:rPr>
                <w:bCs/>
                <w:sz w:val="22"/>
                <w:szCs w:val="22"/>
              </w:rPr>
              <w:t>eeks</w:t>
            </w:r>
          </w:p>
        </w:tc>
      </w:tr>
      <w:tr w:rsidR="000053DB" w:rsidRPr="00DF1788" w14:paraId="69A61BFD" w14:textId="77777777" w:rsidTr="00532AD1">
        <w:trPr>
          <w:tblHeader/>
        </w:trPr>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14:paraId="11F953D0" w14:textId="77777777" w:rsidR="000053DB" w:rsidRPr="00DF1788" w:rsidRDefault="000053DB" w:rsidP="00532AD1">
            <w:pPr>
              <w:pStyle w:val="BMSTableHeader"/>
              <w:jc w:val="lef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510FB07" w14:textId="77777777" w:rsidR="000053DB" w:rsidRPr="00DF1788" w:rsidRDefault="000053DB" w:rsidP="00532AD1">
            <w:pPr>
              <w:pStyle w:val="BMSTableHeader"/>
              <w:rPr>
                <w:lang w:val="en-US"/>
              </w:rPr>
            </w:pPr>
            <w:proofErr w:type="spellStart"/>
            <w:r w:rsidRPr="00DF1788">
              <w:rPr>
                <w:lang w:val="en-US"/>
              </w:rPr>
              <w:t>C</w:t>
            </w:r>
            <w:r w:rsidRPr="00DF1788">
              <w:rPr>
                <w:rFonts w:ascii="Times New Roman Bold" w:hAnsi="Times New Roman Bold"/>
                <w:vertAlign w:val="subscript"/>
                <w:lang w:val="en-US"/>
              </w:rPr>
              <w:t>max</w:t>
            </w:r>
            <w:proofErr w:type="spellEnd"/>
            <w:r w:rsidRPr="00DF1788">
              <w:rPr>
                <w:lang w:val="en-US"/>
              </w:rPr>
              <w:t xml:space="preserve"> (</w:t>
            </w:r>
            <w:proofErr w:type="spellStart"/>
            <w:r w:rsidRPr="00DF1788">
              <w:rPr>
                <w:lang w:val="en-US"/>
              </w:rPr>
              <w:t>μg</w:t>
            </w:r>
            <w:proofErr w:type="spellEnd"/>
            <w:r w:rsidRPr="00DF1788">
              <w:rPr>
                <w:lang w:val="en-US"/>
              </w:rPr>
              <w:t>/mL)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77AF251" w14:textId="77777777" w:rsidR="000053DB" w:rsidRPr="00DF1788" w:rsidRDefault="000053DB" w:rsidP="00532AD1">
            <w:pPr>
              <w:pStyle w:val="BMSTableHeader"/>
              <w:rPr>
                <w:lang w:val="en-US"/>
              </w:rPr>
            </w:pPr>
            <w:proofErr w:type="spellStart"/>
            <w:r w:rsidRPr="00DF1788">
              <w:rPr>
                <w:lang w:val="en-US"/>
              </w:rPr>
              <w:t>C</w:t>
            </w:r>
            <w:r w:rsidRPr="00DF1788">
              <w:rPr>
                <w:rFonts w:ascii="Times New Roman Bold" w:hAnsi="Times New Roman Bold"/>
                <w:vertAlign w:val="subscript"/>
                <w:lang w:val="en-US"/>
              </w:rPr>
              <w:t>min</w:t>
            </w:r>
            <w:proofErr w:type="spellEnd"/>
            <w:r w:rsidRPr="00DF1788">
              <w:rPr>
                <w:lang w:val="en-US"/>
              </w:rPr>
              <w:t xml:space="preserve"> (</w:t>
            </w:r>
            <w:proofErr w:type="spellStart"/>
            <w:r w:rsidRPr="00DF1788">
              <w:rPr>
                <w:lang w:val="en-US"/>
              </w:rPr>
              <w:t>μg</w:t>
            </w:r>
            <w:proofErr w:type="spellEnd"/>
            <w:r w:rsidRPr="00DF1788">
              <w:rPr>
                <w:lang w:val="en-US"/>
              </w:rPr>
              <w:t>/mL)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2AEDECC" w14:textId="77777777" w:rsidR="000053DB" w:rsidRPr="00DF1788" w:rsidRDefault="000053DB" w:rsidP="00532AD1">
            <w:pPr>
              <w:pStyle w:val="BMSTableHeader"/>
              <w:rPr>
                <w:lang w:val="en-US"/>
              </w:rPr>
            </w:pPr>
            <w:proofErr w:type="spellStart"/>
            <w:r w:rsidRPr="00DF1788">
              <w:rPr>
                <w:lang w:val="en-US"/>
              </w:rPr>
              <w:t>C</w:t>
            </w:r>
            <w:r w:rsidRPr="00DF1788">
              <w:rPr>
                <w:rFonts w:ascii="Times New Roman Bold" w:hAnsi="Times New Roman Bold"/>
                <w:vertAlign w:val="subscript"/>
                <w:lang w:val="en-US"/>
              </w:rPr>
              <w:t>avg</w:t>
            </w:r>
            <w:proofErr w:type="spellEnd"/>
            <w:r w:rsidRPr="00DF1788">
              <w:rPr>
                <w:lang w:val="en-US"/>
              </w:rPr>
              <w:t xml:space="preserve"> (</w:t>
            </w:r>
            <w:proofErr w:type="spellStart"/>
            <w:r w:rsidRPr="00DF1788">
              <w:rPr>
                <w:lang w:val="en-US"/>
              </w:rPr>
              <w:t>μg</w:t>
            </w:r>
            <w:proofErr w:type="spellEnd"/>
            <w:r w:rsidRPr="00DF1788">
              <w:rPr>
                <w:lang w:val="en-US"/>
              </w:rPr>
              <w:t>/mL)</w:t>
            </w:r>
          </w:p>
        </w:tc>
      </w:tr>
      <w:tr w:rsidR="000053DB" w:rsidRPr="00DF1788" w14:paraId="6CFA0C6E" w14:textId="77777777" w:rsidTr="00532AD1">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14:paraId="248C979F" w14:textId="77777777" w:rsidR="000053DB" w:rsidRPr="00DF1788" w:rsidRDefault="000053DB" w:rsidP="00532AD1">
            <w:pPr>
              <w:pStyle w:val="BMSTableText"/>
              <w:jc w:val="left"/>
            </w:pPr>
            <w:proofErr w:type="spellStart"/>
            <w:r w:rsidRPr="00DF1788">
              <w:t>Relatlimab</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0A17904" w14:textId="77777777" w:rsidR="000053DB" w:rsidRPr="00DF1788" w:rsidRDefault="000053DB" w:rsidP="00532AD1">
            <w:pPr>
              <w:pStyle w:val="BMSTableText"/>
            </w:pPr>
            <w:r w:rsidRPr="00DF1788">
              <w:t>62.2 (30.1)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DAC6885" w14:textId="77777777" w:rsidR="000053DB" w:rsidRPr="00DF1788" w:rsidRDefault="000053DB" w:rsidP="00532AD1">
            <w:pPr>
              <w:pStyle w:val="BMSTableText"/>
            </w:pPr>
            <w:r w:rsidRPr="00DF1788">
              <w:t>15.3 (64.3)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A327688" w14:textId="77777777" w:rsidR="000053DB" w:rsidRPr="00DF1788" w:rsidRDefault="000053DB" w:rsidP="00532AD1">
            <w:pPr>
              <w:pStyle w:val="BMSTableText"/>
            </w:pPr>
            <w:r w:rsidRPr="00DF1788">
              <w:t>28.8 (44.8)</w:t>
            </w:r>
          </w:p>
        </w:tc>
      </w:tr>
      <w:tr w:rsidR="000053DB" w:rsidRPr="00541BAC" w14:paraId="3A44F746" w14:textId="77777777" w:rsidTr="00532AD1">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14:paraId="4FBBCDAC" w14:textId="77777777" w:rsidR="000053DB" w:rsidRPr="00DF1788" w:rsidRDefault="000053DB" w:rsidP="00532AD1">
            <w:pPr>
              <w:pStyle w:val="BMSTableText"/>
              <w:jc w:val="left"/>
            </w:pPr>
            <w:r w:rsidRPr="00DF1788">
              <w:t>Nivolumab</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2CE271C" w14:textId="77777777" w:rsidR="000053DB" w:rsidRPr="00DF1788" w:rsidRDefault="000053DB" w:rsidP="00532AD1">
            <w:pPr>
              <w:pStyle w:val="BMSTableText"/>
            </w:pPr>
            <w:r w:rsidRPr="00DF1788">
              <w:t>187 (32.9)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9BF3F07" w14:textId="77777777" w:rsidR="000053DB" w:rsidRPr="00DF1788" w:rsidRDefault="000053DB" w:rsidP="00532AD1">
            <w:pPr>
              <w:pStyle w:val="BMSTableText"/>
            </w:pPr>
            <w:r w:rsidRPr="00DF1788">
              <w:t>59.7 (58.6)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8E1D212" w14:textId="010A5316" w:rsidR="000053DB" w:rsidRPr="00DF1788" w:rsidRDefault="000053DB" w:rsidP="00532AD1">
            <w:pPr>
              <w:pStyle w:val="BMSTableText"/>
            </w:pPr>
            <w:r w:rsidRPr="00DF1788">
              <w:t>94.</w:t>
            </w:r>
            <w:r w:rsidR="007064FC" w:rsidRPr="00DF1788">
              <w:t>4</w:t>
            </w:r>
            <w:r w:rsidRPr="00DF1788">
              <w:t xml:space="preserve"> (43.3)</w:t>
            </w:r>
          </w:p>
        </w:tc>
      </w:tr>
    </w:tbl>
    <w:p w14:paraId="5EB1CF3F" w14:textId="77777777" w:rsidR="00E11928" w:rsidRPr="00DF1788" w:rsidRDefault="00E11928" w:rsidP="00686CB9">
      <w:pPr>
        <w:rPr>
          <w:highlight w:val="yellow"/>
        </w:rPr>
      </w:pPr>
    </w:p>
    <w:p w14:paraId="614C997D" w14:textId="3D077642" w:rsidR="00B6482A" w:rsidRPr="00DF1788" w:rsidRDefault="00B6482A" w:rsidP="00686CB9">
      <w:r w:rsidRPr="00DF1788">
        <w:t xml:space="preserve">In CA224047, the nivolumab geometric mean </w:t>
      </w:r>
      <w:proofErr w:type="spellStart"/>
      <w:r w:rsidRPr="00DF1788">
        <w:t>Cmin</w:t>
      </w:r>
      <w:proofErr w:type="spellEnd"/>
      <w:r w:rsidRPr="00DF1788">
        <w:t xml:space="preserve"> at steady state </w:t>
      </w:r>
      <w:r w:rsidR="00F853BC" w:rsidRPr="00DF1788">
        <w:t>was similar between</w:t>
      </w:r>
      <w:r w:rsidRPr="00DF1788">
        <w:t xml:space="preserve"> the </w:t>
      </w:r>
      <w:r w:rsidR="008D262B" w:rsidRPr="00DF1788">
        <w:t>nivolumab</w:t>
      </w:r>
      <w:r w:rsidRPr="00DF1788">
        <w:t xml:space="preserve"> in combination with </w:t>
      </w:r>
      <w:proofErr w:type="spellStart"/>
      <w:r w:rsidR="008D262B" w:rsidRPr="00DF1788">
        <w:t>relatlimab</w:t>
      </w:r>
      <w:proofErr w:type="spellEnd"/>
      <w:r w:rsidRPr="00DF1788">
        <w:t xml:space="preserve"> arm </w:t>
      </w:r>
      <w:r w:rsidR="00F853BC" w:rsidRPr="00DF1788">
        <w:t>and</w:t>
      </w:r>
      <w:r w:rsidRPr="00DF1788">
        <w:t xml:space="preserve"> the nivolumab </w:t>
      </w:r>
      <w:r w:rsidR="00F853BC" w:rsidRPr="00DF1788">
        <w:t xml:space="preserve">monotherapy </w:t>
      </w:r>
      <w:r w:rsidRPr="00DF1788">
        <w:t>arm</w:t>
      </w:r>
      <w:r w:rsidR="00F853BC" w:rsidRPr="00DF1788">
        <w:t>.</w:t>
      </w:r>
    </w:p>
    <w:p w14:paraId="662FAC1D" w14:textId="1A3C8731" w:rsidR="001A3992" w:rsidRPr="00DF1788" w:rsidRDefault="001A3992" w:rsidP="003067DE">
      <w:pPr>
        <w:pStyle w:val="Heading3"/>
      </w:pPr>
      <w:r w:rsidRPr="00DF1788">
        <w:t>Distribution</w:t>
      </w:r>
    </w:p>
    <w:p w14:paraId="666C5414" w14:textId="264360E2" w:rsidR="00035856" w:rsidRPr="00DF1788" w:rsidRDefault="00035856" w:rsidP="00035856">
      <w:pPr>
        <w:pStyle w:val="BMSBodyText"/>
        <w:spacing w:after="0" w:line="240" w:lineRule="auto"/>
        <w:rPr>
          <w:sz w:val="22"/>
          <w:szCs w:val="22"/>
        </w:rPr>
      </w:pPr>
      <w:r w:rsidRPr="00DF1788">
        <w:rPr>
          <w:sz w:val="22"/>
          <w:szCs w:val="22"/>
        </w:rPr>
        <w:t xml:space="preserve">The geometric mean value (CV%) for </w:t>
      </w:r>
      <w:proofErr w:type="spellStart"/>
      <w:r w:rsidRPr="00DF1788">
        <w:rPr>
          <w:sz w:val="22"/>
          <w:szCs w:val="22"/>
        </w:rPr>
        <w:t>relatlimab</w:t>
      </w:r>
      <w:proofErr w:type="spellEnd"/>
      <w:r w:rsidRPr="00DF1788">
        <w:rPr>
          <w:sz w:val="22"/>
          <w:szCs w:val="22"/>
        </w:rPr>
        <w:t xml:space="preserve"> volume of distribution at steady state is 6.65 L (19.8%) and nivolumab is 6.65 L (19.2%)</w:t>
      </w:r>
      <w:r w:rsidR="00686CB9" w:rsidRPr="00DF1788">
        <w:rPr>
          <w:sz w:val="22"/>
          <w:szCs w:val="22"/>
        </w:rPr>
        <w:t>.</w:t>
      </w:r>
    </w:p>
    <w:p w14:paraId="4094DA83" w14:textId="50F31E4F" w:rsidR="001A3992" w:rsidRPr="00DF1788" w:rsidRDefault="001A3992" w:rsidP="003067DE">
      <w:pPr>
        <w:pStyle w:val="Heading3"/>
      </w:pPr>
      <w:r w:rsidRPr="00DF1788">
        <w:t>E</w:t>
      </w:r>
      <w:r w:rsidR="000E2D80" w:rsidRPr="00DF1788">
        <w:t>limination</w:t>
      </w:r>
    </w:p>
    <w:p w14:paraId="56BF9956" w14:textId="52257F08" w:rsidR="00AB1AA7" w:rsidRPr="00DF1788" w:rsidRDefault="00A1364C" w:rsidP="00E55F90">
      <w:pPr>
        <w:pStyle w:val="BMSBodyText"/>
        <w:spacing w:after="0"/>
        <w:rPr>
          <w:sz w:val="22"/>
          <w:szCs w:val="22"/>
        </w:rPr>
      </w:pPr>
      <w:r w:rsidRPr="00DF1788">
        <w:rPr>
          <w:sz w:val="22"/>
          <w:szCs w:val="22"/>
        </w:rPr>
        <w:t xml:space="preserve">The geometric mean (CV%) clearance of </w:t>
      </w:r>
      <w:proofErr w:type="spellStart"/>
      <w:r w:rsidRPr="00DF1788">
        <w:rPr>
          <w:sz w:val="22"/>
          <w:szCs w:val="22"/>
        </w:rPr>
        <w:t>r</w:t>
      </w:r>
      <w:r w:rsidR="00AB1AA7" w:rsidRPr="00DF1788">
        <w:rPr>
          <w:sz w:val="22"/>
          <w:szCs w:val="22"/>
        </w:rPr>
        <w:t>elatlimab</w:t>
      </w:r>
      <w:proofErr w:type="spellEnd"/>
      <w:r w:rsidR="00AB1AA7" w:rsidRPr="00DF1788">
        <w:rPr>
          <w:sz w:val="22"/>
          <w:szCs w:val="22"/>
        </w:rPr>
        <w:t xml:space="preserve"> is 5.</w:t>
      </w:r>
      <w:r w:rsidRPr="00DF1788">
        <w:rPr>
          <w:sz w:val="22"/>
          <w:szCs w:val="22"/>
        </w:rPr>
        <w:t>5</w:t>
      </w:r>
      <w:r w:rsidR="00AB1AA7" w:rsidRPr="00DF1788">
        <w:rPr>
          <w:sz w:val="22"/>
          <w:szCs w:val="22"/>
        </w:rPr>
        <w:t xml:space="preserve"> mL/h (41%) at steady state</w:t>
      </w:r>
      <w:r w:rsidRPr="00DF1788">
        <w:rPr>
          <w:sz w:val="22"/>
          <w:szCs w:val="22"/>
        </w:rPr>
        <w:t>: 10%</w:t>
      </w:r>
      <w:r w:rsidR="00AB1AA7" w:rsidRPr="00DF1788">
        <w:rPr>
          <w:sz w:val="22"/>
          <w:szCs w:val="22"/>
        </w:rPr>
        <w:t xml:space="preserve"> </w:t>
      </w:r>
      <w:r w:rsidRPr="00DF1788">
        <w:rPr>
          <w:sz w:val="22"/>
          <w:szCs w:val="22"/>
        </w:rPr>
        <w:t xml:space="preserve">lower </w:t>
      </w:r>
      <w:r w:rsidR="00AB1AA7" w:rsidRPr="00DF1788">
        <w:rPr>
          <w:sz w:val="22"/>
          <w:szCs w:val="22"/>
        </w:rPr>
        <w:t xml:space="preserve">than after the first dose </w:t>
      </w:r>
      <w:r w:rsidRPr="00DF1788">
        <w:rPr>
          <w:sz w:val="22"/>
          <w:szCs w:val="22"/>
        </w:rPr>
        <w:t>[</w:t>
      </w:r>
      <w:r w:rsidR="00AB1AA7" w:rsidRPr="00DF1788">
        <w:rPr>
          <w:sz w:val="22"/>
          <w:szCs w:val="22"/>
        </w:rPr>
        <w:t>6</w:t>
      </w:r>
      <w:r w:rsidR="00AB1AA7" w:rsidRPr="00DF1788">
        <w:rPr>
          <w:noProof/>
        </w:rPr>
        <w:t> </w:t>
      </w:r>
      <w:r w:rsidR="00AB1AA7" w:rsidRPr="00DF1788">
        <w:rPr>
          <w:sz w:val="22"/>
          <w:szCs w:val="22"/>
        </w:rPr>
        <w:t xml:space="preserve">mL/h (39%)]. Following administration of </w:t>
      </w:r>
      <w:r w:rsidR="00A341F4" w:rsidRPr="00DF1788">
        <w:rPr>
          <w:sz w:val="22"/>
          <w:szCs w:val="22"/>
        </w:rPr>
        <w:t>nivolumab 480</w:t>
      </w:r>
      <w:r w:rsidR="00A341F4" w:rsidRPr="00DF1788">
        <w:rPr>
          <w:noProof/>
        </w:rPr>
        <w:t> </w:t>
      </w:r>
      <w:r w:rsidR="00A341F4" w:rsidRPr="00DF1788">
        <w:rPr>
          <w:sz w:val="22"/>
          <w:szCs w:val="22"/>
        </w:rPr>
        <w:t xml:space="preserve">mg </w:t>
      </w:r>
      <w:r w:rsidR="0042150C" w:rsidRPr="00DF1788">
        <w:rPr>
          <w:sz w:val="22"/>
          <w:szCs w:val="22"/>
        </w:rPr>
        <w:t xml:space="preserve">and </w:t>
      </w:r>
      <w:proofErr w:type="spellStart"/>
      <w:r w:rsidR="00AB1AA7" w:rsidRPr="00DF1788">
        <w:rPr>
          <w:sz w:val="22"/>
          <w:szCs w:val="22"/>
        </w:rPr>
        <w:t>relatlimab</w:t>
      </w:r>
      <w:proofErr w:type="spellEnd"/>
      <w:r w:rsidR="00AB1AA7" w:rsidRPr="00DF1788">
        <w:rPr>
          <w:sz w:val="22"/>
          <w:szCs w:val="22"/>
        </w:rPr>
        <w:t xml:space="preserve"> 160</w:t>
      </w:r>
      <w:r w:rsidR="00AB1AA7" w:rsidRPr="00DF1788">
        <w:rPr>
          <w:noProof/>
        </w:rPr>
        <w:t> </w:t>
      </w:r>
      <w:r w:rsidR="00AB1AA7" w:rsidRPr="00DF1788">
        <w:rPr>
          <w:sz w:val="22"/>
          <w:szCs w:val="22"/>
        </w:rPr>
        <w:t>mg administered every 4</w:t>
      </w:r>
      <w:r w:rsidR="00AB1AA7" w:rsidRPr="00DF1788">
        <w:rPr>
          <w:noProof/>
        </w:rPr>
        <w:t> </w:t>
      </w:r>
      <w:r w:rsidR="00AB1AA7" w:rsidRPr="00DF1788">
        <w:rPr>
          <w:sz w:val="22"/>
          <w:szCs w:val="22"/>
        </w:rPr>
        <w:t xml:space="preserve">weeks, </w:t>
      </w:r>
      <w:r w:rsidRPr="00DF1788">
        <w:rPr>
          <w:sz w:val="22"/>
          <w:szCs w:val="22"/>
        </w:rPr>
        <w:t xml:space="preserve">the geometric mean (CV%) effective half-life (t1/2) of </w:t>
      </w:r>
      <w:proofErr w:type="spellStart"/>
      <w:r w:rsidRPr="00DF1788">
        <w:rPr>
          <w:sz w:val="22"/>
          <w:szCs w:val="22"/>
        </w:rPr>
        <w:t>relatlimab</w:t>
      </w:r>
      <w:proofErr w:type="spellEnd"/>
      <w:r w:rsidRPr="00DF1788">
        <w:rPr>
          <w:sz w:val="22"/>
          <w:szCs w:val="22"/>
        </w:rPr>
        <w:t xml:space="preserve"> is 26.2 days (37%)</w:t>
      </w:r>
      <w:r w:rsidR="004F12DE">
        <w:rPr>
          <w:sz w:val="22"/>
          <w:szCs w:val="22"/>
        </w:rPr>
        <w:t>.</w:t>
      </w:r>
    </w:p>
    <w:p w14:paraId="0F6A4B6A" w14:textId="77777777" w:rsidR="00AB1AA7" w:rsidRPr="00DF1788" w:rsidRDefault="00AB1AA7" w:rsidP="00AB1AA7">
      <w:pPr>
        <w:pStyle w:val="BMSBodyText"/>
        <w:spacing w:after="0" w:line="240" w:lineRule="auto"/>
        <w:rPr>
          <w:sz w:val="22"/>
          <w:szCs w:val="22"/>
        </w:rPr>
      </w:pPr>
    </w:p>
    <w:p w14:paraId="7BDBECCF" w14:textId="7FE35041" w:rsidR="00AB1AA7" w:rsidRDefault="00A1364C" w:rsidP="00AB1AA7">
      <w:pPr>
        <w:pStyle w:val="BMSBodyText"/>
        <w:spacing w:after="0" w:line="240" w:lineRule="auto"/>
        <w:rPr>
          <w:sz w:val="22"/>
          <w:szCs w:val="22"/>
        </w:rPr>
      </w:pPr>
      <w:r w:rsidRPr="00DF1788">
        <w:rPr>
          <w:sz w:val="22"/>
          <w:szCs w:val="22"/>
        </w:rPr>
        <w:t>The geometric mean (CV%) clearance of n</w:t>
      </w:r>
      <w:r w:rsidR="00AB1AA7" w:rsidRPr="00DF1788">
        <w:rPr>
          <w:sz w:val="22"/>
          <w:szCs w:val="22"/>
        </w:rPr>
        <w:t>ivolumab is 7.</w:t>
      </w:r>
      <w:r w:rsidRPr="00DF1788">
        <w:rPr>
          <w:sz w:val="22"/>
          <w:szCs w:val="22"/>
        </w:rPr>
        <w:t>6</w:t>
      </w:r>
      <w:r w:rsidR="00AB1AA7" w:rsidRPr="00DF1788">
        <w:rPr>
          <w:sz w:val="22"/>
          <w:szCs w:val="22"/>
        </w:rPr>
        <w:t xml:space="preserve"> mL/h (40%) at steady state</w:t>
      </w:r>
      <w:r w:rsidRPr="00DF1788">
        <w:rPr>
          <w:sz w:val="22"/>
          <w:szCs w:val="22"/>
        </w:rPr>
        <w:t>:</w:t>
      </w:r>
      <w:r w:rsidR="00AB1AA7" w:rsidRPr="00DF1788">
        <w:rPr>
          <w:sz w:val="22"/>
          <w:szCs w:val="22"/>
        </w:rPr>
        <w:t xml:space="preserve"> </w:t>
      </w:r>
      <w:r w:rsidRPr="00DF1788">
        <w:rPr>
          <w:sz w:val="22"/>
          <w:szCs w:val="22"/>
        </w:rPr>
        <w:t xml:space="preserve">21% lower </w:t>
      </w:r>
      <w:r w:rsidR="00AB1AA7" w:rsidRPr="00DF1788">
        <w:rPr>
          <w:sz w:val="22"/>
          <w:szCs w:val="22"/>
        </w:rPr>
        <w:t>than that after the first dose [9.</w:t>
      </w:r>
      <w:r w:rsidRPr="00DF1788">
        <w:rPr>
          <w:sz w:val="22"/>
          <w:szCs w:val="22"/>
        </w:rPr>
        <w:t>6</w:t>
      </w:r>
      <w:r w:rsidR="00AB1AA7" w:rsidRPr="00DF1788">
        <w:rPr>
          <w:sz w:val="22"/>
          <w:szCs w:val="22"/>
        </w:rPr>
        <w:t xml:space="preserve"> mL/h (40%)] and the terminal half-life (t1/2) is 26.5 days (36%).</w:t>
      </w:r>
    </w:p>
    <w:p w14:paraId="5E44B890" w14:textId="77777777" w:rsidR="00BC5791" w:rsidRPr="00DF1788" w:rsidRDefault="00BC5791" w:rsidP="00AB1AA7">
      <w:pPr>
        <w:pStyle w:val="BMSBodyText"/>
        <w:spacing w:after="0" w:line="240" w:lineRule="auto"/>
        <w:rPr>
          <w:sz w:val="22"/>
          <w:szCs w:val="22"/>
        </w:rPr>
      </w:pPr>
    </w:p>
    <w:p w14:paraId="14E7CF64" w14:textId="77777777" w:rsidR="00E856CF" w:rsidRPr="00DF1788" w:rsidRDefault="00E856CF" w:rsidP="003067DE">
      <w:pPr>
        <w:pStyle w:val="Heading3"/>
      </w:pPr>
      <w:r w:rsidRPr="00DF1788">
        <w:lastRenderedPageBreak/>
        <w:t>Special populations</w:t>
      </w:r>
    </w:p>
    <w:p w14:paraId="5BFCD850" w14:textId="3D5184BF" w:rsidR="006C51DC" w:rsidRPr="00DF1788" w:rsidRDefault="00D42155" w:rsidP="00E55F90">
      <w:pPr>
        <w:pStyle w:val="BMSBodyText"/>
        <w:rPr>
          <w:sz w:val="22"/>
          <w:szCs w:val="22"/>
        </w:rPr>
      </w:pPr>
      <w:r w:rsidRPr="00DF1788">
        <w:rPr>
          <w:sz w:val="22"/>
          <w:szCs w:val="22"/>
        </w:rPr>
        <w:t xml:space="preserve">A population PK analysis suggested that the following factors had no clinically important effect on the CL of </w:t>
      </w:r>
      <w:r w:rsidR="00D738FB" w:rsidRPr="00DF1788">
        <w:rPr>
          <w:sz w:val="22"/>
          <w:szCs w:val="22"/>
        </w:rPr>
        <w:t xml:space="preserve">nivolumab and </w:t>
      </w:r>
      <w:proofErr w:type="spellStart"/>
      <w:r w:rsidRPr="00DF1788">
        <w:rPr>
          <w:sz w:val="22"/>
          <w:szCs w:val="22"/>
        </w:rPr>
        <w:t>relatlimab</w:t>
      </w:r>
      <w:proofErr w:type="spellEnd"/>
      <w:r w:rsidRPr="00DF1788">
        <w:rPr>
          <w:sz w:val="22"/>
          <w:szCs w:val="22"/>
        </w:rPr>
        <w:t>: age (range: 17 to 92 years), sex, race</w:t>
      </w:r>
      <w:r w:rsidR="00A1364C" w:rsidRPr="00DF1788">
        <w:rPr>
          <w:sz w:val="22"/>
          <w:szCs w:val="22"/>
        </w:rPr>
        <w:t>, mild or moderate renal impairment (eGFR 30 to 89 mL/min/1.73 m</w:t>
      </w:r>
      <w:r w:rsidR="00A1364C" w:rsidRPr="001761D4">
        <w:rPr>
          <w:sz w:val="22"/>
          <w:szCs w:val="22"/>
          <w:vertAlign w:val="superscript"/>
        </w:rPr>
        <w:t>2</w:t>
      </w:r>
      <w:r w:rsidR="00A1364C" w:rsidRPr="00DF1788">
        <w:rPr>
          <w:sz w:val="22"/>
          <w:szCs w:val="22"/>
        </w:rPr>
        <w:t xml:space="preserve">), and </w:t>
      </w:r>
      <w:r w:rsidR="00550321" w:rsidRPr="00DF1788">
        <w:rPr>
          <w:sz w:val="22"/>
          <w:szCs w:val="22"/>
        </w:rPr>
        <w:t>mild hepatic impairment (total bilirubin [TB] less than or equal to upper limit of normal [ULN] and AST greater than ULN or TB greater than 1 to 1.5 times ULN and any AST) or moderate hepatic impairment (TB greater than 1.5 to 3 times ULN and any AST).</w:t>
      </w:r>
      <w:r w:rsidRPr="00DF1788">
        <w:rPr>
          <w:sz w:val="22"/>
          <w:szCs w:val="22"/>
        </w:rPr>
        <w:t xml:space="preserve"> </w:t>
      </w:r>
      <w:r w:rsidR="00A1364C" w:rsidRPr="00DF1788">
        <w:rPr>
          <w:sz w:val="22"/>
          <w:szCs w:val="22"/>
        </w:rPr>
        <w:t xml:space="preserve"> </w:t>
      </w:r>
    </w:p>
    <w:p w14:paraId="5CDC8EDB" w14:textId="26E86456" w:rsidR="006C51DC" w:rsidRPr="00DF1788" w:rsidRDefault="00A1364C" w:rsidP="00E55F90">
      <w:pPr>
        <w:pStyle w:val="BMSBodyText"/>
        <w:rPr>
          <w:sz w:val="22"/>
          <w:szCs w:val="22"/>
        </w:rPr>
      </w:pPr>
      <w:r w:rsidRPr="00DF1788">
        <w:rPr>
          <w:sz w:val="22"/>
          <w:szCs w:val="22"/>
        </w:rPr>
        <w:t>The effect</w:t>
      </w:r>
      <w:r w:rsidR="00550321" w:rsidRPr="00DF1788">
        <w:rPr>
          <w:sz w:val="22"/>
          <w:szCs w:val="22"/>
        </w:rPr>
        <w:t>s</w:t>
      </w:r>
      <w:r w:rsidRPr="00DF1788">
        <w:rPr>
          <w:sz w:val="22"/>
          <w:szCs w:val="22"/>
        </w:rPr>
        <w:t xml:space="preserve"> of severe renal or hepatic impairment </w:t>
      </w:r>
      <w:r w:rsidR="00550321" w:rsidRPr="00DF1788">
        <w:rPr>
          <w:sz w:val="22"/>
          <w:szCs w:val="22"/>
        </w:rPr>
        <w:t xml:space="preserve">on the pharmacokinetics of nivolumab and </w:t>
      </w:r>
      <w:proofErr w:type="spellStart"/>
      <w:r w:rsidR="00550321" w:rsidRPr="00DF1788">
        <w:rPr>
          <w:sz w:val="22"/>
          <w:szCs w:val="22"/>
        </w:rPr>
        <w:t>relatlimab</w:t>
      </w:r>
      <w:proofErr w:type="spellEnd"/>
      <w:r w:rsidR="00550321" w:rsidRPr="00DF1788">
        <w:rPr>
          <w:sz w:val="22"/>
          <w:szCs w:val="22"/>
        </w:rPr>
        <w:t xml:space="preserve"> are</w:t>
      </w:r>
      <w:r w:rsidRPr="00DF1788">
        <w:rPr>
          <w:sz w:val="22"/>
          <w:szCs w:val="22"/>
        </w:rPr>
        <w:t xml:space="preserve"> unknown. </w:t>
      </w:r>
    </w:p>
    <w:p w14:paraId="1F586CD5" w14:textId="14182DF3" w:rsidR="00A1364C" w:rsidRPr="00DF1788" w:rsidRDefault="00A1364C" w:rsidP="00E55F90">
      <w:pPr>
        <w:pStyle w:val="BMSBodyText"/>
        <w:rPr>
          <w:sz w:val="22"/>
          <w:szCs w:val="22"/>
        </w:rPr>
      </w:pPr>
      <w:r w:rsidRPr="00DF1788">
        <w:rPr>
          <w:sz w:val="22"/>
          <w:szCs w:val="22"/>
        </w:rPr>
        <w:t xml:space="preserve">The exposures of nivolumab and </w:t>
      </w:r>
      <w:proofErr w:type="spellStart"/>
      <w:r w:rsidRPr="00DF1788">
        <w:rPr>
          <w:sz w:val="22"/>
          <w:szCs w:val="22"/>
        </w:rPr>
        <w:t>relatlimab</w:t>
      </w:r>
      <w:proofErr w:type="spellEnd"/>
      <w:r w:rsidRPr="00DF1788">
        <w:rPr>
          <w:sz w:val="22"/>
          <w:szCs w:val="22"/>
        </w:rPr>
        <w:t xml:space="preserve"> in </w:t>
      </w:r>
      <w:proofErr w:type="spellStart"/>
      <w:r w:rsidRPr="00DF1788">
        <w:rPr>
          <w:sz w:val="22"/>
          <w:szCs w:val="22"/>
        </w:rPr>
        <w:t>paediatric</w:t>
      </w:r>
      <w:proofErr w:type="spellEnd"/>
      <w:r w:rsidRPr="00DF1788">
        <w:rPr>
          <w:sz w:val="22"/>
          <w:szCs w:val="22"/>
        </w:rPr>
        <w:t xml:space="preserve"> patients 12 years of age or older who weigh at least 40 kg are expected to be in the range of exposures in adult patients at the recommended dose.</w:t>
      </w:r>
    </w:p>
    <w:p w14:paraId="298FA0B1" w14:textId="457E60DF" w:rsidR="001A3992" w:rsidRPr="00DF1788" w:rsidRDefault="001A3992" w:rsidP="0083119C">
      <w:pPr>
        <w:pStyle w:val="Heading2"/>
      </w:pPr>
      <w:r w:rsidRPr="00DF1788">
        <w:t>Preclinical safety data</w:t>
      </w:r>
    </w:p>
    <w:p w14:paraId="16360E84" w14:textId="6883D5C5" w:rsidR="00F6154A" w:rsidRPr="00DF1788" w:rsidRDefault="00E241AC" w:rsidP="003067DE">
      <w:pPr>
        <w:pStyle w:val="Heading3"/>
      </w:pPr>
      <w:r w:rsidRPr="00DF1788">
        <w:t>Genotoxicity</w:t>
      </w:r>
    </w:p>
    <w:p w14:paraId="32D78944" w14:textId="02CD75D4" w:rsidR="00F6154A" w:rsidRPr="00DF1788" w:rsidRDefault="00F6154A" w:rsidP="00F6154A">
      <w:pPr>
        <w:rPr>
          <w:noProof/>
        </w:rPr>
      </w:pPr>
      <w:r w:rsidRPr="00DF1788">
        <w:rPr>
          <w:noProof/>
        </w:rPr>
        <w:t xml:space="preserve">Studies to evaluate the </w:t>
      </w:r>
      <w:r w:rsidR="0036779B" w:rsidRPr="00DF1788">
        <w:rPr>
          <w:noProof/>
        </w:rPr>
        <w:t xml:space="preserve">genotoxic </w:t>
      </w:r>
      <w:r w:rsidRPr="00DF1788">
        <w:rPr>
          <w:noProof/>
        </w:rPr>
        <w:t xml:space="preserve">potential of </w:t>
      </w:r>
      <w:r w:rsidR="0036779B" w:rsidRPr="00DF1788">
        <w:rPr>
          <w:noProof/>
        </w:rPr>
        <w:t xml:space="preserve">nivolumab or relatlimab </w:t>
      </w:r>
      <w:r w:rsidRPr="00DF1788">
        <w:rPr>
          <w:noProof/>
        </w:rPr>
        <w:t xml:space="preserve"> have not been perfo</w:t>
      </w:r>
      <w:r w:rsidR="00E241AC" w:rsidRPr="00DF1788">
        <w:rPr>
          <w:noProof/>
        </w:rPr>
        <w:t>r</w:t>
      </w:r>
      <w:r w:rsidRPr="00DF1788">
        <w:rPr>
          <w:noProof/>
        </w:rPr>
        <w:t>med.</w:t>
      </w:r>
    </w:p>
    <w:p w14:paraId="5AFD9CD4" w14:textId="34CE33DD" w:rsidR="001A3992" w:rsidRPr="00DF1788" w:rsidRDefault="001A3992" w:rsidP="003067DE">
      <w:pPr>
        <w:pStyle w:val="Heading3"/>
      </w:pPr>
      <w:r w:rsidRPr="00DF1788">
        <w:t>Carcinogenicity</w:t>
      </w:r>
    </w:p>
    <w:p w14:paraId="65A87083" w14:textId="3F9B818A" w:rsidR="001451F0" w:rsidRPr="001451F0" w:rsidRDefault="001451F0" w:rsidP="006C51DC">
      <w:r w:rsidRPr="00DF1788">
        <w:t>Studies to evaluate the carcino</w:t>
      </w:r>
      <w:r w:rsidR="00F6154A" w:rsidRPr="00DF1788">
        <w:t xml:space="preserve">genic potential of </w:t>
      </w:r>
      <w:r w:rsidR="00ED22AE" w:rsidRPr="00DF1788">
        <w:t xml:space="preserve">nivolumab or </w:t>
      </w:r>
      <w:proofErr w:type="spellStart"/>
      <w:r w:rsidR="00ED22AE" w:rsidRPr="00DF1788">
        <w:t>relatlimab</w:t>
      </w:r>
      <w:proofErr w:type="spellEnd"/>
      <w:r w:rsidR="00ED22AE" w:rsidRPr="00DF1788">
        <w:t xml:space="preserve"> </w:t>
      </w:r>
      <w:r w:rsidR="00F6154A" w:rsidRPr="00DF1788">
        <w:t>have not been perfo</w:t>
      </w:r>
      <w:r w:rsidR="00E241AC" w:rsidRPr="00DF1788">
        <w:t>r</w:t>
      </w:r>
      <w:r w:rsidR="00F6154A" w:rsidRPr="00DF1788">
        <w:t>med.</w:t>
      </w:r>
    </w:p>
    <w:p w14:paraId="4E764C47" w14:textId="77777777" w:rsidR="001A3992" w:rsidRPr="000A4651" w:rsidRDefault="001A3992" w:rsidP="00C27979">
      <w:pPr>
        <w:pStyle w:val="Heading1"/>
      </w:pPr>
      <w:r w:rsidRPr="000A4651">
        <w:t>Pharmaceutical particulars</w:t>
      </w:r>
    </w:p>
    <w:p w14:paraId="2B5922C6" w14:textId="7D1A6621" w:rsidR="001A3992" w:rsidRPr="000A4651" w:rsidRDefault="00F01F58" w:rsidP="0083119C">
      <w:pPr>
        <w:pStyle w:val="Heading2"/>
        <w:rPr>
          <w:lang w:val="en-US"/>
        </w:rPr>
      </w:pPr>
      <w:r w:rsidRPr="000A4651">
        <w:rPr>
          <w:lang w:val="en-US"/>
        </w:rPr>
        <w:t>List of excipients</w:t>
      </w:r>
    </w:p>
    <w:p w14:paraId="1C2A5957" w14:textId="77777777" w:rsidR="00743CEA" w:rsidRDefault="0064134D" w:rsidP="005A6B88">
      <w:pPr>
        <w:autoSpaceDE w:val="0"/>
        <w:autoSpaceDN w:val="0"/>
        <w:adjustRightInd w:val="0"/>
        <w:spacing w:after="120"/>
        <w:rPr>
          <w:lang w:val="en-US" w:eastAsia="fr-BE"/>
        </w:rPr>
      </w:pPr>
      <w:r>
        <w:rPr>
          <w:lang w:val="en-US" w:eastAsia="fr-BE"/>
        </w:rPr>
        <w:t>Histidine</w:t>
      </w:r>
    </w:p>
    <w:p w14:paraId="3CDD735F" w14:textId="40A88606" w:rsidR="0064134D" w:rsidRPr="001F0AA6" w:rsidRDefault="0064134D" w:rsidP="005A6B88">
      <w:pPr>
        <w:autoSpaceDE w:val="0"/>
        <w:autoSpaceDN w:val="0"/>
        <w:adjustRightInd w:val="0"/>
        <w:spacing w:after="120"/>
        <w:rPr>
          <w:lang w:val="en-US" w:eastAsia="fr-BE"/>
        </w:rPr>
      </w:pPr>
      <w:r>
        <w:rPr>
          <w:lang w:val="en-US" w:eastAsia="fr-BE"/>
        </w:rPr>
        <w:t>H</w:t>
      </w:r>
      <w:r w:rsidRPr="001F0AA6">
        <w:rPr>
          <w:lang w:val="en-US" w:eastAsia="fr-BE"/>
        </w:rPr>
        <w:t>istidine hydrochloride monohydrate</w:t>
      </w:r>
    </w:p>
    <w:p w14:paraId="169FE18D" w14:textId="77777777" w:rsidR="0064134D" w:rsidRPr="001F0AA6" w:rsidRDefault="0064134D" w:rsidP="005A6B88">
      <w:pPr>
        <w:spacing w:after="120"/>
        <w:rPr>
          <w:lang w:val="en-US" w:eastAsia="fr-BE"/>
        </w:rPr>
      </w:pPr>
      <w:r>
        <w:rPr>
          <w:lang w:val="en-US" w:eastAsia="fr-BE"/>
        </w:rPr>
        <w:t>Sucrose</w:t>
      </w:r>
    </w:p>
    <w:p w14:paraId="0E9C9021" w14:textId="77777777" w:rsidR="0064134D" w:rsidRPr="001F0AA6" w:rsidRDefault="0064134D" w:rsidP="005A6B88">
      <w:pPr>
        <w:spacing w:after="120"/>
        <w:rPr>
          <w:lang w:val="en-US" w:eastAsia="fr-BE"/>
        </w:rPr>
      </w:pPr>
      <w:proofErr w:type="spellStart"/>
      <w:r>
        <w:rPr>
          <w:lang w:val="en-US" w:eastAsia="fr-BE"/>
        </w:rPr>
        <w:t>P</w:t>
      </w:r>
      <w:r w:rsidRPr="001F0AA6">
        <w:rPr>
          <w:lang w:val="en-US" w:eastAsia="fr-BE"/>
        </w:rPr>
        <w:t>entetic</w:t>
      </w:r>
      <w:proofErr w:type="spellEnd"/>
      <w:r w:rsidRPr="001F0AA6">
        <w:rPr>
          <w:lang w:val="en-US" w:eastAsia="fr-BE"/>
        </w:rPr>
        <w:t xml:space="preserve"> acid </w:t>
      </w:r>
      <w:r w:rsidRPr="00BA5EB4">
        <w:rPr>
          <w:noProof/>
        </w:rPr>
        <w:t>(diethylenetriaminepentaacetic acid)</w:t>
      </w:r>
    </w:p>
    <w:p w14:paraId="2751F46B" w14:textId="77777777" w:rsidR="0064134D" w:rsidRDefault="0064134D" w:rsidP="005A6B88">
      <w:pPr>
        <w:spacing w:after="120"/>
        <w:rPr>
          <w:lang w:val="en-US" w:eastAsia="fr-BE"/>
        </w:rPr>
      </w:pPr>
      <w:r>
        <w:rPr>
          <w:lang w:val="en-US" w:eastAsia="fr-BE"/>
        </w:rPr>
        <w:t>Polysorbate 80 (E433)</w:t>
      </w:r>
    </w:p>
    <w:p w14:paraId="0E1A69B7" w14:textId="303655C8" w:rsidR="0064134D" w:rsidRDefault="0064134D" w:rsidP="005A6B88">
      <w:pPr>
        <w:spacing w:after="120"/>
        <w:rPr>
          <w:lang w:val="en-US" w:eastAsia="fr-BE"/>
        </w:rPr>
      </w:pPr>
      <w:r>
        <w:rPr>
          <w:lang w:val="en-US" w:eastAsia="fr-BE"/>
        </w:rPr>
        <w:t>W</w:t>
      </w:r>
      <w:r w:rsidRPr="001F0AA6">
        <w:rPr>
          <w:lang w:val="en-US" w:eastAsia="fr-BE"/>
        </w:rPr>
        <w:t>ater for injection</w:t>
      </w:r>
      <w:r w:rsidR="0036523D">
        <w:rPr>
          <w:lang w:val="en-US" w:eastAsia="fr-BE"/>
        </w:rPr>
        <w:t>s</w:t>
      </w:r>
    </w:p>
    <w:p w14:paraId="1597DDC0" w14:textId="0608399F" w:rsidR="001A3992" w:rsidRPr="000A4651" w:rsidRDefault="00F01F58" w:rsidP="0083119C">
      <w:pPr>
        <w:pStyle w:val="Heading2"/>
        <w:rPr>
          <w:lang w:val="en-US"/>
        </w:rPr>
      </w:pPr>
      <w:r w:rsidRPr="000A4651">
        <w:rPr>
          <w:lang w:val="en-US"/>
        </w:rPr>
        <w:t>Incompatibilities</w:t>
      </w:r>
    </w:p>
    <w:p w14:paraId="58620724" w14:textId="4D4DCFB4" w:rsidR="00A40034" w:rsidRPr="00A40034" w:rsidRDefault="00876C5B" w:rsidP="00F01F58">
      <w:pPr>
        <w:rPr>
          <w:rFonts w:cs="Times New Roman"/>
        </w:rPr>
      </w:pPr>
      <w:r w:rsidRPr="006B4557">
        <w:rPr>
          <w:noProof/>
        </w:rPr>
        <w:t>In the absence of compatibility studies, this medicinal product must not be mixed with other medicinal products.</w:t>
      </w:r>
      <w:r>
        <w:rPr>
          <w:noProof/>
        </w:rPr>
        <w:t xml:space="preserve"> </w:t>
      </w:r>
      <w:r w:rsidR="0044468F">
        <w:rPr>
          <w:noProof/>
        </w:rPr>
        <w:t>OPDUALAG</w:t>
      </w:r>
      <w:r>
        <w:rPr>
          <w:noProof/>
        </w:rPr>
        <w:t xml:space="preserve"> should not be infused concomitantly in the same intravenous line with other medicinal products.</w:t>
      </w:r>
    </w:p>
    <w:p w14:paraId="7E22BDBA" w14:textId="55EA094E" w:rsidR="001A3992" w:rsidRPr="000A4651" w:rsidRDefault="00F01F58" w:rsidP="0083119C">
      <w:pPr>
        <w:pStyle w:val="Heading2"/>
        <w:rPr>
          <w:lang w:val="en-US"/>
        </w:rPr>
      </w:pPr>
      <w:r w:rsidRPr="000A4651">
        <w:rPr>
          <w:lang w:val="en-US"/>
        </w:rPr>
        <w:t>Shelf life</w:t>
      </w:r>
    </w:p>
    <w:p w14:paraId="36780BD0" w14:textId="4BC54F04" w:rsidR="00F01F58" w:rsidRPr="000A4651" w:rsidRDefault="00F01F58" w:rsidP="00F01F58">
      <w:pPr>
        <w:rPr>
          <w:rFonts w:cs="Times New Roman"/>
        </w:rPr>
      </w:pPr>
      <w:r w:rsidRPr="000A4651">
        <w:rPr>
          <w:rFonts w:cs="Times New Roman"/>
        </w:rPr>
        <w:t xml:space="preserve">In Australia, information on the shelf life can be found on the public summary of the </w:t>
      </w:r>
      <w:r w:rsidR="00BF3128">
        <w:rPr>
          <w:rFonts w:cs="Times New Roman"/>
        </w:rPr>
        <w:t>Australian Register of Therapeutic Goods (</w:t>
      </w:r>
      <w:r w:rsidRPr="000A4651">
        <w:rPr>
          <w:rFonts w:cs="Times New Roman"/>
        </w:rPr>
        <w:t>ARTG</w:t>
      </w:r>
      <w:r w:rsidR="00BF3128">
        <w:rPr>
          <w:rFonts w:cs="Times New Roman"/>
        </w:rPr>
        <w:t>)</w:t>
      </w:r>
      <w:r w:rsidRPr="000A4651">
        <w:rPr>
          <w:rFonts w:cs="Times New Roman"/>
        </w:rPr>
        <w:t>. The expiry date can be found on the packaging</w:t>
      </w:r>
      <w:r w:rsidR="00BF3128">
        <w:rPr>
          <w:rFonts w:cs="Times New Roman"/>
        </w:rPr>
        <w:t>.</w:t>
      </w:r>
      <w:r w:rsidRPr="000A4651">
        <w:rPr>
          <w:rFonts w:cs="Times New Roman"/>
        </w:rPr>
        <w:t xml:space="preserve"> </w:t>
      </w:r>
    </w:p>
    <w:p w14:paraId="15D58481" w14:textId="71640D57" w:rsidR="001A3992" w:rsidRPr="000A4651" w:rsidRDefault="00F01F58" w:rsidP="0083119C">
      <w:pPr>
        <w:pStyle w:val="Heading2"/>
        <w:rPr>
          <w:lang w:val="en-US"/>
        </w:rPr>
      </w:pPr>
      <w:r w:rsidRPr="000A4651">
        <w:rPr>
          <w:lang w:val="en-US"/>
        </w:rPr>
        <w:t>Special precautions for storage</w:t>
      </w:r>
    </w:p>
    <w:p w14:paraId="42440579" w14:textId="77777777" w:rsidR="00175CCE" w:rsidRPr="005B3877" w:rsidRDefault="00175CCE" w:rsidP="004162F8">
      <w:pPr>
        <w:autoSpaceDE w:val="0"/>
        <w:autoSpaceDN w:val="0"/>
        <w:adjustRightInd w:val="0"/>
        <w:spacing w:after="120"/>
        <w:rPr>
          <w:lang w:val="en-US" w:eastAsia="fr-BE"/>
        </w:rPr>
      </w:pPr>
      <w:r w:rsidRPr="005B3877">
        <w:rPr>
          <w:lang w:val="en-US" w:eastAsia="fr-BE"/>
        </w:rPr>
        <w:t xml:space="preserve">Store </w:t>
      </w:r>
      <w:r>
        <w:rPr>
          <w:lang w:val="en-US" w:eastAsia="fr-BE"/>
        </w:rPr>
        <w:t xml:space="preserve">refrigerated at </w:t>
      </w:r>
      <w:r w:rsidRPr="005B3877">
        <w:rPr>
          <w:lang w:val="en-US" w:eastAsia="fr-BE"/>
        </w:rPr>
        <w:t>2°C</w:t>
      </w:r>
      <w:r>
        <w:rPr>
          <w:lang w:val="en-US" w:eastAsia="fr-BE"/>
        </w:rPr>
        <w:noBreakHyphen/>
      </w:r>
      <w:r w:rsidRPr="005B3877">
        <w:rPr>
          <w:lang w:val="en-US" w:eastAsia="fr-BE"/>
        </w:rPr>
        <w:t>8°C.</w:t>
      </w:r>
    </w:p>
    <w:p w14:paraId="4692D8DC" w14:textId="77777777" w:rsidR="00175CCE" w:rsidRPr="005B3877" w:rsidRDefault="00175CCE" w:rsidP="004162F8">
      <w:pPr>
        <w:autoSpaceDE w:val="0"/>
        <w:autoSpaceDN w:val="0"/>
        <w:adjustRightInd w:val="0"/>
        <w:spacing w:after="120"/>
        <w:rPr>
          <w:lang w:val="en-US" w:eastAsia="fr-BE"/>
        </w:rPr>
      </w:pPr>
      <w:r w:rsidRPr="005B3877">
        <w:rPr>
          <w:lang w:val="en-US" w:eastAsia="fr-BE"/>
        </w:rPr>
        <w:t>Do not freeze.</w:t>
      </w:r>
    </w:p>
    <w:p w14:paraId="0A964AF7" w14:textId="77777777" w:rsidR="00175CCE" w:rsidRPr="005B3877" w:rsidRDefault="00175CCE" w:rsidP="004162F8">
      <w:pPr>
        <w:autoSpaceDE w:val="0"/>
        <w:autoSpaceDN w:val="0"/>
        <w:adjustRightInd w:val="0"/>
        <w:spacing w:after="120"/>
        <w:rPr>
          <w:lang w:val="en-US" w:eastAsia="fr-BE"/>
        </w:rPr>
      </w:pPr>
      <w:r w:rsidRPr="005B3877">
        <w:rPr>
          <w:lang w:val="en-US" w:eastAsia="fr-BE"/>
        </w:rPr>
        <w:t xml:space="preserve">Store in the original package </w:t>
      </w:r>
      <w:proofErr w:type="gramStart"/>
      <w:r w:rsidRPr="005B3877">
        <w:rPr>
          <w:lang w:val="en-US" w:eastAsia="fr-BE"/>
        </w:rPr>
        <w:t>in order to</w:t>
      </w:r>
      <w:proofErr w:type="gramEnd"/>
      <w:r w:rsidRPr="005B3877">
        <w:rPr>
          <w:lang w:val="en-US" w:eastAsia="fr-BE"/>
        </w:rPr>
        <w:t xml:space="preserve"> protect from light.</w:t>
      </w:r>
    </w:p>
    <w:p w14:paraId="42C68D71" w14:textId="77777777" w:rsidR="00175CCE" w:rsidRPr="004F08F3" w:rsidRDefault="00175CCE" w:rsidP="004F08F3">
      <w:pPr>
        <w:rPr>
          <w:noProof/>
        </w:rPr>
      </w:pPr>
      <w:r>
        <w:rPr>
          <w:noProof/>
        </w:rPr>
        <w:t>The unopened vials can be stored at controlled room temperature up to 25</w:t>
      </w:r>
      <w:r w:rsidRPr="004F08F3">
        <w:rPr>
          <w:noProof/>
        </w:rPr>
        <w:t>°C with room light for up to 72</w:t>
      </w:r>
      <w:r w:rsidRPr="005A1381">
        <w:rPr>
          <w:noProof/>
        </w:rPr>
        <w:t> </w:t>
      </w:r>
      <w:r w:rsidRPr="004F08F3">
        <w:rPr>
          <w:noProof/>
        </w:rPr>
        <w:t>hours.</w:t>
      </w:r>
    </w:p>
    <w:p w14:paraId="0E3999DE" w14:textId="058616DE" w:rsidR="00502ECB" w:rsidRPr="004F08F3" w:rsidRDefault="00502ECB" w:rsidP="00692702">
      <w:pPr>
        <w:rPr>
          <w:b/>
          <w:bCs/>
          <w:noProof/>
        </w:rPr>
      </w:pPr>
      <w:r w:rsidRPr="004F08F3">
        <w:rPr>
          <w:b/>
          <w:bCs/>
          <w:noProof/>
        </w:rPr>
        <w:lastRenderedPageBreak/>
        <w:t>After preparation of the infusion</w:t>
      </w:r>
    </w:p>
    <w:p w14:paraId="334E5189" w14:textId="77777777" w:rsidR="00A32403" w:rsidRDefault="00EC1D2B" w:rsidP="00692702">
      <w:pPr>
        <w:rPr>
          <w:rFonts w:cs="Times New Roman"/>
        </w:rPr>
      </w:pPr>
      <w:r>
        <w:rPr>
          <w:rFonts w:cs="Times New Roman"/>
        </w:rPr>
        <w:t xml:space="preserve">This medicinal product does not contain any preservatives. </w:t>
      </w:r>
    </w:p>
    <w:p w14:paraId="476B5969" w14:textId="36B0AFA0" w:rsidR="000073DA" w:rsidRPr="00D91B92" w:rsidRDefault="000073DA" w:rsidP="00692702">
      <w:pPr>
        <w:rPr>
          <w:noProof/>
        </w:rPr>
      </w:pPr>
      <w:r w:rsidRPr="00D91B92">
        <w:rPr>
          <w:noProof/>
        </w:rPr>
        <w:t>To reduce microbiological hazard, once opened</w:t>
      </w:r>
      <w:r w:rsidR="000B62FF" w:rsidRPr="00D91B92">
        <w:rPr>
          <w:noProof/>
        </w:rPr>
        <w:t xml:space="preserve">, the medicinal product should be </w:t>
      </w:r>
      <w:r w:rsidR="007E0E64" w:rsidRPr="00F446FF">
        <w:rPr>
          <w:rFonts w:eastAsia="Times New Roman"/>
        </w:rPr>
        <w:t>infused</w:t>
      </w:r>
      <w:r w:rsidR="001A4028">
        <w:rPr>
          <w:rFonts w:eastAsia="Times New Roman"/>
        </w:rPr>
        <w:t>,</w:t>
      </w:r>
      <w:r w:rsidR="007E0E64" w:rsidRPr="00F446FF">
        <w:rPr>
          <w:rFonts w:eastAsia="Times New Roman"/>
        </w:rPr>
        <w:t xml:space="preserve"> or diluted and infused</w:t>
      </w:r>
      <w:r w:rsidR="001A4028">
        <w:rPr>
          <w:rFonts w:eastAsia="Times New Roman"/>
        </w:rPr>
        <w:t>,</w:t>
      </w:r>
      <w:r w:rsidR="007E0E64">
        <w:rPr>
          <w:rFonts w:eastAsia="Times New Roman"/>
        </w:rPr>
        <w:t xml:space="preserve"> </w:t>
      </w:r>
      <w:r w:rsidR="000B62FF" w:rsidRPr="00D91B92">
        <w:rPr>
          <w:noProof/>
        </w:rPr>
        <w:t>immediately.</w:t>
      </w:r>
    </w:p>
    <w:p w14:paraId="5459284F" w14:textId="6BC541D9" w:rsidR="0030695D" w:rsidRPr="00D91B92" w:rsidRDefault="00F544C7" w:rsidP="00AD4576">
      <w:pPr>
        <w:rPr>
          <w:noProof/>
        </w:rPr>
      </w:pPr>
      <w:r w:rsidRPr="00D91B92">
        <w:rPr>
          <w:noProof/>
        </w:rPr>
        <w:t>If not used immediately</w:t>
      </w:r>
      <w:r w:rsidR="0030695D" w:rsidRPr="00D91B92">
        <w:rPr>
          <w:noProof/>
        </w:rPr>
        <w:t>, store the diluted solution either:</w:t>
      </w:r>
      <w:r w:rsidRPr="00D91B92">
        <w:rPr>
          <w:noProof/>
        </w:rPr>
        <w:t xml:space="preserve"> </w:t>
      </w:r>
    </w:p>
    <w:p w14:paraId="7B6C32D7" w14:textId="08F4A435" w:rsidR="0030695D" w:rsidRPr="006F7E04" w:rsidRDefault="0030695D" w:rsidP="00AD4576">
      <w:pPr>
        <w:pStyle w:val="ListParagraph"/>
        <w:numPr>
          <w:ilvl w:val="0"/>
          <w:numId w:val="40"/>
        </w:numPr>
        <w:rPr>
          <w:rFonts w:ascii="Times New Roman" w:hAnsi="Times New Roman"/>
          <w:noProof/>
        </w:rPr>
      </w:pPr>
      <w:r w:rsidRPr="006F7E04">
        <w:rPr>
          <w:rFonts w:ascii="Times New Roman" w:hAnsi="Times New Roman"/>
          <w:noProof/>
        </w:rPr>
        <w:t xml:space="preserve">At room temperature and room light for no more than 8 hours from the time of preparation to end of the infusion. </w:t>
      </w:r>
      <w:bookmarkStart w:id="9" w:name="_Hlk77693943"/>
      <w:r w:rsidRPr="006F7E04">
        <w:rPr>
          <w:rFonts w:ascii="Times New Roman" w:hAnsi="Times New Roman"/>
          <w:noProof/>
        </w:rPr>
        <w:t>Discard diluted solution if not used within 8 hours from the time of preparation</w:t>
      </w:r>
      <w:bookmarkEnd w:id="9"/>
      <w:r w:rsidRPr="006F7E04">
        <w:rPr>
          <w:rFonts w:ascii="Times New Roman" w:hAnsi="Times New Roman"/>
          <w:noProof/>
        </w:rPr>
        <w:t>;</w:t>
      </w:r>
    </w:p>
    <w:p w14:paraId="00E761A3" w14:textId="77777777" w:rsidR="0030695D" w:rsidRPr="00D91B92" w:rsidRDefault="0030695D" w:rsidP="00AD4576">
      <w:pPr>
        <w:rPr>
          <w:noProof/>
        </w:rPr>
      </w:pPr>
      <w:r w:rsidRPr="00D91B92">
        <w:rPr>
          <w:noProof/>
        </w:rPr>
        <w:t>or</w:t>
      </w:r>
    </w:p>
    <w:p w14:paraId="479963AF" w14:textId="76C1474E" w:rsidR="0030695D" w:rsidRPr="00786294" w:rsidRDefault="0030695D" w:rsidP="00786294">
      <w:pPr>
        <w:pStyle w:val="ListParagraph"/>
        <w:numPr>
          <w:ilvl w:val="0"/>
          <w:numId w:val="40"/>
        </w:numPr>
        <w:spacing w:before="120" w:after="0"/>
        <w:rPr>
          <w:rFonts w:ascii="Times New Roman" w:hAnsi="Times New Roman"/>
          <w:noProof/>
        </w:rPr>
      </w:pPr>
      <w:r w:rsidRPr="00786294">
        <w:rPr>
          <w:rFonts w:ascii="Times New Roman" w:hAnsi="Times New Roman"/>
          <w:noProof/>
        </w:rPr>
        <w:t>Under refrigeration at 2°C to 8°C with protection from light for no more than 24 hours from the time of preparation</w:t>
      </w:r>
      <w:r w:rsidR="00786294" w:rsidRPr="00786294">
        <w:rPr>
          <w:rFonts w:ascii="Times New Roman" w:hAnsi="Times New Roman"/>
          <w:noProof/>
        </w:rPr>
        <w:t>, which includes the time allowed for</w:t>
      </w:r>
      <w:r w:rsidR="00786294">
        <w:rPr>
          <w:rFonts w:ascii="Times New Roman" w:hAnsi="Times New Roman"/>
          <w:noProof/>
        </w:rPr>
        <w:t xml:space="preserve"> </w:t>
      </w:r>
      <w:r w:rsidR="00786294" w:rsidRPr="00786294">
        <w:rPr>
          <w:rFonts w:ascii="Times New Roman" w:hAnsi="Times New Roman"/>
          <w:noProof/>
        </w:rPr>
        <w:t xml:space="preserve">equilibration of the infusion bag to room temperature and the duration of the </w:t>
      </w:r>
      <w:r w:rsidRPr="00786294">
        <w:rPr>
          <w:rFonts w:ascii="Times New Roman" w:hAnsi="Times New Roman"/>
          <w:noProof/>
        </w:rPr>
        <w:t>infusion. Discard diluted solution if not used within 24 hours from the time of preparation.</w:t>
      </w:r>
    </w:p>
    <w:p w14:paraId="1C8B61A3" w14:textId="77777777" w:rsidR="000D34CD" w:rsidRPr="00D91B92" w:rsidRDefault="000D34CD" w:rsidP="000D34CD">
      <w:pPr>
        <w:pStyle w:val="ListParagraph"/>
        <w:spacing w:before="120" w:after="0"/>
        <w:ind w:left="714"/>
        <w:rPr>
          <w:noProof/>
        </w:rPr>
      </w:pPr>
    </w:p>
    <w:p w14:paraId="629216A0" w14:textId="77777777" w:rsidR="0030695D" w:rsidRPr="00D91B92" w:rsidRDefault="0030695D" w:rsidP="00BC6730">
      <w:pPr>
        <w:pStyle w:val="ListParagraph"/>
        <w:numPr>
          <w:ilvl w:val="0"/>
          <w:numId w:val="40"/>
        </w:numPr>
        <w:spacing w:before="120" w:after="0"/>
        <w:ind w:left="714" w:hanging="357"/>
        <w:rPr>
          <w:noProof/>
        </w:rPr>
      </w:pPr>
      <w:r w:rsidRPr="004B7165">
        <w:rPr>
          <w:rFonts w:ascii="Times New Roman" w:hAnsi="Times New Roman"/>
          <w:noProof/>
        </w:rPr>
        <w:t>Do not freeze</w:t>
      </w:r>
      <w:r w:rsidRPr="00D91B92">
        <w:rPr>
          <w:noProof/>
        </w:rPr>
        <w:t>.</w:t>
      </w:r>
    </w:p>
    <w:p w14:paraId="7C235378" w14:textId="77777777" w:rsidR="0030695D" w:rsidRDefault="0030695D" w:rsidP="00692702">
      <w:pPr>
        <w:rPr>
          <w:noProof/>
        </w:rPr>
      </w:pPr>
    </w:p>
    <w:p w14:paraId="3B490D20" w14:textId="1D5F4E69" w:rsidR="001A3992" w:rsidRPr="000A4651" w:rsidRDefault="001A3992" w:rsidP="0083119C">
      <w:pPr>
        <w:pStyle w:val="Heading2"/>
        <w:rPr>
          <w:lang w:val="en-US"/>
        </w:rPr>
      </w:pPr>
      <w:r w:rsidRPr="000A4651">
        <w:rPr>
          <w:lang w:val="en-US"/>
        </w:rPr>
        <w:t>N</w:t>
      </w:r>
      <w:r w:rsidR="005A7542" w:rsidRPr="000A4651">
        <w:rPr>
          <w:lang w:val="en-US"/>
        </w:rPr>
        <w:t>ature and contents of container</w:t>
      </w:r>
    </w:p>
    <w:p w14:paraId="2259D866" w14:textId="36D75D15" w:rsidR="00DF16ED" w:rsidRPr="00DF16ED" w:rsidRDefault="00192A6F">
      <w:pPr>
        <w:pStyle w:val="NoSpacing"/>
        <w:rPr>
          <w:rFonts w:cs="Times New Roman"/>
          <w:b w:val="0"/>
          <w:sz w:val="22"/>
        </w:rPr>
      </w:pPr>
      <w:r w:rsidRPr="00192A6F">
        <w:rPr>
          <w:rFonts w:cs="Times New Roman"/>
          <w:b w:val="0"/>
          <w:sz w:val="22"/>
        </w:rPr>
        <w:t>Pack of one 25 mL vial (Type I glass), stopper (coated butyl rubber) and a yellow flip-off alumin</w:t>
      </w:r>
      <w:r w:rsidR="00186534">
        <w:rPr>
          <w:rFonts w:cs="Times New Roman"/>
          <w:b w:val="0"/>
          <w:sz w:val="22"/>
        </w:rPr>
        <w:t>i</w:t>
      </w:r>
      <w:r w:rsidRPr="00192A6F">
        <w:rPr>
          <w:rFonts w:cs="Times New Roman"/>
          <w:b w:val="0"/>
          <w:sz w:val="22"/>
        </w:rPr>
        <w:t>um seal. Each vial is filled with 21.3 mL of solution, which includes an overfill of 1.3 mL for vial, needle, and syringe holdup</w:t>
      </w:r>
      <w:r w:rsidR="00DF16ED" w:rsidRPr="00DF16ED">
        <w:rPr>
          <w:rFonts w:cs="Times New Roman"/>
          <w:b w:val="0"/>
          <w:sz w:val="22"/>
        </w:rPr>
        <w:t>.</w:t>
      </w:r>
    </w:p>
    <w:p w14:paraId="7C894A4E" w14:textId="249B8E5F" w:rsidR="001A3992" w:rsidRPr="000A4651" w:rsidRDefault="001A3992" w:rsidP="0083119C">
      <w:pPr>
        <w:pStyle w:val="Heading2"/>
        <w:rPr>
          <w:lang w:val="en-US"/>
        </w:rPr>
      </w:pPr>
      <w:r w:rsidRPr="000A4651">
        <w:rPr>
          <w:lang w:val="en-US"/>
        </w:rPr>
        <w:t>S</w:t>
      </w:r>
      <w:r w:rsidR="004F767B" w:rsidRPr="000A4651">
        <w:rPr>
          <w:lang w:val="en-US"/>
        </w:rPr>
        <w:t>pecial precautions for disposal</w:t>
      </w:r>
    </w:p>
    <w:p w14:paraId="6070BAB5" w14:textId="75F520AC" w:rsidR="009D5A41" w:rsidRPr="009D5A41" w:rsidRDefault="009D5A41" w:rsidP="009D5A41">
      <w:pPr>
        <w:rPr>
          <w:b/>
          <w:bCs/>
        </w:rPr>
      </w:pPr>
      <w:r w:rsidRPr="009D5A41">
        <w:rPr>
          <w:b/>
          <w:bCs/>
        </w:rPr>
        <w:t xml:space="preserve">EACH VIAL OF </w:t>
      </w:r>
      <w:r w:rsidR="0044468F">
        <w:rPr>
          <w:b/>
          <w:bCs/>
        </w:rPr>
        <w:t>OPDUALAG</w:t>
      </w:r>
      <w:r w:rsidR="00BA4B7F">
        <w:rPr>
          <w:rFonts w:cs="Times New Roman"/>
          <w:b/>
          <w:bCs/>
        </w:rPr>
        <w:t>™</w:t>
      </w:r>
      <w:r w:rsidRPr="009D5A41">
        <w:rPr>
          <w:b/>
          <w:bCs/>
        </w:rPr>
        <w:t xml:space="preserve"> IS FOR SINGLE USE IN ONE PATIENT ONLY. DISCARD ANY RESIDUE.</w:t>
      </w:r>
    </w:p>
    <w:p w14:paraId="15416A34" w14:textId="1A45A9DF" w:rsidR="003102A5" w:rsidRPr="006B4557" w:rsidRDefault="003102A5" w:rsidP="003102A5">
      <w:r>
        <w:t>Do not store any unused portion of the infusion solution for reuse.</w:t>
      </w:r>
    </w:p>
    <w:p w14:paraId="5FB7A837" w14:textId="77777777" w:rsidR="009D5A41" w:rsidRPr="004E0F60" w:rsidRDefault="009D5A41" w:rsidP="009D5A41">
      <w:pPr>
        <w:spacing w:after="0"/>
      </w:pPr>
      <w:r>
        <w:t>In Australia, a</w:t>
      </w:r>
      <w:r w:rsidRPr="004E0F60">
        <w:t>ny unused medicinal product or waste material should be discarded in accordance with local requirements.</w:t>
      </w:r>
    </w:p>
    <w:p w14:paraId="39F48FB1" w14:textId="77777777" w:rsidR="001A3992" w:rsidRPr="000A4651" w:rsidRDefault="001A3992" w:rsidP="0083119C">
      <w:pPr>
        <w:pStyle w:val="Heading2"/>
        <w:rPr>
          <w:lang w:val="en-US"/>
        </w:rPr>
      </w:pPr>
      <w:r w:rsidRPr="000A4651">
        <w:rPr>
          <w:lang w:val="en-US"/>
        </w:rPr>
        <w:t>Physicochemical properties</w:t>
      </w:r>
    </w:p>
    <w:p w14:paraId="0F90A541" w14:textId="77777777" w:rsidR="001A3992" w:rsidRPr="000A4651" w:rsidRDefault="001A3992" w:rsidP="003067DE">
      <w:pPr>
        <w:pStyle w:val="Heading3"/>
      </w:pPr>
      <w:r w:rsidRPr="000A4651">
        <w:t>CAS number</w:t>
      </w:r>
    </w:p>
    <w:p w14:paraId="4E598562" w14:textId="77777777" w:rsidR="00356319" w:rsidRPr="0077166E" w:rsidRDefault="00356319" w:rsidP="00356319">
      <w:pPr>
        <w:rPr>
          <w:rFonts w:cs="Times New Roman"/>
        </w:rPr>
      </w:pPr>
      <w:r w:rsidRPr="0077166E">
        <w:rPr>
          <w:rFonts w:cs="Times New Roman"/>
        </w:rPr>
        <w:t xml:space="preserve">Nivolumab: </w:t>
      </w:r>
      <w:r w:rsidRPr="0077166E">
        <w:rPr>
          <w:snapToGrid w:val="0"/>
        </w:rPr>
        <w:t>CAS: 946414-94-4.</w:t>
      </w:r>
    </w:p>
    <w:p w14:paraId="1A86FDA9" w14:textId="239846CD" w:rsidR="00207448" w:rsidRPr="0077166E" w:rsidRDefault="0077166E" w:rsidP="00207448">
      <w:pPr>
        <w:spacing w:after="120"/>
        <w:rPr>
          <w:rFonts w:cs="Times New Roman"/>
        </w:rPr>
      </w:pPr>
      <w:proofErr w:type="spellStart"/>
      <w:r w:rsidRPr="0077166E">
        <w:rPr>
          <w:rFonts w:cs="Times New Roman"/>
        </w:rPr>
        <w:t>Relatlimab</w:t>
      </w:r>
      <w:proofErr w:type="spellEnd"/>
      <w:r w:rsidRPr="0077166E">
        <w:rPr>
          <w:rFonts w:cs="Times New Roman"/>
        </w:rPr>
        <w:t xml:space="preserve">: </w:t>
      </w:r>
      <w:r w:rsidR="00274692">
        <w:rPr>
          <w:rFonts w:cs="Times New Roman"/>
        </w:rPr>
        <w:t xml:space="preserve">CAS: </w:t>
      </w:r>
      <w:r w:rsidRPr="0077166E">
        <w:rPr>
          <w:rFonts w:cs="Times New Roman"/>
        </w:rPr>
        <w:t>1673516-98-7</w:t>
      </w:r>
    </w:p>
    <w:p w14:paraId="3B206A7B" w14:textId="77777777" w:rsidR="001A3992" w:rsidRPr="000A4651" w:rsidRDefault="001A3992" w:rsidP="00C27979">
      <w:pPr>
        <w:pStyle w:val="Heading1"/>
      </w:pPr>
      <w:r w:rsidRPr="000A4651">
        <w:t>Medicine schedule (Poisons Standard)</w:t>
      </w:r>
    </w:p>
    <w:p w14:paraId="3B8B424C" w14:textId="30ABA54E" w:rsidR="00207448" w:rsidRPr="000A4651" w:rsidRDefault="00BF3128" w:rsidP="00207448">
      <w:pPr>
        <w:rPr>
          <w:rFonts w:cs="Times New Roman"/>
          <w:lang w:val="en-US"/>
        </w:rPr>
      </w:pPr>
      <w:r>
        <w:rPr>
          <w:rFonts w:cs="Times New Roman"/>
          <w:lang w:val="en-US"/>
        </w:rPr>
        <w:t xml:space="preserve">Schedule 4 - </w:t>
      </w:r>
      <w:r w:rsidR="00207448" w:rsidRPr="000A4651">
        <w:rPr>
          <w:rFonts w:cs="Times New Roman"/>
          <w:lang w:val="en-US"/>
        </w:rPr>
        <w:t>Prescription Only Medicine</w:t>
      </w:r>
      <w:r w:rsidR="00C300B1" w:rsidRPr="000A4651">
        <w:rPr>
          <w:rFonts w:cs="Times New Roman"/>
          <w:lang w:val="en-US"/>
        </w:rPr>
        <w:t>.</w:t>
      </w:r>
    </w:p>
    <w:p w14:paraId="65A1CF8A" w14:textId="77777777" w:rsidR="001A3992" w:rsidRPr="000A4651" w:rsidRDefault="001A3992" w:rsidP="00C27979">
      <w:pPr>
        <w:pStyle w:val="Heading1"/>
      </w:pPr>
      <w:r w:rsidRPr="000A4651">
        <w:t>Sponsor</w:t>
      </w:r>
    </w:p>
    <w:p w14:paraId="3BDC93D9" w14:textId="77777777" w:rsidR="00C300B1" w:rsidRPr="000A4651" w:rsidRDefault="00A20060" w:rsidP="00C300B1">
      <w:pPr>
        <w:spacing w:after="0"/>
        <w:rPr>
          <w:rFonts w:cs="Times New Roman"/>
        </w:rPr>
      </w:pPr>
      <w:r w:rsidRPr="000A4651">
        <w:rPr>
          <w:rFonts w:cs="Times New Roman"/>
        </w:rPr>
        <w:t>Bristol-Myers Squibb Australia Pty Ltd</w:t>
      </w:r>
    </w:p>
    <w:p w14:paraId="1D4FA472" w14:textId="77777777" w:rsidR="00C300B1" w:rsidRPr="000A4651" w:rsidRDefault="00A20060" w:rsidP="00C300B1">
      <w:pPr>
        <w:spacing w:after="0"/>
        <w:rPr>
          <w:rFonts w:cs="Times New Roman"/>
        </w:rPr>
      </w:pPr>
      <w:r w:rsidRPr="000A4651">
        <w:rPr>
          <w:rFonts w:cs="Times New Roman"/>
        </w:rPr>
        <w:t>4 Nexus Court, Mulgrave,</w:t>
      </w:r>
    </w:p>
    <w:p w14:paraId="6CF9DC6B" w14:textId="13646A3B" w:rsidR="00A20060" w:rsidRPr="000A4651" w:rsidRDefault="00A20060" w:rsidP="00C300B1">
      <w:pPr>
        <w:spacing w:after="0"/>
        <w:rPr>
          <w:rFonts w:cs="Times New Roman"/>
        </w:rPr>
      </w:pPr>
      <w:r w:rsidRPr="000A4651">
        <w:rPr>
          <w:rFonts w:cs="Times New Roman"/>
        </w:rPr>
        <w:t>Victoria 3170, Australia.</w:t>
      </w:r>
    </w:p>
    <w:p w14:paraId="0F2BF442" w14:textId="36101B0E" w:rsidR="004E0E70" w:rsidRPr="000A4651" w:rsidRDefault="004E0E70" w:rsidP="00C300B1">
      <w:pPr>
        <w:spacing w:after="0"/>
        <w:rPr>
          <w:rFonts w:cs="Times New Roman"/>
        </w:rPr>
      </w:pPr>
      <w:r w:rsidRPr="000A4651">
        <w:rPr>
          <w:rFonts w:cs="Times New Roman"/>
        </w:rPr>
        <w:t>Toll free number: 1800 067 567</w:t>
      </w:r>
    </w:p>
    <w:p w14:paraId="24463FF3" w14:textId="1C592443" w:rsidR="004E0E70" w:rsidRPr="000A4651" w:rsidRDefault="004E0E70" w:rsidP="00C300B1">
      <w:pPr>
        <w:rPr>
          <w:rFonts w:cs="Times New Roman"/>
        </w:rPr>
      </w:pPr>
      <w:r w:rsidRPr="000A4651">
        <w:rPr>
          <w:rFonts w:cs="Times New Roman"/>
        </w:rPr>
        <w:t xml:space="preserve">Email: </w:t>
      </w:r>
      <w:hyperlink r:id="rId13" w:history="1">
        <w:r w:rsidRPr="000A4651">
          <w:rPr>
            <w:rFonts w:cs="Times New Roman"/>
          </w:rPr>
          <w:t>MedInfo.Australia@bms.com</w:t>
        </w:r>
      </w:hyperlink>
    </w:p>
    <w:p w14:paraId="0BA3DFB1" w14:textId="4EBC4DBA" w:rsidR="001A3992" w:rsidRPr="000A4651" w:rsidRDefault="001A3992" w:rsidP="00C27979">
      <w:pPr>
        <w:pStyle w:val="Heading1"/>
      </w:pPr>
      <w:r w:rsidRPr="000A4651">
        <w:lastRenderedPageBreak/>
        <w:t>Date</w:t>
      </w:r>
      <w:r w:rsidR="007C4044" w:rsidRPr="000A4651">
        <w:t xml:space="preserve"> of first approval (ARTG entry)</w:t>
      </w:r>
    </w:p>
    <w:p w14:paraId="516EA795" w14:textId="7306DB9D" w:rsidR="00207448" w:rsidRPr="0048517D" w:rsidRDefault="00CA6133" w:rsidP="00207448">
      <w:pPr>
        <w:ind w:left="630" w:hanging="630"/>
        <w:rPr>
          <w:rFonts w:cs="Times New Roman"/>
        </w:rPr>
      </w:pPr>
      <w:r>
        <w:rPr>
          <w:rFonts w:cs="Times New Roman"/>
        </w:rPr>
        <w:t>7 October 2022</w:t>
      </w:r>
    </w:p>
    <w:p w14:paraId="28C934C3" w14:textId="77777777" w:rsidR="001A3992" w:rsidRPr="000A4651" w:rsidRDefault="001A3992" w:rsidP="00CB5929">
      <w:pPr>
        <w:pStyle w:val="Heading1"/>
      </w:pPr>
      <w:r w:rsidRPr="000A4651">
        <w:t>Date of revision of the text</w:t>
      </w:r>
    </w:p>
    <w:p w14:paraId="6CBD3527" w14:textId="2FE0848A" w:rsidR="007C4044" w:rsidRPr="0048517D" w:rsidRDefault="00870CF1" w:rsidP="00207448">
      <w:pPr>
        <w:ind w:left="630" w:hanging="630"/>
        <w:rPr>
          <w:rFonts w:cs="Times New Roman"/>
        </w:rPr>
      </w:pPr>
      <w:r>
        <w:rPr>
          <w:rFonts w:cs="Times New Roman"/>
        </w:rPr>
        <w:t>N/A</w:t>
      </w:r>
    </w:p>
    <w:p w14:paraId="49F9DDCD" w14:textId="77777777" w:rsidR="001A3992" w:rsidRPr="000A4651" w:rsidRDefault="001A3992" w:rsidP="0083119C">
      <w:pPr>
        <w:pStyle w:val="Heading2"/>
        <w:numPr>
          <w:ilvl w:val="0"/>
          <w:numId w:val="0"/>
        </w:numPr>
        <w:rPr>
          <w:lang w:val="en-US"/>
        </w:rPr>
      </w:pPr>
      <w:r w:rsidRPr="000A4651">
        <w:rPr>
          <w:lang w:val="en-US"/>
        </w:rPr>
        <w:t>Summary table of changes</w:t>
      </w:r>
    </w:p>
    <w:p w14:paraId="49726D29" w14:textId="3205F8FB" w:rsidR="00AB778A" w:rsidRPr="00DF1788" w:rsidRDefault="00AB778A" w:rsidP="00AB778A">
      <w:pPr>
        <w:rPr>
          <w:rFonts w:cs="Times New Roman"/>
        </w:rPr>
      </w:pPr>
    </w:p>
    <w:tbl>
      <w:tblPr>
        <w:tblStyle w:val="LightGrid"/>
        <w:tblW w:w="9062" w:type="dxa"/>
        <w:tblCellMar>
          <w:top w:w="57" w:type="dxa"/>
          <w:bottom w:w="57" w:type="dxa"/>
        </w:tblCellMar>
        <w:tblLook w:val="06A0" w:firstRow="1" w:lastRow="0" w:firstColumn="1" w:lastColumn="0" w:noHBand="1" w:noVBand="1"/>
      </w:tblPr>
      <w:tblGrid>
        <w:gridCol w:w="1368"/>
        <w:gridCol w:w="7694"/>
      </w:tblGrid>
      <w:tr w:rsidR="003217A8" w:rsidRPr="000A4651" w14:paraId="7BCF663E" w14:textId="77777777" w:rsidTr="00BF31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shd w:val="clear" w:color="auto" w:fill="F2F2F2" w:themeFill="background1" w:themeFillShade="F2"/>
            <w:vAlign w:val="center"/>
          </w:tcPr>
          <w:p w14:paraId="11BEEDD2" w14:textId="77777777" w:rsidR="003217A8" w:rsidRPr="000A4651" w:rsidRDefault="003217A8" w:rsidP="001A3992">
            <w:pPr>
              <w:rPr>
                <w:rFonts w:cs="Times New Roman"/>
                <w:sz w:val="20"/>
                <w:lang w:val="en-US"/>
              </w:rPr>
            </w:pPr>
            <w:r w:rsidRPr="000A4651">
              <w:rPr>
                <w:rFonts w:cs="Times New Roman"/>
                <w:sz w:val="20"/>
                <w:lang w:val="en-US"/>
              </w:rPr>
              <w:t>Section Changed</w:t>
            </w:r>
          </w:p>
        </w:tc>
        <w:tc>
          <w:tcPr>
            <w:tcW w:w="7694" w:type="dxa"/>
            <w:shd w:val="clear" w:color="auto" w:fill="F2F2F2" w:themeFill="background1" w:themeFillShade="F2"/>
            <w:vAlign w:val="center"/>
          </w:tcPr>
          <w:p w14:paraId="4338F9AE" w14:textId="77777777" w:rsidR="003217A8" w:rsidRPr="000A4651" w:rsidRDefault="003217A8" w:rsidP="001A3992">
            <w:pPr>
              <w:cnfStyle w:val="100000000000" w:firstRow="1" w:lastRow="0" w:firstColumn="0" w:lastColumn="0" w:oddVBand="0" w:evenVBand="0" w:oddHBand="0" w:evenHBand="0" w:firstRowFirstColumn="0" w:firstRowLastColumn="0" w:lastRowFirstColumn="0" w:lastRowLastColumn="0"/>
              <w:rPr>
                <w:rFonts w:cs="Times New Roman"/>
                <w:sz w:val="20"/>
                <w:lang w:val="en-US"/>
              </w:rPr>
            </w:pPr>
            <w:r w:rsidRPr="000A4651">
              <w:rPr>
                <w:rFonts w:cs="Times New Roman"/>
                <w:sz w:val="20"/>
                <w:lang w:val="en-US"/>
              </w:rPr>
              <w:t>Summary of new information</w:t>
            </w:r>
          </w:p>
        </w:tc>
      </w:tr>
      <w:tr w:rsidR="003217A8" w:rsidRPr="000A4651" w14:paraId="74F286C1" w14:textId="77777777" w:rsidTr="00BF3128">
        <w:tc>
          <w:tcPr>
            <w:cnfStyle w:val="001000000000" w:firstRow="0" w:lastRow="0" w:firstColumn="1" w:lastColumn="0" w:oddVBand="0" w:evenVBand="0" w:oddHBand="0" w:evenHBand="0" w:firstRowFirstColumn="0" w:firstRowLastColumn="0" w:lastRowFirstColumn="0" w:lastRowLastColumn="0"/>
            <w:tcW w:w="1368" w:type="dxa"/>
            <w:vAlign w:val="center"/>
          </w:tcPr>
          <w:p w14:paraId="5E925727" w14:textId="54953904" w:rsidR="003217A8" w:rsidRPr="000A4651" w:rsidRDefault="00F74D06" w:rsidP="001A3992">
            <w:pPr>
              <w:rPr>
                <w:rFonts w:cs="Times New Roman"/>
                <w:lang w:val="en-US"/>
              </w:rPr>
            </w:pPr>
            <w:r>
              <w:rPr>
                <w:rFonts w:cs="Times New Roman"/>
                <w:lang w:val="en-US"/>
              </w:rPr>
              <w:t>V1.0</w:t>
            </w:r>
          </w:p>
        </w:tc>
        <w:tc>
          <w:tcPr>
            <w:tcW w:w="7694" w:type="dxa"/>
            <w:vAlign w:val="center"/>
          </w:tcPr>
          <w:p w14:paraId="6B4298F3" w14:textId="4E63D2EA" w:rsidR="003217A8" w:rsidRPr="000A4651" w:rsidRDefault="0048517D" w:rsidP="001A3992">
            <w:pPr>
              <w:cnfStyle w:val="000000000000" w:firstRow="0" w:lastRow="0" w:firstColumn="0" w:lastColumn="0" w:oddVBand="0" w:evenVBand="0" w:oddHBand="0" w:evenHBand="0" w:firstRowFirstColumn="0" w:firstRowLastColumn="0" w:lastRowFirstColumn="0" w:lastRowLastColumn="0"/>
              <w:rPr>
                <w:rFonts w:cs="Times New Roman"/>
                <w:lang w:val="en-US"/>
              </w:rPr>
            </w:pPr>
            <w:r>
              <w:rPr>
                <w:rFonts w:cs="Times New Roman"/>
                <w:lang w:val="en-US"/>
              </w:rPr>
              <w:t xml:space="preserve">This is the first </w:t>
            </w:r>
            <w:r w:rsidR="00F74D06">
              <w:rPr>
                <w:rFonts w:cs="Times New Roman"/>
                <w:lang w:val="en-US"/>
              </w:rPr>
              <w:t xml:space="preserve">version of the </w:t>
            </w:r>
            <w:r w:rsidR="009F48F0">
              <w:rPr>
                <w:rFonts w:cs="Times New Roman"/>
                <w:lang w:val="en-US"/>
              </w:rPr>
              <w:t>PI</w:t>
            </w:r>
            <w:r w:rsidR="00F74D06">
              <w:rPr>
                <w:rFonts w:cs="Times New Roman"/>
                <w:lang w:val="en-US"/>
              </w:rPr>
              <w:t>.</w:t>
            </w:r>
          </w:p>
        </w:tc>
      </w:tr>
    </w:tbl>
    <w:p w14:paraId="1E6CBE4A" w14:textId="2F5B43D3" w:rsidR="00960CD5" w:rsidRPr="000A4651" w:rsidRDefault="0044468F" w:rsidP="00C300B1">
      <w:pPr>
        <w:spacing w:before="240" w:after="120"/>
        <w:rPr>
          <w:rFonts w:cs="Times New Roman"/>
        </w:rPr>
      </w:pPr>
      <w:r>
        <w:rPr>
          <w:rFonts w:cs="Times New Roman"/>
          <w:lang w:val="en-US"/>
        </w:rPr>
        <w:t>OPDUALAG</w:t>
      </w:r>
      <w:r w:rsidR="00D25E47">
        <w:rPr>
          <w:rFonts w:cs="Times New Roman"/>
          <w:lang w:val="en-US"/>
        </w:rPr>
        <w:t>™</w:t>
      </w:r>
      <w:r w:rsidR="004704A9" w:rsidRPr="000A4651">
        <w:rPr>
          <w:rFonts w:cs="Times New Roman"/>
          <w:lang w:val="en-US"/>
        </w:rPr>
        <w:t xml:space="preserve"> is a registered trademark of Bristol-Myers Squibb</w:t>
      </w:r>
      <w:r w:rsidR="004D18C7" w:rsidRPr="000A4651">
        <w:rPr>
          <w:rFonts w:cs="Times New Roman"/>
          <w:lang w:val="en-US"/>
        </w:rPr>
        <w:t xml:space="preserve"> Company</w:t>
      </w:r>
      <w:r w:rsidR="00CB5929" w:rsidRPr="000A4651">
        <w:rPr>
          <w:rFonts w:cs="Times New Roman"/>
          <w:lang w:val="en-US"/>
        </w:rPr>
        <w:t>.</w:t>
      </w:r>
    </w:p>
    <w:sectPr w:rsidR="00960CD5" w:rsidRPr="000A4651" w:rsidSect="0051298D">
      <w:headerReference w:type="default" r:id="rId14"/>
      <w:footerReference w:type="default" r:id="rId15"/>
      <w:endnotePr>
        <w:numFmt w:val="decimal"/>
      </w:endnotePr>
      <w:pgSz w:w="11906" w:h="16838"/>
      <w:pgMar w:top="72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5F305" w14:textId="77777777" w:rsidR="00CC656E" w:rsidRDefault="00CC656E" w:rsidP="001A3992">
      <w:pPr>
        <w:spacing w:after="0"/>
      </w:pPr>
      <w:r>
        <w:separator/>
      </w:r>
    </w:p>
  </w:endnote>
  <w:endnote w:type="continuationSeparator" w:id="0">
    <w:p w14:paraId="2939799B" w14:textId="77777777" w:rsidR="00CC656E" w:rsidRDefault="00CC656E" w:rsidP="001A3992">
      <w:pPr>
        <w:spacing w:after="0"/>
      </w:pPr>
      <w:r>
        <w:continuationSeparator/>
      </w:r>
    </w:p>
  </w:endnote>
  <w:endnote w:type="continuationNotice" w:id="1">
    <w:p w14:paraId="61C3B4B4" w14:textId="77777777" w:rsidR="00CC656E" w:rsidRDefault="00CC65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w:panose1 w:val="00000000000000000000"/>
    <w:charset w:val="00"/>
    <w:family w:val="roman"/>
    <w:notTrueType/>
    <w:pitch w:val="default"/>
    <w:sig w:usb0="00000083" w:usb1="08070000" w:usb2="00000010" w:usb3="00000000" w:csb0="0002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593163430"/>
      <w:docPartObj>
        <w:docPartGallery w:val="Page Numbers (Bottom of Page)"/>
        <w:docPartUnique/>
      </w:docPartObj>
    </w:sdtPr>
    <w:sdtEndPr>
      <w:rPr>
        <w:noProof/>
        <w:sz w:val="20"/>
      </w:rPr>
    </w:sdtEndPr>
    <w:sdtContent>
      <w:p w14:paraId="13ED8EB3" w14:textId="02FC88DD" w:rsidR="00532AD1" w:rsidRPr="003109D8" w:rsidRDefault="00532AD1" w:rsidP="003109D8">
        <w:pPr>
          <w:pStyle w:val="Footer"/>
          <w:tabs>
            <w:tab w:val="clear" w:pos="4513"/>
          </w:tabs>
          <w:rPr>
            <w:rFonts w:ascii="Times New Roman" w:hAnsi="Times New Roman" w:cs="Times New Roman"/>
            <w:sz w:val="20"/>
          </w:rPr>
        </w:pPr>
        <w:r w:rsidRPr="003109D8">
          <w:rPr>
            <w:rFonts w:ascii="Times New Roman" w:hAnsi="Times New Roman" w:cs="Times New Roman"/>
            <w:sz w:val="20"/>
            <w:szCs w:val="20"/>
          </w:rPr>
          <w:t>AU_PI_</w:t>
        </w:r>
        <w:r>
          <w:rPr>
            <w:rFonts w:ascii="Times New Roman" w:hAnsi="Times New Roman" w:cs="Times New Roman"/>
            <w:sz w:val="20"/>
            <w:szCs w:val="20"/>
          </w:rPr>
          <w:t>OPDUALAG_</w:t>
        </w:r>
        <w:r w:rsidR="00870CF1">
          <w:rPr>
            <w:rFonts w:ascii="Times New Roman" w:hAnsi="Times New Roman" w:cs="Times New Roman"/>
            <w:sz w:val="20"/>
            <w:szCs w:val="20"/>
          </w:rPr>
          <w:t>1.0</w:t>
        </w:r>
        <w:r>
          <w:rPr>
            <w:rFonts w:ascii="Times New Roman" w:hAnsi="Times New Roman" w:cs="Times New Roman"/>
            <w:sz w:val="20"/>
            <w:szCs w:val="20"/>
          </w:rPr>
          <w:tab/>
        </w:r>
        <w:r w:rsidRPr="003109D8">
          <w:rPr>
            <w:rFonts w:ascii="Times New Roman" w:hAnsi="Times New Roman" w:cs="Times New Roman"/>
            <w:sz w:val="20"/>
          </w:rPr>
          <w:fldChar w:fldCharType="begin"/>
        </w:r>
        <w:r w:rsidRPr="003109D8">
          <w:rPr>
            <w:rFonts w:ascii="Times New Roman" w:hAnsi="Times New Roman" w:cs="Times New Roman"/>
            <w:sz w:val="20"/>
          </w:rPr>
          <w:instrText xml:space="preserve"> PAGE   \* MERGEFORMAT </w:instrText>
        </w:r>
        <w:r w:rsidRPr="003109D8">
          <w:rPr>
            <w:rFonts w:ascii="Times New Roman" w:hAnsi="Times New Roman" w:cs="Times New Roman"/>
            <w:sz w:val="20"/>
          </w:rPr>
          <w:fldChar w:fldCharType="separate"/>
        </w:r>
        <w:r>
          <w:rPr>
            <w:rFonts w:ascii="Times New Roman" w:hAnsi="Times New Roman" w:cs="Times New Roman"/>
            <w:noProof/>
            <w:sz w:val="20"/>
          </w:rPr>
          <w:t>1</w:t>
        </w:r>
        <w:r w:rsidRPr="003109D8">
          <w:rPr>
            <w:rFonts w:ascii="Times New Roman" w:hAnsi="Times New Roman" w:cs="Times New Roman"/>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9ECC0" w14:textId="77777777" w:rsidR="00CC656E" w:rsidRDefault="00CC656E" w:rsidP="001A3992">
      <w:pPr>
        <w:spacing w:after="0"/>
      </w:pPr>
      <w:r>
        <w:separator/>
      </w:r>
    </w:p>
  </w:footnote>
  <w:footnote w:type="continuationSeparator" w:id="0">
    <w:p w14:paraId="0A98BF8D" w14:textId="77777777" w:rsidR="00CC656E" w:rsidRDefault="00CC656E" w:rsidP="001A3992">
      <w:pPr>
        <w:spacing w:after="0"/>
      </w:pPr>
      <w:r>
        <w:continuationSeparator/>
      </w:r>
    </w:p>
  </w:footnote>
  <w:footnote w:type="continuationNotice" w:id="1">
    <w:p w14:paraId="14591A03" w14:textId="77777777" w:rsidR="00CC656E" w:rsidRDefault="00CC656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shd w:val="clear" w:color="auto" w:fill="E4F2E0"/>
      <w:tblLook w:val="04A0" w:firstRow="1" w:lastRow="0" w:firstColumn="1" w:lastColumn="0" w:noHBand="0" w:noVBand="1"/>
    </w:tblPr>
    <w:tblGrid>
      <w:gridCol w:w="9016"/>
    </w:tblGrid>
    <w:tr w:rsidR="00C44BDF" w:rsidRPr="000B2145" w14:paraId="536A83A1" w14:textId="77777777" w:rsidTr="0042208F">
      <w:trPr>
        <w:trHeight w:val="1012"/>
      </w:trPr>
      <w:tc>
        <w:tcPr>
          <w:tcW w:w="9039" w:type="dxa"/>
          <w:shd w:val="clear" w:color="auto" w:fill="E4F2E0"/>
        </w:tcPr>
        <w:p w14:paraId="74C20C9B" w14:textId="77777777" w:rsidR="00C44BDF" w:rsidRPr="000E4791" w:rsidRDefault="00C44BDF" w:rsidP="00C44BDF">
          <w:pPr>
            <w:pStyle w:val="Footer"/>
            <w:rPr>
              <w:b/>
              <w:sz w:val="18"/>
              <w:szCs w:val="18"/>
            </w:rPr>
          </w:pPr>
          <w:r w:rsidRPr="00EE2A41">
            <w:rPr>
              <w:b/>
              <w:sz w:val="18"/>
              <w:szCs w:val="18"/>
            </w:rPr>
            <w:t xml:space="preserve">Attachment </w:t>
          </w:r>
          <w:proofErr w:type="spellStart"/>
          <w:r w:rsidRPr="00482FFF">
            <w:rPr>
              <w:b/>
              <w:sz w:val="18"/>
              <w:szCs w:val="18"/>
            </w:rPr>
            <w:t>AusPAR</w:t>
          </w:r>
          <w:proofErr w:type="spellEnd"/>
          <w:r w:rsidRPr="00482FFF">
            <w:rPr>
              <w:b/>
              <w:sz w:val="18"/>
              <w:szCs w:val="18"/>
            </w:rPr>
            <w:t xml:space="preserve"> </w:t>
          </w:r>
          <w:r>
            <w:rPr>
              <w:b/>
              <w:sz w:val="18"/>
              <w:szCs w:val="18"/>
            </w:rPr>
            <w:t>–</w:t>
          </w:r>
          <w:r w:rsidRPr="00482FFF">
            <w:rPr>
              <w:b/>
              <w:sz w:val="18"/>
              <w:szCs w:val="18"/>
            </w:rPr>
            <w:t xml:space="preserve"> </w:t>
          </w:r>
          <w:proofErr w:type="spellStart"/>
          <w:r w:rsidRPr="00857535">
            <w:rPr>
              <w:b/>
              <w:sz w:val="18"/>
              <w:szCs w:val="18"/>
            </w:rPr>
            <w:t>Opdualag</w:t>
          </w:r>
          <w:proofErr w:type="spellEnd"/>
          <w:r w:rsidRPr="00857535">
            <w:rPr>
              <w:b/>
              <w:sz w:val="18"/>
              <w:szCs w:val="18"/>
            </w:rPr>
            <w:t xml:space="preserve"> </w:t>
          </w:r>
          <w:r>
            <w:rPr>
              <w:b/>
              <w:sz w:val="18"/>
              <w:szCs w:val="18"/>
            </w:rPr>
            <w:t>–</w:t>
          </w:r>
          <w:r w:rsidRPr="00482FFF">
            <w:rPr>
              <w:b/>
              <w:sz w:val="18"/>
              <w:szCs w:val="18"/>
            </w:rPr>
            <w:t xml:space="preserve"> </w:t>
          </w:r>
          <w:r w:rsidRPr="00C568AB">
            <w:rPr>
              <w:b/>
              <w:sz w:val="18"/>
              <w:szCs w:val="18"/>
            </w:rPr>
            <w:t xml:space="preserve">Nivolumab and </w:t>
          </w:r>
          <w:proofErr w:type="spellStart"/>
          <w:r w:rsidRPr="00C568AB">
            <w:rPr>
              <w:b/>
              <w:sz w:val="18"/>
              <w:szCs w:val="18"/>
            </w:rPr>
            <w:t>Relatlimab</w:t>
          </w:r>
          <w:proofErr w:type="spellEnd"/>
          <w:r w:rsidRPr="00C568AB">
            <w:rPr>
              <w:b/>
              <w:sz w:val="18"/>
              <w:szCs w:val="18"/>
            </w:rPr>
            <w:t xml:space="preserve"> </w:t>
          </w:r>
          <w:r>
            <w:rPr>
              <w:b/>
              <w:sz w:val="18"/>
              <w:szCs w:val="18"/>
            </w:rPr>
            <w:t>–</w:t>
          </w:r>
          <w:r w:rsidRPr="00482FFF">
            <w:rPr>
              <w:b/>
              <w:sz w:val="18"/>
              <w:szCs w:val="18"/>
            </w:rPr>
            <w:t xml:space="preserve"> </w:t>
          </w:r>
          <w:r w:rsidRPr="00B9153E">
            <w:rPr>
              <w:b/>
              <w:sz w:val="18"/>
              <w:szCs w:val="18"/>
            </w:rPr>
            <w:t>Bristol-Myers Squibb Australia Pty Ltd</w:t>
          </w:r>
          <w:r>
            <w:rPr>
              <w:b/>
              <w:sz w:val="18"/>
              <w:szCs w:val="18"/>
            </w:rPr>
            <w:t xml:space="preserve"> </w:t>
          </w:r>
          <w:r w:rsidRPr="00482FFF">
            <w:rPr>
              <w:b/>
              <w:sz w:val="18"/>
              <w:szCs w:val="18"/>
            </w:rPr>
            <w:t xml:space="preserve">- </w:t>
          </w:r>
          <w:r>
            <w:rPr>
              <w:b/>
              <w:sz w:val="18"/>
              <w:szCs w:val="18"/>
            </w:rPr>
            <w:br/>
          </w:r>
          <w:r w:rsidRPr="00E15606">
            <w:rPr>
              <w:b/>
              <w:sz w:val="18"/>
              <w:szCs w:val="18"/>
            </w:rPr>
            <w:t>PM 2021-03689-1-4</w:t>
          </w:r>
          <w:r>
            <w:rPr>
              <w:b/>
              <w:sz w:val="18"/>
              <w:szCs w:val="18"/>
            </w:rPr>
            <w:t xml:space="preserve"> </w:t>
          </w:r>
          <w:r w:rsidRPr="00482FFF">
            <w:rPr>
              <w:b/>
              <w:sz w:val="18"/>
              <w:szCs w:val="18"/>
            </w:rPr>
            <w:t>-</w:t>
          </w:r>
          <w:r>
            <w:rPr>
              <w:b/>
              <w:sz w:val="18"/>
              <w:szCs w:val="18"/>
            </w:rPr>
            <w:t xml:space="preserve"> </w:t>
          </w:r>
          <w:r w:rsidRPr="00482FFF">
            <w:rPr>
              <w:b/>
              <w:sz w:val="18"/>
              <w:szCs w:val="18"/>
            </w:rPr>
            <w:t xml:space="preserve">FINAL </w:t>
          </w:r>
          <w:r w:rsidRPr="006B1698">
            <w:rPr>
              <w:b/>
              <w:sz w:val="18"/>
              <w:szCs w:val="18"/>
            </w:rPr>
            <w:t>22 December 2023</w:t>
          </w:r>
          <w:r>
            <w:rPr>
              <w:b/>
              <w:sz w:val="18"/>
              <w:szCs w:val="18"/>
            </w:rPr>
            <w:t>.</w:t>
          </w:r>
          <w:r w:rsidRPr="00EE2A41">
            <w:rPr>
              <w:b/>
              <w:sz w:val="18"/>
              <w:szCs w:val="18"/>
            </w:rPr>
            <w:t xml:space="preserve"> This is the Product Information that was approved with the submission described in this </w:t>
          </w:r>
          <w:proofErr w:type="spellStart"/>
          <w:r w:rsidRPr="00EE2A41">
            <w:rPr>
              <w:b/>
              <w:sz w:val="18"/>
              <w:szCs w:val="18"/>
            </w:rPr>
            <w:t>AusPAR</w:t>
          </w:r>
          <w:proofErr w:type="spellEnd"/>
          <w:r w:rsidRPr="00EE2A41">
            <w:rPr>
              <w:b/>
              <w:sz w:val="18"/>
              <w:szCs w:val="18"/>
            </w:rPr>
            <w:t>. It may have been superseded. For the most recent PI, please refer to the TGA website at</w:t>
          </w:r>
          <w:r w:rsidRPr="000E4791">
            <w:rPr>
              <w:b/>
              <w:sz w:val="18"/>
              <w:szCs w:val="18"/>
            </w:rPr>
            <w:t xml:space="preserve"> &lt;</w:t>
          </w:r>
          <w:hyperlink r:id="rId1" w:history="1">
            <w:r w:rsidRPr="000E4791">
              <w:rPr>
                <w:rStyle w:val="Hyperlink"/>
                <w:sz w:val="18"/>
                <w:szCs w:val="18"/>
              </w:rPr>
              <w:t>https://www.tga.gov.au/product-information-pi</w:t>
            </w:r>
          </w:hyperlink>
          <w:r w:rsidRPr="000E4791">
            <w:rPr>
              <w:b/>
              <w:sz w:val="18"/>
              <w:szCs w:val="18"/>
              <w:u w:val="single"/>
            </w:rPr>
            <w:t>&gt;</w:t>
          </w:r>
        </w:p>
      </w:tc>
    </w:tr>
  </w:tbl>
  <w:p w14:paraId="13EBB7C1" w14:textId="77777777" w:rsidR="00C44BDF" w:rsidRDefault="00C44B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F02"/>
    <w:multiLevelType w:val="hybridMultilevel"/>
    <w:tmpl w:val="7D48C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3F1EE4"/>
    <w:multiLevelType w:val="hybridMultilevel"/>
    <w:tmpl w:val="80301114"/>
    <w:lvl w:ilvl="0" w:tplc="E7C630E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1E017A"/>
    <w:multiLevelType w:val="hybridMultilevel"/>
    <w:tmpl w:val="A1D4D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591682"/>
    <w:multiLevelType w:val="multilevel"/>
    <w:tmpl w:val="507ACA76"/>
    <w:styleLink w:val="BMSBulletMulti"/>
    <w:lvl w:ilvl="0">
      <w:start w:val="1"/>
      <w:numFmt w:val="bullet"/>
      <w:lvlRestart w:val="0"/>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o"/>
      <w:lvlJc w:val="left"/>
      <w:pPr>
        <w:tabs>
          <w:tab w:val="num" w:pos="1440"/>
        </w:tabs>
        <w:ind w:left="1440" w:hanging="360"/>
      </w:pPr>
      <w:rPr>
        <w:rFonts w:ascii="Courier New" w:hAnsi="Courier New"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6" w15:restartNumberingAfterBreak="0">
    <w:nsid w:val="1F3744EF"/>
    <w:multiLevelType w:val="hybridMultilevel"/>
    <w:tmpl w:val="562C4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145350"/>
    <w:multiLevelType w:val="hybridMultilevel"/>
    <w:tmpl w:val="E3061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722408"/>
    <w:multiLevelType w:val="hybridMultilevel"/>
    <w:tmpl w:val="18B2B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F0085B"/>
    <w:multiLevelType w:val="hybridMultilevel"/>
    <w:tmpl w:val="7C6A5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D82893"/>
    <w:multiLevelType w:val="hybridMultilevel"/>
    <w:tmpl w:val="75581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B13908"/>
    <w:multiLevelType w:val="hybridMultilevel"/>
    <w:tmpl w:val="35EAAE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150DFA"/>
    <w:multiLevelType w:val="hybridMultilevel"/>
    <w:tmpl w:val="A7DAC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143AD2"/>
    <w:multiLevelType w:val="hybridMultilevel"/>
    <w:tmpl w:val="96DC14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7E2199E"/>
    <w:multiLevelType w:val="hybridMultilevel"/>
    <w:tmpl w:val="E48C8484"/>
    <w:lvl w:ilvl="0" w:tplc="040C0003">
      <w:start w:val="1"/>
      <w:numFmt w:val="bullet"/>
      <w:lvlText w:val="o"/>
      <w:lvlJc w:val="left"/>
      <w:pPr>
        <w:ind w:left="720" w:hanging="360"/>
      </w:pPr>
      <w:rPr>
        <w:rFonts w:ascii="Courier New" w:hAnsi="Courier New" w:cs="Courier New"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BEA42C4"/>
    <w:multiLevelType w:val="hybridMultilevel"/>
    <w:tmpl w:val="2D28C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44E1D44"/>
    <w:multiLevelType w:val="hybridMultilevel"/>
    <w:tmpl w:val="C58E8F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63D654F"/>
    <w:multiLevelType w:val="hybridMultilevel"/>
    <w:tmpl w:val="8B1663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9FD3E76"/>
    <w:multiLevelType w:val="hybridMultilevel"/>
    <w:tmpl w:val="D02CE6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BD0FF0"/>
    <w:multiLevelType w:val="multilevel"/>
    <w:tmpl w:val="B40EFC28"/>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526E1C42"/>
    <w:multiLevelType w:val="hybridMultilevel"/>
    <w:tmpl w:val="8DA8DABC"/>
    <w:lvl w:ilvl="0" w:tplc="040C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5F55404"/>
    <w:multiLevelType w:val="hybridMultilevel"/>
    <w:tmpl w:val="C19882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F83728A"/>
    <w:multiLevelType w:val="hybridMultilevel"/>
    <w:tmpl w:val="B4441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3AF6C4D"/>
    <w:multiLevelType w:val="hybridMultilevel"/>
    <w:tmpl w:val="03AE8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F9337D0"/>
    <w:multiLevelType w:val="hybridMultilevel"/>
    <w:tmpl w:val="B6C885E6"/>
    <w:lvl w:ilvl="0" w:tplc="04090001">
      <w:start w:val="1"/>
      <w:numFmt w:val="bullet"/>
      <w:pStyle w:val="BMS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C7661F"/>
    <w:multiLevelType w:val="hybridMultilevel"/>
    <w:tmpl w:val="22B4C2BC"/>
    <w:lvl w:ilvl="0" w:tplc="AF12DD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2B6BB7"/>
    <w:multiLevelType w:val="hybridMultilevel"/>
    <w:tmpl w:val="4F6694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0332797"/>
    <w:multiLevelType w:val="multilevel"/>
    <w:tmpl w:val="22545446"/>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363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24362249">
    <w:abstractNumId w:val="31"/>
  </w:num>
  <w:num w:numId="2" w16cid:durableId="363942341">
    <w:abstractNumId w:val="3"/>
  </w:num>
  <w:num w:numId="3" w16cid:durableId="616986694">
    <w:abstractNumId w:val="1"/>
  </w:num>
  <w:num w:numId="4" w16cid:durableId="1866746977">
    <w:abstractNumId w:val="23"/>
  </w:num>
  <w:num w:numId="5" w16cid:durableId="1815176645">
    <w:abstractNumId w:val="34"/>
  </w:num>
  <w:num w:numId="6" w16cid:durableId="1729110749">
    <w:abstractNumId w:val="32"/>
  </w:num>
  <w:num w:numId="7" w16cid:durableId="29456188">
    <w:abstractNumId w:val="27"/>
  </w:num>
  <w:num w:numId="8" w16cid:durableId="486020457">
    <w:abstractNumId w:val="33"/>
  </w:num>
  <w:num w:numId="9" w16cid:durableId="1730836290">
    <w:abstractNumId w:val="10"/>
  </w:num>
  <w:num w:numId="10" w16cid:durableId="140076300">
    <w:abstractNumId w:val="26"/>
  </w:num>
  <w:num w:numId="11" w16cid:durableId="1230071968">
    <w:abstractNumId w:val="31"/>
  </w:num>
  <w:num w:numId="12" w16cid:durableId="711614048">
    <w:abstractNumId w:val="31"/>
  </w:num>
  <w:num w:numId="13" w16cid:durableId="698160193">
    <w:abstractNumId w:val="31"/>
  </w:num>
  <w:num w:numId="14" w16cid:durableId="955136893">
    <w:abstractNumId w:val="31"/>
  </w:num>
  <w:num w:numId="15" w16cid:durableId="482427054">
    <w:abstractNumId w:val="31"/>
  </w:num>
  <w:num w:numId="16" w16cid:durableId="1790082336">
    <w:abstractNumId w:val="31"/>
  </w:num>
  <w:num w:numId="17" w16cid:durableId="394471752">
    <w:abstractNumId w:val="31"/>
  </w:num>
  <w:num w:numId="18" w16cid:durableId="573860130">
    <w:abstractNumId w:val="9"/>
  </w:num>
  <w:num w:numId="19" w16cid:durableId="741954771">
    <w:abstractNumId w:val="12"/>
  </w:num>
  <w:num w:numId="20" w16cid:durableId="1499342062">
    <w:abstractNumId w:val="25"/>
  </w:num>
  <w:num w:numId="21" w16cid:durableId="768476079">
    <w:abstractNumId w:val="8"/>
  </w:num>
  <w:num w:numId="22" w16cid:durableId="1349261230">
    <w:abstractNumId w:val="29"/>
  </w:num>
  <w:num w:numId="23" w16cid:durableId="235825909">
    <w:abstractNumId w:val="7"/>
  </w:num>
  <w:num w:numId="24" w16cid:durableId="773284648">
    <w:abstractNumId w:val="4"/>
  </w:num>
  <w:num w:numId="25" w16cid:durableId="2051951340">
    <w:abstractNumId w:val="22"/>
  </w:num>
  <w:num w:numId="26" w16cid:durableId="2039814433">
    <w:abstractNumId w:val="0"/>
  </w:num>
  <w:num w:numId="27" w16cid:durableId="1653557124">
    <w:abstractNumId w:val="2"/>
  </w:num>
  <w:num w:numId="28" w16cid:durableId="57093524">
    <w:abstractNumId w:val="6"/>
  </w:num>
  <w:num w:numId="29" w16cid:durableId="98112397">
    <w:abstractNumId w:val="13"/>
  </w:num>
  <w:num w:numId="30" w16cid:durableId="18613140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65515844">
    <w:abstractNumId w:val="19"/>
  </w:num>
  <w:num w:numId="32" w16cid:durableId="1209220013">
    <w:abstractNumId w:val="11"/>
  </w:num>
  <w:num w:numId="33" w16cid:durableId="785393940">
    <w:abstractNumId w:val="28"/>
  </w:num>
  <w:num w:numId="34" w16cid:durableId="1992635397">
    <w:abstractNumId w:val="20"/>
  </w:num>
  <w:num w:numId="35" w16cid:durableId="49427745">
    <w:abstractNumId w:val="17"/>
  </w:num>
  <w:num w:numId="36" w16cid:durableId="50539005">
    <w:abstractNumId w:val="14"/>
  </w:num>
  <w:num w:numId="37" w16cid:durableId="344134779">
    <w:abstractNumId w:val="18"/>
  </w:num>
  <w:num w:numId="38" w16cid:durableId="924993873">
    <w:abstractNumId w:val="24"/>
  </w:num>
  <w:num w:numId="39" w16cid:durableId="556363007">
    <w:abstractNumId w:val="5"/>
  </w:num>
  <w:num w:numId="40" w16cid:durableId="2110660614">
    <w:abstractNumId w:val="30"/>
  </w:num>
  <w:num w:numId="41" w16cid:durableId="470293433">
    <w:abstractNumId w:val="16"/>
  </w:num>
  <w:num w:numId="42" w16cid:durableId="969896162">
    <w:abstractNumId w:val="21"/>
  </w:num>
  <w:num w:numId="43" w16cid:durableId="12454105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MSCT_StylesUpdated" w:val="N"/>
    <w:docVar w:name="CurrentCoreTemplateVersion" w:val="4.01"/>
    <w:docVar w:name="InitialCoreTemplateVersion" w:val="4.01"/>
  </w:docVars>
  <w:rsids>
    <w:rsidRoot w:val="001829B1"/>
    <w:rsid w:val="000018E0"/>
    <w:rsid w:val="00004A88"/>
    <w:rsid w:val="000053DB"/>
    <w:rsid w:val="0000684D"/>
    <w:rsid w:val="000073DA"/>
    <w:rsid w:val="00011842"/>
    <w:rsid w:val="0001246E"/>
    <w:rsid w:val="000150C8"/>
    <w:rsid w:val="00022E5C"/>
    <w:rsid w:val="00022F96"/>
    <w:rsid w:val="00023CCD"/>
    <w:rsid w:val="000241C3"/>
    <w:rsid w:val="0002432C"/>
    <w:rsid w:val="00024EC4"/>
    <w:rsid w:val="00025617"/>
    <w:rsid w:val="00025D4A"/>
    <w:rsid w:val="00027AF7"/>
    <w:rsid w:val="00032E88"/>
    <w:rsid w:val="00033CCA"/>
    <w:rsid w:val="00034006"/>
    <w:rsid w:val="000353B1"/>
    <w:rsid w:val="00035856"/>
    <w:rsid w:val="00035C10"/>
    <w:rsid w:val="00035E15"/>
    <w:rsid w:val="000362CF"/>
    <w:rsid w:val="0004054E"/>
    <w:rsid w:val="00041BBB"/>
    <w:rsid w:val="00041F50"/>
    <w:rsid w:val="0004216A"/>
    <w:rsid w:val="00043919"/>
    <w:rsid w:val="0004420D"/>
    <w:rsid w:val="00050EC4"/>
    <w:rsid w:val="000519AE"/>
    <w:rsid w:val="00051D5E"/>
    <w:rsid w:val="00052B8D"/>
    <w:rsid w:val="00054B5E"/>
    <w:rsid w:val="00055006"/>
    <w:rsid w:val="00060852"/>
    <w:rsid w:val="0006163B"/>
    <w:rsid w:val="00061D3C"/>
    <w:rsid w:val="00063D05"/>
    <w:rsid w:val="0006524F"/>
    <w:rsid w:val="00065E3A"/>
    <w:rsid w:val="00067540"/>
    <w:rsid w:val="000703B6"/>
    <w:rsid w:val="0007066C"/>
    <w:rsid w:val="0007238B"/>
    <w:rsid w:val="00072439"/>
    <w:rsid w:val="0007651D"/>
    <w:rsid w:val="00076841"/>
    <w:rsid w:val="00077024"/>
    <w:rsid w:val="00077269"/>
    <w:rsid w:val="000801AC"/>
    <w:rsid w:val="00080693"/>
    <w:rsid w:val="00081343"/>
    <w:rsid w:val="00082527"/>
    <w:rsid w:val="000829C3"/>
    <w:rsid w:val="00082E6F"/>
    <w:rsid w:val="000840E8"/>
    <w:rsid w:val="000850B8"/>
    <w:rsid w:val="000850D2"/>
    <w:rsid w:val="00085443"/>
    <w:rsid w:val="00086724"/>
    <w:rsid w:val="00086739"/>
    <w:rsid w:val="00087061"/>
    <w:rsid w:val="00087FE6"/>
    <w:rsid w:val="0009065F"/>
    <w:rsid w:val="00091A30"/>
    <w:rsid w:val="0009261B"/>
    <w:rsid w:val="00092B93"/>
    <w:rsid w:val="00092CE3"/>
    <w:rsid w:val="0009452E"/>
    <w:rsid w:val="0009504F"/>
    <w:rsid w:val="00096B4C"/>
    <w:rsid w:val="000A02E3"/>
    <w:rsid w:val="000A0430"/>
    <w:rsid w:val="000A0CD5"/>
    <w:rsid w:val="000A0DBA"/>
    <w:rsid w:val="000A1724"/>
    <w:rsid w:val="000A26A6"/>
    <w:rsid w:val="000A4651"/>
    <w:rsid w:val="000A6AE9"/>
    <w:rsid w:val="000B0282"/>
    <w:rsid w:val="000B0793"/>
    <w:rsid w:val="000B0DA9"/>
    <w:rsid w:val="000B241E"/>
    <w:rsid w:val="000B242D"/>
    <w:rsid w:val="000B2D75"/>
    <w:rsid w:val="000B3521"/>
    <w:rsid w:val="000B3BF9"/>
    <w:rsid w:val="000B4E30"/>
    <w:rsid w:val="000B586A"/>
    <w:rsid w:val="000B62FF"/>
    <w:rsid w:val="000C0006"/>
    <w:rsid w:val="000C1D08"/>
    <w:rsid w:val="000C3E61"/>
    <w:rsid w:val="000C4BD3"/>
    <w:rsid w:val="000C551F"/>
    <w:rsid w:val="000C5DB5"/>
    <w:rsid w:val="000C606D"/>
    <w:rsid w:val="000C6409"/>
    <w:rsid w:val="000C7105"/>
    <w:rsid w:val="000C78EE"/>
    <w:rsid w:val="000C79BC"/>
    <w:rsid w:val="000C7C26"/>
    <w:rsid w:val="000D0B47"/>
    <w:rsid w:val="000D0DA5"/>
    <w:rsid w:val="000D244C"/>
    <w:rsid w:val="000D34CD"/>
    <w:rsid w:val="000D3BBF"/>
    <w:rsid w:val="000D4330"/>
    <w:rsid w:val="000D5DD4"/>
    <w:rsid w:val="000D5F29"/>
    <w:rsid w:val="000D699B"/>
    <w:rsid w:val="000E094C"/>
    <w:rsid w:val="000E2A6E"/>
    <w:rsid w:val="000E2D80"/>
    <w:rsid w:val="000E3754"/>
    <w:rsid w:val="000E4927"/>
    <w:rsid w:val="000E5E46"/>
    <w:rsid w:val="000E6328"/>
    <w:rsid w:val="000E63D2"/>
    <w:rsid w:val="000E6CD7"/>
    <w:rsid w:val="000F03E1"/>
    <w:rsid w:val="000F05C3"/>
    <w:rsid w:val="000F4361"/>
    <w:rsid w:val="000F551B"/>
    <w:rsid w:val="000F5A7A"/>
    <w:rsid w:val="000F62BA"/>
    <w:rsid w:val="000F73D0"/>
    <w:rsid w:val="00100DED"/>
    <w:rsid w:val="00102B8F"/>
    <w:rsid w:val="00102C7F"/>
    <w:rsid w:val="00104CFF"/>
    <w:rsid w:val="00105E0D"/>
    <w:rsid w:val="0010621E"/>
    <w:rsid w:val="00106859"/>
    <w:rsid w:val="00106EE8"/>
    <w:rsid w:val="00107192"/>
    <w:rsid w:val="001125BA"/>
    <w:rsid w:val="00112C28"/>
    <w:rsid w:val="00113FCD"/>
    <w:rsid w:val="00116C65"/>
    <w:rsid w:val="00120CE2"/>
    <w:rsid w:val="001222C6"/>
    <w:rsid w:val="00122717"/>
    <w:rsid w:val="0012306C"/>
    <w:rsid w:val="0012337E"/>
    <w:rsid w:val="001239C4"/>
    <w:rsid w:val="00123DDC"/>
    <w:rsid w:val="00124A98"/>
    <w:rsid w:val="00124B3E"/>
    <w:rsid w:val="00124C8B"/>
    <w:rsid w:val="00125568"/>
    <w:rsid w:val="00125909"/>
    <w:rsid w:val="001264F7"/>
    <w:rsid w:val="00127E19"/>
    <w:rsid w:val="00130C44"/>
    <w:rsid w:val="00130FE2"/>
    <w:rsid w:val="00131708"/>
    <w:rsid w:val="001319CE"/>
    <w:rsid w:val="00131CDB"/>
    <w:rsid w:val="001323CD"/>
    <w:rsid w:val="00132806"/>
    <w:rsid w:val="00132927"/>
    <w:rsid w:val="00133195"/>
    <w:rsid w:val="001338C2"/>
    <w:rsid w:val="00135E24"/>
    <w:rsid w:val="001364AF"/>
    <w:rsid w:val="00136C25"/>
    <w:rsid w:val="00137252"/>
    <w:rsid w:val="00140C98"/>
    <w:rsid w:val="00141EB0"/>
    <w:rsid w:val="001451F0"/>
    <w:rsid w:val="00145B57"/>
    <w:rsid w:val="001479C1"/>
    <w:rsid w:val="00150DC2"/>
    <w:rsid w:val="00151172"/>
    <w:rsid w:val="00151A6A"/>
    <w:rsid w:val="00152D3D"/>
    <w:rsid w:val="0015479F"/>
    <w:rsid w:val="001560D4"/>
    <w:rsid w:val="001568FB"/>
    <w:rsid w:val="00157090"/>
    <w:rsid w:val="00157460"/>
    <w:rsid w:val="00157D24"/>
    <w:rsid w:val="0016000A"/>
    <w:rsid w:val="00164A1A"/>
    <w:rsid w:val="00165ED5"/>
    <w:rsid w:val="001671D2"/>
    <w:rsid w:val="00167658"/>
    <w:rsid w:val="00170DBF"/>
    <w:rsid w:val="00173F4D"/>
    <w:rsid w:val="00175CCE"/>
    <w:rsid w:val="001761D4"/>
    <w:rsid w:val="0018172E"/>
    <w:rsid w:val="001829B1"/>
    <w:rsid w:val="001839D7"/>
    <w:rsid w:val="001842EB"/>
    <w:rsid w:val="001846DD"/>
    <w:rsid w:val="0018591D"/>
    <w:rsid w:val="00185EF9"/>
    <w:rsid w:val="00186534"/>
    <w:rsid w:val="00190F8A"/>
    <w:rsid w:val="001913AD"/>
    <w:rsid w:val="00191BBA"/>
    <w:rsid w:val="00191D60"/>
    <w:rsid w:val="0019228B"/>
    <w:rsid w:val="001923EE"/>
    <w:rsid w:val="00192A6F"/>
    <w:rsid w:val="00197C54"/>
    <w:rsid w:val="001A2060"/>
    <w:rsid w:val="001A3992"/>
    <w:rsid w:val="001A3D1E"/>
    <w:rsid w:val="001A4028"/>
    <w:rsid w:val="001A4987"/>
    <w:rsid w:val="001A4DD4"/>
    <w:rsid w:val="001A53E4"/>
    <w:rsid w:val="001A5A2A"/>
    <w:rsid w:val="001A6CEB"/>
    <w:rsid w:val="001B21CA"/>
    <w:rsid w:val="001B4C7E"/>
    <w:rsid w:val="001B517E"/>
    <w:rsid w:val="001B6758"/>
    <w:rsid w:val="001B71C0"/>
    <w:rsid w:val="001B7495"/>
    <w:rsid w:val="001C2A1B"/>
    <w:rsid w:val="001C372D"/>
    <w:rsid w:val="001C6EED"/>
    <w:rsid w:val="001D1274"/>
    <w:rsid w:val="001D2FF5"/>
    <w:rsid w:val="001D45BB"/>
    <w:rsid w:val="001D496D"/>
    <w:rsid w:val="001D52DE"/>
    <w:rsid w:val="001D593A"/>
    <w:rsid w:val="001D5C14"/>
    <w:rsid w:val="001D6010"/>
    <w:rsid w:val="001D7E9B"/>
    <w:rsid w:val="001E221A"/>
    <w:rsid w:val="001E2B4B"/>
    <w:rsid w:val="001E3D24"/>
    <w:rsid w:val="001E4421"/>
    <w:rsid w:val="001E6FD4"/>
    <w:rsid w:val="001F03B7"/>
    <w:rsid w:val="001F05FC"/>
    <w:rsid w:val="001F0663"/>
    <w:rsid w:val="001F53A0"/>
    <w:rsid w:val="001F57B8"/>
    <w:rsid w:val="00200EF2"/>
    <w:rsid w:val="00201C3B"/>
    <w:rsid w:val="0020264B"/>
    <w:rsid w:val="0020308D"/>
    <w:rsid w:val="00203E29"/>
    <w:rsid w:val="0020501F"/>
    <w:rsid w:val="00206F87"/>
    <w:rsid w:val="00207448"/>
    <w:rsid w:val="00210900"/>
    <w:rsid w:val="00211EBF"/>
    <w:rsid w:val="00212215"/>
    <w:rsid w:val="00212618"/>
    <w:rsid w:val="00213128"/>
    <w:rsid w:val="0021455A"/>
    <w:rsid w:val="002171D2"/>
    <w:rsid w:val="0022005D"/>
    <w:rsid w:val="00220A04"/>
    <w:rsid w:val="00220B47"/>
    <w:rsid w:val="002222FB"/>
    <w:rsid w:val="0022264C"/>
    <w:rsid w:val="0022277E"/>
    <w:rsid w:val="00223B08"/>
    <w:rsid w:val="00223BF5"/>
    <w:rsid w:val="0022502C"/>
    <w:rsid w:val="00225A77"/>
    <w:rsid w:val="00225F71"/>
    <w:rsid w:val="00226EE8"/>
    <w:rsid w:val="00227BA9"/>
    <w:rsid w:val="002304A6"/>
    <w:rsid w:val="002403A2"/>
    <w:rsid w:val="00240867"/>
    <w:rsid w:val="00241037"/>
    <w:rsid w:val="0024139B"/>
    <w:rsid w:val="002441E6"/>
    <w:rsid w:val="0024476D"/>
    <w:rsid w:val="002514E1"/>
    <w:rsid w:val="00251625"/>
    <w:rsid w:val="00252DBC"/>
    <w:rsid w:val="002547A6"/>
    <w:rsid w:val="00254E51"/>
    <w:rsid w:val="00255FB3"/>
    <w:rsid w:val="00256075"/>
    <w:rsid w:val="002573AE"/>
    <w:rsid w:val="00257C8F"/>
    <w:rsid w:val="002602D9"/>
    <w:rsid w:val="00260439"/>
    <w:rsid w:val="00260EDC"/>
    <w:rsid w:val="00262198"/>
    <w:rsid w:val="00263131"/>
    <w:rsid w:val="00263162"/>
    <w:rsid w:val="0026472E"/>
    <w:rsid w:val="00266329"/>
    <w:rsid w:val="00270251"/>
    <w:rsid w:val="002708A7"/>
    <w:rsid w:val="00270F5B"/>
    <w:rsid w:val="00271205"/>
    <w:rsid w:val="002713F1"/>
    <w:rsid w:val="00271717"/>
    <w:rsid w:val="00271C92"/>
    <w:rsid w:val="00273B66"/>
    <w:rsid w:val="002741AE"/>
    <w:rsid w:val="002744BE"/>
    <w:rsid w:val="00274692"/>
    <w:rsid w:val="00275FD0"/>
    <w:rsid w:val="00281E2C"/>
    <w:rsid w:val="00281E78"/>
    <w:rsid w:val="00282E79"/>
    <w:rsid w:val="0028333D"/>
    <w:rsid w:val="002835A5"/>
    <w:rsid w:val="00284BE0"/>
    <w:rsid w:val="002865F9"/>
    <w:rsid w:val="002875B1"/>
    <w:rsid w:val="002875E8"/>
    <w:rsid w:val="002905B2"/>
    <w:rsid w:val="002941B3"/>
    <w:rsid w:val="0029459C"/>
    <w:rsid w:val="002946A1"/>
    <w:rsid w:val="00295868"/>
    <w:rsid w:val="00296087"/>
    <w:rsid w:val="00297581"/>
    <w:rsid w:val="002A0B9A"/>
    <w:rsid w:val="002A29F6"/>
    <w:rsid w:val="002A3B6B"/>
    <w:rsid w:val="002A3C06"/>
    <w:rsid w:val="002A487E"/>
    <w:rsid w:val="002A5C28"/>
    <w:rsid w:val="002A5C73"/>
    <w:rsid w:val="002A7C79"/>
    <w:rsid w:val="002B07BB"/>
    <w:rsid w:val="002B2A9B"/>
    <w:rsid w:val="002B40CE"/>
    <w:rsid w:val="002B4230"/>
    <w:rsid w:val="002B5860"/>
    <w:rsid w:val="002B7DAE"/>
    <w:rsid w:val="002B7FF3"/>
    <w:rsid w:val="002C00DE"/>
    <w:rsid w:val="002C17E6"/>
    <w:rsid w:val="002C1A36"/>
    <w:rsid w:val="002C2EC2"/>
    <w:rsid w:val="002C6AEB"/>
    <w:rsid w:val="002D0C94"/>
    <w:rsid w:val="002D2009"/>
    <w:rsid w:val="002D4B6B"/>
    <w:rsid w:val="002E15A6"/>
    <w:rsid w:val="002E1D4C"/>
    <w:rsid w:val="002E2279"/>
    <w:rsid w:val="002E277D"/>
    <w:rsid w:val="002E2E03"/>
    <w:rsid w:val="002E3E49"/>
    <w:rsid w:val="002E552A"/>
    <w:rsid w:val="002E6319"/>
    <w:rsid w:val="002F026B"/>
    <w:rsid w:val="002F0C39"/>
    <w:rsid w:val="002F1ACD"/>
    <w:rsid w:val="002F2743"/>
    <w:rsid w:val="002F44F8"/>
    <w:rsid w:val="002F54B5"/>
    <w:rsid w:val="002F55EC"/>
    <w:rsid w:val="002F5C36"/>
    <w:rsid w:val="002F6422"/>
    <w:rsid w:val="002F6599"/>
    <w:rsid w:val="002F75A3"/>
    <w:rsid w:val="002F794C"/>
    <w:rsid w:val="002F7F1F"/>
    <w:rsid w:val="0030249B"/>
    <w:rsid w:val="0030383C"/>
    <w:rsid w:val="0030512F"/>
    <w:rsid w:val="00305898"/>
    <w:rsid w:val="00306156"/>
    <w:rsid w:val="003067DE"/>
    <w:rsid w:val="0030695D"/>
    <w:rsid w:val="00306B4E"/>
    <w:rsid w:val="003102A5"/>
    <w:rsid w:val="0031041E"/>
    <w:rsid w:val="003109D8"/>
    <w:rsid w:val="003115CC"/>
    <w:rsid w:val="00311872"/>
    <w:rsid w:val="00311DE3"/>
    <w:rsid w:val="00312CDB"/>
    <w:rsid w:val="0031350A"/>
    <w:rsid w:val="00313A4A"/>
    <w:rsid w:val="00314293"/>
    <w:rsid w:val="003144B2"/>
    <w:rsid w:val="003168A1"/>
    <w:rsid w:val="00317737"/>
    <w:rsid w:val="0032081A"/>
    <w:rsid w:val="00320D89"/>
    <w:rsid w:val="003217A8"/>
    <w:rsid w:val="0032363C"/>
    <w:rsid w:val="003242E8"/>
    <w:rsid w:val="00324B07"/>
    <w:rsid w:val="00325137"/>
    <w:rsid w:val="00325B97"/>
    <w:rsid w:val="00330876"/>
    <w:rsid w:val="00330BBC"/>
    <w:rsid w:val="00330D83"/>
    <w:rsid w:val="003320B9"/>
    <w:rsid w:val="003340CB"/>
    <w:rsid w:val="003349B0"/>
    <w:rsid w:val="0033640B"/>
    <w:rsid w:val="00337C77"/>
    <w:rsid w:val="003417EF"/>
    <w:rsid w:val="00341E11"/>
    <w:rsid w:val="00343010"/>
    <w:rsid w:val="00344C4B"/>
    <w:rsid w:val="003472DD"/>
    <w:rsid w:val="00347D2B"/>
    <w:rsid w:val="0035119F"/>
    <w:rsid w:val="00351277"/>
    <w:rsid w:val="00352252"/>
    <w:rsid w:val="003535AF"/>
    <w:rsid w:val="00354688"/>
    <w:rsid w:val="0035552F"/>
    <w:rsid w:val="00356319"/>
    <w:rsid w:val="003565DD"/>
    <w:rsid w:val="00356EAF"/>
    <w:rsid w:val="00360F00"/>
    <w:rsid w:val="00361290"/>
    <w:rsid w:val="00362084"/>
    <w:rsid w:val="00362208"/>
    <w:rsid w:val="00363C35"/>
    <w:rsid w:val="00363E38"/>
    <w:rsid w:val="00364D97"/>
    <w:rsid w:val="0036523D"/>
    <w:rsid w:val="003658C2"/>
    <w:rsid w:val="00366358"/>
    <w:rsid w:val="00366F21"/>
    <w:rsid w:val="0036779B"/>
    <w:rsid w:val="00367E94"/>
    <w:rsid w:val="00370ABE"/>
    <w:rsid w:val="00372566"/>
    <w:rsid w:val="00374F99"/>
    <w:rsid w:val="00377804"/>
    <w:rsid w:val="00377BC8"/>
    <w:rsid w:val="003807E0"/>
    <w:rsid w:val="00381488"/>
    <w:rsid w:val="00383A2E"/>
    <w:rsid w:val="003859CF"/>
    <w:rsid w:val="00386E53"/>
    <w:rsid w:val="00386EC8"/>
    <w:rsid w:val="00391285"/>
    <w:rsid w:val="0039162C"/>
    <w:rsid w:val="00392A02"/>
    <w:rsid w:val="00394724"/>
    <w:rsid w:val="00394F91"/>
    <w:rsid w:val="00395152"/>
    <w:rsid w:val="003967F7"/>
    <w:rsid w:val="00396C59"/>
    <w:rsid w:val="003974D8"/>
    <w:rsid w:val="0039792D"/>
    <w:rsid w:val="00397D61"/>
    <w:rsid w:val="003A1133"/>
    <w:rsid w:val="003A1DA5"/>
    <w:rsid w:val="003A37CD"/>
    <w:rsid w:val="003A5664"/>
    <w:rsid w:val="003A6CA8"/>
    <w:rsid w:val="003B0970"/>
    <w:rsid w:val="003B14A8"/>
    <w:rsid w:val="003B2178"/>
    <w:rsid w:val="003B2A14"/>
    <w:rsid w:val="003B3297"/>
    <w:rsid w:val="003B409C"/>
    <w:rsid w:val="003B458B"/>
    <w:rsid w:val="003B4AE0"/>
    <w:rsid w:val="003B5731"/>
    <w:rsid w:val="003B74C6"/>
    <w:rsid w:val="003B7FFC"/>
    <w:rsid w:val="003C0A6B"/>
    <w:rsid w:val="003C2909"/>
    <w:rsid w:val="003C34B4"/>
    <w:rsid w:val="003C3587"/>
    <w:rsid w:val="003C5292"/>
    <w:rsid w:val="003C5E1F"/>
    <w:rsid w:val="003C741E"/>
    <w:rsid w:val="003C7ABE"/>
    <w:rsid w:val="003D030C"/>
    <w:rsid w:val="003D033F"/>
    <w:rsid w:val="003D053D"/>
    <w:rsid w:val="003D1220"/>
    <w:rsid w:val="003D202A"/>
    <w:rsid w:val="003D3C9C"/>
    <w:rsid w:val="003D5868"/>
    <w:rsid w:val="003D5AF3"/>
    <w:rsid w:val="003D6F42"/>
    <w:rsid w:val="003D7174"/>
    <w:rsid w:val="003D71A1"/>
    <w:rsid w:val="003D7571"/>
    <w:rsid w:val="003D7E2B"/>
    <w:rsid w:val="003E218D"/>
    <w:rsid w:val="003E3B4F"/>
    <w:rsid w:val="003E3CA6"/>
    <w:rsid w:val="003E5DC7"/>
    <w:rsid w:val="003E5E5C"/>
    <w:rsid w:val="003F05AA"/>
    <w:rsid w:val="003F060F"/>
    <w:rsid w:val="003F153D"/>
    <w:rsid w:val="003F221A"/>
    <w:rsid w:val="003F2BD4"/>
    <w:rsid w:val="003F4742"/>
    <w:rsid w:val="003F533C"/>
    <w:rsid w:val="003F67B9"/>
    <w:rsid w:val="003F7CC2"/>
    <w:rsid w:val="00400B0B"/>
    <w:rsid w:val="00402224"/>
    <w:rsid w:val="004031D1"/>
    <w:rsid w:val="00403264"/>
    <w:rsid w:val="004032BD"/>
    <w:rsid w:val="00403F48"/>
    <w:rsid w:val="0040525F"/>
    <w:rsid w:val="00406083"/>
    <w:rsid w:val="004113F9"/>
    <w:rsid w:val="00411692"/>
    <w:rsid w:val="00413056"/>
    <w:rsid w:val="00413966"/>
    <w:rsid w:val="00414873"/>
    <w:rsid w:val="00415667"/>
    <w:rsid w:val="00415AE2"/>
    <w:rsid w:val="004161A0"/>
    <w:rsid w:val="004162F8"/>
    <w:rsid w:val="00416837"/>
    <w:rsid w:val="0042150C"/>
    <w:rsid w:val="0042242B"/>
    <w:rsid w:val="004225F2"/>
    <w:rsid w:val="00425033"/>
    <w:rsid w:val="00425A96"/>
    <w:rsid w:val="00426FF1"/>
    <w:rsid w:val="00431ACD"/>
    <w:rsid w:val="00431F56"/>
    <w:rsid w:val="004320FE"/>
    <w:rsid w:val="00435591"/>
    <w:rsid w:val="004361D7"/>
    <w:rsid w:val="00436ACF"/>
    <w:rsid w:val="00440438"/>
    <w:rsid w:val="0044458D"/>
    <w:rsid w:val="0044468F"/>
    <w:rsid w:val="00450E1A"/>
    <w:rsid w:val="00456239"/>
    <w:rsid w:val="004608C8"/>
    <w:rsid w:val="00462825"/>
    <w:rsid w:val="00462E5F"/>
    <w:rsid w:val="0046349B"/>
    <w:rsid w:val="0046492F"/>
    <w:rsid w:val="00464C9B"/>
    <w:rsid w:val="004655AB"/>
    <w:rsid w:val="0046635E"/>
    <w:rsid w:val="0046730F"/>
    <w:rsid w:val="00467CF2"/>
    <w:rsid w:val="004704A9"/>
    <w:rsid w:val="0047148E"/>
    <w:rsid w:val="00472531"/>
    <w:rsid w:val="00472F4A"/>
    <w:rsid w:val="00473CDF"/>
    <w:rsid w:val="00474714"/>
    <w:rsid w:val="00474D03"/>
    <w:rsid w:val="00475BE5"/>
    <w:rsid w:val="00480B08"/>
    <w:rsid w:val="00482252"/>
    <w:rsid w:val="004824F0"/>
    <w:rsid w:val="0048517D"/>
    <w:rsid w:val="0048712D"/>
    <w:rsid w:val="004871DC"/>
    <w:rsid w:val="004875FF"/>
    <w:rsid w:val="004879C9"/>
    <w:rsid w:val="00487F4C"/>
    <w:rsid w:val="004901FA"/>
    <w:rsid w:val="00493FF6"/>
    <w:rsid w:val="00494A9F"/>
    <w:rsid w:val="00495530"/>
    <w:rsid w:val="0049567C"/>
    <w:rsid w:val="00495BFB"/>
    <w:rsid w:val="00496C7A"/>
    <w:rsid w:val="00496F73"/>
    <w:rsid w:val="004A199F"/>
    <w:rsid w:val="004A3F48"/>
    <w:rsid w:val="004A56BC"/>
    <w:rsid w:val="004A5982"/>
    <w:rsid w:val="004A644C"/>
    <w:rsid w:val="004A7B56"/>
    <w:rsid w:val="004A7C3E"/>
    <w:rsid w:val="004B0A1D"/>
    <w:rsid w:val="004B40F2"/>
    <w:rsid w:val="004B49DE"/>
    <w:rsid w:val="004B4AA2"/>
    <w:rsid w:val="004B4B2D"/>
    <w:rsid w:val="004B4E23"/>
    <w:rsid w:val="004B5CC9"/>
    <w:rsid w:val="004B7165"/>
    <w:rsid w:val="004C1D92"/>
    <w:rsid w:val="004C3AA2"/>
    <w:rsid w:val="004C3B20"/>
    <w:rsid w:val="004C41B2"/>
    <w:rsid w:val="004C5382"/>
    <w:rsid w:val="004C7160"/>
    <w:rsid w:val="004C79F2"/>
    <w:rsid w:val="004D18C7"/>
    <w:rsid w:val="004D21EA"/>
    <w:rsid w:val="004D3B8E"/>
    <w:rsid w:val="004D4257"/>
    <w:rsid w:val="004D453B"/>
    <w:rsid w:val="004D5A07"/>
    <w:rsid w:val="004D65C6"/>
    <w:rsid w:val="004D79F2"/>
    <w:rsid w:val="004E01F9"/>
    <w:rsid w:val="004E0E70"/>
    <w:rsid w:val="004E3206"/>
    <w:rsid w:val="004E387F"/>
    <w:rsid w:val="004E6D92"/>
    <w:rsid w:val="004E7BC2"/>
    <w:rsid w:val="004F08F3"/>
    <w:rsid w:val="004F0956"/>
    <w:rsid w:val="004F12DE"/>
    <w:rsid w:val="004F4158"/>
    <w:rsid w:val="004F4877"/>
    <w:rsid w:val="004F4CA5"/>
    <w:rsid w:val="004F5626"/>
    <w:rsid w:val="004F7282"/>
    <w:rsid w:val="004F767B"/>
    <w:rsid w:val="005001F3"/>
    <w:rsid w:val="005007DF"/>
    <w:rsid w:val="00502ECB"/>
    <w:rsid w:val="00502FF6"/>
    <w:rsid w:val="00503E83"/>
    <w:rsid w:val="005045AC"/>
    <w:rsid w:val="00504968"/>
    <w:rsid w:val="00505DC2"/>
    <w:rsid w:val="00506857"/>
    <w:rsid w:val="005070B5"/>
    <w:rsid w:val="00507586"/>
    <w:rsid w:val="005077CB"/>
    <w:rsid w:val="0051298D"/>
    <w:rsid w:val="00512B7B"/>
    <w:rsid w:val="00512BA0"/>
    <w:rsid w:val="0051332E"/>
    <w:rsid w:val="00513E90"/>
    <w:rsid w:val="00513F26"/>
    <w:rsid w:val="0051481D"/>
    <w:rsid w:val="00516008"/>
    <w:rsid w:val="005163AF"/>
    <w:rsid w:val="005164D3"/>
    <w:rsid w:val="00516BE7"/>
    <w:rsid w:val="00516DCF"/>
    <w:rsid w:val="00517367"/>
    <w:rsid w:val="00522476"/>
    <w:rsid w:val="00523567"/>
    <w:rsid w:val="00523C03"/>
    <w:rsid w:val="00525A92"/>
    <w:rsid w:val="00525D03"/>
    <w:rsid w:val="00526A45"/>
    <w:rsid w:val="005271B4"/>
    <w:rsid w:val="00530066"/>
    <w:rsid w:val="0053199D"/>
    <w:rsid w:val="00532AD1"/>
    <w:rsid w:val="00541BAC"/>
    <w:rsid w:val="00543FBC"/>
    <w:rsid w:val="00544A7F"/>
    <w:rsid w:val="00546634"/>
    <w:rsid w:val="005472B3"/>
    <w:rsid w:val="00550321"/>
    <w:rsid w:val="00550D4D"/>
    <w:rsid w:val="00551190"/>
    <w:rsid w:val="0055231F"/>
    <w:rsid w:val="00553BAE"/>
    <w:rsid w:val="005541BA"/>
    <w:rsid w:val="0055495D"/>
    <w:rsid w:val="00556433"/>
    <w:rsid w:val="005572B6"/>
    <w:rsid w:val="0055789A"/>
    <w:rsid w:val="00557A83"/>
    <w:rsid w:val="00560E60"/>
    <w:rsid w:val="0056216F"/>
    <w:rsid w:val="00564017"/>
    <w:rsid w:val="00564332"/>
    <w:rsid w:val="00565EBC"/>
    <w:rsid w:val="00565F6D"/>
    <w:rsid w:val="005677E7"/>
    <w:rsid w:val="005702D8"/>
    <w:rsid w:val="0057097E"/>
    <w:rsid w:val="00570F21"/>
    <w:rsid w:val="00570F78"/>
    <w:rsid w:val="0057149A"/>
    <w:rsid w:val="005726E6"/>
    <w:rsid w:val="00574C81"/>
    <w:rsid w:val="00575F09"/>
    <w:rsid w:val="005763B7"/>
    <w:rsid w:val="00577D9C"/>
    <w:rsid w:val="00580A99"/>
    <w:rsid w:val="005823FA"/>
    <w:rsid w:val="005825A4"/>
    <w:rsid w:val="0058280B"/>
    <w:rsid w:val="00583645"/>
    <w:rsid w:val="005837FA"/>
    <w:rsid w:val="0058491E"/>
    <w:rsid w:val="005849D8"/>
    <w:rsid w:val="00585458"/>
    <w:rsid w:val="00585A97"/>
    <w:rsid w:val="00585B82"/>
    <w:rsid w:val="00587C69"/>
    <w:rsid w:val="00590598"/>
    <w:rsid w:val="00591B6D"/>
    <w:rsid w:val="00592657"/>
    <w:rsid w:val="00592D4E"/>
    <w:rsid w:val="005934CC"/>
    <w:rsid w:val="00593E3B"/>
    <w:rsid w:val="005946C1"/>
    <w:rsid w:val="00597B88"/>
    <w:rsid w:val="005A03E1"/>
    <w:rsid w:val="005A08D6"/>
    <w:rsid w:val="005A0C23"/>
    <w:rsid w:val="005A1B38"/>
    <w:rsid w:val="005A1F13"/>
    <w:rsid w:val="005A2CD7"/>
    <w:rsid w:val="005A30DE"/>
    <w:rsid w:val="005A4492"/>
    <w:rsid w:val="005A4681"/>
    <w:rsid w:val="005A6B88"/>
    <w:rsid w:val="005A6F83"/>
    <w:rsid w:val="005A6FCD"/>
    <w:rsid w:val="005A7542"/>
    <w:rsid w:val="005B19B3"/>
    <w:rsid w:val="005B2A97"/>
    <w:rsid w:val="005B2C5F"/>
    <w:rsid w:val="005B2D21"/>
    <w:rsid w:val="005B3339"/>
    <w:rsid w:val="005B40AF"/>
    <w:rsid w:val="005B42EC"/>
    <w:rsid w:val="005B6458"/>
    <w:rsid w:val="005B73BF"/>
    <w:rsid w:val="005B7525"/>
    <w:rsid w:val="005C0202"/>
    <w:rsid w:val="005C0C5B"/>
    <w:rsid w:val="005C0EE9"/>
    <w:rsid w:val="005C6F66"/>
    <w:rsid w:val="005C7B1B"/>
    <w:rsid w:val="005D0D3A"/>
    <w:rsid w:val="005D1041"/>
    <w:rsid w:val="005D309D"/>
    <w:rsid w:val="005D46BD"/>
    <w:rsid w:val="005D47C6"/>
    <w:rsid w:val="005D5804"/>
    <w:rsid w:val="005D5ED5"/>
    <w:rsid w:val="005D5F77"/>
    <w:rsid w:val="005D6B9C"/>
    <w:rsid w:val="005D7958"/>
    <w:rsid w:val="005E031D"/>
    <w:rsid w:val="005E3B86"/>
    <w:rsid w:val="005E4668"/>
    <w:rsid w:val="005E4E1A"/>
    <w:rsid w:val="005E66B0"/>
    <w:rsid w:val="005E72F7"/>
    <w:rsid w:val="005F1045"/>
    <w:rsid w:val="005F285A"/>
    <w:rsid w:val="005F374F"/>
    <w:rsid w:val="005F437B"/>
    <w:rsid w:val="005F58FE"/>
    <w:rsid w:val="005F7674"/>
    <w:rsid w:val="00602CE3"/>
    <w:rsid w:val="00605D5F"/>
    <w:rsid w:val="00606C1E"/>
    <w:rsid w:val="00606CE4"/>
    <w:rsid w:val="006071C7"/>
    <w:rsid w:val="0061012F"/>
    <w:rsid w:val="0061153A"/>
    <w:rsid w:val="00614528"/>
    <w:rsid w:val="00614607"/>
    <w:rsid w:val="00615658"/>
    <w:rsid w:val="00616A8C"/>
    <w:rsid w:val="0062031C"/>
    <w:rsid w:val="00620619"/>
    <w:rsid w:val="0062170C"/>
    <w:rsid w:val="00621B1A"/>
    <w:rsid w:val="00621C4C"/>
    <w:rsid w:val="00622D0E"/>
    <w:rsid w:val="006236DB"/>
    <w:rsid w:val="0062454E"/>
    <w:rsid w:val="00625C05"/>
    <w:rsid w:val="00625C83"/>
    <w:rsid w:val="00625DE9"/>
    <w:rsid w:val="00626416"/>
    <w:rsid w:val="00626A76"/>
    <w:rsid w:val="00627046"/>
    <w:rsid w:val="006272A6"/>
    <w:rsid w:val="00630514"/>
    <w:rsid w:val="00632B0A"/>
    <w:rsid w:val="00632ECA"/>
    <w:rsid w:val="00633A81"/>
    <w:rsid w:val="006346BA"/>
    <w:rsid w:val="00634AB1"/>
    <w:rsid w:val="006357FA"/>
    <w:rsid w:val="00635C6C"/>
    <w:rsid w:val="00636766"/>
    <w:rsid w:val="006377C9"/>
    <w:rsid w:val="00640762"/>
    <w:rsid w:val="0064134D"/>
    <w:rsid w:val="006422EA"/>
    <w:rsid w:val="00643944"/>
    <w:rsid w:val="00643CF9"/>
    <w:rsid w:val="00644643"/>
    <w:rsid w:val="006449D8"/>
    <w:rsid w:val="006456E5"/>
    <w:rsid w:val="006467B5"/>
    <w:rsid w:val="006473E5"/>
    <w:rsid w:val="00651F7D"/>
    <w:rsid w:val="00654AE6"/>
    <w:rsid w:val="00654AEE"/>
    <w:rsid w:val="00656D59"/>
    <w:rsid w:val="0065728D"/>
    <w:rsid w:val="00657B67"/>
    <w:rsid w:val="00660AC7"/>
    <w:rsid w:val="00662029"/>
    <w:rsid w:val="00662431"/>
    <w:rsid w:val="00662ED7"/>
    <w:rsid w:val="00666415"/>
    <w:rsid w:val="00666658"/>
    <w:rsid w:val="00666714"/>
    <w:rsid w:val="00671DD5"/>
    <w:rsid w:val="00672379"/>
    <w:rsid w:val="00672EC2"/>
    <w:rsid w:val="006745AA"/>
    <w:rsid w:val="00675186"/>
    <w:rsid w:val="0067653F"/>
    <w:rsid w:val="00677A23"/>
    <w:rsid w:val="00680402"/>
    <w:rsid w:val="0068040B"/>
    <w:rsid w:val="00680CA1"/>
    <w:rsid w:val="00680CB6"/>
    <w:rsid w:val="006813B0"/>
    <w:rsid w:val="00681729"/>
    <w:rsid w:val="00682187"/>
    <w:rsid w:val="00683639"/>
    <w:rsid w:val="00686CB9"/>
    <w:rsid w:val="00692558"/>
    <w:rsid w:val="00692702"/>
    <w:rsid w:val="006933C5"/>
    <w:rsid w:val="00694558"/>
    <w:rsid w:val="006951D1"/>
    <w:rsid w:val="00695BC8"/>
    <w:rsid w:val="00696827"/>
    <w:rsid w:val="00696FB4"/>
    <w:rsid w:val="0069764E"/>
    <w:rsid w:val="006A2F76"/>
    <w:rsid w:val="006A5B95"/>
    <w:rsid w:val="006A5DFA"/>
    <w:rsid w:val="006A60DD"/>
    <w:rsid w:val="006A77DC"/>
    <w:rsid w:val="006A7B32"/>
    <w:rsid w:val="006A7E75"/>
    <w:rsid w:val="006B25FA"/>
    <w:rsid w:val="006B3FF7"/>
    <w:rsid w:val="006B4AF3"/>
    <w:rsid w:val="006B5CB8"/>
    <w:rsid w:val="006C1BD1"/>
    <w:rsid w:val="006C1BDA"/>
    <w:rsid w:val="006C1F89"/>
    <w:rsid w:val="006C4117"/>
    <w:rsid w:val="006C436D"/>
    <w:rsid w:val="006C4C81"/>
    <w:rsid w:val="006C51DC"/>
    <w:rsid w:val="006C52BE"/>
    <w:rsid w:val="006C604D"/>
    <w:rsid w:val="006C61C9"/>
    <w:rsid w:val="006C6911"/>
    <w:rsid w:val="006C71A7"/>
    <w:rsid w:val="006D0111"/>
    <w:rsid w:val="006D172F"/>
    <w:rsid w:val="006D3108"/>
    <w:rsid w:val="006D34E0"/>
    <w:rsid w:val="006D53BC"/>
    <w:rsid w:val="006D5C8B"/>
    <w:rsid w:val="006D5F3F"/>
    <w:rsid w:val="006D60BF"/>
    <w:rsid w:val="006D6565"/>
    <w:rsid w:val="006E2C15"/>
    <w:rsid w:val="006E3986"/>
    <w:rsid w:val="006E5049"/>
    <w:rsid w:val="006E513F"/>
    <w:rsid w:val="006E6271"/>
    <w:rsid w:val="006F0054"/>
    <w:rsid w:val="006F5194"/>
    <w:rsid w:val="006F533D"/>
    <w:rsid w:val="006F654B"/>
    <w:rsid w:val="006F6F64"/>
    <w:rsid w:val="006F6FE1"/>
    <w:rsid w:val="006F7E04"/>
    <w:rsid w:val="00700407"/>
    <w:rsid w:val="00702BA0"/>
    <w:rsid w:val="007051EB"/>
    <w:rsid w:val="007064FC"/>
    <w:rsid w:val="00706800"/>
    <w:rsid w:val="007077D5"/>
    <w:rsid w:val="00712087"/>
    <w:rsid w:val="00712501"/>
    <w:rsid w:val="007150C2"/>
    <w:rsid w:val="00715A81"/>
    <w:rsid w:val="007164AD"/>
    <w:rsid w:val="00717312"/>
    <w:rsid w:val="007176DC"/>
    <w:rsid w:val="0072065C"/>
    <w:rsid w:val="00721289"/>
    <w:rsid w:val="00721425"/>
    <w:rsid w:val="00721C8B"/>
    <w:rsid w:val="007225CB"/>
    <w:rsid w:val="007229FB"/>
    <w:rsid w:val="00722B34"/>
    <w:rsid w:val="00725D61"/>
    <w:rsid w:val="00725DF0"/>
    <w:rsid w:val="00726CBA"/>
    <w:rsid w:val="00730856"/>
    <w:rsid w:val="007325B2"/>
    <w:rsid w:val="007326B7"/>
    <w:rsid w:val="0073375E"/>
    <w:rsid w:val="007338C3"/>
    <w:rsid w:val="00734929"/>
    <w:rsid w:val="00736E49"/>
    <w:rsid w:val="00740527"/>
    <w:rsid w:val="00741C91"/>
    <w:rsid w:val="0074255B"/>
    <w:rsid w:val="00743208"/>
    <w:rsid w:val="0074323B"/>
    <w:rsid w:val="0074336F"/>
    <w:rsid w:val="00743CEA"/>
    <w:rsid w:val="00744550"/>
    <w:rsid w:val="0074533F"/>
    <w:rsid w:val="00746688"/>
    <w:rsid w:val="0075103B"/>
    <w:rsid w:val="00752172"/>
    <w:rsid w:val="00753598"/>
    <w:rsid w:val="00754B00"/>
    <w:rsid w:val="0075590C"/>
    <w:rsid w:val="007562AD"/>
    <w:rsid w:val="00756AD1"/>
    <w:rsid w:val="007570EF"/>
    <w:rsid w:val="00760589"/>
    <w:rsid w:val="00761013"/>
    <w:rsid w:val="00761F46"/>
    <w:rsid w:val="00765719"/>
    <w:rsid w:val="00766417"/>
    <w:rsid w:val="0077166E"/>
    <w:rsid w:val="00772010"/>
    <w:rsid w:val="00773C65"/>
    <w:rsid w:val="0077457D"/>
    <w:rsid w:val="0077617B"/>
    <w:rsid w:val="0077770D"/>
    <w:rsid w:val="00780070"/>
    <w:rsid w:val="007808F9"/>
    <w:rsid w:val="007819CC"/>
    <w:rsid w:val="00781FE7"/>
    <w:rsid w:val="0078347B"/>
    <w:rsid w:val="00783994"/>
    <w:rsid w:val="00784FC0"/>
    <w:rsid w:val="00786294"/>
    <w:rsid w:val="007868AC"/>
    <w:rsid w:val="007930EB"/>
    <w:rsid w:val="0079548A"/>
    <w:rsid w:val="00797246"/>
    <w:rsid w:val="007A056F"/>
    <w:rsid w:val="007A0D60"/>
    <w:rsid w:val="007A0FFA"/>
    <w:rsid w:val="007A2A1D"/>
    <w:rsid w:val="007A32D2"/>
    <w:rsid w:val="007A47D9"/>
    <w:rsid w:val="007A61E4"/>
    <w:rsid w:val="007B02EF"/>
    <w:rsid w:val="007B12DA"/>
    <w:rsid w:val="007B452D"/>
    <w:rsid w:val="007B618A"/>
    <w:rsid w:val="007B7716"/>
    <w:rsid w:val="007B7E5C"/>
    <w:rsid w:val="007C1EDB"/>
    <w:rsid w:val="007C2626"/>
    <w:rsid w:val="007C2B2D"/>
    <w:rsid w:val="007C4044"/>
    <w:rsid w:val="007C5649"/>
    <w:rsid w:val="007C62B1"/>
    <w:rsid w:val="007D045E"/>
    <w:rsid w:val="007D04D2"/>
    <w:rsid w:val="007D0B85"/>
    <w:rsid w:val="007D2C1F"/>
    <w:rsid w:val="007D33DA"/>
    <w:rsid w:val="007D4FBF"/>
    <w:rsid w:val="007D59A0"/>
    <w:rsid w:val="007D5EB4"/>
    <w:rsid w:val="007D5FBD"/>
    <w:rsid w:val="007D6AD0"/>
    <w:rsid w:val="007E0E64"/>
    <w:rsid w:val="007E140C"/>
    <w:rsid w:val="007E19AE"/>
    <w:rsid w:val="007E3507"/>
    <w:rsid w:val="007E674F"/>
    <w:rsid w:val="007E7401"/>
    <w:rsid w:val="007F0067"/>
    <w:rsid w:val="007F0215"/>
    <w:rsid w:val="007F22EB"/>
    <w:rsid w:val="007F41ED"/>
    <w:rsid w:val="007F452C"/>
    <w:rsid w:val="007F6310"/>
    <w:rsid w:val="007F6384"/>
    <w:rsid w:val="007F677A"/>
    <w:rsid w:val="00800481"/>
    <w:rsid w:val="008005B1"/>
    <w:rsid w:val="00804E1E"/>
    <w:rsid w:val="00805D2F"/>
    <w:rsid w:val="008060D3"/>
    <w:rsid w:val="00806B1C"/>
    <w:rsid w:val="00807223"/>
    <w:rsid w:val="00811415"/>
    <w:rsid w:val="00812985"/>
    <w:rsid w:val="00813B18"/>
    <w:rsid w:val="00814AAA"/>
    <w:rsid w:val="0081567A"/>
    <w:rsid w:val="00817032"/>
    <w:rsid w:val="00820266"/>
    <w:rsid w:val="00820FED"/>
    <w:rsid w:val="00822549"/>
    <w:rsid w:val="00822EE2"/>
    <w:rsid w:val="00823191"/>
    <w:rsid w:val="00825285"/>
    <w:rsid w:val="00827BDB"/>
    <w:rsid w:val="0083102E"/>
    <w:rsid w:val="00831140"/>
    <w:rsid w:val="00831173"/>
    <w:rsid w:val="0083119C"/>
    <w:rsid w:val="00832D85"/>
    <w:rsid w:val="008338A6"/>
    <w:rsid w:val="00833BB2"/>
    <w:rsid w:val="008341C4"/>
    <w:rsid w:val="00840D43"/>
    <w:rsid w:val="00841544"/>
    <w:rsid w:val="00841793"/>
    <w:rsid w:val="008419ED"/>
    <w:rsid w:val="00841CC2"/>
    <w:rsid w:val="00842127"/>
    <w:rsid w:val="00843400"/>
    <w:rsid w:val="00843934"/>
    <w:rsid w:val="00843979"/>
    <w:rsid w:val="00843B8D"/>
    <w:rsid w:val="00844317"/>
    <w:rsid w:val="00844BA4"/>
    <w:rsid w:val="00844D00"/>
    <w:rsid w:val="008459B9"/>
    <w:rsid w:val="008470CB"/>
    <w:rsid w:val="00851662"/>
    <w:rsid w:val="00853E4F"/>
    <w:rsid w:val="008552DE"/>
    <w:rsid w:val="00856093"/>
    <w:rsid w:val="00857156"/>
    <w:rsid w:val="0085786F"/>
    <w:rsid w:val="00861104"/>
    <w:rsid w:val="00862BD1"/>
    <w:rsid w:val="00863898"/>
    <w:rsid w:val="008644CD"/>
    <w:rsid w:val="00864698"/>
    <w:rsid w:val="00864804"/>
    <w:rsid w:val="008654F9"/>
    <w:rsid w:val="008701C3"/>
    <w:rsid w:val="00870A48"/>
    <w:rsid w:val="00870A50"/>
    <w:rsid w:val="00870CF1"/>
    <w:rsid w:val="00871298"/>
    <w:rsid w:val="00872367"/>
    <w:rsid w:val="008730D2"/>
    <w:rsid w:val="00876C5B"/>
    <w:rsid w:val="00877AD9"/>
    <w:rsid w:val="0088047D"/>
    <w:rsid w:val="0088369C"/>
    <w:rsid w:val="0088500A"/>
    <w:rsid w:val="0088616C"/>
    <w:rsid w:val="00886EDF"/>
    <w:rsid w:val="00890419"/>
    <w:rsid w:val="00890F13"/>
    <w:rsid w:val="00891836"/>
    <w:rsid w:val="00892188"/>
    <w:rsid w:val="008925BF"/>
    <w:rsid w:val="00893479"/>
    <w:rsid w:val="0089457D"/>
    <w:rsid w:val="008949F0"/>
    <w:rsid w:val="00896E25"/>
    <w:rsid w:val="00896EEC"/>
    <w:rsid w:val="008A164F"/>
    <w:rsid w:val="008A2513"/>
    <w:rsid w:val="008A45CE"/>
    <w:rsid w:val="008A4E4E"/>
    <w:rsid w:val="008A5103"/>
    <w:rsid w:val="008A7A37"/>
    <w:rsid w:val="008B0718"/>
    <w:rsid w:val="008B2B65"/>
    <w:rsid w:val="008B38FF"/>
    <w:rsid w:val="008B57B9"/>
    <w:rsid w:val="008B5B48"/>
    <w:rsid w:val="008B73C4"/>
    <w:rsid w:val="008B7FC3"/>
    <w:rsid w:val="008C0563"/>
    <w:rsid w:val="008C1831"/>
    <w:rsid w:val="008C4AF9"/>
    <w:rsid w:val="008C5CCD"/>
    <w:rsid w:val="008C6BE5"/>
    <w:rsid w:val="008C724E"/>
    <w:rsid w:val="008D079C"/>
    <w:rsid w:val="008D163B"/>
    <w:rsid w:val="008D24DD"/>
    <w:rsid w:val="008D262B"/>
    <w:rsid w:val="008D4BE5"/>
    <w:rsid w:val="008D5745"/>
    <w:rsid w:val="008D59BC"/>
    <w:rsid w:val="008D5AA3"/>
    <w:rsid w:val="008E0AEB"/>
    <w:rsid w:val="008E2B99"/>
    <w:rsid w:val="008E38BA"/>
    <w:rsid w:val="008E57FA"/>
    <w:rsid w:val="008E5B40"/>
    <w:rsid w:val="008E5F5D"/>
    <w:rsid w:val="008E63F7"/>
    <w:rsid w:val="008E6BEC"/>
    <w:rsid w:val="008E7B20"/>
    <w:rsid w:val="008E7E50"/>
    <w:rsid w:val="008F0837"/>
    <w:rsid w:val="008F1E56"/>
    <w:rsid w:val="008F38AF"/>
    <w:rsid w:val="008F3C92"/>
    <w:rsid w:val="008F493D"/>
    <w:rsid w:val="008F52EC"/>
    <w:rsid w:val="008F61FE"/>
    <w:rsid w:val="008F6E49"/>
    <w:rsid w:val="00901D61"/>
    <w:rsid w:val="00903B11"/>
    <w:rsid w:val="00904245"/>
    <w:rsid w:val="00905AAF"/>
    <w:rsid w:val="00907887"/>
    <w:rsid w:val="00907B35"/>
    <w:rsid w:val="0091104F"/>
    <w:rsid w:val="009124A7"/>
    <w:rsid w:val="0091391B"/>
    <w:rsid w:val="0091427E"/>
    <w:rsid w:val="00914992"/>
    <w:rsid w:val="00915113"/>
    <w:rsid w:val="00916B48"/>
    <w:rsid w:val="009171E7"/>
    <w:rsid w:val="0091779A"/>
    <w:rsid w:val="00920C15"/>
    <w:rsid w:val="00920C83"/>
    <w:rsid w:val="0092114D"/>
    <w:rsid w:val="00921CF7"/>
    <w:rsid w:val="00922889"/>
    <w:rsid w:val="00925AF0"/>
    <w:rsid w:val="009261E1"/>
    <w:rsid w:val="00927D72"/>
    <w:rsid w:val="00930F9E"/>
    <w:rsid w:val="009310FE"/>
    <w:rsid w:val="009337B4"/>
    <w:rsid w:val="0093388B"/>
    <w:rsid w:val="0093728F"/>
    <w:rsid w:val="00937CF2"/>
    <w:rsid w:val="00937F08"/>
    <w:rsid w:val="009409D4"/>
    <w:rsid w:val="00941A0A"/>
    <w:rsid w:val="00941D84"/>
    <w:rsid w:val="00942409"/>
    <w:rsid w:val="00942C18"/>
    <w:rsid w:val="00942EDF"/>
    <w:rsid w:val="009437C7"/>
    <w:rsid w:val="00947557"/>
    <w:rsid w:val="00950195"/>
    <w:rsid w:val="009518B7"/>
    <w:rsid w:val="00952E3D"/>
    <w:rsid w:val="00952F77"/>
    <w:rsid w:val="00955910"/>
    <w:rsid w:val="00960CD5"/>
    <w:rsid w:val="00961F02"/>
    <w:rsid w:val="009624F0"/>
    <w:rsid w:val="009627EB"/>
    <w:rsid w:val="00962F18"/>
    <w:rsid w:val="0096334D"/>
    <w:rsid w:val="00963790"/>
    <w:rsid w:val="009639FE"/>
    <w:rsid w:val="00963DC0"/>
    <w:rsid w:val="00964BAB"/>
    <w:rsid w:val="009675EC"/>
    <w:rsid w:val="009679FE"/>
    <w:rsid w:val="00971E5E"/>
    <w:rsid w:val="00972486"/>
    <w:rsid w:val="00972E2B"/>
    <w:rsid w:val="00974D29"/>
    <w:rsid w:val="0097552A"/>
    <w:rsid w:val="009755B2"/>
    <w:rsid w:val="00975799"/>
    <w:rsid w:val="00976B58"/>
    <w:rsid w:val="00977D5B"/>
    <w:rsid w:val="00983E8F"/>
    <w:rsid w:val="009846E9"/>
    <w:rsid w:val="009847BC"/>
    <w:rsid w:val="009859AF"/>
    <w:rsid w:val="00986730"/>
    <w:rsid w:val="00986E40"/>
    <w:rsid w:val="0099530C"/>
    <w:rsid w:val="00995B8B"/>
    <w:rsid w:val="00996720"/>
    <w:rsid w:val="009A098F"/>
    <w:rsid w:val="009A0B0F"/>
    <w:rsid w:val="009A0F59"/>
    <w:rsid w:val="009A2176"/>
    <w:rsid w:val="009A4784"/>
    <w:rsid w:val="009A4A87"/>
    <w:rsid w:val="009A4F5B"/>
    <w:rsid w:val="009A7643"/>
    <w:rsid w:val="009B0918"/>
    <w:rsid w:val="009B150D"/>
    <w:rsid w:val="009B22AE"/>
    <w:rsid w:val="009B26E6"/>
    <w:rsid w:val="009B59BA"/>
    <w:rsid w:val="009B6C1E"/>
    <w:rsid w:val="009B7A09"/>
    <w:rsid w:val="009B7EC4"/>
    <w:rsid w:val="009C27AC"/>
    <w:rsid w:val="009C3FA6"/>
    <w:rsid w:val="009C4B51"/>
    <w:rsid w:val="009D16A8"/>
    <w:rsid w:val="009D1BCA"/>
    <w:rsid w:val="009D2289"/>
    <w:rsid w:val="009D3CBF"/>
    <w:rsid w:val="009D5058"/>
    <w:rsid w:val="009D5A41"/>
    <w:rsid w:val="009D624D"/>
    <w:rsid w:val="009E15AA"/>
    <w:rsid w:val="009E2770"/>
    <w:rsid w:val="009E2783"/>
    <w:rsid w:val="009E2E03"/>
    <w:rsid w:val="009E35FE"/>
    <w:rsid w:val="009E37D5"/>
    <w:rsid w:val="009E529B"/>
    <w:rsid w:val="009E5F40"/>
    <w:rsid w:val="009E709D"/>
    <w:rsid w:val="009E71C3"/>
    <w:rsid w:val="009E7462"/>
    <w:rsid w:val="009F0A63"/>
    <w:rsid w:val="009F0FF0"/>
    <w:rsid w:val="009F1919"/>
    <w:rsid w:val="009F1AB2"/>
    <w:rsid w:val="009F48F0"/>
    <w:rsid w:val="009F6855"/>
    <w:rsid w:val="00A005F4"/>
    <w:rsid w:val="00A00B5D"/>
    <w:rsid w:val="00A035A2"/>
    <w:rsid w:val="00A04894"/>
    <w:rsid w:val="00A07386"/>
    <w:rsid w:val="00A10441"/>
    <w:rsid w:val="00A10A31"/>
    <w:rsid w:val="00A10A3A"/>
    <w:rsid w:val="00A131A2"/>
    <w:rsid w:val="00A1364C"/>
    <w:rsid w:val="00A14AA3"/>
    <w:rsid w:val="00A16895"/>
    <w:rsid w:val="00A16C50"/>
    <w:rsid w:val="00A17F85"/>
    <w:rsid w:val="00A20060"/>
    <w:rsid w:val="00A212D9"/>
    <w:rsid w:val="00A236B9"/>
    <w:rsid w:val="00A2392D"/>
    <w:rsid w:val="00A2687D"/>
    <w:rsid w:val="00A27C74"/>
    <w:rsid w:val="00A27EA1"/>
    <w:rsid w:val="00A302C6"/>
    <w:rsid w:val="00A3044D"/>
    <w:rsid w:val="00A305D9"/>
    <w:rsid w:val="00A31BC4"/>
    <w:rsid w:val="00A31CAC"/>
    <w:rsid w:val="00A32403"/>
    <w:rsid w:val="00A33CC3"/>
    <w:rsid w:val="00A341F4"/>
    <w:rsid w:val="00A34688"/>
    <w:rsid w:val="00A34709"/>
    <w:rsid w:val="00A35419"/>
    <w:rsid w:val="00A356F5"/>
    <w:rsid w:val="00A37066"/>
    <w:rsid w:val="00A40034"/>
    <w:rsid w:val="00A43A22"/>
    <w:rsid w:val="00A44019"/>
    <w:rsid w:val="00A46469"/>
    <w:rsid w:val="00A46E26"/>
    <w:rsid w:val="00A47239"/>
    <w:rsid w:val="00A472EA"/>
    <w:rsid w:val="00A47D6B"/>
    <w:rsid w:val="00A5087B"/>
    <w:rsid w:val="00A51FE7"/>
    <w:rsid w:val="00A53472"/>
    <w:rsid w:val="00A54989"/>
    <w:rsid w:val="00A54C4D"/>
    <w:rsid w:val="00A55D35"/>
    <w:rsid w:val="00A61A84"/>
    <w:rsid w:val="00A62088"/>
    <w:rsid w:val="00A62838"/>
    <w:rsid w:val="00A629BB"/>
    <w:rsid w:val="00A6326C"/>
    <w:rsid w:val="00A6416B"/>
    <w:rsid w:val="00A65A6C"/>
    <w:rsid w:val="00A66ED8"/>
    <w:rsid w:val="00A70034"/>
    <w:rsid w:val="00A70201"/>
    <w:rsid w:val="00A703FF"/>
    <w:rsid w:val="00A72074"/>
    <w:rsid w:val="00A741C3"/>
    <w:rsid w:val="00A74570"/>
    <w:rsid w:val="00A75C6E"/>
    <w:rsid w:val="00A77365"/>
    <w:rsid w:val="00A778BB"/>
    <w:rsid w:val="00A77D7A"/>
    <w:rsid w:val="00A806DF"/>
    <w:rsid w:val="00A82152"/>
    <w:rsid w:val="00A826BA"/>
    <w:rsid w:val="00A83EA6"/>
    <w:rsid w:val="00A84714"/>
    <w:rsid w:val="00A857DD"/>
    <w:rsid w:val="00A86A2B"/>
    <w:rsid w:val="00A913D6"/>
    <w:rsid w:val="00A93B0D"/>
    <w:rsid w:val="00A945D9"/>
    <w:rsid w:val="00A95B56"/>
    <w:rsid w:val="00A975FA"/>
    <w:rsid w:val="00A9787A"/>
    <w:rsid w:val="00A97E07"/>
    <w:rsid w:val="00AA29DC"/>
    <w:rsid w:val="00AA422C"/>
    <w:rsid w:val="00AA472E"/>
    <w:rsid w:val="00AA595B"/>
    <w:rsid w:val="00AA657C"/>
    <w:rsid w:val="00AA6B11"/>
    <w:rsid w:val="00AA7E77"/>
    <w:rsid w:val="00AB15A1"/>
    <w:rsid w:val="00AB1AA7"/>
    <w:rsid w:val="00AB3B14"/>
    <w:rsid w:val="00AB3EBA"/>
    <w:rsid w:val="00AB4B49"/>
    <w:rsid w:val="00AB50D6"/>
    <w:rsid w:val="00AB511E"/>
    <w:rsid w:val="00AB5D6F"/>
    <w:rsid w:val="00AB778A"/>
    <w:rsid w:val="00AC1C6F"/>
    <w:rsid w:val="00AC2EF3"/>
    <w:rsid w:val="00AC436D"/>
    <w:rsid w:val="00AC5B1C"/>
    <w:rsid w:val="00AD2186"/>
    <w:rsid w:val="00AD383D"/>
    <w:rsid w:val="00AD4576"/>
    <w:rsid w:val="00AD4ABB"/>
    <w:rsid w:val="00AD63EF"/>
    <w:rsid w:val="00AE06A6"/>
    <w:rsid w:val="00AE0E75"/>
    <w:rsid w:val="00AE1114"/>
    <w:rsid w:val="00AE1839"/>
    <w:rsid w:val="00AE2C20"/>
    <w:rsid w:val="00AE52E9"/>
    <w:rsid w:val="00AE5FDF"/>
    <w:rsid w:val="00AE644B"/>
    <w:rsid w:val="00AF062C"/>
    <w:rsid w:val="00AF223A"/>
    <w:rsid w:val="00AF2DCB"/>
    <w:rsid w:val="00AF52BE"/>
    <w:rsid w:val="00AF5A24"/>
    <w:rsid w:val="00AF6D4C"/>
    <w:rsid w:val="00B02246"/>
    <w:rsid w:val="00B04019"/>
    <w:rsid w:val="00B04119"/>
    <w:rsid w:val="00B04F1E"/>
    <w:rsid w:val="00B07278"/>
    <w:rsid w:val="00B124A4"/>
    <w:rsid w:val="00B12AF7"/>
    <w:rsid w:val="00B1379C"/>
    <w:rsid w:val="00B139CC"/>
    <w:rsid w:val="00B14785"/>
    <w:rsid w:val="00B15A13"/>
    <w:rsid w:val="00B1677B"/>
    <w:rsid w:val="00B20158"/>
    <w:rsid w:val="00B2039B"/>
    <w:rsid w:val="00B20943"/>
    <w:rsid w:val="00B20BE1"/>
    <w:rsid w:val="00B234C6"/>
    <w:rsid w:val="00B265FC"/>
    <w:rsid w:val="00B307EC"/>
    <w:rsid w:val="00B3109B"/>
    <w:rsid w:val="00B3293C"/>
    <w:rsid w:val="00B35F8B"/>
    <w:rsid w:val="00B36398"/>
    <w:rsid w:val="00B36D9A"/>
    <w:rsid w:val="00B374FB"/>
    <w:rsid w:val="00B37CB0"/>
    <w:rsid w:val="00B420BF"/>
    <w:rsid w:val="00B4282E"/>
    <w:rsid w:val="00B43C9B"/>
    <w:rsid w:val="00B43F3F"/>
    <w:rsid w:val="00B441A0"/>
    <w:rsid w:val="00B44706"/>
    <w:rsid w:val="00B44BAC"/>
    <w:rsid w:val="00B456BD"/>
    <w:rsid w:val="00B462FC"/>
    <w:rsid w:val="00B47E0D"/>
    <w:rsid w:val="00B5021B"/>
    <w:rsid w:val="00B53A16"/>
    <w:rsid w:val="00B5617D"/>
    <w:rsid w:val="00B57C92"/>
    <w:rsid w:val="00B605E0"/>
    <w:rsid w:val="00B60E5F"/>
    <w:rsid w:val="00B636D1"/>
    <w:rsid w:val="00B64095"/>
    <w:rsid w:val="00B643CC"/>
    <w:rsid w:val="00B6482A"/>
    <w:rsid w:val="00B64BA8"/>
    <w:rsid w:val="00B65203"/>
    <w:rsid w:val="00B65FF7"/>
    <w:rsid w:val="00B720D7"/>
    <w:rsid w:val="00B723ED"/>
    <w:rsid w:val="00B72DBA"/>
    <w:rsid w:val="00B731AF"/>
    <w:rsid w:val="00B749F1"/>
    <w:rsid w:val="00B74D67"/>
    <w:rsid w:val="00B75393"/>
    <w:rsid w:val="00B76AC9"/>
    <w:rsid w:val="00B830E2"/>
    <w:rsid w:val="00B83837"/>
    <w:rsid w:val="00B845EF"/>
    <w:rsid w:val="00B85208"/>
    <w:rsid w:val="00B90290"/>
    <w:rsid w:val="00B905D0"/>
    <w:rsid w:val="00B9157C"/>
    <w:rsid w:val="00B91660"/>
    <w:rsid w:val="00B91E95"/>
    <w:rsid w:val="00B92801"/>
    <w:rsid w:val="00B92E1C"/>
    <w:rsid w:val="00B93653"/>
    <w:rsid w:val="00B94136"/>
    <w:rsid w:val="00B942CB"/>
    <w:rsid w:val="00B95703"/>
    <w:rsid w:val="00B972B2"/>
    <w:rsid w:val="00BA1992"/>
    <w:rsid w:val="00BA2C24"/>
    <w:rsid w:val="00BA4B7F"/>
    <w:rsid w:val="00BA5034"/>
    <w:rsid w:val="00BA6F58"/>
    <w:rsid w:val="00BB1428"/>
    <w:rsid w:val="00BB20A4"/>
    <w:rsid w:val="00BB2EB4"/>
    <w:rsid w:val="00BB36AC"/>
    <w:rsid w:val="00BB3852"/>
    <w:rsid w:val="00BB439C"/>
    <w:rsid w:val="00BB4FC5"/>
    <w:rsid w:val="00BB536D"/>
    <w:rsid w:val="00BB5BF0"/>
    <w:rsid w:val="00BB7C0B"/>
    <w:rsid w:val="00BC23FE"/>
    <w:rsid w:val="00BC28F8"/>
    <w:rsid w:val="00BC30E4"/>
    <w:rsid w:val="00BC485B"/>
    <w:rsid w:val="00BC4E3B"/>
    <w:rsid w:val="00BC5791"/>
    <w:rsid w:val="00BC6730"/>
    <w:rsid w:val="00BC6978"/>
    <w:rsid w:val="00BD0702"/>
    <w:rsid w:val="00BD0790"/>
    <w:rsid w:val="00BD0F8E"/>
    <w:rsid w:val="00BD2914"/>
    <w:rsid w:val="00BD3DA4"/>
    <w:rsid w:val="00BD5AC3"/>
    <w:rsid w:val="00BD5CC4"/>
    <w:rsid w:val="00BD6A9F"/>
    <w:rsid w:val="00BD6F06"/>
    <w:rsid w:val="00BE1C5C"/>
    <w:rsid w:val="00BE2634"/>
    <w:rsid w:val="00BE27A5"/>
    <w:rsid w:val="00BE355A"/>
    <w:rsid w:val="00BE3639"/>
    <w:rsid w:val="00BE3C66"/>
    <w:rsid w:val="00BE447D"/>
    <w:rsid w:val="00BE471C"/>
    <w:rsid w:val="00BE5436"/>
    <w:rsid w:val="00BE5866"/>
    <w:rsid w:val="00BF0384"/>
    <w:rsid w:val="00BF0B90"/>
    <w:rsid w:val="00BF199E"/>
    <w:rsid w:val="00BF1C5B"/>
    <w:rsid w:val="00BF2004"/>
    <w:rsid w:val="00BF2535"/>
    <w:rsid w:val="00BF289F"/>
    <w:rsid w:val="00BF2B76"/>
    <w:rsid w:val="00BF309E"/>
    <w:rsid w:val="00BF3128"/>
    <w:rsid w:val="00BF58F6"/>
    <w:rsid w:val="00BF5C1D"/>
    <w:rsid w:val="00BF6859"/>
    <w:rsid w:val="00BF6A35"/>
    <w:rsid w:val="00BF7158"/>
    <w:rsid w:val="00BF779F"/>
    <w:rsid w:val="00C0040A"/>
    <w:rsid w:val="00C00538"/>
    <w:rsid w:val="00C01AED"/>
    <w:rsid w:val="00C02707"/>
    <w:rsid w:val="00C03C38"/>
    <w:rsid w:val="00C046F7"/>
    <w:rsid w:val="00C04CA7"/>
    <w:rsid w:val="00C050E0"/>
    <w:rsid w:val="00C05A6A"/>
    <w:rsid w:val="00C067F5"/>
    <w:rsid w:val="00C06D99"/>
    <w:rsid w:val="00C07138"/>
    <w:rsid w:val="00C07954"/>
    <w:rsid w:val="00C1117B"/>
    <w:rsid w:val="00C1158D"/>
    <w:rsid w:val="00C115BF"/>
    <w:rsid w:val="00C13495"/>
    <w:rsid w:val="00C13A8C"/>
    <w:rsid w:val="00C145DC"/>
    <w:rsid w:val="00C14DBE"/>
    <w:rsid w:val="00C16549"/>
    <w:rsid w:val="00C16FF7"/>
    <w:rsid w:val="00C1768D"/>
    <w:rsid w:val="00C17E10"/>
    <w:rsid w:val="00C21727"/>
    <w:rsid w:val="00C21D1C"/>
    <w:rsid w:val="00C22181"/>
    <w:rsid w:val="00C2379D"/>
    <w:rsid w:val="00C23890"/>
    <w:rsid w:val="00C23914"/>
    <w:rsid w:val="00C252B9"/>
    <w:rsid w:val="00C276B1"/>
    <w:rsid w:val="00C27979"/>
    <w:rsid w:val="00C300B1"/>
    <w:rsid w:val="00C31988"/>
    <w:rsid w:val="00C332B4"/>
    <w:rsid w:val="00C33DE7"/>
    <w:rsid w:val="00C37C11"/>
    <w:rsid w:val="00C40AD0"/>
    <w:rsid w:val="00C4105A"/>
    <w:rsid w:val="00C4308B"/>
    <w:rsid w:val="00C43509"/>
    <w:rsid w:val="00C43CEA"/>
    <w:rsid w:val="00C44226"/>
    <w:rsid w:val="00C44BDF"/>
    <w:rsid w:val="00C4581A"/>
    <w:rsid w:val="00C47AE6"/>
    <w:rsid w:val="00C51C44"/>
    <w:rsid w:val="00C55867"/>
    <w:rsid w:val="00C55D6A"/>
    <w:rsid w:val="00C56452"/>
    <w:rsid w:val="00C57573"/>
    <w:rsid w:val="00C6131B"/>
    <w:rsid w:val="00C62D3A"/>
    <w:rsid w:val="00C63E42"/>
    <w:rsid w:val="00C642BC"/>
    <w:rsid w:val="00C65823"/>
    <w:rsid w:val="00C704AD"/>
    <w:rsid w:val="00C705C9"/>
    <w:rsid w:val="00C707E7"/>
    <w:rsid w:val="00C7344D"/>
    <w:rsid w:val="00C747A3"/>
    <w:rsid w:val="00C77982"/>
    <w:rsid w:val="00C779E4"/>
    <w:rsid w:val="00C77F99"/>
    <w:rsid w:val="00C80219"/>
    <w:rsid w:val="00C81335"/>
    <w:rsid w:val="00C814EA"/>
    <w:rsid w:val="00C8174A"/>
    <w:rsid w:val="00C81BA5"/>
    <w:rsid w:val="00C8261C"/>
    <w:rsid w:val="00C84D8B"/>
    <w:rsid w:val="00C939C3"/>
    <w:rsid w:val="00C93FD4"/>
    <w:rsid w:val="00CA119D"/>
    <w:rsid w:val="00CA2B29"/>
    <w:rsid w:val="00CA2CD7"/>
    <w:rsid w:val="00CA4570"/>
    <w:rsid w:val="00CA5001"/>
    <w:rsid w:val="00CA6133"/>
    <w:rsid w:val="00CA6CCF"/>
    <w:rsid w:val="00CA78B2"/>
    <w:rsid w:val="00CB0C11"/>
    <w:rsid w:val="00CB15A3"/>
    <w:rsid w:val="00CB2958"/>
    <w:rsid w:val="00CB4366"/>
    <w:rsid w:val="00CB4592"/>
    <w:rsid w:val="00CB476A"/>
    <w:rsid w:val="00CB53E5"/>
    <w:rsid w:val="00CB5929"/>
    <w:rsid w:val="00CB7F8E"/>
    <w:rsid w:val="00CC07F0"/>
    <w:rsid w:val="00CC2129"/>
    <w:rsid w:val="00CC3F40"/>
    <w:rsid w:val="00CC4044"/>
    <w:rsid w:val="00CC55B8"/>
    <w:rsid w:val="00CC656E"/>
    <w:rsid w:val="00CC71B3"/>
    <w:rsid w:val="00CD0258"/>
    <w:rsid w:val="00CD2CEC"/>
    <w:rsid w:val="00CD4CB0"/>
    <w:rsid w:val="00CD506C"/>
    <w:rsid w:val="00CD5501"/>
    <w:rsid w:val="00CD67E1"/>
    <w:rsid w:val="00CE285C"/>
    <w:rsid w:val="00CE4C36"/>
    <w:rsid w:val="00CE4CBC"/>
    <w:rsid w:val="00CE511A"/>
    <w:rsid w:val="00CE61F0"/>
    <w:rsid w:val="00CE6CD3"/>
    <w:rsid w:val="00CF0C54"/>
    <w:rsid w:val="00CF1B1A"/>
    <w:rsid w:val="00CF23D0"/>
    <w:rsid w:val="00CF2466"/>
    <w:rsid w:val="00CF32F2"/>
    <w:rsid w:val="00CF3A7A"/>
    <w:rsid w:val="00CF3B37"/>
    <w:rsid w:val="00CF7631"/>
    <w:rsid w:val="00CF7BB6"/>
    <w:rsid w:val="00D00489"/>
    <w:rsid w:val="00D00FAC"/>
    <w:rsid w:val="00D01801"/>
    <w:rsid w:val="00D022FE"/>
    <w:rsid w:val="00D026DC"/>
    <w:rsid w:val="00D02EFA"/>
    <w:rsid w:val="00D03F92"/>
    <w:rsid w:val="00D0512E"/>
    <w:rsid w:val="00D0568D"/>
    <w:rsid w:val="00D058CC"/>
    <w:rsid w:val="00D07EDA"/>
    <w:rsid w:val="00D10402"/>
    <w:rsid w:val="00D113F8"/>
    <w:rsid w:val="00D1366B"/>
    <w:rsid w:val="00D14C60"/>
    <w:rsid w:val="00D14D3F"/>
    <w:rsid w:val="00D154A5"/>
    <w:rsid w:val="00D20734"/>
    <w:rsid w:val="00D214A3"/>
    <w:rsid w:val="00D21DA5"/>
    <w:rsid w:val="00D222E4"/>
    <w:rsid w:val="00D22A77"/>
    <w:rsid w:val="00D22FB0"/>
    <w:rsid w:val="00D25E47"/>
    <w:rsid w:val="00D30257"/>
    <w:rsid w:val="00D302DF"/>
    <w:rsid w:val="00D3084A"/>
    <w:rsid w:val="00D3165E"/>
    <w:rsid w:val="00D34CFE"/>
    <w:rsid w:val="00D34D74"/>
    <w:rsid w:val="00D369AB"/>
    <w:rsid w:val="00D376B7"/>
    <w:rsid w:val="00D37787"/>
    <w:rsid w:val="00D415BE"/>
    <w:rsid w:val="00D41CAC"/>
    <w:rsid w:val="00D42070"/>
    <w:rsid w:val="00D42155"/>
    <w:rsid w:val="00D43868"/>
    <w:rsid w:val="00D45111"/>
    <w:rsid w:val="00D509F2"/>
    <w:rsid w:val="00D510D2"/>
    <w:rsid w:val="00D52718"/>
    <w:rsid w:val="00D5280C"/>
    <w:rsid w:val="00D5408E"/>
    <w:rsid w:val="00D5620D"/>
    <w:rsid w:val="00D571B7"/>
    <w:rsid w:val="00D57E48"/>
    <w:rsid w:val="00D61453"/>
    <w:rsid w:val="00D61FA0"/>
    <w:rsid w:val="00D6214D"/>
    <w:rsid w:val="00D62998"/>
    <w:rsid w:val="00D62EE3"/>
    <w:rsid w:val="00D63925"/>
    <w:rsid w:val="00D652E5"/>
    <w:rsid w:val="00D678D5"/>
    <w:rsid w:val="00D7074D"/>
    <w:rsid w:val="00D72C7E"/>
    <w:rsid w:val="00D72D02"/>
    <w:rsid w:val="00D738FB"/>
    <w:rsid w:val="00D743F4"/>
    <w:rsid w:val="00D74D47"/>
    <w:rsid w:val="00D7672F"/>
    <w:rsid w:val="00D77485"/>
    <w:rsid w:val="00D7796C"/>
    <w:rsid w:val="00D81271"/>
    <w:rsid w:val="00D81F3A"/>
    <w:rsid w:val="00D8263F"/>
    <w:rsid w:val="00D837F7"/>
    <w:rsid w:val="00D857DB"/>
    <w:rsid w:val="00D86429"/>
    <w:rsid w:val="00D86958"/>
    <w:rsid w:val="00D878B0"/>
    <w:rsid w:val="00D91B92"/>
    <w:rsid w:val="00D92AAA"/>
    <w:rsid w:val="00D939E6"/>
    <w:rsid w:val="00D94302"/>
    <w:rsid w:val="00D94D79"/>
    <w:rsid w:val="00D95552"/>
    <w:rsid w:val="00D9784A"/>
    <w:rsid w:val="00D979CF"/>
    <w:rsid w:val="00DA0C1E"/>
    <w:rsid w:val="00DA1921"/>
    <w:rsid w:val="00DA40A6"/>
    <w:rsid w:val="00DA5D82"/>
    <w:rsid w:val="00DA5DA4"/>
    <w:rsid w:val="00DA663A"/>
    <w:rsid w:val="00DB1E12"/>
    <w:rsid w:val="00DB4648"/>
    <w:rsid w:val="00DB53CF"/>
    <w:rsid w:val="00DB5666"/>
    <w:rsid w:val="00DB592A"/>
    <w:rsid w:val="00DB6731"/>
    <w:rsid w:val="00DB6962"/>
    <w:rsid w:val="00DC0285"/>
    <w:rsid w:val="00DC06F9"/>
    <w:rsid w:val="00DC09D1"/>
    <w:rsid w:val="00DC2FD8"/>
    <w:rsid w:val="00DC7F57"/>
    <w:rsid w:val="00DD1B94"/>
    <w:rsid w:val="00DD2DD3"/>
    <w:rsid w:val="00DD3183"/>
    <w:rsid w:val="00DD4980"/>
    <w:rsid w:val="00DD5010"/>
    <w:rsid w:val="00DD5C73"/>
    <w:rsid w:val="00DD63E8"/>
    <w:rsid w:val="00DD7206"/>
    <w:rsid w:val="00DE0C73"/>
    <w:rsid w:val="00DE0C8C"/>
    <w:rsid w:val="00DE2EAD"/>
    <w:rsid w:val="00DE49D8"/>
    <w:rsid w:val="00DE57BD"/>
    <w:rsid w:val="00DE587B"/>
    <w:rsid w:val="00DE58BA"/>
    <w:rsid w:val="00DE6D5E"/>
    <w:rsid w:val="00DF0117"/>
    <w:rsid w:val="00DF04AC"/>
    <w:rsid w:val="00DF16D8"/>
    <w:rsid w:val="00DF16ED"/>
    <w:rsid w:val="00DF1788"/>
    <w:rsid w:val="00DF21E1"/>
    <w:rsid w:val="00DF3ED5"/>
    <w:rsid w:val="00DF45FF"/>
    <w:rsid w:val="00DF4C2C"/>
    <w:rsid w:val="00DF5E58"/>
    <w:rsid w:val="00DF6140"/>
    <w:rsid w:val="00DF65A3"/>
    <w:rsid w:val="00DF77DF"/>
    <w:rsid w:val="00E01881"/>
    <w:rsid w:val="00E02AE6"/>
    <w:rsid w:val="00E02E1A"/>
    <w:rsid w:val="00E04483"/>
    <w:rsid w:val="00E05493"/>
    <w:rsid w:val="00E06CCA"/>
    <w:rsid w:val="00E10198"/>
    <w:rsid w:val="00E10DC3"/>
    <w:rsid w:val="00E11928"/>
    <w:rsid w:val="00E14C24"/>
    <w:rsid w:val="00E14DCC"/>
    <w:rsid w:val="00E15EAC"/>
    <w:rsid w:val="00E1660B"/>
    <w:rsid w:val="00E16ADD"/>
    <w:rsid w:val="00E23A6A"/>
    <w:rsid w:val="00E241AC"/>
    <w:rsid w:val="00E2758B"/>
    <w:rsid w:val="00E31E63"/>
    <w:rsid w:val="00E31F8C"/>
    <w:rsid w:val="00E32586"/>
    <w:rsid w:val="00E32FB2"/>
    <w:rsid w:val="00E3301F"/>
    <w:rsid w:val="00E3436C"/>
    <w:rsid w:val="00E34C9C"/>
    <w:rsid w:val="00E3617A"/>
    <w:rsid w:val="00E36CC4"/>
    <w:rsid w:val="00E36F1D"/>
    <w:rsid w:val="00E373B7"/>
    <w:rsid w:val="00E376B1"/>
    <w:rsid w:val="00E376E0"/>
    <w:rsid w:val="00E40855"/>
    <w:rsid w:val="00E41BDD"/>
    <w:rsid w:val="00E47755"/>
    <w:rsid w:val="00E47E3B"/>
    <w:rsid w:val="00E5066A"/>
    <w:rsid w:val="00E51BB3"/>
    <w:rsid w:val="00E52803"/>
    <w:rsid w:val="00E53554"/>
    <w:rsid w:val="00E5373B"/>
    <w:rsid w:val="00E54929"/>
    <w:rsid w:val="00E55C85"/>
    <w:rsid w:val="00E55F90"/>
    <w:rsid w:val="00E563CA"/>
    <w:rsid w:val="00E573AB"/>
    <w:rsid w:val="00E6046B"/>
    <w:rsid w:val="00E60CDE"/>
    <w:rsid w:val="00E61227"/>
    <w:rsid w:val="00E62454"/>
    <w:rsid w:val="00E634A1"/>
    <w:rsid w:val="00E636DD"/>
    <w:rsid w:val="00E638E3"/>
    <w:rsid w:val="00E64208"/>
    <w:rsid w:val="00E736EB"/>
    <w:rsid w:val="00E7482E"/>
    <w:rsid w:val="00E74A56"/>
    <w:rsid w:val="00E74D38"/>
    <w:rsid w:val="00E76218"/>
    <w:rsid w:val="00E7668F"/>
    <w:rsid w:val="00E76FE2"/>
    <w:rsid w:val="00E77193"/>
    <w:rsid w:val="00E77D9B"/>
    <w:rsid w:val="00E8557B"/>
    <w:rsid w:val="00E856CF"/>
    <w:rsid w:val="00E85CC5"/>
    <w:rsid w:val="00E86F5F"/>
    <w:rsid w:val="00E9042C"/>
    <w:rsid w:val="00E91FFF"/>
    <w:rsid w:val="00E9300A"/>
    <w:rsid w:val="00E9358C"/>
    <w:rsid w:val="00E94DE9"/>
    <w:rsid w:val="00E95125"/>
    <w:rsid w:val="00E959B9"/>
    <w:rsid w:val="00E976BF"/>
    <w:rsid w:val="00EA04A1"/>
    <w:rsid w:val="00EA3727"/>
    <w:rsid w:val="00EA4084"/>
    <w:rsid w:val="00EA48C0"/>
    <w:rsid w:val="00EA4B79"/>
    <w:rsid w:val="00EA4C31"/>
    <w:rsid w:val="00EA53CB"/>
    <w:rsid w:val="00EA5651"/>
    <w:rsid w:val="00EA5A3B"/>
    <w:rsid w:val="00EA634A"/>
    <w:rsid w:val="00EA6A24"/>
    <w:rsid w:val="00EA78D3"/>
    <w:rsid w:val="00EB0FA5"/>
    <w:rsid w:val="00EB3D78"/>
    <w:rsid w:val="00EB56C7"/>
    <w:rsid w:val="00EB5E73"/>
    <w:rsid w:val="00EB6EF9"/>
    <w:rsid w:val="00EB7822"/>
    <w:rsid w:val="00EB7A13"/>
    <w:rsid w:val="00EC1D2B"/>
    <w:rsid w:val="00EC30BC"/>
    <w:rsid w:val="00EC3AA8"/>
    <w:rsid w:val="00EC3D6E"/>
    <w:rsid w:val="00EC4BC8"/>
    <w:rsid w:val="00EC5568"/>
    <w:rsid w:val="00EC69B0"/>
    <w:rsid w:val="00EC7E6F"/>
    <w:rsid w:val="00ED0992"/>
    <w:rsid w:val="00ED0F82"/>
    <w:rsid w:val="00ED0FC1"/>
    <w:rsid w:val="00ED1BC3"/>
    <w:rsid w:val="00ED22AE"/>
    <w:rsid w:val="00ED26BF"/>
    <w:rsid w:val="00ED27C1"/>
    <w:rsid w:val="00ED3A0D"/>
    <w:rsid w:val="00ED44AF"/>
    <w:rsid w:val="00ED451C"/>
    <w:rsid w:val="00ED6602"/>
    <w:rsid w:val="00ED6ABC"/>
    <w:rsid w:val="00ED6F74"/>
    <w:rsid w:val="00ED7CED"/>
    <w:rsid w:val="00EE2A60"/>
    <w:rsid w:val="00EE3059"/>
    <w:rsid w:val="00EE3DE9"/>
    <w:rsid w:val="00EE6744"/>
    <w:rsid w:val="00EE7464"/>
    <w:rsid w:val="00EE7718"/>
    <w:rsid w:val="00EF0AB7"/>
    <w:rsid w:val="00EF0C83"/>
    <w:rsid w:val="00EF1092"/>
    <w:rsid w:val="00EF5100"/>
    <w:rsid w:val="00EF6E68"/>
    <w:rsid w:val="00EF74C1"/>
    <w:rsid w:val="00F01CE7"/>
    <w:rsid w:val="00F01F58"/>
    <w:rsid w:val="00F0214D"/>
    <w:rsid w:val="00F027C5"/>
    <w:rsid w:val="00F04512"/>
    <w:rsid w:val="00F04536"/>
    <w:rsid w:val="00F04BB3"/>
    <w:rsid w:val="00F06431"/>
    <w:rsid w:val="00F10966"/>
    <w:rsid w:val="00F1382B"/>
    <w:rsid w:val="00F13D99"/>
    <w:rsid w:val="00F1406A"/>
    <w:rsid w:val="00F140E8"/>
    <w:rsid w:val="00F14BF3"/>
    <w:rsid w:val="00F1519F"/>
    <w:rsid w:val="00F20F26"/>
    <w:rsid w:val="00F214F3"/>
    <w:rsid w:val="00F22ADD"/>
    <w:rsid w:val="00F232EE"/>
    <w:rsid w:val="00F2384C"/>
    <w:rsid w:val="00F24458"/>
    <w:rsid w:val="00F2625E"/>
    <w:rsid w:val="00F30EFC"/>
    <w:rsid w:val="00F31671"/>
    <w:rsid w:val="00F32895"/>
    <w:rsid w:val="00F32BB0"/>
    <w:rsid w:val="00F3393A"/>
    <w:rsid w:val="00F34025"/>
    <w:rsid w:val="00F34648"/>
    <w:rsid w:val="00F35701"/>
    <w:rsid w:val="00F3593B"/>
    <w:rsid w:val="00F41C70"/>
    <w:rsid w:val="00F4226D"/>
    <w:rsid w:val="00F4298C"/>
    <w:rsid w:val="00F42FC7"/>
    <w:rsid w:val="00F456E9"/>
    <w:rsid w:val="00F46C94"/>
    <w:rsid w:val="00F47F0A"/>
    <w:rsid w:val="00F50DBA"/>
    <w:rsid w:val="00F510FE"/>
    <w:rsid w:val="00F52C6C"/>
    <w:rsid w:val="00F53512"/>
    <w:rsid w:val="00F535EA"/>
    <w:rsid w:val="00F53759"/>
    <w:rsid w:val="00F544C7"/>
    <w:rsid w:val="00F54F46"/>
    <w:rsid w:val="00F551D3"/>
    <w:rsid w:val="00F565BA"/>
    <w:rsid w:val="00F5685D"/>
    <w:rsid w:val="00F56954"/>
    <w:rsid w:val="00F57798"/>
    <w:rsid w:val="00F6074D"/>
    <w:rsid w:val="00F60850"/>
    <w:rsid w:val="00F6093E"/>
    <w:rsid w:val="00F610BD"/>
    <w:rsid w:val="00F611C7"/>
    <w:rsid w:val="00F613D2"/>
    <w:rsid w:val="00F6154A"/>
    <w:rsid w:val="00F63AFB"/>
    <w:rsid w:val="00F63E37"/>
    <w:rsid w:val="00F6504B"/>
    <w:rsid w:val="00F65196"/>
    <w:rsid w:val="00F6553D"/>
    <w:rsid w:val="00F66DFC"/>
    <w:rsid w:val="00F677B7"/>
    <w:rsid w:val="00F7076C"/>
    <w:rsid w:val="00F710AE"/>
    <w:rsid w:val="00F71840"/>
    <w:rsid w:val="00F728E9"/>
    <w:rsid w:val="00F73595"/>
    <w:rsid w:val="00F735D3"/>
    <w:rsid w:val="00F74D06"/>
    <w:rsid w:val="00F74E27"/>
    <w:rsid w:val="00F76B53"/>
    <w:rsid w:val="00F77208"/>
    <w:rsid w:val="00F774C9"/>
    <w:rsid w:val="00F804E5"/>
    <w:rsid w:val="00F81764"/>
    <w:rsid w:val="00F817D0"/>
    <w:rsid w:val="00F82603"/>
    <w:rsid w:val="00F84376"/>
    <w:rsid w:val="00F853BC"/>
    <w:rsid w:val="00F85BB2"/>
    <w:rsid w:val="00F85F1F"/>
    <w:rsid w:val="00F87B69"/>
    <w:rsid w:val="00F9279F"/>
    <w:rsid w:val="00F93368"/>
    <w:rsid w:val="00F933C7"/>
    <w:rsid w:val="00F956BD"/>
    <w:rsid w:val="00F95826"/>
    <w:rsid w:val="00F95C59"/>
    <w:rsid w:val="00FA1553"/>
    <w:rsid w:val="00FA20B3"/>
    <w:rsid w:val="00FA24AD"/>
    <w:rsid w:val="00FA3608"/>
    <w:rsid w:val="00FA4863"/>
    <w:rsid w:val="00FA5181"/>
    <w:rsid w:val="00FA64F6"/>
    <w:rsid w:val="00FA7130"/>
    <w:rsid w:val="00FA78D0"/>
    <w:rsid w:val="00FB27DB"/>
    <w:rsid w:val="00FB2ED9"/>
    <w:rsid w:val="00FB3CE0"/>
    <w:rsid w:val="00FB5038"/>
    <w:rsid w:val="00FC0BFA"/>
    <w:rsid w:val="00FC19D6"/>
    <w:rsid w:val="00FC325A"/>
    <w:rsid w:val="00FC3BC0"/>
    <w:rsid w:val="00FC432B"/>
    <w:rsid w:val="00FC4B3F"/>
    <w:rsid w:val="00FC6081"/>
    <w:rsid w:val="00FC6681"/>
    <w:rsid w:val="00FD0D1A"/>
    <w:rsid w:val="00FD0DE1"/>
    <w:rsid w:val="00FD1B7E"/>
    <w:rsid w:val="00FD1C8D"/>
    <w:rsid w:val="00FD697E"/>
    <w:rsid w:val="00FD74A7"/>
    <w:rsid w:val="00FE2158"/>
    <w:rsid w:val="00FE2EC0"/>
    <w:rsid w:val="00FE3400"/>
    <w:rsid w:val="00FE369E"/>
    <w:rsid w:val="00FE5B33"/>
    <w:rsid w:val="00FE6945"/>
    <w:rsid w:val="00FE7B22"/>
    <w:rsid w:val="00FF022F"/>
    <w:rsid w:val="00FF0610"/>
    <w:rsid w:val="00FF0CF8"/>
    <w:rsid w:val="00FF509A"/>
    <w:rsid w:val="00FF5D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CE35"/>
  <w15:docId w15:val="{83DC06BC-A0AD-4F52-BEEA-420D9537B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iPriority="0" w:unhideWhenUsed="1" w:qFormat="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0B1"/>
    <w:pPr>
      <w:spacing w:line="240" w:lineRule="auto"/>
      <w:jc w:val="both"/>
    </w:pPr>
    <w:rPr>
      <w:rFonts w:ascii="Times New Roman" w:hAnsi="Times New Roman"/>
    </w:rPr>
  </w:style>
  <w:style w:type="paragraph" w:styleId="Heading1">
    <w:name w:val="heading 1"/>
    <w:basedOn w:val="Normal"/>
    <w:next w:val="Normal"/>
    <w:link w:val="Heading1Char"/>
    <w:autoRedefine/>
    <w:uiPriority w:val="9"/>
    <w:qFormat/>
    <w:rsid w:val="00E376B1"/>
    <w:pPr>
      <w:keepNext/>
      <w:keepLines/>
      <w:numPr>
        <w:numId w:val="1"/>
      </w:numPr>
      <w:spacing w:before="200" w:after="120"/>
      <w:outlineLvl w:val="0"/>
    </w:pPr>
    <w:rPr>
      <w:rFonts w:eastAsiaTheme="majorEastAsia" w:cs="Times New Roman"/>
      <w:b/>
      <w:bCs/>
      <w:caps/>
      <w:sz w:val="28"/>
      <w:szCs w:val="28"/>
      <w:lang w:val="en-US"/>
    </w:rPr>
  </w:style>
  <w:style w:type="paragraph" w:styleId="Heading2">
    <w:name w:val="heading 2"/>
    <w:basedOn w:val="Normal"/>
    <w:next w:val="Normal"/>
    <w:link w:val="Heading2Char"/>
    <w:autoRedefine/>
    <w:uiPriority w:val="9"/>
    <w:unhideWhenUsed/>
    <w:qFormat/>
    <w:rsid w:val="0083119C"/>
    <w:pPr>
      <w:numPr>
        <w:ilvl w:val="1"/>
        <w:numId w:val="1"/>
      </w:numPr>
      <w:spacing w:before="120" w:after="120"/>
      <w:ind w:left="810" w:hanging="810"/>
      <w:jc w:val="left"/>
      <w:outlineLvl w:val="1"/>
    </w:pPr>
    <w:rPr>
      <w:rFonts w:ascii="Times New Roman Bold" w:hAnsi="Times New Roman Bold" w:cs="Times New Roman"/>
      <w:b/>
      <w:caps/>
      <w:sz w:val="26"/>
      <w:szCs w:val="26"/>
    </w:rPr>
  </w:style>
  <w:style w:type="paragraph" w:styleId="Heading3">
    <w:name w:val="heading 3"/>
    <w:basedOn w:val="Normal"/>
    <w:next w:val="Normal"/>
    <w:link w:val="Heading3Char"/>
    <w:autoRedefine/>
    <w:uiPriority w:val="9"/>
    <w:unhideWhenUsed/>
    <w:qFormat/>
    <w:rsid w:val="003067DE"/>
    <w:pPr>
      <w:keepNext/>
      <w:keepLines/>
      <w:spacing w:before="120" w:after="120"/>
      <w:outlineLvl w:val="2"/>
    </w:pPr>
    <w:rPr>
      <w:rFonts w:eastAsiaTheme="majorEastAsia" w:cs="Times New Roman"/>
      <w:b/>
      <w:bCs/>
      <w:sz w:val="24"/>
      <w:szCs w:val="24"/>
      <w:u w:val="single"/>
    </w:rPr>
  </w:style>
  <w:style w:type="paragraph" w:styleId="Heading4">
    <w:name w:val="heading 4"/>
    <w:basedOn w:val="Normal"/>
    <w:next w:val="Normal"/>
    <w:link w:val="Heading4Char"/>
    <w:autoRedefine/>
    <w:uiPriority w:val="9"/>
    <w:unhideWhenUsed/>
    <w:qFormat/>
    <w:rsid w:val="009E2783"/>
    <w:pPr>
      <w:keepNext/>
      <w:keepLines/>
      <w:spacing w:before="120" w:after="120"/>
      <w:jc w:val="left"/>
      <w:outlineLvl w:val="3"/>
    </w:pPr>
    <w:rPr>
      <w:rFonts w:ascii="Times New Roman Bold" w:eastAsia="SimSun" w:hAnsi="Times New Roman Bold" w:cs="Times New Roman"/>
      <w:b/>
      <w:bCs/>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aliases w:val="Appendix Heading"/>
    <w:basedOn w:val="Normal"/>
    <w:next w:val="Normal"/>
    <w:link w:val="Heading7Char"/>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6B1"/>
    <w:rPr>
      <w:rFonts w:ascii="Times New Roman" w:eastAsiaTheme="majorEastAsia" w:hAnsi="Times New Roman" w:cs="Times New Roman"/>
      <w:b/>
      <w:bCs/>
      <w:caps/>
      <w:sz w:val="28"/>
      <w:szCs w:val="28"/>
      <w:lang w:val="en-US"/>
    </w:rPr>
  </w:style>
  <w:style w:type="character" w:customStyle="1" w:styleId="Heading2Char">
    <w:name w:val="Heading 2 Char"/>
    <w:basedOn w:val="DefaultParagraphFont"/>
    <w:link w:val="Heading2"/>
    <w:uiPriority w:val="9"/>
    <w:rsid w:val="0083119C"/>
    <w:rPr>
      <w:rFonts w:ascii="Times New Roman Bold" w:hAnsi="Times New Roman Bold" w:cs="Times New Roman"/>
      <w:b/>
      <w:caps/>
      <w:sz w:val="26"/>
      <w:szCs w:val="26"/>
    </w:rPr>
  </w:style>
  <w:style w:type="character" w:customStyle="1" w:styleId="Heading3Char">
    <w:name w:val="Heading 3 Char"/>
    <w:basedOn w:val="DefaultParagraphFont"/>
    <w:link w:val="Heading3"/>
    <w:uiPriority w:val="9"/>
    <w:rsid w:val="003067DE"/>
    <w:rPr>
      <w:rFonts w:ascii="Times New Roman" w:eastAsiaTheme="majorEastAsia" w:hAnsi="Times New Roman" w:cs="Times New Roman"/>
      <w:b/>
      <w:bCs/>
      <w:sz w:val="24"/>
      <w:szCs w:val="24"/>
      <w:u w:val="single"/>
    </w:rPr>
  </w:style>
  <w:style w:type="character" w:customStyle="1" w:styleId="Heading4Char">
    <w:name w:val="Heading 4 Char"/>
    <w:basedOn w:val="DefaultParagraphFont"/>
    <w:link w:val="Heading4"/>
    <w:uiPriority w:val="9"/>
    <w:rsid w:val="009E2783"/>
    <w:rPr>
      <w:rFonts w:ascii="Times New Roman Bold" w:eastAsia="SimSun" w:hAnsi="Times New Roman Bold" w:cs="Times New Roman"/>
      <w:b/>
      <w:bCs/>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aliases w:val="Appendix Heading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nhideWhenUsed/>
    <w:qFormat/>
    <w:rsid w:val="001A3992"/>
    <w:rPr>
      <w:sz w:val="16"/>
      <w:szCs w:val="16"/>
    </w:rPr>
  </w:style>
  <w:style w:type="paragraph" w:styleId="CommentText">
    <w:name w:val="annotation text"/>
    <w:aliases w:val="Annotationtext,Comment Text Char Char,Comment Text Char1 Char Char,Comment Text Char Char Char Char,Comment Text Char Char1,- H19,Comment Text Char1 Char,Comment Text Char2 Char,Comment Text Char2"/>
    <w:basedOn w:val="Normal"/>
    <w:link w:val="CommentTextChar"/>
    <w:unhideWhenUsed/>
    <w:qFormat/>
    <w:rsid w:val="001A3992"/>
    <w:rPr>
      <w:rFonts w:ascii="Cambria" w:hAnsi="Cambria"/>
      <w:sz w:val="20"/>
      <w:szCs w:val="20"/>
    </w:rPr>
  </w:style>
  <w:style w:type="character" w:customStyle="1" w:styleId="CommentTextChar">
    <w:name w:val="Comment Text Char"/>
    <w:aliases w:val="Annotationtext Char,Comment Text Char Char Char,Comment Text Char1 Char Char Char,Comment Text Char Char Char Char Char,Comment Text Char Char1 Char,- H19 Char,Comment Text Char1 Char Char1,Comment Text Char2 Char Char"/>
    <w:basedOn w:val="DefaultParagraphFont"/>
    <w:link w:val="CommentText"/>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qFormat/>
    <w:rsid w:val="001A3992"/>
    <w:pPr>
      <w:tabs>
        <w:tab w:val="center" w:pos="4513"/>
        <w:tab w:val="right" w:pos="9026"/>
      </w:tabs>
      <w:spacing w:after="0"/>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iPriority w:val="99"/>
    <w:unhideWhenUsed/>
    <w:rsid w:val="00CA6CCF"/>
    <w:pPr>
      <w:tabs>
        <w:tab w:val="center" w:pos="4513"/>
        <w:tab w:val="right" w:pos="9026"/>
      </w:tabs>
      <w:spacing w:after="0"/>
    </w:pPr>
  </w:style>
  <w:style w:type="character" w:customStyle="1" w:styleId="HeaderChar">
    <w:name w:val="Header Char"/>
    <w:basedOn w:val="DefaultParagraphFont"/>
    <w:link w:val="Header"/>
    <w:uiPriority w:val="99"/>
    <w:rsid w:val="00CA6CCF"/>
  </w:style>
  <w:style w:type="paragraph" w:styleId="CommentSubject">
    <w:name w:val="annotation subject"/>
    <w:basedOn w:val="CommentText"/>
    <w:next w:val="CommentText"/>
    <w:link w:val="CommentSubjectChar"/>
    <w:uiPriority w:val="99"/>
    <w:semiHidden/>
    <w:unhideWhenUsed/>
    <w:rsid w:val="00C046F7"/>
    <w:rPr>
      <w:rFonts w:asciiTheme="minorHAnsi" w:hAnsiTheme="minorHAnsi"/>
      <w:b/>
      <w:bCs/>
    </w:rPr>
  </w:style>
  <w:style w:type="character" w:customStyle="1" w:styleId="CommentSubjectChar">
    <w:name w:val="Comment Subject Char"/>
    <w:basedOn w:val="CommentTextChar"/>
    <w:link w:val="CommentSubject"/>
    <w:uiPriority w:val="99"/>
    <w:semiHidden/>
    <w:rsid w:val="00C046F7"/>
    <w:rPr>
      <w:rFonts w:ascii="Cambria" w:hAnsi="Cambria"/>
      <w:b/>
      <w:bCs/>
      <w:sz w:val="20"/>
      <w:szCs w:val="20"/>
    </w:rPr>
  </w:style>
  <w:style w:type="paragraph" w:customStyle="1" w:styleId="Default">
    <w:name w:val="Default"/>
    <w:rsid w:val="00C046F7"/>
    <w:pPr>
      <w:autoSpaceDE w:val="0"/>
      <w:autoSpaceDN w:val="0"/>
      <w:adjustRightInd w:val="0"/>
      <w:spacing w:after="0" w:line="240" w:lineRule="auto"/>
    </w:pPr>
    <w:rPr>
      <w:rFonts w:ascii="Cambria" w:hAnsi="Cambria" w:cs="Cambria"/>
      <w:color w:val="000000"/>
      <w:sz w:val="24"/>
      <w:szCs w:val="24"/>
      <w:lang w:val="en-US"/>
    </w:rPr>
  </w:style>
  <w:style w:type="paragraph" w:styleId="Title">
    <w:name w:val="Title"/>
    <w:basedOn w:val="Normal"/>
    <w:next w:val="Normal"/>
    <w:link w:val="TitleChar"/>
    <w:autoRedefine/>
    <w:uiPriority w:val="10"/>
    <w:qFormat/>
    <w:rsid w:val="001A2060"/>
    <w:pPr>
      <w:spacing w:before="240" w:after="240"/>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1A2060"/>
    <w:rPr>
      <w:rFonts w:ascii="Times New Roman" w:eastAsiaTheme="majorEastAsia" w:hAnsi="Times New Roman" w:cstheme="majorBidi"/>
      <w:b/>
      <w:caps/>
      <w:spacing w:val="-10"/>
      <w:kern w:val="28"/>
      <w:sz w:val="32"/>
      <w:szCs w:val="56"/>
    </w:rPr>
  </w:style>
  <w:style w:type="paragraph" w:styleId="NoSpacing">
    <w:name w:val="No Spacing"/>
    <w:aliases w:val="Bullet"/>
    <w:autoRedefine/>
    <w:uiPriority w:val="1"/>
    <w:qFormat/>
    <w:rsid w:val="002C2EC2"/>
    <w:pPr>
      <w:spacing w:before="120" w:after="120" w:line="240" w:lineRule="auto"/>
    </w:pPr>
    <w:rPr>
      <w:rFonts w:ascii="Times New Roman" w:hAnsi="Times New Roman"/>
      <w:b/>
      <w:sz w:val="20"/>
    </w:rPr>
  </w:style>
  <w:style w:type="character" w:styleId="IntenseReference">
    <w:name w:val="Intense Reference"/>
    <w:basedOn w:val="DefaultParagraphFont"/>
    <w:uiPriority w:val="32"/>
    <w:rsid w:val="00570F78"/>
    <w:rPr>
      <w:b/>
      <w:bCs/>
      <w:smallCaps/>
      <w:color w:val="4F81BD" w:themeColor="accent1"/>
      <w:spacing w:val="5"/>
    </w:rPr>
  </w:style>
  <w:style w:type="character" w:styleId="Strong">
    <w:name w:val="Strong"/>
    <w:basedOn w:val="DefaultParagraphFont"/>
    <w:uiPriority w:val="22"/>
    <w:rsid w:val="007D33DA"/>
    <w:rPr>
      <w:b/>
      <w:bCs/>
    </w:rPr>
  </w:style>
  <w:style w:type="table" w:styleId="TableGrid">
    <w:name w:val="Table Grid"/>
    <w:basedOn w:val="TableNormal"/>
    <w:uiPriority w:val="59"/>
    <w:rsid w:val="007D3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638E3"/>
    <w:pPr>
      <w:ind w:left="720" w:hanging="720"/>
    </w:pPr>
    <w:rPr>
      <w:b/>
      <w:iCs/>
      <w:szCs w:val="18"/>
    </w:rPr>
  </w:style>
  <w:style w:type="paragraph" w:styleId="TOC1">
    <w:name w:val="toc 1"/>
    <w:basedOn w:val="Normal"/>
    <w:next w:val="Normal"/>
    <w:autoRedefine/>
    <w:uiPriority w:val="39"/>
    <w:semiHidden/>
    <w:unhideWhenUsed/>
    <w:rsid w:val="00C23890"/>
    <w:pPr>
      <w:tabs>
        <w:tab w:val="right" w:leader="dot" w:pos="9360"/>
      </w:tabs>
      <w:spacing w:after="100"/>
    </w:pPr>
  </w:style>
  <w:style w:type="paragraph" w:styleId="TOC2">
    <w:name w:val="toc 2"/>
    <w:basedOn w:val="Normal"/>
    <w:next w:val="Normal"/>
    <w:autoRedefine/>
    <w:uiPriority w:val="39"/>
    <w:semiHidden/>
    <w:unhideWhenUsed/>
    <w:rsid w:val="00C23890"/>
    <w:pPr>
      <w:tabs>
        <w:tab w:val="right" w:leader="dot" w:pos="9360"/>
      </w:tabs>
      <w:spacing w:after="100"/>
      <w:ind w:left="220"/>
    </w:pPr>
  </w:style>
  <w:style w:type="paragraph" w:styleId="TOC3">
    <w:name w:val="toc 3"/>
    <w:basedOn w:val="Normal"/>
    <w:next w:val="Normal"/>
    <w:autoRedefine/>
    <w:uiPriority w:val="39"/>
    <w:semiHidden/>
    <w:unhideWhenUsed/>
    <w:rsid w:val="00C23890"/>
    <w:pPr>
      <w:tabs>
        <w:tab w:val="right" w:leader="dot" w:pos="9360"/>
      </w:tabs>
      <w:spacing w:after="100"/>
      <w:ind w:left="440"/>
    </w:pPr>
  </w:style>
  <w:style w:type="character" w:customStyle="1" w:styleId="BMSTableNote">
    <w:name w:val="BMS Table Note"/>
    <w:rsid w:val="003B409C"/>
    <w:rPr>
      <w:rFonts w:ascii="Times New Roman" w:hAnsi="Times New Roman"/>
      <w:dstrike w:val="0"/>
      <w:color w:val="auto"/>
      <w:sz w:val="28"/>
      <w:vertAlign w:val="superscript"/>
    </w:rPr>
  </w:style>
  <w:style w:type="paragraph" w:styleId="TOC4">
    <w:name w:val="toc 4"/>
    <w:basedOn w:val="Normal"/>
    <w:next w:val="Normal"/>
    <w:autoRedefine/>
    <w:uiPriority w:val="39"/>
    <w:semiHidden/>
    <w:unhideWhenUsed/>
    <w:rsid w:val="008C5CCD"/>
    <w:pPr>
      <w:tabs>
        <w:tab w:val="right" w:leader="dot" w:pos="9360"/>
      </w:tabs>
      <w:spacing w:after="100"/>
      <w:ind w:left="660"/>
    </w:pPr>
  </w:style>
  <w:style w:type="paragraph" w:customStyle="1" w:styleId="BMSBodyText">
    <w:name w:val="BMS Body Text"/>
    <w:link w:val="BMSBodyTextChar"/>
    <w:qFormat/>
    <w:rsid w:val="00D509F2"/>
    <w:pPr>
      <w:spacing w:after="120" w:line="264" w:lineRule="auto"/>
      <w:jc w:val="both"/>
    </w:pPr>
    <w:rPr>
      <w:rFonts w:ascii="Times New Roman" w:eastAsia="Times New Roman" w:hAnsi="Times New Roman" w:cs="Times New Roman"/>
      <w:color w:val="000000"/>
      <w:sz w:val="24"/>
      <w:szCs w:val="20"/>
      <w:lang w:val="en-US"/>
    </w:rPr>
  </w:style>
  <w:style w:type="character" w:customStyle="1" w:styleId="BMSBodyTextChar">
    <w:name w:val="BMS Body Text Char"/>
    <w:link w:val="BMSBodyText"/>
    <w:rsid w:val="00D509F2"/>
    <w:rPr>
      <w:rFonts w:ascii="Times New Roman" w:eastAsia="Times New Roman" w:hAnsi="Times New Roman" w:cs="Times New Roman"/>
      <w:color w:val="000000"/>
      <w:sz w:val="24"/>
      <w:szCs w:val="20"/>
      <w:lang w:val="en-US"/>
    </w:rPr>
  </w:style>
  <w:style w:type="paragraph" w:customStyle="1" w:styleId="BMSTableTitle">
    <w:name w:val="BMS Table Title"/>
    <w:next w:val="BMSBodyText"/>
    <w:link w:val="BMSTableTitleChar"/>
    <w:rsid w:val="00D878B0"/>
    <w:pPr>
      <w:keepNext/>
      <w:keepLines/>
      <w:tabs>
        <w:tab w:val="left" w:pos="2160"/>
      </w:tabs>
      <w:spacing w:before="120" w:after="120" w:line="240" w:lineRule="auto"/>
      <w:ind w:left="2160" w:hanging="2160"/>
    </w:pPr>
    <w:rPr>
      <w:rFonts w:ascii="Times New Roman" w:eastAsia="Times New Roman" w:hAnsi="Times New Roman" w:cs="Times New Roman"/>
      <w:b/>
      <w:sz w:val="24"/>
      <w:szCs w:val="20"/>
      <w:lang w:val="en-US"/>
    </w:rPr>
  </w:style>
  <w:style w:type="paragraph" w:customStyle="1" w:styleId="BMSTableHeader">
    <w:name w:val="BMS Table Header"/>
    <w:basedOn w:val="BMSTableText"/>
    <w:link w:val="BMSTableHeaderChar"/>
    <w:rsid w:val="00D878B0"/>
    <w:rPr>
      <w:b/>
      <w:lang w:val="x-none" w:eastAsia="x-none"/>
    </w:rPr>
  </w:style>
  <w:style w:type="character" w:customStyle="1" w:styleId="BMSSuperscript">
    <w:name w:val="BMS Superscript"/>
    <w:rsid w:val="00D878B0"/>
    <w:rPr>
      <w:sz w:val="28"/>
      <w:vertAlign w:val="superscript"/>
    </w:rPr>
  </w:style>
  <w:style w:type="paragraph" w:customStyle="1" w:styleId="BMSTableText">
    <w:name w:val="BMS Table Text"/>
    <w:link w:val="BMSTableTextChar"/>
    <w:rsid w:val="00D878B0"/>
    <w:pPr>
      <w:tabs>
        <w:tab w:val="left" w:pos="360"/>
      </w:tabs>
      <w:spacing w:before="60" w:after="60" w:line="240" w:lineRule="auto"/>
      <w:jc w:val="center"/>
    </w:pPr>
    <w:rPr>
      <w:rFonts w:ascii="Times New Roman" w:eastAsia="Times New Roman" w:hAnsi="Times New Roman" w:cs="Times New Roman"/>
      <w:sz w:val="20"/>
      <w:szCs w:val="20"/>
      <w:lang w:val="en-US"/>
    </w:rPr>
  </w:style>
  <w:style w:type="character" w:customStyle="1" w:styleId="BMSTableTextChar">
    <w:name w:val="BMS Table Text Char"/>
    <w:link w:val="BMSTableText"/>
    <w:rsid w:val="00D878B0"/>
    <w:rPr>
      <w:rFonts w:ascii="Times New Roman" w:eastAsia="Times New Roman" w:hAnsi="Times New Roman" w:cs="Times New Roman"/>
      <w:sz w:val="20"/>
      <w:szCs w:val="20"/>
      <w:lang w:val="en-US"/>
    </w:rPr>
  </w:style>
  <w:style w:type="character" w:customStyle="1" w:styleId="BMSTableHeaderChar">
    <w:name w:val="BMS Table Header Char"/>
    <w:link w:val="BMSTableHeader"/>
    <w:rsid w:val="00D878B0"/>
    <w:rPr>
      <w:rFonts w:ascii="Times New Roman" w:eastAsia="Times New Roman" w:hAnsi="Times New Roman" w:cs="Times New Roman"/>
      <w:b/>
      <w:sz w:val="20"/>
      <w:szCs w:val="20"/>
      <w:lang w:val="x-none" w:eastAsia="x-none"/>
    </w:rPr>
  </w:style>
  <w:style w:type="character" w:customStyle="1" w:styleId="BMSTableTitleChar">
    <w:name w:val="BMS Table Title Char"/>
    <w:link w:val="BMSTableTitle"/>
    <w:rsid w:val="00D878B0"/>
    <w:rPr>
      <w:rFonts w:ascii="Times New Roman" w:eastAsia="Times New Roman" w:hAnsi="Times New Roman" w:cs="Times New Roman"/>
      <w:b/>
      <w:sz w:val="24"/>
      <w:szCs w:val="20"/>
      <w:lang w:val="en-US"/>
    </w:rPr>
  </w:style>
  <w:style w:type="paragraph" w:customStyle="1" w:styleId="EMEABodyText">
    <w:name w:val="EMEA Body Text"/>
    <w:basedOn w:val="Normal"/>
    <w:link w:val="EMEABodyTextChar"/>
    <w:rsid w:val="00662ED7"/>
    <w:pPr>
      <w:spacing w:after="0"/>
      <w:jc w:val="left"/>
    </w:pPr>
    <w:rPr>
      <w:rFonts w:eastAsia="Times New Roman" w:cs="Times New Roman"/>
      <w:szCs w:val="20"/>
      <w:lang w:val="en-GB"/>
    </w:rPr>
  </w:style>
  <w:style w:type="character" w:customStyle="1" w:styleId="EMEASuperscript">
    <w:name w:val="EMEA Superscript"/>
    <w:rsid w:val="00662ED7"/>
    <w:rPr>
      <w:sz w:val="22"/>
      <w:vertAlign w:val="superscript"/>
    </w:rPr>
  </w:style>
  <w:style w:type="character" w:customStyle="1" w:styleId="EMEABodyTextChar">
    <w:name w:val="EMEA Body Text Char"/>
    <w:link w:val="EMEABodyText"/>
    <w:rsid w:val="00662ED7"/>
    <w:rPr>
      <w:rFonts w:ascii="Times New Roman" w:eastAsia="Times New Roman" w:hAnsi="Times New Roman" w:cs="Times New Roman"/>
      <w:szCs w:val="20"/>
      <w:lang w:val="en-GB"/>
    </w:rPr>
  </w:style>
  <w:style w:type="character" w:customStyle="1" w:styleId="EMEASubscript">
    <w:name w:val="EMEA Subscript"/>
    <w:rsid w:val="005A1F13"/>
    <w:rPr>
      <w:sz w:val="22"/>
      <w:vertAlign w:val="subscript"/>
    </w:rPr>
  </w:style>
  <w:style w:type="character" w:styleId="Mention">
    <w:name w:val="Mention"/>
    <w:basedOn w:val="DefaultParagraphFont"/>
    <w:uiPriority w:val="99"/>
    <w:unhideWhenUsed/>
    <w:rsid w:val="00474714"/>
    <w:rPr>
      <w:color w:val="2B579A"/>
      <w:shd w:val="clear" w:color="auto" w:fill="E1DFDD"/>
    </w:rPr>
  </w:style>
  <w:style w:type="paragraph" w:customStyle="1" w:styleId="BMSFigureCaption">
    <w:name w:val="BMS Figure Caption"/>
    <w:basedOn w:val="BMSTableTitle"/>
    <w:next w:val="BMSBodyText"/>
    <w:rsid w:val="00583645"/>
  </w:style>
  <w:style w:type="paragraph" w:customStyle="1" w:styleId="BMSBullets">
    <w:name w:val="BMS Bullets"/>
    <w:basedOn w:val="BMSBodyText"/>
    <w:link w:val="BMSBulletsChar"/>
    <w:rsid w:val="0007066C"/>
    <w:pPr>
      <w:numPr>
        <w:numId w:val="33"/>
      </w:numPr>
      <w:spacing w:after="60" w:line="240" w:lineRule="auto"/>
    </w:pPr>
  </w:style>
  <w:style w:type="character" w:customStyle="1" w:styleId="BMSBulletsChar">
    <w:name w:val="BMS Bullets Char"/>
    <w:basedOn w:val="BMSBodyTextChar"/>
    <w:link w:val="BMSBullets"/>
    <w:rsid w:val="0007066C"/>
    <w:rPr>
      <w:rFonts w:ascii="Times New Roman" w:eastAsia="Times New Roman" w:hAnsi="Times New Roman" w:cs="Times New Roman"/>
      <w:color w:val="000000"/>
      <w:sz w:val="24"/>
      <w:szCs w:val="20"/>
      <w:lang w:val="en-US"/>
    </w:rPr>
  </w:style>
  <w:style w:type="paragraph" w:customStyle="1" w:styleId="TableheadingrowsAgency">
    <w:name w:val="Table heading rows (Agency)"/>
    <w:basedOn w:val="Normal"/>
    <w:rsid w:val="002F55EC"/>
    <w:pPr>
      <w:keepNext/>
      <w:spacing w:after="140" w:line="280" w:lineRule="atLeast"/>
      <w:jc w:val="left"/>
    </w:pPr>
    <w:rPr>
      <w:rFonts w:ascii="Verdana" w:eastAsia="Times New Roman" w:hAnsi="Verdana" w:cs="Verdana"/>
      <w:b/>
      <w:sz w:val="18"/>
      <w:szCs w:val="18"/>
      <w:lang w:val="en-GB" w:eastAsia="en-GB"/>
    </w:rPr>
  </w:style>
  <w:style w:type="paragraph" w:customStyle="1" w:styleId="BMSTableNoteInfo">
    <w:name w:val="BMS Table Note Info"/>
    <w:basedOn w:val="BMSBodyText"/>
    <w:next w:val="BMSBodyText"/>
    <w:link w:val="BMSTableNoteInfoChar"/>
    <w:rsid w:val="00C55867"/>
    <w:pPr>
      <w:tabs>
        <w:tab w:val="left" w:pos="216"/>
      </w:tabs>
      <w:spacing w:before="40" w:after="0" w:line="240" w:lineRule="auto"/>
      <w:ind w:left="216" w:hanging="216"/>
    </w:pPr>
    <w:rPr>
      <w:color w:val="auto"/>
      <w:sz w:val="20"/>
    </w:rPr>
  </w:style>
  <w:style w:type="character" w:customStyle="1" w:styleId="BMSTableNoteInfoChar">
    <w:name w:val="BMS Table Note Info Char"/>
    <w:link w:val="BMSTableNoteInfo"/>
    <w:rsid w:val="00C55867"/>
    <w:rPr>
      <w:rFonts w:ascii="Times New Roman" w:eastAsia="Times New Roman" w:hAnsi="Times New Roman" w:cs="Times New Roman"/>
      <w:sz w:val="20"/>
      <w:szCs w:val="20"/>
      <w:lang w:val="en-US"/>
    </w:rPr>
  </w:style>
  <w:style w:type="numbering" w:customStyle="1" w:styleId="BMSBulletMulti">
    <w:name w:val="BMS_Bullet_Multi"/>
    <w:uiPriority w:val="99"/>
    <w:rsid w:val="0030695D"/>
    <w:pPr>
      <w:numPr>
        <w:numId w:val="39"/>
      </w:numPr>
    </w:pPr>
  </w:style>
  <w:style w:type="paragraph" w:styleId="EndnoteText">
    <w:name w:val="endnote text"/>
    <w:basedOn w:val="BMSBodyText"/>
    <w:link w:val="EndnoteTextChar"/>
    <w:rsid w:val="00AE5FDF"/>
    <w:pPr>
      <w:tabs>
        <w:tab w:val="left" w:pos="360"/>
      </w:tabs>
      <w:spacing w:line="240" w:lineRule="auto"/>
      <w:ind w:left="360" w:hanging="360"/>
    </w:pPr>
    <w:rPr>
      <w:rFonts w:eastAsia="MS Mincho"/>
      <w:lang w:val="x-none" w:eastAsia="x-none"/>
    </w:rPr>
  </w:style>
  <w:style w:type="character" w:customStyle="1" w:styleId="EndnoteTextChar">
    <w:name w:val="Endnote Text Char"/>
    <w:basedOn w:val="DefaultParagraphFont"/>
    <w:link w:val="EndnoteText"/>
    <w:rsid w:val="00AE5FDF"/>
    <w:rPr>
      <w:rFonts w:ascii="Times New Roman" w:eastAsia="MS Mincho" w:hAnsi="Times New Roman" w:cs="Times New Roman"/>
      <w:color w:val="000000"/>
      <w:sz w:val="24"/>
      <w:szCs w:val="20"/>
      <w:lang w:val="x-none" w:eastAsia="x-none"/>
    </w:rPr>
  </w:style>
  <w:style w:type="character" w:styleId="EndnoteReference">
    <w:name w:val="endnote reference"/>
    <w:qFormat/>
    <w:rsid w:val="00AE5FDF"/>
    <w:rPr>
      <w:color w:val="0000FF"/>
      <w:sz w:val="28"/>
      <w:vertAlign w:val="superscript"/>
    </w:rPr>
  </w:style>
  <w:style w:type="paragraph" w:styleId="DocumentMap">
    <w:name w:val="Document Map"/>
    <w:basedOn w:val="Normal"/>
    <w:link w:val="DocumentMapChar"/>
    <w:semiHidden/>
    <w:rsid w:val="00092CE3"/>
    <w:pPr>
      <w:shd w:val="clear" w:color="auto" w:fill="000080"/>
      <w:spacing w:after="0"/>
      <w:jc w:val="left"/>
    </w:pPr>
    <w:rPr>
      <w:rFonts w:ascii="Tahoma" w:eastAsia="Times New Roman" w:hAnsi="Tahoma" w:cs="Times New Roman"/>
      <w:szCs w:val="20"/>
      <w:lang w:val="en-GB"/>
    </w:rPr>
  </w:style>
  <w:style w:type="character" w:customStyle="1" w:styleId="DocumentMapChar">
    <w:name w:val="Document Map Char"/>
    <w:basedOn w:val="DefaultParagraphFont"/>
    <w:link w:val="DocumentMap"/>
    <w:semiHidden/>
    <w:rsid w:val="00092CE3"/>
    <w:rPr>
      <w:rFonts w:ascii="Tahoma" w:eastAsia="Times New Roman" w:hAnsi="Tahoma" w:cs="Times New Roman"/>
      <w:szCs w:val="20"/>
      <w:shd w:val="clear" w:color="auto" w:fill="000080"/>
      <w:lang w:val="en-GB"/>
    </w:rPr>
  </w:style>
  <w:style w:type="paragraph" w:styleId="TOC9">
    <w:name w:val="toc 9"/>
    <w:basedOn w:val="Normal"/>
    <w:next w:val="Normal"/>
    <w:autoRedefine/>
    <w:uiPriority w:val="39"/>
    <w:semiHidden/>
    <w:unhideWhenUsed/>
    <w:rsid w:val="002B7FF3"/>
    <w:pPr>
      <w:spacing w:after="100"/>
      <w:ind w:left="1760"/>
    </w:pPr>
  </w:style>
  <w:style w:type="paragraph" w:styleId="Revision">
    <w:name w:val="Revision"/>
    <w:hidden/>
    <w:uiPriority w:val="99"/>
    <w:semiHidden/>
    <w:rsid w:val="00EF0AB7"/>
    <w:pPr>
      <w:spacing w:after="0" w:line="240" w:lineRule="auto"/>
    </w:pPr>
    <w:rPr>
      <w:rFonts w:ascii="Times New Roman" w:hAnsi="Times New Roman"/>
    </w:rPr>
  </w:style>
  <w:style w:type="paragraph" w:customStyle="1" w:styleId="xmsonormal">
    <w:name w:val="x_msonormal"/>
    <w:basedOn w:val="Normal"/>
    <w:rsid w:val="00D8263F"/>
    <w:pPr>
      <w:spacing w:after="0"/>
      <w:jc w:val="left"/>
    </w:pPr>
    <w:rPr>
      <w:rFonts w:ascii="Calibri" w:hAnsi="Calibr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606620">
      <w:bodyDiv w:val="1"/>
      <w:marLeft w:val="0"/>
      <w:marRight w:val="0"/>
      <w:marTop w:val="0"/>
      <w:marBottom w:val="0"/>
      <w:divBdr>
        <w:top w:val="none" w:sz="0" w:space="0" w:color="auto"/>
        <w:left w:val="none" w:sz="0" w:space="0" w:color="auto"/>
        <w:bottom w:val="none" w:sz="0" w:space="0" w:color="auto"/>
        <w:right w:val="none" w:sz="0" w:space="0" w:color="auto"/>
      </w:divBdr>
    </w:div>
    <w:div w:id="601378365">
      <w:bodyDiv w:val="1"/>
      <w:marLeft w:val="0"/>
      <w:marRight w:val="0"/>
      <w:marTop w:val="0"/>
      <w:marBottom w:val="0"/>
      <w:divBdr>
        <w:top w:val="none" w:sz="0" w:space="0" w:color="auto"/>
        <w:left w:val="none" w:sz="0" w:space="0" w:color="auto"/>
        <w:bottom w:val="none" w:sz="0" w:space="0" w:color="auto"/>
        <w:right w:val="none" w:sz="0" w:space="0" w:color="auto"/>
      </w:divBdr>
    </w:div>
    <w:div w:id="618027075">
      <w:bodyDiv w:val="1"/>
      <w:marLeft w:val="0"/>
      <w:marRight w:val="0"/>
      <w:marTop w:val="0"/>
      <w:marBottom w:val="0"/>
      <w:divBdr>
        <w:top w:val="none" w:sz="0" w:space="0" w:color="auto"/>
        <w:left w:val="none" w:sz="0" w:space="0" w:color="auto"/>
        <w:bottom w:val="none" w:sz="0" w:space="0" w:color="auto"/>
        <w:right w:val="none" w:sz="0" w:space="0" w:color="auto"/>
      </w:divBdr>
    </w:div>
    <w:div w:id="623998404">
      <w:bodyDiv w:val="1"/>
      <w:marLeft w:val="0"/>
      <w:marRight w:val="0"/>
      <w:marTop w:val="0"/>
      <w:marBottom w:val="0"/>
      <w:divBdr>
        <w:top w:val="none" w:sz="0" w:space="0" w:color="auto"/>
        <w:left w:val="none" w:sz="0" w:space="0" w:color="auto"/>
        <w:bottom w:val="none" w:sz="0" w:space="0" w:color="auto"/>
        <w:right w:val="none" w:sz="0" w:space="0" w:color="auto"/>
      </w:divBdr>
    </w:div>
    <w:div w:id="881668810">
      <w:bodyDiv w:val="1"/>
      <w:marLeft w:val="0"/>
      <w:marRight w:val="0"/>
      <w:marTop w:val="0"/>
      <w:marBottom w:val="0"/>
      <w:divBdr>
        <w:top w:val="none" w:sz="0" w:space="0" w:color="auto"/>
        <w:left w:val="none" w:sz="0" w:space="0" w:color="auto"/>
        <w:bottom w:val="none" w:sz="0" w:space="0" w:color="auto"/>
        <w:right w:val="none" w:sz="0" w:space="0" w:color="auto"/>
      </w:divBdr>
    </w:div>
    <w:div w:id="1231117578">
      <w:bodyDiv w:val="1"/>
      <w:marLeft w:val="0"/>
      <w:marRight w:val="0"/>
      <w:marTop w:val="0"/>
      <w:marBottom w:val="0"/>
      <w:divBdr>
        <w:top w:val="none" w:sz="0" w:space="0" w:color="auto"/>
        <w:left w:val="none" w:sz="0" w:space="0" w:color="auto"/>
        <w:bottom w:val="none" w:sz="0" w:space="0" w:color="auto"/>
        <w:right w:val="none" w:sz="0" w:space="0" w:color="auto"/>
      </w:divBdr>
    </w:div>
    <w:div w:id="1396663132">
      <w:bodyDiv w:val="1"/>
      <w:marLeft w:val="0"/>
      <w:marRight w:val="0"/>
      <w:marTop w:val="0"/>
      <w:marBottom w:val="0"/>
      <w:divBdr>
        <w:top w:val="none" w:sz="0" w:space="0" w:color="auto"/>
        <w:left w:val="none" w:sz="0" w:space="0" w:color="auto"/>
        <w:bottom w:val="none" w:sz="0" w:space="0" w:color="auto"/>
        <w:right w:val="none" w:sz="0" w:space="0" w:color="auto"/>
      </w:divBdr>
    </w:div>
    <w:div w:id="1502238275">
      <w:bodyDiv w:val="1"/>
      <w:marLeft w:val="0"/>
      <w:marRight w:val="0"/>
      <w:marTop w:val="0"/>
      <w:marBottom w:val="0"/>
      <w:divBdr>
        <w:top w:val="none" w:sz="0" w:space="0" w:color="auto"/>
        <w:left w:val="none" w:sz="0" w:space="0" w:color="auto"/>
        <w:bottom w:val="none" w:sz="0" w:space="0" w:color="auto"/>
        <w:right w:val="none" w:sz="0" w:space="0" w:color="auto"/>
      </w:divBdr>
    </w:div>
    <w:div w:id="1524200222">
      <w:bodyDiv w:val="1"/>
      <w:marLeft w:val="0"/>
      <w:marRight w:val="0"/>
      <w:marTop w:val="0"/>
      <w:marBottom w:val="0"/>
      <w:divBdr>
        <w:top w:val="none" w:sz="0" w:space="0" w:color="auto"/>
        <w:left w:val="none" w:sz="0" w:space="0" w:color="auto"/>
        <w:bottom w:val="none" w:sz="0" w:space="0" w:color="auto"/>
        <w:right w:val="none" w:sz="0" w:space="0" w:color="auto"/>
      </w:divBdr>
    </w:div>
    <w:div w:id="207566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dInfo.Australia@bm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MS\Core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212292e-fee3-4e58-b645-17c47387aa0e" xsi:nil="true"/>
    <lcf76f155ced4ddcb4097134ff3c332f xmlns="8a46b709-8ecf-42fd-81b0-d282e67de71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678E1642ACF814DAE5C915C9F90BBB2" ma:contentTypeVersion="16" ma:contentTypeDescription="Create a new document." ma:contentTypeScope="" ma:versionID="d391947677994ed30b3e6fc490b5738e">
  <xsd:schema xmlns:xsd="http://www.w3.org/2001/XMLSchema" xmlns:xs="http://www.w3.org/2001/XMLSchema" xmlns:p="http://schemas.microsoft.com/office/2006/metadata/properties" xmlns:ns2="8a46b709-8ecf-42fd-81b0-d282e67de71a" xmlns:ns3="4212292e-fee3-4e58-b645-17c47387aa0e" targetNamespace="http://schemas.microsoft.com/office/2006/metadata/properties" ma:root="true" ma:fieldsID="76bb00030f7b0d22ce8f79783a53b93a" ns2:_="" ns3:_="">
    <xsd:import namespace="8a46b709-8ecf-42fd-81b0-d282e67de71a"/>
    <xsd:import namespace="4212292e-fee3-4e58-b645-17c47387a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6b709-8ecf-42fd-81b0-d282e67de7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a9922f0-7a2e-45f4-8caa-22c5d3065b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2292e-fee3-4e58-b645-17c47387aa0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43151a9-9420-42c1-97d3-0cfd098718a8}" ma:internalName="TaxCatchAll" ma:showField="CatchAllData" ma:web="4212292e-fee3-4e58-b645-17c47387a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EA0F35-5A72-472E-A82D-DAA19B3025E9}">
  <ds:schemaRefs>
    <ds:schemaRef ds:uri="http://purl.org/dc/elements/1.1/"/>
    <ds:schemaRef ds:uri="http://schemas.microsoft.com/office/2006/metadata/properties"/>
    <ds:schemaRef ds:uri="http://schemas.openxmlformats.org/package/2006/metadata/core-properties"/>
    <ds:schemaRef ds:uri="4212292e-fee3-4e58-b645-17c47387aa0e"/>
    <ds:schemaRef ds:uri="http://purl.org/dc/terms/"/>
    <ds:schemaRef ds:uri="http://schemas.microsoft.com/office/2006/documentManagement/types"/>
    <ds:schemaRef ds:uri="http://schemas.microsoft.com/office/infopath/2007/PartnerControls"/>
    <ds:schemaRef ds:uri="8a46b709-8ecf-42fd-81b0-d282e67de71a"/>
    <ds:schemaRef ds:uri="http://www.w3.org/XML/1998/namespace"/>
    <ds:schemaRef ds:uri="http://purl.org/dc/dcmitype/"/>
  </ds:schemaRefs>
</ds:datastoreItem>
</file>

<file path=customXml/itemProps2.xml><?xml version="1.0" encoding="utf-8"?>
<ds:datastoreItem xmlns:ds="http://schemas.openxmlformats.org/officeDocument/2006/customXml" ds:itemID="{E450888C-5377-4602-882E-BFFCC21A9BA0}">
  <ds:schemaRefs>
    <ds:schemaRef ds:uri="http://schemas.openxmlformats.org/officeDocument/2006/bibliography"/>
  </ds:schemaRefs>
</ds:datastoreItem>
</file>

<file path=customXml/itemProps3.xml><?xml version="1.0" encoding="utf-8"?>
<ds:datastoreItem xmlns:ds="http://schemas.openxmlformats.org/officeDocument/2006/customXml" ds:itemID="{D2E58A85-4A79-4047-8ECD-A68063667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46b709-8ecf-42fd-81b0-d282e67de71a"/>
    <ds:schemaRef ds:uri="4212292e-fee3-4e58-b645-17c47387a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F670FF-C8D8-40DF-B8CA-5382F69E1C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CoreTemplate.dotm</Template>
  <TotalTime>4</TotalTime>
  <Pages>20</Pages>
  <Words>7760</Words>
  <Characters>43846</Characters>
  <Application>Microsoft Office Word</Application>
  <DocSecurity>0</DocSecurity>
  <Lines>1096</Lines>
  <Paragraphs>653</Paragraphs>
  <ScaleCrop>false</ScaleCrop>
  <HeadingPairs>
    <vt:vector size="2" baseType="variant">
      <vt:variant>
        <vt:lpstr>Title</vt:lpstr>
      </vt:variant>
      <vt:variant>
        <vt:i4>1</vt:i4>
      </vt:variant>
    </vt:vector>
  </HeadingPairs>
  <TitlesOfParts>
    <vt:vector size="1" baseType="lpstr">
      <vt:lpstr>AusPAR Attachment 1: Product Information for Opdualag  </vt:lpstr>
    </vt:vector>
  </TitlesOfParts>
  <Company>Bristol-Myers Squibb Company</Company>
  <LinksUpToDate>false</LinksUpToDate>
  <CharactersWithSpaces>50953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Opdualag  </dc:title>
  <dc:creator>Bristol-Myers Squibb Company</dc:creator>
  <dc:description>||5.4.1;||</dc:description>
  <cp:revision>9</cp:revision>
  <cp:lastPrinted>2022-10-07T23:09:00Z</cp:lastPrinted>
  <dcterms:created xsi:type="dcterms:W3CDTF">2024-01-02T06:08:00Z</dcterms:created>
  <dcterms:modified xsi:type="dcterms:W3CDTF">2024-01-02T06:13:00Z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0x010100664DB5BE8078A2488E61C340A47D3B22</vt:lpwstr>
  </property>
</Properties>
</file>