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75B9" w14:textId="484BA07B" w:rsidR="7D0019BB" w:rsidRDefault="7D0019BB" w:rsidP="7D0019BB">
      <w:pPr>
        <w:spacing w:before="0" w:after="160" w:line="259" w:lineRule="auto"/>
      </w:pPr>
    </w:p>
    <w:p w14:paraId="469FA8D6" w14:textId="45894255" w:rsidR="00FA415A" w:rsidRDefault="00FA415A" w:rsidP="40EB8B97">
      <w:pPr>
        <w:spacing w:before="0" w:after="160" w:line="259" w:lineRule="auto"/>
        <w:rPr>
          <w:rFonts w:ascii="Segoe UI" w:hAnsi="Segoe UI" w:cs="Segoe UI"/>
          <w:b/>
          <w:bCs/>
          <w:sz w:val="21"/>
          <w:szCs w:val="21"/>
        </w:rPr>
      </w:pPr>
      <w:r w:rsidRPr="40EB8B97">
        <w:rPr>
          <w:rFonts w:ascii="Segoe UI" w:hAnsi="Segoe UI" w:cs="Segoe UI"/>
          <w:sz w:val="21"/>
          <w:szCs w:val="21"/>
        </w:rPr>
        <w:br w:type="page"/>
      </w:r>
    </w:p>
    <w:p w14:paraId="4FE19977" w14:textId="11EF3995" w:rsidR="00433073" w:rsidRPr="00C25F7E" w:rsidRDefault="3CDD5974" w:rsidP="008B4BA3">
      <w:pPr>
        <w:pStyle w:val="Heading1"/>
      </w:pPr>
      <w:bookmarkStart w:id="0" w:name="_Toc153550365"/>
      <w:r>
        <w:lastRenderedPageBreak/>
        <w:t>Message from the Deputy Secretary</w:t>
      </w:r>
      <w:bookmarkEnd w:id="0"/>
    </w:p>
    <w:p w14:paraId="4FE10C2A" w14:textId="77777777" w:rsidR="0069396C" w:rsidRDefault="00A952FD" w:rsidP="0069396C">
      <w:pPr>
        <w:spacing w:before="0" w:line="240" w:lineRule="auto"/>
        <w:ind w:left="357" w:hanging="357"/>
        <w:rPr>
          <w:rFonts w:eastAsia="Arial" w:cs="Arial"/>
          <w:szCs w:val="22"/>
        </w:rPr>
      </w:pPr>
      <w:r>
        <w:rPr>
          <w:noProof/>
        </w:rPr>
        <mc:AlternateContent>
          <mc:Choice Requires="wps">
            <w:drawing>
              <wp:anchor distT="0" distB="0" distL="114300" distR="114300" simplePos="0" relativeHeight="251659264" behindDoc="0" locked="0" layoutInCell="1" allowOverlap="1" wp14:anchorId="240B036B" wp14:editId="1187491D">
                <wp:simplePos x="0" y="0"/>
                <wp:positionH relativeFrom="column">
                  <wp:posOffset>17253</wp:posOffset>
                </wp:positionH>
                <wp:positionV relativeFrom="paragraph">
                  <wp:posOffset>51495</wp:posOffset>
                </wp:positionV>
                <wp:extent cx="1846053" cy="1846053"/>
                <wp:effectExtent l="0" t="0" r="1905" b="1905"/>
                <wp:wrapSquare wrapText="bothSides"/>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6053" cy="1846053"/>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9BE85" id="Oval 6" o:spid="_x0000_s1026" alt="&quot;&quot;" style="position:absolute;margin-left:1.35pt;margin-top:4.05pt;width:145.35pt;height:14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" stroked="f" strokeweight="1pt">
                <v:fill r:id="rId12" o:title="" recolor="t" rotate="t" type="frame"/>
                <v:stroke joinstyle="miter"/>
                <w10:wrap type="square"/>
              </v:oval>
            </w:pict>
          </mc:Fallback>
        </mc:AlternateContent>
      </w:r>
      <w:r w:rsidR="1B396736" w:rsidRPr="00FB15E2">
        <w:rPr>
          <w:rFonts w:eastAsia="Arial" w:cs="Arial"/>
          <w:szCs w:val="22"/>
        </w:rPr>
        <w:t xml:space="preserve">I’m pleased to present the </w:t>
      </w:r>
      <w:r w:rsidR="005E580B">
        <w:rPr>
          <w:rFonts w:eastAsia="Arial" w:cs="Arial"/>
          <w:szCs w:val="22"/>
        </w:rPr>
        <w:t xml:space="preserve">2022-23 </w:t>
      </w:r>
      <w:r w:rsidR="1B396736" w:rsidRPr="00FB15E2">
        <w:rPr>
          <w:rFonts w:eastAsia="Arial" w:cs="Arial"/>
          <w:szCs w:val="22"/>
        </w:rPr>
        <w:t xml:space="preserve">Performance Report </w:t>
      </w:r>
      <w:r w:rsidR="005E580B">
        <w:rPr>
          <w:rFonts w:eastAsia="Arial" w:cs="Arial"/>
          <w:szCs w:val="22"/>
        </w:rPr>
        <w:t>of the Therapeutic Goods Administration (</w:t>
      </w:r>
      <w:r w:rsidR="00466FB7">
        <w:rPr>
          <w:rFonts w:eastAsia="Arial" w:cs="Arial"/>
          <w:szCs w:val="22"/>
        </w:rPr>
        <w:t xml:space="preserve">the </w:t>
      </w:r>
      <w:r w:rsidR="005E580B">
        <w:rPr>
          <w:rFonts w:eastAsia="Arial" w:cs="Arial"/>
          <w:szCs w:val="22"/>
        </w:rPr>
        <w:t>TGA)</w:t>
      </w:r>
      <w:r w:rsidR="1B396736" w:rsidRPr="00FB15E2">
        <w:rPr>
          <w:rFonts w:eastAsia="Arial" w:cs="Arial"/>
          <w:szCs w:val="22"/>
        </w:rPr>
        <w:t>.</w:t>
      </w:r>
    </w:p>
    <w:p w14:paraId="2E89B8E3" w14:textId="19118326" w:rsidR="0B322598" w:rsidRPr="00FB15E2" w:rsidRDefault="73A2E418" w:rsidP="0069396C">
      <w:pPr>
        <w:spacing w:before="0" w:line="240" w:lineRule="auto"/>
        <w:ind w:left="357" w:hanging="357"/>
        <w:rPr>
          <w:rFonts w:eastAsia="Arial" w:cs="Arial"/>
          <w:szCs w:val="22"/>
        </w:rPr>
      </w:pPr>
      <w:r w:rsidRPr="576A8ED5">
        <w:rPr>
          <w:rFonts w:eastAsia="Arial" w:cs="Arial"/>
        </w:rPr>
        <w:t xml:space="preserve">In April, </w:t>
      </w:r>
      <w:r w:rsidR="13CBC511" w:rsidRPr="576A8ED5">
        <w:rPr>
          <w:rFonts w:eastAsia="Arial" w:cs="Arial"/>
        </w:rPr>
        <w:t>Adjunct Prof</w:t>
      </w:r>
      <w:r w:rsidR="002C18CC">
        <w:rPr>
          <w:rFonts w:eastAsia="Arial" w:cs="Arial"/>
        </w:rPr>
        <w:t>essor</w:t>
      </w:r>
      <w:r w:rsidR="13CBC511" w:rsidRPr="576A8ED5">
        <w:rPr>
          <w:rFonts w:eastAsia="Arial" w:cs="Arial"/>
        </w:rPr>
        <w:t xml:space="preserve"> John Skerritt retired </w:t>
      </w:r>
      <w:r w:rsidR="425A4BCA" w:rsidRPr="576A8ED5">
        <w:rPr>
          <w:rFonts w:eastAsia="Arial" w:cs="Arial"/>
        </w:rPr>
        <w:t xml:space="preserve">as </w:t>
      </w:r>
      <w:r w:rsidR="425A4BCA" w:rsidRPr="00FB15E2">
        <w:rPr>
          <w:rFonts w:eastAsia="Arial" w:cs="Arial"/>
          <w:szCs w:val="22"/>
        </w:rPr>
        <w:t>Deputy Secretary for the Health Products Regulation Group</w:t>
      </w:r>
      <w:r w:rsidR="149DA8BD" w:rsidRPr="00FB15E2">
        <w:rPr>
          <w:rFonts w:eastAsia="Arial" w:cs="Arial"/>
          <w:szCs w:val="22"/>
        </w:rPr>
        <w:t xml:space="preserve"> of the Department of Health and Aged Care</w:t>
      </w:r>
      <w:r w:rsidR="425A4BCA" w:rsidRPr="00FB15E2">
        <w:rPr>
          <w:rFonts w:eastAsia="Arial" w:cs="Arial"/>
          <w:szCs w:val="22"/>
        </w:rPr>
        <w:t xml:space="preserve">. Professor Skerritt led the </w:t>
      </w:r>
      <w:r w:rsidR="664273B3" w:rsidRPr="00FB15E2">
        <w:rPr>
          <w:rFonts w:eastAsia="Arial" w:cs="Arial"/>
          <w:szCs w:val="22"/>
        </w:rPr>
        <w:t>TGA for more than a decade</w:t>
      </w:r>
      <w:r w:rsidR="005E580B">
        <w:rPr>
          <w:rFonts w:eastAsia="Arial" w:cs="Arial"/>
          <w:szCs w:val="22"/>
        </w:rPr>
        <w:t>,</w:t>
      </w:r>
      <w:r w:rsidR="664273B3" w:rsidRPr="00FB15E2">
        <w:rPr>
          <w:rFonts w:eastAsia="Arial" w:cs="Arial"/>
          <w:szCs w:val="22"/>
        </w:rPr>
        <w:t xml:space="preserve"> and </w:t>
      </w:r>
      <w:r w:rsidR="005E580B">
        <w:rPr>
          <w:rFonts w:eastAsia="Arial" w:cs="Arial"/>
          <w:szCs w:val="22"/>
        </w:rPr>
        <w:t>I take this opportunity to</w:t>
      </w:r>
      <w:r w:rsidR="005E580B" w:rsidRPr="00FB15E2">
        <w:rPr>
          <w:rFonts w:eastAsia="Arial" w:cs="Arial"/>
          <w:szCs w:val="22"/>
        </w:rPr>
        <w:t xml:space="preserve"> </w:t>
      </w:r>
      <w:r w:rsidR="13CBC511" w:rsidRPr="576A8ED5">
        <w:rPr>
          <w:rFonts w:eastAsia="Arial" w:cs="Arial"/>
        </w:rPr>
        <w:t xml:space="preserve">acknowledge </w:t>
      </w:r>
      <w:r w:rsidR="27C295AE" w:rsidRPr="576A8ED5">
        <w:rPr>
          <w:rFonts w:eastAsia="Arial" w:cs="Arial"/>
        </w:rPr>
        <w:t>the</w:t>
      </w:r>
      <w:r w:rsidR="13CBC511" w:rsidRPr="576A8ED5">
        <w:rPr>
          <w:rFonts w:eastAsia="Arial" w:cs="Arial"/>
        </w:rPr>
        <w:t xml:space="preserve"> </w:t>
      </w:r>
      <w:r w:rsidR="5EDB8216" w:rsidRPr="576A8ED5">
        <w:rPr>
          <w:rFonts w:eastAsia="Arial" w:cs="Arial"/>
        </w:rPr>
        <w:t xml:space="preserve">legacy and </w:t>
      </w:r>
      <w:r w:rsidR="13CBC511" w:rsidRPr="576A8ED5">
        <w:rPr>
          <w:rFonts w:eastAsia="Arial" w:cs="Arial"/>
        </w:rPr>
        <w:t xml:space="preserve">contribution </w:t>
      </w:r>
      <w:r w:rsidR="39BAB56F" w:rsidRPr="576A8ED5">
        <w:rPr>
          <w:rFonts w:eastAsia="Arial" w:cs="Arial"/>
        </w:rPr>
        <w:t xml:space="preserve">he </w:t>
      </w:r>
      <w:r w:rsidR="00F079CA">
        <w:rPr>
          <w:rFonts w:eastAsia="Arial" w:cs="Arial"/>
        </w:rPr>
        <w:t>made during his tenure</w:t>
      </w:r>
      <w:r w:rsidR="39BAB56F" w:rsidRPr="576A8ED5">
        <w:rPr>
          <w:rFonts w:eastAsia="Arial" w:cs="Arial"/>
        </w:rPr>
        <w:t xml:space="preserve">, which is </w:t>
      </w:r>
      <w:r w:rsidR="6D283293" w:rsidRPr="576A8ED5">
        <w:rPr>
          <w:rFonts w:eastAsia="Arial" w:cs="Arial"/>
        </w:rPr>
        <w:t xml:space="preserve">also </w:t>
      </w:r>
      <w:r w:rsidR="39BAB56F" w:rsidRPr="576A8ED5">
        <w:rPr>
          <w:rFonts w:eastAsia="Arial" w:cs="Arial"/>
        </w:rPr>
        <w:t>reflected in</w:t>
      </w:r>
      <w:r w:rsidR="13CBC511" w:rsidRPr="576A8ED5">
        <w:rPr>
          <w:rFonts w:eastAsia="Arial" w:cs="Arial"/>
        </w:rPr>
        <w:t xml:space="preserve"> </w:t>
      </w:r>
      <w:r w:rsidR="71BF0B07" w:rsidRPr="576A8ED5">
        <w:rPr>
          <w:rFonts w:eastAsia="Arial" w:cs="Arial"/>
        </w:rPr>
        <w:t>th</w:t>
      </w:r>
      <w:r w:rsidR="1E4C8E96" w:rsidRPr="576A8ED5">
        <w:rPr>
          <w:rFonts w:eastAsia="Arial" w:cs="Arial"/>
        </w:rPr>
        <w:t>is</w:t>
      </w:r>
      <w:r w:rsidR="71BF0B07" w:rsidRPr="576A8ED5">
        <w:rPr>
          <w:rFonts w:eastAsia="Arial" w:cs="Arial"/>
        </w:rPr>
        <w:t xml:space="preserve"> report.</w:t>
      </w:r>
    </w:p>
    <w:p w14:paraId="1DAAF7E0" w14:textId="2203FAA1" w:rsidR="65F08F9B" w:rsidRPr="00FB15E2" w:rsidRDefault="003CCF87" w:rsidP="00EE3BF1">
      <w:pPr>
        <w:spacing w:before="0" w:line="240" w:lineRule="auto"/>
      </w:pPr>
      <w:r w:rsidRPr="717CB5DD">
        <w:rPr>
          <w:rFonts w:eastAsia="Arial" w:cs="Arial"/>
          <w:szCs w:val="22"/>
        </w:rPr>
        <w:t xml:space="preserve">The TGA continues to modernise the way </w:t>
      </w:r>
      <w:r w:rsidR="00F079CA">
        <w:rPr>
          <w:rFonts w:eastAsia="Arial" w:cs="Arial"/>
          <w:szCs w:val="22"/>
        </w:rPr>
        <w:t xml:space="preserve">in which </w:t>
      </w:r>
      <w:r w:rsidRPr="717CB5DD">
        <w:rPr>
          <w:rFonts w:eastAsia="Arial" w:cs="Arial"/>
          <w:szCs w:val="22"/>
        </w:rPr>
        <w:t>we work. In 2022-23</w:t>
      </w:r>
      <w:r w:rsidR="007A58CC">
        <w:rPr>
          <w:rFonts w:eastAsia="Arial" w:cs="Arial"/>
          <w:szCs w:val="22"/>
        </w:rPr>
        <w:t>,</w:t>
      </w:r>
      <w:r w:rsidRPr="717CB5DD">
        <w:rPr>
          <w:rFonts w:eastAsia="Arial" w:cs="Arial"/>
          <w:szCs w:val="22"/>
        </w:rPr>
        <w:t xml:space="preserve"> we spent our first full year in our purpose-built facilities in </w:t>
      </w:r>
      <w:r w:rsidR="00162705">
        <w:rPr>
          <w:rFonts w:eastAsia="Arial" w:cs="Arial"/>
          <w:szCs w:val="22"/>
        </w:rPr>
        <w:t>Fairbairn Canberra</w:t>
      </w:r>
      <w:r w:rsidR="007E56BC">
        <w:rPr>
          <w:rFonts w:eastAsia="Arial" w:cs="Arial"/>
          <w:szCs w:val="22"/>
        </w:rPr>
        <w:t xml:space="preserve"> – </w:t>
      </w:r>
      <w:r w:rsidR="00162705">
        <w:rPr>
          <w:rFonts w:eastAsia="Arial" w:cs="Arial"/>
          <w:szCs w:val="22"/>
        </w:rPr>
        <w:t>the Gulgana office building, and the Ya</w:t>
      </w:r>
      <w:r w:rsidR="005E6EE0">
        <w:rPr>
          <w:rFonts w:eastAsia="Arial" w:cs="Arial"/>
          <w:szCs w:val="22"/>
        </w:rPr>
        <w:t>r</w:t>
      </w:r>
      <w:r w:rsidR="00162705">
        <w:rPr>
          <w:rFonts w:eastAsia="Arial" w:cs="Arial"/>
          <w:szCs w:val="22"/>
        </w:rPr>
        <w:t>wan Gawar laboratory building</w:t>
      </w:r>
      <w:r w:rsidRPr="717CB5DD">
        <w:rPr>
          <w:rFonts w:eastAsia="Arial" w:cs="Arial"/>
          <w:szCs w:val="22"/>
        </w:rPr>
        <w:t>. The site includes modern laboratories and equipment that supports us to deliver a wor</w:t>
      </w:r>
      <w:r w:rsidR="00434BF1">
        <w:rPr>
          <w:rFonts w:eastAsia="Arial" w:cs="Arial"/>
          <w:szCs w:val="22"/>
        </w:rPr>
        <w:t>l</w:t>
      </w:r>
      <w:r w:rsidRPr="717CB5DD">
        <w:rPr>
          <w:rFonts w:eastAsia="Arial" w:cs="Arial"/>
          <w:szCs w:val="22"/>
        </w:rPr>
        <w:t>d-class medical product</w:t>
      </w:r>
      <w:r w:rsidR="00905019">
        <w:rPr>
          <w:rFonts w:eastAsia="Arial" w:cs="Arial"/>
          <w:szCs w:val="22"/>
        </w:rPr>
        <w:t>s</w:t>
      </w:r>
      <w:r w:rsidRPr="717CB5DD">
        <w:rPr>
          <w:rFonts w:eastAsia="Arial" w:cs="Arial"/>
          <w:szCs w:val="22"/>
        </w:rPr>
        <w:t xml:space="preserve"> regulatory system. The site also provides flexible working arrangements for staff, with shared workspaces and tailored meeting spaces that encourage collaboration.</w:t>
      </w:r>
    </w:p>
    <w:p w14:paraId="1B5288D8" w14:textId="6F53B00C" w:rsidR="23B264BB" w:rsidRDefault="34A506FD" w:rsidP="00EE3BF1">
      <w:pPr>
        <w:spacing w:before="0" w:line="240" w:lineRule="auto"/>
      </w:pPr>
      <w:r w:rsidRPr="07BCD81F">
        <w:rPr>
          <w:rFonts w:eastAsia="Arial" w:cs="Arial"/>
        </w:rPr>
        <w:t>T</w:t>
      </w:r>
      <w:r w:rsidR="470AE997" w:rsidRPr="07BCD81F">
        <w:rPr>
          <w:rFonts w:eastAsia="Arial" w:cs="Arial"/>
        </w:rPr>
        <w:t xml:space="preserve">he TGA’s </w:t>
      </w:r>
      <w:r w:rsidR="2D2F832C" w:rsidRPr="07BCD81F">
        <w:rPr>
          <w:rFonts w:eastAsia="Arial" w:cs="Arial"/>
        </w:rPr>
        <w:t xml:space="preserve">Digital </w:t>
      </w:r>
      <w:r w:rsidR="470AE997" w:rsidRPr="07BCD81F">
        <w:rPr>
          <w:rFonts w:eastAsia="Arial" w:cs="Arial"/>
        </w:rPr>
        <w:t xml:space="preserve">Transformation Program </w:t>
      </w:r>
      <w:r w:rsidR="2CA460BA" w:rsidRPr="07BCD81F">
        <w:rPr>
          <w:rFonts w:eastAsia="Arial" w:cs="Arial"/>
        </w:rPr>
        <w:t>is</w:t>
      </w:r>
      <w:r w:rsidR="470AE997" w:rsidRPr="07BCD81F">
        <w:rPr>
          <w:rFonts w:eastAsia="Arial" w:cs="Arial"/>
        </w:rPr>
        <w:t xml:space="preserve"> ma</w:t>
      </w:r>
      <w:r w:rsidR="493C2EE4" w:rsidRPr="07BCD81F">
        <w:rPr>
          <w:rFonts w:eastAsia="Arial" w:cs="Arial"/>
        </w:rPr>
        <w:t>king</w:t>
      </w:r>
      <w:r w:rsidR="470AE997" w:rsidRPr="07BCD81F">
        <w:rPr>
          <w:rFonts w:eastAsia="Arial" w:cs="Arial"/>
        </w:rPr>
        <w:t xml:space="preserve"> progress to address longstanding barriers </w:t>
      </w:r>
      <w:r w:rsidR="009130F2">
        <w:rPr>
          <w:rFonts w:eastAsia="Arial" w:cs="Arial"/>
        </w:rPr>
        <w:t xml:space="preserve">encountered by </w:t>
      </w:r>
      <w:r w:rsidR="470AE997" w:rsidRPr="07BCD81F">
        <w:rPr>
          <w:rFonts w:eastAsia="Arial" w:cs="Arial"/>
        </w:rPr>
        <w:t xml:space="preserve">our stakeholders when interacting with us, </w:t>
      </w:r>
      <w:r w:rsidR="2E24364E" w:rsidRPr="07BCD81F">
        <w:rPr>
          <w:rFonts w:eastAsia="Arial" w:cs="Arial"/>
        </w:rPr>
        <w:t>including</w:t>
      </w:r>
      <w:r w:rsidR="00BE1F80">
        <w:rPr>
          <w:rFonts w:eastAsia="Arial" w:cs="Arial"/>
        </w:rPr>
        <w:t xml:space="preserve"> by</w:t>
      </w:r>
      <w:r w:rsidR="2E24364E" w:rsidRPr="07BCD81F">
        <w:rPr>
          <w:rFonts w:eastAsia="Arial" w:cs="Arial"/>
        </w:rPr>
        <w:t xml:space="preserve"> improving </w:t>
      </w:r>
      <w:r w:rsidR="0F58C963" w:rsidRPr="07BCD81F">
        <w:rPr>
          <w:rFonts w:eastAsia="Arial" w:cs="Arial"/>
        </w:rPr>
        <w:t>several of</w:t>
      </w:r>
      <w:r w:rsidR="2E24364E" w:rsidRPr="07BCD81F">
        <w:rPr>
          <w:rFonts w:eastAsia="Arial" w:cs="Arial"/>
        </w:rPr>
        <w:t xml:space="preserve"> our systems and upgrading and </w:t>
      </w:r>
      <w:r w:rsidR="00D6581B">
        <w:rPr>
          <w:rFonts w:eastAsia="Arial" w:cs="Arial"/>
        </w:rPr>
        <w:t>enhancing</w:t>
      </w:r>
      <w:r w:rsidR="2E24364E" w:rsidRPr="07BCD81F">
        <w:rPr>
          <w:rFonts w:eastAsia="Arial" w:cs="Arial"/>
        </w:rPr>
        <w:t xml:space="preserve"> our website.</w:t>
      </w:r>
      <w:r w:rsidR="7A22B95A" w:rsidRPr="07BCD81F">
        <w:rPr>
          <w:rFonts w:eastAsia="Arial" w:cs="Arial"/>
        </w:rPr>
        <w:t xml:space="preserve"> </w:t>
      </w:r>
      <w:r w:rsidR="1591A6B1" w:rsidRPr="07BCD81F">
        <w:rPr>
          <w:rFonts w:eastAsia="Arial" w:cs="Arial"/>
        </w:rPr>
        <w:t xml:space="preserve">Further improvements can be expected as we progressively digitise more of our processes. This includes </w:t>
      </w:r>
      <w:r w:rsidR="6B5326C2" w:rsidRPr="07BCD81F">
        <w:rPr>
          <w:rFonts w:eastAsia="Arial" w:cs="Arial"/>
        </w:rPr>
        <w:t>work on our</w:t>
      </w:r>
      <w:r w:rsidR="1591A6B1" w:rsidRPr="07BCD81F">
        <w:rPr>
          <w:rFonts w:eastAsia="Arial" w:cs="Arial"/>
        </w:rPr>
        <w:t xml:space="preserve"> new digital business portal for sponsors, their agents, and manufacturers seeking to submit applications. Feedback from stakeholders is informing </w:t>
      </w:r>
      <w:r w:rsidR="2603D833" w:rsidRPr="07BCD81F">
        <w:rPr>
          <w:rFonts w:eastAsia="Arial" w:cs="Arial"/>
        </w:rPr>
        <w:t>this work</w:t>
      </w:r>
      <w:r w:rsidR="0075768F">
        <w:rPr>
          <w:rFonts w:eastAsia="Arial" w:cs="Arial"/>
        </w:rPr>
        <w:t>,</w:t>
      </w:r>
      <w:r w:rsidR="1598848A" w:rsidRPr="07BCD81F">
        <w:rPr>
          <w:rFonts w:eastAsia="Arial" w:cs="Arial"/>
        </w:rPr>
        <w:t xml:space="preserve"> which aims to</w:t>
      </w:r>
      <w:r w:rsidR="3197DE42" w:rsidRPr="07BCD81F">
        <w:rPr>
          <w:rFonts w:eastAsia="Arial" w:cs="Arial"/>
        </w:rPr>
        <w:t xml:space="preserve"> streamline the application process and</w:t>
      </w:r>
      <w:r w:rsidR="1598848A" w:rsidRPr="07BCD81F">
        <w:rPr>
          <w:rFonts w:eastAsia="Arial" w:cs="Arial"/>
        </w:rPr>
        <w:t xml:space="preserve"> provide more</w:t>
      </w:r>
      <w:r w:rsidR="1591A6B1" w:rsidRPr="07BCD81F">
        <w:rPr>
          <w:rFonts w:eastAsia="Arial" w:cs="Arial"/>
        </w:rPr>
        <w:t xml:space="preserve"> transparency</w:t>
      </w:r>
      <w:r w:rsidR="71C482AE" w:rsidRPr="07BCD81F">
        <w:rPr>
          <w:rFonts w:eastAsia="Arial" w:cs="Arial"/>
        </w:rPr>
        <w:t>.</w:t>
      </w:r>
    </w:p>
    <w:p w14:paraId="705C6EFC" w14:textId="4314C6B4" w:rsidR="0036309C" w:rsidRDefault="395A101E" w:rsidP="00EE3BF1">
      <w:pPr>
        <w:spacing w:before="0"/>
      </w:pPr>
      <w:r w:rsidRPr="42C30F09">
        <w:rPr>
          <w:rFonts w:eastAsia="Arial" w:cs="Arial"/>
          <w:szCs w:val="22"/>
        </w:rPr>
        <w:t xml:space="preserve">The COVID-19 </w:t>
      </w:r>
      <w:r w:rsidR="4D4802B7" w:rsidRPr="42C30F09">
        <w:rPr>
          <w:rFonts w:eastAsia="Arial" w:cs="Arial"/>
          <w:szCs w:val="22"/>
        </w:rPr>
        <w:t>response</w:t>
      </w:r>
      <w:r w:rsidRPr="42C30F09">
        <w:rPr>
          <w:rFonts w:eastAsia="Arial" w:cs="Arial"/>
          <w:szCs w:val="22"/>
        </w:rPr>
        <w:t xml:space="preserve"> </w:t>
      </w:r>
      <w:r w:rsidR="009B53AF">
        <w:rPr>
          <w:rFonts w:eastAsia="Arial" w:cs="Arial"/>
          <w:szCs w:val="22"/>
        </w:rPr>
        <w:t xml:space="preserve">has </w:t>
      </w:r>
      <w:r w:rsidRPr="42C30F09">
        <w:rPr>
          <w:rFonts w:eastAsia="Arial" w:cs="Arial"/>
          <w:szCs w:val="22"/>
        </w:rPr>
        <w:t xml:space="preserve">continued to be a major focus for the TGA in 2022-23. </w:t>
      </w:r>
      <w:r w:rsidR="1FC77F73" w:rsidRPr="42C30F09">
        <w:rPr>
          <w:rFonts w:eastAsia="Arial" w:cs="Arial"/>
          <w:szCs w:val="22"/>
        </w:rPr>
        <w:t>We</w:t>
      </w:r>
      <w:r w:rsidR="340E3138" w:rsidRPr="42C30F09">
        <w:rPr>
          <w:rFonts w:eastAsia="Arial" w:cs="Arial"/>
          <w:szCs w:val="22"/>
        </w:rPr>
        <w:t xml:space="preserve"> shifted our </w:t>
      </w:r>
      <w:r w:rsidR="5BD66EA7" w:rsidRPr="42C30F09">
        <w:rPr>
          <w:rFonts w:eastAsia="Arial" w:cs="Arial"/>
          <w:szCs w:val="22"/>
        </w:rPr>
        <w:t xml:space="preserve">focus to multiplex and combination </w:t>
      </w:r>
      <w:r w:rsidR="5D3A86C9" w:rsidRPr="42C30F09">
        <w:rPr>
          <w:rFonts w:eastAsia="Arial" w:cs="Arial"/>
          <w:szCs w:val="22"/>
        </w:rPr>
        <w:t xml:space="preserve">rapid antigen </w:t>
      </w:r>
      <w:r w:rsidR="5BD66EA7" w:rsidRPr="42C30F09">
        <w:rPr>
          <w:rFonts w:eastAsia="Arial" w:cs="Arial"/>
          <w:szCs w:val="22"/>
        </w:rPr>
        <w:t>test kits to address the need to distinguish influenza and COVID</w:t>
      </w:r>
      <w:r w:rsidR="194F3B41" w:rsidRPr="42C30F09">
        <w:rPr>
          <w:rFonts w:eastAsia="Arial" w:cs="Arial"/>
          <w:szCs w:val="22"/>
        </w:rPr>
        <w:t>-19</w:t>
      </w:r>
      <w:r w:rsidR="5BD66EA7" w:rsidRPr="42C30F09">
        <w:rPr>
          <w:rFonts w:eastAsia="Arial" w:cs="Arial"/>
          <w:szCs w:val="22"/>
        </w:rPr>
        <w:t xml:space="preserve"> during the </w:t>
      </w:r>
      <w:r w:rsidR="4D4802B7" w:rsidRPr="42C30F09">
        <w:rPr>
          <w:rFonts w:eastAsia="Arial" w:cs="Arial"/>
          <w:szCs w:val="22"/>
        </w:rPr>
        <w:t>flu season.</w:t>
      </w:r>
      <w:r w:rsidR="5BD66EA7" w:rsidRPr="42C30F09">
        <w:rPr>
          <w:rFonts w:eastAsia="Arial" w:cs="Arial"/>
          <w:szCs w:val="22"/>
        </w:rPr>
        <w:t xml:space="preserve"> Over 1000 COVID</w:t>
      </w:r>
      <w:r w:rsidR="5C00EA44" w:rsidRPr="42C30F09">
        <w:rPr>
          <w:rFonts w:eastAsia="Arial" w:cs="Arial"/>
          <w:szCs w:val="22"/>
        </w:rPr>
        <w:t>-19</w:t>
      </w:r>
      <w:r w:rsidR="5BD66EA7" w:rsidRPr="42C30F09">
        <w:rPr>
          <w:rFonts w:eastAsia="Arial" w:cs="Arial"/>
          <w:szCs w:val="22"/>
        </w:rPr>
        <w:t xml:space="preserve"> test applications were processed and finalised</w:t>
      </w:r>
      <w:r w:rsidR="49ABB0FF" w:rsidRPr="42C30F09">
        <w:rPr>
          <w:rFonts w:eastAsia="Arial" w:cs="Arial"/>
          <w:szCs w:val="22"/>
        </w:rPr>
        <w:t xml:space="preserve"> and more than 100 COVID</w:t>
      </w:r>
      <w:r w:rsidR="38DF2361" w:rsidRPr="42C30F09">
        <w:rPr>
          <w:rFonts w:eastAsia="Arial" w:cs="Arial"/>
          <w:szCs w:val="22"/>
        </w:rPr>
        <w:t>-1</w:t>
      </w:r>
      <w:r w:rsidR="12BA1FA3" w:rsidRPr="42C30F09">
        <w:rPr>
          <w:rFonts w:eastAsia="Arial" w:cs="Arial"/>
          <w:szCs w:val="22"/>
        </w:rPr>
        <w:t>9</w:t>
      </w:r>
      <w:r w:rsidR="49ABB0FF" w:rsidRPr="42C30F09">
        <w:rPr>
          <w:rFonts w:eastAsia="Arial" w:cs="Arial"/>
          <w:szCs w:val="22"/>
        </w:rPr>
        <w:t xml:space="preserve"> (self-test and point-of-care) tests were included in the A</w:t>
      </w:r>
      <w:r w:rsidR="7FAF8A3E" w:rsidRPr="42C30F09">
        <w:rPr>
          <w:rFonts w:eastAsia="Arial" w:cs="Arial"/>
          <w:szCs w:val="22"/>
        </w:rPr>
        <w:t xml:space="preserve">ustralian </w:t>
      </w:r>
      <w:r w:rsidR="49ABB0FF" w:rsidRPr="42C30F09">
        <w:rPr>
          <w:rFonts w:eastAsia="Arial" w:cs="Arial"/>
          <w:szCs w:val="22"/>
        </w:rPr>
        <w:t>R</w:t>
      </w:r>
      <w:r w:rsidR="10C77A10" w:rsidRPr="42C30F09">
        <w:rPr>
          <w:rFonts w:eastAsia="Arial" w:cs="Arial"/>
          <w:szCs w:val="22"/>
        </w:rPr>
        <w:t xml:space="preserve">egister of </w:t>
      </w:r>
      <w:r w:rsidR="49ABB0FF" w:rsidRPr="42C30F09">
        <w:rPr>
          <w:rFonts w:eastAsia="Arial" w:cs="Arial"/>
          <w:szCs w:val="22"/>
        </w:rPr>
        <w:t>T</w:t>
      </w:r>
      <w:r w:rsidR="0069B49E" w:rsidRPr="42C30F09">
        <w:rPr>
          <w:rFonts w:eastAsia="Arial" w:cs="Arial"/>
          <w:szCs w:val="22"/>
        </w:rPr>
        <w:t xml:space="preserve">herapeutic </w:t>
      </w:r>
      <w:r w:rsidR="49ABB0FF" w:rsidRPr="42C30F09">
        <w:rPr>
          <w:rFonts w:eastAsia="Arial" w:cs="Arial"/>
          <w:szCs w:val="22"/>
        </w:rPr>
        <w:t>G</w:t>
      </w:r>
      <w:r w:rsidR="25FBA0A8" w:rsidRPr="42C30F09">
        <w:rPr>
          <w:rFonts w:eastAsia="Arial" w:cs="Arial"/>
          <w:szCs w:val="22"/>
        </w:rPr>
        <w:t>oods (ARTG)</w:t>
      </w:r>
      <w:r w:rsidR="1CE067B1" w:rsidRPr="42C30F09">
        <w:rPr>
          <w:rFonts w:eastAsia="Arial" w:cs="Arial"/>
          <w:szCs w:val="22"/>
        </w:rPr>
        <w:t>.</w:t>
      </w:r>
    </w:p>
    <w:p w14:paraId="4EAC8251" w14:textId="2F060386" w:rsidR="00EE3BF1" w:rsidRDefault="790D8D6D" w:rsidP="00EE3BF1">
      <w:pPr>
        <w:spacing w:before="0"/>
      </w:pPr>
      <w:r>
        <w:t>In 2022-23, t</w:t>
      </w:r>
      <w:r w:rsidR="231EC5FD">
        <w:t>here has been an</w:t>
      </w:r>
      <w:r w:rsidR="4A3950E7">
        <w:t xml:space="preserve"> increase </w:t>
      </w:r>
      <w:r w:rsidR="6ED6B62F">
        <w:t xml:space="preserve">in </w:t>
      </w:r>
      <w:r w:rsidR="4A3950E7">
        <w:t xml:space="preserve">use of some </w:t>
      </w:r>
      <w:r w:rsidR="362DFA51">
        <w:t xml:space="preserve">of our </w:t>
      </w:r>
      <w:r w:rsidR="4A3950E7">
        <w:t xml:space="preserve">regulatory services. </w:t>
      </w:r>
      <w:r w:rsidR="1C009E95">
        <w:t xml:space="preserve">Unapproved </w:t>
      </w:r>
      <w:r w:rsidR="42532161">
        <w:t>m</w:t>
      </w:r>
      <w:r w:rsidR="1C009E95">
        <w:t xml:space="preserve">edicine approvals </w:t>
      </w:r>
      <w:r w:rsidR="48319FDC">
        <w:t xml:space="preserve">have </w:t>
      </w:r>
      <w:r w:rsidR="1C009E95">
        <w:t>significantly increased by 9.3%</w:t>
      </w:r>
      <w:r w:rsidR="3698AD7E">
        <w:t xml:space="preserve"> </w:t>
      </w:r>
      <w:r w:rsidR="3E255604">
        <w:t xml:space="preserve">for Special Access Scheme B </w:t>
      </w:r>
      <w:r w:rsidR="1C009E95">
        <w:t>(SAS B) and</w:t>
      </w:r>
      <w:r w:rsidR="66878F1B">
        <w:t xml:space="preserve"> </w:t>
      </w:r>
      <w:r w:rsidR="54D635FF">
        <w:t xml:space="preserve">14% for </w:t>
      </w:r>
      <w:r w:rsidR="66878F1B">
        <w:t>Authorised Prescriber (AP)</w:t>
      </w:r>
      <w:r w:rsidR="1C009E95">
        <w:t xml:space="preserve"> </w:t>
      </w:r>
      <w:r w:rsidR="75B750AA">
        <w:t>applications</w:t>
      </w:r>
      <w:r w:rsidR="00C96541">
        <w:t>,</w:t>
      </w:r>
      <w:r w:rsidR="1C009E95">
        <w:t xml:space="preserve"> primarily due to the sustained growth in medicinal cannabis products. </w:t>
      </w:r>
    </w:p>
    <w:p w14:paraId="6113B2E3" w14:textId="7A9B08D3" w:rsidR="00FB79E1" w:rsidRPr="00FB79E1" w:rsidRDefault="14FC33DD" w:rsidP="00EE3BF1">
      <w:pPr>
        <w:spacing w:before="0"/>
        <w:rPr>
          <w:rFonts w:eastAsia="Arial" w:cs="Arial"/>
          <w:szCs w:val="22"/>
        </w:rPr>
      </w:pPr>
      <w:r>
        <w:t xml:space="preserve">Medicine shortages continue to be a </w:t>
      </w:r>
      <w:r w:rsidR="731C9F86">
        <w:t>high</w:t>
      </w:r>
      <w:r w:rsidR="00C96541">
        <w:t xml:space="preserve"> </w:t>
      </w:r>
      <w:r w:rsidR="002D09A2">
        <w:t>priority</w:t>
      </w:r>
      <w:r>
        <w:t xml:space="preserve"> for the TGA</w:t>
      </w:r>
      <w:r w:rsidR="6E746E85">
        <w:t>. In</w:t>
      </w:r>
      <w:r>
        <w:t xml:space="preserve"> 2022-23</w:t>
      </w:r>
      <w:r w:rsidR="007A58CC">
        <w:t>,</w:t>
      </w:r>
      <w:r>
        <w:t xml:space="preserve"> we</w:t>
      </w:r>
      <w:r w:rsidR="0FA9F08E">
        <w:t xml:space="preserve"> expanded our data analytics capabilities to identify at risk medicines earlier and</w:t>
      </w:r>
      <w:r>
        <w:t xml:space="preserve"> continued to use our global networks </w:t>
      </w:r>
      <w:r w:rsidR="2C8C694D">
        <w:t xml:space="preserve">to receive early signals and </w:t>
      </w:r>
      <w:r w:rsidR="10943792">
        <w:t xml:space="preserve">share </w:t>
      </w:r>
      <w:r w:rsidR="2C8C694D">
        <w:t>information</w:t>
      </w:r>
      <w:r w:rsidR="16701FD9">
        <w:t xml:space="preserve">. </w:t>
      </w:r>
      <w:r w:rsidR="3F41C9ED">
        <w:t>Refinements to</w:t>
      </w:r>
      <w:r w:rsidR="16701FD9">
        <w:t xml:space="preserve"> legislation</w:t>
      </w:r>
      <w:r w:rsidR="65AF89A5">
        <w:t xml:space="preserve"> clarify requirements for medicine sponsors to notify us of changes to the length of </w:t>
      </w:r>
      <w:r w:rsidR="006B0279">
        <w:t>shortages and</w:t>
      </w:r>
      <w:r w:rsidR="65AF89A5">
        <w:t xml:space="preserve"> provide a new pathway for al</w:t>
      </w:r>
      <w:r w:rsidR="212067E7">
        <w:t xml:space="preserve">lowing supply of overseas-registered medicines when a clinically </w:t>
      </w:r>
      <w:r w:rsidR="7A0F3AC0">
        <w:t>important</w:t>
      </w:r>
      <w:r w:rsidR="212067E7">
        <w:t xml:space="preserve"> medicine has been </w:t>
      </w:r>
      <w:r w:rsidR="212067E7" w:rsidRPr="00FB79E1">
        <w:rPr>
          <w:rFonts w:eastAsia="Arial" w:cs="Arial"/>
          <w:szCs w:val="22"/>
        </w:rPr>
        <w:t>discontinued in Australia.</w:t>
      </w:r>
      <w:r w:rsidR="006B0279" w:rsidRPr="00FB79E1">
        <w:rPr>
          <w:rFonts w:eastAsia="Arial" w:cs="Arial"/>
          <w:szCs w:val="22"/>
        </w:rPr>
        <w:t xml:space="preserve"> </w:t>
      </w:r>
      <w:r w:rsidR="59CABCD7" w:rsidRPr="00FB79E1">
        <w:rPr>
          <w:rFonts w:eastAsia="Arial" w:cs="Arial"/>
          <w:szCs w:val="22"/>
        </w:rPr>
        <w:t xml:space="preserve">Following </w:t>
      </w:r>
      <w:r w:rsidR="13F56C88" w:rsidRPr="00FB79E1">
        <w:rPr>
          <w:rFonts w:eastAsia="Arial" w:cs="Arial"/>
          <w:szCs w:val="22"/>
        </w:rPr>
        <w:t xml:space="preserve">extensive stakeholder </w:t>
      </w:r>
      <w:r w:rsidR="006B0279" w:rsidRPr="00FB79E1">
        <w:rPr>
          <w:rFonts w:eastAsia="Arial" w:cs="Arial"/>
          <w:szCs w:val="22"/>
        </w:rPr>
        <w:t>consultation,</w:t>
      </w:r>
      <w:r w:rsidR="59CABCD7" w:rsidRPr="00FB79E1">
        <w:rPr>
          <w:rFonts w:eastAsia="Arial" w:cs="Arial"/>
          <w:szCs w:val="22"/>
        </w:rPr>
        <w:t xml:space="preserve"> we commenced implementing a Medicines Repurposing Program, which aims to impr</w:t>
      </w:r>
      <w:r w:rsidR="2FA6AA66" w:rsidRPr="00FB79E1">
        <w:rPr>
          <w:rFonts w:eastAsia="Arial" w:cs="Arial"/>
          <w:szCs w:val="22"/>
        </w:rPr>
        <w:t>ove patient access</w:t>
      </w:r>
      <w:r w:rsidR="384FE3F5" w:rsidRPr="00FB79E1">
        <w:rPr>
          <w:rFonts w:eastAsia="Arial" w:cs="Arial"/>
          <w:szCs w:val="22"/>
        </w:rPr>
        <w:t xml:space="preserve"> to medicines</w:t>
      </w:r>
      <w:r w:rsidR="2FA6AA66" w:rsidRPr="00FB79E1">
        <w:rPr>
          <w:rFonts w:eastAsia="Arial" w:cs="Arial"/>
          <w:szCs w:val="22"/>
        </w:rPr>
        <w:t xml:space="preserve"> by supporting registration of new indications for existing medicines on the </w:t>
      </w:r>
      <w:r w:rsidR="006B0279" w:rsidRPr="00FB79E1">
        <w:rPr>
          <w:rFonts w:eastAsia="Arial" w:cs="Arial"/>
          <w:szCs w:val="22"/>
        </w:rPr>
        <w:t>ARTG.</w:t>
      </w:r>
      <w:r w:rsidR="1C009E95" w:rsidRPr="00FB79E1">
        <w:rPr>
          <w:rFonts w:eastAsia="Arial" w:cs="Arial"/>
          <w:szCs w:val="22"/>
        </w:rPr>
        <w:t xml:space="preserve"> </w:t>
      </w:r>
    </w:p>
    <w:p w14:paraId="0D33E906" w14:textId="26F1D94B" w:rsidR="0036309C" w:rsidRPr="00EE3BF1" w:rsidRDefault="00CF03B7" w:rsidP="00EE3BF1">
      <w:pPr>
        <w:spacing w:before="0"/>
      </w:pPr>
      <w:r w:rsidRPr="00FB79E1">
        <w:rPr>
          <w:rFonts w:eastAsia="Arial" w:cs="Arial"/>
          <w:szCs w:val="22"/>
        </w:rPr>
        <w:t>Progress on m</w:t>
      </w:r>
      <w:r w:rsidR="00012A22" w:rsidRPr="00FB79E1">
        <w:rPr>
          <w:rFonts w:eastAsia="Arial" w:cs="Arial"/>
          <w:szCs w:val="22"/>
        </w:rPr>
        <w:t xml:space="preserve">edical devices reforms </w:t>
      </w:r>
      <w:r w:rsidRPr="00FB79E1">
        <w:rPr>
          <w:rFonts w:eastAsia="Arial" w:cs="Arial"/>
          <w:szCs w:val="22"/>
        </w:rPr>
        <w:t xml:space="preserve">continues, with the </w:t>
      </w:r>
      <w:r w:rsidR="000000F1" w:rsidRPr="00FB79E1">
        <w:rPr>
          <w:rFonts w:eastAsia="Arial" w:cs="Arial"/>
          <w:szCs w:val="22"/>
        </w:rPr>
        <w:t xml:space="preserve">implementation of a risk-based </w:t>
      </w:r>
      <w:r w:rsidR="005E7FA4" w:rsidRPr="00FB79E1">
        <w:rPr>
          <w:rFonts w:eastAsia="Arial" w:cs="Arial"/>
          <w:szCs w:val="22"/>
        </w:rPr>
        <w:t xml:space="preserve">strategy for </w:t>
      </w:r>
      <w:r w:rsidR="00871D05" w:rsidRPr="00FB79E1">
        <w:rPr>
          <w:rFonts w:eastAsia="Arial" w:cs="Arial"/>
          <w:szCs w:val="22"/>
        </w:rPr>
        <w:t xml:space="preserve">handling flow-on implications for </w:t>
      </w:r>
      <w:r w:rsidR="0025629B" w:rsidRPr="00FB79E1">
        <w:rPr>
          <w:rFonts w:eastAsia="Arial" w:cs="Arial"/>
          <w:szCs w:val="22"/>
        </w:rPr>
        <w:t>medical device</w:t>
      </w:r>
      <w:r w:rsidR="00612D5E" w:rsidRPr="00FB79E1">
        <w:rPr>
          <w:rFonts w:eastAsia="Arial" w:cs="Arial"/>
          <w:szCs w:val="22"/>
        </w:rPr>
        <w:t xml:space="preserve">s affected </w:t>
      </w:r>
      <w:r w:rsidR="00BD79BD" w:rsidRPr="00FB79E1">
        <w:rPr>
          <w:rFonts w:eastAsia="Arial" w:cs="Arial"/>
          <w:szCs w:val="22"/>
        </w:rPr>
        <w:t xml:space="preserve">by </w:t>
      </w:r>
      <w:r w:rsidR="001942B0" w:rsidRPr="00FB79E1">
        <w:rPr>
          <w:rFonts w:eastAsia="Arial" w:cs="Arial"/>
          <w:szCs w:val="22"/>
        </w:rPr>
        <w:t xml:space="preserve">changes in </w:t>
      </w:r>
      <w:r w:rsidR="0062755E" w:rsidRPr="00FB79E1">
        <w:rPr>
          <w:rFonts w:eastAsia="Arial" w:cs="Arial"/>
          <w:szCs w:val="22"/>
        </w:rPr>
        <w:t>medical device</w:t>
      </w:r>
      <w:r w:rsidR="0025629B" w:rsidRPr="00FB79E1">
        <w:rPr>
          <w:rFonts w:eastAsia="Arial" w:cs="Arial"/>
          <w:szCs w:val="22"/>
        </w:rPr>
        <w:t xml:space="preserve"> regulations in Europe</w:t>
      </w:r>
      <w:r w:rsidR="002D3E2D" w:rsidRPr="00FB79E1">
        <w:rPr>
          <w:rFonts w:eastAsia="Arial" w:cs="Arial"/>
          <w:szCs w:val="22"/>
        </w:rPr>
        <w:t>.</w:t>
      </w:r>
      <w:r w:rsidR="25CEB0AD" w:rsidRPr="00FB79E1">
        <w:rPr>
          <w:rFonts w:eastAsia="Arial" w:cs="Arial"/>
          <w:szCs w:val="22"/>
        </w:rPr>
        <w:t xml:space="preserve"> </w:t>
      </w:r>
      <w:r w:rsidR="3607EC35" w:rsidRPr="00FB79E1">
        <w:rPr>
          <w:rFonts w:eastAsia="Arial" w:cs="Arial"/>
          <w:szCs w:val="22"/>
        </w:rPr>
        <w:t>Several</w:t>
      </w:r>
      <w:r w:rsidR="25CEB0AD" w:rsidRPr="00FB79E1">
        <w:rPr>
          <w:rFonts w:eastAsia="Arial" w:cs="Arial"/>
          <w:szCs w:val="22"/>
        </w:rPr>
        <w:t xml:space="preserve"> guidance papers have been published and consultations</w:t>
      </w:r>
      <w:r w:rsidR="25CEB0AD" w:rsidRPr="00EE59B9">
        <w:t xml:space="preserve"> continue to ensure continued safety and supply of medical devices during the </w:t>
      </w:r>
      <w:r w:rsidR="7901EB98" w:rsidRPr="00EE59B9">
        <w:t xml:space="preserve">medical device </w:t>
      </w:r>
      <w:r w:rsidR="25CEB0AD" w:rsidRPr="00EE59B9">
        <w:t>reforms and E</w:t>
      </w:r>
      <w:r w:rsidR="6996FD65" w:rsidRPr="00EE59B9">
        <w:t>uropean medical device regulation</w:t>
      </w:r>
      <w:r w:rsidR="25CEB0AD" w:rsidRPr="00EE59B9">
        <w:t xml:space="preserve"> transition period</w:t>
      </w:r>
      <w:r w:rsidR="005C598A">
        <w:t>.</w:t>
      </w:r>
      <w:r w:rsidR="00365F8B">
        <w:t xml:space="preserve"> </w:t>
      </w:r>
      <w:r w:rsidR="00761E01">
        <w:t>In March 2023,</w:t>
      </w:r>
      <w:r w:rsidR="00680093">
        <w:t xml:space="preserve"> the Government passed</w:t>
      </w:r>
      <w:r w:rsidR="00761E01">
        <w:t xml:space="preserve"> </w:t>
      </w:r>
      <w:r w:rsidR="00F60671">
        <w:t>legislat</w:t>
      </w:r>
      <w:r w:rsidR="00761E01">
        <w:t>ion</w:t>
      </w:r>
      <w:r w:rsidR="00F60671">
        <w:t xml:space="preserve"> </w:t>
      </w:r>
      <w:r w:rsidR="00375AD8">
        <w:t xml:space="preserve">making it </w:t>
      </w:r>
      <w:r w:rsidR="00A34F31">
        <w:t>mandatory for health</w:t>
      </w:r>
      <w:r w:rsidR="00F87FDD">
        <w:t xml:space="preserve"> </w:t>
      </w:r>
      <w:r w:rsidR="00A34F31">
        <w:t xml:space="preserve">care facilities to </w:t>
      </w:r>
      <w:r w:rsidR="00A34F31">
        <w:lastRenderedPageBreak/>
        <w:t>report medical device related adverse events to the TGA</w:t>
      </w:r>
      <w:r w:rsidR="00EC70DF">
        <w:t>.</w:t>
      </w:r>
      <w:r w:rsidR="00680093">
        <w:t xml:space="preserve"> This will improve our post-market surveillance of medical devices </w:t>
      </w:r>
      <w:r w:rsidR="007010B0">
        <w:t>and help to safeguard patient safety</w:t>
      </w:r>
      <w:r w:rsidR="00843C26">
        <w:t>.</w:t>
      </w:r>
    </w:p>
    <w:p w14:paraId="4A2749A1" w14:textId="73A0CE69" w:rsidR="0B322598" w:rsidRDefault="76B7E8AB" w:rsidP="00EE3BF1">
      <w:pPr>
        <w:spacing w:before="0" w:line="240" w:lineRule="auto"/>
      </w:pPr>
      <w:r>
        <w:t>Our compliance and</w:t>
      </w:r>
      <w:r w:rsidR="06748A50">
        <w:t xml:space="preserve"> </w:t>
      </w:r>
      <w:r>
        <w:t>enforcement actions on listed medicines has increased significantly from last year</w:t>
      </w:r>
      <w:r w:rsidR="00880BBB">
        <w:t>,</w:t>
      </w:r>
      <w:r>
        <w:t xml:space="preserve"> </w:t>
      </w:r>
      <w:r w:rsidR="08080EED">
        <w:t xml:space="preserve">and we have incorporated </w:t>
      </w:r>
      <w:r w:rsidR="7B77B904">
        <w:t>new</w:t>
      </w:r>
      <w:r w:rsidR="08080EED">
        <w:t xml:space="preserve"> intelligence </w:t>
      </w:r>
      <w:r w:rsidR="4B7E77DF">
        <w:t>approaches.</w:t>
      </w:r>
      <w:r>
        <w:t xml:space="preserve"> </w:t>
      </w:r>
      <w:r w:rsidR="1E54485C">
        <w:t xml:space="preserve">Internal and external </w:t>
      </w:r>
      <w:r w:rsidR="000E55C0">
        <w:t>information is</w:t>
      </w:r>
      <w:r w:rsidR="1E54485C">
        <w:t xml:space="preserve"> used to target investigations and reviews of listed medicines</w:t>
      </w:r>
      <w:r w:rsidR="00CB5B79">
        <w:t xml:space="preserve"> and maximise regulatory impact</w:t>
      </w:r>
      <w:r w:rsidR="1E54485C">
        <w:t xml:space="preserve">. A range of tools </w:t>
      </w:r>
      <w:r w:rsidR="000E55C0">
        <w:t xml:space="preserve">is </w:t>
      </w:r>
      <w:r w:rsidR="1E54485C">
        <w:t xml:space="preserve">used to encourage compliance, address </w:t>
      </w:r>
      <w:r w:rsidR="007E56BC">
        <w:t>c</w:t>
      </w:r>
      <w:r w:rsidR="009D6697">
        <w:t>ontraventions,</w:t>
      </w:r>
      <w:r w:rsidR="1E54485C">
        <w:t xml:space="preserve"> and </w:t>
      </w:r>
      <w:r w:rsidR="70D58469">
        <w:t xml:space="preserve">prevent breaches of the Act. This </w:t>
      </w:r>
      <w:r w:rsidR="000E55C0">
        <w:t xml:space="preserve">includes </w:t>
      </w:r>
      <w:r w:rsidR="70D58469">
        <w:t>education, working closely with stakeholder and other agencies</w:t>
      </w:r>
      <w:r w:rsidR="001F1669">
        <w:t>, and</w:t>
      </w:r>
      <w:r w:rsidR="70D58469">
        <w:t xml:space="preserve"> product cancellations and issuing of infringement notices</w:t>
      </w:r>
      <w:r w:rsidR="001F1669">
        <w:t xml:space="preserve"> where necessary</w:t>
      </w:r>
      <w:r w:rsidR="70D58469">
        <w:t>.</w:t>
      </w:r>
    </w:p>
    <w:p w14:paraId="11A26F51" w14:textId="6D5306CE" w:rsidR="009D6697" w:rsidRDefault="1ACB77CE" w:rsidP="00EE3BF1">
      <w:pPr>
        <w:spacing w:before="0" w:line="240" w:lineRule="auto"/>
        <w:rPr>
          <w:rFonts w:eastAsia="Arial" w:cs="Arial"/>
          <w:szCs w:val="22"/>
        </w:rPr>
      </w:pPr>
      <w:r w:rsidRPr="7928109B">
        <w:rPr>
          <w:rFonts w:eastAsia="Arial" w:cs="Arial"/>
          <w:szCs w:val="22"/>
        </w:rPr>
        <w:t xml:space="preserve">We </w:t>
      </w:r>
      <w:r w:rsidR="003D40E0">
        <w:rPr>
          <w:rFonts w:eastAsia="Arial" w:cs="Arial"/>
          <w:szCs w:val="22"/>
        </w:rPr>
        <w:t xml:space="preserve">have </w:t>
      </w:r>
      <w:r w:rsidRPr="7928109B">
        <w:rPr>
          <w:rFonts w:eastAsia="Arial" w:cs="Arial"/>
          <w:szCs w:val="22"/>
        </w:rPr>
        <w:t>developed a formal advertising compliance function for digital platforms</w:t>
      </w:r>
      <w:r w:rsidR="00D37C72">
        <w:rPr>
          <w:rFonts w:eastAsia="Arial" w:cs="Arial"/>
          <w:szCs w:val="22"/>
        </w:rPr>
        <w:t xml:space="preserve">, </w:t>
      </w:r>
      <w:r w:rsidRPr="7928109B">
        <w:rPr>
          <w:rFonts w:eastAsia="Arial" w:cs="Arial"/>
          <w:szCs w:val="22"/>
        </w:rPr>
        <w:t>including social media and e-commerce platforms</w:t>
      </w:r>
      <w:r w:rsidR="00D37C72">
        <w:rPr>
          <w:rFonts w:eastAsia="Arial" w:cs="Arial"/>
          <w:szCs w:val="22"/>
        </w:rPr>
        <w:t>,</w:t>
      </w:r>
      <w:r w:rsidR="006B0279" w:rsidRPr="7928109B">
        <w:rPr>
          <w:rFonts w:eastAsia="Arial" w:cs="Arial"/>
          <w:szCs w:val="22"/>
        </w:rPr>
        <w:t xml:space="preserve"> and</w:t>
      </w:r>
      <w:r w:rsidRPr="7928109B">
        <w:rPr>
          <w:rFonts w:eastAsia="Arial" w:cs="Arial"/>
          <w:szCs w:val="22"/>
        </w:rPr>
        <w:t xml:space="preserve"> made significant impacts on the unlawful advertising of </w:t>
      </w:r>
      <w:r w:rsidR="00D37C72">
        <w:rPr>
          <w:rFonts w:eastAsia="Arial" w:cs="Arial"/>
          <w:szCs w:val="22"/>
        </w:rPr>
        <w:t xml:space="preserve">nicotine-containing </w:t>
      </w:r>
      <w:r w:rsidR="00311146">
        <w:rPr>
          <w:rFonts w:eastAsia="Arial" w:cs="Arial"/>
          <w:szCs w:val="22"/>
        </w:rPr>
        <w:t xml:space="preserve">vapes </w:t>
      </w:r>
      <w:r w:rsidR="00E84F73" w:rsidRPr="7928109B">
        <w:rPr>
          <w:rFonts w:eastAsia="Arial" w:cs="Arial"/>
          <w:szCs w:val="22"/>
        </w:rPr>
        <w:t>and</w:t>
      </w:r>
      <w:r w:rsidRPr="7928109B">
        <w:rPr>
          <w:rFonts w:eastAsia="Arial" w:cs="Arial"/>
          <w:szCs w:val="22"/>
        </w:rPr>
        <w:t xml:space="preserve"> other therapeutic goods. </w:t>
      </w:r>
    </w:p>
    <w:p w14:paraId="7CCAFBEA" w14:textId="3314352F" w:rsidR="0B322598" w:rsidRDefault="5C9C2E9B" w:rsidP="00EE3BF1">
      <w:pPr>
        <w:spacing w:before="0" w:line="240" w:lineRule="auto"/>
      </w:pPr>
      <w:r>
        <w:t>Looking ahead, t</w:t>
      </w:r>
      <w:r w:rsidR="5AC7B69B">
        <w:t>he r</w:t>
      </w:r>
      <w:r w:rsidR="75AC229D">
        <w:t xml:space="preserve">egulation of </w:t>
      </w:r>
      <w:r w:rsidR="00311146">
        <w:t>vapes</w:t>
      </w:r>
      <w:r w:rsidR="75AC229D">
        <w:t xml:space="preserve"> </w:t>
      </w:r>
      <w:r w:rsidR="52F73BCD">
        <w:t>will be an important</w:t>
      </w:r>
      <w:r w:rsidR="21A17B52">
        <w:t xml:space="preserve"> focus for the TGA</w:t>
      </w:r>
      <w:r w:rsidR="680D2172">
        <w:t xml:space="preserve"> in 2023-24</w:t>
      </w:r>
      <w:r w:rsidR="2E12431F">
        <w:t xml:space="preserve"> and beyond</w:t>
      </w:r>
      <w:r w:rsidR="75AC229D">
        <w:t xml:space="preserve">. </w:t>
      </w:r>
      <w:r w:rsidR="00114988">
        <w:t xml:space="preserve">On 2 May 2023, </w:t>
      </w:r>
      <w:r w:rsidR="00997581">
        <w:t xml:space="preserve">following TGA consultation on the issue, </w:t>
      </w:r>
      <w:r w:rsidR="00114988">
        <w:t xml:space="preserve">the Minister for Health and </w:t>
      </w:r>
      <w:r w:rsidR="000956CD">
        <w:t xml:space="preserve">Aged Care </w:t>
      </w:r>
      <w:r w:rsidR="00114988">
        <w:t xml:space="preserve">announced significant proposed reforms to the regulation of all vapes. </w:t>
      </w:r>
      <w:r w:rsidR="07B8E729">
        <w:t>These reforms</w:t>
      </w:r>
      <w:r w:rsidR="00B27042">
        <w:t xml:space="preserve"> will be implem</w:t>
      </w:r>
      <w:r w:rsidR="007F6BAC">
        <w:t>en</w:t>
      </w:r>
      <w:r w:rsidR="00B27042">
        <w:t>ted ove</w:t>
      </w:r>
      <w:r w:rsidR="009C2B92">
        <w:t>r</w:t>
      </w:r>
      <w:r w:rsidR="00B27042">
        <w:t xml:space="preserve"> the course of 2024 and</w:t>
      </w:r>
      <w:r w:rsidR="07B8E729">
        <w:t xml:space="preserve"> aim to</w:t>
      </w:r>
      <w:r w:rsidR="75AC229D">
        <w:t xml:space="preserve"> </w:t>
      </w:r>
      <w:r w:rsidR="717CBA86">
        <w:t xml:space="preserve">prohibit </w:t>
      </w:r>
      <w:r w:rsidR="75AC229D">
        <w:t xml:space="preserve">the importation, </w:t>
      </w:r>
      <w:r w:rsidR="7BE470CB">
        <w:t>manufacture,</w:t>
      </w:r>
      <w:r w:rsidR="75AC229D">
        <w:t xml:space="preserve"> </w:t>
      </w:r>
      <w:r w:rsidR="007A58CC">
        <w:t xml:space="preserve">advertising </w:t>
      </w:r>
      <w:r w:rsidR="75AC229D">
        <w:t xml:space="preserve">and supply of </w:t>
      </w:r>
      <w:r w:rsidR="00115F0C">
        <w:t xml:space="preserve">non-therapeutic </w:t>
      </w:r>
      <w:r w:rsidR="75AC229D">
        <w:t xml:space="preserve">and disposable vapes, increase </w:t>
      </w:r>
      <w:r w:rsidR="007A58CC">
        <w:t>regulatory requirements for unapproved</w:t>
      </w:r>
      <w:r w:rsidR="75AC229D">
        <w:t xml:space="preserve"> </w:t>
      </w:r>
      <w:r w:rsidR="002A2ADA">
        <w:t>therapeutic vapes</w:t>
      </w:r>
      <w:r w:rsidR="00341D8F">
        <w:t>, and maintain legitimate patient access t</w:t>
      </w:r>
      <w:r w:rsidR="007E56BC">
        <w:t>o</w:t>
      </w:r>
      <w:r w:rsidR="00341D8F">
        <w:t xml:space="preserve"> therapeutic vapes for smoking cessation and the treatment of nicotine dependence.</w:t>
      </w:r>
    </w:p>
    <w:p w14:paraId="6E7CBD56" w14:textId="47B3D2EE" w:rsidR="1B736DB0" w:rsidRDefault="1B736DB0" w:rsidP="00EE3BF1">
      <w:pPr>
        <w:spacing w:before="0" w:line="240" w:lineRule="auto"/>
      </w:pPr>
      <w:r>
        <w:t>2023-24 will be an exciting and challenging time for therapeutic goods regulation, with some prominent advancements</w:t>
      </w:r>
      <w:r w:rsidR="1AEF3B8E">
        <w:t xml:space="preserve"> in </w:t>
      </w:r>
      <w:r w:rsidR="41E54F8A">
        <w:t>many</w:t>
      </w:r>
      <w:r w:rsidR="1AEF3B8E">
        <w:t xml:space="preserve"> areas</w:t>
      </w:r>
      <w:r w:rsidR="47E5C39B">
        <w:t>. We</w:t>
      </w:r>
      <w:r w:rsidR="09C01BDB">
        <w:t xml:space="preserve"> will</w:t>
      </w:r>
      <w:r w:rsidR="47E5C39B">
        <w:t xml:space="preserve"> </w:t>
      </w:r>
      <w:r w:rsidR="332F537E">
        <w:t>continue to</w:t>
      </w:r>
      <w:r w:rsidR="47E5C39B">
        <w:t xml:space="preserve"> closely monitor and respond to </w:t>
      </w:r>
      <w:r w:rsidR="3D346860">
        <w:t>all</w:t>
      </w:r>
      <w:r w:rsidR="3D7EA8D4">
        <w:t xml:space="preserve"> new</w:t>
      </w:r>
      <w:r w:rsidR="47E5C39B">
        <w:t xml:space="preserve"> developments and </w:t>
      </w:r>
      <w:r w:rsidR="5190D4F1">
        <w:t>work with the medical products sector</w:t>
      </w:r>
      <w:r w:rsidR="00267F74">
        <w:t>, the community</w:t>
      </w:r>
      <w:r w:rsidR="7AA76DF6">
        <w:t xml:space="preserve"> and other stakeholders</w:t>
      </w:r>
      <w:r w:rsidR="5190D4F1">
        <w:t xml:space="preserve"> to </w:t>
      </w:r>
      <w:r w:rsidR="288B3F92">
        <w:t>make informed regulatory decisions that</w:t>
      </w:r>
      <w:r w:rsidR="5190D4F1">
        <w:t xml:space="preserve"> </w:t>
      </w:r>
      <w:r w:rsidR="5F84BE1B">
        <w:t>ensure</w:t>
      </w:r>
      <w:r w:rsidR="47E5C39B">
        <w:t xml:space="preserve"> </w:t>
      </w:r>
      <w:r w:rsidR="7F647EA0">
        <w:t>therapeutic goods</w:t>
      </w:r>
      <w:r w:rsidR="68BA68A0">
        <w:t xml:space="preserve"> </w:t>
      </w:r>
      <w:r w:rsidR="3C9DFCDB">
        <w:t>have a</w:t>
      </w:r>
      <w:r w:rsidR="76100A1D">
        <w:t xml:space="preserve"> </w:t>
      </w:r>
      <w:r w:rsidR="3C9DFCDB">
        <w:t xml:space="preserve">positive impact </w:t>
      </w:r>
      <w:r w:rsidR="47E5C39B">
        <w:t xml:space="preserve">on the health of Australians. </w:t>
      </w:r>
    </w:p>
    <w:p w14:paraId="72C4A152" w14:textId="77777777" w:rsidR="005464D6" w:rsidRDefault="005464D6" w:rsidP="0B322598">
      <w:pPr>
        <w:spacing w:before="0" w:after="0" w:line="240" w:lineRule="auto"/>
      </w:pPr>
    </w:p>
    <w:p w14:paraId="1CE491CF" w14:textId="640C5A83" w:rsidR="5DF37493" w:rsidRDefault="5DF37493" w:rsidP="23B264BB">
      <w:pPr>
        <w:rPr>
          <w:b/>
          <w:bCs/>
        </w:rPr>
      </w:pPr>
      <w:r w:rsidRPr="006B0279">
        <w:rPr>
          <w:b/>
          <w:bCs/>
        </w:rPr>
        <w:t xml:space="preserve">Professor Anthony Lawler </w:t>
      </w:r>
    </w:p>
    <w:p w14:paraId="19C01A2E" w14:textId="1937FB6B" w:rsidR="00BE0406" w:rsidRDefault="00BE0406" w:rsidP="23B264BB">
      <w:pPr>
        <w:rPr>
          <w:b/>
          <w:bCs/>
        </w:rPr>
      </w:pPr>
      <w:r>
        <w:rPr>
          <w:b/>
          <w:bCs/>
        </w:rPr>
        <w:t>Deputy Secretary</w:t>
      </w:r>
    </w:p>
    <w:p w14:paraId="7E26DD56" w14:textId="3A8F75FA" w:rsidR="00BE0406" w:rsidRPr="006B0279" w:rsidRDefault="00BE0406" w:rsidP="23B264BB">
      <w:pPr>
        <w:rPr>
          <w:b/>
          <w:bCs/>
        </w:rPr>
      </w:pPr>
      <w:r>
        <w:rPr>
          <w:b/>
          <w:bCs/>
        </w:rPr>
        <w:t>Health Products Regulation Group</w:t>
      </w:r>
    </w:p>
    <w:p w14:paraId="1D34F37A" w14:textId="77777777" w:rsidR="009E2274" w:rsidRDefault="009E2274">
      <w:pPr>
        <w:rPr>
          <w:rFonts w:asciiTheme="minorHAnsi" w:hAnsiTheme="minorHAnsi" w:cstheme="minorHAnsi"/>
          <w:b/>
          <w:bCs/>
          <w:sz w:val="28"/>
          <w:szCs w:val="28"/>
        </w:rPr>
      </w:pPr>
      <w:r w:rsidRPr="65B420D7">
        <w:rPr>
          <w:rFonts w:asciiTheme="minorHAnsi" w:hAnsiTheme="minorHAnsi" w:cstheme="minorBidi"/>
          <w:b/>
          <w:bCs/>
          <w:sz w:val="28"/>
          <w:szCs w:val="28"/>
        </w:rPr>
        <w:br w:type="page"/>
      </w:r>
    </w:p>
    <w:sdt>
      <w:sdtPr>
        <w:rPr>
          <w:rFonts w:eastAsiaTheme="minorHAnsi" w:cs="Times New Roman"/>
          <w:b w:val="0"/>
          <w:color w:val="auto"/>
          <w:sz w:val="22"/>
          <w:szCs w:val="24"/>
          <w:lang w:val="en-AU"/>
        </w:rPr>
        <w:id w:val="1700773895"/>
        <w:docPartObj>
          <w:docPartGallery w:val="Table of Contents"/>
          <w:docPartUnique/>
        </w:docPartObj>
      </w:sdtPr>
      <w:sdtEndPr/>
      <w:sdtContent>
        <w:p w14:paraId="28BB4C0F" w14:textId="32A76BE8" w:rsidR="00AE1040" w:rsidRDefault="1C1EC252">
          <w:pPr>
            <w:pStyle w:val="TOCHeading"/>
          </w:pPr>
          <w:r>
            <w:t>Contents</w:t>
          </w:r>
        </w:p>
        <w:p w14:paraId="24DC0C72" w14:textId="18F8705D" w:rsidR="00780BC6" w:rsidRDefault="003E4A03">
          <w:pPr>
            <w:pStyle w:val="TOC1"/>
            <w:rPr>
              <w:rFonts w:asciiTheme="minorHAnsi" w:eastAsiaTheme="minorEastAsia" w:hAnsiTheme="minorHAnsi" w:cstheme="minorBidi"/>
              <w:b w:val="0"/>
              <w:bCs w:val="0"/>
              <w:szCs w:val="22"/>
              <w:lang w:eastAsia="en-AU"/>
            </w:rPr>
          </w:pPr>
          <w:r>
            <w:fldChar w:fldCharType="begin"/>
          </w:r>
          <w:r w:rsidR="00AE1040">
            <w:instrText>TOC \o "1-3" \h \z \u</w:instrText>
          </w:r>
          <w:r>
            <w:fldChar w:fldCharType="separate"/>
          </w:r>
          <w:hyperlink w:anchor="_Toc153550365" w:history="1">
            <w:r w:rsidR="00780BC6" w:rsidRPr="00431E4D">
              <w:rPr>
                <w:rStyle w:val="Hyperlink"/>
              </w:rPr>
              <w:t>Message from the Deputy Secretary</w:t>
            </w:r>
            <w:r w:rsidR="00780BC6">
              <w:rPr>
                <w:webHidden/>
              </w:rPr>
              <w:tab/>
            </w:r>
            <w:r w:rsidR="00780BC6">
              <w:rPr>
                <w:webHidden/>
              </w:rPr>
              <w:fldChar w:fldCharType="begin"/>
            </w:r>
            <w:r w:rsidR="00780BC6">
              <w:rPr>
                <w:webHidden/>
              </w:rPr>
              <w:instrText xml:space="preserve"> PAGEREF _Toc153550365 \h </w:instrText>
            </w:r>
            <w:r w:rsidR="00780BC6">
              <w:rPr>
                <w:webHidden/>
              </w:rPr>
            </w:r>
            <w:r w:rsidR="00780BC6">
              <w:rPr>
                <w:webHidden/>
              </w:rPr>
              <w:fldChar w:fldCharType="separate"/>
            </w:r>
            <w:r w:rsidR="00416739">
              <w:rPr>
                <w:webHidden/>
              </w:rPr>
              <w:t>2</w:t>
            </w:r>
            <w:r w:rsidR="00780BC6">
              <w:rPr>
                <w:webHidden/>
              </w:rPr>
              <w:fldChar w:fldCharType="end"/>
            </w:r>
          </w:hyperlink>
        </w:p>
        <w:p w14:paraId="28D63886" w14:textId="5CD735A4" w:rsidR="00780BC6" w:rsidRDefault="00AD6673">
          <w:pPr>
            <w:pStyle w:val="TOC1"/>
            <w:rPr>
              <w:rFonts w:asciiTheme="minorHAnsi" w:eastAsiaTheme="minorEastAsia" w:hAnsiTheme="minorHAnsi" w:cstheme="minorBidi"/>
              <w:b w:val="0"/>
              <w:bCs w:val="0"/>
              <w:szCs w:val="22"/>
              <w:lang w:eastAsia="en-AU"/>
            </w:rPr>
          </w:pPr>
          <w:hyperlink w:anchor="_Toc153550366" w:history="1">
            <w:r w:rsidR="00780BC6" w:rsidRPr="00431E4D">
              <w:rPr>
                <w:rStyle w:val="Hyperlink"/>
              </w:rPr>
              <w:t>Our purpose</w:t>
            </w:r>
            <w:r w:rsidR="00780BC6">
              <w:rPr>
                <w:webHidden/>
              </w:rPr>
              <w:tab/>
            </w:r>
            <w:r w:rsidR="00780BC6">
              <w:rPr>
                <w:webHidden/>
              </w:rPr>
              <w:fldChar w:fldCharType="begin"/>
            </w:r>
            <w:r w:rsidR="00780BC6">
              <w:rPr>
                <w:webHidden/>
              </w:rPr>
              <w:instrText xml:space="preserve"> PAGEREF _Toc153550366 \h </w:instrText>
            </w:r>
            <w:r w:rsidR="00780BC6">
              <w:rPr>
                <w:webHidden/>
              </w:rPr>
            </w:r>
            <w:r w:rsidR="00780BC6">
              <w:rPr>
                <w:webHidden/>
              </w:rPr>
              <w:fldChar w:fldCharType="separate"/>
            </w:r>
            <w:r w:rsidR="00416739">
              <w:rPr>
                <w:webHidden/>
              </w:rPr>
              <w:t>8</w:t>
            </w:r>
            <w:r w:rsidR="00780BC6">
              <w:rPr>
                <w:webHidden/>
              </w:rPr>
              <w:fldChar w:fldCharType="end"/>
            </w:r>
          </w:hyperlink>
        </w:p>
        <w:p w14:paraId="3D432E9E" w14:textId="1D8AA782" w:rsidR="00780BC6" w:rsidRDefault="00AD6673">
          <w:pPr>
            <w:pStyle w:val="TOC1"/>
            <w:rPr>
              <w:rFonts w:asciiTheme="minorHAnsi" w:eastAsiaTheme="minorEastAsia" w:hAnsiTheme="minorHAnsi" w:cstheme="minorBidi"/>
              <w:b w:val="0"/>
              <w:bCs w:val="0"/>
              <w:szCs w:val="22"/>
              <w:lang w:eastAsia="en-AU"/>
            </w:rPr>
          </w:pPr>
          <w:hyperlink w:anchor="_Toc153550367" w:history="1">
            <w:r w:rsidR="00780BC6" w:rsidRPr="00431E4D">
              <w:rPr>
                <w:rStyle w:val="Hyperlink"/>
              </w:rPr>
              <w:t>Our vision</w:t>
            </w:r>
            <w:r w:rsidR="00780BC6">
              <w:rPr>
                <w:webHidden/>
              </w:rPr>
              <w:tab/>
            </w:r>
            <w:r w:rsidR="00780BC6">
              <w:rPr>
                <w:webHidden/>
              </w:rPr>
              <w:fldChar w:fldCharType="begin"/>
            </w:r>
            <w:r w:rsidR="00780BC6">
              <w:rPr>
                <w:webHidden/>
              </w:rPr>
              <w:instrText xml:space="preserve"> PAGEREF _Toc153550367 \h </w:instrText>
            </w:r>
            <w:r w:rsidR="00780BC6">
              <w:rPr>
                <w:webHidden/>
              </w:rPr>
            </w:r>
            <w:r w:rsidR="00780BC6">
              <w:rPr>
                <w:webHidden/>
              </w:rPr>
              <w:fldChar w:fldCharType="separate"/>
            </w:r>
            <w:r w:rsidR="00416739">
              <w:rPr>
                <w:webHidden/>
              </w:rPr>
              <w:t>8</w:t>
            </w:r>
            <w:r w:rsidR="00780BC6">
              <w:rPr>
                <w:webHidden/>
              </w:rPr>
              <w:fldChar w:fldCharType="end"/>
            </w:r>
          </w:hyperlink>
        </w:p>
        <w:p w14:paraId="5560373E" w14:textId="5D69A55E" w:rsidR="00780BC6" w:rsidRDefault="00AD6673">
          <w:pPr>
            <w:pStyle w:val="TOC1"/>
            <w:rPr>
              <w:rFonts w:asciiTheme="minorHAnsi" w:eastAsiaTheme="minorEastAsia" w:hAnsiTheme="minorHAnsi" w:cstheme="minorBidi"/>
              <w:b w:val="0"/>
              <w:bCs w:val="0"/>
              <w:szCs w:val="22"/>
              <w:lang w:eastAsia="en-AU"/>
            </w:rPr>
          </w:pPr>
          <w:hyperlink w:anchor="_Toc153550368" w:history="1">
            <w:r w:rsidR="00780BC6" w:rsidRPr="00431E4D">
              <w:rPr>
                <w:rStyle w:val="Hyperlink"/>
              </w:rPr>
              <w:t>Our strategic framework</w:t>
            </w:r>
            <w:r w:rsidR="00780BC6">
              <w:rPr>
                <w:webHidden/>
              </w:rPr>
              <w:tab/>
            </w:r>
            <w:r w:rsidR="00780BC6">
              <w:rPr>
                <w:webHidden/>
              </w:rPr>
              <w:fldChar w:fldCharType="begin"/>
            </w:r>
            <w:r w:rsidR="00780BC6">
              <w:rPr>
                <w:webHidden/>
              </w:rPr>
              <w:instrText xml:space="preserve"> PAGEREF _Toc153550368 \h </w:instrText>
            </w:r>
            <w:r w:rsidR="00780BC6">
              <w:rPr>
                <w:webHidden/>
              </w:rPr>
            </w:r>
            <w:r w:rsidR="00780BC6">
              <w:rPr>
                <w:webHidden/>
              </w:rPr>
              <w:fldChar w:fldCharType="separate"/>
            </w:r>
            <w:r w:rsidR="00416739">
              <w:rPr>
                <w:webHidden/>
              </w:rPr>
              <w:t>8</w:t>
            </w:r>
            <w:r w:rsidR="00780BC6">
              <w:rPr>
                <w:webHidden/>
              </w:rPr>
              <w:fldChar w:fldCharType="end"/>
            </w:r>
          </w:hyperlink>
        </w:p>
        <w:p w14:paraId="6734292D" w14:textId="12D30152" w:rsidR="00780BC6" w:rsidRDefault="00AD6673">
          <w:pPr>
            <w:pStyle w:val="TOC1"/>
            <w:rPr>
              <w:rFonts w:asciiTheme="minorHAnsi" w:eastAsiaTheme="minorEastAsia" w:hAnsiTheme="minorHAnsi" w:cstheme="minorBidi"/>
              <w:b w:val="0"/>
              <w:bCs w:val="0"/>
              <w:szCs w:val="22"/>
              <w:lang w:eastAsia="en-AU"/>
            </w:rPr>
          </w:pPr>
          <w:hyperlink w:anchor="_Toc153550369" w:history="1">
            <w:r w:rsidR="00780BC6" w:rsidRPr="00431E4D">
              <w:rPr>
                <w:rStyle w:val="Hyperlink"/>
              </w:rPr>
              <w:t>Introduction</w:t>
            </w:r>
            <w:r w:rsidR="00780BC6">
              <w:rPr>
                <w:webHidden/>
              </w:rPr>
              <w:tab/>
            </w:r>
            <w:r w:rsidR="00780BC6">
              <w:rPr>
                <w:webHidden/>
              </w:rPr>
              <w:fldChar w:fldCharType="begin"/>
            </w:r>
            <w:r w:rsidR="00780BC6">
              <w:rPr>
                <w:webHidden/>
              </w:rPr>
              <w:instrText xml:space="preserve"> PAGEREF _Toc153550369 \h </w:instrText>
            </w:r>
            <w:r w:rsidR="00780BC6">
              <w:rPr>
                <w:webHidden/>
              </w:rPr>
            </w:r>
            <w:r w:rsidR="00780BC6">
              <w:rPr>
                <w:webHidden/>
              </w:rPr>
              <w:fldChar w:fldCharType="separate"/>
            </w:r>
            <w:r w:rsidR="00416739">
              <w:rPr>
                <w:webHidden/>
              </w:rPr>
              <w:t>9</w:t>
            </w:r>
            <w:r w:rsidR="00780BC6">
              <w:rPr>
                <w:webHidden/>
              </w:rPr>
              <w:fldChar w:fldCharType="end"/>
            </w:r>
          </w:hyperlink>
        </w:p>
        <w:p w14:paraId="571C9384" w14:textId="3F82D7B4" w:rsidR="00780BC6" w:rsidRDefault="00AD6673">
          <w:pPr>
            <w:pStyle w:val="TOC2"/>
            <w:rPr>
              <w:rFonts w:asciiTheme="minorHAnsi" w:eastAsiaTheme="minorEastAsia" w:hAnsiTheme="minorHAnsi" w:cstheme="minorBidi"/>
              <w:noProof/>
              <w:szCs w:val="22"/>
              <w:lang w:eastAsia="en-AU"/>
            </w:rPr>
          </w:pPr>
          <w:hyperlink w:anchor="_Toc153550370" w:history="1">
            <w:r w:rsidR="00780BC6" w:rsidRPr="00431E4D">
              <w:rPr>
                <w:rStyle w:val="Hyperlink"/>
                <w:noProof/>
              </w:rPr>
              <w:t>Structure of this report</w:t>
            </w:r>
            <w:r w:rsidR="00780BC6">
              <w:rPr>
                <w:noProof/>
                <w:webHidden/>
              </w:rPr>
              <w:tab/>
            </w:r>
            <w:r w:rsidR="00780BC6">
              <w:rPr>
                <w:noProof/>
                <w:webHidden/>
              </w:rPr>
              <w:fldChar w:fldCharType="begin"/>
            </w:r>
            <w:r w:rsidR="00780BC6">
              <w:rPr>
                <w:noProof/>
                <w:webHidden/>
              </w:rPr>
              <w:instrText xml:space="preserve"> PAGEREF _Toc153550370 \h </w:instrText>
            </w:r>
            <w:r w:rsidR="00780BC6">
              <w:rPr>
                <w:noProof/>
                <w:webHidden/>
              </w:rPr>
            </w:r>
            <w:r w:rsidR="00780BC6">
              <w:rPr>
                <w:noProof/>
                <w:webHidden/>
              </w:rPr>
              <w:fldChar w:fldCharType="separate"/>
            </w:r>
            <w:r w:rsidR="00416739">
              <w:rPr>
                <w:noProof/>
                <w:webHidden/>
              </w:rPr>
              <w:t>9</w:t>
            </w:r>
            <w:r w:rsidR="00780BC6">
              <w:rPr>
                <w:noProof/>
                <w:webHidden/>
              </w:rPr>
              <w:fldChar w:fldCharType="end"/>
            </w:r>
          </w:hyperlink>
        </w:p>
        <w:p w14:paraId="7E540591" w14:textId="001D1720" w:rsidR="00780BC6" w:rsidRDefault="00AD6673">
          <w:pPr>
            <w:pStyle w:val="TOC1"/>
            <w:rPr>
              <w:rFonts w:asciiTheme="minorHAnsi" w:eastAsiaTheme="minorEastAsia" w:hAnsiTheme="minorHAnsi" w:cstheme="minorBidi"/>
              <w:b w:val="0"/>
              <w:bCs w:val="0"/>
              <w:szCs w:val="22"/>
              <w:lang w:eastAsia="en-AU"/>
            </w:rPr>
          </w:pPr>
          <w:hyperlink w:anchor="_Toc153550371" w:history="1">
            <w:r w:rsidR="00780BC6" w:rsidRPr="00431E4D">
              <w:rPr>
                <w:rStyle w:val="Hyperlink"/>
              </w:rPr>
              <w:t>Strategic objective 1 – Improve public health outcomes through regulation</w:t>
            </w:r>
            <w:r w:rsidR="00780BC6">
              <w:rPr>
                <w:webHidden/>
              </w:rPr>
              <w:tab/>
            </w:r>
            <w:r w:rsidR="00780BC6">
              <w:rPr>
                <w:webHidden/>
              </w:rPr>
              <w:fldChar w:fldCharType="begin"/>
            </w:r>
            <w:r w:rsidR="00780BC6">
              <w:rPr>
                <w:webHidden/>
              </w:rPr>
              <w:instrText xml:space="preserve"> PAGEREF _Toc153550371 \h </w:instrText>
            </w:r>
            <w:r w:rsidR="00780BC6">
              <w:rPr>
                <w:webHidden/>
              </w:rPr>
            </w:r>
            <w:r w:rsidR="00780BC6">
              <w:rPr>
                <w:webHidden/>
              </w:rPr>
              <w:fldChar w:fldCharType="separate"/>
            </w:r>
            <w:r w:rsidR="00416739">
              <w:rPr>
                <w:webHidden/>
              </w:rPr>
              <w:t>11</w:t>
            </w:r>
            <w:r w:rsidR="00780BC6">
              <w:rPr>
                <w:webHidden/>
              </w:rPr>
              <w:fldChar w:fldCharType="end"/>
            </w:r>
          </w:hyperlink>
        </w:p>
        <w:p w14:paraId="78668AFA" w14:textId="697BE898" w:rsidR="00780BC6" w:rsidRDefault="00AD6673">
          <w:pPr>
            <w:pStyle w:val="TOC2"/>
            <w:rPr>
              <w:rFonts w:asciiTheme="minorHAnsi" w:eastAsiaTheme="minorEastAsia" w:hAnsiTheme="minorHAnsi" w:cstheme="minorBidi"/>
              <w:noProof/>
              <w:szCs w:val="22"/>
              <w:lang w:eastAsia="en-AU"/>
            </w:rPr>
          </w:pPr>
          <w:hyperlink w:anchor="_Toc153550372" w:history="1">
            <w:r w:rsidR="00780BC6" w:rsidRPr="00431E4D">
              <w:rPr>
                <w:rStyle w:val="Hyperlink"/>
                <w:noProof/>
              </w:rPr>
              <w:t>Performance Indicators</w:t>
            </w:r>
            <w:r w:rsidR="00780BC6">
              <w:rPr>
                <w:noProof/>
                <w:webHidden/>
              </w:rPr>
              <w:tab/>
            </w:r>
            <w:r w:rsidR="00780BC6">
              <w:rPr>
                <w:noProof/>
                <w:webHidden/>
              </w:rPr>
              <w:fldChar w:fldCharType="begin"/>
            </w:r>
            <w:r w:rsidR="00780BC6">
              <w:rPr>
                <w:noProof/>
                <w:webHidden/>
              </w:rPr>
              <w:instrText xml:space="preserve"> PAGEREF _Toc153550372 \h </w:instrText>
            </w:r>
            <w:r w:rsidR="00780BC6">
              <w:rPr>
                <w:noProof/>
                <w:webHidden/>
              </w:rPr>
            </w:r>
            <w:r w:rsidR="00780BC6">
              <w:rPr>
                <w:noProof/>
                <w:webHidden/>
              </w:rPr>
              <w:fldChar w:fldCharType="separate"/>
            </w:r>
            <w:r w:rsidR="00416739">
              <w:rPr>
                <w:noProof/>
                <w:webHidden/>
              </w:rPr>
              <w:t>11</w:t>
            </w:r>
            <w:r w:rsidR="00780BC6">
              <w:rPr>
                <w:noProof/>
                <w:webHidden/>
              </w:rPr>
              <w:fldChar w:fldCharType="end"/>
            </w:r>
          </w:hyperlink>
        </w:p>
        <w:p w14:paraId="10EE8A0A" w14:textId="5D6F042C" w:rsidR="00780BC6" w:rsidRDefault="00AD6673">
          <w:pPr>
            <w:pStyle w:val="TOC3"/>
            <w:rPr>
              <w:rFonts w:asciiTheme="minorHAnsi" w:eastAsiaTheme="minorEastAsia" w:hAnsiTheme="minorHAnsi" w:cstheme="minorBidi"/>
              <w:noProof/>
              <w:szCs w:val="22"/>
              <w:lang w:eastAsia="en-AU"/>
            </w:rPr>
          </w:pPr>
          <w:hyperlink w:anchor="_Toc153550373" w:history="1">
            <w:r w:rsidR="00780BC6" w:rsidRPr="00431E4D">
              <w:rPr>
                <w:rStyle w:val="Hyperlink"/>
                <w:noProof/>
              </w:rPr>
              <w:t>Insights from the TGA Stakeholder Survey</w:t>
            </w:r>
            <w:r w:rsidR="00780BC6">
              <w:rPr>
                <w:noProof/>
                <w:webHidden/>
              </w:rPr>
              <w:tab/>
            </w:r>
            <w:r w:rsidR="00780BC6">
              <w:rPr>
                <w:noProof/>
                <w:webHidden/>
              </w:rPr>
              <w:fldChar w:fldCharType="begin"/>
            </w:r>
            <w:r w:rsidR="00780BC6">
              <w:rPr>
                <w:noProof/>
                <w:webHidden/>
              </w:rPr>
              <w:instrText xml:space="preserve"> PAGEREF _Toc153550373 \h </w:instrText>
            </w:r>
            <w:r w:rsidR="00780BC6">
              <w:rPr>
                <w:noProof/>
                <w:webHidden/>
              </w:rPr>
            </w:r>
            <w:r w:rsidR="00780BC6">
              <w:rPr>
                <w:noProof/>
                <w:webHidden/>
              </w:rPr>
              <w:fldChar w:fldCharType="separate"/>
            </w:r>
            <w:r w:rsidR="00416739">
              <w:rPr>
                <w:noProof/>
                <w:webHidden/>
              </w:rPr>
              <w:t>11</w:t>
            </w:r>
            <w:r w:rsidR="00780BC6">
              <w:rPr>
                <w:noProof/>
                <w:webHidden/>
              </w:rPr>
              <w:fldChar w:fldCharType="end"/>
            </w:r>
          </w:hyperlink>
        </w:p>
        <w:p w14:paraId="2A3266CB" w14:textId="16FD15AA" w:rsidR="00780BC6" w:rsidRDefault="00AD6673">
          <w:pPr>
            <w:pStyle w:val="TOC2"/>
            <w:rPr>
              <w:rFonts w:asciiTheme="minorHAnsi" w:eastAsiaTheme="minorEastAsia" w:hAnsiTheme="minorHAnsi" w:cstheme="minorBidi"/>
              <w:noProof/>
              <w:szCs w:val="22"/>
              <w:lang w:eastAsia="en-AU"/>
            </w:rPr>
          </w:pPr>
          <w:hyperlink w:anchor="_Toc153550374" w:history="1">
            <w:r w:rsidR="00780BC6" w:rsidRPr="00431E4D">
              <w:rPr>
                <w:rStyle w:val="Hyperlink"/>
                <w:noProof/>
              </w:rPr>
              <w:t>Prioritising evaluations and post market safety and performance monitoring of COVID-19 related products</w:t>
            </w:r>
            <w:r w:rsidR="00780BC6">
              <w:rPr>
                <w:noProof/>
                <w:webHidden/>
              </w:rPr>
              <w:tab/>
            </w:r>
            <w:r w:rsidR="00780BC6">
              <w:rPr>
                <w:noProof/>
                <w:webHidden/>
              </w:rPr>
              <w:fldChar w:fldCharType="begin"/>
            </w:r>
            <w:r w:rsidR="00780BC6">
              <w:rPr>
                <w:noProof/>
                <w:webHidden/>
              </w:rPr>
              <w:instrText xml:space="preserve"> PAGEREF _Toc153550374 \h </w:instrText>
            </w:r>
            <w:r w:rsidR="00780BC6">
              <w:rPr>
                <w:noProof/>
                <w:webHidden/>
              </w:rPr>
            </w:r>
            <w:r w:rsidR="00780BC6">
              <w:rPr>
                <w:noProof/>
                <w:webHidden/>
              </w:rPr>
              <w:fldChar w:fldCharType="separate"/>
            </w:r>
            <w:r w:rsidR="00416739">
              <w:rPr>
                <w:noProof/>
                <w:webHidden/>
              </w:rPr>
              <w:t>11</w:t>
            </w:r>
            <w:r w:rsidR="00780BC6">
              <w:rPr>
                <w:noProof/>
                <w:webHidden/>
              </w:rPr>
              <w:fldChar w:fldCharType="end"/>
            </w:r>
          </w:hyperlink>
        </w:p>
        <w:p w14:paraId="6A9E4652" w14:textId="4A2BCE92" w:rsidR="00780BC6" w:rsidRDefault="00AD6673">
          <w:pPr>
            <w:pStyle w:val="TOC2"/>
            <w:rPr>
              <w:rFonts w:asciiTheme="minorHAnsi" w:eastAsiaTheme="minorEastAsia" w:hAnsiTheme="minorHAnsi" w:cstheme="minorBidi"/>
              <w:noProof/>
              <w:szCs w:val="22"/>
              <w:lang w:eastAsia="en-AU"/>
            </w:rPr>
          </w:pPr>
          <w:hyperlink w:anchor="_Toc153550375" w:history="1">
            <w:r w:rsidR="00780BC6" w:rsidRPr="00431E4D">
              <w:rPr>
                <w:rStyle w:val="Hyperlink"/>
                <w:noProof/>
              </w:rPr>
              <w:t>Reforms of medicinal cannabis products</w:t>
            </w:r>
            <w:r w:rsidR="00780BC6">
              <w:rPr>
                <w:noProof/>
                <w:webHidden/>
              </w:rPr>
              <w:tab/>
            </w:r>
            <w:r w:rsidR="00780BC6">
              <w:rPr>
                <w:noProof/>
                <w:webHidden/>
              </w:rPr>
              <w:fldChar w:fldCharType="begin"/>
            </w:r>
            <w:r w:rsidR="00780BC6">
              <w:rPr>
                <w:noProof/>
                <w:webHidden/>
              </w:rPr>
              <w:instrText xml:space="preserve"> PAGEREF _Toc153550375 \h </w:instrText>
            </w:r>
            <w:r w:rsidR="00780BC6">
              <w:rPr>
                <w:noProof/>
                <w:webHidden/>
              </w:rPr>
            </w:r>
            <w:r w:rsidR="00780BC6">
              <w:rPr>
                <w:noProof/>
                <w:webHidden/>
              </w:rPr>
              <w:fldChar w:fldCharType="separate"/>
            </w:r>
            <w:r w:rsidR="00416739">
              <w:rPr>
                <w:noProof/>
                <w:webHidden/>
              </w:rPr>
              <w:t>13</w:t>
            </w:r>
            <w:r w:rsidR="00780BC6">
              <w:rPr>
                <w:noProof/>
                <w:webHidden/>
              </w:rPr>
              <w:fldChar w:fldCharType="end"/>
            </w:r>
          </w:hyperlink>
        </w:p>
        <w:p w14:paraId="54FCAA0E" w14:textId="372383B8" w:rsidR="00780BC6" w:rsidRDefault="00AD6673">
          <w:pPr>
            <w:pStyle w:val="TOC2"/>
            <w:rPr>
              <w:rFonts w:asciiTheme="minorHAnsi" w:eastAsiaTheme="minorEastAsia" w:hAnsiTheme="minorHAnsi" w:cstheme="minorBidi"/>
              <w:noProof/>
              <w:szCs w:val="22"/>
              <w:lang w:eastAsia="en-AU"/>
            </w:rPr>
          </w:pPr>
          <w:hyperlink w:anchor="_Toc153550376" w:history="1">
            <w:r w:rsidR="00780BC6" w:rsidRPr="00431E4D">
              <w:rPr>
                <w:rStyle w:val="Hyperlink"/>
                <w:noProof/>
              </w:rPr>
              <w:t>Improving access and international engagement</w:t>
            </w:r>
            <w:r w:rsidR="00780BC6">
              <w:rPr>
                <w:noProof/>
                <w:webHidden/>
              </w:rPr>
              <w:tab/>
            </w:r>
            <w:r w:rsidR="00780BC6">
              <w:rPr>
                <w:noProof/>
                <w:webHidden/>
              </w:rPr>
              <w:fldChar w:fldCharType="begin"/>
            </w:r>
            <w:r w:rsidR="00780BC6">
              <w:rPr>
                <w:noProof/>
                <w:webHidden/>
              </w:rPr>
              <w:instrText xml:space="preserve"> PAGEREF _Toc153550376 \h </w:instrText>
            </w:r>
            <w:r w:rsidR="00780BC6">
              <w:rPr>
                <w:noProof/>
                <w:webHidden/>
              </w:rPr>
            </w:r>
            <w:r w:rsidR="00780BC6">
              <w:rPr>
                <w:noProof/>
                <w:webHidden/>
              </w:rPr>
              <w:fldChar w:fldCharType="separate"/>
            </w:r>
            <w:r w:rsidR="00416739">
              <w:rPr>
                <w:noProof/>
                <w:webHidden/>
              </w:rPr>
              <w:t>13</w:t>
            </w:r>
            <w:r w:rsidR="00780BC6">
              <w:rPr>
                <w:noProof/>
                <w:webHidden/>
              </w:rPr>
              <w:fldChar w:fldCharType="end"/>
            </w:r>
          </w:hyperlink>
        </w:p>
        <w:p w14:paraId="7C14B4FF" w14:textId="2C31F28E" w:rsidR="00780BC6" w:rsidRDefault="00AD6673">
          <w:pPr>
            <w:pStyle w:val="TOC3"/>
            <w:rPr>
              <w:rFonts w:asciiTheme="minorHAnsi" w:eastAsiaTheme="minorEastAsia" w:hAnsiTheme="minorHAnsi" w:cstheme="minorBidi"/>
              <w:noProof/>
              <w:szCs w:val="22"/>
              <w:lang w:eastAsia="en-AU"/>
            </w:rPr>
          </w:pPr>
          <w:hyperlink w:anchor="_Toc153550377" w:history="1">
            <w:r w:rsidR="00780BC6" w:rsidRPr="00431E4D">
              <w:rPr>
                <w:rStyle w:val="Hyperlink"/>
                <w:noProof/>
              </w:rPr>
              <w:t>Medicine shortages</w:t>
            </w:r>
            <w:r w:rsidR="00780BC6">
              <w:rPr>
                <w:noProof/>
                <w:webHidden/>
              </w:rPr>
              <w:tab/>
            </w:r>
            <w:r w:rsidR="00780BC6">
              <w:rPr>
                <w:noProof/>
                <w:webHidden/>
              </w:rPr>
              <w:fldChar w:fldCharType="begin"/>
            </w:r>
            <w:r w:rsidR="00780BC6">
              <w:rPr>
                <w:noProof/>
                <w:webHidden/>
              </w:rPr>
              <w:instrText xml:space="preserve"> PAGEREF _Toc153550377 \h </w:instrText>
            </w:r>
            <w:r w:rsidR="00780BC6">
              <w:rPr>
                <w:noProof/>
                <w:webHidden/>
              </w:rPr>
            </w:r>
            <w:r w:rsidR="00780BC6">
              <w:rPr>
                <w:noProof/>
                <w:webHidden/>
              </w:rPr>
              <w:fldChar w:fldCharType="separate"/>
            </w:r>
            <w:r w:rsidR="00416739">
              <w:rPr>
                <w:noProof/>
                <w:webHidden/>
              </w:rPr>
              <w:t>13</w:t>
            </w:r>
            <w:r w:rsidR="00780BC6">
              <w:rPr>
                <w:noProof/>
                <w:webHidden/>
              </w:rPr>
              <w:fldChar w:fldCharType="end"/>
            </w:r>
          </w:hyperlink>
        </w:p>
        <w:p w14:paraId="417099A4" w14:textId="7547A324" w:rsidR="00780BC6" w:rsidRDefault="00AD6673">
          <w:pPr>
            <w:pStyle w:val="TOC3"/>
            <w:rPr>
              <w:rFonts w:asciiTheme="minorHAnsi" w:eastAsiaTheme="minorEastAsia" w:hAnsiTheme="minorHAnsi" w:cstheme="minorBidi"/>
              <w:noProof/>
              <w:szCs w:val="22"/>
              <w:lang w:eastAsia="en-AU"/>
            </w:rPr>
          </w:pPr>
          <w:hyperlink w:anchor="_Toc153550378" w:history="1">
            <w:r w:rsidR="00780BC6" w:rsidRPr="00431E4D">
              <w:rPr>
                <w:rStyle w:val="Hyperlink"/>
                <w:noProof/>
              </w:rPr>
              <w:t>Agreements to facilitate information sharing</w:t>
            </w:r>
            <w:r w:rsidR="00780BC6">
              <w:rPr>
                <w:noProof/>
                <w:webHidden/>
              </w:rPr>
              <w:tab/>
            </w:r>
            <w:r w:rsidR="00780BC6">
              <w:rPr>
                <w:noProof/>
                <w:webHidden/>
              </w:rPr>
              <w:fldChar w:fldCharType="begin"/>
            </w:r>
            <w:r w:rsidR="00780BC6">
              <w:rPr>
                <w:noProof/>
                <w:webHidden/>
              </w:rPr>
              <w:instrText xml:space="preserve"> PAGEREF _Toc153550378 \h </w:instrText>
            </w:r>
            <w:r w:rsidR="00780BC6">
              <w:rPr>
                <w:noProof/>
                <w:webHidden/>
              </w:rPr>
            </w:r>
            <w:r w:rsidR="00780BC6">
              <w:rPr>
                <w:noProof/>
                <w:webHidden/>
              </w:rPr>
              <w:fldChar w:fldCharType="separate"/>
            </w:r>
            <w:r w:rsidR="00416739">
              <w:rPr>
                <w:noProof/>
                <w:webHidden/>
              </w:rPr>
              <w:t>14</w:t>
            </w:r>
            <w:r w:rsidR="00780BC6">
              <w:rPr>
                <w:noProof/>
                <w:webHidden/>
              </w:rPr>
              <w:fldChar w:fldCharType="end"/>
            </w:r>
          </w:hyperlink>
        </w:p>
        <w:p w14:paraId="17C2FDED" w14:textId="02095415" w:rsidR="00780BC6" w:rsidRDefault="00AD6673">
          <w:pPr>
            <w:pStyle w:val="TOC3"/>
            <w:rPr>
              <w:rFonts w:asciiTheme="minorHAnsi" w:eastAsiaTheme="minorEastAsia" w:hAnsiTheme="minorHAnsi" w:cstheme="minorBidi"/>
              <w:noProof/>
              <w:szCs w:val="22"/>
              <w:lang w:eastAsia="en-AU"/>
            </w:rPr>
          </w:pPr>
          <w:hyperlink w:anchor="_Toc153550379" w:history="1">
            <w:r w:rsidR="00780BC6" w:rsidRPr="00431E4D">
              <w:rPr>
                <w:rStyle w:val="Hyperlink"/>
                <w:noProof/>
              </w:rPr>
              <w:t>Interactions with our international regulatory counterparts</w:t>
            </w:r>
            <w:r w:rsidR="00780BC6">
              <w:rPr>
                <w:noProof/>
                <w:webHidden/>
              </w:rPr>
              <w:tab/>
            </w:r>
            <w:r w:rsidR="00780BC6">
              <w:rPr>
                <w:noProof/>
                <w:webHidden/>
              </w:rPr>
              <w:fldChar w:fldCharType="begin"/>
            </w:r>
            <w:r w:rsidR="00780BC6">
              <w:rPr>
                <w:noProof/>
                <w:webHidden/>
              </w:rPr>
              <w:instrText xml:space="preserve"> PAGEREF _Toc153550379 \h </w:instrText>
            </w:r>
            <w:r w:rsidR="00780BC6">
              <w:rPr>
                <w:noProof/>
                <w:webHidden/>
              </w:rPr>
            </w:r>
            <w:r w:rsidR="00780BC6">
              <w:rPr>
                <w:noProof/>
                <w:webHidden/>
              </w:rPr>
              <w:fldChar w:fldCharType="separate"/>
            </w:r>
            <w:r w:rsidR="00416739">
              <w:rPr>
                <w:noProof/>
                <w:webHidden/>
              </w:rPr>
              <w:t>14</w:t>
            </w:r>
            <w:r w:rsidR="00780BC6">
              <w:rPr>
                <w:noProof/>
                <w:webHidden/>
              </w:rPr>
              <w:fldChar w:fldCharType="end"/>
            </w:r>
          </w:hyperlink>
        </w:p>
        <w:p w14:paraId="2E941C4E" w14:textId="3781C387" w:rsidR="00780BC6" w:rsidRDefault="00AD6673">
          <w:pPr>
            <w:pStyle w:val="TOC3"/>
            <w:rPr>
              <w:rFonts w:asciiTheme="minorHAnsi" w:eastAsiaTheme="minorEastAsia" w:hAnsiTheme="minorHAnsi" w:cstheme="minorBidi"/>
              <w:noProof/>
              <w:szCs w:val="22"/>
              <w:lang w:eastAsia="en-AU"/>
            </w:rPr>
          </w:pPr>
          <w:hyperlink w:anchor="_Toc153550380" w:history="1">
            <w:r w:rsidR="00780BC6" w:rsidRPr="00431E4D">
              <w:rPr>
                <w:rStyle w:val="Hyperlink"/>
                <w:noProof/>
              </w:rPr>
              <w:t>World Health Organization (WHO)</w:t>
            </w:r>
            <w:r w:rsidR="00780BC6">
              <w:rPr>
                <w:noProof/>
                <w:webHidden/>
              </w:rPr>
              <w:tab/>
            </w:r>
            <w:r w:rsidR="00780BC6">
              <w:rPr>
                <w:noProof/>
                <w:webHidden/>
              </w:rPr>
              <w:fldChar w:fldCharType="begin"/>
            </w:r>
            <w:r w:rsidR="00780BC6">
              <w:rPr>
                <w:noProof/>
                <w:webHidden/>
              </w:rPr>
              <w:instrText xml:space="preserve"> PAGEREF _Toc153550380 \h </w:instrText>
            </w:r>
            <w:r w:rsidR="00780BC6">
              <w:rPr>
                <w:noProof/>
                <w:webHidden/>
              </w:rPr>
            </w:r>
            <w:r w:rsidR="00780BC6">
              <w:rPr>
                <w:noProof/>
                <w:webHidden/>
              </w:rPr>
              <w:fldChar w:fldCharType="separate"/>
            </w:r>
            <w:r w:rsidR="00416739">
              <w:rPr>
                <w:noProof/>
                <w:webHidden/>
              </w:rPr>
              <w:t>16</w:t>
            </w:r>
            <w:r w:rsidR="00780BC6">
              <w:rPr>
                <w:noProof/>
                <w:webHidden/>
              </w:rPr>
              <w:fldChar w:fldCharType="end"/>
            </w:r>
          </w:hyperlink>
        </w:p>
        <w:p w14:paraId="030EA073" w14:textId="5910662F" w:rsidR="00780BC6" w:rsidRDefault="00AD6673">
          <w:pPr>
            <w:pStyle w:val="TOC3"/>
            <w:rPr>
              <w:rFonts w:asciiTheme="minorHAnsi" w:eastAsiaTheme="minorEastAsia" w:hAnsiTheme="minorHAnsi" w:cstheme="minorBidi"/>
              <w:noProof/>
              <w:szCs w:val="22"/>
              <w:lang w:eastAsia="en-AU"/>
            </w:rPr>
          </w:pPr>
          <w:hyperlink w:anchor="_Toc153550381" w:history="1">
            <w:r w:rsidR="00780BC6" w:rsidRPr="00431E4D">
              <w:rPr>
                <w:rStyle w:val="Hyperlink"/>
                <w:noProof/>
              </w:rPr>
              <w:t>International initiatives and forums</w:t>
            </w:r>
            <w:r w:rsidR="00780BC6">
              <w:rPr>
                <w:noProof/>
                <w:webHidden/>
              </w:rPr>
              <w:tab/>
            </w:r>
            <w:r w:rsidR="00780BC6">
              <w:rPr>
                <w:noProof/>
                <w:webHidden/>
              </w:rPr>
              <w:fldChar w:fldCharType="begin"/>
            </w:r>
            <w:r w:rsidR="00780BC6">
              <w:rPr>
                <w:noProof/>
                <w:webHidden/>
              </w:rPr>
              <w:instrText xml:space="preserve"> PAGEREF _Toc153550381 \h </w:instrText>
            </w:r>
            <w:r w:rsidR="00780BC6">
              <w:rPr>
                <w:noProof/>
                <w:webHidden/>
              </w:rPr>
            </w:r>
            <w:r w:rsidR="00780BC6">
              <w:rPr>
                <w:noProof/>
                <w:webHidden/>
              </w:rPr>
              <w:fldChar w:fldCharType="separate"/>
            </w:r>
            <w:r w:rsidR="00416739">
              <w:rPr>
                <w:noProof/>
                <w:webHidden/>
              </w:rPr>
              <w:t>17</w:t>
            </w:r>
            <w:r w:rsidR="00780BC6">
              <w:rPr>
                <w:noProof/>
                <w:webHidden/>
              </w:rPr>
              <w:fldChar w:fldCharType="end"/>
            </w:r>
          </w:hyperlink>
        </w:p>
        <w:p w14:paraId="632E1386" w14:textId="49738488" w:rsidR="00780BC6" w:rsidRDefault="00AD6673">
          <w:pPr>
            <w:pStyle w:val="TOC3"/>
            <w:rPr>
              <w:rFonts w:asciiTheme="minorHAnsi" w:eastAsiaTheme="minorEastAsia" w:hAnsiTheme="minorHAnsi" w:cstheme="minorBidi"/>
              <w:noProof/>
              <w:szCs w:val="22"/>
              <w:lang w:eastAsia="en-AU"/>
            </w:rPr>
          </w:pPr>
          <w:hyperlink w:anchor="_Toc153550382" w:history="1">
            <w:r w:rsidR="00780BC6" w:rsidRPr="00431E4D">
              <w:rPr>
                <w:rStyle w:val="Hyperlink"/>
                <w:noProof/>
              </w:rPr>
              <w:t>World Trade Organization Technical Barriers to Trade</w:t>
            </w:r>
            <w:r w:rsidR="00780BC6">
              <w:rPr>
                <w:noProof/>
                <w:webHidden/>
              </w:rPr>
              <w:tab/>
            </w:r>
            <w:r w:rsidR="00780BC6">
              <w:rPr>
                <w:noProof/>
                <w:webHidden/>
              </w:rPr>
              <w:fldChar w:fldCharType="begin"/>
            </w:r>
            <w:r w:rsidR="00780BC6">
              <w:rPr>
                <w:noProof/>
                <w:webHidden/>
              </w:rPr>
              <w:instrText xml:space="preserve"> PAGEREF _Toc153550382 \h </w:instrText>
            </w:r>
            <w:r w:rsidR="00780BC6">
              <w:rPr>
                <w:noProof/>
                <w:webHidden/>
              </w:rPr>
            </w:r>
            <w:r w:rsidR="00780BC6">
              <w:rPr>
                <w:noProof/>
                <w:webHidden/>
              </w:rPr>
              <w:fldChar w:fldCharType="separate"/>
            </w:r>
            <w:r w:rsidR="00416739">
              <w:rPr>
                <w:noProof/>
                <w:webHidden/>
              </w:rPr>
              <w:t>17</w:t>
            </w:r>
            <w:r w:rsidR="00780BC6">
              <w:rPr>
                <w:noProof/>
                <w:webHidden/>
              </w:rPr>
              <w:fldChar w:fldCharType="end"/>
            </w:r>
          </w:hyperlink>
        </w:p>
        <w:p w14:paraId="79AFDAEA" w14:textId="128C209C" w:rsidR="00780BC6" w:rsidRDefault="00AD6673">
          <w:pPr>
            <w:pStyle w:val="TOC3"/>
            <w:rPr>
              <w:rFonts w:asciiTheme="minorHAnsi" w:eastAsiaTheme="minorEastAsia" w:hAnsiTheme="minorHAnsi" w:cstheme="minorBidi"/>
              <w:noProof/>
              <w:szCs w:val="22"/>
              <w:lang w:eastAsia="en-AU"/>
            </w:rPr>
          </w:pPr>
          <w:hyperlink w:anchor="_Toc153550383" w:history="1">
            <w:r w:rsidR="00780BC6" w:rsidRPr="00431E4D">
              <w:rPr>
                <w:rStyle w:val="Hyperlink"/>
                <w:noProof/>
              </w:rPr>
              <w:t>International Medical Device Regulators Forum</w:t>
            </w:r>
            <w:r w:rsidR="00780BC6">
              <w:rPr>
                <w:noProof/>
                <w:webHidden/>
              </w:rPr>
              <w:tab/>
            </w:r>
            <w:r w:rsidR="00780BC6">
              <w:rPr>
                <w:noProof/>
                <w:webHidden/>
              </w:rPr>
              <w:fldChar w:fldCharType="begin"/>
            </w:r>
            <w:r w:rsidR="00780BC6">
              <w:rPr>
                <w:noProof/>
                <w:webHidden/>
              </w:rPr>
              <w:instrText xml:space="preserve"> PAGEREF _Toc153550383 \h </w:instrText>
            </w:r>
            <w:r w:rsidR="00780BC6">
              <w:rPr>
                <w:noProof/>
                <w:webHidden/>
              </w:rPr>
            </w:r>
            <w:r w:rsidR="00780BC6">
              <w:rPr>
                <w:noProof/>
                <w:webHidden/>
              </w:rPr>
              <w:fldChar w:fldCharType="separate"/>
            </w:r>
            <w:r w:rsidR="00416739">
              <w:rPr>
                <w:noProof/>
                <w:webHidden/>
              </w:rPr>
              <w:t>17</w:t>
            </w:r>
            <w:r w:rsidR="00780BC6">
              <w:rPr>
                <w:noProof/>
                <w:webHidden/>
              </w:rPr>
              <w:fldChar w:fldCharType="end"/>
            </w:r>
          </w:hyperlink>
        </w:p>
        <w:p w14:paraId="6A6E2EAD" w14:textId="710A786A" w:rsidR="00780BC6" w:rsidRDefault="00AD6673">
          <w:pPr>
            <w:pStyle w:val="TOC2"/>
            <w:rPr>
              <w:rFonts w:asciiTheme="minorHAnsi" w:eastAsiaTheme="minorEastAsia" w:hAnsiTheme="minorHAnsi" w:cstheme="minorBidi"/>
              <w:noProof/>
              <w:szCs w:val="22"/>
              <w:lang w:eastAsia="en-AU"/>
            </w:rPr>
          </w:pPr>
          <w:hyperlink w:anchor="_Toc153550384" w:history="1">
            <w:r w:rsidR="00780BC6" w:rsidRPr="00431E4D">
              <w:rPr>
                <w:rStyle w:val="Hyperlink"/>
                <w:noProof/>
              </w:rPr>
              <w:t>Pacific and Southeast Asia Programs</w:t>
            </w:r>
            <w:r w:rsidR="00780BC6">
              <w:rPr>
                <w:noProof/>
                <w:webHidden/>
              </w:rPr>
              <w:tab/>
            </w:r>
            <w:r w:rsidR="00780BC6">
              <w:rPr>
                <w:noProof/>
                <w:webHidden/>
              </w:rPr>
              <w:fldChar w:fldCharType="begin"/>
            </w:r>
            <w:r w:rsidR="00780BC6">
              <w:rPr>
                <w:noProof/>
                <w:webHidden/>
              </w:rPr>
              <w:instrText xml:space="preserve"> PAGEREF _Toc153550384 \h </w:instrText>
            </w:r>
            <w:r w:rsidR="00780BC6">
              <w:rPr>
                <w:noProof/>
                <w:webHidden/>
              </w:rPr>
            </w:r>
            <w:r w:rsidR="00780BC6">
              <w:rPr>
                <w:noProof/>
                <w:webHidden/>
              </w:rPr>
              <w:fldChar w:fldCharType="separate"/>
            </w:r>
            <w:r w:rsidR="00416739">
              <w:rPr>
                <w:noProof/>
                <w:webHidden/>
              </w:rPr>
              <w:t>18</w:t>
            </w:r>
            <w:r w:rsidR="00780BC6">
              <w:rPr>
                <w:noProof/>
                <w:webHidden/>
              </w:rPr>
              <w:fldChar w:fldCharType="end"/>
            </w:r>
          </w:hyperlink>
        </w:p>
        <w:p w14:paraId="2001A3CD" w14:textId="3FE303E5" w:rsidR="00780BC6" w:rsidRDefault="00AD6673">
          <w:pPr>
            <w:pStyle w:val="TOC3"/>
            <w:rPr>
              <w:rFonts w:asciiTheme="minorHAnsi" w:eastAsiaTheme="minorEastAsia" w:hAnsiTheme="minorHAnsi" w:cstheme="minorBidi"/>
              <w:noProof/>
              <w:szCs w:val="22"/>
              <w:lang w:eastAsia="en-AU"/>
            </w:rPr>
          </w:pPr>
          <w:hyperlink w:anchor="_Toc153550385" w:history="1">
            <w:r w:rsidR="00780BC6" w:rsidRPr="00431E4D">
              <w:rPr>
                <w:rStyle w:val="Hyperlink"/>
                <w:noProof/>
              </w:rPr>
              <w:t>Pacific Medicines Testing Program</w:t>
            </w:r>
            <w:r w:rsidR="00780BC6">
              <w:rPr>
                <w:noProof/>
                <w:webHidden/>
              </w:rPr>
              <w:tab/>
            </w:r>
            <w:r w:rsidR="00780BC6">
              <w:rPr>
                <w:noProof/>
                <w:webHidden/>
              </w:rPr>
              <w:fldChar w:fldCharType="begin"/>
            </w:r>
            <w:r w:rsidR="00780BC6">
              <w:rPr>
                <w:noProof/>
                <w:webHidden/>
              </w:rPr>
              <w:instrText xml:space="preserve"> PAGEREF _Toc153550385 \h </w:instrText>
            </w:r>
            <w:r w:rsidR="00780BC6">
              <w:rPr>
                <w:noProof/>
                <w:webHidden/>
              </w:rPr>
            </w:r>
            <w:r w:rsidR="00780BC6">
              <w:rPr>
                <w:noProof/>
                <w:webHidden/>
              </w:rPr>
              <w:fldChar w:fldCharType="separate"/>
            </w:r>
            <w:r w:rsidR="00416739">
              <w:rPr>
                <w:noProof/>
                <w:webHidden/>
              </w:rPr>
              <w:t>18</w:t>
            </w:r>
            <w:r w:rsidR="00780BC6">
              <w:rPr>
                <w:noProof/>
                <w:webHidden/>
              </w:rPr>
              <w:fldChar w:fldCharType="end"/>
            </w:r>
          </w:hyperlink>
        </w:p>
        <w:p w14:paraId="79F5BA19" w14:textId="5D87847B" w:rsidR="00780BC6" w:rsidRDefault="00AD6673">
          <w:pPr>
            <w:pStyle w:val="TOC3"/>
            <w:rPr>
              <w:rFonts w:asciiTheme="minorHAnsi" w:eastAsiaTheme="minorEastAsia" w:hAnsiTheme="minorHAnsi" w:cstheme="minorBidi"/>
              <w:noProof/>
              <w:szCs w:val="22"/>
              <w:lang w:eastAsia="en-AU"/>
            </w:rPr>
          </w:pPr>
          <w:hyperlink w:anchor="_Toc153550386" w:history="1">
            <w:r w:rsidR="00780BC6" w:rsidRPr="00431E4D">
              <w:rPr>
                <w:rStyle w:val="Hyperlink"/>
                <w:noProof/>
              </w:rPr>
              <w:t>The Indo-Pacific Regulatory Strengthening Program</w:t>
            </w:r>
            <w:r w:rsidR="00780BC6">
              <w:rPr>
                <w:noProof/>
                <w:webHidden/>
              </w:rPr>
              <w:tab/>
            </w:r>
            <w:r w:rsidR="00780BC6">
              <w:rPr>
                <w:noProof/>
                <w:webHidden/>
              </w:rPr>
              <w:fldChar w:fldCharType="begin"/>
            </w:r>
            <w:r w:rsidR="00780BC6">
              <w:rPr>
                <w:noProof/>
                <w:webHidden/>
              </w:rPr>
              <w:instrText xml:space="preserve"> PAGEREF _Toc153550386 \h </w:instrText>
            </w:r>
            <w:r w:rsidR="00780BC6">
              <w:rPr>
                <w:noProof/>
                <w:webHidden/>
              </w:rPr>
            </w:r>
            <w:r w:rsidR="00780BC6">
              <w:rPr>
                <w:noProof/>
                <w:webHidden/>
              </w:rPr>
              <w:fldChar w:fldCharType="separate"/>
            </w:r>
            <w:r w:rsidR="00416739">
              <w:rPr>
                <w:noProof/>
                <w:webHidden/>
              </w:rPr>
              <w:t>19</w:t>
            </w:r>
            <w:r w:rsidR="00780BC6">
              <w:rPr>
                <w:noProof/>
                <w:webHidden/>
              </w:rPr>
              <w:fldChar w:fldCharType="end"/>
            </w:r>
          </w:hyperlink>
        </w:p>
        <w:p w14:paraId="62F14DFC" w14:textId="52B6C204" w:rsidR="00780BC6" w:rsidRDefault="00AD6673">
          <w:pPr>
            <w:pStyle w:val="TOC3"/>
            <w:rPr>
              <w:rFonts w:asciiTheme="minorHAnsi" w:eastAsiaTheme="minorEastAsia" w:hAnsiTheme="minorHAnsi" w:cstheme="minorBidi"/>
              <w:noProof/>
              <w:szCs w:val="22"/>
              <w:lang w:eastAsia="en-AU"/>
            </w:rPr>
          </w:pPr>
          <w:hyperlink w:anchor="_Toc153550387" w:history="1">
            <w:r w:rsidR="00780BC6" w:rsidRPr="00431E4D">
              <w:rPr>
                <w:rStyle w:val="Hyperlink"/>
                <w:noProof/>
              </w:rPr>
              <w:t>The Australian Expert Technical Assistance Program for Regional COVID-19 Vaccine Access – Regulatory Support and Safety Monitoring (AETAP-RSSM)</w:t>
            </w:r>
            <w:r w:rsidR="00780BC6">
              <w:rPr>
                <w:noProof/>
                <w:webHidden/>
              </w:rPr>
              <w:tab/>
            </w:r>
            <w:r w:rsidR="00780BC6">
              <w:rPr>
                <w:noProof/>
                <w:webHidden/>
              </w:rPr>
              <w:fldChar w:fldCharType="begin"/>
            </w:r>
            <w:r w:rsidR="00780BC6">
              <w:rPr>
                <w:noProof/>
                <w:webHidden/>
              </w:rPr>
              <w:instrText xml:space="preserve"> PAGEREF _Toc153550387 \h </w:instrText>
            </w:r>
            <w:r w:rsidR="00780BC6">
              <w:rPr>
                <w:noProof/>
                <w:webHidden/>
              </w:rPr>
            </w:r>
            <w:r w:rsidR="00780BC6">
              <w:rPr>
                <w:noProof/>
                <w:webHidden/>
              </w:rPr>
              <w:fldChar w:fldCharType="separate"/>
            </w:r>
            <w:r w:rsidR="00416739">
              <w:rPr>
                <w:noProof/>
                <w:webHidden/>
              </w:rPr>
              <w:t>21</w:t>
            </w:r>
            <w:r w:rsidR="00780BC6">
              <w:rPr>
                <w:noProof/>
                <w:webHidden/>
              </w:rPr>
              <w:fldChar w:fldCharType="end"/>
            </w:r>
          </w:hyperlink>
        </w:p>
        <w:p w14:paraId="5E49B4F5" w14:textId="7A4C4A4D" w:rsidR="00780BC6" w:rsidRDefault="00AD6673">
          <w:pPr>
            <w:pStyle w:val="TOC2"/>
            <w:rPr>
              <w:rFonts w:asciiTheme="minorHAnsi" w:eastAsiaTheme="minorEastAsia" w:hAnsiTheme="minorHAnsi" w:cstheme="minorBidi"/>
              <w:noProof/>
              <w:szCs w:val="22"/>
              <w:lang w:eastAsia="en-AU"/>
            </w:rPr>
          </w:pPr>
          <w:hyperlink w:anchor="_Toc153550388" w:history="1">
            <w:r w:rsidR="00780BC6" w:rsidRPr="00431E4D">
              <w:rPr>
                <w:rStyle w:val="Hyperlink"/>
                <w:noProof/>
              </w:rPr>
              <w:t>Action Plan for Medical Devices</w:t>
            </w:r>
            <w:r w:rsidR="00780BC6">
              <w:rPr>
                <w:noProof/>
                <w:webHidden/>
              </w:rPr>
              <w:tab/>
            </w:r>
            <w:r w:rsidR="00780BC6">
              <w:rPr>
                <w:noProof/>
                <w:webHidden/>
              </w:rPr>
              <w:fldChar w:fldCharType="begin"/>
            </w:r>
            <w:r w:rsidR="00780BC6">
              <w:rPr>
                <w:noProof/>
                <w:webHidden/>
              </w:rPr>
              <w:instrText xml:space="preserve"> PAGEREF _Toc153550388 \h </w:instrText>
            </w:r>
            <w:r w:rsidR="00780BC6">
              <w:rPr>
                <w:noProof/>
                <w:webHidden/>
              </w:rPr>
            </w:r>
            <w:r w:rsidR="00780BC6">
              <w:rPr>
                <w:noProof/>
                <w:webHidden/>
              </w:rPr>
              <w:fldChar w:fldCharType="separate"/>
            </w:r>
            <w:r w:rsidR="00416739">
              <w:rPr>
                <w:noProof/>
                <w:webHidden/>
              </w:rPr>
              <w:t>22</w:t>
            </w:r>
            <w:r w:rsidR="00780BC6">
              <w:rPr>
                <w:noProof/>
                <w:webHidden/>
              </w:rPr>
              <w:fldChar w:fldCharType="end"/>
            </w:r>
          </w:hyperlink>
        </w:p>
        <w:p w14:paraId="4CAFF0DF" w14:textId="787805E8" w:rsidR="00780BC6" w:rsidRDefault="00AD6673">
          <w:pPr>
            <w:pStyle w:val="TOC2"/>
            <w:rPr>
              <w:rFonts w:asciiTheme="minorHAnsi" w:eastAsiaTheme="minorEastAsia" w:hAnsiTheme="minorHAnsi" w:cstheme="minorBidi"/>
              <w:noProof/>
              <w:szCs w:val="22"/>
              <w:lang w:eastAsia="en-AU"/>
            </w:rPr>
          </w:pPr>
          <w:hyperlink w:anchor="_Toc153550389" w:history="1">
            <w:r w:rsidR="00780BC6" w:rsidRPr="00431E4D">
              <w:rPr>
                <w:rStyle w:val="Hyperlink"/>
                <w:noProof/>
              </w:rPr>
              <w:t>Reforms to regulate new technologies</w:t>
            </w:r>
            <w:r w:rsidR="00780BC6">
              <w:rPr>
                <w:noProof/>
                <w:webHidden/>
              </w:rPr>
              <w:tab/>
            </w:r>
            <w:r w:rsidR="00780BC6">
              <w:rPr>
                <w:noProof/>
                <w:webHidden/>
              </w:rPr>
              <w:fldChar w:fldCharType="begin"/>
            </w:r>
            <w:r w:rsidR="00780BC6">
              <w:rPr>
                <w:noProof/>
                <w:webHidden/>
              </w:rPr>
              <w:instrText xml:space="preserve"> PAGEREF _Toc153550389 \h </w:instrText>
            </w:r>
            <w:r w:rsidR="00780BC6">
              <w:rPr>
                <w:noProof/>
                <w:webHidden/>
              </w:rPr>
            </w:r>
            <w:r w:rsidR="00780BC6">
              <w:rPr>
                <w:noProof/>
                <w:webHidden/>
              </w:rPr>
              <w:fldChar w:fldCharType="separate"/>
            </w:r>
            <w:r w:rsidR="00416739">
              <w:rPr>
                <w:noProof/>
                <w:webHidden/>
              </w:rPr>
              <w:t>23</w:t>
            </w:r>
            <w:r w:rsidR="00780BC6">
              <w:rPr>
                <w:noProof/>
                <w:webHidden/>
              </w:rPr>
              <w:fldChar w:fldCharType="end"/>
            </w:r>
          </w:hyperlink>
        </w:p>
        <w:p w14:paraId="14B87AFF" w14:textId="57CAA7E0" w:rsidR="00780BC6" w:rsidRDefault="00AD6673">
          <w:pPr>
            <w:pStyle w:val="TOC2"/>
            <w:rPr>
              <w:rFonts w:asciiTheme="minorHAnsi" w:eastAsiaTheme="minorEastAsia" w:hAnsiTheme="minorHAnsi" w:cstheme="minorBidi"/>
              <w:noProof/>
              <w:szCs w:val="22"/>
              <w:lang w:eastAsia="en-AU"/>
            </w:rPr>
          </w:pPr>
          <w:hyperlink w:anchor="_Toc153550390" w:history="1">
            <w:r w:rsidR="00780BC6" w:rsidRPr="00431E4D">
              <w:rPr>
                <w:rStyle w:val="Hyperlink"/>
                <w:noProof/>
              </w:rPr>
              <w:t>Unique Device Identification improvements to product safety and surveillance of products</w:t>
            </w:r>
            <w:r w:rsidR="00780BC6">
              <w:rPr>
                <w:noProof/>
                <w:webHidden/>
              </w:rPr>
              <w:tab/>
            </w:r>
            <w:r w:rsidR="00780BC6">
              <w:rPr>
                <w:noProof/>
                <w:webHidden/>
              </w:rPr>
              <w:fldChar w:fldCharType="begin"/>
            </w:r>
            <w:r w:rsidR="00780BC6">
              <w:rPr>
                <w:noProof/>
                <w:webHidden/>
              </w:rPr>
              <w:instrText xml:space="preserve"> PAGEREF _Toc153550390 \h </w:instrText>
            </w:r>
            <w:r w:rsidR="00780BC6">
              <w:rPr>
                <w:noProof/>
                <w:webHidden/>
              </w:rPr>
            </w:r>
            <w:r w:rsidR="00780BC6">
              <w:rPr>
                <w:noProof/>
                <w:webHidden/>
              </w:rPr>
              <w:fldChar w:fldCharType="separate"/>
            </w:r>
            <w:r w:rsidR="00416739">
              <w:rPr>
                <w:noProof/>
                <w:webHidden/>
              </w:rPr>
              <w:t>24</w:t>
            </w:r>
            <w:r w:rsidR="00780BC6">
              <w:rPr>
                <w:noProof/>
                <w:webHidden/>
              </w:rPr>
              <w:fldChar w:fldCharType="end"/>
            </w:r>
          </w:hyperlink>
        </w:p>
        <w:p w14:paraId="04535644" w14:textId="7B0407ED" w:rsidR="00780BC6" w:rsidRDefault="00AD6673">
          <w:pPr>
            <w:pStyle w:val="TOC2"/>
            <w:rPr>
              <w:rFonts w:asciiTheme="minorHAnsi" w:eastAsiaTheme="minorEastAsia" w:hAnsiTheme="minorHAnsi" w:cstheme="minorBidi"/>
              <w:noProof/>
              <w:szCs w:val="22"/>
              <w:lang w:eastAsia="en-AU"/>
            </w:rPr>
          </w:pPr>
          <w:hyperlink w:anchor="_Toc153550391" w:history="1">
            <w:r w:rsidR="00780BC6" w:rsidRPr="00431E4D">
              <w:rPr>
                <w:rStyle w:val="Hyperlink"/>
                <w:noProof/>
              </w:rPr>
              <w:t>Repurposing of medicines</w:t>
            </w:r>
            <w:r w:rsidR="00780BC6">
              <w:rPr>
                <w:noProof/>
                <w:webHidden/>
              </w:rPr>
              <w:tab/>
            </w:r>
            <w:r w:rsidR="00780BC6">
              <w:rPr>
                <w:noProof/>
                <w:webHidden/>
              </w:rPr>
              <w:fldChar w:fldCharType="begin"/>
            </w:r>
            <w:r w:rsidR="00780BC6">
              <w:rPr>
                <w:noProof/>
                <w:webHidden/>
              </w:rPr>
              <w:instrText xml:space="preserve"> PAGEREF _Toc153550391 \h </w:instrText>
            </w:r>
            <w:r w:rsidR="00780BC6">
              <w:rPr>
                <w:noProof/>
                <w:webHidden/>
              </w:rPr>
            </w:r>
            <w:r w:rsidR="00780BC6">
              <w:rPr>
                <w:noProof/>
                <w:webHidden/>
              </w:rPr>
              <w:fldChar w:fldCharType="separate"/>
            </w:r>
            <w:r w:rsidR="00416739">
              <w:rPr>
                <w:noProof/>
                <w:webHidden/>
              </w:rPr>
              <w:t>25</w:t>
            </w:r>
            <w:r w:rsidR="00780BC6">
              <w:rPr>
                <w:noProof/>
                <w:webHidden/>
              </w:rPr>
              <w:fldChar w:fldCharType="end"/>
            </w:r>
          </w:hyperlink>
        </w:p>
        <w:p w14:paraId="0C212913" w14:textId="6D3BC421" w:rsidR="00780BC6" w:rsidRDefault="00AD6673">
          <w:pPr>
            <w:pStyle w:val="TOC2"/>
            <w:rPr>
              <w:rFonts w:asciiTheme="minorHAnsi" w:eastAsiaTheme="minorEastAsia" w:hAnsiTheme="minorHAnsi" w:cstheme="minorBidi"/>
              <w:noProof/>
              <w:szCs w:val="22"/>
              <w:lang w:eastAsia="en-AU"/>
            </w:rPr>
          </w:pPr>
          <w:hyperlink w:anchor="_Toc153550392" w:history="1">
            <w:r w:rsidR="00780BC6" w:rsidRPr="00431E4D">
              <w:rPr>
                <w:rStyle w:val="Hyperlink"/>
                <w:noProof/>
              </w:rPr>
              <w:t>Clinical trials regulation</w:t>
            </w:r>
            <w:r w:rsidR="00780BC6">
              <w:rPr>
                <w:noProof/>
                <w:webHidden/>
              </w:rPr>
              <w:tab/>
            </w:r>
            <w:r w:rsidR="00780BC6">
              <w:rPr>
                <w:noProof/>
                <w:webHidden/>
              </w:rPr>
              <w:fldChar w:fldCharType="begin"/>
            </w:r>
            <w:r w:rsidR="00780BC6">
              <w:rPr>
                <w:noProof/>
                <w:webHidden/>
              </w:rPr>
              <w:instrText xml:space="preserve"> PAGEREF _Toc153550392 \h </w:instrText>
            </w:r>
            <w:r w:rsidR="00780BC6">
              <w:rPr>
                <w:noProof/>
                <w:webHidden/>
              </w:rPr>
            </w:r>
            <w:r w:rsidR="00780BC6">
              <w:rPr>
                <w:noProof/>
                <w:webHidden/>
              </w:rPr>
              <w:fldChar w:fldCharType="separate"/>
            </w:r>
            <w:r w:rsidR="00416739">
              <w:rPr>
                <w:noProof/>
                <w:webHidden/>
              </w:rPr>
              <w:t>26</w:t>
            </w:r>
            <w:r w:rsidR="00780BC6">
              <w:rPr>
                <w:noProof/>
                <w:webHidden/>
              </w:rPr>
              <w:fldChar w:fldCharType="end"/>
            </w:r>
          </w:hyperlink>
        </w:p>
        <w:p w14:paraId="6F31847B" w14:textId="3C608BD0" w:rsidR="00780BC6" w:rsidRDefault="00AD6673">
          <w:pPr>
            <w:pStyle w:val="TOC2"/>
            <w:rPr>
              <w:rFonts w:asciiTheme="minorHAnsi" w:eastAsiaTheme="minorEastAsia" w:hAnsiTheme="minorHAnsi" w:cstheme="minorBidi"/>
              <w:noProof/>
              <w:szCs w:val="22"/>
              <w:lang w:eastAsia="en-AU"/>
            </w:rPr>
          </w:pPr>
          <w:hyperlink w:anchor="_Toc153550393" w:history="1">
            <w:r w:rsidR="00780BC6" w:rsidRPr="00431E4D">
              <w:rPr>
                <w:rStyle w:val="Hyperlink"/>
                <w:noProof/>
              </w:rPr>
              <w:t>Medical device adverse event reporting</w:t>
            </w:r>
            <w:r w:rsidR="00780BC6">
              <w:rPr>
                <w:noProof/>
                <w:webHidden/>
              </w:rPr>
              <w:tab/>
            </w:r>
            <w:r w:rsidR="00780BC6">
              <w:rPr>
                <w:noProof/>
                <w:webHidden/>
              </w:rPr>
              <w:fldChar w:fldCharType="begin"/>
            </w:r>
            <w:r w:rsidR="00780BC6">
              <w:rPr>
                <w:noProof/>
                <w:webHidden/>
              </w:rPr>
              <w:instrText xml:space="preserve"> PAGEREF _Toc153550393 \h </w:instrText>
            </w:r>
            <w:r w:rsidR="00780BC6">
              <w:rPr>
                <w:noProof/>
                <w:webHidden/>
              </w:rPr>
            </w:r>
            <w:r w:rsidR="00780BC6">
              <w:rPr>
                <w:noProof/>
                <w:webHidden/>
              </w:rPr>
              <w:fldChar w:fldCharType="separate"/>
            </w:r>
            <w:r w:rsidR="00416739">
              <w:rPr>
                <w:noProof/>
                <w:webHidden/>
              </w:rPr>
              <w:t>26</w:t>
            </w:r>
            <w:r w:rsidR="00780BC6">
              <w:rPr>
                <w:noProof/>
                <w:webHidden/>
              </w:rPr>
              <w:fldChar w:fldCharType="end"/>
            </w:r>
          </w:hyperlink>
        </w:p>
        <w:p w14:paraId="59B466EE" w14:textId="35B97BDD" w:rsidR="00780BC6" w:rsidRDefault="00AD6673">
          <w:pPr>
            <w:pStyle w:val="TOC2"/>
            <w:rPr>
              <w:rFonts w:asciiTheme="minorHAnsi" w:eastAsiaTheme="minorEastAsia" w:hAnsiTheme="minorHAnsi" w:cstheme="minorBidi"/>
              <w:noProof/>
              <w:szCs w:val="22"/>
              <w:lang w:eastAsia="en-AU"/>
            </w:rPr>
          </w:pPr>
          <w:hyperlink w:anchor="_Toc153550394" w:history="1">
            <w:r w:rsidR="00780BC6" w:rsidRPr="00431E4D">
              <w:rPr>
                <w:rStyle w:val="Hyperlink"/>
                <w:noProof/>
              </w:rPr>
              <w:t>Real World Evidence and Patient Reporting Outcomes</w:t>
            </w:r>
            <w:r w:rsidR="00780BC6">
              <w:rPr>
                <w:noProof/>
                <w:webHidden/>
              </w:rPr>
              <w:tab/>
            </w:r>
            <w:r w:rsidR="00780BC6">
              <w:rPr>
                <w:noProof/>
                <w:webHidden/>
              </w:rPr>
              <w:fldChar w:fldCharType="begin"/>
            </w:r>
            <w:r w:rsidR="00780BC6">
              <w:rPr>
                <w:noProof/>
                <w:webHidden/>
              </w:rPr>
              <w:instrText xml:space="preserve"> PAGEREF _Toc153550394 \h </w:instrText>
            </w:r>
            <w:r w:rsidR="00780BC6">
              <w:rPr>
                <w:noProof/>
                <w:webHidden/>
              </w:rPr>
            </w:r>
            <w:r w:rsidR="00780BC6">
              <w:rPr>
                <w:noProof/>
                <w:webHidden/>
              </w:rPr>
              <w:fldChar w:fldCharType="separate"/>
            </w:r>
            <w:r w:rsidR="00416739">
              <w:rPr>
                <w:noProof/>
                <w:webHidden/>
              </w:rPr>
              <w:t>27</w:t>
            </w:r>
            <w:r w:rsidR="00780BC6">
              <w:rPr>
                <w:noProof/>
                <w:webHidden/>
              </w:rPr>
              <w:fldChar w:fldCharType="end"/>
            </w:r>
          </w:hyperlink>
        </w:p>
        <w:p w14:paraId="78DDA93A" w14:textId="01399DF0" w:rsidR="00780BC6" w:rsidRDefault="00AD6673">
          <w:pPr>
            <w:pStyle w:val="TOC2"/>
            <w:rPr>
              <w:rFonts w:asciiTheme="minorHAnsi" w:eastAsiaTheme="minorEastAsia" w:hAnsiTheme="minorHAnsi" w:cstheme="minorBidi"/>
              <w:noProof/>
              <w:szCs w:val="22"/>
              <w:lang w:eastAsia="en-AU"/>
            </w:rPr>
          </w:pPr>
          <w:hyperlink w:anchor="_Toc153550395" w:history="1">
            <w:r w:rsidR="00780BC6" w:rsidRPr="00431E4D">
              <w:rPr>
                <w:rStyle w:val="Hyperlink"/>
                <w:noProof/>
              </w:rPr>
              <w:t>Vapes</w:t>
            </w:r>
            <w:r w:rsidR="00780BC6">
              <w:rPr>
                <w:noProof/>
                <w:webHidden/>
              </w:rPr>
              <w:tab/>
            </w:r>
            <w:r w:rsidR="00780BC6">
              <w:rPr>
                <w:noProof/>
                <w:webHidden/>
              </w:rPr>
              <w:fldChar w:fldCharType="begin"/>
            </w:r>
            <w:r w:rsidR="00780BC6">
              <w:rPr>
                <w:noProof/>
                <w:webHidden/>
              </w:rPr>
              <w:instrText xml:space="preserve"> PAGEREF _Toc153550395 \h </w:instrText>
            </w:r>
            <w:r w:rsidR="00780BC6">
              <w:rPr>
                <w:noProof/>
                <w:webHidden/>
              </w:rPr>
            </w:r>
            <w:r w:rsidR="00780BC6">
              <w:rPr>
                <w:noProof/>
                <w:webHidden/>
              </w:rPr>
              <w:fldChar w:fldCharType="separate"/>
            </w:r>
            <w:r w:rsidR="00416739">
              <w:rPr>
                <w:noProof/>
                <w:webHidden/>
              </w:rPr>
              <w:t>28</w:t>
            </w:r>
            <w:r w:rsidR="00780BC6">
              <w:rPr>
                <w:noProof/>
                <w:webHidden/>
              </w:rPr>
              <w:fldChar w:fldCharType="end"/>
            </w:r>
          </w:hyperlink>
        </w:p>
        <w:p w14:paraId="6AB1FE12" w14:textId="1F501E63" w:rsidR="00780BC6" w:rsidRDefault="00AD6673">
          <w:pPr>
            <w:pStyle w:val="TOC2"/>
            <w:rPr>
              <w:rFonts w:asciiTheme="minorHAnsi" w:eastAsiaTheme="minorEastAsia" w:hAnsiTheme="minorHAnsi" w:cstheme="minorBidi"/>
              <w:noProof/>
              <w:szCs w:val="22"/>
              <w:lang w:eastAsia="en-AU"/>
            </w:rPr>
          </w:pPr>
          <w:hyperlink w:anchor="_Toc153550396" w:history="1">
            <w:r w:rsidR="00780BC6" w:rsidRPr="00431E4D">
              <w:rPr>
                <w:rStyle w:val="Hyperlink"/>
                <w:noProof/>
              </w:rPr>
              <w:t>Paracetamol access</w:t>
            </w:r>
            <w:r w:rsidR="00780BC6">
              <w:rPr>
                <w:noProof/>
                <w:webHidden/>
              </w:rPr>
              <w:tab/>
            </w:r>
            <w:r w:rsidR="00780BC6">
              <w:rPr>
                <w:noProof/>
                <w:webHidden/>
              </w:rPr>
              <w:fldChar w:fldCharType="begin"/>
            </w:r>
            <w:r w:rsidR="00780BC6">
              <w:rPr>
                <w:noProof/>
                <w:webHidden/>
              </w:rPr>
              <w:instrText xml:space="preserve"> PAGEREF _Toc153550396 \h </w:instrText>
            </w:r>
            <w:r w:rsidR="00780BC6">
              <w:rPr>
                <w:noProof/>
                <w:webHidden/>
              </w:rPr>
            </w:r>
            <w:r w:rsidR="00780BC6">
              <w:rPr>
                <w:noProof/>
                <w:webHidden/>
              </w:rPr>
              <w:fldChar w:fldCharType="separate"/>
            </w:r>
            <w:r w:rsidR="00416739">
              <w:rPr>
                <w:noProof/>
                <w:webHidden/>
              </w:rPr>
              <w:t>28</w:t>
            </w:r>
            <w:r w:rsidR="00780BC6">
              <w:rPr>
                <w:noProof/>
                <w:webHidden/>
              </w:rPr>
              <w:fldChar w:fldCharType="end"/>
            </w:r>
          </w:hyperlink>
        </w:p>
        <w:p w14:paraId="496CD6E0" w14:textId="5E0D767C" w:rsidR="00780BC6" w:rsidRDefault="00AD6673">
          <w:pPr>
            <w:pStyle w:val="TOC2"/>
            <w:rPr>
              <w:rFonts w:asciiTheme="minorHAnsi" w:eastAsiaTheme="minorEastAsia" w:hAnsiTheme="minorHAnsi" w:cstheme="minorBidi"/>
              <w:noProof/>
              <w:szCs w:val="22"/>
              <w:lang w:eastAsia="en-AU"/>
            </w:rPr>
          </w:pPr>
          <w:hyperlink w:anchor="_Toc153550397" w:history="1">
            <w:r w:rsidR="00780BC6" w:rsidRPr="00431E4D">
              <w:rPr>
                <w:rStyle w:val="Hyperlink"/>
                <w:noProof/>
              </w:rPr>
              <w:t>Recall reforms</w:t>
            </w:r>
            <w:r w:rsidR="00780BC6">
              <w:rPr>
                <w:noProof/>
                <w:webHidden/>
              </w:rPr>
              <w:tab/>
            </w:r>
            <w:r w:rsidR="00780BC6">
              <w:rPr>
                <w:noProof/>
                <w:webHidden/>
              </w:rPr>
              <w:fldChar w:fldCharType="begin"/>
            </w:r>
            <w:r w:rsidR="00780BC6">
              <w:rPr>
                <w:noProof/>
                <w:webHidden/>
              </w:rPr>
              <w:instrText xml:space="preserve"> PAGEREF _Toc153550397 \h </w:instrText>
            </w:r>
            <w:r w:rsidR="00780BC6">
              <w:rPr>
                <w:noProof/>
                <w:webHidden/>
              </w:rPr>
            </w:r>
            <w:r w:rsidR="00780BC6">
              <w:rPr>
                <w:noProof/>
                <w:webHidden/>
              </w:rPr>
              <w:fldChar w:fldCharType="separate"/>
            </w:r>
            <w:r w:rsidR="00416739">
              <w:rPr>
                <w:noProof/>
                <w:webHidden/>
              </w:rPr>
              <w:t>29</w:t>
            </w:r>
            <w:r w:rsidR="00780BC6">
              <w:rPr>
                <w:noProof/>
                <w:webHidden/>
              </w:rPr>
              <w:fldChar w:fldCharType="end"/>
            </w:r>
          </w:hyperlink>
        </w:p>
        <w:p w14:paraId="6F7C1D26" w14:textId="52861A99" w:rsidR="00780BC6" w:rsidRDefault="00AD6673">
          <w:pPr>
            <w:pStyle w:val="TOC2"/>
            <w:rPr>
              <w:rFonts w:asciiTheme="minorHAnsi" w:eastAsiaTheme="minorEastAsia" w:hAnsiTheme="minorHAnsi" w:cstheme="minorBidi"/>
              <w:noProof/>
              <w:szCs w:val="22"/>
              <w:lang w:eastAsia="en-AU"/>
            </w:rPr>
          </w:pPr>
          <w:hyperlink w:anchor="_Toc153550398" w:history="1">
            <w:r w:rsidR="00780BC6" w:rsidRPr="00431E4D">
              <w:rPr>
                <w:rStyle w:val="Hyperlink"/>
                <w:noProof/>
              </w:rPr>
              <w:t>Scheduling of cosmetics and fragrances</w:t>
            </w:r>
            <w:r w:rsidR="00780BC6">
              <w:rPr>
                <w:noProof/>
                <w:webHidden/>
              </w:rPr>
              <w:tab/>
            </w:r>
            <w:r w:rsidR="00780BC6">
              <w:rPr>
                <w:noProof/>
                <w:webHidden/>
              </w:rPr>
              <w:fldChar w:fldCharType="begin"/>
            </w:r>
            <w:r w:rsidR="00780BC6">
              <w:rPr>
                <w:noProof/>
                <w:webHidden/>
              </w:rPr>
              <w:instrText xml:space="preserve"> PAGEREF _Toc153550398 \h </w:instrText>
            </w:r>
            <w:r w:rsidR="00780BC6">
              <w:rPr>
                <w:noProof/>
                <w:webHidden/>
              </w:rPr>
            </w:r>
            <w:r w:rsidR="00780BC6">
              <w:rPr>
                <w:noProof/>
                <w:webHidden/>
              </w:rPr>
              <w:fldChar w:fldCharType="separate"/>
            </w:r>
            <w:r w:rsidR="00416739">
              <w:rPr>
                <w:noProof/>
                <w:webHidden/>
              </w:rPr>
              <w:t>29</w:t>
            </w:r>
            <w:r w:rsidR="00780BC6">
              <w:rPr>
                <w:noProof/>
                <w:webHidden/>
              </w:rPr>
              <w:fldChar w:fldCharType="end"/>
            </w:r>
          </w:hyperlink>
        </w:p>
        <w:p w14:paraId="0777297A" w14:textId="03DCDDE3" w:rsidR="00780BC6" w:rsidRDefault="00AD6673">
          <w:pPr>
            <w:pStyle w:val="TOC1"/>
            <w:rPr>
              <w:rFonts w:asciiTheme="minorHAnsi" w:eastAsiaTheme="minorEastAsia" w:hAnsiTheme="minorHAnsi" w:cstheme="minorBidi"/>
              <w:b w:val="0"/>
              <w:bCs w:val="0"/>
              <w:szCs w:val="22"/>
              <w:lang w:eastAsia="en-AU"/>
            </w:rPr>
          </w:pPr>
          <w:hyperlink w:anchor="_Toc153550399" w:history="1">
            <w:r w:rsidR="00780BC6" w:rsidRPr="00431E4D">
              <w:rPr>
                <w:rStyle w:val="Hyperlink"/>
              </w:rPr>
              <w:t>Strategic objective 2 – Actively engage with our stakeholders</w:t>
            </w:r>
            <w:r w:rsidR="00780BC6">
              <w:rPr>
                <w:webHidden/>
              </w:rPr>
              <w:tab/>
            </w:r>
            <w:r w:rsidR="00780BC6">
              <w:rPr>
                <w:webHidden/>
              </w:rPr>
              <w:fldChar w:fldCharType="begin"/>
            </w:r>
            <w:r w:rsidR="00780BC6">
              <w:rPr>
                <w:webHidden/>
              </w:rPr>
              <w:instrText xml:space="preserve"> PAGEREF _Toc153550399 \h </w:instrText>
            </w:r>
            <w:r w:rsidR="00780BC6">
              <w:rPr>
                <w:webHidden/>
              </w:rPr>
            </w:r>
            <w:r w:rsidR="00780BC6">
              <w:rPr>
                <w:webHidden/>
              </w:rPr>
              <w:fldChar w:fldCharType="separate"/>
            </w:r>
            <w:r w:rsidR="00416739">
              <w:rPr>
                <w:webHidden/>
              </w:rPr>
              <w:t>30</w:t>
            </w:r>
            <w:r w:rsidR="00780BC6">
              <w:rPr>
                <w:webHidden/>
              </w:rPr>
              <w:fldChar w:fldCharType="end"/>
            </w:r>
          </w:hyperlink>
        </w:p>
        <w:p w14:paraId="017EEBBD" w14:textId="0CDBC363" w:rsidR="00780BC6" w:rsidRDefault="00AD6673">
          <w:pPr>
            <w:pStyle w:val="TOC2"/>
            <w:rPr>
              <w:rFonts w:asciiTheme="minorHAnsi" w:eastAsiaTheme="minorEastAsia" w:hAnsiTheme="minorHAnsi" w:cstheme="minorBidi"/>
              <w:noProof/>
              <w:szCs w:val="22"/>
              <w:lang w:eastAsia="en-AU"/>
            </w:rPr>
          </w:pPr>
          <w:hyperlink w:anchor="_Toc153550400" w:history="1">
            <w:r w:rsidR="00780BC6" w:rsidRPr="00431E4D">
              <w:rPr>
                <w:rStyle w:val="Hyperlink"/>
                <w:noProof/>
              </w:rPr>
              <w:t>Performance Indicators</w:t>
            </w:r>
            <w:r w:rsidR="00780BC6">
              <w:rPr>
                <w:noProof/>
                <w:webHidden/>
              </w:rPr>
              <w:tab/>
            </w:r>
            <w:r w:rsidR="00780BC6">
              <w:rPr>
                <w:noProof/>
                <w:webHidden/>
              </w:rPr>
              <w:fldChar w:fldCharType="begin"/>
            </w:r>
            <w:r w:rsidR="00780BC6">
              <w:rPr>
                <w:noProof/>
                <w:webHidden/>
              </w:rPr>
              <w:instrText xml:space="preserve"> PAGEREF _Toc153550400 \h </w:instrText>
            </w:r>
            <w:r w:rsidR="00780BC6">
              <w:rPr>
                <w:noProof/>
                <w:webHidden/>
              </w:rPr>
            </w:r>
            <w:r w:rsidR="00780BC6">
              <w:rPr>
                <w:noProof/>
                <w:webHidden/>
              </w:rPr>
              <w:fldChar w:fldCharType="separate"/>
            </w:r>
            <w:r w:rsidR="00416739">
              <w:rPr>
                <w:noProof/>
                <w:webHidden/>
              </w:rPr>
              <w:t>30</w:t>
            </w:r>
            <w:r w:rsidR="00780BC6">
              <w:rPr>
                <w:noProof/>
                <w:webHidden/>
              </w:rPr>
              <w:fldChar w:fldCharType="end"/>
            </w:r>
          </w:hyperlink>
        </w:p>
        <w:p w14:paraId="7D2670E5" w14:textId="2AB8A373" w:rsidR="00780BC6" w:rsidRDefault="00AD6673">
          <w:pPr>
            <w:pStyle w:val="TOC2"/>
            <w:rPr>
              <w:rFonts w:asciiTheme="minorHAnsi" w:eastAsiaTheme="minorEastAsia" w:hAnsiTheme="minorHAnsi" w:cstheme="minorBidi"/>
              <w:noProof/>
              <w:szCs w:val="22"/>
              <w:lang w:eastAsia="en-AU"/>
            </w:rPr>
          </w:pPr>
          <w:hyperlink w:anchor="_Toc153550401" w:history="1">
            <w:r w:rsidR="00780BC6" w:rsidRPr="00431E4D">
              <w:rPr>
                <w:rStyle w:val="Hyperlink"/>
                <w:noProof/>
              </w:rPr>
              <w:t>Enquiry management</w:t>
            </w:r>
            <w:r w:rsidR="00780BC6">
              <w:rPr>
                <w:noProof/>
                <w:webHidden/>
              </w:rPr>
              <w:tab/>
            </w:r>
            <w:r w:rsidR="00780BC6">
              <w:rPr>
                <w:noProof/>
                <w:webHidden/>
              </w:rPr>
              <w:fldChar w:fldCharType="begin"/>
            </w:r>
            <w:r w:rsidR="00780BC6">
              <w:rPr>
                <w:noProof/>
                <w:webHidden/>
              </w:rPr>
              <w:instrText xml:space="preserve"> PAGEREF _Toc153550401 \h </w:instrText>
            </w:r>
            <w:r w:rsidR="00780BC6">
              <w:rPr>
                <w:noProof/>
                <w:webHidden/>
              </w:rPr>
            </w:r>
            <w:r w:rsidR="00780BC6">
              <w:rPr>
                <w:noProof/>
                <w:webHidden/>
              </w:rPr>
              <w:fldChar w:fldCharType="separate"/>
            </w:r>
            <w:r w:rsidR="00416739">
              <w:rPr>
                <w:noProof/>
                <w:webHidden/>
              </w:rPr>
              <w:t>31</w:t>
            </w:r>
            <w:r w:rsidR="00780BC6">
              <w:rPr>
                <w:noProof/>
                <w:webHidden/>
              </w:rPr>
              <w:fldChar w:fldCharType="end"/>
            </w:r>
          </w:hyperlink>
        </w:p>
        <w:p w14:paraId="46C60D15" w14:textId="54774E4C" w:rsidR="00780BC6" w:rsidRDefault="00AD6673">
          <w:pPr>
            <w:pStyle w:val="TOC2"/>
            <w:rPr>
              <w:rFonts w:asciiTheme="minorHAnsi" w:eastAsiaTheme="minorEastAsia" w:hAnsiTheme="minorHAnsi" w:cstheme="minorBidi"/>
              <w:noProof/>
              <w:szCs w:val="22"/>
              <w:lang w:eastAsia="en-AU"/>
            </w:rPr>
          </w:pPr>
          <w:hyperlink w:anchor="_Toc153550402" w:history="1">
            <w:r w:rsidR="00780BC6" w:rsidRPr="00431E4D">
              <w:rPr>
                <w:rStyle w:val="Hyperlink"/>
                <w:noProof/>
              </w:rPr>
              <w:t>Engagement with industry and consumer groups</w:t>
            </w:r>
            <w:r w:rsidR="00780BC6">
              <w:rPr>
                <w:noProof/>
                <w:webHidden/>
              </w:rPr>
              <w:tab/>
            </w:r>
            <w:r w:rsidR="00780BC6">
              <w:rPr>
                <w:noProof/>
                <w:webHidden/>
              </w:rPr>
              <w:fldChar w:fldCharType="begin"/>
            </w:r>
            <w:r w:rsidR="00780BC6">
              <w:rPr>
                <w:noProof/>
                <w:webHidden/>
              </w:rPr>
              <w:instrText xml:space="preserve"> PAGEREF _Toc153550402 \h </w:instrText>
            </w:r>
            <w:r w:rsidR="00780BC6">
              <w:rPr>
                <w:noProof/>
                <w:webHidden/>
              </w:rPr>
            </w:r>
            <w:r w:rsidR="00780BC6">
              <w:rPr>
                <w:noProof/>
                <w:webHidden/>
              </w:rPr>
              <w:fldChar w:fldCharType="separate"/>
            </w:r>
            <w:r w:rsidR="00416739">
              <w:rPr>
                <w:noProof/>
                <w:webHidden/>
              </w:rPr>
              <w:t>32</w:t>
            </w:r>
            <w:r w:rsidR="00780BC6">
              <w:rPr>
                <w:noProof/>
                <w:webHidden/>
              </w:rPr>
              <w:fldChar w:fldCharType="end"/>
            </w:r>
          </w:hyperlink>
        </w:p>
        <w:p w14:paraId="36F0C8CE" w14:textId="3F27B4F5" w:rsidR="00780BC6" w:rsidRDefault="00AD6673">
          <w:pPr>
            <w:pStyle w:val="TOC3"/>
            <w:rPr>
              <w:rFonts w:asciiTheme="minorHAnsi" w:eastAsiaTheme="minorEastAsia" w:hAnsiTheme="minorHAnsi" w:cstheme="minorBidi"/>
              <w:noProof/>
              <w:szCs w:val="22"/>
              <w:lang w:eastAsia="en-AU"/>
            </w:rPr>
          </w:pPr>
          <w:hyperlink w:anchor="_Toc153550403" w:history="1">
            <w:r w:rsidR="00780BC6" w:rsidRPr="00431E4D">
              <w:rPr>
                <w:rStyle w:val="Hyperlink"/>
                <w:noProof/>
              </w:rPr>
              <w:t>Medicines</w:t>
            </w:r>
            <w:r w:rsidR="00780BC6">
              <w:rPr>
                <w:noProof/>
                <w:webHidden/>
              </w:rPr>
              <w:tab/>
            </w:r>
            <w:r w:rsidR="00780BC6">
              <w:rPr>
                <w:noProof/>
                <w:webHidden/>
              </w:rPr>
              <w:fldChar w:fldCharType="begin"/>
            </w:r>
            <w:r w:rsidR="00780BC6">
              <w:rPr>
                <w:noProof/>
                <w:webHidden/>
              </w:rPr>
              <w:instrText xml:space="preserve"> PAGEREF _Toc153550403 \h </w:instrText>
            </w:r>
            <w:r w:rsidR="00780BC6">
              <w:rPr>
                <w:noProof/>
                <w:webHidden/>
              </w:rPr>
            </w:r>
            <w:r w:rsidR="00780BC6">
              <w:rPr>
                <w:noProof/>
                <w:webHidden/>
              </w:rPr>
              <w:fldChar w:fldCharType="separate"/>
            </w:r>
            <w:r w:rsidR="00416739">
              <w:rPr>
                <w:noProof/>
                <w:webHidden/>
              </w:rPr>
              <w:t>32</w:t>
            </w:r>
            <w:r w:rsidR="00780BC6">
              <w:rPr>
                <w:noProof/>
                <w:webHidden/>
              </w:rPr>
              <w:fldChar w:fldCharType="end"/>
            </w:r>
          </w:hyperlink>
        </w:p>
        <w:p w14:paraId="4E544912" w14:textId="60390A25" w:rsidR="00780BC6" w:rsidRDefault="00AD6673">
          <w:pPr>
            <w:pStyle w:val="TOC3"/>
            <w:rPr>
              <w:rFonts w:asciiTheme="minorHAnsi" w:eastAsiaTheme="minorEastAsia" w:hAnsiTheme="minorHAnsi" w:cstheme="minorBidi"/>
              <w:noProof/>
              <w:szCs w:val="22"/>
              <w:lang w:eastAsia="en-AU"/>
            </w:rPr>
          </w:pPr>
          <w:hyperlink w:anchor="_Toc153550404" w:history="1">
            <w:r w:rsidR="00780BC6" w:rsidRPr="00431E4D">
              <w:rPr>
                <w:rStyle w:val="Hyperlink"/>
                <w:noProof/>
              </w:rPr>
              <w:t>Medical Devices</w:t>
            </w:r>
            <w:r w:rsidR="00780BC6">
              <w:rPr>
                <w:noProof/>
                <w:webHidden/>
              </w:rPr>
              <w:tab/>
            </w:r>
            <w:r w:rsidR="00780BC6">
              <w:rPr>
                <w:noProof/>
                <w:webHidden/>
              </w:rPr>
              <w:fldChar w:fldCharType="begin"/>
            </w:r>
            <w:r w:rsidR="00780BC6">
              <w:rPr>
                <w:noProof/>
                <w:webHidden/>
              </w:rPr>
              <w:instrText xml:space="preserve"> PAGEREF _Toc153550404 \h </w:instrText>
            </w:r>
            <w:r w:rsidR="00780BC6">
              <w:rPr>
                <w:noProof/>
                <w:webHidden/>
              </w:rPr>
            </w:r>
            <w:r w:rsidR="00780BC6">
              <w:rPr>
                <w:noProof/>
                <w:webHidden/>
              </w:rPr>
              <w:fldChar w:fldCharType="separate"/>
            </w:r>
            <w:r w:rsidR="00416739">
              <w:rPr>
                <w:noProof/>
                <w:webHidden/>
              </w:rPr>
              <w:t>33</w:t>
            </w:r>
            <w:r w:rsidR="00780BC6">
              <w:rPr>
                <w:noProof/>
                <w:webHidden/>
              </w:rPr>
              <w:fldChar w:fldCharType="end"/>
            </w:r>
          </w:hyperlink>
        </w:p>
        <w:p w14:paraId="12842743" w14:textId="3B8A0617" w:rsidR="00780BC6" w:rsidRDefault="00AD6673">
          <w:pPr>
            <w:pStyle w:val="TOC3"/>
            <w:rPr>
              <w:rFonts w:asciiTheme="minorHAnsi" w:eastAsiaTheme="minorEastAsia" w:hAnsiTheme="minorHAnsi" w:cstheme="minorBidi"/>
              <w:noProof/>
              <w:szCs w:val="22"/>
              <w:lang w:eastAsia="en-AU"/>
            </w:rPr>
          </w:pPr>
          <w:hyperlink w:anchor="_Toc153550405" w:history="1">
            <w:r w:rsidR="00780BC6" w:rsidRPr="00431E4D">
              <w:rPr>
                <w:rStyle w:val="Hyperlink"/>
                <w:noProof/>
              </w:rPr>
              <w:t>Manufacturing</w:t>
            </w:r>
            <w:r w:rsidR="00780BC6">
              <w:rPr>
                <w:noProof/>
                <w:webHidden/>
              </w:rPr>
              <w:tab/>
            </w:r>
            <w:r w:rsidR="00780BC6">
              <w:rPr>
                <w:noProof/>
                <w:webHidden/>
              </w:rPr>
              <w:fldChar w:fldCharType="begin"/>
            </w:r>
            <w:r w:rsidR="00780BC6">
              <w:rPr>
                <w:noProof/>
                <w:webHidden/>
              </w:rPr>
              <w:instrText xml:space="preserve"> PAGEREF _Toc153550405 \h </w:instrText>
            </w:r>
            <w:r w:rsidR="00780BC6">
              <w:rPr>
                <w:noProof/>
                <w:webHidden/>
              </w:rPr>
            </w:r>
            <w:r w:rsidR="00780BC6">
              <w:rPr>
                <w:noProof/>
                <w:webHidden/>
              </w:rPr>
              <w:fldChar w:fldCharType="separate"/>
            </w:r>
            <w:r w:rsidR="00416739">
              <w:rPr>
                <w:noProof/>
                <w:webHidden/>
              </w:rPr>
              <w:t>33</w:t>
            </w:r>
            <w:r w:rsidR="00780BC6">
              <w:rPr>
                <w:noProof/>
                <w:webHidden/>
              </w:rPr>
              <w:fldChar w:fldCharType="end"/>
            </w:r>
          </w:hyperlink>
        </w:p>
        <w:p w14:paraId="72E2E225" w14:textId="55D94214" w:rsidR="00780BC6" w:rsidRDefault="00AD6673">
          <w:pPr>
            <w:pStyle w:val="TOC3"/>
            <w:rPr>
              <w:rFonts w:asciiTheme="minorHAnsi" w:eastAsiaTheme="minorEastAsia" w:hAnsiTheme="minorHAnsi" w:cstheme="minorBidi"/>
              <w:noProof/>
              <w:szCs w:val="22"/>
              <w:lang w:eastAsia="en-AU"/>
            </w:rPr>
          </w:pPr>
          <w:hyperlink w:anchor="_Toc153550406" w:history="1">
            <w:r w:rsidR="00780BC6" w:rsidRPr="00431E4D">
              <w:rPr>
                <w:rStyle w:val="Hyperlink"/>
                <w:noProof/>
              </w:rPr>
              <w:t>Laboratories</w:t>
            </w:r>
            <w:r w:rsidR="00780BC6">
              <w:rPr>
                <w:noProof/>
                <w:webHidden/>
              </w:rPr>
              <w:tab/>
            </w:r>
            <w:r w:rsidR="00780BC6">
              <w:rPr>
                <w:noProof/>
                <w:webHidden/>
              </w:rPr>
              <w:fldChar w:fldCharType="begin"/>
            </w:r>
            <w:r w:rsidR="00780BC6">
              <w:rPr>
                <w:noProof/>
                <w:webHidden/>
              </w:rPr>
              <w:instrText xml:space="preserve"> PAGEREF _Toc153550406 \h </w:instrText>
            </w:r>
            <w:r w:rsidR="00780BC6">
              <w:rPr>
                <w:noProof/>
                <w:webHidden/>
              </w:rPr>
            </w:r>
            <w:r w:rsidR="00780BC6">
              <w:rPr>
                <w:noProof/>
                <w:webHidden/>
              </w:rPr>
              <w:fldChar w:fldCharType="separate"/>
            </w:r>
            <w:r w:rsidR="00416739">
              <w:rPr>
                <w:noProof/>
                <w:webHidden/>
              </w:rPr>
              <w:t>34</w:t>
            </w:r>
            <w:r w:rsidR="00780BC6">
              <w:rPr>
                <w:noProof/>
                <w:webHidden/>
              </w:rPr>
              <w:fldChar w:fldCharType="end"/>
            </w:r>
          </w:hyperlink>
        </w:p>
        <w:p w14:paraId="050A971D" w14:textId="0A7C97A6" w:rsidR="00780BC6" w:rsidRDefault="00AD6673">
          <w:pPr>
            <w:pStyle w:val="TOC3"/>
            <w:rPr>
              <w:rFonts w:asciiTheme="minorHAnsi" w:eastAsiaTheme="minorEastAsia" w:hAnsiTheme="minorHAnsi" w:cstheme="minorBidi"/>
              <w:noProof/>
              <w:szCs w:val="22"/>
              <w:lang w:eastAsia="en-AU"/>
            </w:rPr>
          </w:pPr>
          <w:hyperlink w:anchor="_Toc153550407" w:history="1">
            <w:r w:rsidR="00780BC6" w:rsidRPr="00431E4D">
              <w:rPr>
                <w:rStyle w:val="Hyperlink"/>
                <w:noProof/>
              </w:rPr>
              <w:t>Advertising compliance</w:t>
            </w:r>
            <w:r w:rsidR="00780BC6">
              <w:rPr>
                <w:noProof/>
                <w:webHidden/>
              </w:rPr>
              <w:tab/>
            </w:r>
            <w:r w:rsidR="00780BC6">
              <w:rPr>
                <w:noProof/>
                <w:webHidden/>
              </w:rPr>
              <w:fldChar w:fldCharType="begin"/>
            </w:r>
            <w:r w:rsidR="00780BC6">
              <w:rPr>
                <w:noProof/>
                <w:webHidden/>
              </w:rPr>
              <w:instrText xml:space="preserve"> PAGEREF _Toc153550407 \h </w:instrText>
            </w:r>
            <w:r w:rsidR="00780BC6">
              <w:rPr>
                <w:noProof/>
                <w:webHidden/>
              </w:rPr>
            </w:r>
            <w:r w:rsidR="00780BC6">
              <w:rPr>
                <w:noProof/>
                <w:webHidden/>
              </w:rPr>
              <w:fldChar w:fldCharType="separate"/>
            </w:r>
            <w:r w:rsidR="00416739">
              <w:rPr>
                <w:noProof/>
                <w:webHidden/>
              </w:rPr>
              <w:t>34</w:t>
            </w:r>
            <w:r w:rsidR="00780BC6">
              <w:rPr>
                <w:noProof/>
                <w:webHidden/>
              </w:rPr>
              <w:fldChar w:fldCharType="end"/>
            </w:r>
          </w:hyperlink>
        </w:p>
        <w:p w14:paraId="0253D5C8" w14:textId="06EAC6B5" w:rsidR="00780BC6" w:rsidRDefault="00AD6673">
          <w:pPr>
            <w:pStyle w:val="TOC2"/>
            <w:rPr>
              <w:rFonts w:asciiTheme="minorHAnsi" w:eastAsiaTheme="minorEastAsia" w:hAnsiTheme="minorHAnsi" w:cstheme="minorBidi"/>
              <w:noProof/>
              <w:szCs w:val="22"/>
              <w:lang w:eastAsia="en-AU"/>
            </w:rPr>
          </w:pPr>
          <w:hyperlink w:anchor="_Toc153550408" w:history="1">
            <w:r w:rsidR="00780BC6" w:rsidRPr="00431E4D">
              <w:rPr>
                <w:rStyle w:val="Hyperlink"/>
                <w:noProof/>
              </w:rPr>
              <w:t>Partnerships with international regulators</w:t>
            </w:r>
            <w:r w:rsidR="00780BC6">
              <w:rPr>
                <w:noProof/>
                <w:webHidden/>
              </w:rPr>
              <w:tab/>
            </w:r>
            <w:r w:rsidR="00780BC6">
              <w:rPr>
                <w:noProof/>
                <w:webHidden/>
              </w:rPr>
              <w:fldChar w:fldCharType="begin"/>
            </w:r>
            <w:r w:rsidR="00780BC6">
              <w:rPr>
                <w:noProof/>
                <w:webHidden/>
              </w:rPr>
              <w:instrText xml:space="preserve"> PAGEREF _Toc153550408 \h </w:instrText>
            </w:r>
            <w:r w:rsidR="00780BC6">
              <w:rPr>
                <w:noProof/>
                <w:webHidden/>
              </w:rPr>
            </w:r>
            <w:r w:rsidR="00780BC6">
              <w:rPr>
                <w:noProof/>
                <w:webHidden/>
              </w:rPr>
              <w:fldChar w:fldCharType="separate"/>
            </w:r>
            <w:r w:rsidR="00416739">
              <w:rPr>
                <w:noProof/>
                <w:webHidden/>
              </w:rPr>
              <w:t>34</w:t>
            </w:r>
            <w:r w:rsidR="00780BC6">
              <w:rPr>
                <w:noProof/>
                <w:webHidden/>
              </w:rPr>
              <w:fldChar w:fldCharType="end"/>
            </w:r>
          </w:hyperlink>
        </w:p>
        <w:p w14:paraId="653D0D81" w14:textId="67ED8C4B" w:rsidR="00780BC6" w:rsidRDefault="00AD6673">
          <w:pPr>
            <w:pStyle w:val="TOC3"/>
            <w:rPr>
              <w:rFonts w:asciiTheme="minorHAnsi" w:eastAsiaTheme="minorEastAsia" w:hAnsiTheme="minorHAnsi" w:cstheme="minorBidi"/>
              <w:noProof/>
              <w:szCs w:val="22"/>
              <w:lang w:eastAsia="en-AU"/>
            </w:rPr>
          </w:pPr>
          <w:hyperlink w:anchor="_Toc153550409" w:history="1">
            <w:r w:rsidR="00780BC6" w:rsidRPr="00431E4D">
              <w:rPr>
                <w:rStyle w:val="Hyperlink"/>
                <w:noProof/>
              </w:rPr>
              <w:t>International Coalition of Medicines Regulatory Authorities</w:t>
            </w:r>
            <w:r w:rsidR="00780BC6">
              <w:rPr>
                <w:noProof/>
                <w:webHidden/>
              </w:rPr>
              <w:tab/>
            </w:r>
            <w:r w:rsidR="00780BC6">
              <w:rPr>
                <w:noProof/>
                <w:webHidden/>
              </w:rPr>
              <w:fldChar w:fldCharType="begin"/>
            </w:r>
            <w:r w:rsidR="00780BC6">
              <w:rPr>
                <w:noProof/>
                <w:webHidden/>
              </w:rPr>
              <w:instrText xml:space="preserve"> PAGEREF _Toc153550409 \h </w:instrText>
            </w:r>
            <w:r w:rsidR="00780BC6">
              <w:rPr>
                <w:noProof/>
                <w:webHidden/>
              </w:rPr>
            </w:r>
            <w:r w:rsidR="00780BC6">
              <w:rPr>
                <w:noProof/>
                <w:webHidden/>
              </w:rPr>
              <w:fldChar w:fldCharType="separate"/>
            </w:r>
            <w:r w:rsidR="00416739">
              <w:rPr>
                <w:noProof/>
                <w:webHidden/>
              </w:rPr>
              <w:t>35</w:t>
            </w:r>
            <w:r w:rsidR="00780BC6">
              <w:rPr>
                <w:noProof/>
                <w:webHidden/>
              </w:rPr>
              <w:fldChar w:fldCharType="end"/>
            </w:r>
          </w:hyperlink>
        </w:p>
        <w:p w14:paraId="723C0260" w14:textId="21790114" w:rsidR="00780BC6" w:rsidRDefault="00AD6673">
          <w:pPr>
            <w:pStyle w:val="TOC3"/>
            <w:rPr>
              <w:rFonts w:asciiTheme="minorHAnsi" w:eastAsiaTheme="minorEastAsia" w:hAnsiTheme="minorHAnsi" w:cstheme="minorBidi"/>
              <w:noProof/>
              <w:szCs w:val="22"/>
              <w:lang w:eastAsia="en-AU"/>
            </w:rPr>
          </w:pPr>
          <w:hyperlink w:anchor="_Toc153550410" w:history="1">
            <w:r w:rsidR="00780BC6" w:rsidRPr="00431E4D">
              <w:rPr>
                <w:rStyle w:val="Hyperlink"/>
                <w:noProof/>
              </w:rPr>
              <w:t>The Access Consortium: International work-sharing for prescription medicines and medical devices</w:t>
            </w:r>
            <w:r w:rsidR="00780BC6">
              <w:rPr>
                <w:noProof/>
                <w:webHidden/>
              </w:rPr>
              <w:tab/>
            </w:r>
            <w:r w:rsidR="00780BC6">
              <w:rPr>
                <w:noProof/>
                <w:webHidden/>
              </w:rPr>
              <w:fldChar w:fldCharType="begin"/>
            </w:r>
            <w:r w:rsidR="00780BC6">
              <w:rPr>
                <w:noProof/>
                <w:webHidden/>
              </w:rPr>
              <w:instrText xml:space="preserve"> PAGEREF _Toc153550410 \h </w:instrText>
            </w:r>
            <w:r w:rsidR="00780BC6">
              <w:rPr>
                <w:noProof/>
                <w:webHidden/>
              </w:rPr>
            </w:r>
            <w:r w:rsidR="00780BC6">
              <w:rPr>
                <w:noProof/>
                <w:webHidden/>
              </w:rPr>
              <w:fldChar w:fldCharType="separate"/>
            </w:r>
            <w:r w:rsidR="00416739">
              <w:rPr>
                <w:noProof/>
                <w:webHidden/>
              </w:rPr>
              <w:t>35</w:t>
            </w:r>
            <w:r w:rsidR="00780BC6">
              <w:rPr>
                <w:noProof/>
                <w:webHidden/>
              </w:rPr>
              <w:fldChar w:fldCharType="end"/>
            </w:r>
          </w:hyperlink>
        </w:p>
        <w:p w14:paraId="03341F08" w14:textId="622626F9" w:rsidR="00780BC6" w:rsidRDefault="00AD6673">
          <w:pPr>
            <w:pStyle w:val="TOC3"/>
            <w:rPr>
              <w:rFonts w:asciiTheme="minorHAnsi" w:eastAsiaTheme="minorEastAsia" w:hAnsiTheme="minorHAnsi" w:cstheme="minorBidi"/>
              <w:noProof/>
              <w:szCs w:val="22"/>
              <w:lang w:eastAsia="en-AU"/>
            </w:rPr>
          </w:pPr>
          <w:hyperlink w:anchor="_Toc153550411" w:history="1">
            <w:r w:rsidR="00780BC6" w:rsidRPr="00431E4D">
              <w:rPr>
                <w:rStyle w:val="Hyperlink"/>
                <w:noProof/>
              </w:rPr>
              <w:t>Project Orbis</w:t>
            </w:r>
            <w:r w:rsidR="00780BC6">
              <w:rPr>
                <w:noProof/>
                <w:webHidden/>
              </w:rPr>
              <w:tab/>
            </w:r>
            <w:r w:rsidR="00780BC6">
              <w:rPr>
                <w:noProof/>
                <w:webHidden/>
              </w:rPr>
              <w:fldChar w:fldCharType="begin"/>
            </w:r>
            <w:r w:rsidR="00780BC6">
              <w:rPr>
                <w:noProof/>
                <w:webHidden/>
              </w:rPr>
              <w:instrText xml:space="preserve"> PAGEREF _Toc153550411 \h </w:instrText>
            </w:r>
            <w:r w:rsidR="00780BC6">
              <w:rPr>
                <w:noProof/>
                <w:webHidden/>
              </w:rPr>
            </w:r>
            <w:r w:rsidR="00780BC6">
              <w:rPr>
                <w:noProof/>
                <w:webHidden/>
              </w:rPr>
              <w:fldChar w:fldCharType="separate"/>
            </w:r>
            <w:r w:rsidR="00416739">
              <w:rPr>
                <w:noProof/>
                <w:webHidden/>
              </w:rPr>
              <w:t>36</w:t>
            </w:r>
            <w:r w:rsidR="00780BC6">
              <w:rPr>
                <w:noProof/>
                <w:webHidden/>
              </w:rPr>
              <w:fldChar w:fldCharType="end"/>
            </w:r>
          </w:hyperlink>
        </w:p>
        <w:p w14:paraId="019716A7" w14:textId="3552ABB9" w:rsidR="00780BC6" w:rsidRDefault="00AD6673">
          <w:pPr>
            <w:pStyle w:val="TOC3"/>
            <w:rPr>
              <w:rFonts w:asciiTheme="minorHAnsi" w:eastAsiaTheme="minorEastAsia" w:hAnsiTheme="minorHAnsi" w:cstheme="minorBidi"/>
              <w:noProof/>
              <w:szCs w:val="22"/>
              <w:lang w:eastAsia="en-AU"/>
            </w:rPr>
          </w:pPr>
          <w:hyperlink w:anchor="_Toc153550412" w:history="1">
            <w:r w:rsidR="00780BC6" w:rsidRPr="00431E4D">
              <w:rPr>
                <w:rStyle w:val="Hyperlink"/>
                <w:noProof/>
              </w:rPr>
              <w:t>International agreements and arrangements for Good Manufacturing Practice</w:t>
            </w:r>
            <w:r w:rsidR="00780BC6">
              <w:rPr>
                <w:noProof/>
                <w:webHidden/>
              </w:rPr>
              <w:tab/>
            </w:r>
            <w:r w:rsidR="00780BC6">
              <w:rPr>
                <w:noProof/>
                <w:webHidden/>
              </w:rPr>
              <w:fldChar w:fldCharType="begin"/>
            </w:r>
            <w:r w:rsidR="00780BC6">
              <w:rPr>
                <w:noProof/>
                <w:webHidden/>
              </w:rPr>
              <w:instrText xml:space="preserve"> PAGEREF _Toc153550412 \h </w:instrText>
            </w:r>
            <w:r w:rsidR="00780BC6">
              <w:rPr>
                <w:noProof/>
                <w:webHidden/>
              </w:rPr>
            </w:r>
            <w:r w:rsidR="00780BC6">
              <w:rPr>
                <w:noProof/>
                <w:webHidden/>
              </w:rPr>
              <w:fldChar w:fldCharType="separate"/>
            </w:r>
            <w:r w:rsidR="00416739">
              <w:rPr>
                <w:noProof/>
                <w:webHidden/>
              </w:rPr>
              <w:t>37</w:t>
            </w:r>
            <w:r w:rsidR="00780BC6">
              <w:rPr>
                <w:noProof/>
                <w:webHidden/>
              </w:rPr>
              <w:fldChar w:fldCharType="end"/>
            </w:r>
          </w:hyperlink>
        </w:p>
        <w:p w14:paraId="1C4CC69C" w14:textId="1EEE00C9" w:rsidR="00780BC6" w:rsidRDefault="00AD6673">
          <w:pPr>
            <w:pStyle w:val="TOC3"/>
            <w:rPr>
              <w:rFonts w:asciiTheme="minorHAnsi" w:eastAsiaTheme="minorEastAsia" w:hAnsiTheme="minorHAnsi" w:cstheme="minorBidi"/>
              <w:noProof/>
              <w:szCs w:val="22"/>
              <w:lang w:eastAsia="en-AU"/>
            </w:rPr>
          </w:pPr>
          <w:hyperlink w:anchor="_Toc153550413" w:history="1">
            <w:r w:rsidR="00780BC6" w:rsidRPr="00431E4D">
              <w:rPr>
                <w:rStyle w:val="Hyperlink"/>
                <w:noProof/>
              </w:rPr>
              <w:t>Pharmaceutical Inspection Cooperation Scheme (PIC/S)</w:t>
            </w:r>
            <w:r w:rsidR="00780BC6">
              <w:rPr>
                <w:noProof/>
                <w:webHidden/>
              </w:rPr>
              <w:tab/>
            </w:r>
            <w:r w:rsidR="00780BC6">
              <w:rPr>
                <w:noProof/>
                <w:webHidden/>
              </w:rPr>
              <w:fldChar w:fldCharType="begin"/>
            </w:r>
            <w:r w:rsidR="00780BC6">
              <w:rPr>
                <w:noProof/>
                <w:webHidden/>
              </w:rPr>
              <w:instrText xml:space="preserve"> PAGEREF _Toc153550413 \h </w:instrText>
            </w:r>
            <w:r w:rsidR="00780BC6">
              <w:rPr>
                <w:noProof/>
                <w:webHidden/>
              </w:rPr>
            </w:r>
            <w:r w:rsidR="00780BC6">
              <w:rPr>
                <w:noProof/>
                <w:webHidden/>
              </w:rPr>
              <w:fldChar w:fldCharType="separate"/>
            </w:r>
            <w:r w:rsidR="00416739">
              <w:rPr>
                <w:noProof/>
                <w:webHidden/>
              </w:rPr>
              <w:t>37</w:t>
            </w:r>
            <w:r w:rsidR="00780BC6">
              <w:rPr>
                <w:noProof/>
                <w:webHidden/>
              </w:rPr>
              <w:fldChar w:fldCharType="end"/>
            </w:r>
          </w:hyperlink>
        </w:p>
        <w:p w14:paraId="486C1326" w14:textId="7C8059E7" w:rsidR="00780BC6" w:rsidRDefault="00AD6673">
          <w:pPr>
            <w:pStyle w:val="TOC3"/>
            <w:rPr>
              <w:rFonts w:asciiTheme="minorHAnsi" w:eastAsiaTheme="minorEastAsia" w:hAnsiTheme="minorHAnsi" w:cstheme="minorBidi"/>
              <w:noProof/>
              <w:szCs w:val="22"/>
              <w:lang w:eastAsia="en-AU"/>
            </w:rPr>
          </w:pPr>
          <w:hyperlink w:anchor="_Toc153550414" w:history="1">
            <w:r w:rsidR="00780BC6" w:rsidRPr="00431E4D">
              <w:rPr>
                <w:rStyle w:val="Hyperlink"/>
                <w:noProof/>
              </w:rPr>
              <w:t>Medical Device Standards Work</w:t>
            </w:r>
            <w:r w:rsidR="00780BC6">
              <w:rPr>
                <w:noProof/>
                <w:webHidden/>
              </w:rPr>
              <w:tab/>
            </w:r>
            <w:r w:rsidR="00780BC6">
              <w:rPr>
                <w:noProof/>
                <w:webHidden/>
              </w:rPr>
              <w:fldChar w:fldCharType="begin"/>
            </w:r>
            <w:r w:rsidR="00780BC6">
              <w:rPr>
                <w:noProof/>
                <w:webHidden/>
              </w:rPr>
              <w:instrText xml:space="preserve"> PAGEREF _Toc153550414 \h </w:instrText>
            </w:r>
            <w:r w:rsidR="00780BC6">
              <w:rPr>
                <w:noProof/>
                <w:webHidden/>
              </w:rPr>
            </w:r>
            <w:r w:rsidR="00780BC6">
              <w:rPr>
                <w:noProof/>
                <w:webHidden/>
              </w:rPr>
              <w:fldChar w:fldCharType="separate"/>
            </w:r>
            <w:r w:rsidR="00416739">
              <w:rPr>
                <w:noProof/>
                <w:webHidden/>
              </w:rPr>
              <w:t>37</w:t>
            </w:r>
            <w:r w:rsidR="00780BC6">
              <w:rPr>
                <w:noProof/>
                <w:webHidden/>
              </w:rPr>
              <w:fldChar w:fldCharType="end"/>
            </w:r>
          </w:hyperlink>
        </w:p>
        <w:p w14:paraId="7527869C" w14:textId="6643B3B0" w:rsidR="00780BC6" w:rsidRDefault="00AD6673">
          <w:pPr>
            <w:pStyle w:val="TOC3"/>
            <w:rPr>
              <w:rFonts w:asciiTheme="minorHAnsi" w:eastAsiaTheme="minorEastAsia" w:hAnsiTheme="minorHAnsi" w:cstheme="minorBidi"/>
              <w:noProof/>
              <w:szCs w:val="22"/>
              <w:lang w:eastAsia="en-AU"/>
            </w:rPr>
          </w:pPr>
          <w:hyperlink w:anchor="_Toc153550415" w:history="1">
            <w:r w:rsidR="00780BC6" w:rsidRPr="00431E4D">
              <w:rPr>
                <w:rStyle w:val="Hyperlink"/>
                <w:noProof/>
              </w:rPr>
              <w:t>Comparable overseas regulators for medical devices</w:t>
            </w:r>
            <w:r w:rsidR="00780BC6">
              <w:rPr>
                <w:noProof/>
                <w:webHidden/>
              </w:rPr>
              <w:tab/>
            </w:r>
            <w:r w:rsidR="00780BC6">
              <w:rPr>
                <w:noProof/>
                <w:webHidden/>
              </w:rPr>
              <w:fldChar w:fldCharType="begin"/>
            </w:r>
            <w:r w:rsidR="00780BC6">
              <w:rPr>
                <w:noProof/>
                <w:webHidden/>
              </w:rPr>
              <w:instrText xml:space="preserve"> PAGEREF _Toc153550415 \h </w:instrText>
            </w:r>
            <w:r w:rsidR="00780BC6">
              <w:rPr>
                <w:noProof/>
                <w:webHidden/>
              </w:rPr>
            </w:r>
            <w:r w:rsidR="00780BC6">
              <w:rPr>
                <w:noProof/>
                <w:webHidden/>
              </w:rPr>
              <w:fldChar w:fldCharType="separate"/>
            </w:r>
            <w:r w:rsidR="00416739">
              <w:rPr>
                <w:noProof/>
                <w:webHidden/>
              </w:rPr>
              <w:t>38</w:t>
            </w:r>
            <w:r w:rsidR="00780BC6">
              <w:rPr>
                <w:noProof/>
                <w:webHidden/>
              </w:rPr>
              <w:fldChar w:fldCharType="end"/>
            </w:r>
          </w:hyperlink>
        </w:p>
        <w:p w14:paraId="0864031D" w14:textId="5D54634D" w:rsidR="00780BC6" w:rsidRDefault="00AD6673">
          <w:pPr>
            <w:pStyle w:val="TOC2"/>
            <w:rPr>
              <w:rFonts w:asciiTheme="minorHAnsi" w:eastAsiaTheme="minorEastAsia" w:hAnsiTheme="minorHAnsi" w:cstheme="minorBidi"/>
              <w:noProof/>
              <w:szCs w:val="22"/>
              <w:lang w:eastAsia="en-AU"/>
            </w:rPr>
          </w:pPr>
          <w:hyperlink w:anchor="_Toc153550416" w:history="1">
            <w:r w:rsidR="00780BC6" w:rsidRPr="00431E4D">
              <w:rPr>
                <w:rStyle w:val="Hyperlink"/>
                <w:noProof/>
              </w:rPr>
              <w:t>Public awareness and education activities</w:t>
            </w:r>
            <w:r w:rsidR="00780BC6">
              <w:rPr>
                <w:noProof/>
                <w:webHidden/>
              </w:rPr>
              <w:tab/>
            </w:r>
            <w:r w:rsidR="00780BC6">
              <w:rPr>
                <w:noProof/>
                <w:webHidden/>
              </w:rPr>
              <w:fldChar w:fldCharType="begin"/>
            </w:r>
            <w:r w:rsidR="00780BC6">
              <w:rPr>
                <w:noProof/>
                <w:webHidden/>
              </w:rPr>
              <w:instrText xml:space="preserve"> PAGEREF _Toc153550416 \h </w:instrText>
            </w:r>
            <w:r w:rsidR="00780BC6">
              <w:rPr>
                <w:noProof/>
                <w:webHidden/>
              </w:rPr>
            </w:r>
            <w:r w:rsidR="00780BC6">
              <w:rPr>
                <w:noProof/>
                <w:webHidden/>
              </w:rPr>
              <w:fldChar w:fldCharType="separate"/>
            </w:r>
            <w:r w:rsidR="00416739">
              <w:rPr>
                <w:noProof/>
                <w:webHidden/>
              </w:rPr>
              <w:t>38</w:t>
            </w:r>
            <w:r w:rsidR="00780BC6">
              <w:rPr>
                <w:noProof/>
                <w:webHidden/>
              </w:rPr>
              <w:fldChar w:fldCharType="end"/>
            </w:r>
          </w:hyperlink>
        </w:p>
        <w:p w14:paraId="7FD82D7F" w14:textId="1B282B0C" w:rsidR="00780BC6" w:rsidRDefault="00AD6673">
          <w:pPr>
            <w:pStyle w:val="TOC2"/>
            <w:rPr>
              <w:rFonts w:asciiTheme="minorHAnsi" w:eastAsiaTheme="minorEastAsia" w:hAnsiTheme="minorHAnsi" w:cstheme="minorBidi"/>
              <w:noProof/>
              <w:szCs w:val="22"/>
              <w:lang w:eastAsia="en-AU"/>
            </w:rPr>
          </w:pPr>
          <w:hyperlink w:anchor="_Toc153550417" w:history="1">
            <w:r w:rsidR="00780BC6" w:rsidRPr="00431E4D">
              <w:rPr>
                <w:rStyle w:val="Hyperlink"/>
                <w:noProof/>
              </w:rPr>
              <w:t>Priority review pathway for biologicals</w:t>
            </w:r>
            <w:r w:rsidR="00780BC6">
              <w:rPr>
                <w:noProof/>
                <w:webHidden/>
              </w:rPr>
              <w:tab/>
            </w:r>
            <w:r w:rsidR="00780BC6">
              <w:rPr>
                <w:noProof/>
                <w:webHidden/>
              </w:rPr>
              <w:fldChar w:fldCharType="begin"/>
            </w:r>
            <w:r w:rsidR="00780BC6">
              <w:rPr>
                <w:noProof/>
                <w:webHidden/>
              </w:rPr>
              <w:instrText xml:space="preserve"> PAGEREF _Toc153550417 \h </w:instrText>
            </w:r>
            <w:r w:rsidR="00780BC6">
              <w:rPr>
                <w:noProof/>
                <w:webHidden/>
              </w:rPr>
            </w:r>
            <w:r w:rsidR="00780BC6">
              <w:rPr>
                <w:noProof/>
                <w:webHidden/>
              </w:rPr>
              <w:fldChar w:fldCharType="separate"/>
            </w:r>
            <w:r w:rsidR="00416739">
              <w:rPr>
                <w:noProof/>
                <w:webHidden/>
              </w:rPr>
              <w:t>40</w:t>
            </w:r>
            <w:r w:rsidR="00780BC6">
              <w:rPr>
                <w:noProof/>
                <w:webHidden/>
              </w:rPr>
              <w:fldChar w:fldCharType="end"/>
            </w:r>
          </w:hyperlink>
        </w:p>
        <w:p w14:paraId="235669A8" w14:textId="1CAED994" w:rsidR="00780BC6" w:rsidRDefault="00AD6673">
          <w:pPr>
            <w:pStyle w:val="TOC2"/>
            <w:rPr>
              <w:rFonts w:asciiTheme="minorHAnsi" w:eastAsiaTheme="minorEastAsia" w:hAnsiTheme="minorHAnsi" w:cstheme="minorBidi"/>
              <w:noProof/>
              <w:szCs w:val="22"/>
              <w:lang w:eastAsia="en-AU"/>
            </w:rPr>
          </w:pPr>
          <w:hyperlink w:anchor="_Toc153550418" w:history="1">
            <w:r w:rsidR="00780BC6" w:rsidRPr="00431E4D">
              <w:rPr>
                <w:rStyle w:val="Hyperlink"/>
                <w:noProof/>
              </w:rPr>
              <w:t>Learning about stakeholder perspectives and emerging issues</w:t>
            </w:r>
            <w:r w:rsidR="00780BC6">
              <w:rPr>
                <w:noProof/>
                <w:webHidden/>
              </w:rPr>
              <w:tab/>
            </w:r>
            <w:r w:rsidR="00780BC6">
              <w:rPr>
                <w:noProof/>
                <w:webHidden/>
              </w:rPr>
              <w:fldChar w:fldCharType="begin"/>
            </w:r>
            <w:r w:rsidR="00780BC6">
              <w:rPr>
                <w:noProof/>
                <w:webHidden/>
              </w:rPr>
              <w:instrText xml:space="preserve"> PAGEREF _Toc153550418 \h </w:instrText>
            </w:r>
            <w:r w:rsidR="00780BC6">
              <w:rPr>
                <w:noProof/>
                <w:webHidden/>
              </w:rPr>
            </w:r>
            <w:r w:rsidR="00780BC6">
              <w:rPr>
                <w:noProof/>
                <w:webHidden/>
              </w:rPr>
              <w:fldChar w:fldCharType="separate"/>
            </w:r>
            <w:r w:rsidR="00416739">
              <w:rPr>
                <w:noProof/>
                <w:webHidden/>
              </w:rPr>
              <w:t>41</w:t>
            </w:r>
            <w:r w:rsidR="00780BC6">
              <w:rPr>
                <w:noProof/>
                <w:webHidden/>
              </w:rPr>
              <w:fldChar w:fldCharType="end"/>
            </w:r>
          </w:hyperlink>
        </w:p>
        <w:p w14:paraId="45202A12" w14:textId="2A0E0AD9" w:rsidR="00780BC6" w:rsidRDefault="00AD6673">
          <w:pPr>
            <w:pStyle w:val="TOC2"/>
            <w:rPr>
              <w:rFonts w:asciiTheme="minorHAnsi" w:eastAsiaTheme="minorEastAsia" w:hAnsiTheme="minorHAnsi" w:cstheme="minorBidi"/>
              <w:noProof/>
              <w:szCs w:val="22"/>
              <w:lang w:eastAsia="en-AU"/>
            </w:rPr>
          </w:pPr>
          <w:hyperlink w:anchor="_Toc153550419" w:history="1">
            <w:r w:rsidR="00780BC6" w:rsidRPr="00431E4D">
              <w:rPr>
                <w:rStyle w:val="Hyperlink"/>
                <w:noProof/>
              </w:rPr>
              <w:t>Supporting small and medium enterprises</w:t>
            </w:r>
            <w:r w:rsidR="00780BC6">
              <w:rPr>
                <w:noProof/>
                <w:webHidden/>
              </w:rPr>
              <w:tab/>
            </w:r>
            <w:r w:rsidR="00780BC6">
              <w:rPr>
                <w:noProof/>
                <w:webHidden/>
              </w:rPr>
              <w:fldChar w:fldCharType="begin"/>
            </w:r>
            <w:r w:rsidR="00780BC6">
              <w:rPr>
                <w:noProof/>
                <w:webHidden/>
              </w:rPr>
              <w:instrText xml:space="preserve"> PAGEREF _Toc153550419 \h </w:instrText>
            </w:r>
            <w:r w:rsidR="00780BC6">
              <w:rPr>
                <w:noProof/>
                <w:webHidden/>
              </w:rPr>
            </w:r>
            <w:r w:rsidR="00780BC6">
              <w:rPr>
                <w:noProof/>
                <w:webHidden/>
              </w:rPr>
              <w:fldChar w:fldCharType="separate"/>
            </w:r>
            <w:r w:rsidR="00416739">
              <w:rPr>
                <w:noProof/>
                <w:webHidden/>
              </w:rPr>
              <w:t>42</w:t>
            </w:r>
            <w:r w:rsidR="00780BC6">
              <w:rPr>
                <w:noProof/>
                <w:webHidden/>
              </w:rPr>
              <w:fldChar w:fldCharType="end"/>
            </w:r>
          </w:hyperlink>
        </w:p>
        <w:p w14:paraId="7DFADEC9" w14:textId="136945DB" w:rsidR="00780BC6" w:rsidRDefault="00AD6673">
          <w:pPr>
            <w:pStyle w:val="TOC1"/>
            <w:rPr>
              <w:rFonts w:asciiTheme="minorHAnsi" w:eastAsiaTheme="minorEastAsia" w:hAnsiTheme="minorHAnsi" w:cstheme="minorBidi"/>
              <w:b w:val="0"/>
              <w:bCs w:val="0"/>
              <w:szCs w:val="22"/>
              <w:lang w:eastAsia="en-AU"/>
            </w:rPr>
          </w:pPr>
          <w:hyperlink w:anchor="_Toc153550420" w:history="1">
            <w:r w:rsidR="00780BC6" w:rsidRPr="00431E4D">
              <w:rPr>
                <w:rStyle w:val="Hyperlink"/>
              </w:rPr>
              <w:t>Providing guidance materials to regulated entities</w:t>
            </w:r>
            <w:r w:rsidR="00780BC6">
              <w:rPr>
                <w:webHidden/>
              </w:rPr>
              <w:tab/>
            </w:r>
            <w:r w:rsidR="00780BC6">
              <w:rPr>
                <w:webHidden/>
              </w:rPr>
              <w:fldChar w:fldCharType="begin"/>
            </w:r>
            <w:r w:rsidR="00780BC6">
              <w:rPr>
                <w:webHidden/>
              </w:rPr>
              <w:instrText xml:space="preserve"> PAGEREF _Toc153550420 \h </w:instrText>
            </w:r>
            <w:r w:rsidR="00780BC6">
              <w:rPr>
                <w:webHidden/>
              </w:rPr>
            </w:r>
            <w:r w:rsidR="00780BC6">
              <w:rPr>
                <w:webHidden/>
              </w:rPr>
              <w:fldChar w:fldCharType="separate"/>
            </w:r>
            <w:r w:rsidR="00416739">
              <w:rPr>
                <w:webHidden/>
              </w:rPr>
              <w:t>42</w:t>
            </w:r>
            <w:r w:rsidR="00780BC6">
              <w:rPr>
                <w:webHidden/>
              </w:rPr>
              <w:fldChar w:fldCharType="end"/>
            </w:r>
          </w:hyperlink>
        </w:p>
        <w:p w14:paraId="1C41B497" w14:textId="343946E7" w:rsidR="00780BC6" w:rsidRDefault="00AD6673">
          <w:pPr>
            <w:pStyle w:val="TOC2"/>
            <w:rPr>
              <w:rFonts w:asciiTheme="minorHAnsi" w:eastAsiaTheme="minorEastAsia" w:hAnsiTheme="minorHAnsi" w:cstheme="minorBidi"/>
              <w:noProof/>
              <w:szCs w:val="22"/>
              <w:lang w:eastAsia="en-AU"/>
            </w:rPr>
          </w:pPr>
          <w:hyperlink w:anchor="_Toc153550421" w:history="1">
            <w:r w:rsidR="00780BC6" w:rsidRPr="00431E4D">
              <w:rPr>
                <w:rStyle w:val="Hyperlink"/>
                <w:noProof/>
              </w:rPr>
              <w:t>Educating about adverse event reporting</w:t>
            </w:r>
            <w:r w:rsidR="00780BC6">
              <w:rPr>
                <w:noProof/>
                <w:webHidden/>
              </w:rPr>
              <w:tab/>
            </w:r>
            <w:r w:rsidR="00780BC6">
              <w:rPr>
                <w:noProof/>
                <w:webHidden/>
              </w:rPr>
              <w:fldChar w:fldCharType="begin"/>
            </w:r>
            <w:r w:rsidR="00780BC6">
              <w:rPr>
                <w:noProof/>
                <w:webHidden/>
              </w:rPr>
              <w:instrText xml:space="preserve"> PAGEREF _Toc153550421 \h </w:instrText>
            </w:r>
            <w:r w:rsidR="00780BC6">
              <w:rPr>
                <w:noProof/>
                <w:webHidden/>
              </w:rPr>
            </w:r>
            <w:r w:rsidR="00780BC6">
              <w:rPr>
                <w:noProof/>
                <w:webHidden/>
              </w:rPr>
              <w:fldChar w:fldCharType="separate"/>
            </w:r>
            <w:r w:rsidR="00416739">
              <w:rPr>
                <w:noProof/>
                <w:webHidden/>
              </w:rPr>
              <w:t>43</w:t>
            </w:r>
            <w:r w:rsidR="00780BC6">
              <w:rPr>
                <w:noProof/>
                <w:webHidden/>
              </w:rPr>
              <w:fldChar w:fldCharType="end"/>
            </w:r>
          </w:hyperlink>
        </w:p>
        <w:p w14:paraId="1FB9CA2B" w14:textId="6CB13CFF" w:rsidR="00780BC6" w:rsidRDefault="00AD6673">
          <w:pPr>
            <w:pStyle w:val="TOC1"/>
            <w:rPr>
              <w:rFonts w:asciiTheme="minorHAnsi" w:eastAsiaTheme="minorEastAsia" w:hAnsiTheme="minorHAnsi" w:cstheme="minorBidi"/>
              <w:b w:val="0"/>
              <w:bCs w:val="0"/>
              <w:szCs w:val="22"/>
              <w:lang w:eastAsia="en-AU"/>
            </w:rPr>
          </w:pPr>
          <w:hyperlink w:anchor="_Toc153550422" w:history="1">
            <w:r w:rsidR="00780BC6" w:rsidRPr="00431E4D">
              <w:rPr>
                <w:rStyle w:val="Hyperlink"/>
              </w:rPr>
              <w:t>Strategic objective 3 – Promote compliance with regulatory requirements</w:t>
            </w:r>
            <w:r w:rsidR="00780BC6">
              <w:rPr>
                <w:webHidden/>
              </w:rPr>
              <w:tab/>
            </w:r>
            <w:r w:rsidR="00780BC6">
              <w:rPr>
                <w:webHidden/>
              </w:rPr>
              <w:fldChar w:fldCharType="begin"/>
            </w:r>
            <w:r w:rsidR="00780BC6">
              <w:rPr>
                <w:webHidden/>
              </w:rPr>
              <w:instrText xml:space="preserve"> PAGEREF _Toc153550422 \h </w:instrText>
            </w:r>
            <w:r w:rsidR="00780BC6">
              <w:rPr>
                <w:webHidden/>
              </w:rPr>
            </w:r>
            <w:r w:rsidR="00780BC6">
              <w:rPr>
                <w:webHidden/>
              </w:rPr>
              <w:fldChar w:fldCharType="separate"/>
            </w:r>
            <w:r w:rsidR="00416739">
              <w:rPr>
                <w:webHidden/>
              </w:rPr>
              <w:t>44</w:t>
            </w:r>
            <w:r w:rsidR="00780BC6">
              <w:rPr>
                <w:webHidden/>
              </w:rPr>
              <w:fldChar w:fldCharType="end"/>
            </w:r>
          </w:hyperlink>
        </w:p>
        <w:p w14:paraId="358D87C6" w14:textId="5E0AC0AA" w:rsidR="00780BC6" w:rsidRDefault="00AD6673">
          <w:pPr>
            <w:pStyle w:val="TOC2"/>
            <w:rPr>
              <w:rFonts w:asciiTheme="minorHAnsi" w:eastAsiaTheme="minorEastAsia" w:hAnsiTheme="minorHAnsi" w:cstheme="minorBidi"/>
              <w:noProof/>
              <w:szCs w:val="22"/>
              <w:lang w:eastAsia="en-AU"/>
            </w:rPr>
          </w:pPr>
          <w:hyperlink w:anchor="_Toc153550423" w:history="1">
            <w:r w:rsidR="00780BC6" w:rsidRPr="00431E4D">
              <w:rPr>
                <w:rStyle w:val="Hyperlink"/>
                <w:noProof/>
              </w:rPr>
              <w:t>Performance Indicators</w:t>
            </w:r>
            <w:r w:rsidR="00780BC6">
              <w:rPr>
                <w:noProof/>
                <w:webHidden/>
              </w:rPr>
              <w:tab/>
            </w:r>
            <w:r w:rsidR="00780BC6">
              <w:rPr>
                <w:noProof/>
                <w:webHidden/>
              </w:rPr>
              <w:fldChar w:fldCharType="begin"/>
            </w:r>
            <w:r w:rsidR="00780BC6">
              <w:rPr>
                <w:noProof/>
                <w:webHidden/>
              </w:rPr>
              <w:instrText xml:space="preserve"> PAGEREF _Toc153550423 \h </w:instrText>
            </w:r>
            <w:r w:rsidR="00780BC6">
              <w:rPr>
                <w:noProof/>
                <w:webHidden/>
              </w:rPr>
            </w:r>
            <w:r w:rsidR="00780BC6">
              <w:rPr>
                <w:noProof/>
                <w:webHidden/>
              </w:rPr>
              <w:fldChar w:fldCharType="separate"/>
            </w:r>
            <w:r w:rsidR="00416739">
              <w:rPr>
                <w:noProof/>
                <w:webHidden/>
              </w:rPr>
              <w:t>44</w:t>
            </w:r>
            <w:r w:rsidR="00780BC6">
              <w:rPr>
                <w:noProof/>
                <w:webHidden/>
              </w:rPr>
              <w:fldChar w:fldCharType="end"/>
            </w:r>
          </w:hyperlink>
        </w:p>
        <w:p w14:paraId="119E7A98" w14:textId="7E1394A5" w:rsidR="00780BC6" w:rsidRDefault="00AD6673">
          <w:pPr>
            <w:pStyle w:val="TOC2"/>
            <w:rPr>
              <w:rFonts w:asciiTheme="minorHAnsi" w:eastAsiaTheme="minorEastAsia" w:hAnsiTheme="minorHAnsi" w:cstheme="minorBidi"/>
              <w:noProof/>
              <w:szCs w:val="22"/>
              <w:lang w:eastAsia="en-AU"/>
            </w:rPr>
          </w:pPr>
          <w:hyperlink w:anchor="_Toc153550424" w:history="1">
            <w:r w:rsidR="00780BC6" w:rsidRPr="00431E4D">
              <w:rPr>
                <w:rStyle w:val="Hyperlink"/>
                <w:noProof/>
              </w:rPr>
              <w:t>Good Clinical Practice and Pharmacovigilance Inspection Programs</w:t>
            </w:r>
            <w:r w:rsidR="00780BC6">
              <w:rPr>
                <w:noProof/>
                <w:webHidden/>
              </w:rPr>
              <w:tab/>
            </w:r>
            <w:r w:rsidR="00780BC6">
              <w:rPr>
                <w:noProof/>
                <w:webHidden/>
              </w:rPr>
              <w:fldChar w:fldCharType="begin"/>
            </w:r>
            <w:r w:rsidR="00780BC6">
              <w:rPr>
                <w:noProof/>
                <w:webHidden/>
              </w:rPr>
              <w:instrText xml:space="preserve"> PAGEREF _Toc153550424 \h </w:instrText>
            </w:r>
            <w:r w:rsidR="00780BC6">
              <w:rPr>
                <w:noProof/>
                <w:webHidden/>
              </w:rPr>
            </w:r>
            <w:r w:rsidR="00780BC6">
              <w:rPr>
                <w:noProof/>
                <w:webHidden/>
              </w:rPr>
              <w:fldChar w:fldCharType="separate"/>
            </w:r>
            <w:r w:rsidR="00416739">
              <w:rPr>
                <w:noProof/>
                <w:webHidden/>
              </w:rPr>
              <w:t>45</w:t>
            </w:r>
            <w:r w:rsidR="00780BC6">
              <w:rPr>
                <w:noProof/>
                <w:webHidden/>
              </w:rPr>
              <w:fldChar w:fldCharType="end"/>
            </w:r>
          </w:hyperlink>
        </w:p>
        <w:p w14:paraId="07D1CD86" w14:textId="38BBE6F9" w:rsidR="00780BC6" w:rsidRDefault="00AD6673">
          <w:pPr>
            <w:pStyle w:val="TOC2"/>
            <w:rPr>
              <w:rFonts w:asciiTheme="minorHAnsi" w:eastAsiaTheme="minorEastAsia" w:hAnsiTheme="minorHAnsi" w:cstheme="minorBidi"/>
              <w:noProof/>
              <w:szCs w:val="22"/>
              <w:lang w:eastAsia="en-AU"/>
            </w:rPr>
          </w:pPr>
          <w:hyperlink w:anchor="_Toc153550425" w:history="1">
            <w:r w:rsidR="00780BC6" w:rsidRPr="00431E4D">
              <w:rPr>
                <w:rStyle w:val="Hyperlink"/>
                <w:noProof/>
              </w:rPr>
              <w:t>Enabling regulatory compliance through education and communication</w:t>
            </w:r>
            <w:r w:rsidR="00780BC6">
              <w:rPr>
                <w:noProof/>
                <w:webHidden/>
              </w:rPr>
              <w:tab/>
            </w:r>
            <w:r w:rsidR="00780BC6">
              <w:rPr>
                <w:noProof/>
                <w:webHidden/>
              </w:rPr>
              <w:fldChar w:fldCharType="begin"/>
            </w:r>
            <w:r w:rsidR="00780BC6">
              <w:rPr>
                <w:noProof/>
                <w:webHidden/>
              </w:rPr>
              <w:instrText xml:space="preserve"> PAGEREF _Toc153550425 \h </w:instrText>
            </w:r>
            <w:r w:rsidR="00780BC6">
              <w:rPr>
                <w:noProof/>
                <w:webHidden/>
              </w:rPr>
            </w:r>
            <w:r w:rsidR="00780BC6">
              <w:rPr>
                <w:noProof/>
                <w:webHidden/>
              </w:rPr>
              <w:fldChar w:fldCharType="separate"/>
            </w:r>
            <w:r w:rsidR="00416739">
              <w:rPr>
                <w:noProof/>
                <w:webHidden/>
              </w:rPr>
              <w:t>46</w:t>
            </w:r>
            <w:r w:rsidR="00780BC6">
              <w:rPr>
                <w:noProof/>
                <w:webHidden/>
              </w:rPr>
              <w:fldChar w:fldCharType="end"/>
            </w:r>
          </w:hyperlink>
        </w:p>
        <w:p w14:paraId="16C638EB" w14:textId="1A372C2F" w:rsidR="00780BC6" w:rsidRDefault="00AD6673">
          <w:pPr>
            <w:pStyle w:val="TOC2"/>
            <w:rPr>
              <w:rFonts w:asciiTheme="minorHAnsi" w:eastAsiaTheme="minorEastAsia" w:hAnsiTheme="minorHAnsi" w:cstheme="minorBidi"/>
              <w:noProof/>
              <w:szCs w:val="22"/>
              <w:lang w:eastAsia="en-AU"/>
            </w:rPr>
          </w:pPr>
          <w:hyperlink w:anchor="_Toc153550426" w:history="1">
            <w:r w:rsidR="00780BC6" w:rsidRPr="00431E4D">
              <w:rPr>
                <w:rStyle w:val="Hyperlink"/>
                <w:noProof/>
              </w:rPr>
              <w:t>Monitoring and enforcing compliance</w:t>
            </w:r>
            <w:r w:rsidR="00780BC6">
              <w:rPr>
                <w:noProof/>
                <w:webHidden/>
              </w:rPr>
              <w:tab/>
            </w:r>
            <w:r w:rsidR="00780BC6">
              <w:rPr>
                <w:noProof/>
                <w:webHidden/>
              </w:rPr>
              <w:fldChar w:fldCharType="begin"/>
            </w:r>
            <w:r w:rsidR="00780BC6">
              <w:rPr>
                <w:noProof/>
                <w:webHidden/>
              </w:rPr>
              <w:instrText xml:space="preserve"> PAGEREF _Toc153550426 \h </w:instrText>
            </w:r>
            <w:r w:rsidR="00780BC6">
              <w:rPr>
                <w:noProof/>
                <w:webHidden/>
              </w:rPr>
            </w:r>
            <w:r w:rsidR="00780BC6">
              <w:rPr>
                <w:noProof/>
                <w:webHidden/>
              </w:rPr>
              <w:fldChar w:fldCharType="separate"/>
            </w:r>
            <w:r w:rsidR="00416739">
              <w:rPr>
                <w:noProof/>
                <w:webHidden/>
              </w:rPr>
              <w:t>47</w:t>
            </w:r>
            <w:r w:rsidR="00780BC6">
              <w:rPr>
                <w:noProof/>
                <w:webHidden/>
              </w:rPr>
              <w:fldChar w:fldCharType="end"/>
            </w:r>
          </w:hyperlink>
        </w:p>
        <w:p w14:paraId="4D823B6E" w14:textId="537B63F3" w:rsidR="00780BC6" w:rsidRDefault="00AD6673">
          <w:pPr>
            <w:pStyle w:val="TOC2"/>
            <w:rPr>
              <w:rFonts w:asciiTheme="minorHAnsi" w:eastAsiaTheme="minorEastAsia" w:hAnsiTheme="minorHAnsi" w:cstheme="minorBidi"/>
              <w:noProof/>
              <w:szCs w:val="22"/>
              <w:lang w:eastAsia="en-AU"/>
            </w:rPr>
          </w:pPr>
          <w:hyperlink w:anchor="_Toc153550427" w:history="1">
            <w:r w:rsidR="00780BC6" w:rsidRPr="00431E4D">
              <w:rPr>
                <w:rStyle w:val="Hyperlink"/>
                <w:noProof/>
              </w:rPr>
              <w:t>Data analytics and operational intelligence</w:t>
            </w:r>
            <w:r w:rsidR="00780BC6">
              <w:rPr>
                <w:noProof/>
                <w:webHidden/>
              </w:rPr>
              <w:tab/>
            </w:r>
            <w:r w:rsidR="00780BC6">
              <w:rPr>
                <w:noProof/>
                <w:webHidden/>
              </w:rPr>
              <w:fldChar w:fldCharType="begin"/>
            </w:r>
            <w:r w:rsidR="00780BC6">
              <w:rPr>
                <w:noProof/>
                <w:webHidden/>
              </w:rPr>
              <w:instrText xml:space="preserve"> PAGEREF _Toc153550427 \h </w:instrText>
            </w:r>
            <w:r w:rsidR="00780BC6">
              <w:rPr>
                <w:noProof/>
                <w:webHidden/>
              </w:rPr>
            </w:r>
            <w:r w:rsidR="00780BC6">
              <w:rPr>
                <w:noProof/>
                <w:webHidden/>
              </w:rPr>
              <w:fldChar w:fldCharType="separate"/>
            </w:r>
            <w:r w:rsidR="00416739">
              <w:rPr>
                <w:noProof/>
                <w:webHidden/>
              </w:rPr>
              <w:t>48</w:t>
            </w:r>
            <w:r w:rsidR="00780BC6">
              <w:rPr>
                <w:noProof/>
                <w:webHidden/>
              </w:rPr>
              <w:fldChar w:fldCharType="end"/>
            </w:r>
          </w:hyperlink>
        </w:p>
        <w:p w14:paraId="182EBD4F" w14:textId="65D93870" w:rsidR="00780BC6" w:rsidRDefault="00AD6673">
          <w:pPr>
            <w:pStyle w:val="TOC3"/>
            <w:rPr>
              <w:rFonts w:asciiTheme="minorHAnsi" w:eastAsiaTheme="minorEastAsia" w:hAnsiTheme="minorHAnsi" w:cstheme="minorBidi"/>
              <w:noProof/>
              <w:szCs w:val="22"/>
              <w:lang w:eastAsia="en-AU"/>
            </w:rPr>
          </w:pPr>
          <w:hyperlink w:anchor="_Toc153550428" w:history="1">
            <w:r w:rsidR="00780BC6" w:rsidRPr="00431E4D">
              <w:rPr>
                <w:rStyle w:val="Hyperlink"/>
                <w:noProof/>
              </w:rPr>
              <w:t>Enhancing data analytics</w:t>
            </w:r>
            <w:r w:rsidR="00780BC6">
              <w:rPr>
                <w:noProof/>
                <w:webHidden/>
              </w:rPr>
              <w:tab/>
            </w:r>
            <w:r w:rsidR="00780BC6">
              <w:rPr>
                <w:noProof/>
                <w:webHidden/>
              </w:rPr>
              <w:fldChar w:fldCharType="begin"/>
            </w:r>
            <w:r w:rsidR="00780BC6">
              <w:rPr>
                <w:noProof/>
                <w:webHidden/>
              </w:rPr>
              <w:instrText xml:space="preserve"> PAGEREF _Toc153550428 \h </w:instrText>
            </w:r>
            <w:r w:rsidR="00780BC6">
              <w:rPr>
                <w:noProof/>
                <w:webHidden/>
              </w:rPr>
            </w:r>
            <w:r w:rsidR="00780BC6">
              <w:rPr>
                <w:noProof/>
                <w:webHidden/>
              </w:rPr>
              <w:fldChar w:fldCharType="separate"/>
            </w:r>
            <w:r w:rsidR="00416739">
              <w:rPr>
                <w:noProof/>
                <w:webHidden/>
              </w:rPr>
              <w:t>48</w:t>
            </w:r>
            <w:r w:rsidR="00780BC6">
              <w:rPr>
                <w:noProof/>
                <w:webHidden/>
              </w:rPr>
              <w:fldChar w:fldCharType="end"/>
            </w:r>
          </w:hyperlink>
        </w:p>
        <w:p w14:paraId="54214B14" w14:textId="22E27BF2" w:rsidR="00780BC6" w:rsidRDefault="00AD6673">
          <w:pPr>
            <w:pStyle w:val="TOC3"/>
            <w:rPr>
              <w:rFonts w:asciiTheme="minorHAnsi" w:eastAsiaTheme="minorEastAsia" w:hAnsiTheme="minorHAnsi" w:cstheme="minorBidi"/>
              <w:noProof/>
              <w:szCs w:val="22"/>
              <w:lang w:eastAsia="en-AU"/>
            </w:rPr>
          </w:pPr>
          <w:hyperlink w:anchor="_Toc153550429" w:history="1">
            <w:r w:rsidR="00780BC6" w:rsidRPr="00431E4D">
              <w:rPr>
                <w:rStyle w:val="Hyperlink"/>
                <w:noProof/>
              </w:rPr>
              <w:t>Embedding operational intelligence</w:t>
            </w:r>
            <w:r w:rsidR="00780BC6">
              <w:rPr>
                <w:noProof/>
                <w:webHidden/>
              </w:rPr>
              <w:tab/>
            </w:r>
            <w:r w:rsidR="00780BC6">
              <w:rPr>
                <w:noProof/>
                <w:webHidden/>
              </w:rPr>
              <w:fldChar w:fldCharType="begin"/>
            </w:r>
            <w:r w:rsidR="00780BC6">
              <w:rPr>
                <w:noProof/>
                <w:webHidden/>
              </w:rPr>
              <w:instrText xml:space="preserve"> PAGEREF _Toc153550429 \h </w:instrText>
            </w:r>
            <w:r w:rsidR="00780BC6">
              <w:rPr>
                <w:noProof/>
                <w:webHidden/>
              </w:rPr>
            </w:r>
            <w:r w:rsidR="00780BC6">
              <w:rPr>
                <w:noProof/>
                <w:webHidden/>
              </w:rPr>
              <w:fldChar w:fldCharType="separate"/>
            </w:r>
            <w:r w:rsidR="00416739">
              <w:rPr>
                <w:noProof/>
                <w:webHidden/>
              </w:rPr>
              <w:t>48</w:t>
            </w:r>
            <w:r w:rsidR="00780BC6">
              <w:rPr>
                <w:noProof/>
                <w:webHidden/>
              </w:rPr>
              <w:fldChar w:fldCharType="end"/>
            </w:r>
          </w:hyperlink>
        </w:p>
        <w:p w14:paraId="1C4A0DC4" w14:textId="2C7FA2DF" w:rsidR="00780BC6" w:rsidRDefault="00AD6673">
          <w:pPr>
            <w:pStyle w:val="TOC3"/>
            <w:rPr>
              <w:rFonts w:asciiTheme="minorHAnsi" w:eastAsiaTheme="minorEastAsia" w:hAnsiTheme="minorHAnsi" w:cstheme="minorBidi"/>
              <w:noProof/>
              <w:szCs w:val="22"/>
              <w:lang w:eastAsia="en-AU"/>
            </w:rPr>
          </w:pPr>
          <w:hyperlink w:anchor="_Toc153550430" w:history="1">
            <w:r w:rsidR="00780BC6" w:rsidRPr="00431E4D">
              <w:rPr>
                <w:rStyle w:val="Hyperlink"/>
                <w:noProof/>
              </w:rPr>
              <w:t>Compliance of listed medicines</w:t>
            </w:r>
            <w:r w:rsidR="00780BC6">
              <w:rPr>
                <w:noProof/>
                <w:webHidden/>
              </w:rPr>
              <w:tab/>
            </w:r>
            <w:r w:rsidR="00780BC6">
              <w:rPr>
                <w:noProof/>
                <w:webHidden/>
              </w:rPr>
              <w:fldChar w:fldCharType="begin"/>
            </w:r>
            <w:r w:rsidR="00780BC6">
              <w:rPr>
                <w:noProof/>
                <w:webHidden/>
              </w:rPr>
              <w:instrText xml:space="preserve"> PAGEREF _Toc153550430 \h </w:instrText>
            </w:r>
            <w:r w:rsidR="00780BC6">
              <w:rPr>
                <w:noProof/>
                <w:webHidden/>
              </w:rPr>
            </w:r>
            <w:r w:rsidR="00780BC6">
              <w:rPr>
                <w:noProof/>
                <w:webHidden/>
              </w:rPr>
              <w:fldChar w:fldCharType="separate"/>
            </w:r>
            <w:r w:rsidR="00416739">
              <w:rPr>
                <w:noProof/>
                <w:webHidden/>
              </w:rPr>
              <w:t>50</w:t>
            </w:r>
            <w:r w:rsidR="00780BC6">
              <w:rPr>
                <w:noProof/>
                <w:webHidden/>
              </w:rPr>
              <w:fldChar w:fldCharType="end"/>
            </w:r>
          </w:hyperlink>
        </w:p>
        <w:p w14:paraId="5FFEE753" w14:textId="6A8E5DC3" w:rsidR="00780BC6" w:rsidRDefault="00AD6673">
          <w:pPr>
            <w:pStyle w:val="TOC1"/>
            <w:rPr>
              <w:rFonts w:asciiTheme="minorHAnsi" w:eastAsiaTheme="minorEastAsia" w:hAnsiTheme="minorHAnsi" w:cstheme="minorBidi"/>
              <w:b w:val="0"/>
              <w:bCs w:val="0"/>
              <w:szCs w:val="22"/>
              <w:lang w:eastAsia="en-AU"/>
            </w:rPr>
          </w:pPr>
          <w:hyperlink w:anchor="_Toc153550431" w:history="1">
            <w:r w:rsidR="00780BC6" w:rsidRPr="00431E4D">
              <w:rPr>
                <w:rStyle w:val="Hyperlink"/>
              </w:rPr>
              <w:t>Strategic objective 4 – Innovate and continuously improve</w:t>
            </w:r>
            <w:r w:rsidR="00780BC6">
              <w:rPr>
                <w:webHidden/>
              </w:rPr>
              <w:tab/>
            </w:r>
            <w:r w:rsidR="00780BC6">
              <w:rPr>
                <w:webHidden/>
              </w:rPr>
              <w:fldChar w:fldCharType="begin"/>
            </w:r>
            <w:r w:rsidR="00780BC6">
              <w:rPr>
                <w:webHidden/>
              </w:rPr>
              <w:instrText xml:space="preserve"> PAGEREF _Toc153550431 \h </w:instrText>
            </w:r>
            <w:r w:rsidR="00780BC6">
              <w:rPr>
                <w:webHidden/>
              </w:rPr>
            </w:r>
            <w:r w:rsidR="00780BC6">
              <w:rPr>
                <w:webHidden/>
              </w:rPr>
              <w:fldChar w:fldCharType="separate"/>
            </w:r>
            <w:r w:rsidR="00416739">
              <w:rPr>
                <w:webHidden/>
              </w:rPr>
              <w:t>51</w:t>
            </w:r>
            <w:r w:rsidR="00780BC6">
              <w:rPr>
                <w:webHidden/>
              </w:rPr>
              <w:fldChar w:fldCharType="end"/>
            </w:r>
          </w:hyperlink>
        </w:p>
        <w:p w14:paraId="50FD5429" w14:textId="2156332A" w:rsidR="00780BC6" w:rsidRDefault="00AD6673">
          <w:pPr>
            <w:pStyle w:val="TOC3"/>
            <w:rPr>
              <w:rFonts w:asciiTheme="minorHAnsi" w:eastAsiaTheme="minorEastAsia" w:hAnsiTheme="minorHAnsi" w:cstheme="minorBidi"/>
              <w:noProof/>
              <w:szCs w:val="22"/>
              <w:lang w:eastAsia="en-AU"/>
            </w:rPr>
          </w:pPr>
          <w:hyperlink w:anchor="_Toc153550432" w:history="1">
            <w:r w:rsidR="00780BC6" w:rsidRPr="00431E4D">
              <w:rPr>
                <w:rStyle w:val="Hyperlink"/>
                <w:bCs/>
                <w:noProof/>
              </w:rPr>
              <w:t>Case Study – Continued capability development through the Regulatory Science Strategy 2020-2025</w:t>
            </w:r>
            <w:r w:rsidR="00780BC6">
              <w:rPr>
                <w:noProof/>
                <w:webHidden/>
              </w:rPr>
              <w:tab/>
            </w:r>
            <w:r w:rsidR="00780BC6">
              <w:rPr>
                <w:noProof/>
                <w:webHidden/>
              </w:rPr>
              <w:fldChar w:fldCharType="begin"/>
            </w:r>
            <w:r w:rsidR="00780BC6">
              <w:rPr>
                <w:noProof/>
                <w:webHidden/>
              </w:rPr>
              <w:instrText xml:space="preserve"> PAGEREF _Toc153550432 \h </w:instrText>
            </w:r>
            <w:r w:rsidR="00780BC6">
              <w:rPr>
                <w:noProof/>
                <w:webHidden/>
              </w:rPr>
            </w:r>
            <w:r w:rsidR="00780BC6">
              <w:rPr>
                <w:noProof/>
                <w:webHidden/>
              </w:rPr>
              <w:fldChar w:fldCharType="separate"/>
            </w:r>
            <w:r w:rsidR="00416739">
              <w:rPr>
                <w:noProof/>
                <w:webHidden/>
              </w:rPr>
              <w:t>51</w:t>
            </w:r>
            <w:r w:rsidR="00780BC6">
              <w:rPr>
                <w:noProof/>
                <w:webHidden/>
              </w:rPr>
              <w:fldChar w:fldCharType="end"/>
            </w:r>
          </w:hyperlink>
        </w:p>
        <w:p w14:paraId="21929026" w14:textId="0E8F5425" w:rsidR="00780BC6" w:rsidRDefault="00AD6673">
          <w:pPr>
            <w:pStyle w:val="TOC2"/>
            <w:rPr>
              <w:rFonts w:asciiTheme="minorHAnsi" w:eastAsiaTheme="minorEastAsia" w:hAnsiTheme="minorHAnsi" w:cstheme="minorBidi"/>
              <w:noProof/>
              <w:szCs w:val="22"/>
              <w:lang w:eastAsia="en-AU"/>
            </w:rPr>
          </w:pPr>
          <w:hyperlink w:anchor="_Toc153550433" w:history="1">
            <w:r w:rsidR="00780BC6" w:rsidRPr="00431E4D">
              <w:rPr>
                <w:rStyle w:val="Hyperlink"/>
                <w:noProof/>
              </w:rPr>
              <w:t>Performance Indicators</w:t>
            </w:r>
            <w:r w:rsidR="00780BC6">
              <w:rPr>
                <w:noProof/>
                <w:webHidden/>
              </w:rPr>
              <w:tab/>
            </w:r>
            <w:r w:rsidR="00780BC6">
              <w:rPr>
                <w:noProof/>
                <w:webHidden/>
              </w:rPr>
              <w:fldChar w:fldCharType="begin"/>
            </w:r>
            <w:r w:rsidR="00780BC6">
              <w:rPr>
                <w:noProof/>
                <w:webHidden/>
              </w:rPr>
              <w:instrText xml:space="preserve"> PAGEREF _Toc153550433 \h </w:instrText>
            </w:r>
            <w:r w:rsidR="00780BC6">
              <w:rPr>
                <w:noProof/>
                <w:webHidden/>
              </w:rPr>
            </w:r>
            <w:r w:rsidR="00780BC6">
              <w:rPr>
                <w:noProof/>
                <w:webHidden/>
              </w:rPr>
              <w:fldChar w:fldCharType="separate"/>
            </w:r>
            <w:r w:rsidR="00416739">
              <w:rPr>
                <w:noProof/>
                <w:webHidden/>
              </w:rPr>
              <w:t>51</w:t>
            </w:r>
            <w:r w:rsidR="00780BC6">
              <w:rPr>
                <w:noProof/>
                <w:webHidden/>
              </w:rPr>
              <w:fldChar w:fldCharType="end"/>
            </w:r>
          </w:hyperlink>
        </w:p>
        <w:p w14:paraId="0EB0C0D3" w14:textId="52B3A643" w:rsidR="00780BC6" w:rsidRDefault="00AD6673">
          <w:pPr>
            <w:pStyle w:val="TOC2"/>
            <w:rPr>
              <w:rFonts w:asciiTheme="minorHAnsi" w:eastAsiaTheme="minorEastAsia" w:hAnsiTheme="minorHAnsi" w:cstheme="minorBidi"/>
              <w:noProof/>
              <w:szCs w:val="22"/>
              <w:lang w:eastAsia="en-AU"/>
            </w:rPr>
          </w:pPr>
          <w:hyperlink w:anchor="_Toc153550434" w:history="1">
            <w:r w:rsidR="00780BC6" w:rsidRPr="00431E4D">
              <w:rPr>
                <w:rStyle w:val="Hyperlink"/>
                <w:noProof/>
                <w:lang w:val="en"/>
              </w:rPr>
              <w:t>Digital transformation</w:t>
            </w:r>
            <w:r w:rsidR="00780BC6">
              <w:rPr>
                <w:noProof/>
                <w:webHidden/>
              </w:rPr>
              <w:tab/>
            </w:r>
            <w:r w:rsidR="00780BC6">
              <w:rPr>
                <w:noProof/>
                <w:webHidden/>
              </w:rPr>
              <w:fldChar w:fldCharType="begin"/>
            </w:r>
            <w:r w:rsidR="00780BC6">
              <w:rPr>
                <w:noProof/>
                <w:webHidden/>
              </w:rPr>
              <w:instrText xml:space="preserve"> PAGEREF _Toc153550434 \h </w:instrText>
            </w:r>
            <w:r w:rsidR="00780BC6">
              <w:rPr>
                <w:noProof/>
                <w:webHidden/>
              </w:rPr>
            </w:r>
            <w:r w:rsidR="00780BC6">
              <w:rPr>
                <w:noProof/>
                <w:webHidden/>
              </w:rPr>
              <w:fldChar w:fldCharType="separate"/>
            </w:r>
            <w:r w:rsidR="00416739">
              <w:rPr>
                <w:noProof/>
                <w:webHidden/>
              </w:rPr>
              <w:t>52</w:t>
            </w:r>
            <w:r w:rsidR="00780BC6">
              <w:rPr>
                <w:noProof/>
                <w:webHidden/>
              </w:rPr>
              <w:fldChar w:fldCharType="end"/>
            </w:r>
          </w:hyperlink>
        </w:p>
        <w:p w14:paraId="2DE208EA" w14:textId="1E6D8F13" w:rsidR="00780BC6" w:rsidRDefault="00AD6673">
          <w:pPr>
            <w:pStyle w:val="TOC2"/>
            <w:rPr>
              <w:rFonts w:asciiTheme="minorHAnsi" w:eastAsiaTheme="minorEastAsia" w:hAnsiTheme="minorHAnsi" w:cstheme="minorBidi"/>
              <w:noProof/>
              <w:szCs w:val="22"/>
              <w:lang w:eastAsia="en-AU"/>
            </w:rPr>
          </w:pPr>
          <w:hyperlink w:anchor="_Toc153550435" w:history="1">
            <w:r w:rsidR="00780BC6" w:rsidRPr="00431E4D">
              <w:rPr>
                <w:rStyle w:val="Hyperlink"/>
                <w:noProof/>
                <w:shd w:val="clear" w:color="auto" w:fill="FFFFFF"/>
              </w:rPr>
              <w:t>Consolidation of data assets</w:t>
            </w:r>
            <w:r w:rsidR="00780BC6">
              <w:rPr>
                <w:noProof/>
                <w:webHidden/>
              </w:rPr>
              <w:tab/>
            </w:r>
            <w:r w:rsidR="00780BC6">
              <w:rPr>
                <w:noProof/>
                <w:webHidden/>
              </w:rPr>
              <w:fldChar w:fldCharType="begin"/>
            </w:r>
            <w:r w:rsidR="00780BC6">
              <w:rPr>
                <w:noProof/>
                <w:webHidden/>
              </w:rPr>
              <w:instrText xml:space="preserve"> PAGEREF _Toc153550435 \h </w:instrText>
            </w:r>
            <w:r w:rsidR="00780BC6">
              <w:rPr>
                <w:noProof/>
                <w:webHidden/>
              </w:rPr>
            </w:r>
            <w:r w:rsidR="00780BC6">
              <w:rPr>
                <w:noProof/>
                <w:webHidden/>
              </w:rPr>
              <w:fldChar w:fldCharType="separate"/>
            </w:r>
            <w:r w:rsidR="00416739">
              <w:rPr>
                <w:noProof/>
                <w:webHidden/>
              </w:rPr>
              <w:t>53</w:t>
            </w:r>
            <w:r w:rsidR="00780BC6">
              <w:rPr>
                <w:noProof/>
                <w:webHidden/>
              </w:rPr>
              <w:fldChar w:fldCharType="end"/>
            </w:r>
          </w:hyperlink>
        </w:p>
        <w:p w14:paraId="537CBD91" w14:textId="335ED299" w:rsidR="00780BC6" w:rsidRDefault="00AD6673">
          <w:pPr>
            <w:pStyle w:val="TOC2"/>
            <w:rPr>
              <w:rFonts w:asciiTheme="minorHAnsi" w:eastAsiaTheme="minorEastAsia" w:hAnsiTheme="minorHAnsi" w:cstheme="minorBidi"/>
              <w:noProof/>
              <w:szCs w:val="22"/>
              <w:lang w:eastAsia="en-AU"/>
            </w:rPr>
          </w:pPr>
          <w:hyperlink w:anchor="_Toc153550436" w:history="1">
            <w:r w:rsidR="00780BC6" w:rsidRPr="00431E4D">
              <w:rPr>
                <w:rStyle w:val="Hyperlink"/>
                <w:noProof/>
              </w:rPr>
              <w:t>Modernisation of the TGA Laboratories</w:t>
            </w:r>
            <w:r w:rsidR="00780BC6">
              <w:rPr>
                <w:noProof/>
                <w:webHidden/>
              </w:rPr>
              <w:tab/>
            </w:r>
            <w:r w:rsidR="00780BC6">
              <w:rPr>
                <w:noProof/>
                <w:webHidden/>
              </w:rPr>
              <w:fldChar w:fldCharType="begin"/>
            </w:r>
            <w:r w:rsidR="00780BC6">
              <w:rPr>
                <w:noProof/>
                <w:webHidden/>
              </w:rPr>
              <w:instrText xml:space="preserve"> PAGEREF _Toc153550436 \h </w:instrText>
            </w:r>
            <w:r w:rsidR="00780BC6">
              <w:rPr>
                <w:noProof/>
                <w:webHidden/>
              </w:rPr>
            </w:r>
            <w:r w:rsidR="00780BC6">
              <w:rPr>
                <w:noProof/>
                <w:webHidden/>
              </w:rPr>
              <w:fldChar w:fldCharType="separate"/>
            </w:r>
            <w:r w:rsidR="00416739">
              <w:rPr>
                <w:noProof/>
                <w:webHidden/>
              </w:rPr>
              <w:t>53</w:t>
            </w:r>
            <w:r w:rsidR="00780BC6">
              <w:rPr>
                <w:noProof/>
                <w:webHidden/>
              </w:rPr>
              <w:fldChar w:fldCharType="end"/>
            </w:r>
          </w:hyperlink>
        </w:p>
        <w:p w14:paraId="7381453B" w14:textId="64AA406C" w:rsidR="00780BC6" w:rsidRDefault="00AD6673">
          <w:pPr>
            <w:pStyle w:val="TOC2"/>
            <w:rPr>
              <w:rFonts w:asciiTheme="minorHAnsi" w:eastAsiaTheme="minorEastAsia" w:hAnsiTheme="minorHAnsi" w:cstheme="minorBidi"/>
              <w:noProof/>
              <w:szCs w:val="22"/>
              <w:lang w:eastAsia="en-AU"/>
            </w:rPr>
          </w:pPr>
          <w:hyperlink w:anchor="_Toc153550437" w:history="1">
            <w:r w:rsidR="00780BC6" w:rsidRPr="00431E4D">
              <w:rPr>
                <w:rStyle w:val="Hyperlink"/>
                <w:noProof/>
              </w:rPr>
              <w:t>Redeveloped TGA website</w:t>
            </w:r>
            <w:r w:rsidR="00780BC6">
              <w:rPr>
                <w:noProof/>
                <w:webHidden/>
              </w:rPr>
              <w:tab/>
            </w:r>
            <w:r w:rsidR="00780BC6">
              <w:rPr>
                <w:noProof/>
                <w:webHidden/>
              </w:rPr>
              <w:fldChar w:fldCharType="begin"/>
            </w:r>
            <w:r w:rsidR="00780BC6">
              <w:rPr>
                <w:noProof/>
                <w:webHidden/>
              </w:rPr>
              <w:instrText xml:space="preserve"> PAGEREF _Toc153550437 \h </w:instrText>
            </w:r>
            <w:r w:rsidR="00780BC6">
              <w:rPr>
                <w:noProof/>
                <w:webHidden/>
              </w:rPr>
            </w:r>
            <w:r w:rsidR="00780BC6">
              <w:rPr>
                <w:noProof/>
                <w:webHidden/>
              </w:rPr>
              <w:fldChar w:fldCharType="separate"/>
            </w:r>
            <w:r w:rsidR="00416739">
              <w:rPr>
                <w:noProof/>
                <w:webHidden/>
              </w:rPr>
              <w:t>53</w:t>
            </w:r>
            <w:r w:rsidR="00780BC6">
              <w:rPr>
                <w:noProof/>
                <w:webHidden/>
              </w:rPr>
              <w:fldChar w:fldCharType="end"/>
            </w:r>
          </w:hyperlink>
        </w:p>
        <w:p w14:paraId="4149D54E" w14:textId="3B122A14" w:rsidR="00780BC6" w:rsidRDefault="00AD6673">
          <w:pPr>
            <w:pStyle w:val="TOC2"/>
            <w:rPr>
              <w:rFonts w:asciiTheme="minorHAnsi" w:eastAsiaTheme="minorEastAsia" w:hAnsiTheme="minorHAnsi" w:cstheme="minorBidi"/>
              <w:noProof/>
              <w:szCs w:val="22"/>
              <w:lang w:eastAsia="en-AU"/>
            </w:rPr>
          </w:pPr>
          <w:hyperlink w:anchor="_Toc153550438" w:history="1">
            <w:r w:rsidR="00780BC6" w:rsidRPr="00431E4D">
              <w:rPr>
                <w:rStyle w:val="Hyperlink"/>
                <w:noProof/>
              </w:rPr>
              <w:t>Searchable Poison Standard database</w:t>
            </w:r>
            <w:r w:rsidR="00780BC6">
              <w:rPr>
                <w:noProof/>
                <w:webHidden/>
              </w:rPr>
              <w:tab/>
            </w:r>
            <w:r w:rsidR="00780BC6">
              <w:rPr>
                <w:noProof/>
                <w:webHidden/>
              </w:rPr>
              <w:fldChar w:fldCharType="begin"/>
            </w:r>
            <w:r w:rsidR="00780BC6">
              <w:rPr>
                <w:noProof/>
                <w:webHidden/>
              </w:rPr>
              <w:instrText xml:space="preserve"> PAGEREF _Toc153550438 \h </w:instrText>
            </w:r>
            <w:r w:rsidR="00780BC6">
              <w:rPr>
                <w:noProof/>
                <w:webHidden/>
              </w:rPr>
            </w:r>
            <w:r w:rsidR="00780BC6">
              <w:rPr>
                <w:noProof/>
                <w:webHidden/>
              </w:rPr>
              <w:fldChar w:fldCharType="separate"/>
            </w:r>
            <w:r w:rsidR="00416739">
              <w:rPr>
                <w:noProof/>
                <w:webHidden/>
              </w:rPr>
              <w:t>54</w:t>
            </w:r>
            <w:r w:rsidR="00780BC6">
              <w:rPr>
                <w:noProof/>
                <w:webHidden/>
              </w:rPr>
              <w:fldChar w:fldCharType="end"/>
            </w:r>
          </w:hyperlink>
        </w:p>
        <w:p w14:paraId="4888E854" w14:textId="33FB5B17" w:rsidR="00780BC6" w:rsidRDefault="00AD6673">
          <w:pPr>
            <w:pStyle w:val="TOC2"/>
            <w:rPr>
              <w:rFonts w:asciiTheme="minorHAnsi" w:eastAsiaTheme="minorEastAsia" w:hAnsiTheme="minorHAnsi" w:cstheme="minorBidi"/>
              <w:noProof/>
              <w:szCs w:val="22"/>
              <w:lang w:eastAsia="en-AU"/>
            </w:rPr>
          </w:pPr>
          <w:hyperlink w:anchor="_Toc153550439" w:history="1">
            <w:r w:rsidR="00780BC6" w:rsidRPr="00431E4D">
              <w:rPr>
                <w:rStyle w:val="Hyperlink"/>
                <w:noProof/>
              </w:rPr>
              <w:t>Sharing of adverse event information</w:t>
            </w:r>
            <w:r w:rsidR="00780BC6">
              <w:rPr>
                <w:noProof/>
                <w:webHidden/>
              </w:rPr>
              <w:tab/>
            </w:r>
            <w:r w:rsidR="00780BC6">
              <w:rPr>
                <w:noProof/>
                <w:webHidden/>
              </w:rPr>
              <w:fldChar w:fldCharType="begin"/>
            </w:r>
            <w:r w:rsidR="00780BC6">
              <w:rPr>
                <w:noProof/>
                <w:webHidden/>
              </w:rPr>
              <w:instrText xml:space="preserve"> PAGEREF _Toc153550439 \h </w:instrText>
            </w:r>
            <w:r w:rsidR="00780BC6">
              <w:rPr>
                <w:noProof/>
                <w:webHidden/>
              </w:rPr>
            </w:r>
            <w:r w:rsidR="00780BC6">
              <w:rPr>
                <w:noProof/>
                <w:webHidden/>
              </w:rPr>
              <w:fldChar w:fldCharType="separate"/>
            </w:r>
            <w:r w:rsidR="00416739">
              <w:rPr>
                <w:noProof/>
                <w:webHidden/>
              </w:rPr>
              <w:t>54</w:t>
            </w:r>
            <w:r w:rsidR="00780BC6">
              <w:rPr>
                <w:noProof/>
                <w:webHidden/>
              </w:rPr>
              <w:fldChar w:fldCharType="end"/>
            </w:r>
          </w:hyperlink>
        </w:p>
        <w:p w14:paraId="4745B3EF" w14:textId="16EC01C6" w:rsidR="00780BC6" w:rsidRDefault="00AD6673">
          <w:pPr>
            <w:pStyle w:val="TOC2"/>
            <w:rPr>
              <w:rFonts w:asciiTheme="minorHAnsi" w:eastAsiaTheme="minorEastAsia" w:hAnsiTheme="minorHAnsi" w:cstheme="minorBidi"/>
              <w:noProof/>
              <w:szCs w:val="22"/>
              <w:lang w:eastAsia="en-AU"/>
            </w:rPr>
          </w:pPr>
          <w:hyperlink w:anchor="_Toc153550440" w:history="1">
            <w:r w:rsidR="00780BC6" w:rsidRPr="00431E4D">
              <w:rPr>
                <w:rStyle w:val="Hyperlink"/>
                <w:noProof/>
              </w:rPr>
              <w:t>Building links with universities, international regulators and industry</w:t>
            </w:r>
            <w:r w:rsidR="00780BC6">
              <w:rPr>
                <w:noProof/>
                <w:webHidden/>
              </w:rPr>
              <w:tab/>
            </w:r>
            <w:r w:rsidR="00780BC6">
              <w:rPr>
                <w:noProof/>
                <w:webHidden/>
              </w:rPr>
              <w:fldChar w:fldCharType="begin"/>
            </w:r>
            <w:r w:rsidR="00780BC6">
              <w:rPr>
                <w:noProof/>
                <w:webHidden/>
              </w:rPr>
              <w:instrText xml:space="preserve"> PAGEREF _Toc153550440 \h </w:instrText>
            </w:r>
            <w:r w:rsidR="00780BC6">
              <w:rPr>
                <w:noProof/>
                <w:webHidden/>
              </w:rPr>
            </w:r>
            <w:r w:rsidR="00780BC6">
              <w:rPr>
                <w:noProof/>
                <w:webHidden/>
              </w:rPr>
              <w:fldChar w:fldCharType="separate"/>
            </w:r>
            <w:r w:rsidR="00416739">
              <w:rPr>
                <w:noProof/>
                <w:webHidden/>
              </w:rPr>
              <w:t>54</w:t>
            </w:r>
            <w:r w:rsidR="00780BC6">
              <w:rPr>
                <w:noProof/>
                <w:webHidden/>
              </w:rPr>
              <w:fldChar w:fldCharType="end"/>
            </w:r>
          </w:hyperlink>
        </w:p>
        <w:p w14:paraId="5814B45C" w14:textId="2A8DBF46" w:rsidR="00780BC6" w:rsidRDefault="00AD6673">
          <w:pPr>
            <w:pStyle w:val="TOC2"/>
            <w:rPr>
              <w:rFonts w:asciiTheme="minorHAnsi" w:eastAsiaTheme="minorEastAsia" w:hAnsiTheme="minorHAnsi" w:cstheme="minorBidi"/>
              <w:noProof/>
              <w:szCs w:val="22"/>
              <w:lang w:eastAsia="en-AU"/>
            </w:rPr>
          </w:pPr>
          <w:hyperlink w:anchor="_Toc153550441" w:history="1">
            <w:r w:rsidR="00780BC6" w:rsidRPr="00431E4D">
              <w:rPr>
                <w:rStyle w:val="Hyperlink"/>
                <w:noProof/>
              </w:rPr>
              <w:t>Consolidated view of data to improve data analytics capabilities</w:t>
            </w:r>
            <w:r w:rsidR="00780BC6">
              <w:rPr>
                <w:noProof/>
                <w:webHidden/>
              </w:rPr>
              <w:tab/>
            </w:r>
            <w:r w:rsidR="00780BC6">
              <w:rPr>
                <w:noProof/>
                <w:webHidden/>
              </w:rPr>
              <w:fldChar w:fldCharType="begin"/>
            </w:r>
            <w:r w:rsidR="00780BC6">
              <w:rPr>
                <w:noProof/>
                <w:webHidden/>
              </w:rPr>
              <w:instrText xml:space="preserve"> PAGEREF _Toc153550441 \h </w:instrText>
            </w:r>
            <w:r w:rsidR="00780BC6">
              <w:rPr>
                <w:noProof/>
                <w:webHidden/>
              </w:rPr>
            </w:r>
            <w:r w:rsidR="00780BC6">
              <w:rPr>
                <w:noProof/>
                <w:webHidden/>
              </w:rPr>
              <w:fldChar w:fldCharType="separate"/>
            </w:r>
            <w:r w:rsidR="00416739">
              <w:rPr>
                <w:noProof/>
                <w:webHidden/>
              </w:rPr>
              <w:t>55</w:t>
            </w:r>
            <w:r w:rsidR="00780BC6">
              <w:rPr>
                <w:noProof/>
                <w:webHidden/>
              </w:rPr>
              <w:fldChar w:fldCharType="end"/>
            </w:r>
          </w:hyperlink>
        </w:p>
        <w:p w14:paraId="2D5813C6" w14:textId="23893386" w:rsidR="00780BC6" w:rsidRDefault="00AD6673">
          <w:pPr>
            <w:pStyle w:val="TOC2"/>
            <w:rPr>
              <w:rFonts w:asciiTheme="minorHAnsi" w:eastAsiaTheme="minorEastAsia" w:hAnsiTheme="minorHAnsi" w:cstheme="minorBidi"/>
              <w:noProof/>
              <w:szCs w:val="22"/>
              <w:lang w:eastAsia="en-AU"/>
            </w:rPr>
          </w:pPr>
          <w:hyperlink w:anchor="_Toc153550442" w:history="1">
            <w:r w:rsidR="00780BC6" w:rsidRPr="00431E4D">
              <w:rPr>
                <w:rStyle w:val="Hyperlink"/>
                <w:noProof/>
              </w:rPr>
              <w:t>Preventing medicine shortages through data integration</w:t>
            </w:r>
            <w:r w:rsidR="00780BC6">
              <w:rPr>
                <w:noProof/>
                <w:webHidden/>
              </w:rPr>
              <w:tab/>
            </w:r>
            <w:r w:rsidR="00780BC6">
              <w:rPr>
                <w:noProof/>
                <w:webHidden/>
              </w:rPr>
              <w:fldChar w:fldCharType="begin"/>
            </w:r>
            <w:r w:rsidR="00780BC6">
              <w:rPr>
                <w:noProof/>
                <w:webHidden/>
              </w:rPr>
              <w:instrText xml:space="preserve"> PAGEREF _Toc153550442 \h </w:instrText>
            </w:r>
            <w:r w:rsidR="00780BC6">
              <w:rPr>
                <w:noProof/>
                <w:webHidden/>
              </w:rPr>
            </w:r>
            <w:r w:rsidR="00780BC6">
              <w:rPr>
                <w:noProof/>
                <w:webHidden/>
              </w:rPr>
              <w:fldChar w:fldCharType="separate"/>
            </w:r>
            <w:r w:rsidR="00416739">
              <w:rPr>
                <w:noProof/>
                <w:webHidden/>
              </w:rPr>
              <w:t>55</w:t>
            </w:r>
            <w:r w:rsidR="00780BC6">
              <w:rPr>
                <w:noProof/>
                <w:webHidden/>
              </w:rPr>
              <w:fldChar w:fldCharType="end"/>
            </w:r>
          </w:hyperlink>
        </w:p>
        <w:p w14:paraId="26FB716B" w14:textId="46A904F7" w:rsidR="00780BC6" w:rsidRDefault="00AD6673">
          <w:pPr>
            <w:pStyle w:val="TOC2"/>
            <w:rPr>
              <w:rFonts w:asciiTheme="minorHAnsi" w:eastAsiaTheme="minorEastAsia" w:hAnsiTheme="minorHAnsi" w:cstheme="minorBidi"/>
              <w:noProof/>
              <w:szCs w:val="22"/>
              <w:lang w:eastAsia="en-AU"/>
            </w:rPr>
          </w:pPr>
          <w:hyperlink w:anchor="_Toc153550443" w:history="1">
            <w:r w:rsidR="00780BC6" w:rsidRPr="00431E4D">
              <w:rPr>
                <w:rStyle w:val="Hyperlink"/>
                <w:noProof/>
              </w:rPr>
              <w:t>Post-market monitoring systems for medical devices</w:t>
            </w:r>
            <w:r w:rsidR="00780BC6">
              <w:rPr>
                <w:noProof/>
                <w:webHidden/>
              </w:rPr>
              <w:tab/>
            </w:r>
            <w:r w:rsidR="00780BC6">
              <w:rPr>
                <w:noProof/>
                <w:webHidden/>
              </w:rPr>
              <w:fldChar w:fldCharType="begin"/>
            </w:r>
            <w:r w:rsidR="00780BC6">
              <w:rPr>
                <w:noProof/>
                <w:webHidden/>
              </w:rPr>
              <w:instrText xml:space="preserve"> PAGEREF _Toc153550443 \h </w:instrText>
            </w:r>
            <w:r w:rsidR="00780BC6">
              <w:rPr>
                <w:noProof/>
                <w:webHidden/>
              </w:rPr>
            </w:r>
            <w:r w:rsidR="00780BC6">
              <w:rPr>
                <w:noProof/>
                <w:webHidden/>
              </w:rPr>
              <w:fldChar w:fldCharType="separate"/>
            </w:r>
            <w:r w:rsidR="00416739">
              <w:rPr>
                <w:noProof/>
                <w:webHidden/>
              </w:rPr>
              <w:t>56</w:t>
            </w:r>
            <w:r w:rsidR="00780BC6">
              <w:rPr>
                <w:noProof/>
                <w:webHidden/>
              </w:rPr>
              <w:fldChar w:fldCharType="end"/>
            </w:r>
          </w:hyperlink>
        </w:p>
        <w:p w14:paraId="173ACB39" w14:textId="29D04589" w:rsidR="00780BC6" w:rsidRDefault="00AD6673">
          <w:pPr>
            <w:pStyle w:val="TOC2"/>
            <w:rPr>
              <w:rFonts w:asciiTheme="minorHAnsi" w:eastAsiaTheme="minorEastAsia" w:hAnsiTheme="minorHAnsi" w:cstheme="minorBidi"/>
              <w:noProof/>
              <w:szCs w:val="22"/>
              <w:lang w:eastAsia="en-AU"/>
            </w:rPr>
          </w:pPr>
          <w:hyperlink w:anchor="_Toc153550444" w:history="1">
            <w:r w:rsidR="00780BC6" w:rsidRPr="00431E4D">
              <w:rPr>
                <w:rStyle w:val="Hyperlink"/>
                <w:noProof/>
              </w:rPr>
              <w:t>Management of complaints and feedback</w:t>
            </w:r>
            <w:r w:rsidR="00780BC6">
              <w:rPr>
                <w:noProof/>
                <w:webHidden/>
              </w:rPr>
              <w:tab/>
            </w:r>
            <w:r w:rsidR="00780BC6">
              <w:rPr>
                <w:noProof/>
                <w:webHidden/>
              </w:rPr>
              <w:fldChar w:fldCharType="begin"/>
            </w:r>
            <w:r w:rsidR="00780BC6">
              <w:rPr>
                <w:noProof/>
                <w:webHidden/>
              </w:rPr>
              <w:instrText xml:space="preserve"> PAGEREF _Toc153550444 \h </w:instrText>
            </w:r>
            <w:r w:rsidR="00780BC6">
              <w:rPr>
                <w:noProof/>
                <w:webHidden/>
              </w:rPr>
            </w:r>
            <w:r w:rsidR="00780BC6">
              <w:rPr>
                <w:noProof/>
                <w:webHidden/>
              </w:rPr>
              <w:fldChar w:fldCharType="separate"/>
            </w:r>
            <w:r w:rsidR="00416739">
              <w:rPr>
                <w:noProof/>
                <w:webHidden/>
              </w:rPr>
              <w:t>56</w:t>
            </w:r>
            <w:r w:rsidR="00780BC6">
              <w:rPr>
                <w:noProof/>
                <w:webHidden/>
              </w:rPr>
              <w:fldChar w:fldCharType="end"/>
            </w:r>
          </w:hyperlink>
        </w:p>
        <w:p w14:paraId="459309C5" w14:textId="7F32C463" w:rsidR="00780BC6" w:rsidRDefault="00AD6673">
          <w:pPr>
            <w:pStyle w:val="TOC1"/>
            <w:rPr>
              <w:rFonts w:asciiTheme="minorHAnsi" w:eastAsiaTheme="minorEastAsia" w:hAnsiTheme="minorHAnsi" w:cstheme="minorBidi"/>
              <w:b w:val="0"/>
              <w:bCs w:val="0"/>
              <w:szCs w:val="22"/>
              <w:lang w:eastAsia="en-AU"/>
            </w:rPr>
          </w:pPr>
          <w:hyperlink w:anchor="_Toc153550445" w:history="1">
            <w:r w:rsidR="00780BC6" w:rsidRPr="00431E4D">
              <w:rPr>
                <w:rStyle w:val="Hyperlink"/>
                <w:rFonts w:cs="Arial"/>
              </w:rPr>
              <w:t>Appendices</w:t>
            </w:r>
            <w:r w:rsidR="00780BC6">
              <w:rPr>
                <w:webHidden/>
              </w:rPr>
              <w:tab/>
            </w:r>
            <w:r w:rsidR="00780BC6">
              <w:rPr>
                <w:webHidden/>
              </w:rPr>
              <w:fldChar w:fldCharType="begin"/>
            </w:r>
            <w:r w:rsidR="00780BC6">
              <w:rPr>
                <w:webHidden/>
              </w:rPr>
              <w:instrText xml:space="preserve"> PAGEREF _Toc153550445 \h </w:instrText>
            </w:r>
            <w:r w:rsidR="00780BC6">
              <w:rPr>
                <w:webHidden/>
              </w:rPr>
            </w:r>
            <w:r w:rsidR="00780BC6">
              <w:rPr>
                <w:webHidden/>
              </w:rPr>
              <w:fldChar w:fldCharType="separate"/>
            </w:r>
            <w:r w:rsidR="00416739">
              <w:rPr>
                <w:webHidden/>
              </w:rPr>
              <w:t>57</w:t>
            </w:r>
            <w:r w:rsidR="00780BC6">
              <w:rPr>
                <w:webHidden/>
              </w:rPr>
              <w:fldChar w:fldCharType="end"/>
            </w:r>
          </w:hyperlink>
        </w:p>
        <w:p w14:paraId="34EAB005" w14:textId="326DEF25"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46" w:history="1">
            <w:r w:rsidR="00780BC6" w:rsidRPr="00431E4D">
              <w:rPr>
                <w:rStyle w:val="Hyperlink"/>
                <w:rFonts w:cs="Arial"/>
              </w:rPr>
              <w:t>1.</w:t>
            </w:r>
            <w:r w:rsidR="00780BC6">
              <w:rPr>
                <w:rFonts w:asciiTheme="minorHAnsi" w:eastAsiaTheme="minorEastAsia" w:hAnsiTheme="minorHAnsi" w:cstheme="minorBidi"/>
                <w:b w:val="0"/>
                <w:bCs w:val="0"/>
                <w:szCs w:val="22"/>
                <w:lang w:eastAsia="en-AU"/>
              </w:rPr>
              <w:tab/>
            </w:r>
            <w:r w:rsidR="00780BC6" w:rsidRPr="00431E4D">
              <w:rPr>
                <w:rStyle w:val="Hyperlink"/>
                <w:rFonts w:cs="Arial"/>
              </w:rPr>
              <w:t>Prescription Medicines</w:t>
            </w:r>
            <w:r w:rsidR="00780BC6">
              <w:rPr>
                <w:webHidden/>
              </w:rPr>
              <w:tab/>
            </w:r>
            <w:r w:rsidR="00780BC6">
              <w:rPr>
                <w:webHidden/>
              </w:rPr>
              <w:fldChar w:fldCharType="begin"/>
            </w:r>
            <w:r w:rsidR="00780BC6">
              <w:rPr>
                <w:webHidden/>
              </w:rPr>
              <w:instrText xml:space="preserve"> PAGEREF _Toc153550446 \h </w:instrText>
            </w:r>
            <w:r w:rsidR="00780BC6">
              <w:rPr>
                <w:webHidden/>
              </w:rPr>
            </w:r>
            <w:r w:rsidR="00780BC6">
              <w:rPr>
                <w:webHidden/>
              </w:rPr>
              <w:fldChar w:fldCharType="separate"/>
            </w:r>
            <w:r w:rsidR="00416739">
              <w:rPr>
                <w:webHidden/>
              </w:rPr>
              <w:t>57</w:t>
            </w:r>
            <w:r w:rsidR="00780BC6">
              <w:rPr>
                <w:webHidden/>
              </w:rPr>
              <w:fldChar w:fldCharType="end"/>
            </w:r>
          </w:hyperlink>
        </w:p>
        <w:p w14:paraId="2A6F8769" w14:textId="374D7BCF" w:rsidR="00780BC6" w:rsidRDefault="00AD6673">
          <w:pPr>
            <w:pStyle w:val="TOC3"/>
            <w:tabs>
              <w:tab w:val="left" w:pos="1100"/>
            </w:tabs>
            <w:rPr>
              <w:rFonts w:asciiTheme="minorHAnsi" w:eastAsiaTheme="minorEastAsia" w:hAnsiTheme="minorHAnsi" w:cstheme="minorBidi"/>
              <w:noProof/>
              <w:szCs w:val="22"/>
              <w:lang w:eastAsia="en-AU"/>
            </w:rPr>
          </w:pPr>
          <w:hyperlink w:anchor="_Toc153550447" w:history="1">
            <w:r w:rsidR="00780BC6" w:rsidRPr="00431E4D">
              <w:rPr>
                <w:rStyle w:val="Hyperlink"/>
                <w:rFonts w:cs="Arial"/>
                <w:noProof/>
              </w:rPr>
              <w:t>1.1.</w:t>
            </w:r>
            <w:r w:rsidR="00780BC6">
              <w:rPr>
                <w:rFonts w:asciiTheme="minorHAnsi" w:eastAsiaTheme="minorEastAsia" w:hAnsiTheme="minorHAnsi" w:cstheme="minorBidi"/>
                <w:noProof/>
                <w:szCs w:val="22"/>
                <w:lang w:eastAsia="en-AU"/>
              </w:rPr>
              <w:tab/>
            </w:r>
            <w:r w:rsidR="00780BC6" w:rsidRPr="00431E4D">
              <w:rPr>
                <w:rStyle w:val="Hyperlink"/>
                <w:rFonts w:cs="Arial"/>
                <w:noProof/>
              </w:rPr>
              <w:t>Submission outcomes</w:t>
            </w:r>
            <w:r w:rsidR="00780BC6">
              <w:rPr>
                <w:noProof/>
                <w:webHidden/>
              </w:rPr>
              <w:tab/>
            </w:r>
            <w:r w:rsidR="00780BC6">
              <w:rPr>
                <w:noProof/>
                <w:webHidden/>
              </w:rPr>
              <w:fldChar w:fldCharType="begin"/>
            </w:r>
            <w:r w:rsidR="00780BC6">
              <w:rPr>
                <w:noProof/>
                <w:webHidden/>
              </w:rPr>
              <w:instrText xml:space="preserve"> PAGEREF _Toc153550447 \h </w:instrText>
            </w:r>
            <w:r w:rsidR="00780BC6">
              <w:rPr>
                <w:noProof/>
                <w:webHidden/>
              </w:rPr>
            </w:r>
            <w:r w:rsidR="00780BC6">
              <w:rPr>
                <w:noProof/>
                <w:webHidden/>
              </w:rPr>
              <w:fldChar w:fldCharType="separate"/>
            </w:r>
            <w:r w:rsidR="00416739">
              <w:rPr>
                <w:noProof/>
                <w:webHidden/>
              </w:rPr>
              <w:t>59</w:t>
            </w:r>
            <w:r w:rsidR="00780BC6">
              <w:rPr>
                <w:noProof/>
                <w:webHidden/>
              </w:rPr>
              <w:fldChar w:fldCharType="end"/>
            </w:r>
          </w:hyperlink>
        </w:p>
        <w:p w14:paraId="13AA8796" w14:textId="25B07A47" w:rsidR="00780BC6" w:rsidRDefault="00AD6673">
          <w:pPr>
            <w:pStyle w:val="TOC3"/>
            <w:tabs>
              <w:tab w:val="left" w:pos="1100"/>
            </w:tabs>
            <w:rPr>
              <w:rFonts w:asciiTheme="minorHAnsi" w:eastAsiaTheme="minorEastAsia" w:hAnsiTheme="minorHAnsi" w:cstheme="minorBidi"/>
              <w:noProof/>
              <w:szCs w:val="22"/>
              <w:lang w:eastAsia="en-AU"/>
            </w:rPr>
          </w:pPr>
          <w:hyperlink w:anchor="_Toc153550448" w:history="1">
            <w:r w:rsidR="00780BC6" w:rsidRPr="00431E4D">
              <w:rPr>
                <w:rStyle w:val="Hyperlink"/>
                <w:rFonts w:cs="Arial"/>
                <w:noProof/>
              </w:rPr>
              <w:t>1.2.</w:t>
            </w:r>
            <w:r w:rsidR="00780BC6">
              <w:rPr>
                <w:rFonts w:asciiTheme="minorHAnsi" w:eastAsiaTheme="minorEastAsia" w:hAnsiTheme="minorHAnsi" w:cstheme="minorBidi"/>
                <w:noProof/>
                <w:szCs w:val="22"/>
                <w:lang w:eastAsia="en-AU"/>
              </w:rPr>
              <w:tab/>
            </w:r>
            <w:r w:rsidR="00780BC6" w:rsidRPr="00431E4D">
              <w:rPr>
                <w:rStyle w:val="Hyperlink"/>
                <w:rFonts w:cs="Arial"/>
                <w:noProof/>
              </w:rPr>
              <w:t>Approval times</w:t>
            </w:r>
            <w:r w:rsidR="00780BC6">
              <w:rPr>
                <w:noProof/>
                <w:webHidden/>
              </w:rPr>
              <w:tab/>
            </w:r>
            <w:r w:rsidR="00780BC6">
              <w:rPr>
                <w:noProof/>
                <w:webHidden/>
              </w:rPr>
              <w:fldChar w:fldCharType="begin"/>
            </w:r>
            <w:r w:rsidR="00780BC6">
              <w:rPr>
                <w:noProof/>
                <w:webHidden/>
              </w:rPr>
              <w:instrText xml:space="preserve"> PAGEREF _Toc153550448 \h </w:instrText>
            </w:r>
            <w:r w:rsidR="00780BC6">
              <w:rPr>
                <w:noProof/>
                <w:webHidden/>
              </w:rPr>
            </w:r>
            <w:r w:rsidR="00780BC6">
              <w:rPr>
                <w:noProof/>
                <w:webHidden/>
              </w:rPr>
              <w:fldChar w:fldCharType="separate"/>
            </w:r>
            <w:r w:rsidR="00416739">
              <w:rPr>
                <w:noProof/>
                <w:webHidden/>
              </w:rPr>
              <w:t>61</w:t>
            </w:r>
            <w:r w:rsidR="00780BC6">
              <w:rPr>
                <w:noProof/>
                <w:webHidden/>
              </w:rPr>
              <w:fldChar w:fldCharType="end"/>
            </w:r>
          </w:hyperlink>
        </w:p>
        <w:p w14:paraId="10204110" w14:textId="24CB4EE4" w:rsidR="00780BC6" w:rsidRDefault="00AD6673">
          <w:pPr>
            <w:pStyle w:val="TOC3"/>
            <w:tabs>
              <w:tab w:val="left" w:pos="1100"/>
            </w:tabs>
            <w:rPr>
              <w:rFonts w:asciiTheme="minorHAnsi" w:eastAsiaTheme="minorEastAsia" w:hAnsiTheme="minorHAnsi" w:cstheme="minorBidi"/>
              <w:noProof/>
              <w:szCs w:val="22"/>
              <w:lang w:eastAsia="en-AU"/>
            </w:rPr>
          </w:pPr>
          <w:hyperlink w:anchor="_Toc153550449" w:history="1">
            <w:r w:rsidR="00780BC6" w:rsidRPr="00431E4D">
              <w:rPr>
                <w:rStyle w:val="Hyperlink"/>
                <w:rFonts w:cs="Arial"/>
                <w:noProof/>
              </w:rPr>
              <w:t>1.3.</w:t>
            </w:r>
            <w:r w:rsidR="00780BC6">
              <w:rPr>
                <w:rFonts w:asciiTheme="minorHAnsi" w:eastAsiaTheme="minorEastAsia" w:hAnsiTheme="minorHAnsi" w:cstheme="minorBidi"/>
                <w:noProof/>
                <w:szCs w:val="22"/>
                <w:lang w:eastAsia="en-AU"/>
              </w:rPr>
              <w:tab/>
            </w:r>
            <w:r w:rsidR="00780BC6" w:rsidRPr="00431E4D">
              <w:rPr>
                <w:rStyle w:val="Hyperlink"/>
                <w:rFonts w:cs="Arial"/>
                <w:noProof/>
              </w:rPr>
              <w:t>Orphan drug designations</w:t>
            </w:r>
            <w:r w:rsidR="00780BC6">
              <w:rPr>
                <w:noProof/>
                <w:webHidden/>
              </w:rPr>
              <w:tab/>
            </w:r>
            <w:r w:rsidR="00780BC6">
              <w:rPr>
                <w:noProof/>
                <w:webHidden/>
              </w:rPr>
              <w:fldChar w:fldCharType="begin"/>
            </w:r>
            <w:r w:rsidR="00780BC6">
              <w:rPr>
                <w:noProof/>
                <w:webHidden/>
              </w:rPr>
              <w:instrText xml:space="preserve"> PAGEREF _Toc153550449 \h </w:instrText>
            </w:r>
            <w:r w:rsidR="00780BC6">
              <w:rPr>
                <w:noProof/>
                <w:webHidden/>
              </w:rPr>
            </w:r>
            <w:r w:rsidR="00780BC6">
              <w:rPr>
                <w:noProof/>
                <w:webHidden/>
              </w:rPr>
              <w:fldChar w:fldCharType="separate"/>
            </w:r>
            <w:r w:rsidR="00416739">
              <w:rPr>
                <w:noProof/>
                <w:webHidden/>
              </w:rPr>
              <w:t>63</w:t>
            </w:r>
            <w:r w:rsidR="00780BC6">
              <w:rPr>
                <w:noProof/>
                <w:webHidden/>
              </w:rPr>
              <w:fldChar w:fldCharType="end"/>
            </w:r>
          </w:hyperlink>
        </w:p>
        <w:p w14:paraId="406CC5CC" w14:textId="4B6BC636" w:rsidR="00780BC6" w:rsidRDefault="00AD6673">
          <w:pPr>
            <w:pStyle w:val="TOC3"/>
            <w:tabs>
              <w:tab w:val="left" w:pos="1100"/>
            </w:tabs>
            <w:rPr>
              <w:rFonts w:asciiTheme="minorHAnsi" w:eastAsiaTheme="minorEastAsia" w:hAnsiTheme="minorHAnsi" w:cstheme="minorBidi"/>
              <w:noProof/>
              <w:szCs w:val="22"/>
              <w:lang w:eastAsia="en-AU"/>
            </w:rPr>
          </w:pPr>
          <w:hyperlink w:anchor="_Toc153550450" w:history="1">
            <w:r w:rsidR="00780BC6" w:rsidRPr="00431E4D">
              <w:rPr>
                <w:rStyle w:val="Hyperlink"/>
                <w:rFonts w:cs="Arial"/>
                <w:noProof/>
              </w:rPr>
              <w:t>1.4.</w:t>
            </w:r>
            <w:r w:rsidR="00780BC6">
              <w:rPr>
                <w:rFonts w:asciiTheme="minorHAnsi" w:eastAsiaTheme="minorEastAsia" w:hAnsiTheme="minorHAnsi" w:cstheme="minorBidi"/>
                <w:noProof/>
                <w:szCs w:val="22"/>
                <w:lang w:eastAsia="en-AU"/>
              </w:rPr>
              <w:tab/>
            </w:r>
            <w:r w:rsidR="00780BC6" w:rsidRPr="00431E4D">
              <w:rPr>
                <w:rStyle w:val="Hyperlink"/>
                <w:rFonts w:cs="Arial"/>
                <w:noProof/>
              </w:rPr>
              <w:t>Priority review pathway</w:t>
            </w:r>
            <w:r w:rsidR="00780BC6">
              <w:rPr>
                <w:noProof/>
                <w:webHidden/>
              </w:rPr>
              <w:tab/>
            </w:r>
            <w:r w:rsidR="00780BC6">
              <w:rPr>
                <w:noProof/>
                <w:webHidden/>
              </w:rPr>
              <w:fldChar w:fldCharType="begin"/>
            </w:r>
            <w:r w:rsidR="00780BC6">
              <w:rPr>
                <w:noProof/>
                <w:webHidden/>
              </w:rPr>
              <w:instrText xml:space="preserve"> PAGEREF _Toc153550450 \h </w:instrText>
            </w:r>
            <w:r w:rsidR="00780BC6">
              <w:rPr>
                <w:noProof/>
                <w:webHidden/>
              </w:rPr>
            </w:r>
            <w:r w:rsidR="00780BC6">
              <w:rPr>
                <w:noProof/>
                <w:webHidden/>
              </w:rPr>
              <w:fldChar w:fldCharType="separate"/>
            </w:r>
            <w:r w:rsidR="00416739">
              <w:rPr>
                <w:noProof/>
                <w:webHidden/>
              </w:rPr>
              <w:t>63</w:t>
            </w:r>
            <w:r w:rsidR="00780BC6">
              <w:rPr>
                <w:noProof/>
                <w:webHidden/>
              </w:rPr>
              <w:fldChar w:fldCharType="end"/>
            </w:r>
          </w:hyperlink>
        </w:p>
        <w:p w14:paraId="27ED0BC9" w14:textId="7A6CD54E" w:rsidR="00780BC6" w:rsidRDefault="00AD6673">
          <w:pPr>
            <w:pStyle w:val="TOC3"/>
            <w:tabs>
              <w:tab w:val="left" w:pos="1100"/>
            </w:tabs>
            <w:rPr>
              <w:rFonts w:asciiTheme="minorHAnsi" w:eastAsiaTheme="minorEastAsia" w:hAnsiTheme="minorHAnsi" w:cstheme="minorBidi"/>
              <w:noProof/>
              <w:szCs w:val="22"/>
              <w:lang w:eastAsia="en-AU"/>
            </w:rPr>
          </w:pPr>
          <w:hyperlink w:anchor="_Toc153550451" w:history="1">
            <w:r w:rsidR="00780BC6" w:rsidRPr="00431E4D">
              <w:rPr>
                <w:rStyle w:val="Hyperlink"/>
                <w:rFonts w:cs="Arial"/>
                <w:noProof/>
              </w:rPr>
              <w:t>1.5.</w:t>
            </w:r>
            <w:r w:rsidR="00780BC6">
              <w:rPr>
                <w:rFonts w:asciiTheme="minorHAnsi" w:eastAsiaTheme="minorEastAsia" w:hAnsiTheme="minorHAnsi" w:cstheme="minorBidi"/>
                <w:noProof/>
                <w:szCs w:val="22"/>
                <w:lang w:eastAsia="en-AU"/>
              </w:rPr>
              <w:tab/>
            </w:r>
            <w:r w:rsidR="00780BC6" w:rsidRPr="00431E4D">
              <w:rPr>
                <w:rStyle w:val="Hyperlink"/>
                <w:rFonts w:cs="Arial"/>
                <w:noProof/>
              </w:rPr>
              <w:t>Provisional approval pathway</w:t>
            </w:r>
            <w:r w:rsidR="00780BC6">
              <w:rPr>
                <w:noProof/>
                <w:webHidden/>
              </w:rPr>
              <w:tab/>
            </w:r>
            <w:r w:rsidR="00780BC6">
              <w:rPr>
                <w:noProof/>
                <w:webHidden/>
              </w:rPr>
              <w:fldChar w:fldCharType="begin"/>
            </w:r>
            <w:r w:rsidR="00780BC6">
              <w:rPr>
                <w:noProof/>
                <w:webHidden/>
              </w:rPr>
              <w:instrText xml:space="preserve"> PAGEREF _Toc153550451 \h </w:instrText>
            </w:r>
            <w:r w:rsidR="00780BC6">
              <w:rPr>
                <w:noProof/>
                <w:webHidden/>
              </w:rPr>
            </w:r>
            <w:r w:rsidR="00780BC6">
              <w:rPr>
                <w:noProof/>
                <w:webHidden/>
              </w:rPr>
              <w:fldChar w:fldCharType="separate"/>
            </w:r>
            <w:r w:rsidR="00416739">
              <w:rPr>
                <w:noProof/>
                <w:webHidden/>
              </w:rPr>
              <w:t>64</w:t>
            </w:r>
            <w:r w:rsidR="00780BC6">
              <w:rPr>
                <w:noProof/>
                <w:webHidden/>
              </w:rPr>
              <w:fldChar w:fldCharType="end"/>
            </w:r>
          </w:hyperlink>
        </w:p>
        <w:p w14:paraId="4BE9EE58" w14:textId="2F8C2471"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52" w:history="1">
            <w:r w:rsidR="00780BC6" w:rsidRPr="00431E4D">
              <w:rPr>
                <w:rStyle w:val="Hyperlink"/>
                <w:rFonts w:cs="Arial"/>
              </w:rPr>
              <w:t>2.</w:t>
            </w:r>
            <w:r w:rsidR="00780BC6">
              <w:rPr>
                <w:rFonts w:asciiTheme="minorHAnsi" w:eastAsiaTheme="minorEastAsia" w:hAnsiTheme="minorHAnsi" w:cstheme="minorBidi"/>
                <w:b w:val="0"/>
                <w:bCs w:val="0"/>
                <w:szCs w:val="22"/>
                <w:lang w:eastAsia="en-AU"/>
              </w:rPr>
              <w:tab/>
            </w:r>
            <w:r w:rsidR="00780BC6" w:rsidRPr="00431E4D">
              <w:rPr>
                <w:rStyle w:val="Hyperlink"/>
                <w:rFonts w:cs="Arial"/>
              </w:rPr>
              <w:t>Over-the-Counter Medicines</w:t>
            </w:r>
            <w:r w:rsidR="00780BC6">
              <w:rPr>
                <w:webHidden/>
              </w:rPr>
              <w:tab/>
            </w:r>
            <w:r w:rsidR="00780BC6">
              <w:rPr>
                <w:webHidden/>
              </w:rPr>
              <w:fldChar w:fldCharType="begin"/>
            </w:r>
            <w:r w:rsidR="00780BC6">
              <w:rPr>
                <w:webHidden/>
              </w:rPr>
              <w:instrText xml:space="preserve"> PAGEREF _Toc153550452 \h </w:instrText>
            </w:r>
            <w:r w:rsidR="00780BC6">
              <w:rPr>
                <w:webHidden/>
              </w:rPr>
            </w:r>
            <w:r w:rsidR="00780BC6">
              <w:rPr>
                <w:webHidden/>
              </w:rPr>
              <w:fldChar w:fldCharType="separate"/>
            </w:r>
            <w:r w:rsidR="00416739">
              <w:rPr>
                <w:webHidden/>
              </w:rPr>
              <w:t>66</w:t>
            </w:r>
            <w:r w:rsidR="00780BC6">
              <w:rPr>
                <w:webHidden/>
              </w:rPr>
              <w:fldChar w:fldCharType="end"/>
            </w:r>
          </w:hyperlink>
        </w:p>
        <w:p w14:paraId="68697504" w14:textId="503B0329" w:rsidR="00780BC6" w:rsidRDefault="00AD6673">
          <w:pPr>
            <w:pStyle w:val="TOC3"/>
            <w:tabs>
              <w:tab w:val="left" w:pos="1100"/>
            </w:tabs>
            <w:rPr>
              <w:rFonts w:asciiTheme="minorHAnsi" w:eastAsiaTheme="minorEastAsia" w:hAnsiTheme="minorHAnsi" w:cstheme="minorBidi"/>
              <w:noProof/>
              <w:szCs w:val="22"/>
              <w:lang w:eastAsia="en-AU"/>
            </w:rPr>
          </w:pPr>
          <w:hyperlink w:anchor="_Toc153550453" w:history="1">
            <w:r w:rsidR="00780BC6" w:rsidRPr="00431E4D">
              <w:rPr>
                <w:rStyle w:val="Hyperlink"/>
                <w:rFonts w:cs="Arial"/>
                <w:noProof/>
              </w:rPr>
              <w:t>2.1.</w:t>
            </w:r>
            <w:r w:rsidR="00780BC6">
              <w:rPr>
                <w:rFonts w:asciiTheme="minorHAnsi" w:eastAsiaTheme="minorEastAsia" w:hAnsiTheme="minorHAnsi" w:cstheme="minorBidi"/>
                <w:noProof/>
                <w:szCs w:val="22"/>
                <w:lang w:eastAsia="en-AU"/>
              </w:rPr>
              <w:tab/>
            </w:r>
            <w:r w:rsidR="00780BC6" w:rsidRPr="00431E4D">
              <w:rPr>
                <w:rStyle w:val="Hyperlink"/>
                <w:rFonts w:cs="Arial"/>
                <w:noProof/>
              </w:rPr>
              <w:t>Approval times</w:t>
            </w:r>
            <w:r w:rsidR="00780BC6">
              <w:rPr>
                <w:noProof/>
                <w:webHidden/>
              </w:rPr>
              <w:tab/>
            </w:r>
            <w:r w:rsidR="00780BC6">
              <w:rPr>
                <w:noProof/>
                <w:webHidden/>
              </w:rPr>
              <w:fldChar w:fldCharType="begin"/>
            </w:r>
            <w:r w:rsidR="00780BC6">
              <w:rPr>
                <w:noProof/>
                <w:webHidden/>
              </w:rPr>
              <w:instrText xml:space="preserve"> PAGEREF _Toc153550453 \h </w:instrText>
            </w:r>
            <w:r w:rsidR="00780BC6">
              <w:rPr>
                <w:noProof/>
                <w:webHidden/>
              </w:rPr>
            </w:r>
            <w:r w:rsidR="00780BC6">
              <w:rPr>
                <w:noProof/>
                <w:webHidden/>
              </w:rPr>
              <w:fldChar w:fldCharType="separate"/>
            </w:r>
            <w:r w:rsidR="00416739">
              <w:rPr>
                <w:noProof/>
                <w:webHidden/>
              </w:rPr>
              <w:t>67</w:t>
            </w:r>
            <w:r w:rsidR="00780BC6">
              <w:rPr>
                <w:noProof/>
                <w:webHidden/>
              </w:rPr>
              <w:fldChar w:fldCharType="end"/>
            </w:r>
          </w:hyperlink>
        </w:p>
        <w:p w14:paraId="30BB0C7F" w14:textId="44CF5CF0" w:rsidR="00780BC6" w:rsidRDefault="00AD6673">
          <w:pPr>
            <w:pStyle w:val="TOC3"/>
            <w:tabs>
              <w:tab w:val="left" w:pos="1100"/>
            </w:tabs>
            <w:rPr>
              <w:rFonts w:asciiTheme="minorHAnsi" w:eastAsiaTheme="minorEastAsia" w:hAnsiTheme="minorHAnsi" w:cstheme="minorBidi"/>
              <w:noProof/>
              <w:szCs w:val="22"/>
              <w:lang w:eastAsia="en-AU"/>
            </w:rPr>
          </w:pPr>
          <w:hyperlink w:anchor="_Toc153550454" w:history="1">
            <w:r w:rsidR="00780BC6" w:rsidRPr="00431E4D">
              <w:rPr>
                <w:rStyle w:val="Hyperlink"/>
                <w:rFonts w:cs="Arial"/>
                <w:noProof/>
              </w:rPr>
              <w:t>2.2.</w:t>
            </w:r>
            <w:r w:rsidR="00780BC6">
              <w:rPr>
                <w:rFonts w:asciiTheme="minorHAnsi" w:eastAsiaTheme="minorEastAsia" w:hAnsiTheme="minorHAnsi" w:cstheme="minorBidi"/>
                <w:noProof/>
                <w:szCs w:val="22"/>
                <w:lang w:eastAsia="en-AU"/>
              </w:rPr>
              <w:tab/>
            </w:r>
            <w:r w:rsidR="00780BC6" w:rsidRPr="00431E4D">
              <w:rPr>
                <w:rStyle w:val="Hyperlink"/>
                <w:rFonts w:cs="Arial"/>
                <w:noProof/>
              </w:rPr>
              <w:t>Applications</w:t>
            </w:r>
            <w:r w:rsidR="00780BC6">
              <w:rPr>
                <w:noProof/>
                <w:webHidden/>
              </w:rPr>
              <w:tab/>
            </w:r>
            <w:r w:rsidR="00780BC6">
              <w:rPr>
                <w:noProof/>
                <w:webHidden/>
              </w:rPr>
              <w:fldChar w:fldCharType="begin"/>
            </w:r>
            <w:r w:rsidR="00780BC6">
              <w:rPr>
                <w:noProof/>
                <w:webHidden/>
              </w:rPr>
              <w:instrText xml:space="preserve"> PAGEREF _Toc153550454 \h </w:instrText>
            </w:r>
            <w:r w:rsidR="00780BC6">
              <w:rPr>
                <w:noProof/>
                <w:webHidden/>
              </w:rPr>
            </w:r>
            <w:r w:rsidR="00780BC6">
              <w:rPr>
                <w:noProof/>
                <w:webHidden/>
              </w:rPr>
              <w:fldChar w:fldCharType="separate"/>
            </w:r>
            <w:r w:rsidR="00416739">
              <w:rPr>
                <w:noProof/>
                <w:webHidden/>
              </w:rPr>
              <w:t>68</w:t>
            </w:r>
            <w:r w:rsidR="00780BC6">
              <w:rPr>
                <w:noProof/>
                <w:webHidden/>
              </w:rPr>
              <w:fldChar w:fldCharType="end"/>
            </w:r>
          </w:hyperlink>
        </w:p>
        <w:p w14:paraId="12DB2926" w14:textId="3A221CA5"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55" w:history="1">
            <w:r w:rsidR="00780BC6" w:rsidRPr="00431E4D">
              <w:rPr>
                <w:rStyle w:val="Hyperlink"/>
                <w:rFonts w:cs="Arial"/>
              </w:rPr>
              <w:t>3.</w:t>
            </w:r>
            <w:r w:rsidR="00780BC6">
              <w:rPr>
                <w:rFonts w:asciiTheme="minorHAnsi" w:eastAsiaTheme="minorEastAsia" w:hAnsiTheme="minorHAnsi" w:cstheme="minorBidi"/>
                <w:b w:val="0"/>
                <w:bCs w:val="0"/>
                <w:szCs w:val="22"/>
                <w:lang w:eastAsia="en-AU"/>
              </w:rPr>
              <w:tab/>
            </w:r>
            <w:r w:rsidR="00780BC6" w:rsidRPr="00431E4D">
              <w:rPr>
                <w:rStyle w:val="Hyperlink"/>
                <w:rFonts w:cs="Arial"/>
              </w:rPr>
              <w:t>Registered Complementary Medicines</w:t>
            </w:r>
            <w:r w:rsidR="00780BC6">
              <w:rPr>
                <w:webHidden/>
              </w:rPr>
              <w:tab/>
            </w:r>
            <w:r w:rsidR="00780BC6">
              <w:rPr>
                <w:webHidden/>
              </w:rPr>
              <w:fldChar w:fldCharType="begin"/>
            </w:r>
            <w:r w:rsidR="00780BC6">
              <w:rPr>
                <w:webHidden/>
              </w:rPr>
              <w:instrText xml:space="preserve"> PAGEREF _Toc153550455 \h </w:instrText>
            </w:r>
            <w:r w:rsidR="00780BC6">
              <w:rPr>
                <w:webHidden/>
              </w:rPr>
            </w:r>
            <w:r w:rsidR="00780BC6">
              <w:rPr>
                <w:webHidden/>
              </w:rPr>
              <w:fldChar w:fldCharType="separate"/>
            </w:r>
            <w:r w:rsidR="00416739">
              <w:rPr>
                <w:webHidden/>
              </w:rPr>
              <w:t>72</w:t>
            </w:r>
            <w:r w:rsidR="00780BC6">
              <w:rPr>
                <w:webHidden/>
              </w:rPr>
              <w:fldChar w:fldCharType="end"/>
            </w:r>
          </w:hyperlink>
        </w:p>
        <w:p w14:paraId="7CC65571" w14:textId="6F5EAFFB"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56" w:history="1">
            <w:r w:rsidR="00780BC6" w:rsidRPr="00431E4D">
              <w:rPr>
                <w:rStyle w:val="Hyperlink"/>
                <w:rFonts w:cs="Arial"/>
              </w:rPr>
              <w:t>4.</w:t>
            </w:r>
            <w:r w:rsidR="00780BC6">
              <w:rPr>
                <w:rFonts w:asciiTheme="minorHAnsi" w:eastAsiaTheme="minorEastAsia" w:hAnsiTheme="minorHAnsi" w:cstheme="minorBidi"/>
                <w:b w:val="0"/>
                <w:bCs w:val="0"/>
                <w:szCs w:val="22"/>
                <w:lang w:eastAsia="en-AU"/>
              </w:rPr>
              <w:tab/>
            </w:r>
            <w:r w:rsidR="00780BC6" w:rsidRPr="00431E4D">
              <w:rPr>
                <w:rStyle w:val="Hyperlink"/>
                <w:rFonts w:cs="Arial"/>
              </w:rPr>
              <w:t>Assessed Listed Medicines</w:t>
            </w:r>
            <w:r w:rsidR="00780BC6">
              <w:rPr>
                <w:webHidden/>
              </w:rPr>
              <w:tab/>
            </w:r>
            <w:r w:rsidR="00780BC6">
              <w:rPr>
                <w:webHidden/>
              </w:rPr>
              <w:fldChar w:fldCharType="begin"/>
            </w:r>
            <w:r w:rsidR="00780BC6">
              <w:rPr>
                <w:webHidden/>
              </w:rPr>
              <w:instrText xml:space="preserve"> PAGEREF _Toc153550456 \h </w:instrText>
            </w:r>
            <w:r w:rsidR="00780BC6">
              <w:rPr>
                <w:webHidden/>
              </w:rPr>
            </w:r>
            <w:r w:rsidR="00780BC6">
              <w:rPr>
                <w:webHidden/>
              </w:rPr>
              <w:fldChar w:fldCharType="separate"/>
            </w:r>
            <w:r w:rsidR="00416739">
              <w:rPr>
                <w:webHidden/>
              </w:rPr>
              <w:t>73</w:t>
            </w:r>
            <w:r w:rsidR="00780BC6">
              <w:rPr>
                <w:webHidden/>
              </w:rPr>
              <w:fldChar w:fldCharType="end"/>
            </w:r>
          </w:hyperlink>
        </w:p>
        <w:p w14:paraId="5FC8CA8F" w14:textId="72E7B184"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57" w:history="1">
            <w:r w:rsidR="00780BC6" w:rsidRPr="00431E4D">
              <w:rPr>
                <w:rStyle w:val="Hyperlink"/>
                <w:rFonts w:cs="Arial"/>
              </w:rPr>
              <w:t>5.</w:t>
            </w:r>
            <w:r w:rsidR="00780BC6">
              <w:rPr>
                <w:rFonts w:asciiTheme="minorHAnsi" w:eastAsiaTheme="minorEastAsia" w:hAnsiTheme="minorHAnsi" w:cstheme="minorBidi"/>
                <w:b w:val="0"/>
                <w:bCs w:val="0"/>
                <w:szCs w:val="22"/>
                <w:lang w:eastAsia="en-AU"/>
              </w:rPr>
              <w:tab/>
            </w:r>
            <w:r w:rsidR="00780BC6" w:rsidRPr="00431E4D">
              <w:rPr>
                <w:rStyle w:val="Hyperlink"/>
                <w:rFonts w:cs="Arial"/>
              </w:rPr>
              <w:t>Listed Medicines</w:t>
            </w:r>
            <w:r w:rsidR="00780BC6">
              <w:rPr>
                <w:webHidden/>
              </w:rPr>
              <w:tab/>
            </w:r>
            <w:r w:rsidR="00780BC6">
              <w:rPr>
                <w:webHidden/>
              </w:rPr>
              <w:fldChar w:fldCharType="begin"/>
            </w:r>
            <w:r w:rsidR="00780BC6">
              <w:rPr>
                <w:webHidden/>
              </w:rPr>
              <w:instrText xml:space="preserve"> PAGEREF _Toc153550457 \h </w:instrText>
            </w:r>
            <w:r w:rsidR="00780BC6">
              <w:rPr>
                <w:webHidden/>
              </w:rPr>
            </w:r>
            <w:r w:rsidR="00780BC6">
              <w:rPr>
                <w:webHidden/>
              </w:rPr>
              <w:fldChar w:fldCharType="separate"/>
            </w:r>
            <w:r w:rsidR="00416739">
              <w:rPr>
                <w:webHidden/>
              </w:rPr>
              <w:t>75</w:t>
            </w:r>
            <w:r w:rsidR="00780BC6">
              <w:rPr>
                <w:webHidden/>
              </w:rPr>
              <w:fldChar w:fldCharType="end"/>
            </w:r>
          </w:hyperlink>
        </w:p>
        <w:p w14:paraId="350FA931" w14:textId="0602B723" w:rsidR="00780BC6" w:rsidRDefault="00AD6673">
          <w:pPr>
            <w:pStyle w:val="TOC3"/>
            <w:tabs>
              <w:tab w:val="left" w:pos="1100"/>
            </w:tabs>
            <w:rPr>
              <w:rFonts w:asciiTheme="minorHAnsi" w:eastAsiaTheme="minorEastAsia" w:hAnsiTheme="minorHAnsi" w:cstheme="minorBidi"/>
              <w:noProof/>
              <w:szCs w:val="22"/>
              <w:lang w:eastAsia="en-AU"/>
            </w:rPr>
          </w:pPr>
          <w:hyperlink w:anchor="_Toc153550459" w:history="1">
            <w:r w:rsidR="00780BC6" w:rsidRPr="00431E4D">
              <w:rPr>
                <w:rStyle w:val="Hyperlink"/>
                <w:rFonts w:cs="Arial"/>
                <w:noProof/>
              </w:rPr>
              <w:t>5.1.</w:t>
            </w:r>
            <w:r w:rsidR="00780BC6">
              <w:rPr>
                <w:rFonts w:asciiTheme="minorHAnsi" w:eastAsiaTheme="minorEastAsia" w:hAnsiTheme="minorHAnsi" w:cstheme="minorBidi"/>
                <w:noProof/>
                <w:szCs w:val="22"/>
                <w:lang w:eastAsia="en-AU"/>
              </w:rPr>
              <w:tab/>
            </w:r>
            <w:r w:rsidR="00780BC6" w:rsidRPr="00431E4D">
              <w:rPr>
                <w:rStyle w:val="Hyperlink"/>
                <w:rFonts w:cs="Arial"/>
                <w:noProof/>
              </w:rPr>
              <w:t>New ingredients permitted for use in listed medicines</w:t>
            </w:r>
            <w:r w:rsidR="00780BC6">
              <w:rPr>
                <w:noProof/>
                <w:webHidden/>
              </w:rPr>
              <w:tab/>
            </w:r>
            <w:r w:rsidR="00780BC6">
              <w:rPr>
                <w:noProof/>
                <w:webHidden/>
              </w:rPr>
              <w:fldChar w:fldCharType="begin"/>
            </w:r>
            <w:r w:rsidR="00780BC6">
              <w:rPr>
                <w:noProof/>
                <w:webHidden/>
              </w:rPr>
              <w:instrText xml:space="preserve"> PAGEREF _Toc153550459 \h </w:instrText>
            </w:r>
            <w:r w:rsidR="00780BC6">
              <w:rPr>
                <w:noProof/>
                <w:webHidden/>
              </w:rPr>
            </w:r>
            <w:r w:rsidR="00780BC6">
              <w:rPr>
                <w:noProof/>
                <w:webHidden/>
              </w:rPr>
              <w:fldChar w:fldCharType="separate"/>
            </w:r>
            <w:r w:rsidR="00416739">
              <w:rPr>
                <w:noProof/>
                <w:webHidden/>
              </w:rPr>
              <w:t>75</w:t>
            </w:r>
            <w:r w:rsidR="00780BC6">
              <w:rPr>
                <w:noProof/>
                <w:webHidden/>
              </w:rPr>
              <w:fldChar w:fldCharType="end"/>
            </w:r>
          </w:hyperlink>
        </w:p>
        <w:p w14:paraId="34DA7D17" w14:textId="73A6E24B"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0" w:history="1">
            <w:r w:rsidR="00780BC6" w:rsidRPr="00431E4D">
              <w:rPr>
                <w:rStyle w:val="Hyperlink"/>
                <w:rFonts w:cs="Arial"/>
                <w:noProof/>
              </w:rPr>
              <w:t>5.2.</w:t>
            </w:r>
            <w:r w:rsidR="00780BC6">
              <w:rPr>
                <w:rFonts w:asciiTheme="minorHAnsi" w:eastAsiaTheme="minorEastAsia" w:hAnsiTheme="minorHAnsi" w:cstheme="minorBidi"/>
                <w:noProof/>
                <w:szCs w:val="22"/>
                <w:lang w:eastAsia="en-AU"/>
              </w:rPr>
              <w:tab/>
            </w:r>
            <w:r w:rsidR="00780BC6" w:rsidRPr="00431E4D">
              <w:rPr>
                <w:rStyle w:val="Hyperlink"/>
                <w:rFonts w:cs="Arial"/>
                <w:noProof/>
              </w:rPr>
              <w:t>Indications permitted for use in listed medicines</w:t>
            </w:r>
            <w:r w:rsidR="00780BC6">
              <w:rPr>
                <w:noProof/>
                <w:webHidden/>
              </w:rPr>
              <w:tab/>
            </w:r>
            <w:r w:rsidR="00780BC6">
              <w:rPr>
                <w:noProof/>
                <w:webHidden/>
              </w:rPr>
              <w:fldChar w:fldCharType="begin"/>
            </w:r>
            <w:r w:rsidR="00780BC6">
              <w:rPr>
                <w:noProof/>
                <w:webHidden/>
              </w:rPr>
              <w:instrText xml:space="preserve"> PAGEREF _Toc153550460 \h </w:instrText>
            </w:r>
            <w:r w:rsidR="00780BC6">
              <w:rPr>
                <w:noProof/>
                <w:webHidden/>
              </w:rPr>
            </w:r>
            <w:r w:rsidR="00780BC6">
              <w:rPr>
                <w:noProof/>
                <w:webHidden/>
              </w:rPr>
              <w:fldChar w:fldCharType="separate"/>
            </w:r>
            <w:r w:rsidR="00416739">
              <w:rPr>
                <w:noProof/>
                <w:webHidden/>
              </w:rPr>
              <w:t>75</w:t>
            </w:r>
            <w:r w:rsidR="00780BC6">
              <w:rPr>
                <w:noProof/>
                <w:webHidden/>
              </w:rPr>
              <w:fldChar w:fldCharType="end"/>
            </w:r>
          </w:hyperlink>
        </w:p>
        <w:p w14:paraId="3CFDAF5A" w14:textId="63F215BB"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1" w:history="1">
            <w:r w:rsidR="00780BC6" w:rsidRPr="00431E4D">
              <w:rPr>
                <w:rStyle w:val="Hyperlink"/>
                <w:rFonts w:cs="Arial"/>
                <w:noProof/>
              </w:rPr>
              <w:t>5.3.</w:t>
            </w:r>
            <w:r w:rsidR="00780BC6">
              <w:rPr>
                <w:rFonts w:asciiTheme="minorHAnsi" w:eastAsiaTheme="minorEastAsia" w:hAnsiTheme="minorHAnsi" w:cstheme="minorBidi"/>
                <w:noProof/>
                <w:szCs w:val="22"/>
                <w:lang w:eastAsia="en-AU"/>
              </w:rPr>
              <w:tab/>
            </w:r>
            <w:r w:rsidR="00780BC6" w:rsidRPr="00431E4D">
              <w:rPr>
                <w:rStyle w:val="Hyperlink"/>
                <w:rFonts w:cs="Arial"/>
                <w:noProof/>
              </w:rPr>
              <w:t>New listed medicines</w:t>
            </w:r>
            <w:r w:rsidR="00780BC6">
              <w:rPr>
                <w:noProof/>
                <w:webHidden/>
              </w:rPr>
              <w:tab/>
            </w:r>
            <w:r w:rsidR="00780BC6">
              <w:rPr>
                <w:noProof/>
                <w:webHidden/>
              </w:rPr>
              <w:fldChar w:fldCharType="begin"/>
            </w:r>
            <w:r w:rsidR="00780BC6">
              <w:rPr>
                <w:noProof/>
                <w:webHidden/>
              </w:rPr>
              <w:instrText xml:space="preserve"> PAGEREF _Toc153550461 \h </w:instrText>
            </w:r>
            <w:r w:rsidR="00780BC6">
              <w:rPr>
                <w:noProof/>
                <w:webHidden/>
              </w:rPr>
            </w:r>
            <w:r w:rsidR="00780BC6">
              <w:rPr>
                <w:noProof/>
                <w:webHidden/>
              </w:rPr>
              <w:fldChar w:fldCharType="separate"/>
            </w:r>
            <w:r w:rsidR="00416739">
              <w:rPr>
                <w:noProof/>
                <w:webHidden/>
              </w:rPr>
              <w:t>75</w:t>
            </w:r>
            <w:r w:rsidR="00780BC6">
              <w:rPr>
                <w:noProof/>
                <w:webHidden/>
              </w:rPr>
              <w:fldChar w:fldCharType="end"/>
            </w:r>
          </w:hyperlink>
        </w:p>
        <w:p w14:paraId="6B3CDAEC" w14:textId="450F917F"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2" w:history="1">
            <w:r w:rsidR="00780BC6" w:rsidRPr="00431E4D">
              <w:rPr>
                <w:rStyle w:val="Hyperlink"/>
                <w:rFonts w:cs="Arial"/>
                <w:noProof/>
              </w:rPr>
              <w:t>5.4.</w:t>
            </w:r>
            <w:r w:rsidR="00780BC6">
              <w:rPr>
                <w:rFonts w:asciiTheme="minorHAnsi" w:eastAsiaTheme="minorEastAsia" w:hAnsiTheme="minorHAnsi" w:cstheme="minorBidi"/>
                <w:noProof/>
                <w:szCs w:val="22"/>
                <w:lang w:eastAsia="en-AU"/>
              </w:rPr>
              <w:tab/>
            </w:r>
            <w:r w:rsidR="00780BC6" w:rsidRPr="00431E4D">
              <w:rPr>
                <w:rStyle w:val="Hyperlink"/>
                <w:rFonts w:cs="Arial"/>
                <w:noProof/>
              </w:rPr>
              <w:t>Variations</w:t>
            </w:r>
            <w:r w:rsidR="00780BC6">
              <w:rPr>
                <w:noProof/>
                <w:webHidden/>
              </w:rPr>
              <w:tab/>
            </w:r>
            <w:r w:rsidR="00780BC6">
              <w:rPr>
                <w:noProof/>
                <w:webHidden/>
              </w:rPr>
              <w:fldChar w:fldCharType="begin"/>
            </w:r>
            <w:r w:rsidR="00780BC6">
              <w:rPr>
                <w:noProof/>
                <w:webHidden/>
              </w:rPr>
              <w:instrText xml:space="preserve"> PAGEREF _Toc153550462 \h </w:instrText>
            </w:r>
            <w:r w:rsidR="00780BC6">
              <w:rPr>
                <w:noProof/>
                <w:webHidden/>
              </w:rPr>
            </w:r>
            <w:r w:rsidR="00780BC6">
              <w:rPr>
                <w:noProof/>
                <w:webHidden/>
              </w:rPr>
              <w:fldChar w:fldCharType="separate"/>
            </w:r>
            <w:r w:rsidR="00416739">
              <w:rPr>
                <w:noProof/>
                <w:webHidden/>
              </w:rPr>
              <w:t>75</w:t>
            </w:r>
            <w:r w:rsidR="00780BC6">
              <w:rPr>
                <w:noProof/>
                <w:webHidden/>
              </w:rPr>
              <w:fldChar w:fldCharType="end"/>
            </w:r>
          </w:hyperlink>
        </w:p>
        <w:p w14:paraId="18A777AA" w14:textId="22ECA462"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3" w:history="1">
            <w:r w:rsidR="00780BC6" w:rsidRPr="00431E4D">
              <w:rPr>
                <w:rStyle w:val="Hyperlink"/>
                <w:rFonts w:cs="Arial"/>
                <w:noProof/>
              </w:rPr>
              <w:t>5.5.</w:t>
            </w:r>
            <w:r w:rsidR="00780BC6">
              <w:rPr>
                <w:rFonts w:asciiTheme="minorHAnsi" w:eastAsiaTheme="minorEastAsia" w:hAnsiTheme="minorHAnsi" w:cstheme="minorBidi"/>
                <w:noProof/>
                <w:szCs w:val="22"/>
                <w:lang w:eastAsia="en-AU"/>
              </w:rPr>
              <w:tab/>
            </w:r>
            <w:r w:rsidR="00780BC6" w:rsidRPr="00431E4D">
              <w:rPr>
                <w:rStyle w:val="Hyperlink"/>
                <w:rFonts w:cs="Arial"/>
                <w:noProof/>
              </w:rPr>
              <w:t>Post-market applications</w:t>
            </w:r>
            <w:r w:rsidR="00780BC6">
              <w:rPr>
                <w:noProof/>
                <w:webHidden/>
              </w:rPr>
              <w:tab/>
            </w:r>
            <w:r w:rsidR="00780BC6">
              <w:rPr>
                <w:noProof/>
                <w:webHidden/>
              </w:rPr>
              <w:fldChar w:fldCharType="begin"/>
            </w:r>
            <w:r w:rsidR="00780BC6">
              <w:rPr>
                <w:noProof/>
                <w:webHidden/>
              </w:rPr>
              <w:instrText xml:space="preserve"> PAGEREF _Toc153550463 \h </w:instrText>
            </w:r>
            <w:r w:rsidR="00780BC6">
              <w:rPr>
                <w:noProof/>
                <w:webHidden/>
              </w:rPr>
            </w:r>
            <w:r w:rsidR="00780BC6">
              <w:rPr>
                <w:noProof/>
                <w:webHidden/>
              </w:rPr>
              <w:fldChar w:fldCharType="separate"/>
            </w:r>
            <w:r w:rsidR="00416739">
              <w:rPr>
                <w:noProof/>
                <w:webHidden/>
              </w:rPr>
              <w:t>76</w:t>
            </w:r>
            <w:r w:rsidR="00780BC6">
              <w:rPr>
                <w:noProof/>
                <w:webHidden/>
              </w:rPr>
              <w:fldChar w:fldCharType="end"/>
            </w:r>
          </w:hyperlink>
        </w:p>
        <w:p w14:paraId="6BA665D5" w14:textId="54494A0D"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4" w:history="1">
            <w:r w:rsidR="00780BC6" w:rsidRPr="00431E4D">
              <w:rPr>
                <w:rStyle w:val="Hyperlink"/>
                <w:rFonts w:cs="Arial"/>
                <w:noProof/>
              </w:rPr>
              <w:t>5.6.</w:t>
            </w:r>
            <w:r w:rsidR="00780BC6">
              <w:rPr>
                <w:rFonts w:asciiTheme="minorHAnsi" w:eastAsiaTheme="minorEastAsia" w:hAnsiTheme="minorHAnsi" w:cstheme="minorBidi"/>
                <w:noProof/>
                <w:szCs w:val="22"/>
                <w:lang w:eastAsia="en-AU"/>
              </w:rPr>
              <w:tab/>
            </w:r>
            <w:r w:rsidR="00780BC6" w:rsidRPr="00431E4D">
              <w:rPr>
                <w:rStyle w:val="Hyperlink"/>
                <w:rFonts w:cs="Arial"/>
                <w:noProof/>
              </w:rPr>
              <w:t>Enquiries and education activities</w:t>
            </w:r>
            <w:r w:rsidR="00780BC6">
              <w:rPr>
                <w:noProof/>
                <w:webHidden/>
              </w:rPr>
              <w:tab/>
            </w:r>
            <w:r w:rsidR="00780BC6">
              <w:rPr>
                <w:noProof/>
                <w:webHidden/>
              </w:rPr>
              <w:fldChar w:fldCharType="begin"/>
            </w:r>
            <w:r w:rsidR="00780BC6">
              <w:rPr>
                <w:noProof/>
                <w:webHidden/>
              </w:rPr>
              <w:instrText xml:space="preserve"> PAGEREF _Toc153550464 \h </w:instrText>
            </w:r>
            <w:r w:rsidR="00780BC6">
              <w:rPr>
                <w:noProof/>
                <w:webHidden/>
              </w:rPr>
            </w:r>
            <w:r w:rsidR="00780BC6">
              <w:rPr>
                <w:noProof/>
                <w:webHidden/>
              </w:rPr>
              <w:fldChar w:fldCharType="separate"/>
            </w:r>
            <w:r w:rsidR="00416739">
              <w:rPr>
                <w:noProof/>
                <w:webHidden/>
              </w:rPr>
              <w:t>77</w:t>
            </w:r>
            <w:r w:rsidR="00780BC6">
              <w:rPr>
                <w:noProof/>
                <w:webHidden/>
              </w:rPr>
              <w:fldChar w:fldCharType="end"/>
            </w:r>
          </w:hyperlink>
        </w:p>
        <w:p w14:paraId="699D9B9B" w14:textId="2666C193"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5" w:history="1">
            <w:r w:rsidR="00780BC6" w:rsidRPr="00431E4D">
              <w:rPr>
                <w:rStyle w:val="Hyperlink"/>
                <w:rFonts w:cs="Arial"/>
                <w:noProof/>
              </w:rPr>
              <w:t>5.7.</w:t>
            </w:r>
            <w:r w:rsidR="00780BC6">
              <w:rPr>
                <w:rFonts w:asciiTheme="minorHAnsi" w:eastAsiaTheme="minorEastAsia" w:hAnsiTheme="minorHAnsi" w:cstheme="minorBidi"/>
                <w:noProof/>
                <w:szCs w:val="22"/>
                <w:lang w:eastAsia="en-AU"/>
              </w:rPr>
              <w:tab/>
            </w:r>
            <w:r w:rsidR="00780BC6" w:rsidRPr="00431E4D">
              <w:rPr>
                <w:rStyle w:val="Hyperlink"/>
                <w:rFonts w:cs="Arial"/>
                <w:noProof/>
              </w:rPr>
              <w:t>Food/Cosmetic-Medicine Interface activities</w:t>
            </w:r>
            <w:r w:rsidR="00780BC6">
              <w:rPr>
                <w:noProof/>
                <w:webHidden/>
              </w:rPr>
              <w:tab/>
            </w:r>
            <w:r w:rsidR="00780BC6">
              <w:rPr>
                <w:noProof/>
                <w:webHidden/>
              </w:rPr>
              <w:fldChar w:fldCharType="begin"/>
            </w:r>
            <w:r w:rsidR="00780BC6">
              <w:rPr>
                <w:noProof/>
                <w:webHidden/>
              </w:rPr>
              <w:instrText xml:space="preserve"> PAGEREF _Toc153550465 \h </w:instrText>
            </w:r>
            <w:r w:rsidR="00780BC6">
              <w:rPr>
                <w:noProof/>
                <w:webHidden/>
              </w:rPr>
            </w:r>
            <w:r w:rsidR="00780BC6">
              <w:rPr>
                <w:noProof/>
                <w:webHidden/>
              </w:rPr>
              <w:fldChar w:fldCharType="separate"/>
            </w:r>
            <w:r w:rsidR="00416739">
              <w:rPr>
                <w:noProof/>
                <w:webHidden/>
              </w:rPr>
              <w:t>77</w:t>
            </w:r>
            <w:r w:rsidR="00780BC6">
              <w:rPr>
                <w:noProof/>
                <w:webHidden/>
              </w:rPr>
              <w:fldChar w:fldCharType="end"/>
            </w:r>
          </w:hyperlink>
        </w:p>
        <w:p w14:paraId="5E6773A1" w14:textId="72F37A4B"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6" w:history="1">
            <w:r w:rsidR="00780BC6" w:rsidRPr="00431E4D">
              <w:rPr>
                <w:rStyle w:val="Hyperlink"/>
                <w:rFonts w:cs="Arial"/>
                <w:noProof/>
              </w:rPr>
              <w:t>5.8.</w:t>
            </w:r>
            <w:r w:rsidR="00780BC6">
              <w:rPr>
                <w:rFonts w:asciiTheme="minorHAnsi" w:eastAsiaTheme="minorEastAsia" w:hAnsiTheme="minorHAnsi" w:cstheme="minorBidi"/>
                <w:noProof/>
                <w:szCs w:val="22"/>
                <w:lang w:eastAsia="en-AU"/>
              </w:rPr>
              <w:tab/>
            </w:r>
            <w:r w:rsidR="00780BC6" w:rsidRPr="00431E4D">
              <w:rPr>
                <w:rStyle w:val="Hyperlink"/>
                <w:rFonts w:cs="Arial"/>
                <w:noProof/>
              </w:rPr>
              <w:t>Compliance and enforcement</w:t>
            </w:r>
            <w:r w:rsidR="00780BC6">
              <w:rPr>
                <w:noProof/>
                <w:webHidden/>
              </w:rPr>
              <w:tab/>
            </w:r>
            <w:r w:rsidR="00780BC6">
              <w:rPr>
                <w:noProof/>
                <w:webHidden/>
              </w:rPr>
              <w:fldChar w:fldCharType="begin"/>
            </w:r>
            <w:r w:rsidR="00780BC6">
              <w:rPr>
                <w:noProof/>
                <w:webHidden/>
              </w:rPr>
              <w:instrText xml:space="preserve"> PAGEREF _Toc153550466 \h </w:instrText>
            </w:r>
            <w:r w:rsidR="00780BC6">
              <w:rPr>
                <w:noProof/>
                <w:webHidden/>
              </w:rPr>
            </w:r>
            <w:r w:rsidR="00780BC6">
              <w:rPr>
                <w:noProof/>
                <w:webHidden/>
              </w:rPr>
              <w:fldChar w:fldCharType="separate"/>
            </w:r>
            <w:r w:rsidR="00416739">
              <w:rPr>
                <w:noProof/>
                <w:webHidden/>
              </w:rPr>
              <w:t>78</w:t>
            </w:r>
            <w:r w:rsidR="00780BC6">
              <w:rPr>
                <w:noProof/>
                <w:webHidden/>
              </w:rPr>
              <w:fldChar w:fldCharType="end"/>
            </w:r>
          </w:hyperlink>
        </w:p>
        <w:p w14:paraId="41CBDE06" w14:textId="747A411C" w:rsidR="00780BC6" w:rsidRDefault="00AD6673">
          <w:pPr>
            <w:pStyle w:val="TOC1"/>
            <w:tabs>
              <w:tab w:val="left" w:pos="440"/>
            </w:tabs>
            <w:rPr>
              <w:rFonts w:asciiTheme="minorHAnsi" w:eastAsiaTheme="minorEastAsia" w:hAnsiTheme="minorHAnsi" w:cstheme="minorBidi"/>
              <w:b w:val="0"/>
              <w:bCs w:val="0"/>
              <w:szCs w:val="22"/>
              <w:lang w:eastAsia="en-AU"/>
            </w:rPr>
          </w:pPr>
          <w:hyperlink w:anchor="_Toc153550467" w:history="1">
            <w:r w:rsidR="00780BC6" w:rsidRPr="00431E4D">
              <w:rPr>
                <w:rStyle w:val="Hyperlink"/>
                <w:rFonts w:cs="Arial"/>
              </w:rPr>
              <w:t>6.</w:t>
            </w:r>
            <w:r w:rsidR="00780BC6">
              <w:rPr>
                <w:rFonts w:asciiTheme="minorHAnsi" w:eastAsiaTheme="minorEastAsia" w:hAnsiTheme="minorHAnsi" w:cstheme="minorBidi"/>
                <w:b w:val="0"/>
                <w:bCs w:val="0"/>
                <w:szCs w:val="22"/>
                <w:lang w:eastAsia="en-AU"/>
              </w:rPr>
              <w:tab/>
            </w:r>
            <w:r w:rsidR="00780BC6" w:rsidRPr="00431E4D">
              <w:rPr>
                <w:rStyle w:val="Hyperlink"/>
                <w:rFonts w:cs="Arial"/>
              </w:rPr>
              <w:t>Biologicals and Blood Components</w:t>
            </w:r>
            <w:r w:rsidR="00780BC6">
              <w:rPr>
                <w:webHidden/>
              </w:rPr>
              <w:tab/>
            </w:r>
            <w:r w:rsidR="00780BC6">
              <w:rPr>
                <w:webHidden/>
              </w:rPr>
              <w:fldChar w:fldCharType="begin"/>
            </w:r>
            <w:r w:rsidR="00780BC6">
              <w:rPr>
                <w:webHidden/>
              </w:rPr>
              <w:instrText xml:space="preserve"> PAGEREF _Toc153550467 \h </w:instrText>
            </w:r>
            <w:r w:rsidR="00780BC6">
              <w:rPr>
                <w:webHidden/>
              </w:rPr>
            </w:r>
            <w:r w:rsidR="00780BC6">
              <w:rPr>
                <w:webHidden/>
              </w:rPr>
              <w:fldChar w:fldCharType="separate"/>
            </w:r>
            <w:r w:rsidR="00416739">
              <w:rPr>
                <w:webHidden/>
              </w:rPr>
              <w:t>82</w:t>
            </w:r>
            <w:r w:rsidR="00780BC6">
              <w:rPr>
                <w:webHidden/>
              </w:rPr>
              <w:fldChar w:fldCharType="end"/>
            </w:r>
          </w:hyperlink>
        </w:p>
        <w:p w14:paraId="451173A8" w14:textId="1721542B" w:rsidR="00780BC6" w:rsidRDefault="00AD6673">
          <w:pPr>
            <w:pStyle w:val="TOC3"/>
            <w:tabs>
              <w:tab w:val="left" w:pos="1100"/>
            </w:tabs>
            <w:rPr>
              <w:rFonts w:asciiTheme="minorHAnsi" w:eastAsiaTheme="minorEastAsia" w:hAnsiTheme="minorHAnsi" w:cstheme="minorBidi"/>
              <w:noProof/>
              <w:szCs w:val="22"/>
              <w:lang w:eastAsia="en-AU"/>
            </w:rPr>
          </w:pPr>
          <w:hyperlink w:anchor="_Toc153550469" w:history="1">
            <w:r w:rsidR="00780BC6" w:rsidRPr="00431E4D">
              <w:rPr>
                <w:rStyle w:val="Hyperlink"/>
                <w:rFonts w:cs="Arial"/>
                <w:noProof/>
              </w:rPr>
              <w:t>6.1.</w:t>
            </w:r>
            <w:r w:rsidR="00780BC6">
              <w:rPr>
                <w:rFonts w:asciiTheme="minorHAnsi" w:eastAsiaTheme="minorEastAsia" w:hAnsiTheme="minorHAnsi" w:cstheme="minorBidi"/>
                <w:noProof/>
                <w:szCs w:val="22"/>
                <w:lang w:eastAsia="en-AU"/>
              </w:rPr>
              <w:tab/>
            </w:r>
            <w:r w:rsidR="00780BC6" w:rsidRPr="00431E4D">
              <w:rPr>
                <w:rStyle w:val="Hyperlink"/>
                <w:rFonts w:cs="Arial"/>
                <w:noProof/>
              </w:rPr>
              <w:t>Inclusion of biologicals</w:t>
            </w:r>
            <w:r w:rsidR="00780BC6">
              <w:rPr>
                <w:noProof/>
                <w:webHidden/>
              </w:rPr>
              <w:tab/>
            </w:r>
            <w:r w:rsidR="00780BC6">
              <w:rPr>
                <w:noProof/>
                <w:webHidden/>
              </w:rPr>
              <w:fldChar w:fldCharType="begin"/>
            </w:r>
            <w:r w:rsidR="00780BC6">
              <w:rPr>
                <w:noProof/>
                <w:webHidden/>
              </w:rPr>
              <w:instrText xml:space="preserve"> PAGEREF _Toc153550469 \h </w:instrText>
            </w:r>
            <w:r w:rsidR="00780BC6">
              <w:rPr>
                <w:noProof/>
                <w:webHidden/>
              </w:rPr>
            </w:r>
            <w:r w:rsidR="00780BC6">
              <w:rPr>
                <w:noProof/>
                <w:webHidden/>
              </w:rPr>
              <w:fldChar w:fldCharType="separate"/>
            </w:r>
            <w:r w:rsidR="00416739">
              <w:rPr>
                <w:noProof/>
                <w:webHidden/>
              </w:rPr>
              <w:t>82</w:t>
            </w:r>
            <w:r w:rsidR="00780BC6">
              <w:rPr>
                <w:noProof/>
                <w:webHidden/>
              </w:rPr>
              <w:fldChar w:fldCharType="end"/>
            </w:r>
          </w:hyperlink>
        </w:p>
        <w:p w14:paraId="498EC7F3" w14:textId="572F8876" w:rsidR="00780BC6" w:rsidRDefault="00AD6673">
          <w:pPr>
            <w:pStyle w:val="TOC1"/>
            <w:rPr>
              <w:rFonts w:asciiTheme="minorHAnsi" w:eastAsiaTheme="minorEastAsia" w:hAnsiTheme="minorHAnsi" w:cstheme="minorBidi"/>
              <w:b w:val="0"/>
              <w:bCs w:val="0"/>
              <w:szCs w:val="22"/>
              <w:lang w:eastAsia="en-AU"/>
            </w:rPr>
          </w:pPr>
          <w:hyperlink w:anchor="_Toc153550470" w:history="1">
            <w:r w:rsidR="00780BC6" w:rsidRPr="00431E4D">
              <w:rPr>
                <w:rStyle w:val="Hyperlink"/>
                <w:rFonts w:eastAsiaTheme="majorEastAsia" w:cs="Arial"/>
                <w:lang w:eastAsia="en-AU"/>
              </w:rPr>
              <w:t>7. Medicine and Vaccine Adverse Event Reports</w:t>
            </w:r>
            <w:r w:rsidR="00780BC6">
              <w:rPr>
                <w:webHidden/>
              </w:rPr>
              <w:tab/>
            </w:r>
            <w:r w:rsidR="00780BC6">
              <w:rPr>
                <w:webHidden/>
              </w:rPr>
              <w:fldChar w:fldCharType="begin"/>
            </w:r>
            <w:r w:rsidR="00780BC6">
              <w:rPr>
                <w:webHidden/>
              </w:rPr>
              <w:instrText xml:space="preserve"> PAGEREF _Toc153550470 \h </w:instrText>
            </w:r>
            <w:r w:rsidR="00780BC6">
              <w:rPr>
                <w:webHidden/>
              </w:rPr>
            </w:r>
            <w:r w:rsidR="00780BC6">
              <w:rPr>
                <w:webHidden/>
              </w:rPr>
              <w:fldChar w:fldCharType="separate"/>
            </w:r>
            <w:r w:rsidR="00416739">
              <w:rPr>
                <w:webHidden/>
              </w:rPr>
              <w:t>84</w:t>
            </w:r>
            <w:r w:rsidR="00780BC6">
              <w:rPr>
                <w:webHidden/>
              </w:rPr>
              <w:fldChar w:fldCharType="end"/>
            </w:r>
          </w:hyperlink>
        </w:p>
        <w:p w14:paraId="05999FE7" w14:textId="08F50486" w:rsidR="00780BC6" w:rsidRDefault="00AD6673">
          <w:pPr>
            <w:pStyle w:val="TOC3"/>
            <w:tabs>
              <w:tab w:val="left" w:pos="1100"/>
            </w:tabs>
            <w:rPr>
              <w:rFonts w:asciiTheme="minorHAnsi" w:eastAsiaTheme="minorEastAsia" w:hAnsiTheme="minorHAnsi" w:cstheme="minorBidi"/>
              <w:noProof/>
              <w:szCs w:val="22"/>
              <w:lang w:eastAsia="en-AU"/>
            </w:rPr>
          </w:pPr>
          <w:hyperlink w:anchor="_Toc153550472" w:history="1">
            <w:r w:rsidR="00780BC6" w:rsidRPr="00431E4D">
              <w:rPr>
                <w:rStyle w:val="Hyperlink"/>
                <w:rFonts w:cs="Arial"/>
                <w:noProof/>
              </w:rPr>
              <w:t>7.1.</w:t>
            </w:r>
            <w:r w:rsidR="00780BC6">
              <w:rPr>
                <w:rFonts w:asciiTheme="minorHAnsi" w:eastAsiaTheme="minorEastAsia" w:hAnsiTheme="minorHAnsi" w:cstheme="minorBidi"/>
                <w:noProof/>
                <w:szCs w:val="22"/>
                <w:lang w:eastAsia="en-AU"/>
              </w:rPr>
              <w:tab/>
            </w:r>
            <w:r w:rsidR="00780BC6" w:rsidRPr="00431E4D">
              <w:rPr>
                <w:rStyle w:val="Hyperlink"/>
                <w:rFonts w:cs="Arial"/>
                <w:noProof/>
              </w:rPr>
              <w:t>Adverse medicine and vaccine event notifications</w:t>
            </w:r>
            <w:r w:rsidR="00780BC6">
              <w:rPr>
                <w:noProof/>
                <w:webHidden/>
              </w:rPr>
              <w:tab/>
            </w:r>
            <w:r w:rsidR="00780BC6">
              <w:rPr>
                <w:noProof/>
                <w:webHidden/>
              </w:rPr>
              <w:fldChar w:fldCharType="begin"/>
            </w:r>
            <w:r w:rsidR="00780BC6">
              <w:rPr>
                <w:noProof/>
                <w:webHidden/>
              </w:rPr>
              <w:instrText xml:space="preserve"> PAGEREF _Toc153550472 \h </w:instrText>
            </w:r>
            <w:r w:rsidR="00780BC6">
              <w:rPr>
                <w:noProof/>
                <w:webHidden/>
              </w:rPr>
            </w:r>
            <w:r w:rsidR="00780BC6">
              <w:rPr>
                <w:noProof/>
                <w:webHidden/>
              </w:rPr>
              <w:fldChar w:fldCharType="separate"/>
            </w:r>
            <w:r w:rsidR="00416739">
              <w:rPr>
                <w:noProof/>
                <w:webHidden/>
              </w:rPr>
              <w:t>84</w:t>
            </w:r>
            <w:r w:rsidR="00780BC6">
              <w:rPr>
                <w:noProof/>
                <w:webHidden/>
              </w:rPr>
              <w:fldChar w:fldCharType="end"/>
            </w:r>
          </w:hyperlink>
        </w:p>
        <w:p w14:paraId="71982699" w14:textId="5D548A6D" w:rsidR="00780BC6" w:rsidRDefault="00AD6673">
          <w:pPr>
            <w:pStyle w:val="TOC1"/>
            <w:rPr>
              <w:rFonts w:asciiTheme="minorHAnsi" w:eastAsiaTheme="minorEastAsia" w:hAnsiTheme="minorHAnsi" w:cstheme="minorBidi"/>
              <w:b w:val="0"/>
              <w:bCs w:val="0"/>
              <w:szCs w:val="22"/>
              <w:lang w:eastAsia="en-AU"/>
            </w:rPr>
          </w:pPr>
          <w:hyperlink w:anchor="_Toc153550473" w:history="1">
            <w:r w:rsidR="00780BC6" w:rsidRPr="00431E4D">
              <w:rPr>
                <w:rStyle w:val="Hyperlink"/>
                <w:rFonts w:eastAsiaTheme="majorEastAsia" w:cs="Arial"/>
                <w:lang w:eastAsia="en-AU"/>
              </w:rPr>
              <w:t>8. Medical Devices</w:t>
            </w:r>
            <w:r w:rsidR="00780BC6">
              <w:rPr>
                <w:webHidden/>
              </w:rPr>
              <w:tab/>
            </w:r>
            <w:r w:rsidR="00780BC6">
              <w:rPr>
                <w:webHidden/>
              </w:rPr>
              <w:fldChar w:fldCharType="begin"/>
            </w:r>
            <w:r w:rsidR="00780BC6">
              <w:rPr>
                <w:webHidden/>
              </w:rPr>
              <w:instrText xml:space="preserve"> PAGEREF _Toc153550473 \h </w:instrText>
            </w:r>
            <w:r w:rsidR="00780BC6">
              <w:rPr>
                <w:webHidden/>
              </w:rPr>
            </w:r>
            <w:r w:rsidR="00780BC6">
              <w:rPr>
                <w:webHidden/>
              </w:rPr>
              <w:fldChar w:fldCharType="separate"/>
            </w:r>
            <w:r w:rsidR="00416739">
              <w:rPr>
                <w:webHidden/>
              </w:rPr>
              <w:t>85</w:t>
            </w:r>
            <w:r w:rsidR="00780BC6">
              <w:rPr>
                <w:webHidden/>
              </w:rPr>
              <w:fldChar w:fldCharType="end"/>
            </w:r>
          </w:hyperlink>
        </w:p>
        <w:p w14:paraId="750DB8EF" w14:textId="074F92FF" w:rsidR="00780BC6" w:rsidRDefault="00AD6673">
          <w:pPr>
            <w:pStyle w:val="TOC3"/>
            <w:tabs>
              <w:tab w:val="left" w:pos="1100"/>
            </w:tabs>
            <w:rPr>
              <w:rFonts w:asciiTheme="minorHAnsi" w:eastAsiaTheme="minorEastAsia" w:hAnsiTheme="minorHAnsi" w:cstheme="minorBidi"/>
              <w:noProof/>
              <w:szCs w:val="22"/>
              <w:lang w:eastAsia="en-AU"/>
            </w:rPr>
          </w:pPr>
          <w:hyperlink w:anchor="_Toc153550475" w:history="1">
            <w:r w:rsidR="00780BC6" w:rsidRPr="00431E4D">
              <w:rPr>
                <w:rStyle w:val="Hyperlink"/>
                <w:rFonts w:cs="Arial"/>
                <w:noProof/>
              </w:rPr>
              <w:t>8.1.</w:t>
            </w:r>
            <w:r w:rsidR="00780BC6">
              <w:rPr>
                <w:rFonts w:asciiTheme="minorHAnsi" w:eastAsiaTheme="minorEastAsia" w:hAnsiTheme="minorHAnsi" w:cstheme="minorBidi"/>
                <w:noProof/>
                <w:szCs w:val="22"/>
                <w:lang w:eastAsia="en-AU"/>
              </w:rPr>
              <w:tab/>
            </w:r>
            <w:r w:rsidR="00780BC6" w:rsidRPr="00431E4D">
              <w:rPr>
                <w:rStyle w:val="Hyperlink"/>
                <w:rFonts w:cs="Arial"/>
                <w:noProof/>
              </w:rPr>
              <w:t>Conformity assessment</w:t>
            </w:r>
            <w:r w:rsidR="00780BC6">
              <w:rPr>
                <w:noProof/>
                <w:webHidden/>
              </w:rPr>
              <w:tab/>
            </w:r>
            <w:r w:rsidR="00780BC6">
              <w:rPr>
                <w:noProof/>
                <w:webHidden/>
              </w:rPr>
              <w:fldChar w:fldCharType="begin"/>
            </w:r>
            <w:r w:rsidR="00780BC6">
              <w:rPr>
                <w:noProof/>
                <w:webHidden/>
              </w:rPr>
              <w:instrText xml:space="preserve"> PAGEREF _Toc153550475 \h </w:instrText>
            </w:r>
            <w:r w:rsidR="00780BC6">
              <w:rPr>
                <w:noProof/>
                <w:webHidden/>
              </w:rPr>
            </w:r>
            <w:r w:rsidR="00780BC6">
              <w:rPr>
                <w:noProof/>
                <w:webHidden/>
              </w:rPr>
              <w:fldChar w:fldCharType="separate"/>
            </w:r>
            <w:r w:rsidR="00416739">
              <w:rPr>
                <w:noProof/>
                <w:webHidden/>
              </w:rPr>
              <w:t>86</w:t>
            </w:r>
            <w:r w:rsidR="00780BC6">
              <w:rPr>
                <w:noProof/>
                <w:webHidden/>
              </w:rPr>
              <w:fldChar w:fldCharType="end"/>
            </w:r>
          </w:hyperlink>
        </w:p>
        <w:p w14:paraId="2A7CA4AF" w14:textId="4BA48162" w:rsidR="00780BC6" w:rsidRDefault="00AD6673">
          <w:pPr>
            <w:pStyle w:val="TOC3"/>
            <w:tabs>
              <w:tab w:val="left" w:pos="1100"/>
            </w:tabs>
            <w:rPr>
              <w:rFonts w:asciiTheme="minorHAnsi" w:eastAsiaTheme="minorEastAsia" w:hAnsiTheme="minorHAnsi" w:cstheme="minorBidi"/>
              <w:noProof/>
              <w:szCs w:val="22"/>
              <w:lang w:eastAsia="en-AU"/>
            </w:rPr>
          </w:pPr>
          <w:hyperlink w:anchor="_Toc153550476" w:history="1">
            <w:r w:rsidR="00780BC6" w:rsidRPr="00431E4D">
              <w:rPr>
                <w:rStyle w:val="Hyperlink"/>
                <w:rFonts w:cs="Arial"/>
                <w:noProof/>
              </w:rPr>
              <w:t>8.2.</w:t>
            </w:r>
            <w:r w:rsidR="00780BC6">
              <w:rPr>
                <w:rFonts w:asciiTheme="minorHAnsi" w:eastAsiaTheme="minorEastAsia" w:hAnsiTheme="minorHAnsi" w:cstheme="minorBidi"/>
                <w:noProof/>
                <w:szCs w:val="22"/>
                <w:lang w:eastAsia="en-AU"/>
              </w:rPr>
              <w:tab/>
            </w:r>
            <w:r w:rsidR="00780BC6" w:rsidRPr="00431E4D">
              <w:rPr>
                <w:rStyle w:val="Hyperlink"/>
                <w:rFonts w:cs="Arial"/>
                <w:noProof/>
              </w:rPr>
              <w:t>Inclusion of medical devices (including IVDs)</w:t>
            </w:r>
            <w:r w:rsidR="00780BC6">
              <w:rPr>
                <w:noProof/>
                <w:webHidden/>
              </w:rPr>
              <w:tab/>
            </w:r>
            <w:r w:rsidR="00780BC6">
              <w:rPr>
                <w:noProof/>
                <w:webHidden/>
              </w:rPr>
              <w:fldChar w:fldCharType="begin"/>
            </w:r>
            <w:r w:rsidR="00780BC6">
              <w:rPr>
                <w:noProof/>
                <w:webHidden/>
              </w:rPr>
              <w:instrText xml:space="preserve"> PAGEREF _Toc153550476 \h </w:instrText>
            </w:r>
            <w:r w:rsidR="00780BC6">
              <w:rPr>
                <w:noProof/>
                <w:webHidden/>
              </w:rPr>
            </w:r>
            <w:r w:rsidR="00780BC6">
              <w:rPr>
                <w:noProof/>
                <w:webHidden/>
              </w:rPr>
              <w:fldChar w:fldCharType="separate"/>
            </w:r>
            <w:r w:rsidR="00416739">
              <w:rPr>
                <w:noProof/>
                <w:webHidden/>
              </w:rPr>
              <w:t>88</w:t>
            </w:r>
            <w:r w:rsidR="00780BC6">
              <w:rPr>
                <w:noProof/>
                <w:webHidden/>
              </w:rPr>
              <w:fldChar w:fldCharType="end"/>
            </w:r>
          </w:hyperlink>
        </w:p>
        <w:p w14:paraId="0AC68ACB" w14:textId="5F4FCC1E" w:rsidR="00780BC6" w:rsidRDefault="00AD6673">
          <w:pPr>
            <w:pStyle w:val="TOC3"/>
            <w:tabs>
              <w:tab w:val="left" w:pos="1100"/>
            </w:tabs>
            <w:rPr>
              <w:rFonts w:asciiTheme="minorHAnsi" w:eastAsiaTheme="minorEastAsia" w:hAnsiTheme="minorHAnsi" w:cstheme="minorBidi"/>
              <w:noProof/>
              <w:szCs w:val="22"/>
              <w:lang w:eastAsia="en-AU"/>
            </w:rPr>
          </w:pPr>
          <w:hyperlink w:anchor="_Toc153550477" w:history="1">
            <w:r w:rsidR="00780BC6" w:rsidRPr="00431E4D">
              <w:rPr>
                <w:rStyle w:val="Hyperlink"/>
                <w:rFonts w:cs="Arial"/>
                <w:noProof/>
              </w:rPr>
              <w:t>8.3.</w:t>
            </w:r>
            <w:r w:rsidR="00780BC6">
              <w:rPr>
                <w:rFonts w:asciiTheme="minorHAnsi" w:eastAsiaTheme="minorEastAsia" w:hAnsiTheme="minorHAnsi" w:cstheme="minorBidi"/>
                <w:noProof/>
                <w:szCs w:val="22"/>
                <w:lang w:eastAsia="en-AU"/>
              </w:rPr>
              <w:tab/>
            </w:r>
            <w:r w:rsidR="00780BC6" w:rsidRPr="00431E4D">
              <w:rPr>
                <w:rStyle w:val="Hyperlink"/>
                <w:rFonts w:cs="Arial"/>
                <w:noProof/>
              </w:rPr>
              <w:t>Post-market monitoring</w:t>
            </w:r>
            <w:r w:rsidR="00780BC6">
              <w:rPr>
                <w:noProof/>
                <w:webHidden/>
              </w:rPr>
              <w:tab/>
            </w:r>
            <w:r w:rsidR="00780BC6">
              <w:rPr>
                <w:noProof/>
                <w:webHidden/>
              </w:rPr>
              <w:fldChar w:fldCharType="begin"/>
            </w:r>
            <w:r w:rsidR="00780BC6">
              <w:rPr>
                <w:noProof/>
                <w:webHidden/>
              </w:rPr>
              <w:instrText xml:space="preserve"> PAGEREF _Toc153550477 \h </w:instrText>
            </w:r>
            <w:r w:rsidR="00780BC6">
              <w:rPr>
                <w:noProof/>
                <w:webHidden/>
              </w:rPr>
            </w:r>
            <w:r w:rsidR="00780BC6">
              <w:rPr>
                <w:noProof/>
                <w:webHidden/>
              </w:rPr>
              <w:fldChar w:fldCharType="separate"/>
            </w:r>
            <w:r w:rsidR="00416739">
              <w:rPr>
                <w:noProof/>
                <w:webHidden/>
              </w:rPr>
              <w:t>91</w:t>
            </w:r>
            <w:r w:rsidR="00780BC6">
              <w:rPr>
                <w:noProof/>
                <w:webHidden/>
              </w:rPr>
              <w:fldChar w:fldCharType="end"/>
            </w:r>
          </w:hyperlink>
        </w:p>
        <w:p w14:paraId="7DC75094" w14:textId="24090713" w:rsidR="00780BC6" w:rsidRDefault="00AD6673">
          <w:pPr>
            <w:pStyle w:val="TOC1"/>
            <w:rPr>
              <w:rFonts w:asciiTheme="minorHAnsi" w:eastAsiaTheme="minorEastAsia" w:hAnsiTheme="minorHAnsi" w:cstheme="minorBidi"/>
              <w:b w:val="0"/>
              <w:bCs w:val="0"/>
              <w:szCs w:val="22"/>
              <w:lang w:eastAsia="en-AU"/>
            </w:rPr>
          </w:pPr>
          <w:hyperlink w:anchor="_Toc153550478" w:history="1">
            <w:r w:rsidR="00780BC6" w:rsidRPr="00431E4D">
              <w:rPr>
                <w:rStyle w:val="Hyperlink"/>
                <w:rFonts w:eastAsiaTheme="majorEastAsia" w:cs="Arial"/>
                <w:lang w:eastAsia="en-AU"/>
              </w:rPr>
              <w:t>9. Exports</w:t>
            </w:r>
            <w:r w:rsidR="00780BC6">
              <w:rPr>
                <w:webHidden/>
              </w:rPr>
              <w:tab/>
            </w:r>
            <w:r w:rsidR="00780BC6">
              <w:rPr>
                <w:webHidden/>
              </w:rPr>
              <w:fldChar w:fldCharType="begin"/>
            </w:r>
            <w:r w:rsidR="00780BC6">
              <w:rPr>
                <w:webHidden/>
              </w:rPr>
              <w:instrText xml:space="preserve"> PAGEREF _Toc153550478 \h </w:instrText>
            </w:r>
            <w:r w:rsidR="00780BC6">
              <w:rPr>
                <w:webHidden/>
              </w:rPr>
            </w:r>
            <w:r w:rsidR="00780BC6">
              <w:rPr>
                <w:webHidden/>
              </w:rPr>
              <w:fldChar w:fldCharType="separate"/>
            </w:r>
            <w:r w:rsidR="00416739">
              <w:rPr>
                <w:webHidden/>
              </w:rPr>
              <w:t>95</w:t>
            </w:r>
            <w:r w:rsidR="00780BC6">
              <w:rPr>
                <w:webHidden/>
              </w:rPr>
              <w:fldChar w:fldCharType="end"/>
            </w:r>
          </w:hyperlink>
        </w:p>
        <w:p w14:paraId="626B3EDE" w14:textId="2CA6B6F7" w:rsidR="00780BC6" w:rsidRDefault="00AD6673">
          <w:pPr>
            <w:pStyle w:val="TOC3"/>
            <w:tabs>
              <w:tab w:val="left" w:pos="1100"/>
            </w:tabs>
            <w:rPr>
              <w:rFonts w:asciiTheme="minorHAnsi" w:eastAsiaTheme="minorEastAsia" w:hAnsiTheme="minorHAnsi" w:cstheme="minorBidi"/>
              <w:noProof/>
              <w:szCs w:val="22"/>
              <w:lang w:eastAsia="en-AU"/>
            </w:rPr>
          </w:pPr>
          <w:hyperlink w:anchor="_Toc153550480" w:history="1">
            <w:r w:rsidR="00780BC6" w:rsidRPr="00431E4D">
              <w:rPr>
                <w:rStyle w:val="Hyperlink"/>
                <w:rFonts w:cs="Arial"/>
                <w:noProof/>
              </w:rPr>
              <w:t>9.1.</w:t>
            </w:r>
            <w:r w:rsidR="00780BC6">
              <w:rPr>
                <w:rFonts w:asciiTheme="minorHAnsi" w:eastAsiaTheme="minorEastAsia" w:hAnsiTheme="minorHAnsi" w:cstheme="minorBidi"/>
                <w:noProof/>
                <w:szCs w:val="22"/>
                <w:lang w:eastAsia="en-AU"/>
              </w:rPr>
              <w:tab/>
            </w:r>
            <w:r w:rsidR="00780BC6" w:rsidRPr="00431E4D">
              <w:rPr>
                <w:rStyle w:val="Hyperlink"/>
                <w:rFonts w:cs="Arial"/>
                <w:noProof/>
              </w:rPr>
              <w:t>Export only products</w:t>
            </w:r>
            <w:r w:rsidR="00780BC6">
              <w:rPr>
                <w:noProof/>
                <w:webHidden/>
              </w:rPr>
              <w:tab/>
            </w:r>
            <w:r w:rsidR="00780BC6">
              <w:rPr>
                <w:noProof/>
                <w:webHidden/>
              </w:rPr>
              <w:fldChar w:fldCharType="begin"/>
            </w:r>
            <w:r w:rsidR="00780BC6">
              <w:rPr>
                <w:noProof/>
                <w:webHidden/>
              </w:rPr>
              <w:instrText xml:space="preserve"> PAGEREF _Toc153550480 \h </w:instrText>
            </w:r>
            <w:r w:rsidR="00780BC6">
              <w:rPr>
                <w:noProof/>
                <w:webHidden/>
              </w:rPr>
            </w:r>
            <w:r w:rsidR="00780BC6">
              <w:rPr>
                <w:noProof/>
                <w:webHidden/>
              </w:rPr>
              <w:fldChar w:fldCharType="separate"/>
            </w:r>
            <w:r w:rsidR="00416739">
              <w:rPr>
                <w:noProof/>
                <w:webHidden/>
              </w:rPr>
              <w:t>95</w:t>
            </w:r>
            <w:r w:rsidR="00780BC6">
              <w:rPr>
                <w:noProof/>
                <w:webHidden/>
              </w:rPr>
              <w:fldChar w:fldCharType="end"/>
            </w:r>
          </w:hyperlink>
        </w:p>
        <w:p w14:paraId="4757A34A" w14:textId="4A9CC0CE" w:rsidR="00780BC6" w:rsidRDefault="00AD6673">
          <w:pPr>
            <w:pStyle w:val="TOC3"/>
            <w:rPr>
              <w:rFonts w:asciiTheme="minorHAnsi" w:eastAsiaTheme="minorEastAsia" w:hAnsiTheme="minorHAnsi" w:cstheme="minorBidi"/>
              <w:noProof/>
              <w:szCs w:val="22"/>
              <w:lang w:eastAsia="en-AU"/>
            </w:rPr>
          </w:pPr>
          <w:hyperlink w:anchor="_Toc153550481" w:history="1">
            <w:r w:rsidR="00780BC6" w:rsidRPr="00431E4D">
              <w:rPr>
                <w:rStyle w:val="Hyperlink"/>
                <w:rFonts w:eastAsia="Cambria" w:cs="Arial"/>
                <w:b/>
                <w:bCs/>
                <w:noProof/>
              </w:rPr>
              <w:t>Table 51: Number of approved applications for export-only medicines and export certifications and relevant processing time for July 2022 to June 2023</w:t>
            </w:r>
            <w:r w:rsidR="00780BC6">
              <w:rPr>
                <w:noProof/>
                <w:webHidden/>
              </w:rPr>
              <w:tab/>
            </w:r>
            <w:r w:rsidR="00780BC6">
              <w:rPr>
                <w:noProof/>
                <w:webHidden/>
              </w:rPr>
              <w:fldChar w:fldCharType="begin"/>
            </w:r>
            <w:r w:rsidR="00780BC6">
              <w:rPr>
                <w:noProof/>
                <w:webHidden/>
              </w:rPr>
              <w:instrText xml:space="preserve"> PAGEREF _Toc153550481 \h </w:instrText>
            </w:r>
            <w:r w:rsidR="00780BC6">
              <w:rPr>
                <w:noProof/>
                <w:webHidden/>
              </w:rPr>
            </w:r>
            <w:r w:rsidR="00780BC6">
              <w:rPr>
                <w:noProof/>
                <w:webHidden/>
              </w:rPr>
              <w:fldChar w:fldCharType="separate"/>
            </w:r>
            <w:r w:rsidR="00416739">
              <w:rPr>
                <w:noProof/>
                <w:webHidden/>
              </w:rPr>
              <w:t>95</w:t>
            </w:r>
            <w:r w:rsidR="00780BC6">
              <w:rPr>
                <w:noProof/>
                <w:webHidden/>
              </w:rPr>
              <w:fldChar w:fldCharType="end"/>
            </w:r>
          </w:hyperlink>
        </w:p>
        <w:p w14:paraId="08202328" w14:textId="134371D2" w:rsidR="00780BC6" w:rsidRDefault="00AD6673">
          <w:pPr>
            <w:pStyle w:val="TOC1"/>
            <w:rPr>
              <w:rFonts w:asciiTheme="minorHAnsi" w:eastAsiaTheme="minorEastAsia" w:hAnsiTheme="minorHAnsi" w:cstheme="minorBidi"/>
              <w:b w:val="0"/>
              <w:bCs w:val="0"/>
              <w:szCs w:val="22"/>
              <w:lang w:eastAsia="en-AU"/>
            </w:rPr>
          </w:pPr>
          <w:hyperlink w:anchor="_Toc153550482" w:history="1">
            <w:r w:rsidR="00780BC6" w:rsidRPr="00431E4D">
              <w:rPr>
                <w:rStyle w:val="Hyperlink"/>
                <w:rFonts w:eastAsiaTheme="majorEastAsia" w:cs="Arial"/>
                <w:lang w:eastAsia="en-AU"/>
              </w:rPr>
              <w:t>10. Access to Unapproved Therapeutic Goods</w:t>
            </w:r>
            <w:r w:rsidR="00780BC6">
              <w:rPr>
                <w:webHidden/>
              </w:rPr>
              <w:tab/>
            </w:r>
            <w:r w:rsidR="00780BC6">
              <w:rPr>
                <w:webHidden/>
              </w:rPr>
              <w:fldChar w:fldCharType="begin"/>
            </w:r>
            <w:r w:rsidR="00780BC6">
              <w:rPr>
                <w:webHidden/>
              </w:rPr>
              <w:instrText xml:space="preserve"> PAGEREF _Toc153550482 \h </w:instrText>
            </w:r>
            <w:r w:rsidR="00780BC6">
              <w:rPr>
                <w:webHidden/>
              </w:rPr>
            </w:r>
            <w:r w:rsidR="00780BC6">
              <w:rPr>
                <w:webHidden/>
              </w:rPr>
              <w:fldChar w:fldCharType="separate"/>
            </w:r>
            <w:r w:rsidR="00416739">
              <w:rPr>
                <w:webHidden/>
              </w:rPr>
              <w:t>96</w:t>
            </w:r>
            <w:r w:rsidR="00780BC6">
              <w:rPr>
                <w:webHidden/>
              </w:rPr>
              <w:fldChar w:fldCharType="end"/>
            </w:r>
          </w:hyperlink>
        </w:p>
        <w:p w14:paraId="53F15DC4" w14:textId="00D33509" w:rsidR="00780BC6" w:rsidRDefault="00AD6673">
          <w:pPr>
            <w:pStyle w:val="TOC3"/>
            <w:tabs>
              <w:tab w:val="left" w:pos="1320"/>
            </w:tabs>
            <w:rPr>
              <w:rFonts w:asciiTheme="minorHAnsi" w:eastAsiaTheme="minorEastAsia" w:hAnsiTheme="minorHAnsi" w:cstheme="minorBidi"/>
              <w:noProof/>
              <w:szCs w:val="22"/>
              <w:lang w:eastAsia="en-AU"/>
            </w:rPr>
          </w:pPr>
          <w:hyperlink w:anchor="_Toc153550484" w:history="1">
            <w:r w:rsidR="00780BC6" w:rsidRPr="00431E4D">
              <w:rPr>
                <w:rStyle w:val="Hyperlink"/>
                <w:rFonts w:cs="Arial"/>
                <w:noProof/>
              </w:rPr>
              <w:t>10.1.</w:t>
            </w:r>
            <w:r w:rsidR="00780BC6">
              <w:rPr>
                <w:rFonts w:asciiTheme="minorHAnsi" w:eastAsiaTheme="minorEastAsia" w:hAnsiTheme="minorHAnsi" w:cstheme="minorBidi"/>
                <w:noProof/>
                <w:szCs w:val="22"/>
                <w:lang w:eastAsia="en-AU"/>
              </w:rPr>
              <w:tab/>
            </w:r>
            <w:r w:rsidR="00780BC6" w:rsidRPr="00431E4D">
              <w:rPr>
                <w:rStyle w:val="Hyperlink"/>
                <w:rFonts w:cs="Arial"/>
                <w:noProof/>
              </w:rPr>
              <w:t>Special Access Scheme</w:t>
            </w:r>
            <w:r w:rsidR="00780BC6">
              <w:rPr>
                <w:noProof/>
                <w:webHidden/>
              </w:rPr>
              <w:tab/>
            </w:r>
            <w:r w:rsidR="00780BC6">
              <w:rPr>
                <w:noProof/>
                <w:webHidden/>
              </w:rPr>
              <w:fldChar w:fldCharType="begin"/>
            </w:r>
            <w:r w:rsidR="00780BC6">
              <w:rPr>
                <w:noProof/>
                <w:webHidden/>
              </w:rPr>
              <w:instrText xml:space="preserve"> PAGEREF _Toc153550484 \h </w:instrText>
            </w:r>
            <w:r w:rsidR="00780BC6">
              <w:rPr>
                <w:noProof/>
                <w:webHidden/>
              </w:rPr>
            </w:r>
            <w:r w:rsidR="00780BC6">
              <w:rPr>
                <w:noProof/>
                <w:webHidden/>
              </w:rPr>
              <w:fldChar w:fldCharType="separate"/>
            </w:r>
            <w:r w:rsidR="00416739">
              <w:rPr>
                <w:noProof/>
                <w:webHidden/>
              </w:rPr>
              <w:t>96</w:t>
            </w:r>
            <w:r w:rsidR="00780BC6">
              <w:rPr>
                <w:noProof/>
                <w:webHidden/>
              </w:rPr>
              <w:fldChar w:fldCharType="end"/>
            </w:r>
          </w:hyperlink>
        </w:p>
        <w:p w14:paraId="6DA716CB" w14:textId="1A7BBC79" w:rsidR="00780BC6" w:rsidRDefault="00AD6673">
          <w:pPr>
            <w:pStyle w:val="TOC3"/>
            <w:tabs>
              <w:tab w:val="left" w:pos="1320"/>
            </w:tabs>
            <w:rPr>
              <w:rFonts w:asciiTheme="minorHAnsi" w:eastAsiaTheme="minorEastAsia" w:hAnsiTheme="minorHAnsi" w:cstheme="minorBidi"/>
              <w:noProof/>
              <w:szCs w:val="22"/>
              <w:lang w:eastAsia="en-AU"/>
            </w:rPr>
          </w:pPr>
          <w:hyperlink w:anchor="_Toc153550485" w:history="1">
            <w:r w:rsidR="00780BC6" w:rsidRPr="00431E4D">
              <w:rPr>
                <w:rStyle w:val="Hyperlink"/>
                <w:rFonts w:cs="Arial"/>
                <w:noProof/>
              </w:rPr>
              <w:t>10.2.</w:t>
            </w:r>
            <w:r w:rsidR="00780BC6">
              <w:rPr>
                <w:rFonts w:asciiTheme="minorHAnsi" w:eastAsiaTheme="minorEastAsia" w:hAnsiTheme="minorHAnsi" w:cstheme="minorBidi"/>
                <w:noProof/>
                <w:szCs w:val="22"/>
                <w:lang w:eastAsia="en-AU"/>
              </w:rPr>
              <w:tab/>
            </w:r>
            <w:r w:rsidR="00780BC6" w:rsidRPr="00431E4D">
              <w:rPr>
                <w:rStyle w:val="Hyperlink"/>
                <w:rFonts w:cs="Arial"/>
                <w:noProof/>
              </w:rPr>
              <w:t>Clinical trials</w:t>
            </w:r>
            <w:r w:rsidR="00780BC6">
              <w:rPr>
                <w:noProof/>
                <w:webHidden/>
              </w:rPr>
              <w:tab/>
            </w:r>
            <w:r w:rsidR="00780BC6">
              <w:rPr>
                <w:noProof/>
                <w:webHidden/>
              </w:rPr>
              <w:fldChar w:fldCharType="begin"/>
            </w:r>
            <w:r w:rsidR="00780BC6">
              <w:rPr>
                <w:noProof/>
                <w:webHidden/>
              </w:rPr>
              <w:instrText xml:space="preserve"> PAGEREF _Toc153550485 \h </w:instrText>
            </w:r>
            <w:r w:rsidR="00780BC6">
              <w:rPr>
                <w:noProof/>
                <w:webHidden/>
              </w:rPr>
            </w:r>
            <w:r w:rsidR="00780BC6">
              <w:rPr>
                <w:noProof/>
                <w:webHidden/>
              </w:rPr>
              <w:fldChar w:fldCharType="separate"/>
            </w:r>
            <w:r w:rsidR="00416739">
              <w:rPr>
                <w:noProof/>
                <w:webHidden/>
              </w:rPr>
              <w:t>98</w:t>
            </w:r>
            <w:r w:rsidR="00780BC6">
              <w:rPr>
                <w:noProof/>
                <w:webHidden/>
              </w:rPr>
              <w:fldChar w:fldCharType="end"/>
            </w:r>
          </w:hyperlink>
        </w:p>
        <w:p w14:paraId="3E226DD8" w14:textId="636A30AF" w:rsidR="00780BC6" w:rsidRDefault="00AD6673">
          <w:pPr>
            <w:pStyle w:val="TOC3"/>
            <w:tabs>
              <w:tab w:val="left" w:pos="1320"/>
            </w:tabs>
            <w:rPr>
              <w:rFonts w:asciiTheme="minorHAnsi" w:eastAsiaTheme="minorEastAsia" w:hAnsiTheme="minorHAnsi" w:cstheme="minorBidi"/>
              <w:noProof/>
              <w:szCs w:val="22"/>
              <w:lang w:eastAsia="en-AU"/>
            </w:rPr>
          </w:pPr>
          <w:hyperlink w:anchor="_Toc153550486" w:history="1">
            <w:r w:rsidR="00780BC6" w:rsidRPr="00431E4D">
              <w:rPr>
                <w:rStyle w:val="Hyperlink"/>
                <w:rFonts w:cs="Arial"/>
                <w:noProof/>
              </w:rPr>
              <w:t>10.3.</w:t>
            </w:r>
            <w:r w:rsidR="00780BC6">
              <w:rPr>
                <w:rFonts w:asciiTheme="minorHAnsi" w:eastAsiaTheme="minorEastAsia" w:hAnsiTheme="minorHAnsi" w:cstheme="minorBidi"/>
                <w:noProof/>
                <w:szCs w:val="22"/>
                <w:lang w:eastAsia="en-AU"/>
              </w:rPr>
              <w:tab/>
            </w:r>
            <w:r w:rsidR="00780BC6" w:rsidRPr="00431E4D">
              <w:rPr>
                <w:rStyle w:val="Hyperlink"/>
                <w:rFonts w:cs="Arial"/>
                <w:noProof/>
              </w:rPr>
              <w:t>10.3 Authorised Prescribers</w:t>
            </w:r>
            <w:r w:rsidR="00780BC6">
              <w:rPr>
                <w:noProof/>
                <w:webHidden/>
              </w:rPr>
              <w:tab/>
            </w:r>
            <w:r w:rsidR="00780BC6">
              <w:rPr>
                <w:noProof/>
                <w:webHidden/>
              </w:rPr>
              <w:fldChar w:fldCharType="begin"/>
            </w:r>
            <w:r w:rsidR="00780BC6">
              <w:rPr>
                <w:noProof/>
                <w:webHidden/>
              </w:rPr>
              <w:instrText xml:space="preserve"> PAGEREF _Toc153550486 \h </w:instrText>
            </w:r>
            <w:r w:rsidR="00780BC6">
              <w:rPr>
                <w:noProof/>
                <w:webHidden/>
              </w:rPr>
            </w:r>
            <w:r w:rsidR="00780BC6">
              <w:rPr>
                <w:noProof/>
                <w:webHidden/>
              </w:rPr>
              <w:fldChar w:fldCharType="separate"/>
            </w:r>
            <w:r w:rsidR="00416739">
              <w:rPr>
                <w:noProof/>
                <w:webHidden/>
              </w:rPr>
              <w:t>99</w:t>
            </w:r>
            <w:r w:rsidR="00780BC6">
              <w:rPr>
                <w:noProof/>
                <w:webHidden/>
              </w:rPr>
              <w:fldChar w:fldCharType="end"/>
            </w:r>
          </w:hyperlink>
        </w:p>
        <w:p w14:paraId="49DCDA4D" w14:textId="580B8D13" w:rsidR="00780BC6" w:rsidRDefault="00AD6673">
          <w:pPr>
            <w:pStyle w:val="TOC1"/>
            <w:rPr>
              <w:rFonts w:asciiTheme="minorHAnsi" w:eastAsiaTheme="minorEastAsia" w:hAnsiTheme="minorHAnsi" w:cstheme="minorBidi"/>
              <w:b w:val="0"/>
              <w:bCs w:val="0"/>
              <w:szCs w:val="22"/>
              <w:lang w:eastAsia="en-AU"/>
            </w:rPr>
          </w:pPr>
          <w:hyperlink w:anchor="_Toc153550487" w:history="1">
            <w:r w:rsidR="00780BC6" w:rsidRPr="00431E4D">
              <w:rPr>
                <w:rStyle w:val="Hyperlink"/>
                <w:rFonts w:eastAsiaTheme="majorEastAsia" w:cs="Arial"/>
                <w:lang w:eastAsia="en-AU"/>
              </w:rPr>
              <w:t>11. Medicines and Biologicals Manufacturing</w:t>
            </w:r>
            <w:r w:rsidR="00780BC6">
              <w:rPr>
                <w:webHidden/>
              </w:rPr>
              <w:tab/>
            </w:r>
            <w:r w:rsidR="00780BC6">
              <w:rPr>
                <w:webHidden/>
              </w:rPr>
              <w:fldChar w:fldCharType="begin"/>
            </w:r>
            <w:r w:rsidR="00780BC6">
              <w:rPr>
                <w:webHidden/>
              </w:rPr>
              <w:instrText xml:space="preserve"> PAGEREF _Toc153550487 \h </w:instrText>
            </w:r>
            <w:r w:rsidR="00780BC6">
              <w:rPr>
                <w:webHidden/>
              </w:rPr>
            </w:r>
            <w:r w:rsidR="00780BC6">
              <w:rPr>
                <w:webHidden/>
              </w:rPr>
              <w:fldChar w:fldCharType="separate"/>
            </w:r>
            <w:r w:rsidR="00416739">
              <w:rPr>
                <w:webHidden/>
              </w:rPr>
              <w:t>100</w:t>
            </w:r>
            <w:r w:rsidR="00780BC6">
              <w:rPr>
                <w:webHidden/>
              </w:rPr>
              <w:fldChar w:fldCharType="end"/>
            </w:r>
          </w:hyperlink>
        </w:p>
        <w:p w14:paraId="38AF85DA" w14:textId="0FE94E76" w:rsidR="00780BC6" w:rsidRDefault="00AD6673">
          <w:pPr>
            <w:pStyle w:val="TOC3"/>
            <w:tabs>
              <w:tab w:val="left" w:pos="1320"/>
            </w:tabs>
            <w:rPr>
              <w:rFonts w:asciiTheme="minorHAnsi" w:eastAsiaTheme="minorEastAsia" w:hAnsiTheme="minorHAnsi" w:cstheme="minorBidi"/>
              <w:noProof/>
              <w:szCs w:val="22"/>
              <w:lang w:eastAsia="en-AU"/>
            </w:rPr>
          </w:pPr>
          <w:hyperlink w:anchor="_Toc153550489" w:history="1">
            <w:r w:rsidR="00780BC6" w:rsidRPr="00431E4D">
              <w:rPr>
                <w:rStyle w:val="Hyperlink"/>
                <w:rFonts w:cs="Arial"/>
                <w:noProof/>
              </w:rPr>
              <w:t>11.1.</w:t>
            </w:r>
            <w:r w:rsidR="00780BC6">
              <w:rPr>
                <w:rFonts w:asciiTheme="minorHAnsi" w:eastAsiaTheme="minorEastAsia" w:hAnsiTheme="minorHAnsi" w:cstheme="minorBidi"/>
                <w:noProof/>
                <w:szCs w:val="22"/>
                <w:lang w:eastAsia="en-AU"/>
              </w:rPr>
              <w:tab/>
            </w:r>
            <w:r w:rsidR="00780BC6" w:rsidRPr="00431E4D">
              <w:rPr>
                <w:rStyle w:val="Hyperlink"/>
                <w:rFonts w:cs="Arial"/>
                <w:noProof/>
              </w:rPr>
              <w:t>Manufacturing licences issued to Australian manufacturers</w:t>
            </w:r>
            <w:r w:rsidR="00780BC6">
              <w:rPr>
                <w:noProof/>
                <w:webHidden/>
              </w:rPr>
              <w:tab/>
            </w:r>
            <w:r w:rsidR="00780BC6">
              <w:rPr>
                <w:noProof/>
                <w:webHidden/>
              </w:rPr>
              <w:fldChar w:fldCharType="begin"/>
            </w:r>
            <w:r w:rsidR="00780BC6">
              <w:rPr>
                <w:noProof/>
                <w:webHidden/>
              </w:rPr>
              <w:instrText xml:space="preserve"> PAGEREF _Toc153550489 \h </w:instrText>
            </w:r>
            <w:r w:rsidR="00780BC6">
              <w:rPr>
                <w:noProof/>
                <w:webHidden/>
              </w:rPr>
            </w:r>
            <w:r w:rsidR="00780BC6">
              <w:rPr>
                <w:noProof/>
                <w:webHidden/>
              </w:rPr>
              <w:fldChar w:fldCharType="separate"/>
            </w:r>
            <w:r w:rsidR="00416739">
              <w:rPr>
                <w:noProof/>
                <w:webHidden/>
              </w:rPr>
              <w:t>100</w:t>
            </w:r>
            <w:r w:rsidR="00780BC6">
              <w:rPr>
                <w:noProof/>
                <w:webHidden/>
              </w:rPr>
              <w:fldChar w:fldCharType="end"/>
            </w:r>
          </w:hyperlink>
        </w:p>
        <w:p w14:paraId="40AED9C8" w14:textId="6F56852B" w:rsidR="00780BC6" w:rsidRDefault="00AD6673">
          <w:pPr>
            <w:pStyle w:val="TOC3"/>
            <w:tabs>
              <w:tab w:val="left" w:pos="1320"/>
            </w:tabs>
            <w:rPr>
              <w:rFonts w:asciiTheme="minorHAnsi" w:eastAsiaTheme="minorEastAsia" w:hAnsiTheme="minorHAnsi" w:cstheme="minorBidi"/>
              <w:noProof/>
              <w:szCs w:val="22"/>
              <w:lang w:eastAsia="en-AU"/>
            </w:rPr>
          </w:pPr>
          <w:hyperlink w:anchor="_Toc153550490" w:history="1">
            <w:r w:rsidR="00780BC6" w:rsidRPr="00431E4D">
              <w:rPr>
                <w:rStyle w:val="Hyperlink"/>
                <w:rFonts w:cs="Arial"/>
                <w:noProof/>
              </w:rPr>
              <w:t>11.2.</w:t>
            </w:r>
            <w:r w:rsidR="00780BC6">
              <w:rPr>
                <w:rFonts w:asciiTheme="minorHAnsi" w:eastAsiaTheme="minorEastAsia" w:hAnsiTheme="minorHAnsi" w:cstheme="minorBidi"/>
                <w:noProof/>
                <w:szCs w:val="22"/>
                <w:lang w:eastAsia="en-AU"/>
              </w:rPr>
              <w:tab/>
            </w:r>
            <w:r w:rsidR="00780BC6" w:rsidRPr="00431E4D">
              <w:rPr>
                <w:rStyle w:val="Hyperlink"/>
                <w:rFonts w:cs="Arial"/>
                <w:noProof/>
              </w:rPr>
              <w:t>Approval (certification) of overseas manufacturers</w:t>
            </w:r>
            <w:r w:rsidR="00780BC6">
              <w:rPr>
                <w:noProof/>
                <w:webHidden/>
              </w:rPr>
              <w:tab/>
            </w:r>
            <w:r w:rsidR="00780BC6">
              <w:rPr>
                <w:noProof/>
                <w:webHidden/>
              </w:rPr>
              <w:fldChar w:fldCharType="begin"/>
            </w:r>
            <w:r w:rsidR="00780BC6">
              <w:rPr>
                <w:noProof/>
                <w:webHidden/>
              </w:rPr>
              <w:instrText xml:space="preserve"> PAGEREF _Toc153550490 \h </w:instrText>
            </w:r>
            <w:r w:rsidR="00780BC6">
              <w:rPr>
                <w:noProof/>
                <w:webHidden/>
              </w:rPr>
            </w:r>
            <w:r w:rsidR="00780BC6">
              <w:rPr>
                <w:noProof/>
                <w:webHidden/>
              </w:rPr>
              <w:fldChar w:fldCharType="separate"/>
            </w:r>
            <w:r w:rsidR="00416739">
              <w:rPr>
                <w:noProof/>
                <w:webHidden/>
              </w:rPr>
              <w:t>101</w:t>
            </w:r>
            <w:r w:rsidR="00780BC6">
              <w:rPr>
                <w:noProof/>
                <w:webHidden/>
              </w:rPr>
              <w:fldChar w:fldCharType="end"/>
            </w:r>
          </w:hyperlink>
        </w:p>
        <w:p w14:paraId="0EE5A27A" w14:textId="520B485E" w:rsidR="00780BC6" w:rsidRDefault="00AD6673">
          <w:pPr>
            <w:pStyle w:val="TOC3"/>
            <w:tabs>
              <w:tab w:val="left" w:pos="1320"/>
            </w:tabs>
            <w:rPr>
              <w:rFonts w:asciiTheme="minorHAnsi" w:eastAsiaTheme="minorEastAsia" w:hAnsiTheme="minorHAnsi" w:cstheme="minorBidi"/>
              <w:noProof/>
              <w:szCs w:val="22"/>
              <w:lang w:eastAsia="en-AU"/>
            </w:rPr>
          </w:pPr>
          <w:hyperlink w:anchor="_Toc153550491" w:history="1">
            <w:r w:rsidR="00780BC6" w:rsidRPr="00431E4D">
              <w:rPr>
                <w:rStyle w:val="Hyperlink"/>
                <w:rFonts w:cs="Arial"/>
                <w:noProof/>
              </w:rPr>
              <w:t>11.3.</w:t>
            </w:r>
            <w:r w:rsidR="00780BC6">
              <w:rPr>
                <w:rFonts w:asciiTheme="minorHAnsi" w:eastAsiaTheme="minorEastAsia" w:hAnsiTheme="minorHAnsi" w:cstheme="minorBidi"/>
                <w:noProof/>
                <w:szCs w:val="22"/>
                <w:lang w:eastAsia="en-AU"/>
              </w:rPr>
              <w:tab/>
            </w:r>
            <w:r w:rsidR="00780BC6" w:rsidRPr="00431E4D">
              <w:rPr>
                <w:rStyle w:val="Hyperlink"/>
                <w:rFonts w:cs="Arial"/>
                <w:noProof/>
              </w:rPr>
              <w:t>Good Manufacturing Practice (GMP) clearances</w:t>
            </w:r>
            <w:r w:rsidR="00780BC6">
              <w:rPr>
                <w:noProof/>
                <w:webHidden/>
              </w:rPr>
              <w:tab/>
            </w:r>
            <w:r w:rsidR="00780BC6">
              <w:rPr>
                <w:noProof/>
                <w:webHidden/>
              </w:rPr>
              <w:fldChar w:fldCharType="begin"/>
            </w:r>
            <w:r w:rsidR="00780BC6">
              <w:rPr>
                <w:noProof/>
                <w:webHidden/>
              </w:rPr>
              <w:instrText xml:space="preserve"> PAGEREF _Toc153550491 \h </w:instrText>
            </w:r>
            <w:r w:rsidR="00780BC6">
              <w:rPr>
                <w:noProof/>
                <w:webHidden/>
              </w:rPr>
            </w:r>
            <w:r w:rsidR="00780BC6">
              <w:rPr>
                <w:noProof/>
                <w:webHidden/>
              </w:rPr>
              <w:fldChar w:fldCharType="separate"/>
            </w:r>
            <w:r w:rsidR="00416739">
              <w:rPr>
                <w:noProof/>
                <w:webHidden/>
              </w:rPr>
              <w:t>102</w:t>
            </w:r>
            <w:r w:rsidR="00780BC6">
              <w:rPr>
                <w:noProof/>
                <w:webHidden/>
              </w:rPr>
              <w:fldChar w:fldCharType="end"/>
            </w:r>
          </w:hyperlink>
        </w:p>
        <w:p w14:paraId="1A96ED7A" w14:textId="57308760" w:rsidR="00780BC6" w:rsidRDefault="00AD6673">
          <w:pPr>
            <w:pStyle w:val="TOC1"/>
            <w:rPr>
              <w:rFonts w:asciiTheme="minorHAnsi" w:eastAsiaTheme="minorEastAsia" w:hAnsiTheme="minorHAnsi" w:cstheme="minorBidi"/>
              <w:b w:val="0"/>
              <w:bCs w:val="0"/>
              <w:szCs w:val="22"/>
              <w:lang w:eastAsia="en-AU"/>
            </w:rPr>
          </w:pPr>
          <w:hyperlink w:anchor="_Toc153550492" w:history="1">
            <w:r w:rsidR="00780BC6" w:rsidRPr="00431E4D">
              <w:rPr>
                <w:rStyle w:val="Hyperlink"/>
                <w:rFonts w:eastAsiaTheme="majorEastAsia" w:cs="Arial"/>
                <w:lang w:eastAsia="en-AU"/>
              </w:rPr>
              <w:t>12. Recalls</w:t>
            </w:r>
            <w:r w:rsidR="00780BC6">
              <w:rPr>
                <w:webHidden/>
              </w:rPr>
              <w:tab/>
            </w:r>
            <w:r w:rsidR="00780BC6">
              <w:rPr>
                <w:webHidden/>
              </w:rPr>
              <w:fldChar w:fldCharType="begin"/>
            </w:r>
            <w:r w:rsidR="00780BC6">
              <w:rPr>
                <w:webHidden/>
              </w:rPr>
              <w:instrText xml:space="preserve"> PAGEREF _Toc153550492 \h </w:instrText>
            </w:r>
            <w:r w:rsidR="00780BC6">
              <w:rPr>
                <w:webHidden/>
              </w:rPr>
            </w:r>
            <w:r w:rsidR="00780BC6">
              <w:rPr>
                <w:webHidden/>
              </w:rPr>
              <w:fldChar w:fldCharType="separate"/>
            </w:r>
            <w:r w:rsidR="00416739">
              <w:rPr>
                <w:webHidden/>
              </w:rPr>
              <w:t>103</w:t>
            </w:r>
            <w:r w:rsidR="00780BC6">
              <w:rPr>
                <w:webHidden/>
              </w:rPr>
              <w:fldChar w:fldCharType="end"/>
            </w:r>
          </w:hyperlink>
        </w:p>
        <w:p w14:paraId="2B211BEA" w14:textId="14BE1CF1" w:rsidR="00780BC6" w:rsidRDefault="00AD6673">
          <w:pPr>
            <w:pStyle w:val="TOC3"/>
            <w:tabs>
              <w:tab w:val="left" w:pos="1320"/>
            </w:tabs>
            <w:rPr>
              <w:rFonts w:asciiTheme="minorHAnsi" w:eastAsiaTheme="minorEastAsia" w:hAnsiTheme="minorHAnsi" w:cstheme="minorBidi"/>
              <w:noProof/>
              <w:szCs w:val="22"/>
              <w:lang w:eastAsia="en-AU"/>
            </w:rPr>
          </w:pPr>
          <w:hyperlink w:anchor="_Toc153550494" w:history="1">
            <w:r w:rsidR="00780BC6" w:rsidRPr="00431E4D">
              <w:rPr>
                <w:rStyle w:val="Hyperlink"/>
                <w:rFonts w:cs="Arial"/>
                <w:noProof/>
              </w:rPr>
              <w:t>12.1.</w:t>
            </w:r>
            <w:r w:rsidR="00780BC6">
              <w:rPr>
                <w:rFonts w:asciiTheme="minorHAnsi" w:eastAsiaTheme="minorEastAsia" w:hAnsiTheme="minorHAnsi" w:cstheme="minorBidi"/>
                <w:noProof/>
                <w:szCs w:val="22"/>
                <w:lang w:eastAsia="en-AU"/>
              </w:rPr>
              <w:tab/>
            </w:r>
            <w:r w:rsidR="00780BC6" w:rsidRPr="00431E4D">
              <w:rPr>
                <w:rStyle w:val="Hyperlink"/>
                <w:rFonts w:cs="Arial"/>
                <w:noProof/>
              </w:rPr>
              <w:t>Medicine recalls</w:t>
            </w:r>
            <w:r w:rsidR="00780BC6">
              <w:rPr>
                <w:noProof/>
                <w:webHidden/>
              </w:rPr>
              <w:tab/>
            </w:r>
            <w:r w:rsidR="00780BC6">
              <w:rPr>
                <w:noProof/>
                <w:webHidden/>
              </w:rPr>
              <w:fldChar w:fldCharType="begin"/>
            </w:r>
            <w:r w:rsidR="00780BC6">
              <w:rPr>
                <w:noProof/>
                <w:webHidden/>
              </w:rPr>
              <w:instrText xml:space="preserve"> PAGEREF _Toc153550494 \h </w:instrText>
            </w:r>
            <w:r w:rsidR="00780BC6">
              <w:rPr>
                <w:noProof/>
                <w:webHidden/>
              </w:rPr>
            </w:r>
            <w:r w:rsidR="00780BC6">
              <w:rPr>
                <w:noProof/>
                <w:webHidden/>
              </w:rPr>
              <w:fldChar w:fldCharType="separate"/>
            </w:r>
            <w:r w:rsidR="00416739">
              <w:rPr>
                <w:noProof/>
                <w:webHidden/>
              </w:rPr>
              <w:t>103</w:t>
            </w:r>
            <w:r w:rsidR="00780BC6">
              <w:rPr>
                <w:noProof/>
                <w:webHidden/>
              </w:rPr>
              <w:fldChar w:fldCharType="end"/>
            </w:r>
          </w:hyperlink>
        </w:p>
        <w:p w14:paraId="3038BB7F" w14:textId="3C9A5706" w:rsidR="00780BC6" w:rsidRDefault="00AD6673">
          <w:pPr>
            <w:pStyle w:val="TOC3"/>
            <w:tabs>
              <w:tab w:val="left" w:pos="1320"/>
            </w:tabs>
            <w:rPr>
              <w:rFonts w:asciiTheme="minorHAnsi" w:eastAsiaTheme="minorEastAsia" w:hAnsiTheme="minorHAnsi" w:cstheme="minorBidi"/>
              <w:noProof/>
              <w:szCs w:val="22"/>
              <w:lang w:eastAsia="en-AU"/>
            </w:rPr>
          </w:pPr>
          <w:hyperlink w:anchor="_Toc153550495" w:history="1">
            <w:r w:rsidR="00780BC6" w:rsidRPr="00431E4D">
              <w:rPr>
                <w:rStyle w:val="Hyperlink"/>
                <w:rFonts w:cs="Arial"/>
                <w:noProof/>
              </w:rPr>
              <w:t>12.2.</w:t>
            </w:r>
            <w:r w:rsidR="00780BC6">
              <w:rPr>
                <w:rFonts w:asciiTheme="minorHAnsi" w:eastAsiaTheme="minorEastAsia" w:hAnsiTheme="minorHAnsi" w:cstheme="minorBidi"/>
                <w:noProof/>
                <w:szCs w:val="22"/>
                <w:lang w:eastAsia="en-AU"/>
              </w:rPr>
              <w:tab/>
            </w:r>
            <w:r w:rsidR="00780BC6" w:rsidRPr="00431E4D">
              <w:rPr>
                <w:rStyle w:val="Hyperlink"/>
                <w:rFonts w:cs="Arial"/>
                <w:noProof/>
              </w:rPr>
              <w:t>Medical device recalls</w:t>
            </w:r>
            <w:r w:rsidR="00780BC6">
              <w:rPr>
                <w:noProof/>
                <w:webHidden/>
              </w:rPr>
              <w:tab/>
            </w:r>
            <w:r w:rsidR="00780BC6">
              <w:rPr>
                <w:noProof/>
                <w:webHidden/>
              </w:rPr>
              <w:fldChar w:fldCharType="begin"/>
            </w:r>
            <w:r w:rsidR="00780BC6">
              <w:rPr>
                <w:noProof/>
                <w:webHidden/>
              </w:rPr>
              <w:instrText xml:space="preserve"> PAGEREF _Toc153550495 \h </w:instrText>
            </w:r>
            <w:r w:rsidR="00780BC6">
              <w:rPr>
                <w:noProof/>
                <w:webHidden/>
              </w:rPr>
            </w:r>
            <w:r w:rsidR="00780BC6">
              <w:rPr>
                <w:noProof/>
                <w:webHidden/>
              </w:rPr>
              <w:fldChar w:fldCharType="separate"/>
            </w:r>
            <w:r w:rsidR="00416739">
              <w:rPr>
                <w:noProof/>
                <w:webHidden/>
              </w:rPr>
              <w:t>103</w:t>
            </w:r>
            <w:r w:rsidR="00780BC6">
              <w:rPr>
                <w:noProof/>
                <w:webHidden/>
              </w:rPr>
              <w:fldChar w:fldCharType="end"/>
            </w:r>
          </w:hyperlink>
        </w:p>
        <w:p w14:paraId="0B7DC8AA" w14:textId="2E519CE9" w:rsidR="00780BC6" w:rsidRDefault="00AD6673">
          <w:pPr>
            <w:pStyle w:val="TOC3"/>
            <w:tabs>
              <w:tab w:val="left" w:pos="1320"/>
            </w:tabs>
            <w:rPr>
              <w:rFonts w:asciiTheme="minorHAnsi" w:eastAsiaTheme="minorEastAsia" w:hAnsiTheme="minorHAnsi" w:cstheme="minorBidi"/>
              <w:noProof/>
              <w:szCs w:val="22"/>
              <w:lang w:eastAsia="en-AU"/>
            </w:rPr>
          </w:pPr>
          <w:hyperlink w:anchor="_Toc153550496" w:history="1">
            <w:r w:rsidR="00780BC6" w:rsidRPr="00431E4D">
              <w:rPr>
                <w:rStyle w:val="Hyperlink"/>
                <w:rFonts w:cs="Arial"/>
                <w:noProof/>
              </w:rPr>
              <w:t>12.3.</w:t>
            </w:r>
            <w:r w:rsidR="00780BC6">
              <w:rPr>
                <w:rFonts w:asciiTheme="minorHAnsi" w:eastAsiaTheme="minorEastAsia" w:hAnsiTheme="minorHAnsi" w:cstheme="minorBidi"/>
                <w:noProof/>
                <w:szCs w:val="22"/>
                <w:lang w:eastAsia="en-AU"/>
              </w:rPr>
              <w:tab/>
            </w:r>
            <w:r w:rsidR="00780BC6" w:rsidRPr="00431E4D">
              <w:rPr>
                <w:rStyle w:val="Hyperlink"/>
                <w:rFonts w:cs="Arial"/>
                <w:noProof/>
              </w:rPr>
              <w:t>Blood and Biological recalls</w:t>
            </w:r>
            <w:r w:rsidR="00780BC6">
              <w:rPr>
                <w:noProof/>
                <w:webHidden/>
              </w:rPr>
              <w:tab/>
            </w:r>
            <w:r w:rsidR="00780BC6">
              <w:rPr>
                <w:noProof/>
                <w:webHidden/>
              </w:rPr>
              <w:fldChar w:fldCharType="begin"/>
            </w:r>
            <w:r w:rsidR="00780BC6">
              <w:rPr>
                <w:noProof/>
                <w:webHidden/>
              </w:rPr>
              <w:instrText xml:space="preserve"> PAGEREF _Toc153550496 \h </w:instrText>
            </w:r>
            <w:r w:rsidR="00780BC6">
              <w:rPr>
                <w:noProof/>
                <w:webHidden/>
              </w:rPr>
            </w:r>
            <w:r w:rsidR="00780BC6">
              <w:rPr>
                <w:noProof/>
                <w:webHidden/>
              </w:rPr>
              <w:fldChar w:fldCharType="separate"/>
            </w:r>
            <w:r w:rsidR="00416739">
              <w:rPr>
                <w:noProof/>
                <w:webHidden/>
              </w:rPr>
              <w:t>104</w:t>
            </w:r>
            <w:r w:rsidR="00780BC6">
              <w:rPr>
                <w:noProof/>
                <w:webHidden/>
              </w:rPr>
              <w:fldChar w:fldCharType="end"/>
            </w:r>
          </w:hyperlink>
        </w:p>
        <w:p w14:paraId="7387C6D8" w14:textId="4521410C" w:rsidR="00780BC6" w:rsidRDefault="00AD6673">
          <w:pPr>
            <w:pStyle w:val="TOC1"/>
            <w:rPr>
              <w:rFonts w:asciiTheme="minorHAnsi" w:eastAsiaTheme="minorEastAsia" w:hAnsiTheme="minorHAnsi" w:cstheme="minorBidi"/>
              <w:b w:val="0"/>
              <w:bCs w:val="0"/>
              <w:szCs w:val="22"/>
              <w:lang w:eastAsia="en-AU"/>
            </w:rPr>
          </w:pPr>
          <w:hyperlink w:anchor="_Toc153550497" w:history="1">
            <w:r w:rsidR="00780BC6" w:rsidRPr="00431E4D">
              <w:rPr>
                <w:rStyle w:val="Hyperlink"/>
                <w:rFonts w:eastAsiaTheme="majorEastAsia" w:cs="Arial"/>
                <w:lang w:eastAsia="en-AU"/>
              </w:rPr>
              <w:t>13. Laboratory Testing</w:t>
            </w:r>
            <w:r w:rsidR="00780BC6">
              <w:rPr>
                <w:webHidden/>
              </w:rPr>
              <w:tab/>
            </w:r>
            <w:r w:rsidR="00780BC6">
              <w:rPr>
                <w:webHidden/>
              </w:rPr>
              <w:fldChar w:fldCharType="begin"/>
            </w:r>
            <w:r w:rsidR="00780BC6">
              <w:rPr>
                <w:webHidden/>
              </w:rPr>
              <w:instrText xml:space="preserve"> PAGEREF _Toc153550497 \h </w:instrText>
            </w:r>
            <w:r w:rsidR="00780BC6">
              <w:rPr>
                <w:webHidden/>
              </w:rPr>
            </w:r>
            <w:r w:rsidR="00780BC6">
              <w:rPr>
                <w:webHidden/>
              </w:rPr>
              <w:fldChar w:fldCharType="separate"/>
            </w:r>
            <w:r w:rsidR="00416739">
              <w:rPr>
                <w:webHidden/>
              </w:rPr>
              <w:t>105</w:t>
            </w:r>
            <w:r w:rsidR="00780BC6">
              <w:rPr>
                <w:webHidden/>
              </w:rPr>
              <w:fldChar w:fldCharType="end"/>
            </w:r>
          </w:hyperlink>
        </w:p>
        <w:p w14:paraId="3AE4494D" w14:textId="61857093" w:rsidR="00780BC6" w:rsidRDefault="00AD6673">
          <w:pPr>
            <w:pStyle w:val="TOC1"/>
            <w:rPr>
              <w:rFonts w:asciiTheme="minorHAnsi" w:eastAsiaTheme="minorEastAsia" w:hAnsiTheme="minorHAnsi" w:cstheme="minorBidi"/>
              <w:b w:val="0"/>
              <w:bCs w:val="0"/>
              <w:szCs w:val="22"/>
              <w:lang w:eastAsia="en-AU"/>
            </w:rPr>
          </w:pPr>
          <w:hyperlink w:anchor="_Toc153550498" w:history="1">
            <w:r w:rsidR="00780BC6" w:rsidRPr="00431E4D">
              <w:rPr>
                <w:rStyle w:val="Hyperlink"/>
                <w:rFonts w:eastAsiaTheme="majorEastAsia" w:cs="Arial"/>
                <w:lang w:eastAsia="en-AU"/>
              </w:rPr>
              <w:t>14. Regulatory Compliance</w:t>
            </w:r>
            <w:r w:rsidR="00780BC6">
              <w:rPr>
                <w:webHidden/>
              </w:rPr>
              <w:tab/>
            </w:r>
            <w:r w:rsidR="00780BC6">
              <w:rPr>
                <w:webHidden/>
              </w:rPr>
              <w:fldChar w:fldCharType="begin"/>
            </w:r>
            <w:r w:rsidR="00780BC6">
              <w:rPr>
                <w:webHidden/>
              </w:rPr>
              <w:instrText xml:space="preserve"> PAGEREF _Toc153550498 \h </w:instrText>
            </w:r>
            <w:r w:rsidR="00780BC6">
              <w:rPr>
                <w:webHidden/>
              </w:rPr>
            </w:r>
            <w:r w:rsidR="00780BC6">
              <w:rPr>
                <w:webHidden/>
              </w:rPr>
              <w:fldChar w:fldCharType="separate"/>
            </w:r>
            <w:r w:rsidR="00416739">
              <w:rPr>
                <w:webHidden/>
              </w:rPr>
              <w:t>109</w:t>
            </w:r>
            <w:r w:rsidR="00780BC6">
              <w:rPr>
                <w:webHidden/>
              </w:rPr>
              <w:fldChar w:fldCharType="end"/>
            </w:r>
          </w:hyperlink>
        </w:p>
        <w:p w14:paraId="62DCDA20" w14:textId="20E20C57" w:rsidR="00780BC6" w:rsidRDefault="00AD6673">
          <w:pPr>
            <w:pStyle w:val="TOC3"/>
            <w:tabs>
              <w:tab w:val="left" w:pos="1320"/>
            </w:tabs>
            <w:rPr>
              <w:rFonts w:asciiTheme="minorHAnsi" w:eastAsiaTheme="minorEastAsia" w:hAnsiTheme="minorHAnsi" w:cstheme="minorBidi"/>
              <w:noProof/>
              <w:szCs w:val="22"/>
              <w:lang w:eastAsia="en-AU"/>
            </w:rPr>
          </w:pPr>
          <w:hyperlink w:anchor="_Toc153550500" w:history="1">
            <w:r w:rsidR="00780BC6" w:rsidRPr="00431E4D">
              <w:rPr>
                <w:rStyle w:val="Hyperlink"/>
                <w:rFonts w:cs="Arial"/>
                <w:noProof/>
              </w:rPr>
              <w:t>14.1.</w:t>
            </w:r>
            <w:r w:rsidR="00780BC6">
              <w:rPr>
                <w:rFonts w:asciiTheme="minorHAnsi" w:eastAsiaTheme="minorEastAsia" w:hAnsiTheme="minorHAnsi" w:cstheme="minorBidi"/>
                <w:noProof/>
                <w:szCs w:val="22"/>
                <w:lang w:eastAsia="en-AU"/>
              </w:rPr>
              <w:tab/>
            </w:r>
            <w:r w:rsidR="00780BC6" w:rsidRPr="00431E4D">
              <w:rPr>
                <w:rStyle w:val="Hyperlink"/>
                <w:rFonts w:cs="Arial"/>
                <w:noProof/>
              </w:rPr>
              <w:t>Import, Export, Manufacture and Supply of therapeutic goods</w:t>
            </w:r>
            <w:r w:rsidR="00780BC6">
              <w:rPr>
                <w:noProof/>
                <w:webHidden/>
              </w:rPr>
              <w:tab/>
            </w:r>
            <w:r w:rsidR="00780BC6">
              <w:rPr>
                <w:noProof/>
                <w:webHidden/>
              </w:rPr>
              <w:fldChar w:fldCharType="begin"/>
            </w:r>
            <w:r w:rsidR="00780BC6">
              <w:rPr>
                <w:noProof/>
                <w:webHidden/>
              </w:rPr>
              <w:instrText xml:space="preserve"> PAGEREF _Toc153550500 \h </w:instrText>
            </w:r>
            <w:r w:rsidR="00780BC6">
              <w:rPr>
                <w:noProof/>
                <w:webHidden/>
              </w:rPr>
            </w:r>
            <w:r w:rsidR="00780BC6">
              <w:rPr>
                <w:noProof/>
                <w:webHidden/>
              </w:rPr>
              <w:fldChar w:fldCharType="separate"/>
            </w:r>
            <w:r w:rsidR="00416739">
              <w:rPr>
                <w:noProof/>
                <w:webHidden/>
              </w:rPr>
              <w:t>109</w:t>
            </w:r>
            <w:r w:rsidR="00780BC6">
              <w:rPr>
                <w:noProof/>
                <w:webHidden/>
              </w:rPr>
              <w:fldChar w:fldCharType="end"/>
            </w:r>
          </w:hyperlink>
        </w:p>
        <w:p w14:paraId="4DA8DE95" w14:textId="585F4CD8" w:rsidR="00780BC6" w:rsidRDefault="00AD6673">
          <w:pPr>
            <w:pStyle w:val="TOC3"/>
            <w:tabs>
              <w:tab w:val="left" w:pos="1320"/>
            </w:tabs>
            <w:rPr>
              <w:rFonts w:asciiTheme="minorHAnsi" w:eastAsiaTheme="minorEastAsia" w:hAnsiTheme="minorHAnsi" w:cstheme="minorBidi"/>
              <w:noProof/>
              <w:szCs w:val="22"/>
              <w:lang w:eastAsia="en-AU"/>
            </w:rPr>
          </w:pPr>
          <w:hyperlink w:anchor="_Toc153550501" w:history="1">
            <w:r w:rsidR="00780BC6" w:rsidRPr="00431E4D">
              <w:rPr>
                <w:rStyle w:val="Hyperlink"/>
                <w:rFonts w:cs="Arial"/>
                <w:noProof/>
              </w:rPr>
              <w:t>14.2.</w:t>
            </w:r>
            <w:r w:rsidR="00780BC6">
              <w:rPr>
                <w:rFonts w:asciiTheme="minorHAnsi" w:eastAsiaTheme="minorEastAsia" w:hAnsiTheme="minorHAnsi" w:cstheme="minorBidi"/>
                <w:noProof/>
                <w:szCs w:val="22"/>
                <w:lang w:eastAsia="en-AU"/>
              </w:rPr>
              <w:tab/>
            </w:r>
            <w:r w:rsidR="00780BC6" w:rsidRPr="00431E4D">
              <w:rPr>
                <w:rStyle w:val="Hyperlink"/>
                <w:rFonts w:cs="Arial"/>
                <w:noProof/>
              </w:rPr>
              <w:t>Advertising of therapeutic goods</w:t>
            </w:r>
            <w:r w:rsidR="00780BC6">
              <w:rPr>
                <w:noProof/>
                <w:webHidden/>
              </w:rPr>
              <w:tab/>
            </w:r>
            <w:r w:rsidR="00780BC6">
              <w:rPr>
                <w:noProof/>
                <w:webHidden/>
              </w:rPr>
              <w:fldChar w:fldCharType="begin"/>
            </w:r>
            <w:r w:rsidR="00780BC6">
              <w:rPr>
                <w:noProof/>
                <w:webHidden/>
              </w:rPr>
              <w:instrText xml:space="preserve"> PAGEREF _Toc153550501 \h </w:instrText>
            </w:r>
            <w:r w:rsidR="00780BC6">
              <w:rPr>
                <w:noProof/>
                <w:webHidden/>
              </w:rPr>
            </w:r>
            <w:r w:rsidR="00780BC6">
              <w:rPr>
                <w:noProof/>
                <w:webHidden/>
              </w:rPr>
              <w:fldChar w:fldCharType="separate"/>
            </w:r>
            <w:r w:rsidR="00416739">
              <w:rPr>
                <w:noProof/>
                <w:webHidden/>
              </w:rPr>
              <w:t>111</w:t>
            </w:r>
            <w:r w:rsidR="00780BC6">
              <w:rPr>
                <w:noProof/>
                <w:webHidden/>
              </w:rPr>
              <w:fldChar w:fldCharType="end"/>
            </w:r>
          </w:hyperlink>
        </w:p>
        <w:p w14:paraId="626FD59D" w14:textId="085DBC0B" w:rsidR="00780BC6" w:rsidRDefault="00AD6673">
          <w:pPr>
            <w:pStyle w:val="TOC1"/>
            <w:rPr>
              <w:rFonts w:asciiTheme="minorHAnsi" w:eastAsiaTheme="minorEastAsia" w:hAnsiTheme="minorHAnsi" w:cstheme="minorBidi"/>
              <w:b w:val="0"/>
              <w:bCs w:val="0"/>
              <w:szCs w:val="22"/>
              <w:lang w:eastAsia="en-AU"/>
            </w:rPr>
          </w:pPr>
          <w:hyperlink w:anchor="_Toc153550502" w:history="1">
            <w:r w:rsidR="00780BC6" w:rsidRPr="00431E4D">
              <w:rPr>
                <w:rStyle w:val="Hyperlink"/>
                <w:rFonts w:eastAsiaTheme="majorEastAsia" w:cs="Arial"/>
                <w:lang w:eastAsia="en-AU"/>
              </w:rPr>
              <w:t>15. Pharmacovigilance Inspection Program</w:t>
            </w:r>
            <w:r w:rsidR="00780BC6">
              <w:rPr>
                <w:webHidden/>
              </w:rPr>
              <w:tab/>
            </w:r>
            <w:r w:rsidR="00780BC6">
              <w:rPr>
                <w:webHidden/>
              </w:rPr>
              <w:fldChar w:fldCharType="begin"/>
            </w:r>
            <w:r w:rsidR="00780BC6">
              <w:rPr>
                <w:webHidden/>
              </w:rPr>
              <w:instrText xml:space="preserve"> PAGEREF _Toc153550502 \h </w:instrText>
            </w:r>
            <w:r w:rsidR="00780BC6">
              <w:rPr>
                <w:webHidden/>
              </w:rPr>
            </w:r>
            <w:r w:rsidR="00780BC6">
              <w:rPr>
                <w:webHidden/>
              </w:rPr>
              <w:fldChar w:fldCharType="separate"/>
            </w:r>
            <w:r w:rsidR="00416739">
              <w:rPr>
                <w:webHidden/>
              </w:rPr>
              <w:t>112</w:t>
            </w:r>
            <w:r w:rsidR="00780BC6">
              <w:rPr>
                <w:webHidden/>
              </w:rPr>
              <w:fldChar w:fldCharType="end"/>
            </w:r>
          </w:hyperlink>
        </w:p>
        <w:p w14:paraId="7762DFEB" w14:textId="57F38496" w:rsidR="00780BC6" w:rsidRDefault="00AD6673">
          <w:pPr>
            <w:pStyle w:val="TOC1"/>
            <w:rPr>
              <w:rFonts w:asciiTheme="minorHAnsi" w:eastAsiaTheme="minorEastAsia" w:hAnsiTheme="minorHAnsi" w:cstheme="minorBidi"/>
              <w:b w:val="0"/>
              <w:bCs w:val="0"/>
              <w:szCs w:val="22"/>
              <w:lang w:eastAsia="en-AU"/>
            </w:rPr>
          </w:pPr>
          <w:hyperlink w:anchor="_Toc153550503" w:history="1">
            <w:r w:rsidR="00780BC6" w:rsidRPr="00431E4D">
              <w:rPr>
                <w:rStyle w:val="Hyperlink"/>
                <w:rFonts w:eastAsiaTheme="majorEastAsia" w:cs="Arial"/>
                <w:lang w:eastAsia="en-AU"/>
              </w:rPr>
              <w:t>16. Good Clinical Practice (GCP) Inspection Program</w:t>
            </w:r>
            <w:r w:rsidR="00780BC6">
              <w:rPr>
                <w:webHidden/>
              </w:rPr>
              <w:tab/>
            </w:r>
            <w:r w:rsidR="00780BC6">
              <w:rPr>
                <w:webHidden/>
              </w:rPr>
              <w:fldChar w:fldCharType="begin"/>
            </w:r>
            <w:r w:rsidR="00780BC6">
              <w:rPr>
                <w:webHidden/>
              </w:rPr>
              <w:instrText xml:space="preserve"> PAGEREF _Toc153550503 \h </w:instrText>
            </w:r>
            <w:r w:rsidR="00780BC6">
              <w:rPr>
                <w:webHidden/>
              </w:rPr>
            </w:r>
            <w:r w:rsidR="00780BC6">
              <w:rPr>
                <w:webHidden/>
              </w:rPr>
              <w:fldChar w:fldCharType="separate"/>
            </w:r>
            <w:r w:rsidR="00416739">
              <w:rPr>
                <w:webHidden/>
              </w:rPr>
              <w:t>113</w:t>
            </w:r>
            <w:r w:rsidR="00780BC6">
              <w:rPr>
                <w:webHidden/>
              </w:rPr>
              <w:fldChar w:fldCharType="end"/>
            </w:r>
          </w:hyperlink>
        </w:p>
        <w:p w14:paraId="27352C30" w14:textId="0B00EA68" w:rsidR="00780BC6" w:rsidRDefault="00AD6673">
          <w:pPr>
            <w:pStyle w:val="TOC1"/>
            <w:rPr>
              <w:rFonts w:asciiTheme="minorHAnsi" w:eastAsiaTheme="minorEastAsia" w:hAnsiTheme="minorHAnsi" w:cstheme="minorBidi"/>
              <w:b w:val="0"/>
              <w:bCs w:val="0"/>
              <w:szCs w:val="22"/>
              <w:lang w:eastAsia="en-AU"/>
            </w:rPr>
          </w:pPr>
          <w:hyperlink w:anchor="_Toc153550504" w:history="1">
            <w:r w:rsidR="00780BC6" w:rsidRPr="00431E4D">
              <w:rPr>
                <w:rStyle w:val="Hyperlink"/>
                <w:rFonts w:eastAsiaTheme="majorEastAsia" w:cs="Arial"/>
                <w:lang w:eastAsia="en-AU"/>
              </w:rPr>
              <w:t>17. Reporting of Medicine Shortages</w:t>
            </w:r>
            <w:r w:rsidR="00780BC6">
              <w:rPr>
                <w:webHidden/>
              </w:rPr>
              <w:tab/>
            </w:r>
            <w:r w:rsidR="00780BC6">
              <w:rPr>
                <w:webHidden/>
              </w:rPr>
              <w:fldChar w:fldCharType="begin"/>
            </w:r>
            <w:r w:rsidR="00780BC6">
              <w:rPr>
                <w:webHidden/>
              </w:rPr>
              <w:instrText xml:space="preserve"> PAGEREF _Toc153550504 \h </w:instrText>
            </w:r>
            <w:r w:rsidR="00780BC6">
              <w:rPr>
                <w:webHidden/>
              </w:rPr>
            </w:r>
            <w:r w:rsidR="00780BC6">
              <w:rPr>
                <w:webHidden/>
              </w:rPr>
              <w:fldChar w:fldCharType="separate"/>
            </w:r>
            <w:r w:rsidR="00416739">
              <w:rPr>
                <w:webHidden/>
              </w:rPr>
              <w:t>114</w:t>
            </w:r>
            <w:r w:rsidR="00780BC6">
              <w:rPr>
                <w:webHidden/>
              </w:rPr>
              <w:fldChar w:fldCharType="end"/>
            </w:r>
          </w:hyperlink>
        </w:p>
        <w:p w14:paraId="3DED03FB" w14:textId="486A73AF" w:rsidR="00780BC6" w:rsidRDefault="00AD6673">
          <w:pPr>
            <w:pStyle w:val="TOC1"/>
            <w:rPr>
              <w:rFonts w:asciiTheme="minorHAnsi" w:eastAsiaTheme="minorEastAsia" w:hAnsiTheme="minorHAnsi" w:cstheme="minorBidi"/>
              <w:b w:val="0"/>
              <w:bCs w:val="0"/>
              <w:szCs w:val="22"/>
              <w:lang w:eastAsia="en-AU"/>
            </w:rPr>
          </w:pPr>
          <w:hyperlink w:anchor="_Toc153550505" w:history="1">
            <w:r w:rsidR="00780BC6" w:rsidRPr="00431E4D">
              <w:rPr>
                <w:rStyle w:val="Hyperlink"/>
                <w:rFonts w:eastAsiaTheme="majorEastAsia" w:cs="Arial"/>
                <w:lang w:eastAsia="en-AU"/>
              </w:rPr>
              <w:t>18. Serious Scarcity Substitution Instruments (SSSIs)</w:t>
            </w:r>
            <w:r w:rsidR="00780BC6">
              <w:rPr>
                <w:webHidden/>
              </w:rPr>
              <w:tab/>
            </w:r>
            <w:r w:rsidR="00780BC6">
              <w:rPr>
                <w:webHidden/>
              </w:rPr>
              <w:fldChar w:fldCharType="begin"/>
            </w:r>
            <w:r w:rsidR="00780BC6">
              <w:rPr>
                <w:webHidden/>
              </w:rPr>
              <w:instrText xml:space="preserve"> PAGEREF _Toc153550505 \h </w:instrText>
            </w:r>
            <w:r w:rsidR="00780BC6">
              <w:rPr>
                <w:webHidden/>
              </w:rPr>
            </w:r>
            <w:r w:rsidR="00780BC6">
              <w:rPr>
                <w:webHidden/>
              </w:rPr>
              <w:fldChar w:fldCharType="separate"/>
            </w:r>
            <w:r w:rsidR="00416739">
              <w:rPr>
                <w:webHidden/>
              </w:rPr>
              <w:t>115</w:t>
            </w:r>
            <w:r w:rsidR="00780BC6">
              <w:rPr>
                <w:webHidden/>
              </w:rPr>
              <w:fldChar w:fldCharType="end"/>
            </w:r>
          </w:hyperlink>
        </w:p>
        <w:p w14:paraId="48BE8628" w14:textId="7F58D54B" w:rsidR="00780BC6" w:rsidRDefault="00AD6673">
          <w:pPr>
            <w:pStyle w:val="TOC3"/>
            <w:tabs>
              <w:tab w:val="left" w:pos="1320"/>
            </w:tabs>
            <w:rPr>
              <w:rFonts w:asciiTheme="minorHAnsi" w:eastAsiaTheme="minorEastAsia" w:hAnsiTheme="minorHAnsi" w:cstheme="minorBidi"/>
              <w:noProof/>
              <w:szCs w:val="22"/>
              <w:lang w:eastAsia="en-AU"/>
            </w:rPr>
          </w:pPr>
          <w:hyperlink w:anchor="_Toc153550507" w:history="1">
            <w:r w:rsidR="00780BC6" w:rsidRPr="00431E4D">
              <w:rPr>
                <w:rStyle w:val="Hyperlink"/>
                <w:rFonts w:cs="Arial"/>
                <w:noProof/>
              </w:rPr>
              <w:t>18.1.</w:t>
            </w:r>
            <w:r w:rsidR="00780BC6">
              <w:rPr>
                <w:rFonts w:asciiTheme="minorHAnsi" w:eastAsiaTheme="minorEastAsia" w:hAnsiTheme="minorHAnsi" w:cstheme="minorBidi"/>
                <w:noProof/>
                <w:szCs w:val="22"/>
                <w:lang w:eastAsia="en-AU"/>
              </w:rPr>
              <w:tab/>
            </w:r>
            <w:r w:rsidR="00780BC6" w:rsidRPr="00431E4D">
              <w:rPr>
                <w:rStyle w:val="Hyperlink"/>
                <w:rFonts w:cs="Arial"/>
                <w:noProof/>
              </w:rPr>
              <w:t>Section 19A approvals</w:t>
            </w:r>
            <w:r w:rsidR="00780BC6">
              <w:rPr>
                <w:noProof/>
                <w:webHidden/>
              </w:rPr>
              <w:tab/>
            </w:r>
            <w:r w:rsidR="00780BC6">
              <w:rPr>
                <w:noProof/>
                <w:webHidden/>
              </w:rPr>
              <w:fldChar w:fldCharType="begin"/>
            </w:r>
            <w:r w:rsidR="00780BC6">
              <w:rPr>
                <w:noProof/>
                <w:webHidden/>
              </w:rPr>
              <w:instrText xml:space="preserve"> PAGEREF _Toc153550507 \h </w:instrText>
            </w:r>
            <w:r w:rsidR="00780BC6">
              <w:rPr>
                <w:noProof/>
                <w:webHidden/>
              </w:rPr>
            </w:r>
            <w:r w:rsidR="00780BC6">
              <w:rPr>
                <w:noProof/>
                <w:webHidden/>
              </w:rPr>
              <w:fldChar w:fldCharType="separate"/>
            </w:r>
            <w:r w:rsidR="00416739">
              <w:rPr>
                <w:noProof/>
                <w:webHidden/>
              </w:rPr>
              <w:t>117</w:t>
            </w:r>
            <w:r w:rsidR="00780BC6">
              <w:rPr>
                <w:noProof/>
                <w:webHidden/>
              </w:rPr>
              <w:fldChar w:fldCharType="end"/>
            </w:r>
          </w:hyperlink>
        </w:p>
        <w:p w14:paraId="7F1A6E0D" w14:textId="502D7B6E" w:rsidR="00AE1040" w:rsidRDefault="003E4A03" w:rsidP="001F5BB2">
          <w:pPr>
            <w:pStyle w:val="TOC2"/>
            <w:rPr>
              <w:rStyle w:val="Hyperlink"/>
              <w:noProof/>
              <w:lang w:eastAsia="en-AU"/>
            </w:rPr>
          </w:pPr>
          <w:r>
            <w:fldChar w:fldCharType="end"/>
          </w:r>
        </w:p>
      </w:sdtContent>
    </w:sdt>
    <w:p w14:paraId="19D8F06A" w14:textId="77777777" w:rsidR="00685958" w:rsidRDefault="00685958"/>
    <w:p w14:paraId="76725E92" w14:textId="3BCF46B9" w:rsidR="4F3B871F" w:rsidRDefault="4F3B871F">
      <w:r>
        <w:br w:type="page"/>
      </w:r>
    </w:p>
    <w:p w14:paraId="5D40798D" w14:textId="1AD69234" w:rsidR="000553FE" w:rsidRPr="00C25F7E" w:rsidRDefault="1334FAE3" w:rsidP="00AF0EFA">
      <w:pPr>
        <w:pStyle w:val="Heading1"/>
      </w:pPr>
      <w:bookmarkStart w:id="1" w:name="_Toc153550366"/>
      <w:r>
        <w:lastRenderedPageBreak/>
        <w:t>Our purpose</w:t>
      </w:r>
      <w:bookmarkEnd w:id="1"/>
    </w:p>
    <w:p w14:paraId="0D84051F" w14:textId="2584FDD0" w:rsidR="000553FE" w:rsidRPr="002B2FCA" w:rsidRDefault="000553FE" w:rsidP="4F3B871F">
      <w:pPr>
        <w:rPr>
          <w:rFonts w:cs="Arial"/>
        </w:rPr>
      </w:pPr>
      <w:r w:rsidRPr="40EB8B97">
        <w:rPr>
          <w:rFonts w:cs="Arial"/>
        </w:rPr>
        <w:t xml:space="preserve">The Therapeutic Goods Administration (TGA), as part of the Australian Government Department of Health and Aged Care, is responsible for evaluating, </w:t>
      </w:r>
      <w:r w:rsidR="00F4276C" w:rsidRPr="40EB8B97">
        <w:rPr>
          <w:rFonts w:cs="Arial"/>
        </w:rPr>
        <w:t>assessing,</w:t>
      </w:r>
      <w:r w:rsidRPr="40EB8B97">
        <w:rPr>
          <w:rFonts w:cs="Arial"/>
        </w:rPr>
        <w:t xml:space="preserve"> and monitoring products that are defined as therapeutic goods. We help Australians </w:t>
      </w:r>
      <w:r w:rsidR="000F4CBD">
        <w:rPr>
          <w:rFonts w:cs="Arial"/>
        </w:rPr>
        <w:t xml:space="preserve">to </w:t>
      </w:r>
      <w:r w:rsidRPr="40EB8B97">
        <w:rPr>
          <w:rFonts w:cs="Arial"/>
        </w:rPr>
        <w:t xml:space="preserve">stay safe by regulating therapeutic goods for safety, </w:t>
      </w:r>
      <w:r w:rsidR="00E02FC2" w:rsidRPr="40EB8B97">
        <w:rPr>
          <w:rFonts w:cs="Arial"/>
        </w:rPr>
        <w:t>quality</w:t>
      </w:r>
      <w:r w:rsidR="237EE420" w:rsidRPr="40EB8B97">
        <w:rPr>
          <w:rFonts w:cs="Arial"/>
        </w:rPr>
        <w:t>,</w:t>
      </w:r>
      <w:r w:rsidR="007514A6" w:rsidRPr="40EB8B97">
        <w:rPr>
          <w:rFonts w:cs="Arial"/>
        </w:rPr>
        <w:t xml:space="preserve"> </w:t>
      </w:r>
      <w:r w:rsidRPr="40EB8B97">
        <w:rPr>
          <w:rFonts w:cs="Arial"/>
        </w:rPr>
        <w:t xml:space="preserve">efficacy </w:t>
      </w:r>
      <w:r w:rsidR="1331BAEF" w:rsidRPr="40EB8B97">
        <w:rPr>
          <w:rFonts w:cs="Arial"/>
        </w:rPr>
        <w:t>and</w:t>
      </w:r>
      <w:r w:rsidRPr="40EB8B97">
        <w:rPr>
          <w:rFonts w:cs="Arial"/>
        </w:rPr>
        <w:t xml:space="preserve"> performance</w:t>
      </w:r>
      <w:r w:rsidR="007514A6" w:rsidRPr="40EB8B97">
        <w:rPr>
          <w:rFonts w:cs="Arial"/>
        </w:rPr>
        <w:t>.</w:t>
      </w:r>
      <w:r w:rsidRPr="40EB8B97">
        <w:rPr>
          <w:rFonts w:cs="Arial"/>
        </w:rPr>
        <w:t xml:space="preserve"> </w:t>
      </w:r>
    </w:p>
    <w:p w14:paraId="694174E3" w14:textId="3902673E" w:rsidR="000553FE" w:rsidRPr="002B2FCA" w:rsidRDefault="000553FE" w:rsidP="40EB8B97">
      <w:pPr>
        <w:rPr>
          <w:rFonts w:cs="Arial"/>
        </w:rPr>
      </w:pPr>
      <w:r w:rsidRPr="40EB8B97">
        <w:rPr>
          <w:rFonts w:cs="Arial"/>
        </w:rPr>
        <w:t>We regulate the manufacture, import, export, supply and advertising of prescription medicines,</w:t>
      </w:r>
      <w:r w:rsidR="00AA6F38" w:rsidRPr="40EB8B97">
        <w:rPr>
          <w:rFonts w:cs="Arial"/>
        </w:rPr>
        <w:t xml:space="preserve"> </w:t>
      </w:r>
      <w:r w:rsidRPr="40EB8B97">
        <w:rPr>
          <w:rFonts w:cs="Arial"/>
        </w:rPr>
        <w:t xml:space="preserve">vaccines, sunscreens, complementary medicines (including vitamins, minerals, herbal and traditional medicines), medical devices, blood and blood products, cellular </w:t>
      </w:r>
      <w:r w:rsidR="003C6C72" w:rsidRPr="40EB8B97">
        <w:rPr>
          <w:rFonts w:cs="Arial"/>
        </w:rPr>
        <w:t>therapies,</w:t>
      </w:r>
      <w:r w:rsidRPr="40EB8B97">
        <w:rPr>
          <w:rFonts w:cs="Arial"/>
        </w:rPr>
        <w:t xml:space="preserve"> and biologicals.</w:t>
      </w:r>
    </w:p>
    <w:p w14:paraId="77EC6486" w14:textId="79C3F8CE" w:rsidR="000553FE" w:rsidRPr="002B2FCA" w:rsidRDefault="000553FE" w:rsidP="00C25F7E">
      <w:pPr>
        <w:rPr>
          <w:rFonts w:cs="Arial"/>
          <w:szCs w:val="20"/>
        </w:rPr>
      </w:pPr>
      <w:r w:rsidRPr="002B2FCA">
        <w:rPr>
          <w:rFonts w:cs="Arial"/>
          <w:szCs w:val="20"/>
        </w:rPr>
        <w:t xml:space="preserve">Consistent with the </w:t>
      </w:r>
      <w:r w:rsidRPr="002B2FCA">
        <w:rPr>
          <w:rFonts w:cs="Arial"/>
          <w:i/>
          <w:iCs/>
          <w:szCs w:val="20"/>
        </w:rPr>
        <w:t>Therapeutic Goods Act 1989</w:t>
      </w:r>
      <w:r w:rsidR="57440987" w:rsidRPr="002B2FCA">
        <w:rPr>
          <w:rFonts w:cs="Arial"/>
          <w:i/>
          <w:iCs/>
          <w:szCs w:val="20"/>
        </w:rPr>
        <w:t xml:space="preserve"> </w:t>
      </w:r>
      <w:r w:rsidR="57440987" w:rsidRPr="002B2FCA">
        <w:rPr>
          <w:rFonts w:cs="Arial"/>
          <w:szCs w:val="20"/>
        </w:rPr>
        <w:t>(the Act)</w:t>
      </w:r>
      <w:r w:rsidRPr="002B2FCA">
        <w:rPr>
          <w:rFonts w:cs="Arial"/>
          <w:i/>
          <w:iCs/>
          <w:szCs w:val="20"/>
        </w:rPr>
        <w:t xml:space="preserve">, </w:t>
      </w:r>
      <w:r w:rsidRPr="002B2FCA">
        <w:rPr>
          <w:rFonts w:cs="Arial"/>
          <w:szCs w:val="20"/>
        </w:rPr>
        <w:t>we: </w:t>
      </w:r>
    </w:p>
    <w:p w14:paraId="64203B6B" w14:textId="7466E748" w:rsidR="000553FE" w:rsidRPr="002B2FCA" w:rsidRDefault="000553FE" w:rsidP="00C25F7E">
      <w:pPr>
        <w:pStyle w:val="ListParagraph"/>
      </w:pPr>
      <w:r w:rsidRPr="002B2FCA">
        <w:t>apply scientific and clinical expertise to assess whether the benefits of a therapeutic good outweigh any risks to health and safety</w:t>
      </w:r>
    </w:p>
    <w:p w14:paraId="439451DC" w14:textId="496F609C" w:rsidR="000553FE" w:rsidRPr="002B2FCA" w:rsidRDefault="000553FE" w:rsidP="00C25F7E">
      <w:pPr>
        <w:pStyle w:val="ListParagraph"/>
      </w:pPr>
      <w:r w:rsidRPr="002B2FCA">
        <w:t>assess the suitability of therapeutic goods for supply</w:t>
      </w:r>
      <w:r w:rsidR="001A166C">
        <w:t xml:space="preserve"> in</w:t>
      </w:r>
      <w:r w:rsidRPr="002B2FCA">
        <w:t>, import</w:t>
      </w:r>
      <w:r w:rsidR="001A166C">
        <w:t xml:space="preserve"> to</w:t>
      </w:r>
      <w:r w:rsidRPr="002B2FCA">
        <w:t>, and export from Australia </w:t>
      </w:r>
    </w:p>
    <w:p w14:paraId="46F2E68E" w14:textId="61E62908" w:rsidR="000553FE" w:rsidRPr="002B2FCA" w:rsidRDefault="000553FE" w:rsidP="00C25F7E">
      <w:pPr>
        <w:pStyle w:val="ListParagraph"/>
      </w:pPr>
      <w:r w:rsidRPr="002B2FCA">
        <w:t>regulate manufacturers of therapeutic goods to ensure they meet acceptable standards of manufacturing quality</w:t>
      </w:r>
    </w:p>
    <w:p w14:paraId="284CED06" w14:textId="638D3702" w:rsidR="000553FE" w:rsidRPr="002B2FCA" w:rsidRDefault="000553FE" w:rsidP="00C25F7E">
      <w:pPr>
        <w:pStyle w:val="ListParagraph"/>
      </w:pPr>
      <w:r w:rsidRPr="002B2FCA">
        <w:t>assess the quality and compliance of therapeutic goods on the market, including through laboratory testing where appropriate</w:t>
      </w:r>
    </w:p>
    <w:p w14:paraId="396D4333" w14:textId="49B3172F" w:rsidR="000553FE" w:rsidRPr="002B2FCA" w:rsidRDefault="000553FE" w:rsidP="00C25F7E">
      <w:pPr>
        <w:pStyle w:val="ListParagraph"/>
      </w:pPr>
      <w:r w:rsidRPr="002B2FCA">
        <w:t>implement a range of regulatory actions that are proportionate to the potential risk arising from non-compliance or emerging safety concerns</w:t>
      </w:r>
      <w:r w:rsidR="00EE3BF1">
        <w:t>.</w:t>
      </w:r>
    </w:p>
    <w:p w14:paraId="398FD3AF" w14:textId="7C9CD6A2" w:rsidR="000553FE" w:rsidRPr="002B2FCA" w:rsidRDefault="000553FE" w:rsidP="00C25F7E">
      <w:pPr>
        <w:rPr>
          <w:rFonts w:cs="Arial"/>
          <w:szCs w:val="20"/>
        </w:rPr>
      </w:pPr>
      <w:r w:rsidRPr="002B2FCA">
        <w:rPr>
          <w:rFonts w:cs="Arial"/>
          <w:szCs w:val="20"/>
        </w:rPr>
        <w:t>We achieve this by applying risk-based processes for both pre-market assessment and post</w:t>
      </w:r>
      <w:r w:rsidR="00116F70">
        <w:rPr>
          <w:rFonts w:cs="Arial"/>
          <w:szCs w:val="20"/>
        </w:rPr>
        <w:t>-</w:t>
      </w:r>
      <w:r w:rsidRPr="002B2FCA">
        <w:rPr>
          <w:rFonts w:cs="Arial"/>
          <w:szCs w:val="20"/>
        </w:rPr>
        <w:t>market monitoring, as well as promoting regulatory compliance through clear and transparent decision-making, providing education and guidance, and using innovative technologies and ideas to streamline business functions.</w:t>
      </w:r>
    </w:p>
    <w:p w14:paraId="03744A26" w14:textId="77777777" w:rsidR="004F72B3" w:rsidRPr="00C25F7E" w:rsidRDefault="0337FAFE" w:rsidP="00AF0EFA">
      <w:pPr>
        <w:pStyle w:val="Heading1"/>
      </w:pPr>
      <w:bookmarkStart w:id="2" w:name="_Toc153550367"/>
      <w:r>
        <w:t>O</w:t>
      </w:r>
      <w:r w:rsidR="174743DD">
        <w:t>ur vision</w:t>
      </w:r>
      <w:bookmarkEnd w:id="2"/>
    </w:p>
    <w:p w14:paraId="458DBD1B" w14:textId="77777777" w:rsidR="00CA379B" w:rsidRPr="00DA4FC5" w:rsidRDefault="004F72B3" w:rsidP="008A5B93">
      <w:pPr>
        <w:rPr>
          <w:rFonts w:cs="Arial"/>
          <w:szCs w:val="20"/>
        </w:rPr>
      </w:pPr>
      <w:r w:rsidRPr="00DA4FC5">
        <w:rPr>
          <w:rFonts w:cs="Arial"/>
          <w:szCs w:val="20"/>
        </w:rPr>
        <w:t>Our vision is for better health and wellbeing for all Australians through regulatory excellence. This links directly with the Department of Health and Aged Care’s vision of better health and wellbeing for all Australians, now and for future generations.</w:t>
      </w:r>
    </w:p>
    <w:p w14:paraId="6FFB93AF" w14:textId="208A068E" w:rsidR="000550E7" w:rsidRPr="00C25F7E" w:rsidRDefault="174743DD" w:rsidP="00AF0EFA">
      <w:pPr>
        <w:pStyle w:val="Heading1"/>
      </w:pPr>
      <w:bookmarkStart w:id="3" w:name="_Toc153550368"/>
      <w:r>
        <w:t xml:space="preserve">Our </w:t>
      </w:r>
      <w:r w:rsidR="0C8E1B92">
        <w:t>s</w:t>
      </w:r>
      <w:r>
        <w:t>trategic framework</w:t>
      </w:r>
      <w:bookmarkEnd w:id="3"/>
      <w:r>
        <w:t> </w:t>
      </w:r>
    </w:p>
    <w:p w14:paraId="4DCDE96B" w14:textId="7E1DC039" w:rsidR="007522A7" w:rsidRPr="00E34D51" w:rsidRDefault="007522A7" w:rsidP="71241107">
      <w:pPr>
        <w:rPr>
          <w:lang w:val="en-US"/>
        </w:rPr>
      </w:pPr>
      <w:r w:rsidRPr="71241107">
        <w:rPr>
          <w:rFonts w:cs="Arial"/>
        </w:rPr>
        <w:t xml:space="preserve">By regulating therapeutic goods in accordance with the </w:t>
      </w:r>
      <w:r w:rsidR="176071BE" w:rsidRPr="71241107">
        <w:rPr>
          <w:rFonts w:cs="Arial"/>
        </w:rPr>
        <w:t>Act</w:t>
      </w:r>
      <w:r w:rsidRPr="71241107">
        <w:rPr>
          <w:rFonts w:cs="Arial"/>
          <w:i/>
          <w:iCs/>
        </w:rPr>
        <w:t xml:space="preserve"> </w:t>
      </w:r>
      <w:r w:rsidRPr="71241107">
        <w:rPr>
          <w:rFonts w:cs="Arial"/>
        </w:rPr>
        <w:t xml:space="preserve">and </w:t>
      </w:r>
      <w:r w:rsidR="008C6C46" w:rsidRPr="71241107">
        <w:rPr>
          <w:rFonts w:cs="Arial"/>
        </w:rPr>
        <w:t xml:space="preserve">the </w:t>
      </w:r>
      <w:r w:rsidRPr="71241107">
        <w:rPr>
          <w:rFonts w:cs="Arial"/>
        </w:rPr>
        <w:t xml:space="preserve">supporting </w:t>
      </w:r>
      <w:hyperlink r:id="rId13">
        <w:r w:rsidR="37C4BC4A" w:rsidRPr="00DE7602">
          <w:rPr>
            <w:rStyle w:val="Hyperlink"/>
            <w:rFonts w:cs="Arial"/>
            <w:i/>
            <w:iCs/>
          </w:rPr>
          <w:t>Therapeutic Goods Regulations 1990</w:t>
        </w:r>
      </w:hyperlink>
      <w:r w:rsidR="37C4BC4A" w:rsidRPr="71241107">
        <w:rPr>
          <w:rFonts w:cs="Arial"/>
        </w:rPr>
        <w:t xml:space="preserve"> (the R</w:t>
      </w:r>
      <w:r w:rsidRPr="71241107">
        <w:rPr>
          <w:rFonts w:cs="Arial"/>
        </w:rPr>
        <w:t>egulations</w:t>
      </w:r>
      <w:r w:rsidR="7424A979" w:rsidRPr="71241107">
        <w:rPr>
          <w:rFonts w:cs="Arial"/>
        </w:rPr>
        <w:t>)</w:t>
      </w:r>
      <w:r w:rsidRPr="71241107">
        <w:rPr>
          <w:rFonts w:cs="Arial"/>
        </w:rPr>
        <w:t xml:space="preserve">, we contribute to the </w:t>
      </w:r>
      <w:r w:rsidR="00EE3BF1">
        <w:rPr>
          <w:rFonts w:cs="Arial"/>
        </w:rPr>
        <w:t>d</w:t>
      </w:r>
      <w:r w:rsidRPr="71241107">
        <w:rPr>
          <w:rFonts w:cs="Arial"/>
        </w:rPr>
        <w:t>epartment’s strategic priorities</w:t>
      </w:r>
      <w:r w:rsidR="6E823D42" w:rsidRPr="71241107">
        <w:rPr>
          <w:rFonts w:cs="Arial"/>
        </w:rPr>
        <w:t xml:space="preserve"> by providing </w:t>
      </w:r>
      <w:r w:rsidR="00E84F73" w:rsidRPr="71241107">
        <w:rPr>
          <w:lang w:val="en-US"/>
        </w:rPr>
        <w:t>b</w:t>
      </w:r>
      <w:r w:rsidR="00E84F73">
        <w:rPr>
          <w:lang w:val="en-US"/>
        </w:rPr>
        <w:t>etter</w:t>
      </w:r>
      <w:r w:rsidRPr="71241107">
        <w:rPr>
          <w:lang w:val="en-US"/>
        </w:rPr>
        <w:t xml:space="preserve"> health and ageing outcomes for all Australians</w:t>
      </w:r>
      <w:r w:rsidR="7218FE28" w:rsidRPr="71241107">
        <w:rPr>
          <w:lang w:val="en-US"/>
        </w:rPr>
        <w:t xml:space="preserve"> and an </w:t>
      </w:r>
      <w:r w:rsidRPr="71241107">
        <w:rPr>
          <w:lang w:val="en-US"/>
        </w:rPr>
        <w:t>affordable, quality health and aged care system</w:t>
      </w:r>
      <w:r w:rsidR="3643EE75" w:rsidRPr="71241107">
        <w:rPr>
          <w:lang w:val="en-US"/>
        </w:rPr>
        <w:t>.</w:t>
      </w:r>
    </w:p>
    <w:p w14:paraId="0959F129" w14:textId="566441EB" w:rsidR="65B420D7" w:rsidRPr="00E34D51" w:rsidRDefault="007522A7" w:rsidP="44078614">
      <w:pPr>
        <w:rPr>
          <w:rFonts w:cs="Arial"/>
          <w:szCs w:val="22"/>
        </w:rPr>
      </w:pPr>
      <w:r w:rsidRPr="00E34D51">
        <w:rPr>
          <w:rFonts w:cs="Arial"/>
          <w:szCs w:val="22"/>
        </w:rPr>
        <w:t xml:space="preserve">We are committed to delivering the </w:t>
      </w:r>
      <w:r w:rsidR="00EE3BF1">
        <w:rPr>
          <w:rFonts w:cs="Arial"/>
          <w:szCs w:val="22"/>
        </w:rPr>
        <w:t>d</w:t>
      </w:r>
      <w:r w:rsidRPr="00E34D51">
        <w:rPr>
          <w:rFonts w:cs="Arial"/>
          <w:szCs w:val="22"/>
        </w:rPr>
        <w:t>epartment’s Health Protection, Emergency Response and</w:t>
      </w:r>
      <w:r w:rsidR="008A5B93" w:rsidRPr="00E34D51">
        <w:rPr>
          <w:rFonts w:cs="Arial"/>
          <w:szCs w:val="22"/>
        </w:rPr>
        <w:t xml:space="preserve"> </w:t>
      </w:r>
      <w:r w:rsidRPr="00E34D51">
        <w:rPr>
          <w:rFonts w:cs="Arial"/>
          <w:szCs w:val="22"/>
        </w:rPr>
        <w:t>Regulation program through the protection of the health and safety of the Australian community,</w:t>
      </w:r>
      <w:r w:rsidR="008A5B93" w:rsidRPr="00E34D51">
        <w:rPr>
          <w:rFonts w:cs="Arial"/>
          <w:szCs w:val="22"/>
        </w:rPr>
        <w:t xml:space="preserve"> </w:t>
      </w:r>
      <w:r w:rsidRPr="00E34D51">
        <w:rPr>
          <w:rFonts w:cs="Arial"/>
          <w:szCs w:val="22"/>
        </w:rPr>
        <w:t>and the preparedness to respond to national health emergencies and risks through the regulation of therapeutic goods. This applies to goods exported, imported, supplied, and manufactured in Australia.</w:t>
      </w:r>
    </w:p>
    <w:p w14:paraId="4EDEF8F2" w14:textId="59D6EBC1" w:rsidR="40EB8B97" w:rsidRDefault="40EB8B97">
      <w:r>
        <w:br w:type="page"/>
      </w:r>
    </w:p>
    <w:p w14:paraId="673B1E60" w14:textId="5C02EE9F" w:rsidR="00A35E2A" w:rsidRDefault="204F72E4" w:rsidP="00AF0EFA">
      <w:pPr>
        <w:pStyle w:val="Heading1"/>
      </w:pPr>
      <w:bookmarkStart w:id="4" w:name="_Toc153550369"/>
      <w:r>
        <w:lastRenderedPageBreak/>
        <w:t>Introduction</w:t>
      </w:r>
      <w:bookmarkEnd w:id="4"/>
    </w:p>
    <w:p w14:paraId="06DB67E6" w14:textId="212BEEE1" w:rsidR="008C5DF9" w:rsidRDefault="00A35E2A" w:rsidP="005570E0">
      <w:pPr>
        <w:spacing w:before="0" w:after="0" w:line="240" w:lineRule="auto"/>
      </w:pPr>
      <w:r>
        <w:t>Each year we provide information about our regulatory performance through the TGA Performance Report</w:t>
      </w:r>
      <w:r w:rsidR="004B5DAC">
        <w:t xml:space="preserve">. </w:t>
      </w:r>
      <w:bookmarkStart w:id="5" w:name="_Hlk152842215"/>
      <w:r w:rsidR="004B5DAC">
        <w:t>We</w:t>
      </w:r>
      <w:r>
        <w:t xml:space="preserve"> measure our performance </w:t>
      </w:r>
      <w:r w:rsidR="00625ACF">
        <w:t xml:space="preserve">in line with </w:t>
      </w:r>
      <w:r w:rsidR="004862D3">
        <w:t xml:space="preserve">Commonwealth </w:t>
      </w:r>
      <w:r w:rsidR="00F62A59">
        <w:t xml:space="preserve">best practice </w:t>
      </w:r>
      <w:r w:rsidR="00E31F16">
        <w:t>principles</w:t>
      </w:r>
      <w:r w:rsidR="001F24F3">
        <w:t>, as</w:t>
      </w:r>
      <w:r>
        <w:t xml:space="preserve"> a platform for the strategic objectives and focus areas outlined in </w:t>
      </w:r>
      <w:r w:rsidR="00E40B08">
        <w:t>the TGA Business Plan</w:t>
      </w:r>
      <w:r>
        <w:t>.</w:t>
      </w:r>
      <w:r w:rsidR="00817B0E">
        <w:t xml:space="preserve"> </w:t>
      </w:r>
      <w:bookmarkEnd w:id="5"/>
      <w:r w:rsidR="00817B0E">
        <w:t xml:space="preserve">The </w:t>
      </w:r>
      <w:r w:rsidR="008C7B1B">
        <w:t>p</w:t>
      </w:r>
      <w:r w:rsidR="00817B0E">
        <w:t>rinciples are</w:t>
      </w:r>
      <w:r w:rsidR="00031C79">
        <w:t xml:space="preserve"> as follows:</w:t>
      </w:r>
    </w:p>
    <w:p w14:paraId="7EC74DCB" w14:textId="1DADBD50" w:rsidR="005570E0" w:rsidRDefault="005570E0" w:rsidP="004A472D">
      <w:pPr>
        <w:spacing w:before="0" w:after="0" w:line="240" w:lineRule="auto"/>
        <w:rPr>
          <w:b/>
          <w:bCs/>
        </w:rPr>
      </w:pPr>
    </w:p>
    <w:p w14:paraId="4DA3D55D" w14:textId="6C64D278" w:rsidR="002D4867" w:rsidRDefault="002D4867" w:rsidP="004A472D">
      <w:pPr>
        <w:spacing w:before="0" w:after="0" w:line="240" w:lineRule="auto"/>
        <w:rPr>
          <w:b/>
          <w:bCs/>
        </w:rPr>
      </w:pPr>
      <w:r w:rsidRPr="44078614">
        <w:rPr>
          <w:b/>
          <w:bCs/>
        </w:rPr>
        <w:t>Continuous improvement and building trust </w:t>
      </w:r>
    </w:p>
    <w:p w14:paraId="466B9A3C" w14:textId="77777777" w:rsidR="00883372" w:rsidRPr="00883372" w:rsidRDefault="00883372" w:rsidP="004A472D">
      <w:pPr>
        <w:spacing w:before="0" w:after="0" w:line="240" w:lineRule="auto"/>
        <w:rPr>
          <w:b/>
          <w:bCs/>
        </w:rPr>
      </w:pPr>
    </w:p>
    <w:p w14:paraId="213D29F4" w14:textId="580928F7" w:rsidR="002D4867" w:rsidRPr="00E529EB" w:rsidRDefault="00883372" w:rsidP="00ED1A1F">
      <w:pPr>
        <w:pStyle w:val="ListParagraph"/>
        <w:numPr>
          <w:ilvl w:val="0"/>
          <w:numId w:val="8"/>
        </w:numPr>
        <w:spacing w:before="0" w:after="120" w:line="240" w:lineRule="auto"/>
      </w:pPr>
      <w:r w:rsidRPr="71241107">
        <w:rPr>
          <w:lang w:val="en-US"/>
        </w:rPr>
        <w:t xml:space="preserve">We </w:t>
      </w:r>
      <w:r w:rsidR="002D4867" w:rsidRPr="71241107">
        <w:rPr>
          <w:lang w:val="en-US"/>
        </w:rPr>
        <w:t xml:space="preserve">use qualitative and quantitative analysis to assess and report on </w:t>
      </w:r>
      <w:r w:rsidR="007A3B5E" w:rsidRPr="71241107">
        <w:rPr>
          <w:lang w:val="en-US"/>
        </w:rPr>
        <w:t>performance and</w:t>
      </w:r>
      <w:r w:rsidR="002D4867" w:rsidRPr="71241107">
        <w:rPr>
          <w:lang w:val="en-US"/>
        </w:rPr>
        <w:t xml:space="preserve"> drive evidence-based continuous improvement</w:t>
      </w:r>
      <w:r w:rsidR="00FF01D3" w:rsidRPr="71241107">
        <w:rPr>
          <w:lang w:val="en-US"/>
        </w:rPr>
        <w:t>.</w:t>
      </w:r>
    </w:p>
    <w:p w14:paraId="427F3A6D" w14:textId="32C1DE9E" w:rsidR="002D4867" w:rsidRPr="00392261" w:rsidRDefault="00883372" w:rsidP="00ED1A1F">
      <w:pPr>
        <w:pStyle w:val="ListParagraph"/>
        <w:numPr>
          <w:ilvl w:val="0"/>
          <w:numId w:val="8"/>
        </w:numPr>
        <w:spacing w:before="0" w:after="120" w:line="240" w:lineRule="auto"/>
        <w:rPr>
          <w:lang w:val="en-US"/>
        </w:rPr>
      </w:pPr>
      <w:r w:rsidRPr="00392261">
        <w:rPr>
          <w:lang w:val="en-US"/>
        </w:rPr>
        <w:t xml:space="preserve">We </w:t>
      </w:r>
      <w:r w:rsidR="002D4867" w:rsidRPr="00392261">
        <w:rPr>
          <w:lang w:val="en-US"/>
        </w:rPr>
        <w:t>promote a culture that builds public confidence in our work and trust in our decision- making. </w:t>
      </w:r>
    </w:p>
    <w:p w14:paraId="1C77C9C6" w14:textId="1DADBD50" w:rsidR="00B93CC2" w:rsidRDefault="00B93CC2" w:rsidP="004A472D">
      <w:pPr>
        <w:spacing w:before="0" w:after="0" w:line="240" w:lineRule="auto"/>
        <w:rPr>
          <w:b/>
          <w:bCs/>
        </w:rPr>
      </w:pPr>
    </w:p>
    <w:p w14:paraId="25F137B3" w14:textId="75B99FCE" w:rsidR="002D4867" w:rsidRPr="00C25F7E" w:rsidRDefault="002D4867" w:rsidP="004A472D">
      <w:pPr>
        <w:spacing w:before="0" w:after="0" w:line="240" w:lineRule="auto"/>
        <w:rPr>
          <w:b/>
          <w:bCs/>
        </w:rPr>
      </w:pPr>
      <w:r w:rsidRPr="44078614">
        <w:rPr>
          <w:b/>
          <w:bCs/>
        </w:rPr>
        <w:t>Risk</w:t>
      </w:r>
      <w:r w:rsidR="00AA4366">
        <w:rPr>
          <w:b/>
          <w:bCs/>
        </w:rPr>
        <w:t>-</w:t>
      </w:r>
      <w:r w:rsidRPr="44078614">
        <w:rPr>
          <w:b/>
          <w:bCs/>
        </w:rPr>
        <w:t>based and data driven </w:t>
      </w:r>
    </w:p>
    <w:p w14:paraId="31F2882C" w14:textId="3D42AAA4" w:rsidR="002D4867" w:rsidRPr="00E529EB" w:rsidRDefault="002D4867" w:rsidP="004A472D">
      <w:pPr>
        <w:spacing w:before="0" w:after="0" w:line="240" w:lineRule="auto"/>
      </w:pPr>
    </w:p>
    <w:p w14:paraId="405ED807" w14:textId="133956CD" w:rsidR="002D4867" w:rsidRPr="00392261" w:rsidRDefault="00883372" w:rsidP="00ED1A1F">
      <w:pPr>
        <w:pStyle w:val="ListParagraph"/>
        <w:numPr>
          <w:ilvl w:val="0"/>
          <w:numId w:val="9"/>
        </w:numPr>
        <w:rPr>
          <w:lang w:val="en-US"/>
        </w:rPr>
      </w:pPr>
      <w:r w:rsidRPr="00392261">
        <w:rPr>
          <w:lang w:val="en-US"/>
        </w:rPr>
        <w:t xml:space="preserve">We </w:t>
      </w:r>
      <w:r w:rsidR="002D4867" w:rsidRPr="00392261">
        <w:rPr>
          <w:lang w:val="en-US"/>
        </w:rPr>
        <w:t>actively understand, engage with, and effectively mitigate strategic risks to successfully manage our regulatory functions, without unnecessarily impeding the operations of regulated entities</w:t>
      </w:r>
      <w:r w:rsidR="00FF01D3">
        <w:rPr>
          <w:lang w:val="en-US"/>
        </w:rPr>
        <w:t>.</w:t>
      </w:r>
    </w:p>
    <w:p w14:paraId="1192486E" w14:textId="19C3BACF" w:rsidR="002D4867" w:rsidRPr="00392261" w:rsidRDefault="00883372" w:rsidP="00ED1A1F">
      <w:pPr>
        <w:pStyle w:val="ListParagraph"/>
        <w:numPr>
          <w:ilvl w:val="0"/>
          <w:numId w:val="9"/>
        </w:numPr>
        <w:rPr>
          <w:lang w:val="en-US"/>
        </w:rPr>
      </w:pPr>
      <w:r w:rsidRPr="00392261">
        <w:rPr>
          <w:lang w:val="en-US"/>
        </w:rPr>
        <w:t xml:space="preserve">We </w:t>
      </w:r>
      <w:r w:rsidR="002D4867" w:rsidRPr="00392261">
        <w:rPr>
          <w:lang w:val="en-US"/>
        </w:rPr>
        <w:t>use data sources that meet relevant data assurance standards for assessing and reporting on the quality of statistical information.</w:t>
      </w:r>
    </w:p>
    <w:p w14:paraId="1F7DD899" w14:textId="1DADBD50" w:rsidR="005570E0" w:rsidRDefault="005570E0" w:rsidP="004A472D">
      <w:pPr>
        <w:spacing w:before="0" w:after="0" w:line="240" w:lineRule="auto"/>
        <w:rPr>
          <w:b/>
          <w:bCs/>
        </w:rPr>
      </w:pPr>
    </w:p>
    <w:p w14:paraId="33F16D2B" w14:textId="1DADBD50" w:rsidR="002D4867" w:rsidRPr="00C25F7E" w:rsidRDefault="002D4867" w:rsidP="004A472D">
      <w:pPr>
        <w:spacing w:before="0" w:after="0" w:line="240" w:lineRule="auto"/>
        <w:rPr>
          <w:b/>
          <w:bCs/>
        </w:rPr>
      </w:pPr>
      <w:r w:rsidRPr="44078614">
        <w:rPr>
          <w:b/>
          <w:bCs/>
        </w:rPr>
        <w:t>Collaboration and engagement </w:t>
      </w:r>
    </w:p>
    <w:p w14:paraId="4FF5CFDB" w14:textId="3C6A3F18" w:rsidR="002D4867" w:rsidRPr="00E529EB" w:rsidRDefault="002D4867" w:rsidP="004A472D">
      <w:pPr>
        <w:spacing w:before="0" w:after="0" w:line="240" w:lineRule="auto"/>
      </w:pPr>
    </w:p>
    <w:p w14:paraId="013F2E07" w14:textId="77777777" w:rsidR="00E24CE3" w:rsidRDefault="00883372" w:rsidP="00ED1A1F">
      <w:pPr>
        <w:pStyle w:val="ListParagraph"/>
        <w:numPr>
          <w:ilvl w:val="0"/>
          <w:numId w:val="10"/>
        </w:numPr>
        <w:spacing w:before="0" w:after="120" w:line="240" w:lineRule="auto"/>
        <w:rPr>
          <w:szCs w:val="22"/>
          <w:lang w:val="en-US"/>
        </w:rPr>
      </w:pPr>
      <w:r w:rsidRPr="00D838C4">
        <w:rPr>
          <w:szCs w:val="22"/>
          <w:lang w:val="en-US"/>
        </w:rPr>
        <w:t xml:space="preserve">We </w:t>
      </w:r>
      <w:r w:rsidR="002D4867" w:rsidRPr="00D838C4">
        <w:rPr>
          <w:szCs w:val="22"/>
          <w:lang w:val="en-US"/>
        </w:rPr>
        <w:t xml:space="preserve">seek opportunities to inform, engage and consult with our stakeholders and the Australian </w:t>
      </w:r>
      <w:r w:rsidR="007A3B5E" w:rsidRPr="00D838C4">
        <w:rPr>
          <w:szCs w:val="22"/>
          <w:lang w:val="en-US"/>
        </w:rPr>
        <w:t>community.</w:t>
      </w:r>
      <w:r w:rsidR="002D4867" w:rsidRPr="00D838C4">
        <w:rPr>
          <w:szCs w:val="22"/>
          <w:lang w:val="en-US"/>
        </w:rPr>
        <w:t> </w:t>
      </w:r>
    </w:p>
    <w:p w14:paraId="1F07B285" w14:textId="6BB105FA" w:rsidR="00404A05" w:rsidRPr="00E24CE3" w:rsidRDefault="00883372" w:rsidP="00ED1A1F">
      <w:pPr>
        <w:pStyle w:val="ListParagraph"/>
        <w:numPr>
          <w:ilvl w:val="0"/>
          <w:numId w:val="10"/>
        </w:numPr>
        <w:spacing w:before="0" w:after="120" w:line="240" w:lineRule="auto"/>
        <w:rPr>
          <w:szCs w:val="22"/>
          <w:lang w:val="en-US"/>
        </w:rPr>
      </w:pPr>
      <w:r w:rsidRPr="00E24CE3">
        <w:rPr>
          <w:szCs w:val="22"/>
          <w:lang w:val="en-US"/>
        </w:rPr>
        <w:t>We</w:t>
      </w:r>
      <w:r w:rsidR="00287788" w:rsidRPr="00E24CE3">
        <w:rPr>
          <w:szCs w:val="22"/>
          <w:lang w:val="en-US"/>
        </w:rPr>
        <w:t xml:space="preserve"> </w:t>
      </w:r>
      <w:r w:rsidR="002D4867" w:rsidRPr="00E24CE3">
        <w:rPr>
          <w:szCs w:val="22"/>
          <w:lang w:val="en-US"/>
        </w:rPr>
        <w:t>are receptive to feedback and diverse stakeholder views.</w:t>
      </w:r>
    </w:p>
    <w:p w14:paraId="7F0768BB" w14:textId="0D806F45" w:rsidR="008C5DF9" w:rsidRPr="00D838C4" w:rsidRDefault="008C5DF9" w:rsidP="23B264BB">
      <w:pPr>
        <w:spacing w:before="0" w:after="0" w:line="240" w:lineRule="auto"/>
        <w:rPr>
          <w:szCs w:val="22"/>
        </w:rPr>
      </w:pPr>
      <w:r w:rsidRPr="00D838C4">
        <w:rPr>
          <w:szCs w:val="22"/>
        </w:rPr>
        <w:t xml:space="preserve">Using these principles as a </w:t>
      </w:r>
      <w:r w:rsidR="007E019C" w:rsidRPr="00D838C4">
        <w:rPr>
          <w:szCs w:val="22"/>
        </w:rPr>
        <w:t>foundation</w:t>
      </w:r>
      <w:r w:rsidRPr="00D838C4">
        <w:rPr>
          <w:szCs w:val="22"/>
        </w:rPr>
        <w:t xml:space="preserve">, we have </w:t>
      </w:r>
      <w:r w:rsidR="00266D55" w:rsidRPr="00D838C4">
        <w:rPr>
          <w:szCs w:val="22"/>
        </w:rPr>
        <w:t>measured</w:t>
      </w:r>
      <w:r w:rsidRPr="00D838C4">
        <w:rPr>
          <w:szCs w:val="22"/>
        </w:rPr>
        <w:t xml:space="preserve"> our performance against the strategic objectives and focus areas outlined in our </w:t>
      </w:r>
      <w:hyperlink r:id="rId14" w:history="1">
        <w:r w:rsidRPr="00D838C4">
          <w:rPr>
            <w:rStyle w:val="Hyperlink"/>
            <w:szCs w:val="22"/>
          </w:rPr>
          <w:t>2022-2</w:t>
        </w:r>
        <w:r w:rsidR="002306CB" w:rsidRPr="00D838C4">
          <w:rPr>
            <w:rStyle w:val="Hyperlink"/>
            <w:szCs w:val="22"/>
          </w:rPr>
          <w:t>3</w:t>
        </w:r>
        <w:r w:rsidRPr="00D838C4">
          <w:rPr>
            <w:rStyle w:val="Hyperlink"/>
            <w:szCs w:val="22"/>
          </w:rPr>
          <w:t xml:space="preserve"> TGA Business Plan</w:t>
        </w:r>
      </w:hyperlink>
      <w:r w:rsidR="005570E0" w:rsidRPr="00D838C4">
        <w:rPr>
          <w:szCs w:val="22"/>
        </w:rPr>
        <w:t>.</w:t>
      </w:r>
      <w:r w:rsidR="00392261" w:rsidRPr="00D838C4">
        <w:rPr>
          <w:szCs w:val="22"/>
        </w:rPr>
        <w:t xml:space="preserve"> </w:t>
      </w:r>
      <w:bookmarkStart w:id="6" w:name="_Hlk152842298"/>
      <w:r w:rsidRPr="00D838C4">
        <w:rPr>
          <w:szCs w:val="22"/>
        </w:rPr>
        <w:t>Our strategic objectives are as follows:</w:t>
      </w:r>
    </w:p>
    <w:p w14:paraId="55270551" w14:textId="454F8C50" w:rsidR="40EB8B97" w:rsidRPr="00D838C4" w:rsidRDefault="40EB8B97" w:rsidP="40EB8B97">
      <w:pPr>
        <w:spacing w:before="0" w:after="0" w:line="240" w:lineRule="auto"/>
        <w:rPr>
          <w:szCs w:val="22"/>
        </w:rPr>
      </w:pPr>
    </w:p>
    <w:p w14:paraId="5A49D34E" w14:textId="1DADBD50" w:rsidR="008C5DF9" w:rsidRPr="00D838C4" w:rsidRDefault="008C5DF9" w:rsidP="00ED1A1F">
      <w:pPr>
        <w:pStyle w:val="ListParagraph"/>
        <w:numPr>
          <w:ilvl w:val="0"/>
          <w:numId w:val="7"/>
        </w:numPr>
        <w:spacing w:before="0" w:after="120" w:line="240" w:lineRule="auto"/>
        <w:rPr>
          <w:szCs w:val="22"/>
        </w:rPr>
      </w:pPr>
      <w:r w:rsidRPr="00D838C4">
        <w:rPr>
          <w:szCs w:val="22"/>
        </w:rPr>
        <w:t>Improve public health outcomes through regulation</w:t>
      </w:r>
    </w:p>
    <w:p w14:paraId="5D3C3D76" w14:textId="1DADBD50" w:rsidR="008C5DF9" w:rsidRPr="00D838C4" w:rsidRDefault="008C5DF9" w:rsidP="00ED1A1F">
      <w:pPr>
        <w:pStyle w:val="ListParagraph"/>
        <w:numPr>
          <w:ilvl w:val="0"/>
          <w:numId w:val="7"/>
        </w:numPr>
        <w:spacing w:before="0" w:after="120" w:line="240" w:lineRule="auto"/>
        <w:rPr>
          <w:szCs w:val="22"/>
        </w:rPr>
      </w:pPr>
      <w:r w:rsidRPr="00D838C4">
        <w:rPr>
          <w:szCs w:val="22"/>
        </w:rPr>
        <w:t>Actively engage with our stakeholders</w:t>
      </w:r>
    </w:p>
    <w:p w14:paraId="6B0EC7CF" w14:textId="1DADBD50" w:rsidR="008C5DF9" w:rsidRPr="00D838C4" w:rsidRDefault="008C5DF9" w:rsidP="00ED1A1F">
      <w:pPr>
        <w:pStyle w:val="ListParagraph"/>
        <w:numPr>
          <w:ilvl w:val="0"/>
          <w:numId w:val="7"/>
        </w:numPr>
        <w:spacing w:before="0" w:after="120" w:line="240" w:lineRule="auto"/>
        <w:rPr>
          <w:szCs w:val="22"/>
        </w:rPr>
      </w:pPr>
      <w:r w:rsidRPr="00D838C4">
        <w:rPr>
          <w:szCs w:val="22"/>
        </w:rPr>
        <w:t>Promote compliance with regulatory requirements</w:t>
      </w:r>
    </w:p>
    <w:p w14:paraId="0EED771B" w14:textId="1DADBD50" w:rsidR="008C5DF9" w:rsidRPr="00D838C4" w:rsidRDefault="008C5DF9" w:rsidP="00ED1A1F">
      <w:pPr>
        <w:pStyle w:val="ListParagraph"/>
        <w:numPr>
          <w:ilvl w:val="0"/>
          <w:numId w:val="7"/>
        </w:numPr>
        <w:spacing w:before="0" w:after="120" w:line="240" w:lineRule="auto"/>
        <w:rPr>
          <w:szCs w:val="22"/>
        </w:rPr>
      </w:pPr>
      <w:r w:rsidRPr="00D838C4">
        <w:rPr>
          <w:szCs w:val="22"/>
        </w:rPr>
        <w:t>Innovate and continuously improve</w:t>
      </w:r>
    </w:p>
    <w:p w14:paraId="6F1EC452" w14:textId="3CEBD640" w:rsidR="00536535" w:rsidRDefault="4887307E" w:rsidP="005A79ED">
      <w:pPr>
        <w:pStyle w:val="Heading2"/>
      </w:pPr>
      <w:bookmarkStart w:id="7" w:name="_Toc153550370"/>
      <w:bookmarkEnd w:id="6"/>
      <w:r>
        <w:t>Structure of this report</w:t>
      </w:r>
      <w:bookmarkEnd w:id="7"/>
    </w:p>
    <w:p w14:paraId="2D88BE1A" w14:textId="50167F73" w:rsidR="004E22B7" w:rsidRDefault="00B13E5F" w:rsidP="23B264BB">
      <w:pPr>
        <w:spacing w:before="0" w:after="0" w:line="240" w:lineRule="auto"/>
        <w:rPr>
          <w:szCs w:val="22"/>
        </w:rPr>
      </w:pPr>
      <w:r w:rsidRPr="00D838C4">
        <w:rPr>
          <w:szCs w:val="22"/>
        </w:rPr>
        <w:t>We have outlined notable activities in this report</w:t>
      </w:r>
      <w:r w:rsidR="00E539E8">
        <w:rPr>
          <w:szCs w:val="22"/>
        </w:rPr>
        <w:t>,</w:t>
      </w:r>
      <w:r w:rsidRPr="00D838C4">
        <w:rPr>
          <w:szCs w:val="22"/>
        </w:rPr>
        <w:t xml:space="preserve"> across </w:t>
      </w:r>
      <w:r w:rsidR="00092E48" w:rsidRPr="00D838C4">
        <w:rPr>
          <w:szCs w:val="22"/>
        </w:rPr>
        <w:t xml:space="preserve">41 </w:t>
      </w:r>
      <w:r w:rsidRPr="00D838C4">
        <w:rPr>
          <w:szCs w:val="22"/>
        </w:rPr>
        <w:t>focus areas</w:t>
      </w:r>
      <w:r w:rsidR="007700C4" w:rsidRPr="00D838C4">
        <w:rPr>
          <w:szCs w:val="22"/>
        </w:rPr>
        <w:t xml:space="preserve"> </w:t>
      </w:r>
      <w:r w:rsidR="002F77EC" w:rsidRPr="00D838C4">
        <w:rPr>
          <w:szCs w:val="22"/>
        </w:rPr>
        <w:t>correspond</w:t>
      </w:r>
      <w:r w:rsidR="00E539E8">
        <w:rPr>
          <w:szCs w:val="22"/>
        </w:rPr>
        <w:t>ing</w:t>
      </w:r>
      <w:r w:rsidR="002F77EC" w:rsidRPr="00D838C4">
        <w:rPr>
          <w:szCs w:val="22"/>
        </w:rPr>
        <w:t xml:space="preserve"> </w:t>
      </w:r>
      <w:r w:rsidR="007700C4" w:rsidRPr="00D838C4">
        <w:rPr>
          <w:szCs w:val="22"/>
        </w:rPr>
        <w:t xml:space="preserve">to the </w:t>
      </w:r>
      <w:r w:rsidR="008E0478">
        <w:rPr>
          <w:szCs w:val="22"/>
        </w:rPr>
        <w:t xml:space="preserve">four </w:t>
      </w:r>
      <w:r w:rsidR="007700C4" w:rsidRPr="00D838C4">
        <w:rPr>
          <w:szCs w:val="22"/>
        </w:rPr>
        <w:t xml:space="preserve">strategic objectives. </w:t>
      </w:r>
      <w:r w:rsidR="00B069CE" w:rsidRPr="000857BE">
        <w:rPr>
          <w:szCs w:val="22"/>
        </w:rPr>
        <w:t>Each strategic objective has several performance indicators</w:t>
      </w:r>
      <w:r w:rsidR="00E46035" w:rsidRPr="000857BE">
        <w:rPr>
          <w:szCs w:val="22"/>
        </w:rPr>
        <w:t xml:space="preserve"> against which we report our activities</w:t>
      </w:r>
      <w:r w:rsidR="003860E0">
        <w:rPr>
          <w:szCs w:val="22"/>
        </w:rPr>
        <w:t>.</w:t>
      </w:r>
    </w:p>
    <w:p w14:paraId="6363D09A" w14:textId="77777777" w:rsidR="004E22B7" w:rsidRDefault="004E22B7" w:rsidP="23B264BB">
      <w:pPr>
        <w:spacing w:before="0" w:after="0" w:line="240" w:lineRule="auto"/>
        <w:rPr>
          <w:szCs w:val="22"/>
        </w:rPr>
      </w:pPr>
    </w:p>
    <w:p w14:paraId="1ADCF66A" w14:textId="2D249C47" w:rsidR="009D6ABA" w:rsidRPr="00D838C4" w:rsidRDefault="00B919AE" w:rsidP="23B264BB">
      <w:pPr>
        <w:spacing w:before="0" w:after="0" w:line="240" w:lineRule="auto"/>
        <w:rPr>
          <w:szCs w:val="22"/>
        </w:rPr>
      </w:pPr>
      <w:r>
        <w:rPr>
          <w:szCs w:val="22"/>
        </w:rPr>
        <w:t>D</w:t>
      </w:r>
      <w:r w:rsidRPr="00D838C4">
        <w:rPr>
          <w:szCs w:val="22"/>
        </w:rPr>
        <w:t>ue to the breadth and volume of work</w:t>
      </w:r>
      <w:r>
        <w:rPr>
          <w:szCs w:val="22"/>
        </w:rPr>
        <w:t>,</w:t>
      </w:r>
      <w:r w:rsidRPr="00D838C4">
        <w:rPr>
          <w:szCs w:val="22"/>
        </w:rPr>
        <w:t xml:space="preserve"> </w:t>
      </w:r>
      <w:r>
        <w:rPr>
          <w:szCs w:val="22"/>
        </w:rPr>
        <w:t>i</w:t>
      </w:r>
      <w:r w:rsidR="00B13E5F" w:rsidRPr="00D838C4">
        <w:rPr>
          <w:szCs w:val="22"/>
        </w:rPr>
        <w:t xml:space="preserve">t is not possible to mention all activities </w:t>
      </w:r>
      <w:r w:rsidR="000F62F0">
        <w:rPr>
          <w:szCs w:val="22"/>
        </w:rPr>
        <w:t xml:space="preserve">and achievements </w:t>
      </w:r>
      <w:r w:rsidR="00B038E8" w:rsidRPr="00D838C4">
        <w:rPr>
          <w:szCs w:val="22"/>
        </w:rPr>
        <w:t>during the 2022-23 financial year</w:t>
      </w:r>
      <w:r w:rsidR="00A85400">
        <w:rPr>
          <w:szCs w:val="22"/>
        </w:rPr>
        <w:t xml:space="preserve">. </w:t>
      </w:r>
      <w:r w:rsidR="007B2DB9">
        <w:rPr>
          <w:szCs w:val="22"/>
        </w:rPr>
        <w:t>W</w:t>
      </w:r>
      <w:r w:rsidR="00E34802" w:rsidRPr="00D838C4">
        <w:rPr>
          <w:szCs w:val="22"/>
        </w:rPr>
        <w:t>e</w:t>
      </w:r>
      <w:r w:rsidR="00391B6F" w:rsidRPr="00D838C4">
        <w:rPr>
          <w:szCs w:val="22"/>
        </w:rPr>
        <w:t xml:space="preserve"> regularly provide updates on our activities and achievements through </w:t>
      </w:r>
      <w:r w:rsidR="0084651C" w:rsidRPr="00D838C4">
        <w:rPr>
          <w:szCs w:val="22"/>
        </w:rPr>
        <w:t xml:space="preserve">various external mechanisms including the TGA website, </w:t>
      </w:r>
      <w:r w:rsidR="000F5B82" w:rsidRPr="00D838C4">
        <w:rPr>
          <w:szCs w:val="22"/>
        </w:rPr>
        <w:t xml:space="preserve">email newsletters, social media, </w:t>
      </w:r>
      <w:r w:rsidR="00137F03" w:rsidRPr="00D838C4">
        <w:rPr>
          <w:szCs w:val="22"/>
        </w:rPr>
        <w:t>events</w:t>
      </w:r>
      <w:r w:rsidR="0048769C" w:rsidRPr="00D838C4">
        <w:rPr>
          <w:szCs w:val="22"/>
        </w:rPr>
        <w:t xml:space="preserve">, webinars and various stakeholder forums. </w:t>
      </w:r>
      <w:r w:rsidR="0040348E" w:rsidRPr="00D838C4">
        <w:rPr>
          <w:szCs w:val="22"/>
        </w:rPr>
        <w:t xml:space="preserve"> </w:t>
      </w:r>
    </w:p>
    <w:p w14:paraId="3B4915BC" w14:textId="77777777" w:rsidR="005A79ED" w:rsidRDefault="005A79ED" w:rsidP="23B264BB">
      <w:pPr>
        <w:spacing w:before="0" w:after="0" w:line="240" w:lineRule="auto"/>
        <w:rPr>
          <w:szCs w:val="22"/>
        </w:rPr>
      </w:pPr>
    </w:p>
    <w:p w14:paraId="62093DC3" w14:textId="3CFC6F5D" w:rsidR="00A35E2A" w:rsidRPr="00D838C4" w:rsidRDefault="00A35E2A" w:rsidP="23B264BB">
      <w:pPr>
        <w:spacing w:before="0" w:after="0" w:line="240" w:lineRule="auto"/>
        <w:rPr>
          <w:szCs w:val="22"/>
        </w:rPr>
      </w:pPr>
      <w:r w:rsidRPr="00D838C4">
        <w:rPr>
          <w:szCs w:val="22"/>
        </w:rPr>
        <w:t>Th</w:t>
      </w:r>
      <w:r w:rsidR="00AA236E" w:rsidRPr="00D838C4">
        <w:rPr>
          <w:szCs w:val="22"/>
        </w:rPr>
        <w:t>is</w:t>
      </w:r>
      <w:r w:rsidRPr="00D838C4">
        <w:rPr>
          <w:szCs w:val="22"/>
        </w:rPr>
        <w:t xml:space="preserve"> </w:t>
      </w:r>
      <w:r w:rsidR="00AA236E" w:rsidRPr="00D838C4">
        <w:rPr>
          <w:szCs w:val="22"/>
        </w:rPr>
        <w:t xml:space="preserve">report contains performance </w:t>
      </w:r>
      <w:r w:rsidRPr="00D838C4">
        <w:rPr>
          <w:szCs w:val="22"/>
        </w:rPr>
        <w:t>statistics</w:t>
      </w:r>
      <w:r w:rsidR="00C42460" w:rsidRPr="00D838C4">
        <w:rPr>
          <w:szCs w:val="22"/>
        </w:rPr>
        <w:t xml:space="preserve"> in the appendices</w:t>
      </w:r>
      <w:r w:rsidRPr="00D838C4">
        <w:rPr>
          <w:szCs w:val="22"/>
        </w:rPr>
        <w:t xml:space="preserve"> </w:t>
      </w:r>
      <w:r w:rsidR="00A90165" w:rsidRPr="00D838C4">
        <w:rPr>
          <w:szCs w:val="22"/>
        </w:rPr>
        <w:t>covering the period</w:t>
      </w:r>
      <w:r w:rsidRPr="00D838C4">
        <w:rPr>
          <w:szCs w:val="22"/>
        </w:rPr>
        <w:t xml:space="preserve"> 1 July 2022 to 30 June 2023. </w:t>
      </w:r>
      <w:r w:rsidR="00A86CEF" w:rsidRPr="00D838C4">
        <w:rPr>
          <w:szCs w:val="22"/>
        </w:rPr>
        <w:t xml:space="preserve">These statistics are </w:t>
      </w:r>
      <w:r w:rsidR="00C044E9" w:rsidRPr="00D838C4">
        <w:rPr>
          <w:szCs w:val="22"/>
        </w:rPr>
        <w:t xml:space="preserve">arranged into product themes and </w:t>
      </w:r>
      <w:r w:rsidR="00050A8C" w:rsidRPr="00D838C4">
        <w:rPr>
          <w:szCs w:val="22"/>
        </w:rPr>
        <w:t xml:space="preserve">work </w:t>
      </w:r>
      <w:r w:rsidR="007A0E7C" w:rsidRPr="00D838C4">
        <w:rPr>
          <w:szCs w:val="22"/>
        </w:rPr>
        <w:t>programs and</w:t>
      </w:r>
      <w:r w:rsidR="00050A8C" w:rsidRPr="00D838C4">
        <w:rPr>
          <w:szCs w:val="22"/>
        </w:rPr>
        <w:t xml:space="preserve"> </w:t>
      </w:r>
      <w:r w:rsidR="00877524" w:rsidRPr="00D838C4">
        <w:rPr>
          <w:szCs w:val="22"/>
        </w:rPr>
        <w:t xml:space="preserve">may </w:t>
      </w:r>
      <w:r w:rsidR="00710BDA" w:rsidRPr="00D838C4">
        <w:rPr>
          <w:szCs w:val="22"/>
        </w:rPr>
        <w:t xml:space="preserve">include outcomes </w:t>
      </w:r>
      <w:r w:rsidR="00877524" w:rsidRPr="00D838C4">
        <w:rPr>
          <w:szCs w:val="22"/>
        </w:rPr>
        <w:t>associated with key performance indicators and other performance targets.</w:t>
      </w:r>
    </w:p>
    <w:p w14:paraId="6C5EF249" w14:textId="77777777" w:rsidR="00597991" w:rsidRPr="00D838C4" w:rsidRDefault="00597991" w:rsidP="00590A01">
      <w:pPr>
        <w:spacing w:before="0" w:after="0" w:line="240" w:lineRule="auto"/>
        <w:rPr>
          <w:szCs w:val="22"/>
        </w:rPr>
      </w:pPr>
    </w:p>
    <w:p w14:paraId="3DCD7BA9" w14:textId="29491654" w:rsidR="00D5138D" w:rsidRDefault="00FA39BA" w:rsidP="00590A01">
      <w:pPr>
        <w:spacing w:before="0" w:after="0" w:line="240" w:lineRule="auto"/>
        <w:rPr>
          <w:szCs w:val="22"/>
        </w:rPr>
      </w:pPr>
      <w:r>
        <w:rPr>
          <w:szCs w:val="22"/>
        </w:rPr>
        <w:t>S</w:t>
      </w:r>
      <w:r w:rsidR="00E12AE4" w:rsidRPr="00D838C4">
        <w:rPr>
          <w:szCs w:val="22"/>
        </w:rPr>
        <w:t>everal useful documents can be read in conjunction with this report</w:t>
      </w:r>
      <w:r>
        <w:rPr>
          <w:szCs w:val="22"/>
        </w:rPr>
        <w:t>. Thes</w:t>
      </w:r>
      <w:r w:rsidR="007E56BC">
        <w:rPr>
          <w:szCs w:val="22"/>
        </w:rPr>
        <w:t>e</w:t>
      </w:r>
      <w:r>
        <w:rPr>
          <w:szCs w:val="22"/>
        </w:rPr>
        <w:t xml:space="preserve"> include</w:t>
      </w:r>
      <w:r w:rsidR="00E12AE4" w:rsidRPr="00D838C4">
        <w:rPr>
          <w:szCs w:val="22"/>
        </w:rPr>
        <w:t xml:space="preserve"> the annual </w:t>
      </w:r>
      <w:hyperlink r:id="rId15" w:history="1">
        <w:r w:rsidR="00E12AE4" w:rsidRPr="00BF7122">
          <w:rPr>
            <w:rStyle w:val="Hyperlink"/>
            <w:szCs w:val="22"/>
          </w:rPr>
          <w:t>TGA Stakeholder Survey</w:t>
        </w:r>
      </w:hyperlink>
      <w:r w:rsidR="00FF0580">
        <w:rPr>
          <w:szCs w:val="22"/>
        </w:rPr>
        <w:t xml:space="preserve">, </w:t>
      </w:r>
      <w:hyperlink r:id="rId16" w:history="1">
        <w:r w:rsidR="00FF0580" w:rsidRPr="00EF734E">
          <w:rPr>
            <w:rStyle w:val="Hyperlink"/>
            <w:szCs w:val="22"/>
          </w:rPr>
          <w:t>Therapeutic goods advertising compliance: 2022-23 Annual Report</w:t>
        </w:r>
      </w:hyperlink>
      <w:r w:rsidR="00C5741A">
        <w:rPr>
          <w:szCs w:val="22"/>
        </w:rPr>
        <w:t xml:space="preserve">, </w:t>
      </w:r>
      <w:hyperlink r:id="rId17" w:history="1">
        <w:r w:rsidR="00C5741A" w:rsidRPr="00010F1C">
          <w:rPr>
            <w:rStyle w:val="Hyperlink"/>
            <w:szCs w:val="22"/>
          </w:rPr>
          <w:t>TGA international engagement strategy</w:t>
        </w:r>
      </w:hyperlink>
      <w:r w:rsidR="00A85400">
        <w:rPr>
          <w:szCs w:val="22"/>
        </w:rPr>
        <w:t xml:space="preserve">, </w:t>
      </w:r>
      <w:r w:rsidR="006C120D">
        <w:rPr>
          <w:szCs w:val="22"/>
        </w:rPr>
        <w:t xml:space="preserve">the </w:t>
      </w:r>
      <w:hyperlink r:id="rId18" w:history="1">
        <w:r w:rsidR="006C120D" w:rsidRPr="009C4D2B">
          <w:rPr>
            <w:rStyle w:val="Hyperlink"/>
            <w:szCs w:val="22"/>
          </w:rPr>
          <w:t>Regulatory science strategy 2020-2025</w:t>
        </w:r>
      </w:hyperlink>
      <w:r w:rsidR="00A85400">
        <w:rPr>
          <w:szCs w:val="22"/>
        </w:rPr>
        <w:t xml:space="preserve">, the </w:t>
      </w:r>
      <w:hyperlink r:id="rId19" w:history="1">
        <w:r w:rsidR="00A85400" w:rsidRPr="00A85400">
          <w:rPr>
            <w:rStyle w:val="Hyperlink"/>
            <w:szCs w:val="22"/>
          </w:rPr>
          <w:t>Budget Paper No. 2: Budget Measures</w:t>
        </w:r>
      </w:hyperlink>
      <w:r w:rsidR="00A85400">
        <w:rPr>
          <w:szCs w:val="22"/>
        </w:rPr>
        <w:t xml:space="preserve"> and the </w:t>
      </w:r>
      <w:hyperlink r:id="rId20" w:history="1">
        <w:r w:rsidR="00A85400" w:rsidRPr="00A85400">
          <w:rPr>
            <w:rStyle w:val="Hyperlink"/>
            <w:szCs w:val="22"/>
          </w:rPr>
          <w:t>TGA Business Plan 2022-23</w:t>
        </w:r>
      </w:hyperlink>
      <w:r w:rsidR="00A85400">
        <w:rPr>
          <w:szCs w:val="22"/>
        </w:rPr>
        <w:t>.</w:t>
      </w:r>
    </w:p>
    <w:p w14:paraId="0517D511" w14:textId="77777777" w:rsidR="00D6581B" w:rsidRDefault="00D6581B">
      <w:pPr>
        <w:spacing w:before="0" w:after="160" w:line="259" w:lineRule="auto"/>
        <w:rPr>
          <w:szCs w:val="22"/>
        </w:rPr>
      </w:pPr>
    </w:p>
    <w:p w14:paraId="3C9B06DA" w14:textId="49B06778" w:rsidR="00D5138D" w:rsidRDefault="00D5138D">
      <w:pPr>
        <w:spacing w:before="0" w:after="160" w:line="259" w:lineRule="auto"/>
        <w:rPr>
          <w:szCs w:val="22"/>
        </w:rPr>
      </w:pPr>
      <w:r>
        <w:rPr>
          <w:szCs w:val="22"/>
        </w:rPr>
        <w:br w:type="page"/>
      </w:r>
    </w:p>
    <w:p w14:paraId="7904AF2A" w14:textId="0D335F6E" w:rsidR="00B94BC0" w:rsidRPr="00517232" w:rsidRDefault="67ED6232" w:rsidP="004D3E79">
      <w:pPr>
        <w:pStyle w:val="Heading1"/>
      </w:pPr>
      <w:bookmarkStart w:id="8" w:name="_Toc153550371"/>
      <w:r>
        <w:lastRenderedPageBreak/>
        <w:t>Strategic objective 1 – Improve public health outcomes through regulation</w:t>
      </w:r>
      <w:bookmarkEnd w:id="8"/>
      <w:r>
        <w:t xml:space="preserve"> </w:t>
      </w:r>
    </w:p>
    <w:p w14:paraId="67D769C5" w14:textId="143A7D37" w:rsidR="003C6F4B" w:rsidRPr="00C60C0D" w:rsidRDefault="00B20F90" w:rsidP="00C25F7E">
      <w:r>
        <w:t>As the national regulator for therapeutic goods</w:t>
      </w:r>
      <w:r w:rsidR="00331B62">
        <w:t>,</w:t>
      </w:r>
      <w:r>
        <w:t xml:space="preserve"> we</w:t>
      </w:r>
      <w:r w:rsidR="001C5AE2" w:rsidRPr="00AC0ED5">
        <w:t xml:space="preserve"> strive to </w:t>
      </w:r>
      <w:r w:rsidR="002D7B94">
        <w:t xml:space="preserve">maintain </w:t>
      </w:r>
      <w:r w:rsidR="009F50D0">
        <w:t>Australia’s</w:t>
      </w:r>
      <w:r w:rsidR="00C60C0D">
        <w:t xml:space="preserve"> highly regarded</w:t>
      </w:r>
      <w:r w:rsidR="009F50D0">
        <w:t xml:space="preserve"> r</w:t>
      </w:r>
      <w:r w:rsidR="004302AB">
        <w:t>eputation</w:t>
      </w:r>
      <w:r w:rsidR="00A53651">
        <w:t xml:space="preserve"> </w:t>
      </w:r>
      <w:r w:rsidR="002D7B94">
        <w:t>for</w:t>
      </w:r>
      <w:r w:rsidR="001C5AE2" w:rsidRPr="00AC0ED5">
        <w:t xml:space="preserve"> improv</w:t>
      </w:r>
      <w:r w:rsidR="00C60C0D">
        <w:t>ing</w:t>
      </w:r>
      <w:r w:rsidR="001C5AE2" w:rsidRPr="00AC0ED5">
        <w:t xml:space="preserve"> public health outcomes through </w:t>
      </w:r>
      <w:r w:rsidR="00A85400">
        <w:t>risk-based</w:t>
      </w:r>
      <w:r w:rsidR="00291374">
        <w:t xml:space="preserve"> </w:t>
      </w:r>
      <w:r w:rsidR="001C5AE2" w:rsidRPr="00AC0ED5">
        <w:t xml:space="preserve">regulation. We achieve this by delivering timely product approvals and regulatory assessments </w:t>
      </w:r>
      <w:r w:rsidR="003A1019">
        <w:t>and</w:t>
      </w:r>
      <w:r w:rsidR="001C5AE2" w:rsidRPr="00AC0ED5">
        <w:t xml:space="preserve"> </w:t>
      </w:r>
      <w:r w:rsidR="009060DF">
        <w:t>w</w:t>
      </w:r>
      <w:r w:rsidR="004D3124">
        <w:t>ork to quickly establish the safety of</w:t>
      </w:r>
      <w:r w:rsidR="001C5AE2" w:rsidRPr="00AC0ED5">
        <w:t xml:space="preserve"> </w:t>
      </w:r>
      <w:r w:rsidR="7DA34F24" w:rsidRPr="00AC0ED5">
        <w:t>existing and</w:t>
      </w:r>
      <w:r w:rsidR="001C5AE2" w:rsidRPr="00AC0ED5">
        <w:t xml:space="preserve"> emerging technologies and innovative therapies to respond to public health needs. To encompass this whole process, we </w:t>
      </w:r>
      <w:r w:rsidR="003A1019">
        <w:t>monitor and improve</w:t>
      </w:r>
      <w:r w:rsidR="003A5008">
        <w:t xml:space="preserve"> our regulatory system </w:t>
      </w:r>
      <w:r w:rsidR="00D61540">
        <w:t>as new information emerges</w:t>
      </w:r>
      <w:r w:rsidR="00321528">
        <w:t xml:space="preserve">, and </w:t>
      </w:r>
      <w:r w:rsidR="001C5AE2" w:rsidRPr="00AC0ED5">
        <w:t xml:space="preserve">ensure regulatory issues and risks </w:t>
      </w:r>
      <w:r w:rsidR="007E5A1D">
        <w:t>are resolved</w:t>
      </w:r>
      <w:r w:rsidR="001C5AE2" w:rsidRPr="00AC0ED5">
        <w:t xml:space="preserve"> through policy </w:t>
      </w:r>
      <w:r w:rsidR="005A0AC0">
        <w:t>responses</w:t>
      </w:r>
      <w:r w:rsidR="005A0AC0" w:rsidRPr="00AC0ED5">
        <w:t xml:space="preserve"> </w:t>
      </w:r>
      <w:r w:rsidR="001C5AE2" w:rsidRPr="00AC0ED5">
        <w:t>and process improvements.</w:t>
      </w:r>
    </w:p>
    <w:p w14:paraId="4429A2A7" w14:textId="74960EE1" w:rsidR="00B94BC0" w:rsidRPr="000D0C8D" w:rsidRDefault="67ED6232" w:rsidP="003A0F7A">
      <w:pPr>
        <w:pStyle w:val="Heading2"/>
      </w:pPr>
      <w:bookmarkStart w:id="9" w:name="_Toc153550372"/>
      <w:r>
        <w:t>Performance Indicators</w:t>
      </w:r>
      <w:bookmarkEnd w:id="9"/>
      <w:r w:rsidR="18113EF4">
        <w:t xml:space="preserve"> </w:t>
      </w:r>
    </w:p>
    <w:p w14:paraId="37A910AC" w14:textId="7DF076B9" w:rsidR="00B94BC0" w:rsidRPr="00D838C4" w:rsidRDefault="00B94BC0" w:rsidP="0048391F">
      <w:pPr>
        <w:ind w:left="720" w:hanging="720"/>
        <w:rPr>
          <w:rFonts w:cs="Arial"/>
          <w:szCs w:val="22"/>
        </w:rPr>
      </w:pPr>
      <w:r w:rsidRPr="00D838C4">
        <w:rPr>
          <w:rFonts w:cs="Arial"/>
          <w:szCs w:val="22"/>
        </w:rPr>
        <w:t>1.1</w:t>
      </w:r>
      <w:r w:rsidRPr="00D838C4">
        <w:rPr>
          <w:rFonts w:cs="Arial"/>
          <w:szCs w:val="22"/>
        </w:rPr>
        <w:tab/>
        <w:t>Product approvals and regulatory assessments are delivered in accordance with statutory timeframes and non-statutory targets.</w:t>
      </w:r>
    </w:p>
    <w:p w14:paraId="296BE672" w14:textId="49181971" w:rsidR="00B94BC0" w:rsidRPr="00D838C4" w:rsidRDefault="00B94BC0" w:rsidP="0048391F">
      <w:pPr>
        <w:ind w:left="720" w:hanging="720"/>
        <w:rPr>
          <w:rFonts w:cs="Arial"/>
          <w:szCs w:val="22"/>
        </w:rPr>
      </w:pPr>
      <w:r w:rsidRPr="00D838C4">
        <w:rPr>
          <w:rFonts w:cs="Arial"/>
          <w:szCs w:val="22"/>
        </w:rPr>
        <w:t xml:space="preserve">1.2 </w:t>
      </w:r>
      <w:r w:rsidRPr="00D838C4">
        <w:rPr>
          <w:rFonts w:cs="Arial"/>
          <w:szCs w:val="22"/>
        </w:rPr>
        <w:tab/>
        <w:t>Provide timely access to innovative therapies and emerging technologies that respond to public health needs.</w:t>
      </w:r>
    </w:p>
    <w:p w14:paraId="32EE7BAD" w14:textId="393DDB91" w:rsidR="00F8620C" w:rsidRPr="00D838C4" w:rsidRDefault="00B94BC0" w:rsidP="0048391F">
      <w:pPr>
        <w:ind w:left="720" w:hanging="720"/>
        <w:rPr>
          <w:rFonts w:cs="Arial"/>
          <w:szCs w:val="22"/>
        </w:rPr>
      </w:pPr>
      <w:r w:rsidRPr="1BAF5FCA">
        <w:rPr>
          <w:rFonts w:cs="Arial"/>
        </w:rPr>
        <w:t xml:space="preserve">1.3 </w:t>
      </w:r>
      <w:r>
        <w:tab/>
      </w:r>
      <w:r w:rsidRPr="1BAF5FCA">
        <w:rPr>
          <w:rFonts w:cs="Arial"/>
        </w:rPr>
        <w:t>Propose and support design of regulatory reforms when evidence of value and real</w:t>
      </w:r>
      <w:r w:rsidR="002012CC" w:rsidRPr="1BAF5FCA">
        <w:rPr>
          <w:rFonts w:cs="Arial"/>
        </w:rPr>
        <w:t xml:space="preserve"> </w:t>
      </w:r>
      <w:r w:rsidRPr="1BAF5FCA">
        <w:rPr>
          <w:rFonts w:cs="Arial"/>
        </w:rPr>
        <w:t>benefit is determined, or when risks can be appropriately managed.</w:t>
      </w:r>
    </w:p>
    <w:p w14:paraId="6D8FE4AB" w14:textId="4CCE5A04" w:rsidR="1BAF5FCA" w:rsidRDefault="4D1E4589" w:rsidP="007E7468">
      <w:pPr>
        <w:pStyle w:val="Heading3"/>
        <w:rPr>
          <w:highlight w:val="yellow"/>
        </w:rPr>
      </w:pPr>
      <w:bookmarkStart w:id="10" w:name="_Toc153550373"/>
      <w:r w:rsidRPr="000E5FCF">
        <w:t>Insights from the TGA Stakeholder Survey</w:t>
      </w:r>
      <w:bookmarkEnd w:id="10"/>
    </w:p>
    <w:p w14:paraId="451FF1BE" w14:textId="7926608D" w:rsidR="09926CDC" w:rsidRDefault="09926CDC" w:rsidP="3E8D5CE1">
      <w:pPr>
        <w:spacing w:after="180"/>
        <w:rPr>
          <w:rFonts w:eastAsia="Arial" w:cs="Arial"/>
        </w:rPr>
      </w:pPr>
      <w:r w:rsidRPr="123BF59F">
        <w:rPr>
          <w:rFonts w:eastAsia="Arial" w:cs="Arial"/>
        </w:rPr>
        <w:t xml:space="preserve">The TGA conducts an annual stakeholder survey to improve the way we work with our stakeholders and </w:t>
      </w:r>
      <w:r w:rsidR="00DB7047">
        <w:rPr>
          <w:rFonts w:eastAsia="Arial" w:cs="Arial"/>
        </w:rPr>
        <w:t>to assist</w:t>
      </w:r>
      <w:r w:rsidRPr="123BF59F">
        <w:rPr>
          <w:rFonts w:eastAsia="Arial" w:cs="Arial"/>
        </w:rPr>
        <w:t xml:space="preserve"> report</w:t>
      </w:r>
      <w:r w:rsidR="00DB7047">
        <w:rPr>
          <w:rFonts w:eastAsia="Arial" w:cs="Arial"/>
        </w:rPr>
        <w:t>ing</w:t>
      </w:r>
      <w:r w:rsidRPr="123BF59F">
        <w:rPr>
          <w:rFonts w:eastAsia="Arial" w:cs="Arial"/>
        </w:rPr>
        <w:t xml:space="preserve"> on our key performance indicators</w:t>
      </w:r>
      <w:r w:rsidR="7411D01F" w:rsidRPr="123BF59F">
        <w:rPr>
          <w:rFonts w:eastAsia="Arial" w:cs="Arial"/>
        </w:rPr>
        <w:t>. In 2023</w:t>
      </w:r>
      <w:r w:rsidR="00CB69D1">
        <w:rPr>
          <w:rFonts w:eastAsia="Arial" w:cs="Arial"/>
        </w:rPr>
        <w:t>,</w:t>
      </w:r>
      <w:r w:rsidR="7411D01F" w:rsidRPr="123BF59F">
        <w:rPr>
          <w:rFonts w:eastAsia="Arial" w:cs="Arial"/>
        </w:rPr>
        <w:t xml:space="preserve"> we survey</w:t>
      </w:r>
      <w:r w:rsidR="00CB69D1">
        <w:rPr>
          <w:rFonts w:eastAsia="Arial" w:cs="Arial"/>
        </w:rPr>
        <w:t>ed</w:t>
      </w:r>
      <w:r w:rsidR="7411D01F" w:rsidRPr="123BF59F">
        <w:rPr>
          <w:rFonts w:eastAsia="Arial" w:cs="Arial"/>
        </w:rPr>
        <w:t xml:space="preserve"> about 1,000 consumers, 186 health professionals and </w:t>
      </w:r>
      <w:r w:rsidR="0D0DD59D" w:rsidRPr="123BF59F">
        <w:rPr>
          <w:rFonts w:eastAsia="Arial" w:cs="Arial"/>
        </w:rPr>
        <w:t>1,759 stakeholders with a TGA Business Services account</w:t>
      </w:r>
      <w:r w:rsidR="47C14D49" w:rsidRPr="123BF59F">
        <w:rPr>
          <w:rFonts w:eastAsia="Arial" w:cs="Arial"/>
        </w:rPr>
        <w:t>, many of whom have roles</w:t>
      </w:r>
      <w:r w:rsidR="0D0DD59D" w:rsidRPr="123BF59F">
        <w:rPr>
          <w:rFonts w:eastAsia="Arial" w:cs="Arial"/>
        </w:rPr>
        <w:t xml:space="preserve"> directly associated </w:t>
      </w:r>
      <w:r w:rsidR="7BCF6979" w:rsidRPr="123BF59F">
        <w:rPr>
          <w:rFonts w:eastAsia="Arial" w:cs="Arial"/>
        </w:rPr>
        <w:t xml:space="preserve">with the medical products industry. </w:t>
      </w:r>
    </w:p>
    <w:p w14:paraId="2D3811F6" w14:textId="2DB56401" w:rsidR="0C2AEAA9" w:rsidRDefault="0C2AEAA9" w:rsidP="71241107">
      <w:pPr>
        <w:spacing w:after="180"/>
        <w:rPr>
          <w:rFonts w:eastAsia="Arial" w:cs="Arial"/>
          <w:szCs w:val="22"/>
        </w:rPr>
      </w:pPr>
      <w:r w:rsidRPr="71241107">
        <w:rPr>
          <w:rFonts w:eastAsia="Arial" w:cs="Arial"/>
          <w:szCs w:val="22"/>
        </w:rPr>
        <w:t xml:space="preserve">In performance indicator 1.2, we assess our success at providing </w:t>
      </w:r>
      <w:r w:rsidRPr="71241107">
        <w:rPr>
          <w:rFonts w:cs="Arial"/>
        </w:rPr>
        <w:t xml:space="preserve">timely access to innovative therapies and emerging technologies that respond to public health needs. </w:t>
      </w:r>
      <w:r w:rsidR="67138B71" w:rsidRPr="71241107">
        <w:rPr>
          <w:rFonts w:cs="Arial"/>
        </w:rPr>
        <w:t>In our stakeholder survey, w</w:t>
      </w:r>
      <w:r w:rsidR="7A7DF308" w:rsidRPr="71241107">
        <w:rPr>
          <w:rFonts w:eastAsia="Arial" w:cs="Arial"/>
          <w:szCs w:val="22"/>
        </w:rPr>
        <w:t xml:space="preserve">e asked respondents who were aware of the TGA to indicate whether they agree or disagree with the statement, ‘The TGA gets the balance right between safety for consumers and access to products’. </w:t>
      </w:r>
    </w:p>
    <w:p w14:paraId="27B7A3C4" w14:textId="7A580A09" w:rsidR="2F8BE2A5" w:rsidRDefault="00A85400" w:rsidP="123BF59F">
      <w:pPr>
        <w:spacing w:after="180"/>
        <w:rPr>
          <w:rFonts w:eastAsia="Arial" w:cs="Arial"/>
        </w:rPr>
      </w:pPr>
      <w:r>
        <w:rPr>
          <w:rFonts w:eastAsia="Arial" w:cs="Arial"/>
        </w:rPr>
        <w:t>In the survey</w:t>
      </w:r>
      <w:r w:rsidR="2F8BE2A5" w:rsidRPr="123BF59F">
        <w:rPr>
          <w:rFonts w:eastAsia="Arial" w:cs="Arial"/>
        </w:rPr>
        <w:t xml:space="preserve">, 66% </w:t>
      </w:r>
      <w:r w:rsidR="770E6227" w:rsidRPr="123BF59F">
        <w:rPr>
          <w:rFonts w:eastAsia="Arial" w:cs="Arial"/>
        </w:rPr>
        <w:t xml:space="preserve">respondents from the </w:t>
      </w:r>
      <w:r w:rsidR="00E605B1" w:rsidRPr="123BF59F">
        <w:rPr>
          <w:rFonts w:eastAsia="Arial" w:cs="Arial"/>
        </w:rPr>
        <w:t>medical products industry</w:t>
      </w:r>
      <w:r w:rsidR="7250F229" w:rsidRPr="123BF59F">
        <w:rPr>
          <w:rFonts w:eastAsia="Arial" w:cs="Arial"/>
        </w:rPr>
        <w:t xml:space="preserve"> </w:t>
      </w:r>
      <w:r w:rsidR="2F8BE2A5" w:rsidRPr="123BF59F">
        <w:rPr>
          <w:rFonts w:eastAsia="Arial" w:cs="Arial"/>
        </w:rPr>
        <w:t xml:space="preserve">agreed with the statement and 13% disagreed. </w:t>
      </w:r>
      <w:r w:rsidR="63EC77DB" w:rsidRPr="123BF59F">
        <w:rPr>
          <w:rFonts w:eastAsia="Arial" w:cs="Arial"/>
        </w:rPr>
        <w:t xml:space="preserve">The remaining respondents said they ‘neither agree nor disagree’ or were ‘not sure’. </w:t>
      </w:r>
      <w:r w:rsidR="2F8BE2A5" w:rsidRPr="123BF59F">
        <w:rPr>
          <w:rFonts w:eastAsia="Arial" w:cs="Arial"/>
        </w:rPr>
        <w:t>This is consistent with the 2022 survey.</w:t>
      </w:r>
    </w:p>
    <w:p w14:paraId="187C5372" w14:textId="1B2015B9" w:rsidR="7A7DF308" w:rsidRDefault="7DD6D7DA" w:rsidP="123BF59F">
      <w:pPr>
        <w:spacing w:after="180"/>
        <w:rPr>
          <w:rFonts w:eastAsia="Arial" w:cs="Arial"/>
        </w:rPr>
      </w:pPr>
      <w:r w:rsidRPr="123BF59F">
        <w:rPr>
          <w:rFonts w:eastAsia="Arial" w:cs="Arial"/>
        </w:rPr>
        <w:t xml:space="preserve">The majority of health professionals believe the TGA gets the balance right, with 71% agreeing and 9% disagreeing. </w:t>
      </w:r>
      <w:r w:rsidR="7A7DF308" w:rsidRPr="123BF59F">
        <w:rPr>
          <w:rFonts w:eastAsia="Arial" w:cs="Arial"/>
        </w:rPr>
        <w:t xml:space="preserve">Among consumers, 55% agreed that the TGA gets the balance right, with 15% disagreeing. </w:t>
      </w:r>
    </w:p>
    <w:p w14:paraId="2BB9B220" w14:textId="230943CE" w:rsidR="6E557C0C" w:rsidRDefault="7A7DF308" w:rsidP="60FC52BE">
      <w:pPr>
        <w:spacing w:after="180"/>
        <w:rPr>
          <w:rFonts w:eastAsia="Arial" w:cs="Arial"/>
        </w:rPr>
      </w:pPr>
      <w:r w:rsidRPr="60FC52BE">
        <w:rPr>
          <w:rFonts w:eastAsia="Arial" w:cs="Arial"/>
        </w:rPr>
        <w:t>While the results are positive overall, and a level of disagreement is expected given the broad range of therapeutic goods</w:t>
      </w:r>
      <w:r w:rsidR="003421EB">
        <w:rPr>
          <w:rFonts w:eastAsia="Arial" w:cs="Arial"/>
        </w:rPr>
        <w:t xml:space="preserve"> regulated by</w:t>
      </w:r>
      <w:r w:rsidRPr="60FC52BE">
        <w:rPr>
          <w:rFonts w:eastAsia="Arial" w:cs="Arial"/>
        </w:rPr>
        <w:t xml:space="preserve"> the TGA, we will continue to work to ensure stakeholders understand our risk-based approach to regulation</w:t>
      </w:r>
      <w:r w:rsidR="4370B8F8" w:rsidRPr="60FC52BE">
        <w:rPr>
          <w:rFonts w:eastAsia="Arial" w:cs="Arial"/>
        </w:rPr>
        <w:t>.</w:t>
      </w:r>
    </w:p>
    <w:p w14:paraId="1B73324B" w14:textId="3F057DFC" w:rsidR="00455D50" w:rsidRDefault="09BCF560" w:rsidP="003A0F7A">
      <w:pPr>
        <w:pStyle w:val="Heading2"/>
      </w:pPr>
      <w:bookmarkStart w:id="11" w:name="_Toc153550374"/>
      <w:r>
        <w:t>Prioritising evaluations and post</w:t>
      </w:r>
      <w:r w:rsidR="66BEF554">
        <w:t xml:space="preserve"> market safety</w:t>
      </w:r>
      <w:r w:rsidR="3A21A65B">
        <w:t xml:space="preserve"> and performance monitoring of COVID-19 related products</w:t>
      </w:r>
      <w:bookmarkEnd w:id="11"/>
    </w:p>
    <w:p w14:paraId="7DBAEEF4" w14:textId="01191CE7" w:rsidR="008035E9" w:rsidRPr="00CF14A9" w:rsidRDefault="4CE4D3D9" w:rsidP="00CF14A9">
      <w:pPr>
        <w:spacing w:after="120"/>
        <w:rPr>
          <w:b/>
          <w:bCs/>
        </w:rPr>
      </w:pPr>
      <w:r w:rsidRPr="00CF14A9">
        <w:rPr>
          <w:b/>
          <w:bCs/>
        </w:rPr>
        <w:t>We continued to</w:t>
      </w:r>
      <w:r w:rsidR="4EB0427D" w:rsidRPr="00CF14A9">
        <w:rPr>
          <w:b/>
          <w:bCs/>
        </w:rPr>
        <w:t xml:space="preserve"> prioritise evaluations and post-market safety and performance</w:t>
      </w:r>
      <w:r w:rsidR="00CF14A9">
        <w:rPr>
          <w:b/>
          <w:bCs/>
        </w:rPr>
        <w:t xml:space="preserve"> </w:t>
      </w:r>
      <w:r w:rsidR="4EB0427D" w:rsidRPr="00CF14A9">
        <w:rPr>
          <w:b/>
          <w:bCs/>
        </w:rPr>
        <w:t>monitoring of COVID-19 related products, including new medicines and vaccines (and medicines and vaccines for new populations), face masks</w:t>
      </w:r>
      <w:r w:rsidR="002A1B65" w:rsidRPr="00CF14A9">
        <w:rPr>
          <w:b/>
          <w:bCs/>
        </w:rPr>
        <w:t>,</w:t>
      </w:r>
      <w:r w:rsidR="4EB0427D" w:rsidRPr="00CF14A9">
        <w:rPr>
          <w:b/>
          <w:bCs/>
        </w:rPr>
        <w:t xml:space="preserve"> and tests for detecting </w:t>
      </w:r>
      <w:r w:rsidR="4EB0427D" w:rsidRPr="00CF14A9">
        <w:rPr>
          <w:b/>
          <w:bCs/>
        </w:rPr>
        <w:lastRenderedPageBreak/>
        <w:t xml:space="preserve">COVID-19 (including multiplex tests that also detect </w:t>
      </w:r>
      <w:r w:rsidR="00A85400" w:rsidRPr="00CF14A9">
        <w:rPr>
          <w:b/>
          <w:bCs/>
        </w:rPr>
        <w:t>i</w:t>
      </w:r>
      <w:r w:rsidR="4EB0427D" w:rsidRPr="00CF14A9">
        <w:rPr>
          <w:b/>
          <w:bCs/>
        </w:rPr>
        <w:t>nfluenza and other respiratory viruses).</w:t>
      </w:r>
    </w:p>
    <w:p w14:paraId="14D73769" w14:textId="5924C525" w:rsidR="00EF554F" w:rsidRPr="000D0C8D" w:rsidRDefault="00EF554F" w:rsidP="00C25F7E">
      <w:r>
        <w:t>The TGA remain</w:t>
      </w:r>
      <w:r w:rsidR="028323A0">
        <w:t>ed</w:t>
      </w:r>
      <w:r>
        <w:t xml:space="preserve"> at the forefront of the Australian Government’s response to the COVID-19 pandemic</w:t>
      </w:r>
      <w:r w:rsidR="7357A6CF">
        <w:t>. We</w:t>
      </w:r>
      <w:r>
        <w:t xml:space="preserve"> continue to evaluate applications for COVID-19 vaccines and treatments</w:t>
      </w:r>
      <w:r w:rsidR="52AD479C">
        <w:t>,</w:t>
      </w:r>
      <w:r>
        <w:t xml:space="preserve"> including transitions to full registration, extension of indications to younger age groups, strain change vaccines</w:t>
      </w:r>
      <w:r w:rsidR="00E7522D">
        <w:t>,</w:t>
      </w:r>
      <w:r>
        <w:t xml:space="preserve"> and extensions to product shelf life.</w:t>
      </w:r>
    </w:p>
    <w:p w14:paraId="7ABB0450" w14:textId="136C5589" w:rsidR="006B4AB8" w:rsidRPr="00C332E2" w:rsidRDefault="166B1756" w:rsidP="684A10C9">
      <w:pPr>
        <w:rPr>
          <w:rFonts w:eastAsia="Calibri"/>
        </w:rPr>
      </w:pPr>
      <w:r>
        <w:t>Between July 2022 and June 2023, we investigated more than 40 potential safety signals for COVID-19 vaccines, resulting in over 21 regulatory actions, which included 12 safety</w:t>
      </w:r>
      <w:r w:rsidR="00A85400">
        <w:t>-</w:t>
      </w:r>
      <w:r>
        <w:t>related Product Information updates. We</w:t>
      </w:r>
      <w:r w:rsidR="325AEB9E">
        <w:t xml:space="preserve"> also</w:t>
      </w:r>
      <w:r>
        <w:t xml:space="preserve"> prioritised the provisional approval of COVID-19 therapeutic goods</w:t>
      </w:r>
      <w:r w:rsidR="25DAE718">
        <w:t xml:space="preserve"> within the </w:t>
      </w:r>
      <w:r w:rsidR="2EDCF5BF">
        <w:t>timeframes</w:t>
      </w:r>
      <w:r w:rsidR="25DAE718">
        <w:t xml:space="preserve"> stipulated in Figure </w:t>
      </w:r>
      <w:r w:rsidR="1952795B">
        <w:t>1.1</w:t>
      </w:r>
      <w:r w:rsidR="32D39795">
        <w:t>.</w:t>
      </w:r>
    </w:p>
    <w:p w14:paraId="28BED480" w14:textId="062DBB22" w:rsidR="00565D25" w:rsidRDefault="47037F04" w:rsidP="00C2260D">
      <w:pPr>
        <w:pStyle w:val="Caption"/>
        <w:keepNext/>
      </w:pPr>
      <w:r>
        <w:t xml:space="preserve">Figure </w:t>
      </w:r>
      <w:r w:rsidR="4B66D78C">
        <w:t>1.1</w:t>
      </w:r>
      <w:r w:rsidR="56C0E127">
        <w:t>:</w:t>
      </w:r>
      <w:r>
        <w:t xml:space="preserve"> 2022-23 Vaccines provisional approval time</w:t>
      </w:r>
      <w:r w:rsidR="56C0E127">
        <w:t>s</w:t>
      </w:r>
    </w:p>
    <w:p w14:paraId="6335A468" w14:textId="6F04B23E" w:rsidR="001836D5" w:rsidRPr="00840732" w:rsidRDefault="00EA7F2C" w:rsidP="6195C661">
      <w:pPr>
        <w:spacing w:line="240" w:lineRule="auto"/>
        <w:rPr>
          <w:rFonts w:asciiTheme="minorHAnsi" w:hAnsiTheme="minorHAnsi" w:cstheme="minorBidi"/>
        </w:rPr>
      </w:pPr>
      <w:r>
        <w:rPr>
          <w:rFonts w:asciiTheme="minorHAnsi" w:hAnsiTheme="minorHAnsi" w:cstheme="minorBidi"/>
          <w:noProof/>
        </w:rPr>
        <w:drawing>
          <wp:inline distT="0" distB="0" distL="0" distR="0" wp14:anchorId="2236E358" wp14:editId="41969379">
            <wp:extent cx="5860111" cy="2907517"/>
            <wp:effectExtent l="0" t="0" r="7620" b="7620"/>
            <wp:docPr id="7" name="Picture 7" descr="graphic showing provisional approval times for vaccines in working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showing provisional approval times for vaccines in working days. "/>
                    <pic:cNvPicPr/>
                  </pic:nvPicPr>
                  <pic:blipFill>
                    <a:blip r:embed="rId21">
                      <a:extLst>
                        <a:ext uri="{28A0092B-C50C-407E-A947-70E740481C1C}">
                          <a14:useLocalDpi xmlns:a14="http://schemas.microsoft.com/office/drawing/2010/main" val="0"/>
                        </a:ext>
                      </a:extLst>
                    </a:blip>
                    <a:stretch>
                      <a:fillRect/>
                    </a:stretch>
                  </pic:blipFill>
                  <pic:spPr>
                    <a:xfrm>
                      <a:off x="0" y="0"/>
                      <a:ext cx="5876705" cy="2915750"/>
                    </a:xfrm>
                    <a:prstGeom prst="rect">
                      <a:avLst/>
                    </a:prstGeom>
                  </pic:spPr>
                </pic:pic>
              </a:graphicData>
            </a:graphic>
          </wp:inline>
        </w:drawing>
      </w:r>
    </w:p>
    <w:p w14:paraId="4F35128E" w14:textId="59604A50" w:rsidR="00ED4F3A" w:rsidRDefault="001117AA" w:rsidP="684A10C9">
      <w:pPr>
        <w:rPr>
          <w:rFonts w:cs="Arial"/>
        </w:rPr>
      </w:pPr>
      <w:r>
        <w:rPr>
          <w:rFonts w:cs="Arial"/>
        </w:rPr>
        <w:t>I</w:t>
      </w:r>
      <w:r w:rsidRPr="2FD4C3D4">
        <w:rPr>
          <w:rFonts w:cs="Arial"/>
        </w:rPr>
        <w:t>n 63 working days</w:t>
      </w:r>
      <w:r>
        <w:rPr>
          <w:rFonts w:cs="Arial"/>
        </w:rPr>
        <w:t>, w</w:t>
      </w:r>
      <w:r w:rsidR="0093235B" w:rsidRPr="2FD4C3D4">
        <w:rPr>
          <w:rFonts w:cs="Arial"/>
        </w:rPr>
        <w:t>e</w:t>
      </w:r>
      <w:r w:rsidR="006620BD" w:rsidRPr="2FD4C3D4">
        <w:rPr>
          <w:rFonts w:cs="Arial"/>
        </w:rPr>
        <w:t xml:space="preserve"> approved the first transition from provisional to full registration for Moderna’s </w:t>
      </w:r>
      <w:r w:rsidR="20BFAABB" w:rsidRPr="2FD4C3D4">
        <w:rPr>
          <w:rFonts w:cs="Arial"/>
        </w:rPr>
        <w:t>E</w:t>
      </w:r>
      <w:r w:rsidR="006620BD" w:rsidRPr="2FD4C3D4">
        <w:rPr>
          <w:rFonts w:cs="Arial"/>
        </w:rPr>
        <w:t>lasomeran (SPIKEVAX), noting that use in children under 6 years of age remains provisionally approved.</w:t>
      </w:r>
      <w:r w:rsidR="1344D641" w:rsidRPr="2FD4C3D4">
        <w:rPr>
          <w:rFonts w:cs="Arial"/>
        </w:rPr>
        <w:t xml:space="preserve"> </w:t>
      </w:r>
    </w:p>
    <w:p w14:paraId="5507DEA3" w14:textId="71AA1BF2" w:rsidR="00ED4F3A" w:rsidRDefault="00ED4F3A" w:rsidP="684A10C9">
      <w:pPr>
        <w:rPr>
          <w:rFonts w:cs="Arial"/>
        </w:rPr>
      </w:pPr>
      <w:r w:rsidRPr="008A5BA8">
        <w:rPr>
          <w:rFonts w:eastAsiaTheme="minorEastAsia"/>
        </w:rPr>
        <w:t xml:space="preserve">We reviewed 33 </w:t>
      </w:r>
      <w:r w:rsidRPr="7D0019BB">
        <w:rPr>
          <w:rFonts w:eastAsiaTheme="minorEastAsia"/>
        </w:rPr>
        <w:t xml:space="preserve">post-market </w:t>
      </w:r>
      <w:r w:rsidRPr="008A5BA8">
        <w:rPr>
          <w:rFonts w:eastAsiaTheme="minorEastAsia"/>
        </w:rPr>
        <w:t>safety reports for COVID-19 vaccines and treatments.</w:t>
      </w:r>
      <w:r w:rsidRPr="7D0019BB">
        <w:rPr>
          <w:rFonts w:eastAsiaTheme="minorEastAsia"/>
        </w:rPr>
        <w:t xml:space="preserve"> This included 6</w:t>
      </w:r>
      <w:r w:rsidR="00CF63A8">
        <w:rPr>
          <w:rFonts w:eastAsiaTheme="minorEastAsia"/>
        </w:rPr>
        <w:t>-</w:t>
      </w:r>
      <w:r w:rsidRPr="7D0019BB">
        <w:rPr>
          <w:rFonts w:eastAsiaTheme="minorEastAsia"/>
        </w:rPr>
        <w:t>monthly periodic safety update reports and the additional monthly summary safety reports that were requested for COVID-19 products to closely monitor their safety.</w:t>
      </w:r>
    </w:p>
    <w:p w14:paraId="29C84A9E" w14:textId="73803A4E" w:rsidR="00031906" w:rsidRPr="00B4656A" w:rsidRDefault="1344D641" w:rsidP="684A10C9">
      <w:pPr>
        <w:rPr>
          <w:rFonts w:eastAsia="Calibri" w:cs="Arial"/>
          <w:szCs w:val="22"/>
        </w:rPr>
      </w:pPr>
      <w:r w:rsidRPr="2FD4C3D4">
        <w:rPr>
          <w:rFonts w:cs="Arial"/>
        </w:rPr>
        <w:t>C</w:t>
      </w:r>
      <w:r w:rsidR="753F455C" w:rsidRPr="2FD4C3D4">
        <w:rPr>
          <w:rFonts w:cs="Arial"/>
        </w:rPr>
        <w:t>OVID</w:t>
      </w:r>
      <w:r w:rsidR="0C5B17FA" w:rsidRPr="2FD4C3D4">
        <w:rPr>
          <w:rFonts w:cs="Arial"/>
        </w:rPr>
        <w:t>-19</w:t>
      </w:r>
      <w:r w:rsidRPr="2FD4C3D4">
        <w:rPr>
          <w:rFonts w:cs="Arial"/>
        </w:rPr>
        <w:t xml:space="preserve"> test applicati</w:t>
      </w:r>
      <w:r w:rsidR="7B49D7B3" w:rsidRPr="2FD4C3D4">
        <w:rPr>
          <w:rFonts w:cs="Arial"/>
        </w:rPr>
        <w:t>on</w:t>
      </w:r>
      <w:r w:rsidRPr="2FD4C3D4">
        <w:rPr>
          <w:rFonts w:cs="Arial"/>
        </w:rPr>
        <w:t xml:space="preserve">s </w:t>
      </w:r>
      <w:r w:rsidR="6BB3B0B1" w:rsidRPr="2FD4C3D4">
        <w:rPr>
          <w:rFonts w:cs="Arial"/>
        </w:rPr>
        <w:t>continued to be</w:t>
      </w:r>
      <w:r w:rsidRPr="2FD4C3D4">
        <w:rPr>
          <w:rFonts w:cs="Arial"/>
        </w:rPr>
        <w:t xml:space="preserve"> prioritised </w:t>
      </w:r>
      <w:r w:rsidR="00031906" w:rsidRPr="2FD4C3D4">
        <w:rPr>
          <w:rFonts w:cs="Arial"/>
        </w:rPr>
        <w:t>to meet public health need during 20</w:t>
      </w:r>
      <w:r w:rsidR="4B83250E" w:rsidRPr="2FD4C3D4">
        <w:rPr>
          <w:rFonts w:cs="Arial"/>
        </w:rPr>
        <w:t>2</w:t>
      </w:r>
      <w:r w:rsidR="4435B390" w:rsidRPr="2FD4C3D4">
        <w:rPr>
          <w:rFonts w:cs="Arial"/>
        </w:rPr>
        <w:t>3</w:t>
      </w:r>
      <w:r w:rsidR="4B83250E" w:rsidRPr="2FD4C3D4">
        <w:rPr>
          <w:rFonts w:cs="Arial"/>
        </w:rPr>
        <w:t>-</w:t>
      </w:r>
      <w:r w:rsidR="00031906" w:rsidRPr="2FD4C3D4">
        <w:rPr>
          <w:rFonts w:cs="Arial"/>
        </w:rPr>
        <w:t>2</w:t>
      </w:r>
      <w:r w:rsidR="61C4D8F0" w:rsidRPr="2FD4C3D4">
        <w:rPr>
          <w:rFonts w:cs="Arial"/>
        </w:rPr>
        <w:t>3</w:t>
      </w:r>
      <w:r w:rsidR="00031906" w:rsidRPr="2FD4C3D4">
        <w:rPr>
          <w:rFonts w:cs="Arial"/>
        </w:rPr>
        <w:t>, with</w:t>
      </w:r>
      <w:r w:rsidR="39C68ED0" w:rsidRPr="2FD4C3D4">
        <w:rPr>
          <w:rFonts w:cs="Arial"/>
        </w:rPr>
        <w:t xml:space="preserve"> the</w:t>
      </w:r>
      <w:r w:rsidR="00031906" w:rsidRPr="2FD4C3D4">
        <w:rPr>
          <w:rFonts w:cs="Arial"/>
        </w:rPr>
        <w:t xml:space="preserve"> focus shift</w:t>
      </w:r>
      <w:r w:rsidR="0DCE9720" w:rsidRPr="2FD4C3D4">
        <w:rPr>
          <w:rFonts w:cs="Arial"/>
        </w:rPr>
        <w:t>ing</w:t>
      </w:r>
      <w:r w:rsidR="00031906" w:rsidRPr="2FD4C3D4">
        <w:rPr>
          <w:rFonts w:cs="Arial"/>
        </w:rPr>
        <w:t xml:space="preserve"> to multiplex </w:t>
      </w:r>
      <w:r w:rsidR="00A67618" w:rsidRPr="2FD4C3D4">
        <w:rPr>
          <w:rFonts w:cs="Arial"/>
        </w:rPr>
        <w:t xml:space="preserve">tests </w:t>
      </w:r>
      <w:r w:rsidR="00031906" w:rsidRPr="2FD4C3D4">
        <w:rPr>
          <w:rFonts w:cs="Arial"/>
        </w:rPr>
        <w:t>and combination test kits to address the need to distinguish influenza and COVID</w:t>
      </w:r>
      <w:r w:rsidR="66103F2F" w:rsidRPr="2FD4C3D4">
        <w:rPr>
          <w:rFonts w:cs="Arial"/>
        </w:rPr>
        <w:t>-19</w:t>
      </w:r>
      <w:r w:rsidR="00031906" w:rsidRPr="2FD4C3D4">
        <w:rPr>
          <w:rFonts w:cs="Arial"/>
        </w:rPr>
        <w:t xml:space="preserve"> during the seasonal flu season. Over 1000 COVID</w:t>
      </w:r>
      <w:r w:rsidR="00DE4BB2">
        <w:rPr>
          <w:rFonts w:cs="Arial"/>
        </w:rPr>
        <w:t>-19</w:t>
      </w:r>
      <w:r w:rsidR="00031906" w:rsidRPr="2FD4C3D4">
        <w:rPr>
          <w:rFonts w:cs="Arial"/>
        </w:rPr>
        <w:t xml:space="preserve"> test applications </w:t>
      </w:r>
      <w:r w:rsidR="740A6BC5" w:rsidRPr="2FD4C3D4">
        <w:rPr>
          <w:rFonts w:cs="Arial"/>
        </w:rPr>
        <w:t>were</w:t>
      </w:r>
      <w:r w:rsidR="00031906" w:rsidRPr="2FD4C3D4">
        <w:rPr>
          <w:rFonts w:cs="Arial"/>
        </w:rPr>
        <w:t xml:space="preserve"> processed and finalised and more than 100 </w:t>
      </w:r>
      <w:r w:rsidR="004E5D81" w:rsidRPr="2FD4C3D4">
        <w:rPr>
          <w:rFonts w:cs="Arial"/>
        </w:rPr>
        <w:t xml:space="preserve">self-test and point-of-care </w:t>
      </w:r>
      <w:r w:rsidR="00031906" w:rsidRPr="2FD4C3D4">
        <w:rPr>
          <w:rFonts w:cs="Arial"/>
        </w:rPr>
        <w:t>COVID</w:t>
      </w:r>
      <w:r w:rsidR="00D2516A" w:rsidRPr="2FD4C3D4">
        <w:rPr>
          <w:rFonts w:cs="Arial"/>
        </w:rPr>
        <w:t>-19</w:t>
      </w:r>
      <w:r w:rsidR="00031906" w:rsidRPr="2FD4C3D4">
        <w:rPr>
          <w:rFonts w:cs="Arial"/>
        </w:rPr>
        <w:t xml:space="preserve"> tests </w:t>
      </w:r>
      <w:r w:rsidR="23C4E156" w:rsidRPr="2FD4C3D4">
        <w:rPr>
          <w:rFonts w:cs="Arial"/>
        </w:rPr>
        <w:t>were</w:t>
      </w:r>
      <w:r w:rsidR="00031906" w:rsidRPr="2FD4C3D4">
        <w:rPr>
          <w:rFonts w:cs="Arial"/>
        </w:rPr>
        <w:t xml:space="preserve"> included in the </w:t>
      </w:r>
      <w:r w:rsidR="00160C07" w:rsidRPr="2FD4C3D4">
        <w:rPr>
          <w:rFonts w:cs="Arial"/>
        </w:rPr>
        <w:t>Australian Register of Therapeutic Goods (</w:t>
      </w:r>
      <w:r w:rsidR="00111FAD" w:rsidRPr="2FD4C3D4">
        <w:rPr>
          <w:rFonts w:cs="Arial"/>
        </w:rPr>
        <w:t>ARTG</w:t>
      </w:r>
      <w:r w:rsidR="00160C07" w:rsidRPr="2FD4C3D4">
        <w:rPr>
          <w:rFonts w:cs="Arial"/>
        </w:rPr>
        <w:t>)</w:t>
      </w:r>
      <w:r w:rsidR="00B958C9" w:rsidRPr="2FD4C3D4">
        <w:rPr>
          <w:rFonts w:cs="Arial"/>
        </w:rPr>
        <w:t>.</w:t>
      </w:r>
    </w:p>
    <w:p w14:paraId="14CCE460" w14:textId="09A0D441" w:rsidR="008A4606" w:rsidRPr="00B4656A" w:rsidRDefault="00F13901" w:rsidP="2FD4C3D4">
      <w:pPr>
        <w:rPr>
          <w:rFonts w:cs="Arial"/>
        </w:rPr>
      </w:pPr>
      <w:r w:rsidRPr="008A5BA8">
        <w:rPr>
          <w:rFonts w:eastAsia="Arial" w:cs="Arial"/>
          <w:szCs w:val="22"/>
        </w:rPr>
        <w:t>A</w:t>
      </w:r>
      <w:r w:rsidR="40DC54A8" w:rsidRPr="008A5BA8">
        <w:rPr>
          <w:rFonts w:eastAsia="Arial" w:cs="Arial"/>
          <w:szCs w:val="22"/>
        </w:rPr>
        <w:t xml:space="preserve"> post-market</w:t>
      </w:r>
      <w:r w:rsidR="00D371C4" w:rsidRPr="008A5BA8">
        <w:rPr>
          <w:rFonts w:eastAsia="Arial" w:cs="Arial"/>
          <w:szCs w:val="22"/>
        </w:rPr>
        <w:t xml:space="preserve"> review of all COVID-19-specific </w:t>
      </w:r>
      <w:r w:rsidR="0C1DE282" w:rsidRPr="008A5BA8">
        <w:rPr>
          <w:rFonts w:eastAsia="Arial" w:cs="Arial"/>
          <w:szCs w:val="22"/>
        </w:rPr>
        <w:t>tests</w:t>
      </w:r>
      <w:r w:rsidR="097626BE" w:rsidRPr="008A5BA8">
        <w:rPr>
          <w:rFonts w:eastAsia="Arial" w:cs="Arial"/>
          <w:szCs w:val="22"/>
        </w:rPr>
        <w:t xml:space="preserve"> including </w:t>
      </w:r>
      <w:r w:rsidR="39A7F330" w:rsidRPr="008A5BA8">
        <w:rPr>
          <w:rFonts w:eastAsia="Arial" w:cs="Arial"/>
          <w:szCs w:val="22"/>
        </w:rPr>
        <w:t xml:space="preserve">nucleic acid, </w:t>
      </w:r>
      <w:r w:rsidR="00D371C4" w:rsidRPr="008A5BA8">
        <w:rPr>
          <w:rFonts w:eastAsia="Arial" w:cs="Arial"/>
          <w:szCs w:val="22"/>
        </w:rPr>
        <w:t xml:space="preserve">laboratory </w:t>
      </w:r>
      <w:r w:rsidR="007A3B5E" w:rsidRPr="008A5BA8">
        <w:rPr>
          <w:rFonts w:eastAsia="Arial" w:cs="Arial"/>
          <w:szCs w:val="22"/>
        </w:rPr>
        <w:t>antigen and</w:t>
      </w:r>
      <w:r w:rsidR="00D371C4" w:rsidRPr="008A5BA8">
        <w:rPr>
          <w:rFonts w:eastAsia="Arial" w:cs="Arial"/>
          <w:szCs w:val="22"/>
        </w:rPr>
        <w:t xml:space="preserve"> rapid antigen tests (RATs)</w:t>
      </w:r>
      <w:r w:rsidR="00D600AD" w:rsidRPr="008A5BA8">
        <w:rPr>
          <w:rFonts w:eastAsia="Arial" w:cs="Arial"/>
          <w:szCs w:val="22"/>
        </w:rPr>
        <w:t xml:space="preserve"> was completed</w:t>
      </w:r>
      <w:r w:rsidR="00D371C4" w:rsidRPr="008A5BA8">
        <w:rPr>
          <w:rFonts w:eastAsia="Arial" w:cs="Arial"/>
          <w:szCs w:val="22"/>
        </w:rPr>
        <w:t xml:space="preserve">, </w:t>
      </w:r>
      <w:r w:rsidR="19F838A4" w:rsidRPr="008A5BA8">
        <w:rPr>
          <w:rFonts w:eastAsia="Arial" w:cs="Arial"/>
          <w:szCs w:val="22"/>
        </w:rPr>
        <w:t>includ</w:t>
      </w:r>
      <w:r w:rsidR="0264EEF2" w:rsidRPr="008A5BA8">
        <w:rPr>
          <w:rFonts w:eastAsia="Arial" w:cs="Arial"/>
          <w:szCs w:val="22"/>
        </w:rPr>
        <w:t>ing</w:t>
      </w:r>
      <w:r w:rsidR="00D371C4" w:rsidRPr="008A5BA8">
        <w:rPr>
          <w:rFonts w:eastAsia="Arial" w:cs="Arial"/>
          <w:szCs w:val="22"/>
        </w:rPr>
        <w:t xml:space="preserve"> point-of-care and self-</w:t>
      </w:r>
      <w:r w:rsidR="008A5BA8" w:rsidRPr="008A5BA8">
        <w:rPr>
          <w:rFonts w:eastAsia="Arial" w:cs="Arial"/>
          <w:szCs w:val="22"/>
        </w:rPr>
        <w:t>tests. All</w:t>
      </w:r>
      <w:r w:rsidR="00C05D67" w:rsidRPr="008A5BA8">
        <w:rPr>
          <w:rFonts w:eastAsia="Arial" w:cs="Arial"/>
          <w:szCs w:val="22"/>
        </w:rPr>
        <w:t xml:space="preserve"> </w:t>
      </w:r>
      <w:r w:rsidR="00847F5F" w:rsidRPr="008A5BA8">
        <w:rPr>
          <w:rFonts w:eastAsia="Arial" w:cs="Arial"/>
          <w:szCs w:val="22"/>
        </w:rPr>
        <w:t>RATs</w:t>
      </w:r>
      <w:r w:rsidR="00C05D67" w:rsidRPr="008A5BA8">
        <w:rPr>
          <w:rFonts w:eastAsia="Arial" w:cs="Arial"/>
          <w:szCs w:val="22"/>
        </w:rPr>
        <w:t xml:space="preserve"> were </w:t>
      </w:r>
      <w:r w:rsidR="7D0145AB" w:rsidRPr="008A5BA8">
        <w:rPr>
          <w:rFonts w:eastAsia="Arial" w:cs="Arial"/>
          <w:szCs w:val="22"/>
        </w:rPr>
        <w:t>laboratory</w:t>
      </w:r>
      <w:r w:rsidR="4E61C372" w:rsidRPr="008A5BA8">
        <w:rPr>
          <w:rFonts w:eastAsia="Arial" w:cs="Arial"/>
          <w:szCs w:val="22"/>
        </w:rPr>
        <w:t xml:space="preserve"> </w:t>
      </w:r>
      <w:r w:rsidR="00C05D67" w:rsidRPr="008A5BA8">
        <w:rPr>
          <w:rFonts w:eastAsia="Arial" w:cs="Arial"/>
          <w:szCs w:val="22"/>
        </w:rPr>
        <w:t>tested to validate</w:t>
      </w:r>
      <w:r w:rsidR="001C71C4" w:rsidRPr="008A5BA8">
        <w:rPr>
          <w:rFonts w:eastAsia="Arial" w:cs="Arial"/>
          <w:szCs w:val="22"/>
        </w:rPr>
        <w:t xml:space="preserve"> the performance in detecting Delta and Omicron variants</w:t>
      </w:r>
      <w:r w:rsidR="001345A9" w:rsidRPr="008A5BA8">
        <w:rPr>
          <w:rFonts w:eastAsia="Arial" w:cs="Arial"/>
          <w:szCs w:val="22"/>
        </w:rPr>
        <w:t>.</w:t>
      </w:r>
      <w:r w:rsidR="00F74629" w:rsidRPr="008A5BA8">
        <w:rPr>
          <w:rFonts w:eastAsia="Arial" w:cs="Arial"/>
          <w:szCs w:val="22"/>
        </w:rPr>
        <w:t xml:space="preserve"> </w:t>
      </w:r>
      <w:r w:rsidR="13F4BD0D" w:rsidRPr="008A5BA8">
        <w:rPr>
          <w:rFonts w:eastAsia="Arial" w:cs="Arial"/>
          <w:color w:val="313131"/>
          <w:szCs w:val="22"/>
        </w:rPr>
        <w:t xml:space="preserve">In total, 79 RATs were found compliant with </w:t>
      </w:r>
      <w:r w:rsidR="00813196" w:rsidRPr="008A5BA8">
        <w:rPr>
          <w:rFonts w:eastAsia="Arial" w:cs="Arial"/>
          <w:color w:val="313131"/>
          <w:szCs w:val="22"/>
        </w:rPr>
        <w:t>all</w:t>
      </w:r>
      <w:r w:rsidR="13F4BD0D" w:rsidRPr="008A5BA8">
        <w:rPr>
          <w:rFonts w:eastAsia="Arial" w:cs="Arial"/>
          <w:color w:val="313131"/>
          <w:szCs w:val="22"/>
        </w:rPr>
        <w:t xml:space="preserve"> the requirements, as they had acceptable product quality and met the requirements for analytical sensitivity and quality.</w:t>
      </w:r>
      <w:r w:rsidR="13F4BD0D" w:rsidRPr="38B47703">
        <w:rPr>
          <w:rFonts w:eastAsia="Arial" w:cs="Arial"/>
          <w:szCs w:val="22"/>
        </w:rPr>
        <w:t xml:space="preserve"> </w:t>
      </w:r>
      <w:r w:rsidR="6B756FA7" w:rsidRPr="008A5BA8">
        <w:rPr>
          <w:rFonts w:eastAsia="Arial" w:cs="Arial"/>
          <w:szCs w:val="22"/>
        </w:rPr>
        <w:t xml:space="preserve">Only </w:t>
      </w:r>
      <w:r w:rsidR="00F74629" w:rsidRPr="008A5BA8">
        <w:rPr>
          <w:rFonts w:eastAsia="Arial" w:cs="Arial"/>
          <w:szCs w:val="22"/>
        </w:rPr>
        <w:t>6</w:t>
      </w:r>
      <w:r w:rsidR="0064013E" w:rsidRPr="008A5BA8">
        <w:rPr>
          <w:rFonts w:eastAsia="Arial" w:cs="Arial"/>
          <w:szCs w:val="22"/>
        </w:rPr>
        <w:t xml:space="preserve"> of 92</w:t>
      </w:r>
      <w:r w:rsidR="00F74629" w:rsidRPr="008A5BA8">
        <w:rPr>
          <w:rFonts w:eastAsia="Arial" w:cs="Arial"/>
          <w:szCs w:val="22"/>
        </w:rPr>
        <w:t xml:space="preserve"> tests kits </w:t>
      </w:r>
      <w:r w:rsidR="00E33E26" w:rsidRPr="008A5BA8">
        <w:rPr>
          <w:rFonts w:eastAsia="Arial" w:cs="Arial"/>
          <w:szCs w:val="22"/>
        </w:rPr>
        <w:t>were found to be non</w:t>
      </w:r>
      <w:r w:rsidR="004E066C" w:rsidRPr="008A5BA8">
        <w:rPr>
          <w:rFonts w:eastAsia="Arial" w:cs="Arial"/>
          <w:szCs w:val="22"/>
        </w:rPr>
        <w:t>-compliant</w:t>
      </w:r>
      <w:r w:rsidR="00ED4F3A">
        <w:rPr>
          <w:rFonts w:eastAsia="Arial" w:cs="Arial"/>
          <w:szCs w:val="22"/>
        </w:rPr>
        <w:t xml:space="preserve"> and t</w:t>
      </w:r>
      <w:r w:rsidR="40C61264" w:rsidRPr="00C3655E">
        <w:rPr>
          <w:rFonts w:eastAsia="Arial" w:cs="Arial"/>
          <w:szCs w:val="22"/>
        </w:rPr>
        <w:t xml:space="preserve">hese kits were </w:t>
      </w:r>
      <w:r w:rsidR="40C61264" w:rsidRPr="00C3655E">
        <w:rPr>
          <w:rFonts w:eastAsia="Arial" w:cs="Arial"/>
          <w:color w:val="313131"/>
          <w:szCs w:val="22"/>
        </w:rPr>
        <w:t xml:space="preserve">cancelled from </w:t>
      </w:r>
      <w:r w:rsidR="40C61264" w:rsidRPr="00C3655E">
        <w:rPr>
          <w:rFonts w:eastAsia="Arial" w:cs="Arial"/>
          <w:color w:val="313131"/>
          <w:szCs w:val="22"/>
        </w:rPr>
        <w:lastRenderedPageBreak/>
        <w:t>the ARTG, initiated either by the sponsor or the TGA, and are no longer supplied in Australia</w:t>
      </w:r>
      <w:r w:rsidR="008A5BA8">
        <w:rPr>
          <w:rFonts w:eastAsia="Arial" w:cs="Arial"/>
          <w:color w:val="313131"/>
          <w:szCs w:val="22"/>
        </w:rPr>
        <w:t>.</w:t>
      </w:r>
      <w:r w:rsidR="000D7A44" w:rsidRPr="4341E39B">
        <w:rPr>
          <w:rStyle w:val="FootnoteReference"/>
          <w:rFonts w:eastAsia="Arial" w:cs="Arial"/>
        </w:rPr>
        <w:footnoteReference w:id="2"/>
      </w:r>
    </w:p>
    <w:p w14:paraId="2EE090C6" w14:textId="408830DA" w:rsidR="3E62F18F" w:rsidRPr="008A5BA8" w:rsidRDefault="3E62F18F" w:rsidP="2FD4C3D4">
      <w:pPr>
        <w:rPr>
          <w:rStyle w:val="FootnoteReference"/>
          <w:rFonts w:eastAsia="Arial" w:cs="Arial"/>
          <w:vertAlign w:val="baseline"/>
        </w:rPr>
      </w:pPr>
      <w:r w:rsidRPr="008A5BA8">
        <w:rPr>
          <w:rStyle w:val="FootnoteReference"/>
          <w:rFonts w:eastAsia="Arial" w:cs="Arial"/>
          <w:vertAlign w:val="baseline"/>
        </w:rPr>
        <w:t xml:space="preserve">We continued </w:t>
      </w:r>
      <w:r w:rsidR="00ED4F3A">
        <w:rPr>
          <w:rFonts w:eastAsia="Arial" w:cs="Arial"/>
        </w:rPr>
        <w:t>our</w:t>
      </w:r>
      <w:r w:rsidR="5FF97960" w:rsidRPr="008A5BA8">
        <w:rPr>
          <w:rStyle w:val="FootnoteReference"/>
          <w:rFonts w:eastAsia="Arial" w:cs="Arial"/>
          <w:vertAlign w:val="baseline"/>
        </w:rPr>
        <w:t xml:space="preserve"> </w:t>
      </w:r>
      <w:r w:rsidR="45B939F2" w:rsidRPr="008A5BA8">
        <w:rPr>
          <w:rStyle w:val="FootnoteReference"/>
          <w:rFonts w:eastAsia="Arial" w:cs="Arial"/>
          <w:vertAlign w:val="baseline"/>
        </w:rPr>
        <w:t>post-market review of face masks and respirators, which included a total of 2,276 ARTG entries.</w:t>
      </w:r>
      <w:r w:rsidR="7F9E961F" w:rsidRPr="7928109B">
        <w:rPr>
          <w:rStyle w:val="FootnoteReference"/>
          <w:rFonts w:eastAsia="Arial" w:cs="Arial"/>
          <w:vertAlign w:val="baseline"/>
        </w:rPr>
        <w:t xml:space="preserve"> The review included a desktop review and laboratory testing</w:t>
      </w:r>
      <w:r w:rsidR="00ED4F3A">
        <w:rPr>
          <w:rFonts w:eastAsia="Arial" w:cs="Arial"/>
        </w:rPr>
        <w:t xml:space="preserve"> </w:t>
      </w:r>
      <w:r w:rsidR="7F9E961F" w:rsidRPr="7928109B">
        <w:rPr>
          <w:rStyle w:val="FootnoteReference"/>
          <w:rFonts w:eastAsia="Arial" w:cs="Arial"/>
          <w:vertAlign w:val="baseline"/>
        </w:rPr>
        <w:t xml:space="preserve">and resulted in </w:t>
      </w:r>
      <w:r w:rsidR="6AA190B4" w:rsidRPr="7928109B">
        <w:rPr>
          <w:rStyle w:val="FootnoteReference"/>
          <w:rFonts w:eastAsia="Arial" w:cs="Arial"/>
          <w:vertAlign w:val="baseline"/>
        </w:rPr>
        <w:t>over 85% of ARTG entries being cancelled by the TGA o</w:t>
      </w:r>
      <w:r w:rsidR="00813196" w:rsidRPr="7928109B" w:rsidDel="00813196">
        <w:rPr>
          <w:rStyle w:val="FootnoteReference"/>
          <w:rFonts w:eastAsia="Arial" w:cs="Arial"/>
          <w:vertAlign w:val="baseline"/>
        </w:rPr>
        <w:t>r</w:t>
      </w:r>
      <w:r w:rsidR="6AA190B4" w:rsidRPr="7928109B">
        <w:rPr>
          <w:rStyle w:val="FootnoteReference"/>
          <w:rFonts w:eastAsia="Arial" w:cs="Arial"/>
          <w:vertAlign w:val="baseline"/>
        </w:rPr>
        <w:t xml:space="preserve"> the sponsor.</w:t>
      </w:r>
      <w:r w:rsidR="00ED4F3A">
        <w:rPr>
          <w:rFonts w:eastAsia="Arial" w:cs="Arial"/>
        </w:rPr>
        <w:t xml:space="preserve"> </w:t>
      </w:r>
    </w:p>
    <w:p w14:paraId="65A7CB8E" w14:textId="58AD5895" w:rsidR="00D600AD" w:rsidRDefault="768845EC" w:rsidP="6CD30380">
      <w:pPr>
        <w:pStyle w:val="Heading2"/>
        <w:rPr>
          <w:rStyle w:val="FootnoteReference"/>
          <w:rFonts w:eastAsia="Calibri"/>
        </w:rPr>
      </w:pPr>
      <w:bookmarkStart w:id="12" w:name="_Toc153550375"/>
      <w:r>
        <w:t>Reforms of medicinal cannabis products</w:t>
      </w:r>
      <w:bookmarkEnd w:id="12"/>
    </w:p>
    <w:p w14:paraId="60571F30" w14:textId="30611C49" w:rsidR="00FE2C4A" w:rsidRPr="00B13F25" w:rsidRDefault="00FE3DC2" w:rsidP="000C72B9">
      <w:pPr>
        <w:pStyle w:val="ListParagraph"/>
        <w:numPr>
          <w:ilvl w:val="0"/>
          <w:numId w:val="0"/>
        </w:numPr>
        <w:rPr>
          <w:b/>
          <w:bCs/>
          <w:szCs w:val="22"/>
        </w:rPr>
      </w:pPr>
      <w:r w:rsidRPr="00B13F25">
        <w:rPr>
          <w:b/>
          <w:bCs/>
          <w:szCs w:val="22"/>
        </w:rPr>
        <w:t>We implemented</w:t>
      </w:r>
      <w:r w:rsidR="00B94BC0" w:rsidRPr="00B13F25">
        <w:rPr>
          <w:b/>
          <w:bCs/>
          <w:szCs w:val="22"/>
        </w:rPr>
        <w:t xml:space="preserve"> reforms to the supply, manufacture, labelling, packaging, and compounding of medicinal cannabis products to help provide quality assurance and consistency in the products supplied.</w:t>
      </w:r>
    </w:p>
    <w:p w14:paraId="2B577ABC" w14:textId="4947F5BD" w:rsidR="007E7A21" w:rsidRPr="00725515" w:rsidRDefault="2A1432DF" w:rsidP="7928109B">
      <w:pPr>
        <w:rPr>
          <w:rFonts w:cs="Arial"/>
        </w:rPr>
      </w:pPr>
      <w:r w:rsidRPr="7928109B">
        <w:rPr>
          <w:rFonts w:cs="Arial"/>
        </w:rPr>
        <w:t>M</w:t>
      </w:r>
      <w:r w:rsidR="002B335D" w:rsidRPr="7928109B">
        <w:rPr>
          <w:rFonts w:cs="Arial"/>
        </w:rPr>
        <w:t>edicinal cannabis products</w:t>
      </w:r>
      <w:r w:rsidR="00DE3B53">
        <w:rPr>
          <w:rFonts w:cs="Arial"/>
        </w:rPr>
        <w:t>,</w:t>
      </w:r>
      <w:r w:rsidR="007074B9" w:rsidRPr="7928109B">
        <w:rPr>
          <w:rFonts w:cs="Arial"/>
        </w:rPr>
        <w:t xml:space="preserve"> whether</w:t>
      </w:r>
      <w:r w:rsidR="002B335D" w:rsidRPr="7928109B">
        <w:rPr>
          <w:rFonts w:cs="Arial"/>
        </w:rPr>
        <w:t xml:space="preserve"> imported, </w:t>
      </w:r>
      <w:r w:rsidR="000A68E9" w:rsidRPr="7928109B">
        <w:rPr>
          <w:rFonts w:cs="Arial"/>
        </w:rPr>
        <w:t>supplied,</w:t>
      </w:r>
      <w:r w:rsidR="002B335D" w:rsidRPr="7928109B">
        <w:rPr>
          <w:rFonts w:cs="Arial"/>
        </w:rPr>
        <w:t xml:space="preserve"> or manufactured in Australia</w:t>
      </w:r>
      <w:r w:rsidR="00DE3B53">
        <w:rPr>
          <w:rFonts w:cs="Arial"/>
        </w:rPr>
        <w:t>,</w:t>
      </w:r>
      <w:r w:rsidR="002B335D" w:rsidRPr="7928109B">
        <w:rPr>
          <w:rFonts w:cs="Arial"/>
        </w:rPr>
        <w:t xml:space="preserve"> </w:t>
      </w:r>
      <w:r w:rsidR="3BF21138" w:rsidRPr="7928109B">
        <w:rPr>
          <w:rFonts w:cs="Arial"/>
        </w:rPr>
        <w:t>must comply with quality requirements included in</w:t>
      </w:r>
      <w:r w:rsidR="002B335D" w:rsidRPr="7928109B">
        <w:rPr>
          <w:rFonts w:cs="Arial"/>
        </w:rPr>
        <w:t xml:space="preserve"> Therapeutic Goods </w:t>
      </w:r>
      <w:r w:rsidR="007074B9" w:rsidRPr="7928109B">
        <w:rPr>
          <w:rFonts w:cs="Arial"/>
        </w:rPr>
        <w:t xml:space="preserve">Order </w:t>
      </w:r>
      <w:r w:rsidR="002B335D" w:rsidRPr="7928109B">
        <w:rPr>
          <w:rFonts w:cs="Arial"/>
        </w:rPr>
        <w:t>(Standard for Medicinal Cannabis)</w:t>
      </w:r>
      <w:r w:rsidR="007074B9" w:rsidRPr="7928109B">
        <w:rPr>
          <w:rFonts w:cs="Arial"/>
        </w:rPr>
        <w:t xml:space="preserve"> </w:t>
      </w:r>
      <w:r w:rsidR="001C4A95" w:rsidRPr="7928109B">
        <w:rPr>
          <w:rFonts w:cs="Arial"/>
        </w:rPr>
        <w:t>93</w:t>
      </w:r>
      <w:r w:rsidR="002B335D" w:rsidRPr="7928109B">
        <w:rPr>
          <w:rFonts w:cs="Arial"/>
        </w:rPr>
        <w:t xml:space="preserve"> (TGO 93). The order was amended in December 2022, incorporating </w:t>
      </w:r>
      <w:r w:rsidR="63D29A93" w:rsidRPr="7928109B">
        <w:rPr>
          <w:rFonts w:cs="Arial"/>
        </w:rPr>
        <w:t>new manufacturing requirements for medicines manufactured overseas and</w:t>
      </w:r>
      <w:r w:rsidR="002B335D" w:rsidRPr="7928109B">
        <w:rPr>
          <w:rFonts w:cs="Arial"/>
        </w:rPr>
        <w:t xml:space="preserve"> released for supply on or after 1 July 2023</w:t>
      </w:r>
      <w:r w:rsidR="00F320BE" w:rsidRPr="7928109B">
        <w:rPr>
          <w:rFonts w:cs="Arial"/>
        </w:rPr>
        <w:t>.</w:t>
      </w:r>
    </w:p>
    <w:p w14:paraId="36B982A7" w14:textId="179DA635" w:rsidR="00BD5D97" w:rsidRPr="00725515" w:rsidRDefault="00E95D63" w:rsidP="7928109B">
      <w:pPr>
        <w:rPr>
          <w:rFonts w:eastAsia="Calibri" w:cs="Arial"/>
        </w:rPr>
      </w:pPr>
      <w:r w:rsidRPr="7928109B">
        <w:rPr>
          <w:rFonts w:cs="Arial"/>
        </w:rPr>
        <w:t>The changes to the medicinal cannabis manufacturing, labelling, and packaging requirements</w:t>
      </w:r>
      <w:r w:rsidR="00D6581B">
        <w:rPr>
          <w:rFonts w:cs="Arial"/>
        </w:rPr>
        <w:t>,</w:t>
      </w:r>
      <w:r w:rsidR="000A68E9" w:rsidRPr="7928109B">
        <w:rPr>
          <w:rFonts w:cs="Arial"/>
        </w:rPr>
        <w:t xml:space="preserve"> which </w:t>
      </w:r>
      <w:r w:rsidR="086009F7" w:rsidRPr="7928109B">
        <w:rPr>
          <w:rFonts w:cs="Arial"/>
        </w:rPr>
        <w:t xml:space="preserve">include </w:t>
      </w:r>
      <w:r w:rsidRPr="7928109B">
        <w:rPr>
          <w:rFonts w:cs="Arial"/>
        </w:rPr>
        <w:t>overseas</w:t>
      </w:r>
      <w:r w:rsidR="00BA3941" w:rsidRPr="7928109B">
        <w:rPr>
          <w:rFonts w:cs="Arial"/>
        </w:rPr>
        <w:t xml:space="preserve"> medicinal cannabis</w:t>
      </w:r>
      <w:r w:rsidRPr="7928109B">
        <w:rPr>
          <w:rFonts w:cs="Arial"/>
        </w:rPr>
        <w:t xml:space="preserve"> manufacturing </w:t>
      </w:r>
      <w:r w:rsidR="0015504D" w:rsidRPr="7928109B">
        <w:rPr>
          <w:rFonts w:cs="Arial"/>
        </w:rPr>
        <w:t>sites</w:t>
      </w:r>
      <w:r w:rsidR="006A5F27">
        <w:rPr>
          <w:rFonts w:cs="Arial"/>
        </w:rPr>
        <w:t xml:space="preserve"> </w:t>
      </w:r>
      <w:r w:rsidR="0F73F724" w:rsidRPr="7928109B">
        <w:rPr>
          <w:rFonts w:cs="Arial"/>
        </w:rPr>
        <w:t xml:space="preserve">having </w:t>
      </w:r>
      <w:r w:rsidRPr="7928109B">
        <w:rPr>
          <w:rFonts w:cs="Arial"/>
        </w:rPr>
        <w:t>to hold evidence of Good Manufacturing Practice (GMP) compliance</w:t>
      </w:r>
      <w:r w:rsidR="4EAAF8AF" w:rsidRPr="7928109B">
        <w:rPr>
          <w:rFonts w:cs="Arial"/>
        </w:rPr>
        <w:t>,</w:t>
      </w:r>
      <w:r w:rsidRPr="7928109B">
        <w:rPr>
          <w:rFonts w:cs="Arial"/>
        </w:rPr>
        <w:t xml:space="preserve"> are now in force</w:t>
      </w:r>
      <w:r w:rsidR="00F215DF" w:rsidRPr="7928109B">
        <w:rPr>
          <w:rFonts w:cs="Arial"/>
        </w:rPr>
        <w:t>.</w:t>
      </w:r>
      <w:r w:rsidR="006B3636" w:rsidRPr="7928109B">
        <w:rPr>
          <w:rFonts w:cs="Arial"/>
        </w:rPr>
        <w:t xml:space="preserve"> </w:t>
      </w:r>
      <w:r w:rsidR="44FE5175" w:rsidRPr="7928109B">
        <w:rPr>
          <w:rFonts w:cs="Arial"/>
        </w:rPr>
        <w:t xml:space="preserve">We </w:t>
      </w:r>
      <w:r w:rsidR="508C7775" w:rsidRPr="7928109B">
        <w:rPr>
          <w:rFonts w:cs="Arial"/>
        </w:rPr>
        <w:t>undertook</w:t>
      </w:r>
      <w:r w:rsidRPr="7928109B">
        <w:rPr>
          <w:rFonts w:cs="Arial"/>
        </w:rPr>
        <w:t xml:space="preserve"> GMP inspections of medicinal cannabis manufacturing sites</w:t>
      </w:r>
      <w:r w:rsidR="00860D1D" w:rsidRPr="7928109B">
        <w:rPr>
          <w:rStyle w:val="FootnoteReference"/>
          <w:rFonts w:cs="Arial"/>
        </w:rPr>
        <w:footnoteReference w:id="3"/>
      </w:r>
      <w:r w:rsidR="24230503" w:rsidRPr="7928109B">
        <w:rPr>
          <w:rFonts w:cs="Arial"/>
        </w:rPr>
        <w:t>,</w:t>
      </w:r>
      <w:r w:rsidR="06E5DAB9" w:rsidRPr="7928109B">
        <w:rPr>
          <w:rFonts w:cs="Arial"/>
        </w:rPr>
        <w:t xml:space="preserve"> monitored signals of non-compliance</w:t>
      </w:r>
      <w:r w:rsidR="00336085">
        <w:rPr>
          <w:rFonts w:cs="Arial"/>
        </w:rPr>
        <w:t>,</w:t>
      </w:r>
      <w:r w:rsidR="06E5DAB9" w:rsidRPr="7928109B">
        <w:rPr>
          <w:rFonts w:cs="Arial"/>
        </w:rPr>
        <w:t xml:space="preserve"> and used a risk-based approach to guide re</w:t>
      </w:r>
      <w:r w:rsidR="166DDC97" w:rsidRPr="7928109B">
        <w:rPr>
          <w:rFonts w:cs="Arial"/>
        </w:rPr>
        <w:t>gulatory responses.</w:t>
      </w:r>
    </w:p>
    <w:p w14:paraId="2A1DDEDF" w14:textId="16D42305" w:rsidR="00214F16" w:rsidRPr="00BD5D97" w:rsidRDefault="5F08FC86" w:rsidP="40EB8B97">
      <w:pPr>
        <w:pStyle w:val="Heading2"/>
      </w:pPr>
      <w:bookmarkStart w:id="13" w:name="_Toc153550376"/>
      <w:r>
        <w:t>Improving</w:t>
      </w:r>
      <w:r w:rsidR="5591B0D3">
        <w:t xml:space="preserve"> </w:t>
      </w:r>
      <w:r w:rsidR="0AC61D13">
        <w:t>access and international engagement</w:t>
      </w:r>
      <w:bookmarkEnd w:id="13"/>
      <w:r w:rsidR="07268162">
        <w:t xml:space="preserve"> </w:t>
      </w:r>
    </w:p>
    <w:p w14:paraId="4F44A54A" w14:textId="4E4171D4" w:rsidR="00E549A3" w:rsidRPr="0054473C" w:rsidRDefault="0068426F" w:rsidP="00867315">
      <w:pPr>
        <w:pStyle w:val="ListParagraph"/>
        <w:numPr>
          <w:ilvl w:val="0"/>
          <w:numId w:val="0"/>
        </w:numPr>
        <w:rPr>
          <w:b/>
          <w:bCs/>
        </w:rPr>
      </w:pPr>
      <w:r w:rsidRPr="0054473C">
        <w:rPr>
          <w:b/>
          <w:bCs/>
        </w:rPr>
        <w:t>We c</w:t>
      </w:r>
      <w:r w:rsidR="00B94BC0" w:rsidRPr="0054473C">
        <w:rPr>
          <w:b/>
          <w:bCs/>
        </w:rPr>
        <w:t xml:space="preserve">ontinued </w:t>
      </w:r>
      <w:r w:rsidRPr="0054473C">
        <w:rPr>
          <w:b/>
          <w:bCs/>
        </w:rPr>
        <w:t>to engage</w:t>
      </w:r>
      <w:r w:rsidR="00B94BC0" w:rsidRPr="0054473C">
        <w:rPr>
          <w:b/>
          <w:bCs/>
        </w:rPr>
        <w:t>, both domestically and internationally, to build flexible and robust regulatory evaluation processes, ensuring expedited access for Australian patients and health</w:t>
      </w:r>
      <w:r w:rsidR="002A4E8C">
        <w:rPr>
          <w:b/>
          <w:bCs/>
        </w:rPr>
        <w:t xml:space="preserve"> </w:t>
      </w:r>
      <w:r w:rsidR="00B94BC0" w:rsidRPr="0054473C">
        <w:rPr>
          <w:b/>
          <w:bCs/>
        </w:rPr>
        <w:t>care professionals</w:t>
      </w:r>
      <w:r w:rsidR="00051336" w:rsidRPr="0054473C">
        <w:rPr>
          <w:b/>
          <w:bCs/>
        </w:rPr>
        <w:t>,</w:t>
      </w:r>
      <w:r w:rsidR="00B94BC0" w:rsidRPr="0054473C">
        <w:rPr>
          <w:b/>
          <w:bCs/>
        </w:rPr>
        <w:t xml:space="preserve"> without compromising our regulatory standards.</w:t>
      </w:r>
    </w:p>
    <w:p w14:paraId="4B2F39A7" w14:textId="42179004" w:rsidR="00833B86" w:rsidRDefault="087C0EA5" w:rsidP="003A0F7A">
      <w:pPr>
        <w:pStyle w:val="Heading3"/>
      </w:pPr>
      <w:bookmarkStart w:id="14" w:name="_Toc153550377"/>
      <w:r>
        <w:t>Medicine shortages</w:t>
      </w:r>
      <w:bookmarkEnd w:id="14"/>
      <w:r>
        <w:t xml:space="preserve"> </w:t>
      </w:r>
    </w:p>
    <w:p w14:paraId="6DC39F78" w14:textId="1EF9FFAE" w:rsidR="00833B86" w:rsidRPr="00CC574A" w:rsidDel="000D5A8A" w:rsidRDefault="00833B86" w:rsidP="23B264BB">
      <w:pPr>
        <w:rPr>
          <w:rFonts w:eastAsiaTheme="minorEastAsia"/>
        </w:rPr>
      </w:pPr>
      <w:r>
        <w:t xml:space="preserve">We have implemented legislative amendments to help patients </w:t>
      </w:r>
      <w:r w:rsidR="00DC3400">
        <w:t xml:space="preserve">to </w:t>
      </w:r>
      <w:r>
        <w:t>access important discontinued medicines</w:t>
      </w:r>
      <w:r w:rsidR="1B5A483D">
        <w:t xml:space="preserve"> </w:t>
      </w:r>
      <w:r>
        <w:t>and help us improve the accuracy of our published shortage information. In response to our consultation on ‘</w:t>
      </w:r>
      <w:r w:rsidRPr="40EB8B97">
        <w:rPr>
          <w:i/>
          <w:iCs/>
        </w:rPr>
        <w:t>Building a more robust medicine supply</w:t>
      </w:r>
      <w:r>
        <w:t xml:space="preserve">’, we made amendments to the </w:t>
      </w:r>
      <w:r w:rsidR="3A540874" w:rsidRPr="40EB8B97">
        <w:rPr>
          <w:i/>
          <w:iCs/>
        </w:rPr>
        <w:t>Therapeutic Goods Act 1989</w:t>
      </w:r>
      <w:r w:rsidR="3A540874">
        <w:t xml:space="preserve"> (</w:t>
      </w:r>
      <w:r w:rsidR="624F5A98">
        <w:t xml:space="preserve">the </w:t>
      </w:r>
      <w:r>
        <w:t>Act</w:t>
      </w:r>
      <w:r w:rsidR="2E117638">
        <w:t>)</w:t>
      </w:r>
      <w:r>
        <w:t xml:space="preserve">. The amendments provide additional access pathways to alleviate the effects of medicine shortages and maintain accurate, up-to-date information for patients </w:t>
      </w:r>
      <w:r w:rsidRPr="40EB8B97">
        <w:rPr>
          <w:rFonts w:eastAsiaTheme="minorEastAsia"/>
        </w:rPr>
        <w:t xml:space="preserve">and health professionals on our </w:t>
      </w:r>
      <w:hyperlink r:id="rId22" w:history="1">
        <w:r w:rsidRPr="00AA4366">
          <w:rPr>
            <w:rStyle w:val="Hyperlink"/>
            <w:rFonts w:eastAsiaTheme="minorEastAsia"/>
          </w:rPr>
          <w:t>Medicine Shortage Reports Database</w:t>
        </w:r>
      </w:hyperlink>
      <w:r w:rsidRPr="40EB8B97">
        <w:rPr>
          <w:rFonts w:eastAsiaTheme="minorEastAsia"/>
        </w:rPr>
        <w:t>.</w:t>
      </w:r>
    </w:p>
    <w:p w14:paraId="04C9BCB4" w14:textId="11A89844" w:rsidR="00833B86" w:rsidRPr="00CC574A" w:rsidDel="000D5A8A" w:rsidRDefault="00833B86" w:rsidP="00833B86">
      <w:r>
        <w:t>These amendments include:</w:t>
      </w:r>
    </w:p>
    <w:p w14:paraId="4A58ED7A" w14:textId="20ACEEF1" w:rsidR="00833B86" w:rsidRPr="00F40CDA" w:rsidDel="000D5A8A" w:rsidRDefault="00833B86" w:rsidP="00833B86">
      <w:pPr>
        <w:pStyle w:val="ListParagraph"/>
      </w:pPr>
      <w:r>
        <w:t>new pathways under section 19A of the Act, allowing the importation and supply of overseas medicines when a medicine was previously registered and is cancelled or suspended from the ARTG, but is still clinically important and in the interest of public health</w:t>
      </w:r>
    </w:p>
    <w:p w14:paraId="509B41FA" w14:textId="06AFA51D" w:rsidR="00833B86" w:rsidRPr="00F40CDA" w:rsidDel="000D5A8A" w:rsidRDefault="00833B86" w:rsidP="00833B86">
      <w:pPr>
        <w:pStyle w:val="ListParagraph"/>
      </w:pPr>
      <w:r>
        <w:lastRenderedPageBreak/>
        <w:t>strengthening our mandatory reporting scheme by obligating sponsors to confirm the resolution date of medicine shortages and make timely updates to any changes to the duration of a shortage.</w:t>
      </w:r>
    </w:p>
    <w:p w14:paraId="1B89A8FB" w14:textId="77777777" w:rsidR="00274072" w:rsidRDefault="087C0EA5" w:rsidP="00274072">
      <w:r>
        <w:t xml:space="preserve">These new tools allow health professionals to make informed decisions regarding continuity of care in the event of medicine shortages and discontinuations. </w:t>
      </w:r>
    </w:p>
    <w:p w14:paraId="3E69F942" w14:textId="7C7B26BA" w:rsidR="00833F94" w:rsidRPr="00274072" w:rsidRDefault="00CC4849" w:rsidP="007E7468">
      <w:pPr>
        <w:pStyle w:val="Heading3"/>
      </w:pPr>
      <w:bookmarkStart w:id="15" w:name="_Toc153550378"/>
      <w:r w:rsidRPr="00274072">
        <w:t>A</w:t>
      </w:r>
      <w:r w:rsidR="1D6553C2" w:rsidRPr="00274072">
        <w:t>greements to facilitate information sharing</w:t>
      </w:r>
      <w:bookmarkEnd w:id="15"/>
    </w:p>
    <w:p w14:paraId="2DF54727" w14:textId="30E8C76C" w:rsidR="00833F94" w:rsidRPr="00685958" w:rsidRDefault="654A0914" w:rsidP="6EC733EF">
      <w:r>
        <w:t>We have</w:t>
      </w:r>
      <w:r w:rsidR="7F45EE77">
        <w:t xml:space="preserve"> e</w:t>
      </w:r>
      <w:r w:rsidR="11149535">
        <w:t>stablish</w:t>
      </w:r>
      <w:r w:rsidR="7F45EE77">
        <w:t>ed</w:t>
      </w:r>
      <w:r w:rsidR="11149535">
        <w:t xml:space="preserve"> agreements with </w:t>
      </w:r>
      <w:r w:rsidR="29B8DFDA">
        <w:t>our</w:t>
      </w:r>
      <w:r w:rsidR="11149535">
        <w:t xml:space="preserve"> international regulatory counterparts </w:t>
      </w:r>
      <w:r w:rsidR="74390DEA">
        <w:t xml:space="preserve">to </w:t>
      </w:r>
      <w:r w:rsidR="01FE73A8">
        <w:t>enable sharing of confidential information</w:t>
      </w:r>
      <w:r w:rsidR="00DC2741">
        <w:t>,</w:t>
      </w:r>
      <w:r w:rsidR="01FE73A8">
        <w:t xml:space="preserve"> which </w:t>
      </w:r>
      <w:r w:rsidR="7A5BC591">
        <w:t xml:space="preserve">can </w:t>
      </w:r>
      <w:r w:rsidR="12C6EAF3">
        <w:t xml:space="preserve">reduce duplication and </w:t>
      </w:r>
      <w:r w:rsidR="7A5BC591">
        <w:t xml:space="preserve">expedite </w:t>
      </w:r>
      <w:r w:rsidR="5C669E66">
        <w:t xml:space="preserve">some </w:t>
      </w:r>
      <w:r w:rsidR="1570D760">
        <w:t xml:space="preserve">assessments </w:t>
      </w:r>
      <w:r w:rsidR="04B71E4C">
        <w:t xml:space="preserve">to facilitate Australia’s </w:t>
      </w:r>
      <w:r w:rsidR="11149535">
        <w:t xml:space="preserve">access to </w:t>
      </w:r>
      <w:r w:rsidR="38892351">
        <w:t xml:space="preserve">high </w:t>
      </w:r>
      <w:r w:rsidR="11149535">
        <w:t xml:space="preserve">quality, safe and effective therapeutic </w:t>
      </w:r>
      <w:r w:rsidR="007A3B5E">
        <w:t>goods.</w:t>
      </w:r>
      <w:r w:rsidR="11149535">
        <w:t xml:space="preserve"> </w:t>
      </w:r>
      <w:r w:rsidR="3C2B2C16">
        <w:t>C</w:t>
      </w:r>
      <w:r w:rsidR="11149535">
        <w:t>urrently</w:t>
      </w:r>
      <w:r w:rsidR="566D8F8A">
        <w:t xml:space="preserve">, </w:t>
      </w:r>
      <w:r w:rsidR="1DB6AFA5">
        <w:t>we</w:t>
      </w:r>
      <w:r w:rsidR="3625F999">
        <w:t>:</w:t>
      </w:r>
    </w:p>
    <w:p w14:paraId="2B692214" w14:textId="5C1B748A" w:rsidR="00833F94" w:rsidRPr="00685958" w:rsidRDefault="3E799BF8" w:rsidP="00FD56DF">
      <w:pPr>
        <w:pStyle w:val="ListParagraph"/>
        <w:rPr>
          <w:szCs w:val="22"/>
        </w:rPr>
      </w:pPr>
      <w:r w:rsidRPr="00685958">
        <w:rPr>
          <w:szCs w:val="22"/>
        </w:rPr>
        <w:t>have 31 agreements for confidential information sharing in place with regulatory authorities in 26 countries</w:t>
      </w:r>
    </w:p>
    <w:p w14:paraId="3BA60769" w14:textId="063DD56A" w:rsidR="00F06728" w:rsidRPr="00685958" w:rsidRDefault="3E799BF8" w:rsidP="68B39ED3">
      <w:pPr>
        <w:pStyle w:val="ListParagraph"/>
      </w:pPr>
      <w:r>
        <w:t>are a party to 5 treaty-level country mutual recognition agreements</w:t>
      </w:r>
    </w:p>
    <w:p w14:paraId="75AA83B2" w14:textId="50041EF7" w:rsidR="00833F94" w:rsidRPr="00685958" w:rsidRDefault="513AFAF2" w:rsidP="00FD56DF">
      <w:pPr>
        <w:pStyle w:val="ListParagraph"/>
      </w:pPr>
      <w:r>
        <w:t>have progressed</w:t>
      </w:r>
      <w:r w:rsidR="00F06728">
        <w:t xml:space="preserve"> negotiations</w:t>
      </w:r>
      <w:r>
        <w:t xml:space="preserve"> </w:t>
      </w:r>
      <w:r w:rsidR="03CF70C4">
        <w:t>on</w:t>
      </w:r>
      <w:r w:rsidR="00833F94">
        <w:t xml:space="preserve"> </w:t>
      </w:r>
      <w:r w:rsidR="2AC6CDAD">
        <w:t>3</w:t>
      </w:r>
      <w:r w:rsidR="00833F94">
        <w:t xml:space="preserve"> new agreements during this reporting period</w:t>
      </w:r>
      <w:r w:rsidR="6ABC40C4">
        <w:t>, pending finalisation.</w:t>
      </w:r>
      <w:r w:rsidR="00833F94">
        <w:t xml:space="preserve"> These include agreements with</w:t>
      </w:r>
      <w:r w:rsidR="3388435C">
        <w:t>:</w:t>
      </w:r>
    </w:p>
    <w:p w14:paraId="5E805F43" w14:textId="1B5DEE54" w:rsidR="00833F94" w:rsidRPr="00685958" w:rsidRDefault="00833F94" w:rsidP="00ED1A1F">
      <w:pPr>
        <w:pStyle w:val="ListParagraph"/>
        <w:numPr>
          <w:ilvl w:val="1"/>
          <w:numId w:val="5"/>
        </w:numPr>
      </w:pPr>
      <w:r>
        <w:t>Central Drugs Standard Control Organisation (CDSCO</w:t>
      </w:r>
      <w:r w:rsidR="3065446C">
        <w:t>)</w:t>
      </w:r>
      <w:r w:rsidR="1268B01D">
        <w:t>,</w:t>
      </w:r>
      <w:r>
        <w:t xml:space="preserve"> Ministry of Health and Family Welfare</w:t>
      </w:r>
      <w:r w:rsidR="54338014">
        <w:t>,</w:t>
      </w:r>
      <w:r>
        <w:t xml:space="preserve"> Government of India</w:t>
      </w:r>
    </w:p>
    <w:p w14:paraId="697E857C" w14:textId="7D8CC71B" w:rsidR="00833F94" w:rsidRPr="00685958" w:rsidRDefault="00833F94" w:rsidP="00ED1A1F">
      <w:pPr>
        <w:pStyle w:val="ListParagraph"/>
        <w:numPr>
          <w:ilvl w:val="1"/>
          <w:numId w:val="5"/>
        </w:numPr>
      </w:pPr>
      <w:r>
        <w:t>Ministry of Food and Drug Safety (MFDS)</w:t>
      </w:r>
      <w:r w:rsidR="73512038">
        <w:t>,</w:t>
      </w:r>
      <w:r>
        <w:t xml:space="preserve"> Republic of Korea</w:t>
      </w:r>
    </w:p>
    <w:p w14:paraId="028C3777" w14:textId="6AEA9BCB" w:rsidR="00833F94" w:rsidRDefault="00833F94" w:rsidP="00ED1A1F">
      <w:pPr>
        <w:pStyle w:val="ListParagraph"/>
        <w:numPr>
          <w:ilvl w:val="1"/>
          <w:numId w:val="5"/>
        </w:numPr>
        <w:rPr>
          <w:szCs w:val="22"/>
        </w:rPr>
      </w:pPr>
      <w:r>
        <w:t>South African Health Products Regulatory Authority (SAHPRA)</w:t>
      </w:r>
    </w:p>
    <w:p w14:paraId="05E32819" w14:textId="73B91CFD" w:rsidR="7B34A13E" w:rsidRPr="00917E30" w:rsidRDefault="5EDD48AB" w:rsidP="00ED1A1F">
      <w:pPr>
        <w:pStyle w:val="ListParagraph"/>
        <w:numPr>
          <w:ilvl w:val="0"/>
          <w:numId w:val="5"/>
        </w:numPr>
        <w:rPr>
          <w:szCs w:val="22"/>
        </w:rPr>
      </w:pPr>
      <w:r w:rsidRPr="00917E30">
        <w:t xml:space="preserve">signed </w:t>
      </w:r>
      <w:r w:rsidR="029C33A5" w:rsidRPr="00917E30">
        <w:t xml:space="preserve">an agreement </w:t>
      </w:r>
      <w:r w:rsidR="7B34A13E" w:rsidRPr="00917E30">
        <w:t>with Brunei’s Darussalam Medicines Control Authority (BDMCA)</w:t>
      </w:r>
      <w:r w:rsidR="5715E91E" w:rsidRPr="00917E30">
        <w:t xml:space="preserve"> to cooperate on therapeutic </w:t>
      </w:r>
      <w:r w:rsidR="007A3B5E" w:rsidRPr="00917E30">
        <w:t>products to</w:t>
      </w:r>
      <w:r w:rsidR="0BD4E026" w:rsidRPr="00917E30">
        <w:t xml:space="preserve"> </w:t>
      </w:r>
      <w:r w:rsidR="1F072CED" w:rsidRPr="00917E30">
        <w:t>aid work</w:t>
      </w:r>
      <w:r w:rsidR="7CFC9B35" w:rsidRPr="00917E30">
        <w:t>-</w:t>
      </w:r>
      <w:r w:rsidR="1F072CED" w:rsidRPr="00917E30">
        <w:t>sharing, staff training and international collaboration</w:t>
      </w:r>
      <w:r w:rsidR="63A654C9" w:rsidRPr="00917E30">
        <w:t xml:space="preserve"> on future medicines for Australian patients and consumers.</w:t>
      </w:r>
    </w:p>
    <w:p w14:paraId="58388594" w14:textId="317857CA" w:rsidR="00833F94" w:rsidRPr="00C76160" w:rsidRDefault="12DE2897" w:rsidP="40EB8B97">
      <w:pPr>
        <w:pStyle w:val="Heading3"/>
      </w:pPr>
      <w:bookmarkStart w:id="16" w:name="_Toc153550379"/>
      <w:r>
        <w:t>Interactions with our international regulatory counterparts</w:t>
      </w:r>
      <w:bookmarkEnd w:id="16"/>
    </w:p>
    <w:p w14:paraId="1D3BD7AF" w14:textId="4C1428CE" w:rsidR="001F53FA" w:rsidRDefault="006F57A2" w:rsidP="40EB8B97">
      <w:r>
        <w:t>I</w:t>
      </w:r>
      <w:r w:rsidR="003E7922">
        <w:t>n August 2022</w:t>
      </w:r>
      <w:r w:rsidR="4A2492F8">
        <w:t>,</w:t>
      </w:r>
      <w:r w:rsidR="003E7922">
        <w:t xml:space="preserve"> w</w:t>
      </w:r>
      <w:r w:rsidR="20693CF9">
        <w:t>e collaborated</w:t>
      </w:r>
      <w:r w:rsidR="00833F94">
        <w:t xml:space="preserve"> with a delegation</w:t>
      </w:r>
      <w:r w:rsidR="001D3B3F">
        <w:t xml:space="preserve"> from Singapore</w:t>
      </w:r>
      <w:r w:rsidR="003E7922">
        <w:t xml:space="preserve">, including representatives from the Consortium for Clinical Research &amp; Innovation Singapore (CRIS), </w:t>
      </w:r>
      <w:r w:rsidR="0074488C">
        <w:t xml:space="preserve">the </w:t>
      </w:r>
      <w:r w:rsidR="003E7922">
        <w:t>Singapore Clinical Research Institute (SCRI)</w:t>
      </w:r>
      <w:r w:rsidR="0074488C">
        <w:t>,</w:t>
      </w:r>
      <w:r w:rsidR="003E7922">
        <w:t xml:space="preserve"> and the Advance Cell Therapy and Research Institute Singapore (ACTRIS)</w:t>
      </w:r>
      <w:r w:rsidR="00AA4366">
        <w:t>.</w:t>
      </w:r>
      <w:r w:rsidR="00833F94">
        <w:t xml:space="preserve"> </w:t>
      </w:r>
      <w:r w:rsidR="00AA4366">
        <w:t>We</w:t>
      </w:r>
      <w:r w:rsidR="00833F94">
        <w:t xml:space="preserve"> share</w:t>
      </w:r>
      <w:r w:rsidR="00AA4366">
        <w:t>d</w:t>
      </w:r>
      <w:r w:rsidR="00833F94">
        <w:t xml:space="preserve"> information about</w:t>
      </w:r>
      <w:r w:rsidR="06F9EFBC">
        <w:t xml:space="preserve"> </w:t>
      </w:r>
      <w:r w:rsidR="00833F94">
        <w:t>the clinical trials process and role of different stakeholders in Australia</w:t>
      </w:r>
      <w:r>
        <w:t>,</w:t>
      </w:r>
      <w:r w:rsidR="00833F94">
        <w:t xml:space="preserve"> and the function of our Human Research Ethics Committees (HRECs).</w:t>
      </w:r>
    </w:p>
    <w:p w14:paraId="1A9A69B2" w14:textId="538B5F78" w:rsidR="00B71BE3" w:rsidRDefault="00B71BE3" w:rsidP="00B71BE3">
      <w:pPr>
        <w:rPr>
          <w:rFonts w:cs="Arial"/>
        </w:rPr>
      </w:pPr>
      <w:r w:rsidRPr="003E2DBF">
        <w:rPr>
          <w:rFonts w:cs="Arial"/>
        </w:rPr>
        <w:t>We strengthened our bilateral health dialogue, broader health cooperation and strategic partnership with the Republic of Korea following a visit from the Korean Health Industry Development Institute (KIHDI) and KoNECT (Korea National Enterprise for Clinical Trials) in October 2022. We discussed the Australian clinical trials</w:t>
      </w:r>
      <w:r w:rsidRPr="003E2DBF">
        <w:rPr>
          <w:rStyle w:val="FootnoteReference"/>
          <w:rFonts w:cs="Arial"/>
        </w:rPr>
        <w:footnoteReference w:id="4"/>
      </w:r>
      <w:r w:rsidRPr="003E2DBF">
        <w:rPr>
          <w:rFonts w:cs="Arial"/>
        </w:rPr>
        <w:t xml:space="preserve"> regulatory framework and scope for potential cooperation between Australia and Korea in the event of a public health crisis, such as COVID-19.</w:t>
      </w:r>
    </w:p>
    <w:p w14:paraId="2D28625D" w14:textId="5AEF171C" w:rsidR="00B32441" w:rsidRPr="003E2DBF" w:rsidRDefault="004B69A2" w:rsidP="00B32441">
      <w:pPr>
        <w:rPr>
          <w:rFonts w:cs="Arial"/>
        </w:rPr>
      </w:pPr>
      <w:r>
        <w:rPr>
          <w:rFonts w:cs="Arial"/>
        </w:rPr>
        <w:t>W</w:t>
      </w:r>
      <w:r w:rsidR="00B32441" w:rsidRPr="003E2DBF">
        <w:rPr>
          <w:rFonts w:cs="Arial"/>
        </w:rPr>
        <w:t xml:space="preserve">e presented on Australia’s regulation of therapeutic goods </w:t>
      </w:r>
      <w:r w:rsidR="00936060">
        <w:rPr>
          <w:rFonts w:cs="Arial"/>
        </w:rPr>
        <w:t>to</w:t>
      </w:r>
      <w:r w:rsidR="00B32441" w:rsidRPr="003E2DBF">
        <w:rPr>
          <w:rFonts w:cs="Arial"/>
        </w:rPr>
        <w:t xml:space="preserve"> Thailand’s Ministry of Public Health </w:t>
      </w:r>
      <w:r w:rsidR="003758FA" w:rsidRPr="003E2DBF">
        <w:rPr>
          <w:rFonts w:cs="Arial"/>
        </w:rPr>
        <w:t xml:space="preserve">Senior Executive Development program </w:t>
      </w:r>
      <w:r w:rsidR="00B32441" w:rsidRPr="003E2DBF">
        <w:rPr>
          <w:rFonts w:cs="Arial"/>
        </w:rPr>
        <w:t>in June 2023</w:t>
      </w:r>
      <w:r w:rsidR="00936060">
        <w:rPr>
          <w:rFonts w:cs="Arial"/>
        </w:rPr>
        <w:t>.</w:t>
      </w:r>
      <w:r w:rsidR="00B32441" w:rsidRPr="003E2DBF">
        <w:rPr>
          <w:rFonts w:cs="Arial"/>
        </w:rPr>
        <w:t xml:space="preserve"> We shared details regarding recent regulatory challenges in Australia, including </w:t>
      </w:r>
      <w:r w:rsidR="007F1B8C" w:rsidRPr="003E2DBF">
        <w:rPr>
          <w:rFonts w:cs="Arial"/>
        </w:rPr>
        <w:t xml:space="preserve">medicine shortages </w:t>
      </w:r>
      <w:r w:rsidR="007F1B8C">
        <w:rPr>
          <w:rFonts w:cs="Arial"/>
        </w:rPr>
        <w:t xml:space="preserve">and </w:t>
      </w:r>
      <w:r w:rsidR="00B32441" w:rsidRPr="003E2DBF">
        <w:rPr>
          <w:rFonts w:cs="Arial"/>
        </w:rPr>
        <w:t xml:space="preserve">emerging </w:t>
      </w:r>
      <w:r w:rsidR="00B32441" w:rsidRPr="003E2DBF">
        <w:rPr>
          <w:rFonts w:cs="Arial"/>
        </w:rPr>
        <w:lastRenderedPageBreak/>
        <w:t xml:space="preserve">therapeutic technologies </w:t>
      </w:r>
      <w:r w:rsidR="007F1B8C">
        <w:rPr>
          <w:rFonts w:cs="Arial"/>
        </w:rPr>
        <w:t xml:space="preserve">such as </w:t>
      </w:r>
      <w:r w:rsidR="00B32441" w:rsidRPr="003E2DBF">
        <w:rPr>
          <w:rFonts w:cs="Arial"/>
        </w:rPr>
        <w:t>faecal microbiota transplant, medicinal cannabis, MDMA and psilocybin.</w:t>
      </w:r>
    </w:p>
    <w:p w14:paraId="3438DDA1" w14:textId="66C0065D" w:rsidR="00EE2322" w:rsidRDefault="050A1038" w:rsidP="40EB8B97">
      <w:r>
        <w:t>W</w:t>
      </w:r>
      <w:r w:rsidR="091D44B2">
        <w:t>e</w:t>
      </w:r>
      <w:r w:rsidR="00833F94">
        <w:t xml:space="preserve"> work</w:t>
      </w:r>
      <w:r w:rsidR="003B6E55">
        <w:t>ed</w:t>
      </w:r>
      <w:r w:rsidR="00833F94">
        <w:t xml:space="preserve"> with </w:t>
      </w:r>
      <w:r w:rsidR="003B6E55">
        <w:t xml:space="preserve">several counterpart national </w:t>
      </w:r>
      <w:r w:rsidR="008E0B6D">
        <w:t xml:space="preserve">medicines </w:t>
      </w:r>
      <w:r w:rsidR="003B6E55">
        <w:t>regulatory authorities</w:t>
      </w:r>
      <w:r w:rsidR="008E0B6D">
        <w:t xml:space="preserve"> </w:t>
      </w:r>
      <w:r w:rsidR="47CB6ADC">
        <w:t xml:space="preserve">across the Indo-Pacific </w:t>
      </w:r>
      <w:r w:rsidR="008E0B6D">
        <w:t xml:space="preserve">to share </w:t>
      </w:r>
      <w:r w:rsidR="00ED418A">
        <w:t xml:space="preserve">regulatory information </w:t>
      </w:r>
      <w:r w:rsidR="7E93179C">
        <w:t xml:space="preserve">and </w:t>
      </w:r>
      <w:r w:rsidR="00D77487">
        <w:t xml:space="preserve">help </w:t>
      </w:r>
      <w:r w:rsidR="17EE4432">
        <w:t xml:space="preserve">support </w:t>
      </w:r>
      <w:r w:rsidR="6C5836E9">
        <w:t>th</w:t>
      </w:r>
      <w:r w:rsidR="00E4F585">
        <w:t>eir</w:t>
      </w:r>
      <w:r w:rsidR="6C5836E9">
        <w:t xml:space="preserve"> determin</w:t>
      </w:r>
      <w:r w:rsidR="4B6552BE">
        <w:t>ation of</w:t>
      </w:r>
      <w:r w:rsidR="008E42B4">
        <w:t xml:space="preserve"> the suitability of </w:t>
      </w:r>
      <w:r w:rsidR="76BB04CC">
        <w:t>Australian</w:t>
      </w:r>
      <w:r w:rsidR="7630EAF6">
        <w:t xml:space="preserve"> donated COVID-19 v</w:t>
      </w:r>
      <w:r w:rsidR="008E42B4">
        <w:t xml:space="preserve">accines for their populations. </w:t>
      </w:r>
      <w:r w:rsidR="00343116">
        <w:t>This work was funded by the Australian Department of Foreign Affairs and Trade</w:t>
      </w:r>
      <w:r w:rsidR="00F66CBF">
        <w:t xml:space="preserve"> </w:t>
      </w:r>
      <w:r w:rsidR="00A15B63">
        <w:t xml:space="preserve">(DFAT) </w:t>
      </w:r>
      <w:r w:rsidR="00F66CBF">
        <w:t xml:space="preserve">under the </w:t>
      </w:r>
      <w:r w:rsidR="00D9220F">
        <w:t>Australian Expert</w:t>
      </w:r>
      <w:r w:rsidR="00F75DFE">
        <w:t xml:space="preserve"> Technical </w:t>
      </w:r>
      <w:r w:rsidR="00A3491B">
        <w:t>Assistance Program – Regulatory Support and Safety Monitoring</w:t>
      </w:r>
      <w:r w:rsidR="008156E1">
        <w:t xml:space="preserve"> (AETAP</w:t>
      </w:r>
      <w:r w:rsidR="00E06FF3">
        <w:t>-</w:t>
      </w:r>
      <w:r w:rsidR="008156E1">
        <w:t>RSSM)</w:t>
      </w:r>
      <w:r w:rsidR="00E06FF3">
        <w:t>.</w:t>
      </w:r>
      <w:r w:rsidR="00025D60">
        <w:t xml:space="preserve"> </w:t>
      </w:r>
      <w:r w:rsidR="00025D60" w:rsidRPr="00025D60">
        <w:t xml:space="preserve">The AETAP-RSSM development goal </w:t>
      </w:r>
      <w:r w:rsidR="00590207">
        <w:t>i</w:t>
      </w:r>
      <w:r w:rsidR="00025D60" w:rsidRPr="00025D60">
        <w:t>s ‘</w:t>
      </w:r>
      <w:r w:rsidR="00025D60" w:rsidRPr="00917E30">
        <w:rPr>
          <w:i/>
          <w:iCs/>
        </w:rPr>
        <w:t xml:space="preserve">to support Pacific and Southeast Asian countries’ efforts to deliver safe, effective and equitable COVID-19 immunisation programs, based on a health and regulatory systems strengthening approach in line with best </w:t>
      </w:r>
      <w:r w:rsidR="00483E2D" w:rsidRPr="00917E30">
        <w:rPr>
          <w:i/>
          <w:iCs/>
        </w:rPr>
        <w:t>practices</w:t>
      </w:r>
      <w:r w:rsidR="008F7C2E">
        <w:t>’</w:t>
      </w:r>
      <w:r w:rsidR="00025D60" w:rsidRPr="00025D60">
        <w:t>.</w:t>
      </w:r>
    </w:p>
    <w:p w14:paraId="2ED730DA" w14:textId="25069CEC" w:rsidR="00F903F9" w:rsidRPr="00C76160" w:rsidRDefault="00F903F9" w:rsidP="40EB8B97">
      <w:pPr>
        <w:rPr>
          <w:rFonts w:eastAsia="Calibri"/>
        </w:rPr>
      </w:pPr>
      <w:r>
        <w:t>Under the AETAP-RSSM</w:t>
      </w:r>
      <w:r w:rsidR="009E4145">
        <w:t xml:space="preserve"> in 2022-23</w:t>
      </w:r>
      <w:r w:rsidRPr="00404820">
        <w:t xml:space="preserve">, </w:t>
      </w:r>
      <w:r w:rsidR="00AA4366">
        <w:t xml:space="preserve">the </w:t>
      </w:r>
      <w:r w:rsidRPr="00404820">
        <w:t xml:space="preserve">TGA facilitated expedited COVID-19 therapy registrations through </w:t>
      </w:r>
      <w:r>
        <w:t xml:space="preserve">developing and </w:t>
      </w:r>
      <w:r w:rsidRPr="00404820">
        <w:t xml:space="preserve">sharing factsheets on the TGA-approved therapies Actemra, Paxlovid and Lagevrio with all AETAP-RSSM countries. This work culminated in assisting the Tuvalu Ministry of Health </w:t>
      </w:r>
      <w:r w:rsidR="00084B4C">
        <w:t xml:space="preserve">to </w:t>
      </w:r>
      <w:r w:rsidRPr="00404820">
        <w:t xml:space="preserve">make an urgent sovereign decision to authorise these therapies for use in managing a COVID-19 outbreak. </w:t>
      </w:r>
      <w:r w:rsidR="00AA4366">
        <w:t xml:space="preserve">The </w:t>
      </w:r>
      <w:r w:rsidRPr="00404820">
        <w:t xml:space="preserve">TGA also responded to a request from the Thai </w:t>
      </w:r>
      <w:r>
        <w:t xml:space="preserve">Food and Drug Administration </w:t>
      </w:r>
      <w:r w:rsidRPr="00404820">
        <w:t>to provide expert assistance in evaluating the safety of Paxlovid in paediatric populations.</w:t>
      </w:r>
    </w:p>
    <w:p w14:paraId="7CF0E1F0" w14:textId="12156F84" w:rsidR="009A127A" w:rsidRDefault="00CD0E63" w:rsidP="40EB8B97">
      <w:pPr>
        <w:rPr>
          <w:rFonts w:cs="Arial"/>
        </w:rPr>
      </w:pPr>
      <w:r>
        <w:rPr>
          <w:rFonts w:cs="Arial"/>
        </w:rPr>
        <w:t>During the 2022-23 period</w:t>
      </w:r>
      <w:r w:rsidR="00A15B63">
        <w:rPr>
          <w:rFonts w:cs="Arial"/>
        </w:rPr>
        <w:t xml:space="preserve"> we also delivered</w:t>
      </w:r>
      <w:r w:rsidR="001A6187">
        <w:rPr>
          <w:rFonts w:cs="Arial"/>
        </w:rPr>
        <w:t xml:space="preserve"> work under </w:t>
      </w:r>
      <w:r w:rsidR="008D12DD">
        <w:rPr>
          <w:rFonts w:cs="Arial"/>
        </w:rPr>
        <w:t xml:space="preserve">the </w:t>
      </w:r>
      <w:r w:rsidR="001A6187">
        <w:rPr>
          <w:rFonts w:cs="Arial"/>
        </w:rPr>
        <w:t>DFAT</w:t>
      </w:r>
      <w:r w:rsidR="00D45CD4">
        <w:rPr>
          <w:rFonts w:cs="Arial"/>
        </w:rPr>
        <w:t>-</w:t>
      </w:r>
      <w:r w:rsidR="001A6187">
        <w:rPr>
          <w:rFonts w:cs="Arial"/>
        </w:rPr>
        <w:t xml:space="preserve">funded </w:t>
      </w:r>
      <w:r w:rsidRPr="259514AE">
        <w:rPr>
          <w:rFonts w:cs="Arial"/>
        </w:rPr>
        <w:t>Indo-Pacific Regulatory Strengthening Program (RSP)</w:t>
      </w:r>
      <w:r w:rsidR="00922B55">
        <w:rPr>
          <w:rFonts w:cs="Arial"/>
        </w:rPr>
        <w:t>. This program aim</w:t>
      </w:r>
      <w:r w:rsidR="00D80988">
        <w:rPr>
          <w:rFonts w:cs="Arial"/>
        </w:rPr>
        <w:t>ed</w:t>
      </w:r>
      <w:r w:rsidR="00922B55">
        <w:rPr>
          <w:rFonts w:cs="Arial"/>
        </w:rPr>
        <w:t xml:space="preserve"> to</w:t>
      </w:r>
      <w:r>
        <w:rPr>
          <w:rFonts w:cs="Arial"/>
        </w:rPr>
        <w:t xml:space="preserve"> </w:t>
      </w:r>
      <w:r w:rsidRPr="00CD0E63">
        <w:rPr>
          <w:rFonts w:cs="Arial"/>
        </w:rPr>
        <w:t xml:space="preserve">strengthen the capability of </w:t>
      </w:r>
      <w:r w:rsidR="00B663DB">
        <w:rPr>
          <w:rFonts w:cs="Arial"/>
        </w:rPr>
        <w:t>Indo-Pacific National Regulatory Authorities (</w:t>
      </w:r>
      <w:r w:rsidRPr="00CD0E63">
        <w:rPr>
          <w:rFonts w:cs="Arial"/>
        </w:rPr>
        <w:t>NRAs</w:t>
      </w:r>
      <w:r w:rsidR="00B663DB">
        <w:rPr>
          <w:rFonts w:cs="Arial"/>
        </w:rPr>
        <w:t>)</w:t>
      </w:r>
      <w:r w:rsidR="00BD226A">
        <w:rPr>
          <w:rFonts w:cs="Arial"/>
        </w:rPr>
        <w:t xml:space="preserve"> and</w:t>
      </w:r>
      <w:r w:rsidRPr="00CD0E63">
        <w:rPr>
          <w:rFonts w:cs="Arial"/>
        </w:rPr>
        <w:t xml:space="preserve"> increase the availability of safe and effective medicines and medical devices through improved regulatory practice and regional collaboration. </w:t>
      </w:r>
    </w:p>
    <w:p w14:paraId="3488D15F" w14:textId="569729B2" w:rsidR="00E62CAA" w:rsidRPr="00C76160" w:rsidRDefault="00E62CAA" w:rsidP="00E62CAA">
      <w:r>
        <w:t>Engagement with the National Pharmaceutical Regulatory Authority (NPRA) of Malaysia was an example of a successful partnership, resulting in many virtual interactions and discussions, as well as an NPRA visit to the TGA from 5</w:t>
      </w:r>
      <w:r w:rsidR="00365F8B">
        <w:t xml:space="preserve"> to </w:t>
      </w:r>
      <w:r>
        <w:t>9 September 2022. These interactions, including experiential exchanges, regulatory insights on many valuable topics, and a deeper understanding of the regulatory framework in each country, are foundational steps that foster long-term collaboration.</w:t>
      </w:r>
    </w:p>
    <w:p w14:paraId="7FD4F230" w14:textId="00277F37" w:rsidR="00E62CAA" w:rsidRPr="00C76160" w:rsidDel="00A71916" w:rsidRDefault="00182E1F" w:rsidP="00E62CAA">
      <w:pPr>
        <w:ind w:left="426"/>
        <w:rPr>
          <w:rFonts w:asciiTheme="minorHAnsi" w:hAnsiTheme="minorHAnsi" w:cstheme="minorBidi"/>
        </w:rPr>
      </w:pPr>
      <w:r>
        <w:rPr>
          <w:noProof/>
        </w:rPr>
        <w:drawing>
          <wp:anchor distT="0" distB="0" distL="114300" distR="114300" simplePos="0" relativeHeight="251662336" behindDoc="0" locked="0" layoutInCell="1" allowOverlap="1" wp14:anchorId="0753BC43" wp14:editId="181FBB85">
            <wp:simplePos x="0" y="0"/>
            <wp:positionH relativeFrom="margin">
              <wp:align>left</wp:align>
            </wp:positionH>
            <wp:positionV relativeFrom="paragraph">
              <wp:posOffset>1735959</wp:posOffset>
            </wp:positionV>
            <wp:extent cx="2387600" cy="508000"/>
            <wp:effectExtent l="0" t="0" r="0" b="635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387600" cy="508000"/>
                    </a:xfrm>
                    <a:prstGeom prst="rect">
                      <a:avLst/>
                    </a:prstGeom>
                  </pic:spPr>
                </pic:pic>
              </a:graphicData>
            </a:graphic>
          </wp:anchor>
        </w:drawing>
      </w:r>
      <w:r w:rsidR="00E62CAA">
        <w:rPr>
          <w:noProof/>
        </w:rPr>
        <w:drawing>
          <wp:inline distT="0" distB="0" distL="0" distR="0" wp14:anchorId="275C22FC" wp14:editId="398F3D0C">
            <wp:extent cx="4938130" cy="2398395"/>
            <wp:effectExtent l="0" t="0" r="0" b="1905"/>
            <wp:docPr id="2" name="Picture 2" descr="The 10 members of the team responsible for the RSP event standing in front of the TGA's main entrance des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10 members of the team responsible for the RSP event standing in front of the TGA's main entrance desk.">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938130" cy="2398395"/>
                    </a:xfrm>
                    <a:prstGeom prst="rect">
                      <a:avLst/>
                    </a:prstGeom>
                  </pic:spPr>
                </pic:pic>
              </a:graphicData>
            </a:graphic>
          </wp:inline>
        </w:drawing>
      </w:r>
    </w:p>
    <w:p w14:paraId="093848A6" w14:textId="2FA7A5F4" w:rsidR="00F63CF5" w:rsidRDefault="00B663DB" w:rsidP="00F63CF5">
      <w:pPr>
        <w:spacing w:line="259" w:lineRule="auto"/>
        <w:rPr>
          <w:rFonts w:cs="Arial"/>
        </w:rPr>
      </w:pPr>
      <w:r>
        <w:rPr>
          <w:rFonts w:cs="Arial"/>
        </w:rPr>
        <w:t xml:space="preserve">A </w:t>
      </w:r>
      <w:r w:rsidR="00365F8B">
        <w:rPr>
          <w:rFonts w:cs="Arial"/>
        </w:rPr>
        <w:t>k</w:t>
      </w:r>
      <w:r>
        <w:rPr>
          <w:rFonts w:cs="Arial"/>
        </w:rPr>
        <w:t>ey achievement of the RSP during this period was</w:t>
      </w:r>
      <w:r w:rsidRPr="259514AE">
        <w:rPr>
          <w:rFonts w:cs="Arial"/>
        </w:rPr>
        <w:t xml:space="preserve"> </w:t>
      </w:r>
      <w:r>
        <w:rPr>
          <w:rFonts w:cs="Arial"/>
        </w:rPr>
        <w:t>collaborating</w:t>
      </w:r>
      <w:r w:rsidR="00094DD9" w:rsidRPr="00094DD9">
        <w:rPr>
          <w:rFonts w:cs="Arial"/>
        </w:rPr>
        <w:t xml:space="preserve"> with the Thai Food and Drug Administration to facilitate the successful registration of Zolgensma via reliance on our evaluation reports and expert advice. This achievement represents the first advanced therapeutic medical product evaluated by a partner NRA. It demonstrates development and </w:t>
      </w:r>
      <w:r w:rsidR="00094DD9" w:rsidRPr="00094DD9">
        <w:rPr>
          <w:rFonts w:cs="Arial"/>
        </w:rPr>
        <w:lastRenderedPageBreak/>
        <w:t>application of the skills required to evaluate products at the cutting edge of pharmaceutical science.</w:t>
      </w:r>
    </w:p>
    <w:p w14:paraId="28CC7A51" w14:textId="4549D0E5" w:rsidR="009A127A" w:rsidRDefault="00455AB5" w:rsidP="00917E30">
      <w:pPr>
        <w:spacing w:line="259" w:lineRule="auto"/>
        <w:rPr>
          <w:rFonts w:cs="Arial"/>
        </w:rPr>
      </w:pPr>
      <w:r>
        <w:rPr>
          <w:rFonts w:cs="Arial"/>
        </w:rPr>
        <w:t>Another significant RSP</w:t>
      </w:r>
      <w:r w:rsidRPr="002424DE">
        <w:rPr>
          <w:rFonts w:cs="Arial"/>
        </w:rPr>
        <w:t xml:space="preserve"> achievement</w:t>
      </w:r>
      <w:r>
        <w:rPr>
          <w:rFonts w:cs="Arial"/>
        </w:rPr>
        <w:t xml:space="preserve"> across 2022-23</w:t>
      </w:r>
      <w:r w:rsidRPr="002424DE">
        <w:rPr>
          <w:rFonts w:cs="Arial"/>
        </w:rPr>
        <w:t xml:space="preserve"> </w:t>
      </w:r>
      <w:r>
        <w:rPr>
          <w:rFonts w:cs="Arial"/>
        </w:rPr>
        <w:t>was</w:t>
      </w:r>
      <w:r w:rsidRPr="002424DE">
        <w:rPr>
          <w:rFonts w:cs="Arial"/>
        </w:rPr>
        <w:t xml:space="preserve"> </w:t>
      </w:r>
      <w:r>
        <w:rPr>
          <w:rFonts w:cs="Arial"/>
        </w:rPr>
        <w:t xml:space="preserve">participation in </w:t>
      </w:r>
      <w:r w:rsidRPr="002424DE">
        <w:rPr>
          <w:rFonts w:cs="Arial"/>
        </w:rPr>
        <w:t xml:space="preserve">the ASEAN Joint Assessment (ASEAN JA) of the HIV prophylactic product Apretude by the Philippines, Myanmar, Vietnam, and Malaysia. </w:t>
      </w:r>
      <w:r w:rsidR="00365F8B">
        <w:rPr>
          <w:rFonts w:cs="Arial"/>
        </w:rPr>
        <w:t xml:space="preserve">The </w:t>
      </w:r>
      <w:r w:rsidRPr="002424DE">
        <w:rPr>
          <w:rFonts w:cs="Arial"/>
        </w:rPr>
        <w:t>TGA’s role</w:t>
      </w:r>
      <w:r w:rsidR="008311B2">
        <w:rPr>
          <w:rFonts w:cs="Arial"/>
        </w:rPr>
        <w:t xml:space="preserve"> as the Stringent Regulatory Authority</w:t>
      </w:r>
      <w:r w:rsidRPr="002424DE">
        <w:rPr>
          <w:rFonts w:cs="Arial"/>
        </w:rPr>
        <w:t xml:space="preserve"> in the ASEAN JA led to a request to also participate in the WHO Collaborative Registration Procedure for the same product, demonstrating the</w:t>
      </w:r>
      <w:r w:rsidR="00681E53">
        <w:rPr>
          <w:rFonts w:cs="Arial"/>
        </w:rPr>
        <w:t xml:space="preserve"> TGA’s</w:t>
      </w:r>
      <w:r w:rsidRPr="002424DE">
        <w:rPr>
          <w:rFonts w:cs="Arial"/>
        </w:rPr>
        <w:t xml:space="preserve"> reputation as a trusted reference agency for supporting collaborative registration pathways.  </w:t>
      </w:r>
    </w:p>
    <w:p w14:paraId="32F03ED1" w14:textId="1DB620FC" w:rsidR="006562C9" w:rsidRDefault="006562C9" w:rsidP="006562C9">
      <w:pPr>
        <w:rPr>
          <w:rFonts w:cs="Arial"/>
        </w:rPr>
      </w:pPr>
      <w:r w:rsidRPr="259514AE">
        <w:rPr>
          <w:rFonts w:cs="Arial"/>
        </w:rPr>
        <w:t xml:space="preserve">Further information about the </w:t>
      </w:r>
      <w:r>
        <w:rPr>
          <w:rFonts w:cs="Arial"/>
        </w:rPr>
        <w:t xml:space="preserve">AETAP-RSSM and </w:t>
      </w:r>
      <w:r w:rsidRPr="259514AE">
        <w:rPr>
          <w:rFonts w:cs="Arial"/>
        </w:rPr>
        <w:t xml:space="preserve">RSP </w:t>
      </w:r>
      <w:r>
        <w:rPr>
          <w:rFonts w:cs="Arial"/>
        </w:rPr>
        <w:t xml:space="preserve">and other achievements </w:t>
      </w:r>
      <w:r w:rsidR="007072FA">
        <w:rPr>
          <w:rFonts w:cs="Arial"/>
        </w:rPr>
        <w:t xml:space="preserve">for these </w:t>
      </w:r>
      <w:r w:rsidR="00AC2A51">
        <w:rPr>
          <w:rFonts w:cs="Arial"/>
        </w:rPr>
        <w:t>p</w:t>
      </w:r>
      <w:r w:rsidR="007072FA">
        <w:rPr>
          <w:rFonts w:cs="Arial"/>
        </w:rPr>
        <w:t xml:space="preserve">rograms </w:t>
      </w:r>
      <w:r>
        <w:rPr>
          <w:rFonts w:cs="Arial"/>
        </w:rPr>
        <w:t>across 2022-23 is</w:t>
      </w:r>
      <w:r w:rsidRPr="259514AE">
        <w:rPr>
          <w:rFonts w:cs="Arial"/>
        </w:rPr>
        <w:t xml:space="preserve"> described in greater detail in the </w:t>
      </w:r>
      <w:hyperlink w:anchor="_The_Indo-Pacific_Regulatory" w:history="1">
        <w:r w:rsidRPr="00AC2A51">
          <w:rPr>
            <w:rStyle w:val="Hyperlink"/>
            <w:rFonts w:cs="Arial"/>
          </w:rPr>
          <w:t>Indo-Pacific Regulatory Strengthening Program</w:t>
        </w:r>
      </w:hyperlink>
      <w:r w:rsidR="00AC2A51">
        <w:rPr>
          <w:rFonts w:cs="Arial"/>
        </w:rPr>
        <w:t xml:space="preserve"> section</w:t>
      </w:r>
      <w:r w:rsidR="00B17C67">
        <w:rPr>
          <w:rFonts w:cs="Arial"/>
        </w:rPr>
        <w:t xml:space="preserve"> below</w:t>
      </w:r>
      <w:r w:rsidRPr="259514AE">
        <w:rPr>
          <w:rFonts w:cs="Arial"/>
        </w:rPr>
        <w:t xml:space="preserve">. </w:t>
      </w:r>
    </w:p>
    <w:p w14:paraId="4898319F" w14:textId="221EA197" w:rsidR="00833F94" w:rsidRPr="00C76160" w:rsidRDefault="1D6553C2" w:rsidP="40EB8B97">
      <w:pPr>
        <w:pStyle w:val="Heading3"/>
      </w:pPr>
      <w:bookmarkStart w:id="17" w:name="_Toc153550380"/>
      <w:r>
        <w:t>World Health Organi</w:t>
      </w:r>
      <w:r w:rsidR="00AC2A51">
        <w:t>z</w:t>
      </w:r>
      <w:r>
        <w:t>ation (WHO)</w:t>
      </w:r>
      <w:bookmarkEnd w:id="17"/>
    </w:p>
    <w:p w14:paraId="64CF7EAC" w14:textId="72F4D54F" w:rsidR="00A50568" w:rsidRPr="009D15F3" w:rsidRDefault="0003253E" w:rsidP="005675EF">
      <w:pPr>
        <w:rPr>
          <w:szCs w:val="22"/>
        </w:rPr>
      </w:pPr>
      <w:r w:rsidRPr="009D15F3">
        <w:rPr>
          <w:szCs w:val="22"/>
        </w:rPr>
        <w:t>At the World Health Organi</w:t>
      </w:r>
      <w:r w:rsidR="00AC2A51">
        <w:rPr>
          <w:szCs w:val="22"/>
        </w:rPr>
        <w:t>z</w:t>
      </w:r>
      <w:r w:rsidRPr="009D15F3">
        <w:rPr>
          <w:szCs w:val="22"/>
        </w:rPr>
        <w:t xml:space="preserve">ation Global Model Regulatory Framework consultative </w:t>
      </w:r>
      <w:r w:rsidR="00B42CB3" w:rsidRPr="009D15F3">
        <w:rPr>
          <w:szCs w:val="22"/>
        </w:rPr>
        <w:t>meetings</w:t>
      </w:r>
      <w:r w:rsidR="00D2249A" w:rsidRPr="009D15F3">
        <w:rPr>
          <w:szCs w:val="22"/>
        </w:rPr>
        <w:t xml:space="preserve">, </w:t>
      </w:r>
      <w:r w:rsidR="00486837" w:rsidRPr="009D15F3">
        <w:rPr>
          <w:szCs w:val="22"/>
        </w:rPr>
        <w:t>we</w:t>
      </w:r>
      <w:r w:rsidR="453111FC" w:rsidRPr="009D15F3">
        <w:rPr>
          <w:szCs w:val="22"/>
        </w:rPr>
        <w:t xml:space="preserve"> </w:t>
      </w:r>
      <w:r w:rsidR="00486837" w:rsidRPr="009D15F3">
        <w:rPr>
          <w:szCs w:val="22"/>
        </w:rPr>
        <w:t xml:space="preserve">contributed to a range of </w:t>
      </w:r>
      <w:r w:rsidR="00AC2A51">
        <w:rPr>
          <w:szCs w:val="22"/>
        </w:rPr>
        <w:t>i</w:t>
      </w:r>
      <w:r w:rsidR="00A50568" w:rsidRPr="009D15F3">
        <w:rPr>
          <w:szCs w:val="22"/>
        </w:rPr>
        <w:t>nternational standard setting processes</w:t>
      </w:r>
      <w:r w:rsidR="00486837" w:rsidRPr="009D15F3">
        <w:rPr>
          <w:szCs w:val="22"/>
        </w:rPr>
        <w:t xml:space="preserve"> to improve</w:t>
      </w:r>
      <w:r w:rsidR="00A53570" w:rsidRPr="009D15F3">
        <w:rPr>
          <w:szCs w:val="22"/>
        </w:rPr>
        <w:t xml:space="preserve"> how standards can</w:t>
      </w:r>
      <w:r w:rsidR="008A4F9E" w:rsidRPr="009D15F3">
        <w:rPr>
          <w:szCs w:val="22"/>
        </w:rPr>
        <w:t xml:space="preserve"> support</w:t>
      </w:r>
      <w:r w:rsidR="00D2249A" w:rsidRPr="009D15F3">
        <w:rPr>
          <w:szCs w:val="22"/>
        </w:rPr>
        <w:t xml:space="preserve"> p</w:t>
      </w:r>
      <w:r w:rsidR="006A1E4B" w:rsidRPr="009D15F3">
        <w:rPr>
          <w:szCs w:val="22"/>
        </w:rPr>
        <w:t xml:space="preserve">atient safety and </w:t>
      </w:r>
      <w:r w:rsidR="00DF7E5F">
        <w:rPr>
          <w:szCs w:val="22"/>
        </w:rPr>
        <w:t xml:space="preserve">promote </w:t>
      </w:r>
      <w:r w:rsidR="006A1E4B" w:rsidRPr="009D15F3">
        <w:rPr>
          <w:szCs w:val="22"/>
        </w:rPr>
        <w:t>consistent adoption in regulatory requirements</w:t>
      </w:r>
      <w:r w:rsidR="00801ABE" w:rsidRPr="009D15F3">
        <w:rPr>
          <w:szCs w:val="22"/>
        </w:rPr>
        <w:t>,</w:t>
      </w:r>
      <w:r w:rsidR="00F93D8D" w:rsidRPr="009D15F3">
        <w:rPr>
          <w:szCs w:val="22"/>
        </w:rPr>
        <w:t xml:space="preserve"> such as</w:t>
      </w:r>
      <w:r w:rsidR="00916FF6">
        <w:rPr>
          <w:szCs w:val="22"/>
        </w:rPr>
        <w:t xml:space="preserve"> m</w:t>
      </w:r>
      <w:r w:rsidR="00A50568" w:rsidRPr="009D15F3">
        <w:rPr>
          <w:szCs w:val="22"/>
        </w:rPr>
        <w:t>edical device identification</w:t>
      </w:r>
      <w:r w:rsidR="00916FF6">
        <w:rPr>
          <w:szCs w:val="22"/>
        </w:rPr>
        <w:t xml:space="preserve"> and </w:t>
      </w:r>
      <w:r w:rsidR="00B63D44" w:rsidRPr="009D15F3">
        <w:rPr>
          <w:szCs w:val="22"/>
        </w:rPr>
        <w:t>b</w:t>
      </w:r>
      <w:r w:rsidR="00A50568" w:rsidRPr="009D15F3">
        <w:rPr>
          <w:szCs w:val="22"/>
        </w:rPr>
        <w:t>reast implants and respiratory devices</w:t>
      </w:r>
      <w:r w:rsidR="00C03718">
        <w:rPr>
          <w:szCs w:val="22"/>
        </w:rPr>
        <w:t>.</w:t>
      </w:r>
    </w:p>
    <w:p w14:paraId="3C7E57D1" w14:textId="19511A7A" w:rsidR="00F03109" w:rsidRPr="00916FF6" w:rsidRDefault="00916FF6" w:rsidP="005675EF">
      <w:pPr>
        <w:rPr>
          <w:szCs w:val="22"/>
        </w:rPr>
      </w:pPr>
      <w:r>
        <w:rPr>
          <w:szCs w:val="22"/>
        </w:rPr>
        <w:t xml:space="preserve">We also </w:t>
      </w:r>
      <w:r w:rsidR="00ED4F3A" w:rsidRPr="00916FF6">
        <w:rPr>
          <w:szCs w:val="22"/>
        </w:rPr>
        <w:t>p</w:t>
      </w:r>
      <w:r w:rsidR="00F03109" w:rsidRPr="00916FF6">
        <w:rPr>
          <w:szCs w:val="22"/>
        </w:rPr>
        <w:t>articipated in</w:t>
      </w:r>
      <w:r w:rsidR="00C46238" w:rsidRPr="00916FF6">
        <w:rPr>
          <w:szCs w:val="22"/>
        </w:rPr>
        <w:t xml:space="preserve"> a</w:t>
      </w:r>
      <w:r w:rsidR="00F03109" w:rsidRPr="00916FF6">
        <w:rPr>
          <w:szCs w:val="22"/>
        </w:rPr>
        <w:t xml:space="preserve"> working group to provide expertise in developing WHO</w:t>
      </w:r>
      <w:r>
        <w:rPr>
          <w:szCs w:val="22"/>
        </w:rPr>
        <w:t xml:space="preserve"> </w:t>
      </w:r>
      <w:r w:rsidR="00F03109" w:rsidRPr="00916FF6">
        <w:rPr>
          <w:szCs w:val="22"/>
        </w:rPr>
        <w:t>recommendations on good practices for implementing international guidelines</w:t>
      </w:r>
      <w:r w:rsidR="34ED5E71" w:rsidRPr="00916FF6">
        <w:rPr>
          <w:szCs w:val="22"/>
        </w:rPr>
        <w:t>.</w:t>
      </w:r>
    </w:p>
    <w:p w14:paraId="63ABD804" w14:textId="54FBE226" w:rsidR="003F255F" w:rsidRPr="00C76160" w:rsidRDefault="003F255F" w:rsidP="40EB8B97">
      <w:r w:rsidRPr="009D15F3">
        <w:rPr>
          <w:szCs w:val="22"/>
        </w:rPr>
        <w:t>As an Essential Regulatory Laboratory for influenza, we</w:t>
      </w:r>
      <w:r w:rsidR="00364095" w:rsidRPr="009D15F3">
        <w:rPr>
          <w:szCs w:val="22"/>
        </w:rPr>
        <w:t xml:space="preserve"> </w:t>
      </w:r>
      <w:r w:rsidRPr="009D15F3">
        <w:rPr>
          <w:szCs w:val="22"/>
        </w:rPr>
        <w:t>participated in workshops and meetings to support the WHO Pandemic Influenza Vaccine</w:t>
      </w:r>
      <w:r>
        <w:t xml:space="preserve"> Response Operational Plan</w:t>
      </w:r>
      <w:r w:rsidR="00DA3BEB">
        <w:t>, which</w:t>
      </w:r>
      <w:r>
        <w:t xml:space="preserve"> aims to address technical regulatory considerations</w:t>
      </w:r>
      <w:r w:rsidR="00DA3BEB">
        <w:t xml:space="preserve"> </w:t>
      </w:r>
      <w:r>
        <w:t>and support global responsiveness in the event of an influenza pandemic</w:t>
      </w:r>
      <w:r w:rsidR="00DA3BEB">
        <w:t>.</w:t>
      </w:r>
    </w:p>
    <w:p w14:paraId="401625D4" w14:textId="5E1FB5AD" w:rsidR="007069E8" w:rsidRPr="00C76160" w:rsidRDefault="002F1BF9" w:rsidP="40EB8B97">
      <w:pPr>
        <w:rPr>
          <w:szCs w:val="22"/>
        </w:rPr>
      </w:pPr>
      <w:r>
        <w:t>Our</w:t>
      </w:r>
      <w:r w:rsidR="007069E8">
        <w:t xml:space="preserve"> </w:t>
      </w:r>
      <w:r w:rsidR="00AC2A51">
        <w:t>l</w:t>
      </w:r>
      <w:r w:rsidR="007069E8">
        <w:t xml:space="preserve">aboratories </w:t>
      </w:r>
      <w:r w:rsidR="00592839">
        <w:t>now form part of an international collaborative network to suppor</w:t>
      </w:r>
      <w:r w:rsidR="00E82729">
        <w:t>t</w:t>
      </w:r>
      <w:r w:rsidR="00B3170A">
        <w:t xml:space="preserve"> WHO progra</w:t>
      </w:r>
      <w:r w:rsidR="00274072">
        <w:t>m</w:t>
      </w:r>
      <w:r w:rsidR="00B3170A">
        <w:t>s, having been</w:t>
      </w:r>
      <w:r w:rsidR="007069E8">
        <w:t xml:space="preserve"> re-designated as</w:t>
      </w:r>
      <w:r w:rsidR="007531A4">
        <w:t xml:space="preserve"> </w:t>
      </w:r>
      <w:r w:rsidR="007069E8">
        <w:t>WHO Collaborating Centre</w:t>
      </w:r>
      <w:r w:rsidR="00C64499">
        <w:t>s</w:t>
      </w:r>
      <w:r w:rsidR="007069E8">
        <w:t xml:space="preserve"> for</w:t>
      </w:r>
      <w:r w:rsidR="17B657CD">
        <w:t xml:space="preserve"> </w:t>
      </w:r>
      <w:r w:rsidR="007069E8">
        <w:t>Medicines Quality Assurance and Quality Assurance of Vaccines and Other Biologicals.</w:t>
      </w:r>
    </w:p>
    <w:p w14:paraId="3F5E3045" w14:textId="172D5E7F" w:rsidR="006A3825" w:rsidRPr="00C76160" w:rsidRDefault="0043529A" w:rsidP="40EB8B97">
      <w:pPr>
        <w:rPr>
          <w:rFonts w:eastAsia="Calibri"/>
        </w:rPr>
      </w:pPr>
      <w:r>
        <w:t>In October 2012, t</w:t>
      </w:r>
      <w:r w:rsidR="00246829">
        <w:t xml:space="preserve">he World Health Assembly established the </w:t>
      </w:r>
      <w:r w:rsidR="007B0366">
        <w:t xml:space="preserve">WHO’s Member State Mechanism on Substandard and Falsified Medical Products (the </w:t>
      </w:r>
      <w:r w:rsidR="002501F2">
        <w:t>M</w:t>
      </w:r>
      <w:r w:rsidR="007B0366">
        <w:t>echanism)</w:t>
      </w:r>
      <w:r w:rsidR="005B1FF8">
        <w:t>, which</w:t>
      </w:r>
      <w:r w:rsidR="210D8B15">
        <w:t xml:space="preserve"> i</w:t>
      </w:r>
      <w:r w:rsidR="00AC2860">
        <w:t xml:space="preserve">s </w:t>
      </w:r>
      <w:r w:rsidR="006F0D0C">
        <w:t xml:space="preserve">a </w:t>
      </w:r>
      <w:r w:rsidR="00AC2A51">
        <w:t>g</w:t>
      </w:r>
      <w:r w:rsidR="004E4982">
        <w:t xml:space="preserve">lobal forum </w:t>
      </w:r>
      <w:r w:rsidR="00127D5A">
        <w:t>bring</w:t>
      </w:r>
      <w:r w:rsidR="00293E8B">
        <w:t>ing</w:t>
      </w:r>
      <w:r w:rsidR="00127D5A">
        <w:t xml:space="preserve"> together 194 </w:t>
      </w:r>
      <w:r w:rsidR="00293E8B">
        <w:t xml:space="preserve">WHO </w:t>
      </w:r>
      <w:r w:rsidR="00127D5A">
        <w:t xml:space="preserve">member states </w:t>
      </w:r>
      <w:r w:rsidR="6FA49B55">
        <w:t xml:space="preserve">to </w:t>
      </w:r>
      <w:r w:rsidR="001C72C4">
        <w:t>d</w:t>
      </w:r>
      <w:r w:rsidR="006A3825">
        <w:t xml:space="preserve">evelop strategies </w:t>
      </w:r>
      <w:r w:rsidR="00293E8B">
        <w:t xml:space="preserve">to </w:t>
      </w:r>
      <w:r w:rsidR="006A3825">
        <w:t>mitigat</w:t>
      </w:r>
      <w:r w:rsidR="00293E8B">
        <w:t>e</w:t>
      </w:r>
      <w:r w:rsidR="006A3825">
        <w:t xml:space="preserve"> the public health risk and harm caused by substandard or falsified medical products</w:t>
      </w:r>
      <w:r w:rsidR="643147C7">
        <w:t>.</w:t>
      </w:r>
    </w:p>
    <w:p w14:paraId="1E7F1135" w14:textId="1123EBDA" w:rsidR="00B13EC3" w:rsidRPr="00C76160" w:rsidRDefault="00033815" w:rsidP="40EB8B97">
      <w:pPr>
        <w:rPr>
          <w:rFonts w:eastAsia="Calibri"/>
        </w:rPr>
      </w:pPr>
      <w:r>
        <w:t xml:space="preserve">Australia </w:t>
      </w:r>
      <w:r w:rsidR="75679AB9">
        <w:t xml:space="preserve">is an </w:t>
      </w:r>
      <w:r>
        <w:t>elected</w:t>
      </w:r>
      <w:r w:rsidR="37B5B054">
        <w:t xml:space="preserve"> representative of the</w:t>
      </w:r>
      <w:r>
        <w:t xml:space="preserve"> Western Pacific Region and Chair of the Steering Committee of the Mechanism</w:t>
      </w:r>
      <w:r w:rsidR="40557A91">
        <w:t xml:space="preserve"> for the </w:t>
      </w:r>
      <w:r w:rsidR="00B840DA">
        <w:t xml:space="preserve">2022/23 </w:t>
      </w:r>
      <w:r w:rsidR="40557A91">
        <w:t>biennium</w:t>
      </w:r>
      <w:r w:rsidR="001C12FB">
        <w:t xml:space="preserve">. </w:t>
      </w:r>
      <w:r w:rsidR="111F00B5">
        <w:t>D</w:t>
      </w:r>
      <w:r w:rsidR="007E6F12">
        <w:t>uring this period</w:t>
      </w:r>
      <w:r w:rsidR="004A10AB">
        <w:t xml:space="preserve"> </w:t>
      </w:r>
      <w:r w:rsidR="006A2490">
        <w:t>of leadership,</w:t>
      </w:r>
      <w:r w:rsidR="004A10AB">
        <w:t xml:space="preserve"> we have driven continual improvement in the mechanism’s operations, including through</w:t>
      </w:r>
      <w:r w:rsidR="007E6F12">
        <w:t>:</w:t>
      </w:r>
    </w:p>
    <w:p w14:paraId="46E40459" w14:textId="587C9B81" w:rsidR="00DE2CA1" w:rsidRPr="00C76160" w:rsidRDefault="00782F0F" w:rsidP="40EB8B97">
      <w:pPr>
        <w:pStyle w:val="ListParagraph"/>
      </w:pPr>
      <w:r>
        <w:t>implement</w:t>
      </w:r>
      <w:r w:rsidR="00B840DA">
        <w:t>ing</w:t>
      </w:r>
      <w:r>
        <w:t xml:space="preserve"> </w:t>
      </w:r>
      <w:r w:rsidR="009804E3">
        <w:t>longer-term</w:t>
      </w:r>
      <w:r>
        <w:t xml:space="preserve"> strategic planning</w:t>
      </w:r>
    </w:p>
    <w:p w14:paraId="50166A04" w14:textId="4942C395" w:rsidR="004A10AB" w:rsidRPr="00C76160" w:rsidRDefault="004A10AB" w:rsidP="40EB8B97">
      <w:pPr>
        <w:pStyle w:val="ListParagraph"/>
      </w:pPr>
      <w:r>
        <w:t>introduc</w:t>
      </w:r>
      <w:r w:rsidR="00B840DA">
        <w:t>ing</w:t>
      </w:r>
      <w:r>
        <w:t xml:space="preserve"> metrics and indicators to enhance the output of working groups</w:t>
      </w:r>
    </w:p>
    <w:p w14:paraId="543DE96A" w14:textId="3A828891" w:rsidR="003C3274" w:rsidRPr="00C76160" w:rsidRDefault="003C3274" w:rsidP="40EB8B97">
      <w:pPr>
        <w:pStyle w:val="ListParagraph"/>
      </w:pPr>
      <w:r>
        <w:t>revising the scope of existing working groups and the establishment of new working groups</w:t>
      </w:r>
      <w:r w:rsidR="00D526CA">
        <w:t>,</w:t>
      </w:r>
      <w:r>
        <w:t xml:space="preserve"> allowing the </w:t>
      </w:r>
      <w:r w:rsidR="00D526CA">
        <w:t>M</w:t>
      </w:r>
      <w:r>
        <w:t xml:space="preserve">echanism to be more flexible and responsive to emerging </w:t>
      </w:r>
      <w:r w:rsidR="00BE7023">
        <w:t>s</w:t>
      </w:r>
      <w:r>
        <w:t xml:space="preserve">ubstandard and </w:t>
      </w:r>
      <w:r w:rsidR="00BE7023">
        <w:t>F</w:t>
      </w:r>
      <w:r>
        <w:t>alsified Medical Product issues of concern</w:t>
      </w:r>
    </w:p>
    <w:p w14:paraId="4C09C202" w14:textId="4C027DD8" w:rsidR="00C142C3" w:rsidRPr="00C76160" w:rsidRDefault="009C65B4" w:rsidP="40EB8B97">
      <w:pPr>
        <w:pStyle w:val="ListParagraph"/>
      </w:pPr>
      <w:r>
        <w:t>b</w:t>
      </w:r>
      <w:r w:rsidR="00C142C3">
        <w:t xml:space="preserve">uilding support for and stewarding a proposal for an independent review of the </w:t>
      </w:r>
      <w:r w:rsidR="004E11A5">
        <w:t>M</w:t>
      </w:r>
      <w:r w:rsidR="00C142C3">
        <w:t>echanism through the</w:t>
      </w:r>
      <w:r w:rsidR="004E11A5">
        <w:t xml:space="preserve"> </w:t>
      </w:r>
      <w:r w:rsidR="00C142C3">
        <w:t>plenary meeting in 2022</w:t>
      </w:r>
      <w:r w:rsidR="00A415C3">
        <w:t>, the WHO Executive Board and the World Health Assembly in 2023</w:t>
      </w:r>
      <w:r w:rsidR="3863E534">
        <w:t>.</w:t>
      </w:r>
    </w:p>
    <w:p w14:paraId="7A6D0701" w14:textId="7E225897" w:rsidR="000F4FE3" w:rsidRPr="00C76160" w:rsidRDefault="135EF284" w:rsidP="40EB8B97">
      <w:pPr>
        <w:rPr>
          <w:rFonts w:eastAsia="Calibri"/>
        </w:rPr>
      </w:pPr>
      <w:r>
        <w:lastRenderedPageBreak/>
        <w:t>I</w:t>
      </w:r>
      <w:r w:rsidR="00EA3D72">
        <w:t xml:space="preserve">n </w:t>
      </w:r>
      <w:r w:rsidR="00637DAF">
        <w:t xml:space="preserve">addition to our leadership role, we </w:t>
      </w:r>
      <w:r w:rsidR="00A415C3">
        <w:t>represent</w:t>
      </w:r>
      <w:r w:rsidR="00E012B7">
        <w:t>ed</w:t>
      </w:r>
      <w:r w:rsidR="001209B2">
        <w:t xml:space="preserve"> the </w:t>
      </w:r>
      <w:r w:rsidR="00703F37">
        <w:t>TGA on</w:t>
      </w:r>
      <w:r w:rsidR="00A415C3">
        <w:t xml:space="preserve"> the </w:t>
      </w:r>
      <w:r w:rsidR="004E11A5">
        <w:t>M</w:t>
      </w:r>
      <w:r w:rsidR="00A415C3">
        <w:t>echanism</w:t>
      </w:r>
      <w:r w:rsidR="00637DAF">
        <w:t>’</w:t>
      </w:r>
      <w:r w:rsidR="00A415C3">
        <w:t>s working group on ‘Impact and Awareness’</w:t>
      </w:r>
      <w:r w:rsidR="00637DAF">
        <w:t>.</w:t>
      </w:r>
    </w:p>
    <w:p w14:paraId="3F4EC1A2" w14:textId="4558F32E" w:rsidR="00833F94" w:rsidRPr="00C76160" w:rsidRDefault="1D6553C2" w:rsidP="40EB8B97">
      <w:pPr>
        <w:pStyle w:val="Heading3"/>
      </w:pPr>
      <w:bookmarkStart w:id="18" w:name="_Toc153550381"/>
      <w:r>
        <w:t>International initiatives and forums</w:t>
      </w:r>
      <w:bookmarkEnd w:id="18"/>
    </w:p>
    <w:p w14:paraId="6DEFDAF6" w14:textId="4D48DDE5" w:rsidR="00936A63" w:rsidRPr="00C76160" w:rsidRDefault="00936A63" w:rsidP="40EB8B97">
      <w:r>
        <w:t>We have contributed to the development of international harmonised guidance on bioequivalence requirements</w:t>
      </w:r>
      <w:r w:rsidR="00E560FC">
        <w:t xml:space="preserve"> </w:t>
      </w:r>
      <w:r w:rsidR="00EB0B3C">
        <w:t>through our involvement</w:t>
      </w:r>
      <w:r w:rsidR="00404FF5">
        <w:t xml:space="preserve"> in</w:t>
      </w:r>
      <w:r w:rsidR="00E560FC">
        <w:t xml:space="preserve"> the Expert Working Group of International Council for Harmonisation of Technical Requirements for Pharmaceuticals for Human Use</w:t>
      </w:r>
      <w:r w:rsidR="00456B08">
        <w:t>.</w:t>
      </w:r>
    </w:p>
    <w:p w14:paraId="05A33C80" w14:textId="697B7C90" w:rsidR="00833F94" w:rsidRPr="00C76160" w:rsidRDefault="00833F94" w:rsidP="40EB8B97">
      <w:r>
        <w:t>Active membership of the International Pharmaceutical Regulators Programme Quality and Bioequivalence Working Groups has allowed us to survey different approaches to regulation</w:t>
      </w:r>
      <w:r w:rsidR="005B53D4">
        <w:t>,</w:t>
      </w:r>
      <w:r>
        <w:t xml:space="preserve"> and </w:t>
      </w:r>
      <w:r w:rsidR="005B53D4">
        <w:t xml:space="preserve">to </w:t>
      </w:r>
      <w:r>
        <w:t>propose and develop topics for convergence to enable regulatory cooperation.</w:t>
      </w:r>
    </w:p>
    <w:p w14:paraId="4682EF09" w14:textId="31E52282" w:rsidR="00673E87" w:rsidRPr="00C76160" w:rsidRDefault="00DA0C3C" w:rsidP="40EB8B97">
      <w:pPr>
        <w:rPr>
          <w:rFonts w:cstheme="minorBidi"/>
        </w:rPr>
      </w:pPr>
      <w:r w:rsidRPr="40EB8B97">
        <w:rPr>
          <w:rFonts w:cstheme="minorBidi"/>
        </w:rPr>
        <w:t xml:space="preserve">We </w:t>
      </w:r>
      <w:r w:rsidR="00181754" w:rsidRPr="40EB8B97">
        <w:rPr>
          <w:rFonts w:cstheme="minorBidi"/>
        </w:rPr>
        <w:t xml:space="preserve">actively contribute to </w:t>
      </w:r>
      <w:r w:rsidR="005A417F" w:rsidRPr="40EB8B97">
        <w:rPr>
          <w:rFonts w:cstheme="minorBidi"/>
        </w:rPr>
        <w:t xml:space="preserve">monthly </w:t>
      </w:r>
      <w:r w:rsidR="00AC2A51">
        <w:rPr>
          <w:rFonts w:cstheme="minorBidi"/>
        </w:rPr>
        <w:t>i</w:t>
      </w:r>
      <w:r w:rsidR="00181754" w:rsidRPr="40EB8B97">
        <w:rPr>
          <w:rFonts w:cstheme="minorBidi"/>
        </w:rPr>
        <w:t xml:space="preserve">nternational medical device safety meetings (IMDS) </w:t>
      </w:r>
      <w:r w:rsidR="00AA3356" w:rsidRPr="40EB8B97">
        <w:rPr>
          <w:rFonts w:cstheme="minorBidi"/>
        </w:rPr>
        <w:t>in collaboration with</w:t>
      </w:r>
      <w:r w:rsidR="00181754" w:rsidRPr="40EB8B97">
        <w:rPr>
          <w:rFonts w:cstheme="minorBidi"/>
        </w:rPr>
        <w:t xml:space="preserve"> </w:t>
      </w:r>
      <w:r w:rsidR="008755E7" w:rsidRPr="40EB8B97">
        <w:rPr>
          <w:rFonts w:cstheme="minorBidi"/>
        </w:rPr>
        <w:t>11 international</w:t>
      </w:r>
      <w:r w:rsidR="00181754" w:rsidRPr="40EB8B97">
        <w:rPr>
          <w:rFonts w:cstheme="minorBidi"/>
        </w:rPr>
        <w:t xml:space="preserve"> medical device regulators</w:t>
      </w:r>
      <w:r w:rsidR="00581A01" w:rsidRPr="40EB8B97">
        <w:rPr>
          <w:rFonts w:cstheme="minorBidi"/>
        </w:rPr>
        <w:t>,</w:t>
      </w:r>
      <w:r w:rsidR="00502DB5" w:rsidRPr="40EB8B97">
        <w:rPr>
          <w:rFonts w:cstheme="minorBidi"/>
        </w:rPr>
        <w:t xml:space="preserve"> to</w:t>
      </w:r>
      <w:r w:rsidR="00673E87" w:rsidRPr="40EB8B97">
        <w:rPr>
          <w:rFonts w:cstheme="minorBidi"/>
        </w:rPr>
        <w:t xml:space="preserve">: </w:t>
      </w:r>
    </w:p>
    <w:p w14:paraId="6E9271F6" w14:textId="6CEECFC9" w:rsidR="00673E87" w:rsidRPr="00C76160" w:rsidRDefault="00502DB5" w:rsidP="40EB8B97">
      <w:pPr>
        <w:pStyle w:val="ListParagraph"/>
      </w:pPr>
      <w:r>
        <w:t>exchange information on e</w:t>
      </w:r>
      <w:r w:rsidR="008755E7">
        <w:t>merging health and safety risks</w:t>
      </w:r>
    </w:p>
    <w:p w14:paraId="2195393B" w14:textId="0C447F5C" w:rsidR="008755E7" w:rsidRPr="00C76160" w:rsidRDefault="007A5819" w:rsidP="40EB8B97">
      <w:pPr>
        <w:pStyle w:val="ListParagraph"/>
      </w:pPr>
      <w:r>
        <w:t>c</w:t>
      </w:r>
      <w:r w:rsidR="004B77B6">
        <w:t>ommunicate findings from investigations and recalls</w:t>
      </w:r>
    </w:p>
    <w:p w14:paraId="5D598ABD" w14:textId="72AA8B3C" w:rsidR="00545761" w:rsidRPr="00C76160" w:rsidRDefault="002B330A" w:rsidP="40EB8B97">
      <w:pPr>
        <w:pStyle w:val="ListParagraph"/>
      </w:pPr>
      <w:r>
        <w:t>d</w:t>
      </w:r>
      <w:r w:rsidR="007A5819">
        <w:t>iscuss h</w:t>
      </w:r>
      <w:r w:rsidR="004B77B6">
        <w:t>armonisation of approaches and actions</w:t>
      </w:r>
    </w:p>
    <w:p w14:paraId="6D05579D" w14:textId="7A72B9C8" w:rsidR="00C65E6D" w:rsidRPr="00C76160" w:rsidRDefault="002B330A" w:rsidP="40EB8B97">
      <w:pPr>
        <w:pStyle w:val="ListParagraph"/>
      </w:pPr>
      <w:r>
        <w:t>pl</w:t>
      </w:r>
      <w:r w:rsidR="00272A4D">
        <w:t>ay a leading role</w:t>
      </w:r>
      <w:r>
        <w:t xml:space="preserve"> in provision of a</w:t>
      </w:r>
      <w:r w:rsidR="00272A4D">
        <w:t xml:space="preserve">dministrative support to maintain a platform </w:t>
      </w:r>
      <w:r w:rsidR="002A6BF5">
        <w:t>for</w:t>
      </w:r>
      <w:r w:rsidR="00272A4D">
        <w:t xml:space="preserve"> information</w:t>
      </w:r>
      <w:r w:rsidR="00AC2A51">
        <w:t xml:space="preserve"> </w:t>
      </w:r>
      <w:r w:rsidR="002A6BF5">
        <w:t>sharing</w:t>
      </w:r>
    </w:p>
    <w:p w14:paraId="77E6DA35" w14:textId="5EC6D4E9" w:rsidR="00A833C7" w:rsidRPr="00C76160" w:rsidRDefault="00C65E6D" w:rsidP="40EB8B97">
      <w:pPr>
        <w:pStyle w:val="ListParagraph"/>
      </w:pPr>
      <w:r>
        <w:t>manage</w:t>
      </w:r>
      <w:r w:rsidR="00272A4D">
        <w:t xml:space="preserve"> a high volume of enquiries from international regulators</w:t>
      </w:r>
      <w:r w:rsidR="0029229F">
        <w:t>.</w:t>
      </w:r>
    </w:p>
    <w:p w14:paraId="204A3CF3" w14:textId="7F60BCA1" w:rsidR="00BB50FB" w:rsidRPr="00C76160" w:rsidRDefault="00D84905" w:rsidP="40EB8B97">
      <w:pPr>
        <w:rPr>
          <w:szCs w:val="22"/>
        </w:rPr>
      </w:pPr>
      <w:r>
        <w:t xml:space="preserve">The meetings </w:t>
      </w:r>
      <w:r w:rsidR="00EE0A6D">
        <w:t xml:space="preserve">could lead </w:t>
      </w:r>
      <w:r w:rsidR="00D14732">
        <w:t>to</w:t>
      </w:r>
      <w:r w:rsidR="62B270BE">
        <w:t xml:space="preserve"> </w:t>
      </w:r>
      <w:r w:rsidR="00171A33">
        <w:t>s</w:t>
      </w:r>
      <w:r w:rsidR="00EE0A6D">
        <w:t>hort-term working groups</w:t>
      </w:r>
      <w:r w:rsidR="007105C8">
        <w:t xml:space="preserve"> </w:t>
      </w:r>
      <w:r w:rsidR="00361E29">
        <w:t>to exchange</w:t>
      </w:r>
      <w:r w:rsidR="00D912D4">
        <w:t xml:space="preserve"> information</w:t>
      </w:r>
      <w:r w:rsidR="00AC2A51">
        <w:t xml:space="preserve"> and </w:t>
      </w:r>
      <w:r w:rsidR="00F8091A">
        <w:t>approaches</w:t>
      </w:r>
      <w:r w:rsidR="00D912D4">
        <w:t xml:space="preserve"> on a critical safety issue</w:t>
      </w:r>
      <w:r w:rsidR="00014EEC">
        <w:t xml:space="preserve"> </w:t>
      </w:r>
      <w:r w:rsidR="00AE3559">
        <w:t>to improve</w:t>
      </w:r>
      <w:r w:rsidR="00806B62">
        <w:t xml:space="preserve"> patient and user</w:t>
      </w:r>
      <w:r w:rsidR="00AE3559">
        <w:t xml:space="preserve"> outcomes</w:t>
      </w:r>
      <w:r w:rsidR="3DC53EE1">
        <w:t xml:space="preserve">. </w:t>
      </w:r>
      <w:r w:rsidR="00C656D8">
        <w:t xml:space="preserve">With emerging and increasing global supply chain disruptions, the IMDS meetings enable timely exchange of intelligence and impacts on pending medical device or raw material shortages, including identifying clinical alternatives and availability. </w:t>
      </w:r>
      <w:r w:rsidR="009368DB">
        <w:t xml:space="preserve">They </w:t>
      </w:r>
      <w:r w:rsidR="6E773942">
        <w:t xml:space="preserve">also allow </w:t>
      </w:r>
      <w:r w:rsidR="002D6C42">
        <w:t>close</w:t>
      </w:r>
      <w:r w:rsidR="0F24C6AA">
        <w:t>r</w:t>
      </w:r>
      <w:r w:rsidR="002D6C42">
        <w:t xml:space="preserve"> engagement </w:t>
      </w:r>
      <w:r w:rsidR="007E3A73">
        <w:t>with suppliers to secure</w:t>
      </w:r>
      <w:r w:rsidR="005B026C">
        <w:t xml:space="preserve"> </w:t>
      </w:r>
      <w:r w:rsidR="00C6273E">
        <w:t>local supply</w:t>
      </w:r>
      <w:r w:rsidR="5075D35E">
        <w:t>,</w:t>
      </w:r>
      <w:r w:rsidR="00C35740">
        <w:t xml:space="preserve"> </w:t>
      </w:r>
      <w:r w:rsidR="00796E2C">
        <w:t xml:space="preserve">seek import </w:t>
      </w:r>
      <w:r w:rsidR="00335406">
        <w:t>alternatives</w:t>
      </w:r>
      <w:r w:rsidR="00601DE8">
        <w:t xml:space="preserve"> where available</w:t>
      </w:r>
      <w:r w:rsidR="17F18796">
        <w:t xml:space="preserve">, and ensure </w:t>
      </w:r>
      <w:r w:rsidR="008128F4">
        <w:t>t</w:t>
      </w:r>
      <w:r w:rsidR="00796E2C">
        <w:t>imely information to user</w:t>
      </w:r>
      <w:r w:rsidR="00335406">
        <w:t>s on possible shortages</w:t>
      </w:r>
      <w:r w:rsidR="7FAE35B4">
        <w:t>.</w:t>
      </w:r>
    </w:p>
    <w:p w14:paraId="672A84A5" w14:textId="06731679" w:rsidR="47D4483B" w:rsidRDefault="47D4483B" w:rsidP="00917E30">
      <w:pPr>
        <w:pStyle w:val="Heading3"/>
      </w:pPr>
      <w:bookmarkStart w:id="19" w:name="_Toc153550382"/>
      <w:r>
        <w:t>World Trade Organi</w:t>
      </w:r>
      <w:r w:rsidR="00FF5149">
        <w:t>z</w:t>
      </w:r>
      <w:r>
        <w:t>ation Technical Barriers to Trade</w:t>
      </w:r>
      <w:bookmarkEnd w:id="19"/>
      <w:r>
        <w:t xml:space="preserve"> </w:t>
      </w:r>
    </w:p>
    <w:p w14:paraId="0E77BBED" w14:textId="1581C57E" w:rsidR="6F66419A" w:rsidRDefault="6F66419A" w:rsidP="00917E30">
      <w:r>
        <w:t xml:space="preserve">We continue to </w:t>
      </w:r>
      <w:r w:rsidR="01BD4743">
        <w:t xml:space="preserve">advocate </w:t>
      </w:r>
      <w:r w:rsidR="00F14000">
        <w:t xml:space="preserve">on </w:t>
      </w:r>
      <w:r w:rsidR="271AA094">
        <w:t>medical device</w:t>
      </w:r>
      <w:r w:rsidR="00EF49C2">
        <w:t>-</w:t>
      </w:r>
      <w:r w:rsidR="271AA094">
        <w:t xml:space="preserve">specific matters </w:t>
      </w:r>
      <w:r w:rsidR="198A5D74">
        <w:t xml:space="preserve">through </w:t>
      </w:r>
      <w:r w:rsidR="5B9278F4">
        <w:t>the</w:t>
      </w:r>
      <w:r w:rsidR="198A5D74">
        <w:t xml:space="preserve"> </w:t>
      </w:r>
      <w:r>
        <w:t>exchang</w:t>
      </w:r>
      <w:r w:rsidR="3BDB6AB7">
        <w:t xml:space="preserve">e </w:t>
      </w:r>
      <w:r>
        <w:t>of statements on specific trade concerns</w:t>
      </w:r>
      <w:r w:rsidR="295C1438">
        <w:t xml:space="preserve">. We have highlighted issues around working towards </w:t>
      </w:r>
      <w:r w:rsidR="20A4157B">
        <w:t>harmoni</w:t>
      </w:r>
      <w:r w:rsidR="00FF5149">
        <w:t>s</w:t>
      </w:r>
      <w:r w:rsidR="20A4157B">
        <w:t xml:space="preserve">ation of </w:t>
      </w:r>
      <w:r w:rsidR="211DE8F8">
        <w:t xml:space="preserve">components that support </w:t>
      </w:r>
      <w:r w:rsidR="00917E30">
        <w:t>compatible</w:t>
      </w:r>
      <w:r w:rsidR="295C1438">
        <w:t xml:space="preserve"> systems</w:t>
      </w:r>
      <w:r w:rsidR="00FF5149">
        <w:t>,</w:t>
      </w:r>
      <w:r w:rsidR="00F14000">
        <w:t xml:space="preserve"> such as </w:t>
      </w:r>
      <w:r w:rsidR="12098ADA">
        <w:t>data</w:t>
      </w:r>
      <w:r w:rsidR="11AA8870">
        <w:t xml:space="preserve"> linkages</w:t>
      </w:r>
      <w:r w:rsidR="0B08ACAE">
        <w:t xml:space="preserve"> and</w:t>
      </w:r>
      <w:r w:rsidR="12098ADA">
        <w:t xml:space="preserve"> nomenclature</w:t>
      </w:r>
      <w:r w:rsidR="6EBE7A0E">
        <w:t>.</w:t>
      </w:r>
    </w:p>
    <w:p w14:paraId="67DF27C1" w14:textId="26911C24" w:rsidR="00833F94" w:rsidRPr="00C76160" w:rsidRDefault="1D6553C2" w:rsidP="40EB8B97">
      <w:pPr>
        <w:pStyle w:val="Heading3"/>
      </w:pPr>
      <w:bookmarkStart w:id="20" w:name="_Toc153550383"/>
      <w:r>
        <w:t>International Medical Device Regulators Forum</w:t>
      </w:r>
      <w:bookmarkEnd w:id="20"/>
      <w:r w:rsidR="4B7DF705">
        <w:t xml:space="preserve"> </w:t>
      </w:r>
    </w:p>
    <w:p w14:paraId="5A03CF80" w14:textId="54CFB2B2" w:rsidR="002B28DC" w:rsidRDefault="0D797B94" w:rsidP="40EB8B97">
      <w:r>
        <w:t>As</w:t>
      </w:r>
      <w:r w:rsidR="3E799BF8">
        <w:t xml:space="preserve"> </w:t>
      </w:r>
      <w:r w:rsidR="02C5BBAF">
        <w:t xml:space="preserve">2022 </w:t>
      </w:r>
      <w:r w:rsidR="3E799BF8">
        <w:t>Chair of the International Medical Device Regulators Forum (IMDRF)</w:t>
      </w:r>
      <w:r w:rsidR="03127D47">
        <w:t>, we</w:t>
      </w:r>
      <w:r w:rsidR="2A3583A8">
        <w:t xml:space="preserve"> </w:t>
      </w:r>
      <w:r w:rsidR="060A93D4">
        <w:t>a</w:t>
      </w:r>
      <w:r w:rsidR="02C5BBAF">
        <w:t xml:space="preserve">ssisted </w:t>
      </w:r>
      <w:r w:rsidR="008570C6">
        <w:t>in the</w:t>
      </w:r>
      <w:r w:rsidR="02C5BBAF">
        <w:t xml:space="preserve"> accelerat</w:t>
      </w:r>
      <w:r w:rsidR="008570C6">
        <w:t>ion of</w:t>
      </w:r>
      <w:r w:rsidR="02C5BBAF">
        <w:t xml:space="preserve"> international medical device regulatory harmonisation and convergence, to promote an efficient and effective medical devices sector</w:t>
      </w:r>
      <w:r w:rsidR="12725060">
        <w:t xml:space="preserve">. </w:t>
      </w:r>
      <w:r w:rsidR="002B28DC">
        <w:t xml:space="preserve">The TGA led work to redevelop and modernise the </w:t>
      </w:r>
      <w:r w:rsidR="00FF5149">
        <w:t>f</w:t>
      </w:r>
      <w:r w:rsidR="002B28DC">
        <w:t>orum’s website, procedures</w:t>
      </w:r>
      <w:r w:rsidR="008570C6">
        <w:t>,</w:t>
      </w:r>
      <w:r w:rsidR="002B28DC">
        <w:t xml:space="preserve"> memberships and strategic plan. We successfully hosted </w:t>
      </w:r>
      <w:r w:rsidR="00FF5149">
        <w:t xml:space="preserve">the forum </w:t>
      </w:r>
      <w:r w:rsidR="002B28DC">
        <w:t>in Sydney, the first face</w:t>
      </w:r>
      <w:r w:rsidR="00FF5149">
        <w:t>-</w:t>
      </w:r>
      <w:r w:rsidR="002B28DC">
        <w:t>to</w:t>
      </w:r>
      <w:r w:rsidR="00FF5149">
        <w:t>-</w:t>
      </w:r>
      <w:r w:rsidR="002B28DC">
        <w:t>face/hybrid meeting of the IMDRF since the COVID</w:t>
      </w:r>
      <w:r w:rsidR="00FF5149">
        <w:t>-19</w:t>
      </w:r>
      <w:r w:rsidR="002B28DC">
        <w:t xml:space="preserve"> pandemic</w:t>
      </w:r>
      <w:r w:rsidR="00FF5149">
        <w:t>. It</w:t>
      </w:r>
      <w:r w:rsidR="002B28DC">
        <w:t xml:space="preserve"> involved 21 </w:t>
      </w:r>
      <w:r w:rsidR="00E84F73">
        <w:t>regulators and</w:t>
      </w:r>
      <w:r w:rsidR="002B28DC">
        <w:t xml:space="preserve"> included joint workshops and open forums </w:t>
      </w:r>
      <w:r w:rsidR="00F105E7">
        <w:t>on the topic of medical device software and artificial intelligence</w:t>
      </w:r>
      <w:r w:rsidR="00B41FCF">
        <w:t>,</w:t>
      </w:r>
      <w:r w:rsidR="00F105E7">
        <w:t xml:space="preserve"> </w:t>
      </w:r>
      <w:r w:rsidR="002B28DC">
        <w:t>with more than 600 global and domestic industry stakeholders.</w:t>
      </w:r>
      <w:r w:rsidR="00365F8B">
        <w:t xml:space="preserve"> </w:t>
      </w:r>
    </w:p>
    <w:p w14:paraId="1811A213" w14:textId="3F0746AF" w:rsidR="00780A0A" w:rsidRDefault="00780A0A" w:rsidP="40EB8B97">
      <w:pPr>
        <w:rPr>
          <w:b/>
          <w:bCs/>
        </w:rPr>
      </w:pPr>
      <w:r>
        <w:rPr>
          <w:noProof/>
        </w:rPr>
        <w:lastRenderedPageBreak/>
        <w:drawing>
          <wp:anchor distT="0" distB="0" distL="114300" distR="114300" simplePos="0" relativeHeight="251672576" behindDoc="0" locked="0" layoutInCell="1" allowOverlap="1" wp14:anchorId="5A9CBFC7" wp14:editId="7DAE05C1">
            <wp:simplePos x="0" y="0"/>
            <wp:positionH relativeFrom="column">
              <wp:posOffset>-543501</wp:posOffset>
            </wp:positionH>
            <wp:positionV relativeFrom="paragraph">
              <wp:posOffset>301373</wp:posOffset>
            </wp:positionV>
            <wp:extent cx="1794294" cy="38176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794294" cy="38176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3AD4E360" wp14:editId="55893552">
            <wp:extent cx="5731510" cy="1611630"/>
            <wp:effectExtent l="0" t="0" r="2540" b="7620"/>
            <wp:docPr id="20" name="Picture 20" descr="IMDRF attendees standing in front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DRF attendees standing in front of flag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611630"/>
                    </a:xfrm>
                    <a:prstGeom prst="rect">
                      <a:avLst/>
                    </a:prstGeom>
                  </pic:spPr>
                </pic:pic>
              </a:graphicData>
            </a:graphic>
          </wp:inline>
        </w:drawing>
      </w:r>
    </w:p>
    <w:p w14:paraId="432822D2" w14:textId="4B3DAC8E" w:rsidR="00EE497B" w:rsidRPr="00C76160" w:rsidRDefault="52909FB9" w:rsidP="40EB8B97">
      <w:r>
        <w:t xml:space="preserve">We </w:t>
      </w:r>
      <w:r w:rsidR="00EE497B">
        <w:t>active</w:t>
      </w:r>
      <w:r w:rsidR="002D0F7D">
        <w:t>ly participated in the</w:t>
      </w:r>
      <w:r w:rsidR="00906F9C">
        <w:t xml:space="preserve"> IMDRF Management </w:t>
      </w:r>
      <w:r w:rsidR="002B28DC">
        <w:t>C</w:t>
      </w:r>
      <w:r w:rsidR="00906F9C">
        <w:t>ommittee</w:t>
      </w:r>
      <w:r w:rsidR="00895F9F">
        <w:t xml:space="preserve"> and various working groups to develop</w:t>
      </w:r>
      <w:r w:rsidR="00E81B1A">
        <w:t xml:space="preserve"> </w:t>
      </w:r>
      <w:r w:rsidR="006E37AC">
        <w:t xml:space="preserve">and publish 6 </w:t>
      </w:r>
      <w:r w:rsidR="00E81B1A">
        <w:t>global guidance</w:t>
      </w:r>
      <w:r w:rsidR="00C911F5">
        <w:t xml:space="preserve"> documents</w:t>
      </w:r>
      <w:r w:rsidR="03783587">
        <w:t xml:space="preserve"> t</w:t>
      </w:r>
      <w:r w:rsidR="002B28DC">
        <w:t>o</w:t>
      </w:r>
      <w:r w:rsidR="00D569DE">
        <w:t xml:space="preserve"> harmonis</w:t>
      </w:r>
      <w:r w:rsidR="74FC468B">
        <w:t>e</w:t>
      </w:r>
      <w:r w:rsidR="00D569DE">
        <w:t xml:space="preserve"> medical devices</w:t>
      </w:r>
      <w:r w:rsidR="0A116DB5">
        <w:t xml:space="preserve"> regulation internationally</w:t>
      </w:r>
      <w:r w:rsidR="00E43170">
        <w:t>, addressing</w:t>
      </w:r>
      <w:r w:rsidR="0A116DB5">
        <w:t>:</w:t>
      </w:r>
    </w:p>
    <w:p w14:paraId="6DDFE8A0" w14:textId="50FFD1B7" w:rsidR="008538D2" w:rsidRPr="00C76160" w:rsidRDefault="008538D2" w:rsidP="40EB8B97">
      <w:pPr>
        <w:pStyle w:val="ListParagraph"/>
      </w:pPr>
      <w:r>
        <w:t>Adverse Event Terminology</w:t>
      </w:r>
    </w:p>
    <w:p w14:paraId="41EC40C1" w14:textId="2FB1E3F3" w:rsidR="008538D2" w:rsidRPr="00C76160" w:rsidRDefault="008538D2" w:rsidP="40EB8B97">
      <w:pPr>
        <w:pStyle w:val="ListParagraph"/>
      </w:pPr>
      <w:r>
        <w:t>Good Regulatory Review Practices</w:t>
      </w:r>
    </w:p>
    <w:p w14:paraId="1F7D050E" w14:textId="7C1CFE54" w:rsidR="008538D2" w:rsidRPr="00C76160" w:rsidRDefault="008538D2" w:rsidP="40EB8B97">
      <w:pPr>
        <w:pStyle w:val="ListParagraph"/>
      </w:pPr>
      <w:r>
        <w:t>Medical Device Cybersecurity Guide</w:t>
      </w:r>
    </w:p>
    <w:p w14:paraId="1A37B4DE" w14:textId="59DF43FA" w:rsidR="008538D2" w:rsidRPr="00C76160" w:rsidRDefault="008538D2" w:rsidP="40EB8B97">
      <w:pPr>
        <w:pStyle w:val="ListParagraph"/>
      </w:pPr>
      <w:r>
        <w:t xml:space="preserve">Regulated Product Submission </w:t>
      </w:r>
    </w:p>
    <w:p w14:paraId="2DFAB39A" w14:textId="750E2E02" w:rsidR="008538D2" w:rsidRPr="00C76160" w:rsidRDefault="008538D2" w:rsidP="40EB8B97">
      <w:pPr>
        <w:pStyle w:val="ListParagraph"/>
      </w:pPr>
      <w:r>
        <w:t xml:space="preserve">Artificial Intelligence Medical Devices </w:t>
      </w:r>
    </w:p>
    <w:p w14:paraId="49BCA660" w14:textId="6886E069" w:rsidR="003612A7" w:rsidRPr="00C76160" w:rsidRDefault="003612A7" w:rsidP="40EB8B97">
      <w:pPr>
        <w:pStyle w:val="ListParagraph"/>
      </w:pPr>
      <w:r>
        <w:t>Personali</w:t>
      </w:r>
      <w:r w:rsidR="00FF5149">
        <w:t>s</w:t>
      </w:r>
      <w:r>
        <w:t>ed Medical Devices</w:t>
      </w:r>
    </w:p>
    <w:p w14:paraId="5E62CCFB" w14:textId="114EBB31" w:rsidR="00EA5287" w:rsidRPr="00F40CDA" w:rsidRDefault="615AAB8F" w:rsidP="44078614">
      <w:pPr>
        <w:rPr>
          <w:rFonts w:eastAsia="Calibri"/>
        </w:rPr>
      </w:pPr>
      <w:r>
        <w:t>We also f</w:t>
      </w:r>
      <w:r w:rsidR="00EA5287">
        <w:t xml:space="preserve">ully </w:t>
      </w:r>
      <w:r w:rsidR="0C893A7E">
        <w:t xml:space="preserve">or partially </w:t>
      </w:r>
      <w:r w:rsidR="00EA5287">
        <w:t xml:space="preserve">implemented </w:t>
      </w:r>
      <w:r w:rsidR="002B28DC">
        <w:t xml:space="preserve">a number of </w:t>
      </w:r>
      <w:r w:rsidR="00EA5287">
        <w:t>IMDRF guidance documents</w:t>
      </w:r>
      <w:r w:rsidR="7E95694C">
        <w:t xml:space="preserve"> during the year</w:t>
      </w:r>
      <w:r w:rsidR="5C55D68A">
        <w:t xml:space="preserve">. The TGA will </w:t>
      </w:r>
      <w:r w:rsidR="00EA5287">
        <w:t>continu</w:t>
      </w:r>
      <w:r w:rsidR="00B57EF9">
        <w:t>e</w:t>
      </w:r>
      <w:r w:rsidR="00EA5287">
        <w:t xml:space="preserve"> </w:t>
      </w:r>
      <w:r w:rsidR="5B78474D">
        <w:t>its</w:t>
      </w:r>
      <w:r w:rsidR="00EA5287">
        <w:t xml:space="preserve"> work collaborating with IMDRF </w:t>
      </w:r>
      <w:r w:rsidR="00FF5149">
        <w:t>m</w:t>
      </w:r>
      <w:r w:rsidR="00EA5287">
        <w:t>embers to reduce regulatory burden.</w:t>
      </w:r>
    </w:p>
    <w:p w14:paraId="669EB23A" w14:textId="60902D77" w:rsidR="0061691C" w:rsidRPr="003A0F7A" w:rsidRDefault="0AAB925C" w:rsidP="003A0F7A">
      <w:pPr>
        <w:pStyle w:val="Heading2"/>
      </w:pPr>
      <w:bookmarkStart w:id="21" w:name="_Toc153550384"/>
      <w:r>
        <w:t xml:space="preserve">Pacific and </w:t>
      </w:r>
      <w:r w:rsidR="748E5551">
        <w:t>South</w:t>
      </w:r>
      <w:r w:rsidR="785A80CC">
        <w:t>e</w:t>
      </w:r>
      <w:r w:rsidR="748E5551">
        <w:t xml:space="preserve">ast Asia </w:t>
      </w:r>
      <w:r w:rsidR="006A8D6D">
        <w:t>Programs</w:t>
      </w:r>
      <w:bookmarkEnd w:id="21"/>
    </w:p>
    <w:p w14:paraId="7920FCDC" w14:textId="24AA3141" w:rsidR="008035E9" w:rsidRPr="00A049E1" w:rsidRDefault="0068426F" w:rsidP="005B7AFC">
      <w:pPr>
        <w:pStyle w:val="ListParagraph"/>
        <w:numPr>
          <w:ilvl w:val="0"/>
          <w:numId w:val="0"/>
        </w:numPr>
        <w:rPr>
          <w:b/>
          <w:bCs/>
        </w:rPr>
      </w:pPr>
      <w:r w:rsidRPr="40EB8B97">
        <w:rPr>
          <w:b/>
          <w:bCs/>
        </w:rPr>
        <w:t>We worked</w:t>
      </w:r>
      <w:r w:rsidR="00B94BC0" w:rsidRPr="40EB8B97">
        <w:rPr>
          <w:b/>
          <w:bCs/>
        </w:rPr>
        <w:t xml:space="preserve"> with National Regulatory Authorities within the Pacific and South</w:t>
      </w:r>
      <w:r w:rsidR="14A62719" w:rsidRPr="40EB8B97">
        <w:rPr>
          <w:b/>
          <w:bCs/>
        </w:rPr>
        <w:t>e</w:t>
      </w:r>
      <w:r w:rsidR="00B94BC0" w:rsidRPr="40EB8B97">
        <w:rPr>
          <w:b/>
          <w:bCs/>
        </w:rPr>
        <w:t>ast Asia to strengthen regulatory systems, resulting in faster access to products for communicable diseases and minimising supply of products that are of poor quality or present health risks.</w:t>
      </w:r>
    </w:p>
    <w:p w14:paraId="50744597" w14:textId="5163E835" w:rsidR="001F3486" w:rsidRPr="001F3486" w:rsidRDefault="67DCBC84" w:rsidP="003A0F7A">
      <w:pPr>
        <w:pStyle w:val="Heading3"/>
      </w:pPr>
      <w:bookmarkStart w:id="22" w:name="_Toc153550385"/>
      <w:r>
        <w:t>Pacific Medicines Testing Program</w:t>
      </w:r>
      <w:bookmarkEnd w:id="22"/>
    </w:p>
    <w:p w14:paraId="179E986F" w14:textId="2F380B10" w:rsidR="001F3486" w:rsidRDefault="276872B4" w:rsidP="00BF5303">
      <w:r>
        <w:t>We continued Phase Two of the DFAT</w:t>
      </w:r>
      <w:r w:rsidR="002B50F7">
        <w:t>-</w:t>
      </w:r>
      <w:r>
        <w:t>funded Pacific Medicines Testing Program (PMTP)</w:t>
      </w:r>
      <w:r w:rsidR="00B557A5">
        <w:t>,</w:t>
      </w:r>
      <w:r>
        <w:t xml:space="preserve"> which assists the 12 participating Pacific Island Countries and Timor-Leste by providing advice and access to Australian laboratory testing for therapeutic goods quality assurance.</w:t>
      </w:r>
    </w:p>
    <w:p w14:paraId="3D659A64" w14:textId="0791B642" w:rsidR="008D225E" w:rsidRPr="00D73E9E" w:rsidRDefault="007E437C" w:rsidP="00BF5303">
      <w:r w:rsidRPr="00D73E9E">
        <w:t>The 2022-23</w:t>
      </w:r>
      <w:r w:rsidR="00B557A5" w:rsidRPr="00D73E9E">
        <w:t xml:space="preserve"> PMTP</w:t>
      </w:r>
      <w:r w:rsidRPr="00D73E9E">
        <w:t xml:space="preserve"> testing campaign</w:t>
      </w:r>
      <w:r w:rsidR="00163E9F" w:rsidRPr="00D73E9E">
        <w:t>:</w:t>
      </w:r>
    </w:p>
    <w:p w14:paraId="0B822584" w14:textId="0BBC1730" w:rsidR="007E437C" w:rsidRPr="00F40CDA" w:rsidRDefault="00163E9F" w:rsidP="00A049E1">
      <w:pPr>
        <w:pStyle w:val="ListParagraph"/>
      </w:pPr>
      <w:r>
        <w:t xml:space="preserve">received </w:t>
      </w:r>
      <w:r w:rsidR="007E437C">
        <w:t xml:space="preserve">116 samples from 13 participating </w:t>
      </w:r>
      <w:r w:rsidR="000B1A42">
        <w:t>countries</w:t>
      </w:r>
    </w:p>
    <w:p w14:paraId="5FCAAD73" w14:textId="38D9FBAC" w:rsidR="007E437C" w:rsidRPr="00F40CDA" w:rsidRDefault="00163E9F" w:rsidP="00A049E1">
      <w:pPr>
        <w:pStyle w:val="ListParagraph"/>
      </w:pPr>
      <w:r>
        <w:t xml:space="preserve">focussed on ethylene glycol/diethylene glycol (EG/DEG) contamination </w:t>
      </w:r>
      <w:r w:rsidR="006B2CC0">
        <w:t>of</w:t>
      </w:r>
      <w:r>
        <w:t xml:space="preserve"> </w:t>
      </w:r>
      <w:r w:rsidR="007E437C">
        <w:t>25 samples syrup samples</w:t>
      </w:r>
    </w:p>
    <w:p w14:paraId="1C31BAB1" w14:textId="146FF94E" w:rsidR="007E437C" w:rsidRPr="00F40CDA" w:rsidRDefault="00FF5149" w:rsidP="00A049E1">
      <w:pPr>
        <w:pStyle w:val="ListParagraph"/>
      </w:pPr>
      <w:r>
        <w:t xml:space="preserve">detected </w:t>
      </w:r>
      <w:r w:rsidR="00831467">
        <w:t>high levels of EG/DEG</w:t>
      </w:r>
      <w:r w:rsidR="007F5CAA">
        <w:t xml:space="preserve"> in o</w:t>
      </w:r>
      <w:r w:rsidR="00022E16">
        <w:t>ne sample, which resulted in the release of</w:t>
      </w:r>
      <w:r w:rsidR="008B4C84">
        <w:t xml:space="preserve"> a Global WHO Medical Product Alert.</w:t>
      </w:r>
    </w:p>
    <w:p w14:paraId="5D02F70B" w14:textId="26BBE926" w:rsidR="001F3486" w:rsidRPr="001F3486" w:rsidRDefault="276872B4" w:rsidP="006D5740">
      <w:r>
        <w:t xml:space="preserve">The PMTP </w:t>
      </w:r>
      <w:r w:rsidR="00D73E9E">
        <w:t xml:space="preserve">has been </w:t>
      </w:r>
      <w:r>
        <w:t xml:space="preserve">expanded into instances of medical device technical advice and procurement guidance. Through the PMTP, participating countries have access to the TGA </w:t>
      </w:r>
      <w:r w:rsidR="00FF5149">
        <w:t>l</w:t>
      </w:r>
      <w:r>
        <w:t xml:space="preserve">aboratories for quality assurance testing, including problem and complaint </w:t>
      </w:r>
      <w:r w:rsidR="00F71A57">
        <w:t>investigations</w:t>
      </w:r>
      <w:r>
        <w:t>.</w:t>
      </w:r>
    </w:p>
    <w:p w14:paraId="1907FDC0" w14:textId="51D07846" w:rsidR="001F3486" w:rsidRPr="001F3486" w:rsidRDefault="5EBE7E1E" w:rsidP="003A0F7A">
      <w:pPr>
        <w:pStyle w:val="Heading3"/>
      </w:pPr>
      <w:bookmarkStart w:id="23" w:name="_The_Indo-Pacific_Regulatory"/>
      <w:bookmarkStart w:id="24" w:name="_Toc153550386"/>
      <w:bookmarkEnd w:id="23"/>
      <w:r>
        <w:lastRenderedPageBreak/>
        <w:t>The Indo-Pacific Regulatory Strengthening Program</w:t>
      </w:r>
      <w:bookmarkEnd w:id="24"/>
    </w:p>
    <w:p w14:paraId="7DD1A9D3" w14:textId="7AB69A45" w:rsidR="004E3CA4" w:rsidRPr="00FD56E5" w:rsidRDefault="001F3486" w:rsidP="006D5740">
      <w:pPr>
        <w:rPr>
          <w:szCs w:val="22"/>
        </w:rPr>
      </w:pPr>
      <w:r w:rsidRPr="00FD56E5">
        <w:rPr>
          <w:szCs w:val="22"/>
        </w:rPr>
        <w:t>The Indo-Pacific Regulatory Strengthening Program (RSP)</w:t>
      </w:r>
      <w:r w:rsidR="0042122B">
        <w:rPr>
          <w:szCs w:val="22"/>
        </w:rPr>
        <w:t xml:space="preserve"> was </w:t>
      </w:r>
      <w:r w:rsidRPr="00FD56E5">
        <w:rPr>
          <w:szCs w:val="22"/>
        </w:rPr>
        <w:t>launched in October 2018</w:t>
      </w:r>
      <w:r w:rsidR="0042122B">
        <w:rPr>
          <w:szCs w:val="22"/>
        </w:rPr>
        <w:t>,</w:t>
      </w:r>
      <w:r w:rsidRPr="00FD56E5">
        <w:rPr>
          <w:szCs w:val="22"/>
        </w:rPr>
        <w:t xml:space="preserve"> with the goal of increasing the availability of safe and effective medical products through improved regulatory practice and regional collaboration. </w:t>
      </w:r>
      <w:r w:rsidR="00DE3021" w:rsidRPr="00FD56E5">
        <w:rPr>
          <w:szCs w:val="22"/>
        </w:rPr>
        <w:t>The program included 7 countries:</w:t>
      </w:r>
    </w:p>
    <w:p w14:paraId="6666CAF6" w14:textId="5D1B6E7E" w:rsidR="00DE3021" w:rsidRPr="00FD56E5" w:rsidRDefault="00DE3021" w:rsidP="00A049E1">
      <w:pPr>
        <w:pStyle w:val="ListParagraph"/>
        <w:rPr>
          <w:szCs w:val="22"/>
        </w:rPr>
      </w:pPr>
      <w:r w:rsidRPr="00FD56E5">
        <w:rPr>
          <w:szCs w:val="22"/>
        </w:rPr>
        <w:t>Thailand</w:t>
      </w:r>
    </w:p>
    <w:p w14:paraId="6EF5E682" w14:textId="00078210" w:rsidR="00DE3021" w:rsidRPr="00FD56E5" w:rsidRDefault="00DE3021" w:rsidP="00A049E1">
      <w:pPr>
        <w:pStyle w:val="ListParagraph"/>
        <w:rPr>
          <w:szCs w:val="22"/>
        </w:rPr>
      </w:pPr>
      <w:r w:rsidRPr="00FD56E5">
        <w:rPr>
          <w:szCs w:val="22"/>
        </w:rPr>
        <w:t xml:space="preserve">Vietnam </w:t>
      </w:r>
    </w:p>
    <w:p w14:paraId="1E4FD25C" w14:textId="3606DF44" w:rsidR="00DE3021" w:rsidRPr="00FD56E5" w:rsidRDefault="00DE3021" w:rsidP="00A049E1">
      <w:pPr>
        <w:pStyle w:val="ListParagraph"/>
        <w:rPr>
          <w:szCs w:val="22"/>
        </w:rPr>
      </w:pPr>
      <w:r w:rsidRPr="00FD56E5">
        <w:rPr>
          <w:szCs w:val="22"/>
        </w:rPr>
        <w:t>Laos</w:t>
      </w:r>
    </w:p>
    <w:p w14:paraId="5611FA75" w14:textId="59FC1717" w:rsidR="00DE3021" w:rsidRPr="00FD56E5" w:rsidRDefault="00DE3021" w:rsidP="00A049E1">
      <w:pPr>
        <w:pStyle w:val="ListParagraph"/>
        <w:rPr>
          <w:szCs w:val="22"/>
        </w:rPr>
      </w:pPr>
      <w:r w:rsidRPr="00FD56E5">
        <w:rPr>
          <w:szCs w:val="22"/>
        </w:rPr>
        <w:t>Cambodia</w:t>
      </w:r>
    </w:p>
    <w:p w14:paraId="723C2898" w14:textId="1BA743DE" w:rsidR="00DE3021" w:rsidRPr="00FD56E5" w:rsidRDefault="00DE3021" w:rsidP="00A049E1">
      <w:pPr>
        <w:pStyle w:val="ListParagraph"/>
        <w:rPr>
          <w:szCs w:val="22"/>
        </w:rPr>
      </w:pPr>
      <w:r w:rsidRPr="00FD56E5">
        <w:rPr>
          <w:szCs w:val="22"/>
        </w:rPr>
        <w:t>Papua New Guinea</w:t>
      </w:r>
    </w:p>
    <w:p w14:paraId="2A36CA90" w14:textId="0767E0B6" w:rsidR="008A3E57" w:rsidRPr="00FD56E5" w:rsidRDefault="008A3E57" w:rsidP="00A049E1">
      <w:pPr>
        <w:pStyle w:val="ListParagraph"/>
        <w:rPr>
          <w:szCs w:val="22"/>
        </w:rPr>
      </w:pPr>
      <w:r w:rsidRPr="00FD56E5">
        <w:rPr>
          <w:szCs w:val="22"/>
        </w:rPr>
        <w:t>Myanmar</w:t>
      </w:r>
    </w:p>
    <w:p w14:paraId="42C5938E" w14:textId="18136237" w:rsidR="008A3E57" w:rsidRPr="00FD56E5" w:rsidRDefault="008A3E57" w:rsidP="00A049E1">
      <w:pPr>
        <w:pStyle w:val="ListParagraph"/>
        <w:rPr>
          <w:szCs w:val="22"/>
        </w:rPr>
      </w:pPr>
      <w:r w:rsidRPr="00FD56E5">
        <w:rPr>
          <w:szCs w:val="22"/>
        </w:rPr>
        <w:t>Indonesia</w:t>
      </w:r>
    </w:p>
    <w:p w14:paraId="5FF30AB1" w14:textId="1437AC8A" w:rsidR="00B86E1F" w:rsidRPr="00FD56E5" w:rsidRDefault="2FE83EC0" w:rsidP="006D5740">
      <w:r>
        <w:t>Following de</w:t>
      </w:r>
      <w:r w:rsidR="39010C30">
        <w:t xml:space="preserve">livery of the first phase on 30 June 2023, </w:t>
      </w:r>
      <w:r w:rsidR="7C3FDFB9">
        <w:t xml:space="preserve">RSP </w:t>
      </w:r>
      <w:r w:rsidR="0E5FD62D">
        <w:t xml:space="preserve">was able to </w:t>
      </w:r>
      <w:r w:rsidR="7C3FDFB9">
        <w:t>expan</w:t>
      </w:r>
      <w:r w:rsidR="0E5FD62D">
        <w:t xml:space="preserve">d </w:t>
      </w:r>
      <w:r w:rsidR="00B17607">
        <w:t>its</w:t>
      </w:r>
      <w:r w:rsidR="0E5FD62D">
        <w:t xml:space="preserve"> programs</w:t>
      </w:r>
      <w:r w:rsidR="6CFB7739">
        <w:t xml:space="preserve"> </w:t>
      </w:r>
      <w:r w:rsidR="3AB13C05">
        <w:t>until 30 June 2027</w:t>
      </w:r>
      <w:r w:rsidR="32B02B05">
        <w:t>,</w:t>
      </w:r>
      <w:r w:rsidR="706C2E82">
        <w:t xml:space="preserve"> </w:t>
      </w:r>
      <w:r w:rsidR="0042122B">
        <w:t xml:space="preserve">with </w:t>
      </w:r>
      <w:r w:rsidR="32B02B05">
        <w:t>a</w:t>
      </w:r>
      <w:r w:rsidR="324B92CE">
        <w:t>ll countries in</w:t>
      </w:r>
      <w:r w:rsidR="5396E768">
        <w:t xml:space="preserve"> Southeast Asia and the Pacific</w:t>
      </w:r>
      <w:r w:rsidR="324B92CE">
        <w:t xml:space="preserve"> now eligible</w:t>
      </w:r>
      <w:r w:rsidR="0D66C9F2">
        <w:t xml:space="preserve"> for</w:t>
      </w:r>
      <w:r w:rsidR="2875FAD2">
        <w:t xml:space="preserve"> t</w:t>
      </w:r>
      <w:r w:rsidR="69453B88">
        <w:t>echnical assistance</w:t>
      </w:r>
      <w:r w:rsidR="204EF1EC">
        <w:t xml:space="preserve"> with regulatory system strengthening or regulator support</w:t>
      </w:r>
      <w:r w:rsidR="0055C0AE">
        <w:t>. This is supported by funding by DFAT under the Partnerships for a Healthy Region program.</w:t>
      </w:r>
    </w:p>
    <w:p w14:paraId="6A7665EF" w14:textId="55E9FA5F" w:rsidR="001F3486" w:rsidRPr="00FD56E5" w:rsidRDefault="001F3486" w:rsidP="00A049E1">
      <w:pPr>
        <w:rPr>
          <w:szCs w:val="22"/>
        </w:rPr>
      </w:pPr>
      <w:r w:rsidRPr="00FD56E5">
        <w:rPr>
          <w:szCs w:val="22"/>
        </w:rPr>
        <w:t>The RSP is a regulatory system strengthening program aimed at helping</w:t>
      </w:r>
      <w:r w:rsidR="003F3BA3">
        <w:rPr>
          <w:szCs w:val="22"/>
        </w:rPr>
        <w:t xml:space="preserve"> to</w:t>
      </w:r>
      <w:r w:rsidRPr="00FD56E5">
        <w:rPr>
          <w:szCs w:val="22"/>
        </w:rPr>
        <w:t xml:space="preserve"> build the regulatory capacities and capabilities of partner National Regulatory Authorities</w:t>
      </w:r>
      <w:r w:rsidR="003A0918" w:rsidRPr="00FD56E5">
        <w:rPr>
          <w:szCs w:val="22"/>
        </w:rPr>
        <w:t xml:space="preserve"> (NRAs)</w:t>
      </w:r>
      <w:r w:rsidR="005A26F4" w:rsidRPr="00FD56E5">
        <w:rPr>
          <w:szCs w:val="22"/>
        </w:rPr>
        <w:t>.</w:t>
      </w:r>
      <w:r w:rsidRPr="00FD56E5">
        <w:rPr>
          <w:szCs w:val="22"/>
        </w:rPr>
        <w:t xml:space="preserve"> </w:t>
      </w:r>
      <w:r w:rsidR="00512818">
        <w:rPr>
          <w:szCs w:val="22"/>
        </w:rPr>
        <w:t>Additional k</w:t>
      </w:r>
      <w:r w:rsidR="00512818" w:rsidRPr="00FD56E5">
        <w:rPr>
          <w:szCs w:val="22"/>
        </w:rPr>
        <w:t>ey activities</w:t>
      </w:r>
      <w:r w:rsidR="00512818" w:rsidRPr="00823E02">
        <w:rPr>
          <w:szCs w:val="22"/>
        </w:rPr>
        <w:t xml:space="preserve"> </w:t>
      </w:r>
      <w:r w:rsidR="00512818" w:rsidRPr="00FD56E5">
        <w:rPr>
          <w:szCs w:val="22"/>
        </w:rPr>
        <w:t>delivered during 2022-2023 included</w:t>
      </w:r>
      <w:r w:rsidRPr="00FD56E5">
        <w:rPr>
          <w:szCs w:val="22"/>
        </w:rPr>
        <w:t>:</w:t>
      </w:r>
    </w:p>
    <w:p w14:paraId="5B316926" w14:textId="7E73EE23" w:rsidR="001F3486" w:rsidRPr="00F40CDA" w:rsidRDefault="003F3BA3" w:rsidP="00A049E1">
      <w:pPr>
        <w:pStyle w:val="ListParagraph"/>
      </w:pPr>
      <w:r>
        <w:t xml:space="preserve">the </w:t>
      </w:r>
      <w:r w:rsidR="00BC1F1A">
        <w:t>d</w:t>
      </w:r>
      <w:r w:rsidR="001F3486">
        <w:t>elivery of RSP regulatory practice workshops, including on reliance and different areas of technical or product expertise</w:t>
      </w:r>
    </w:p>
    <w:p w14:paraId="04873A6C" w14:textId="52F58504" w:rsidR="001F3486" w:rsidRPr="00F40CDA" w:rsidRDefault="00B96848" w:rsidP="00A049E1">
      <w:pPr>
        <w:pStyle w:val="ListParagraph"/>
      </w:pPr>
      <w:r>
        <w:t>p</w:t>
      </w:r>
      <w:r w:rsidR="001F3486">
        <w:t xml:space="preserve">artnering with the Cambodian Department of Drugs and Food (DDF) to help </w:t>
      </w:r>
      <w:r w:rsidR="003B0F01">
        <w:t xml:space="preserve">to </w:t>
      </w:r>
      <w:r w:rsidR="001F3486">
        <w:t xml:space="preserve">improve </w:t>
      </w:r>
      <w:r w:rsidR="003D3FEA">
        <w:t xml:space="preserve">its </w:t>
      </w:r>
      <w:r w:rsidR="001F3486">
        <w:t>ability to regulate irrational Fixed-Dose Combination products, a class of substandard medicine. We did this by developing several reliance activities, such as creating a risk management strategy and supporting business process changes that would allow the DDF to determine the suitability of a product to their country context</w:t>
      </w:r>
    </w:p>
    <w:p w14:paraId="52D8F8E8" w14:textId="0432D17A" w:rsidR="00F40CDA" w:rsidRDefault="00B96848" w:rsidP="00F40CDA">
      <w:pPr>
        <w:pStyle w:val="ListParagraph"/>
      </w:pPr>
      <w:r>
        <w:t>a</w:t>
      </w:r>
      <w:r w:rsidR="001F3486">
        <w:t xml:space="preserve">ssisting the </w:t>
      </w:r>
      <w:r w:rsidR="00C552F1">
        <w:t>L</w:t>
      </w:r>
      <w:r w:rsidR="002F55B4">
        <w:t>ao</w:t>
      </w:r>
      <w:r w:rsidR="005E7625">
        <w:t>s</w:t>
      </w:r>
      <w:r w:rsidR="002F55B4">
        <w:t xml:space="preserve"> </w:t>
      </w:r>
      <w:r w:rsidR="001F3486">
        <w:t xml:space="preserve">Food and Drug </w:t>
      </w:r>
      <w:r w:rsidR="007E7468">
        <w:t>Department with</w:t>
      </w:r>
      <w:r w:rsidR="001F3486">
        <w:t xml:space="preserve"> capability building for GMP inspections and issuing appropriate regulatory decisions. In-country visits in June and December 2022, as well as the TGA/WHO Joint Workshop in February-March 2023, provided peer-to-peer quality and GMP technical assistance. </w:t>
      </w:r>
      <w:r w:rsidR="002F55B4">
        <w:t>These</w:t>
      </w:r>
      <w:r w:rsidR="001F3486">
        <w:t xml:space="preserve"> sessions </w:t>
      </w:r>
      <w:r w:rsidR="002F55B4">
        <w:t xml:space="preserve">were </w:t>
      </w:r>
      <w:r w:rsidR="001F3486">
        <w:t>entirely in Thai, a language similar to Lao</w:t>
      </w:r>
      <w:r w:rsidR="00656BD4">
        <w:t xml:space="preserve"> w</w:t>
      </w:r>
      <w:r w:rsidR="00E91A17">
        <w:t>hich Lao speakers can generally</w:t>
      </w:r>
      <w:r w:rsidR="009B5516">
        <w:t xml:space="preserve"> understand</w:t>
      </w:r>
      <w:r w:rsidR="00E55537">
        <w:t>.</w:t>
      </w:r>
      <w:r w:rsidR="002F55B4">
        <w:t xml:space="preserve"> </w:t>
      </w:r>
      <w:r w:rsidR="00E55537">
        <w:t xml:space="preserve">This </w:t>
      </w:r>
      <w:r w:rsidR="001F3486">
        <w:t>helped to overcome the Lao-English language barrier that had previously made collaboration difficult</w:t>
      </w:r>
    </w:p>
    <w:p w14:paraId="13EE298A" w14:textId="44528AEB" w:rsidR="00706A7E" w:rsidRDefault="003D3FEA" w:rsidP="00F40CDA">
      <w:pPr>
        <w:pStyle w:val="ListParagraph"/>
      </w:pPr>
      <w:r>
        <w:t>taking</w:t>
      </w:r>
      <w:r w:rsidR="00706A7E" w:rsidRPr="00706A7E">
        <w:t xml:space="preserve"> active steps to improve coordination and communication with partner organisations. Collaboration has occurred over a wider set of </w:t>
      </w:r>
      <w:r w:rsidR="00AF2B15">
        <w:t>fora in 2022-23</w:t>
      </w:r>
      <w:r w:rsidR="00706A7E" w:rsidRPr="00706A7E">
        <w:t xml:space="preserve"> than was possible during the C</w:t>
      </w:r>
      <w:r w:rsidR="006E59F2">
        <w:t>OVID</w:t>
      </w:r>
      <w:r w:rsidR="00706A7E" w:rsidRPr="00706A7E">
        <w:t xml:space="preserve">-19 pandemic. A key collaboration event was the in-person 2023 </w:t>
      </w:r>
      <w:r w:rsidR="00036203">
        <w:t xml:space="preserve">Indo-Pacific </w:t>
      </w:r>
      <w:r w:rsidR="00706A7E" w:rsidRPr="00706A7E">
        <w:t xml:space="preserve">Regulatory </w:t>
      </w:r>
      <w:r w:rsidR="00036203">
        <w:t>Practice</w:t>
      </w:r>
      <w:r w:rsidR="00706A7E" w:rsidRPr="00706A7E">
        <w:t xml:space="preserve"> Workshop, where participating partners included United State Pharmacopeia, Duke-NUS Centre of Regulatory Excellence, WHO and the National Centre for Immunisation Research and Surveillance</w:t>
      </w:r>
      <w:r w:rsidR="0032112E">
        <w:t>,</w:t>
      </w:r>
      <w:r w:rsidR="00706A7E" w:rsidRPr="00706A7E">
        <w:t xml:space="preserve"> who were able to engage with the </w:t>
      </w:r>
      <w:r>
        <w:t>p</w:t>
      </w:r>
      <w:r w:rsidR="00706A7E" w:rsidRPr="00706A7E">
        <w:t>rogram and NRAs.</w:t>
      </w:r>
    </w:p>
    <w:p w14:paraId="1FE5AA07" w14:textId="77777777" w:rsidR="007067A9" w:rsidRDefault="007067A9" w:rsidP="00EE59B9">
      <w:pPr>
        <w:pStyle w:val="ListParagraph"/>
        <w:numPr>
          <w:ilvl w:val="0"/>
          <w:numId w:val="0"/>
        </w:numPr>
        <w:ind w:left="360"/>
      </w:pPr>
    </w:p>
    <w:tbl>
      <w:tblPr>
        <w:tblStyle w:val="TableGrid"/>
        <w:tblW w:w="8212" w:type="dxa"/>
        <w:tblBorders>
          <w:top w:val="none" w:sz="0" w:space="0" w:color="auto"/>
          <w:left w:val="single" w:sz="18" w:space="0" w:color="483391"/>
          <w:bottom w:val="none" w:sz="0" w:space="0" w:color="auto"/>
          <w:right w:val="none" w:sz="0" w:space="0" w:color="auto"/>
          <w:insideH w:val="none" w:sz="0" w:space="0" w:color="auto"/>
          <w:insideV w:val="none" w:sz="0" w:space="0" w:color="auto"/>
        </w:tblBorders>
        <w:tblLayout w:type="fixed"/>
        <w:tblCellMar>
          <w:left w:w="482" w:type="dxa"/>
        </w:tblCellMar>
        <w:tblLook w:val="04A0" w:firstRow="1" w:lastRow="0" w:firstColumn="1" w:lastColumn="0" w:noHBand="0" w:noVBand="1"/>
      </w:tblPr>
      <w:tblGrid>
        <w:gridCol w:w="8212"/>
      </w:tblGrid>
      <w:tr w:rsidR="001F3486" w:rsidRPr="001F3486" w14:paraId="3947847E" w14:textId="77777777" w:rsidTr="00294283">
        <w:trPr>
          <w:trHeight w:val="615"/>
        </w:trPr>
        <w:tc>
          <w:tcPr>
            <w:tcW w:w="8212" w:type="dxa"/>
            <w:tcMar>
              <w:left w:w="369" w:type="dxa"/>
              <w:right w:w="108" w:type="dxa"/>
            </w:tcMar>
          </w:tcPr>
          <w:p w14:paraId="699A7D50" w14:textId="6EC32E43" w:rsidR="00EE32E9" w:rsidRPr="00780A0A" w:rsidRDefault="001F3486" w:rsidP="007E62BA">
            <w:pPr>
              <w:rPr>
                <w:b/>
                <w:bCs/>
                <w:color w:val="483391"/>
                <w:sz w:val="24"/>
                <w:szCs w:val="24"/>
              </w:rPr>
            </w:pPr>
            <w:r w:rsidRPr="00780A0A">
              <w:rPr>
                <w:b/>
                <w:bCs/>
                <w:color w:val="483391"/>
                <w:sz w:val="24"/>
                <w:szCs w:val="24"/>
              </w:rPr>
              <w:t>Case Study – Indo-Pacific Regulatory Practice Workshop</w:t>
            </w:r>
          </w:p>
          <w:p w14:paraId="500837A6" w14:textId="14C75EF4" w:rsidR="001F3486" w:rsidRPr="001F3486" w:rsidRDefault="66C8AEB4" w:rsidP="00A049E1">
            <w:r>
              <w:t xml:space="preserve">Between </w:t>
            </w:r>
            <w:r w:rsidR="09A62CE1">
              <w:t>20</w:t>
            </w:r>
            <w:r w:rsidR="003D3FEA">
              <w:t xml:space="preserve"> to </w:t>
            </w:r>
            <w:r w:rsidR="09A62CE1">
              <w:t xml:space="preserve">23 </w:t>
            </w:r>
            <w:r>
              <w:t>February 2023</w:t>
            </w:r>
            <w:r w:rsidR="0E48411A">
              <w:t>,</w:t>
            </w:r>
            <w:r>
              <w:t xml:space="preserve"> a</w:t>
            </w:r>
            <w:r w:rsidR="001F3486">
              <w:t xml:space="preserve"> 4-day face-to-face workshop was held at the </w:t>
            </w:r>
            <w:r w:rsidR="003D3FEA">
              <w:t xml:space="preserve">TGA offices </w:t>
            </w:r>
            <w:r w:rsidR="001F3486">
              <w:t>in Canberra. The workshop aimed to strengthen regulatory knowledge, technical skills and information sharing between partner NRAs.</w:t>
            </w:r>
          </w:p>
          <w:p w14:paraId="664BBE82" w14:textId="7C461F53" w:rsidR="001F3486" w:rsidRPr="001F3486" w:rsidRDefault="001F3486" w:rsidP="00A049E1">
            <w:r>
              <w:lastRenderedPageBreak/>
              <w:t xml:space="preserve">The workshop was collaborative and interactive, with participants sharing discussions and participating in technical workshops. The primary aim was to reiterate the importance of the regulator's role in ensuring access to quality, safe and effective medicines. </w:t>
            </w:r>
            <w:r w:rsidR="66C8AEB4">
              <w:t>I</w:t>
            </w:r>
            <w:r w:rsidR="051B2B89">
              <w:t>t</w:t>
            </w:r>
            <w:r>
              <w:t xml:space="preserve"> also highlighted different techniques that can be used in relation to reliance and information sharing through hands-on, interactive problem-centric learning. These techniques complemented ongoing virtual activities and in-country engagements.</w:t>
            </w:r>
          </w:p>
          <w:p w14:paraId="02D86DF4" w14:textId="5BAD1907" w:rsidR="001F3486" w:rsidRDefault="001F3486" w:rsidP="00A049E1">
            <w:r>
              <w:t xml:space="preserve">Participants included regulatory staff from participating country </w:t>
            </w:r>
            <w:r w:rsidR="18FD3CC8">
              <w:t>NRA</w:t>
            </w:r>
            <w:r w:rsidR="52CA0E12">
              <w:t>s</w:t>
            </w:r>
            <w:r>
              <w:t xml:space="preserve">, as well as presenters from key </w:t>
            </w:r>
            <w:r w:rsidR="003D3FEA">
              <w:t>p</w:t>
            </w:r>
            <w:r>
              <w:t xml:space="preserve">rogram partners such as the United States Pharmacopeia, the Centre for Regulatory Excellence, National Centre for Immunisation Research and Surveillance, and </w:t>
            </w:r>
            <w:r w:rsidR="003D3FEA">
              <w:t>DFAT</w:t>
            </w:r>
            <w:r>
              <w:t>.</w:t>
            </w:r>
          </w:p>
          <w:p w14:paraId="32006EE9" w14:textId="1AA60281" w:rsidR="008F7B91" w:rsidRDefault="00182E1F" w:rsidP="00182E1F">
            <w:r>
              <w:rPr>
                <w:noProof/>
              </w:rPr>
              <w:drawing>
                <wp:anchor distT="0" distB="0" distL="114300" distR="114300" simplePos="0" relativeHeight="251666432" behindDoc="0" locked="0" layoutInCell="1" allowOverlap="1" wp14:anchorId="646AB760" wp14:editId="7EA0E63F">
                  <wp:simplePos x="0" y="0"/>
                  <wp:positionH relativeFrom="margin">
                    <wp:posOffset>-214582</wp:posOffset>
                  </wp:positionH>
                  <wp:positionV relativeFrom="paragraph">
                    <wp:posOffset>208172</wp:posOffset>
                  </wp:positionV>
                  <wp:extent cx="1280129" cy="272368"/>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0129" cy="272368"/>
                          </a:xfrm>
                          <a:prstGeom prst="rect">
                            <a:avLst/>
                          </a:prstGeom>
                        </pic:spPr>
                      </pic:pic>
                    </a:graphicData>
                  </a:graphic>
                  <wp14:sizeRelH relativeFrom="margin">
                    <wp14:pctWidth>0</wp14:pctWidth>
                  </wp14:sizeRelH>
                  <wp14:sizeRelV relativeFrom="margin">
                    <wp14:pctHeight>0</wp14:pctHeight>
                  </wp14:sizeRelV>
                </wp:anchor>
              </w:drawing>
            </w:r>
            <w:r w:rsidR="03647A25">
              <w:rPr>
                <w:noProof/>
              </w:rPr>
              <w:drawing>
                <wp:inline distT="0" distB="0" distL="0" distR="0" wp14:anchorId="2C06E804" wp14:editId="512237FD">
                  <wp:extent cx="3583940" cy="2234316"/>
                  <wp:effectExtent l="0" t="0" r="0" b="0"/>
                  <wp:docPr id="263" name="Picture 263" descr="The attendees of the Indo-Pacific workshop pose for a photo in the TGAs small amphithea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e attendees of the Indo-Pacific workshop pose for a photo in the TGAs small amphitheatre "/>
                          <pic:cNvPicPr/>
                        </pic:nvPicPr>
                        <pic:blipFill>
                          <a:blip r:embed="rId27">
                            <a:extLst>
                              <a:ext uri="{28A0092B-C50C-407E-A947-70E740481C1C}">
                                <a14:useLocalDpi xmlns:a14="http://schemas.microsoft.com/office/drawing/2010/main" val="0"/>
                              </a:ext>
                            </a:extLst>
                          </a:blip>
                          <a:stretch>
                            <a:fillRect/>
                          </a:stretch>
                        </pic:blipFill>
                        <pic:spPr>
                          <a:xfrm>
                            <a:off x="0" y="0"/>
                            <a:ext cx="3604373" cy="2247054"/>
                          </a:xfrm>
                          <a:prstGeom prst="rect">
                            <a:avLst/>
                          </a:prstGeom>
                        </pic:spPr>
                      </pic:pic>
                    </a:graphicData>
                  </a:graphic>
                </wp:inline>
              </w:drawing>
            </w:r>
          </w:p>
          <w:p w14:paraId="43FECC42" w14:textId="5F3E1143" w:rsidR="001F3486" w:rsidRPr="001F3486" w:rsidRDefault="001F3486" w:rsidP="00A049E1">
            <w:r w:rsidRPr="001F3486">
              <w:t xml:space="preserve">The </w:t>
            </w:r>
            <w:r w:rsidR="003D3FEA">
              <w:t>w</w:t>
            </w:r>
            <w:r w:rsidRPr="001F3486">
              <w:t>orkshop covered the following themes:</w:t>
            </w:r>
          </w:p>
          <w:p w14:paraId="20EED6AC" w14:textId="6A21F3DD" w:rsidR="001F3486" w:rsidRPr="004C3A7E" w:rsidRDefault="003D3FEA" w:rsidP="00A049E1">
            <w:pPr>
              <w:pStyle w:val="ListParagraph"/>
            </w:pPr>
            <w:r>
              <w:t>r</w:t>
            </w:r>
            <w:r w:rsidR="001F3486">
              <w:t>isk-based approaches to pre-market quality evaluation, bioequivalence studies</w:t>
            </w:r>
            <w:r>
              <w:t xml:space="preserve">, </w:t>
            </w:r>
            <w:r w:rsidR="001F3486">
              <w:t>GMP and laboratory testing</w:t>
            </w:r>
            <w:r w:rsidR="00365F8B">
              <w:t xml:space="preserve"> </w:t>
            </w:r>
          </w:p>
          <w:p w14:paraId="05AE5509" w14:textId="3AA643DB" w:rsidR="001F3486" w:rsidRPr="004C3A7E" w:rsidRDefault="003D3FEA" w:rsidP="00A049E1">
            <w:pPr>
              <w:pStyle w:val="ListParagraph"/>
            </w:pPr>
            <w:r>
              <w:t>s</w:t>
            </w:r>
            <w:r w:rsidR="001F3486">
              <w:t xml:space="preserve">afety monitoring and the Quality Use of Medicines </w:t>
            </w:r>
          </w:p>
          <w:p w14:paraId="4980DBFD" w14:textId="33D78769" w:rsidR="00EE32E9" w:rsidRPr="004C3A7E" w:rsidRDefault="003D3FEA" w:rsidP="00A049E1">
            <w:pPr>
              <w:pStyle w:val="ListParagraph"/>
            </w:pPr>
            <w:r>
              <w:t>o</w:t>
            </w:r>
            <w:r w:rsidR="001F3486">
              <w:t>pportunities for regulatory collaboration and reliance</w:t>
            </w:r>
            <w:r w:rsidR="65861D94">
              <w:t>.</w:t>
            </w:r>
          </w:p>
          <w:p w14:paraId="35B81214" w14:textId="2A9C82A5" w:rsidR="001F3486" w:rsidRDefault="001F3486" w:rsidP="23B264BB">
            <w:pPr>
              <w:rPr>
                <w:szCs w:val="22"/>
              </w:rPr>
            </w:pPr>
            <w:r>
              <w:t>Participants</w:t>
            </w:r>
            <w:r w:rsidR="3053E3E2">
              <w:t xml:space="preserve"> had opportunities to</w:t>
            </w:r>
            <w:r w:rsidR="1B5D74F8">
              <w:t xml:space="preserve"> a</w:t>
            </w:r>
            <w:r>
              <w:t>ccess a broad range of technical experts from the TGA for hands-on, interactive problem-centric learning</w:t>
            </w:r>
            <w:r w:rsidR="3B34BF62">
              <w:t xml:space="preserve">. They also toured </w:t>
            </w:r>
            <w:r>
              <w:t xml:space="preserve">our new </w:t>
            </w:r>
            <w:r w:rsidR="003D3FEA">
              <w:t xml:space="preserve">TGA </w:t>
            </w:r>
            <w:r>
              <w:t>laboratory facilities</w:t>
            </w:r>
            <w:r w:rsidR="7123FCAA">
              <w:t xml:space="preserve"> and heard from </w:t>
            </w:r>
            <w:r>
              <w:t>other NRAs about their experiences across a range of regulatory subjects.</w:t>
            </w:r>
          </w:p>
          <w:p w14:paraId="2DFFAFED" w14:textId="6E13E9E3" w:rsidR="00A00835" w:rsidRPr="00A00835" w:rsidRDefault="00780A0A" w:rsidP="00182E1F">
            <w:pPr>
              <w:ind w:left="170"/>
            </w:pPr>
            <w:r>
              <w:rPr>
                <w:noProof/>
              </w:rPr>
              <w:lastRenderedPageBreak/>
              <w:drawing>
                <wp:anchor distT="0" distB="0" distL="114300" distR="114300" simplePos="0" relativeHeight="251673600" behindDoc="0" locked="0" layoutInCell="1" allowOverlap="1" wp14:anchorId="55AB9A75" wp14:editId="411FDE53">
                  <wp:simplePos x="0" y="0"/>
                  <wp:positionH relativeFrom="column">
                    <wp:posOffset>1976527</wp:posOffset>
                  </wp:positionH>
                  <wp:positionV relativeFrom="paragraph">
                    <wp:posOffset>2099993</wp:posOffset>
                  </wp:positionV>
                  <wp:extent cx="2708221" cy="57280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708221" cy="572805"/>
                          </a:xfrm>
                          <a:prstGeom prst="rect">
                            <a:avLst/>
                          </a:prstGeom>
                        </pic:spPr>
                      </pic:pic>
                    </a:graphicData>
                  </a:graphic>
                  <wp14:sizeRelH relativeFrom="margin">
                    <wp14:pctWidth>0</wp14:pctWidth>
                  </wp14:sizeRelH>
                  <wp14:sizeRelV relativeFrom="margin">
                    <wp14:pctHeight>0</wp14:pctHeight>
                  </wp14:sizeRelV>
                </wp:anchor>
              </w:drawing>
            </w:r>
            <w:r w:rsidR="2BD07885">
              <w:rPr>
                <w:noProof/>
              </w:rPr>
              <w:drawing>
                <wp:inline distT="0" distB="0" distL="0" distR="0" wp14:anchorId="01287BE4" wp14:editId="00B06BE9">
                  <wp:extent cx="4263242" cy="2815590"/>
                  <wp:effectExtent l="0" t="0" r="4445" b="3810"/>
                  <wp:docPr id="257" name="Picture 257" descr="Dr Penny Lukito, chairperson of the Indonesian FDP presenting to the event crowd next to a large sign that reads &quot;Regulatory Practice Workshop 202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Dr Penny Lukito, chairperson of the Indonesian FDP presenting to the event crowd next to a large sign that reads &quot;Regulatory Practice Workshop 2023&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3242" cy="2815590"/>
                          </a:xfrm>
                          <a:prstGeom prst="rect">
                            <a:avLst/>
                          </a:prstGeom>
                        </pic:spPr>
                      </pic:pic>
                    </a:graphicData>
                  </a:graphic>
                </wp:inline>
              </w:drawing>
            </w:r>
          </w:p>
          <w:p w14:paraId="719A63B4" w14:textId="50840E06" w:rsidR="001F3486" w:rsidRDefault="001F3486" w:rsidP="00A049E1">
            <w:r>
              <w:t xml:space="preserve">The workshop was fortunate to </w:t>
            </w:r>
            <w:r w:rsidR="00397FC6">
              <w:t xml:space="preserve">hear </w:t>
            </w:r>
            <w:r>
              <w:t>Dr. Penny Lukito, Chairperson of the Indonesian FDA, share her agency's experience in dealing with ethylene glycol and diethylene glycol contaminants in paediatric oral liquid medicine. This session was very well</w:t>
            </w:r>
            <w:r w:rsidR="003D3FEA">
              <w:t xml:space="preserve"> </w:t>
            </w:r>
            <w:r>
              <w:t>received, as the incident is current and directly relevant to the work of many of the participants. It generated further conversations and information sharing about this critical issue throughout the workshop.</w:t>
            </w:r>
          </w:p>
          <w:p w14:paraId="6D8F9B59" w14:textId="3DB0BF91" w:rsidR="001F3486" w:rsidRPr="001F3486" w:rsidRDefault="001F3486" w:rsidP="00A049E1">
            <w:r>
              <w:t>The workshop received positive feedback from participating NRAs and program partners. Participants found the experience valuable, with many indicating that they felt their skills and knowledge had been strengthened. They also expressed continued interest in working with the TGA on topics such as regulatory cooperation, risk management and risk assessment, GMP inspection, post-marketing surveillance, critical quality attributes, and reliance.</w:t>
            </w:r>
          </w:p>
        </w:tc>
      </w:tr>
    </w:tbl>
    <w:p w14:paraId="72EDD741" w14:textId="65BDADE0" w:rsidR="00907F2F" w:rsidRDefault="00907F2F" w:rsidP="00E60A49"/>
    <w:p w14:paraId="360E0588" w14:textId="2114E035" w:rsidR="005F53B6" w:rsidRDefault="3F0ECB0E" w:rsidP="40EB8B97">
      <w:pPr>
        <w:pStyle w:val="Heading3"/>
      </w:pPr>
      <w:bookmarkStart w:id="25" w:name="_Toc153550387"/>
      <w:r>
        <w:t>The Australian Expert Technical Assistance Program for Regional COVID-19 Vaccine Access – Regulatory Support and Safety Monitoring (</w:t>
      </w:r>
      <w:r w:rsidR="007B0350">
        <w:t>AETAP</w:t>
      </w:r>
      <w:r>
        <w:t>-RSSM)</w:t>
      </w:r>
      <w:bookmarkEnd w:id="25"/>
    </w:p>
    <w:p w14:paraId="5B74BCEB" w14:textId="3F035308" w:rsidR="005F53B6" w:rsidRDefault="6BB41CE6" w:rsidP="40EB8B97">
      <w:r>
        <w:t>The AETAP-RSSM was launched in April 2021 to support access to high quality, safe and effective COVID-19 vaccines. It aims to provide coordinated and holistic Australian policy and regulatory expertise to national COVID-19 immunisation programs in Southeast Asia and the Pacific. The program was delivered on 30 June 2023, and has incorporated the following 18 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40EB8B97" w14:paraId="3E64C633" w14:textId="77777777" w:rsidTr="00FB3A5F">
        <w:trPr>
          <w:trHeight w:val="1938"/>
        </w:trPr>
        <w:tc>
          <w:tcPr>
            <w:tcW w:w="3005" w:type="dxa"/>
          </w:tcPr>
          <w:p w14:paraId="089AF542" w14:textId="77777777" w:rsidR="40EB8B97" w:rsidRDefault="40EB8B97" w:rsidP="40EB8B97">
            <w:pPr>
              <w:pStyle w:val="ListParagraph"/>
            </w:pPr>
            <w:r>
              <w:t>Cambodia</w:t>
            </w:r>
          </w:p>
          <w:p w14:paraId="3AEEF690" w14:textId="77777777" w:rsidR="40EB8B97" w:rsidRDefault="40EB8B97" w:rsidP="40EB8B97">
            <w:pPr>
              <w:pStyle w:val="ListParagraph"/>
            </w:pPr>
            <w:r>
              <w:t xml:space="preserve">Fiji </w:t>
            </w:r>
          </w:p>
          <w:p w14:paraId="0A05A122" w14:textId="77777777" w:rsidR="40EB8B97" w:rsidRDefault="40EB8B97" w:rsidP="40EB8B97">
            <w:pPr>
              <w:pStyle w:val="ListParagraph"/>
            </w:pPr>
            <w:r>
              <w:t xml:space="preserve">Indonesia </w:t>
            </w:r>
          </w:p>
          <w:p w14:paraId="4C8086FB" w14:textId="77777777" w:rsidR="40EB8B97" w:rsidRDefault="40EB8B97" w:rsidP="40EB8B97">
            <w:pPr>
              <w:pStyle w:val="ListParagraph"/>
            </w:pPr>
            <w:r>
              <w:t xml:space="preserve">Kiribati </w:t>
            </w:r>
          </w:p>
          <w:p w14:paraId="38712D79" w14:textId="77777777" w:rsidR="40EB8B97" w:rsidRDefault="40EB8B97" w:rsidP="40EB8B97">
            <w:pPr>
              <w:pStyle w:val="ListParagraph"/>
            </w:pPr>
            <w:r>
              <w:t>Laos</w:t>
            </w:r>
          </w:p>
          <w:p w14:paraId="07D64A7E" w14:textId="502F8271" w:rsidR="40EB8B97" w:rsidRDefault="40EB8B97" w:rsidP="40EB8B97">
            <w:pPr>
              <w:pStyle w:val="ListParagraph"/>
            </w:pPr>
            <w:r>
              <w:t>Thailand</w:t>
            </w:r>
          </w:p>
        </w:tc>
        <w:tc>
          <w:tcPr>
            <w:tcW w:w="3005" w:type="dxa"/>
          </w:tcPr>
          <w:p w14:paraId="0BD23737" w14:textId="77777777" w:rsidR="40EB8B97" w:rsidRDefault="40EB8B97" w:rsidP="40EB8B97">
            <w:pPr>
              <w:pStyle w:val="ListParagraph"/>
            </w:pPr>
            <w:r>
              <w:t>Malaysia</w:t>
            </w:r>
          </w:p>
          <w:p w14:paraId="47C70F29" w14:textId="77777777" w:rsidR="40EB8B97" w:rsidRDefault="40EB8B97" w:rsidP="40EB8B97">
            <w:pPr>
              <w:pStyle w:val="ListParagraph"/>
            </w:pPr>
            <w:r>
              <w:t>Myanmar</w:t>
            </w:r>
          </w:p>
          <w:p w14:paraId="40A47433" w14:textId="77777777" w:rsidR="40EB8B97" w:rsidRDefault="40EB8B97" w:rsidP="40EB8B97">
            <w:pPr>
              <w:pStyle w:val="ListParagraph"/>
            </w:pPr>
            <w:r>
              <w:t xml:space="preserve">Nauru </w:t>
            </w:r>
          </w:p>
          <w:p w14:paraId="709FF223" w14:textId="40B1E7A1" w:rsidR="40EB8B97" w:rsidRDefault="40EB8B97" w:rsidP="40EB8B97">
            <w:pPr>
              <w:pStyle w:val="ListParagraph"/>
            </w:pPr>
            <w:r>
              <w:t>Papua New Guinea</w:t>
            </w:r>
          </w:p>
          <w:p w14:paraId="08B99870" w14:textId="77777777" w:rsidR="40EB8B97" w:rsidRDefault="40EB8B97" w:rsidP="40EB8B97">
            <w:pPr>
              <w:pStyle w:val="ListParagraph"/>
            </w:pPr>
            <w:r>
              <w:t>Philippines</w:t>
            </w:r>
          </w:p>
          <w:p w14:paraId="544A0C7D" w14:textId="7D952E6C" w:rsidR="40EB8B97" w:rsidRDefault="40EB8B97" w:rsidP="40EB8B97">
            <w:pPr>
              <w:pStyle w:val="ListParagraph"/>
            </w:pPr>
            <w:r>
              <w:t>Samoa</w:t>
            </w:r>
          </w:p>
        </w:tc>
        <w:tc>
          <w:tcPr>
            <w:tcW w:w="3006" w:type="dxa"/>
          </w:tcPr>
          <w:p w14:paraId="4F89D483" w14:textId="77777777" w:rsidR="40EB8B97" w:rsidRDefault="40EB8B97" w:rsidP="40EB8B97">
            <w:pPr>
              <w:pStyle w:val="ListParagraph"/>
            </w:pPr>
            <w:r>
              <w:t>Solomon Islands</w:t>
            </w:r>
          </w:p>
          <w:p w14:paraId="567F0C5D" w14:textId="77777777" w:rsidR="40EB8B97" w:rsidRDefault="40EB8B97" w:rsidP="40EB8B97">
            <w:pPr>
              <w:pStyle w:val="ListParagraph"/>
            </w:pPr>
            <w:r>
              <w:t xml:space="preserve">Timor-Leste </w:t>
            </w:r>
          </w:p>
          <w:p w14:paraId="0E12A451" w14:textId="77777777" w:rsidR="40EB8B97" w:rsidRDefault="40EB8B97" w:rsidP="40EB8B97">
            <w:pPr>
              <w:pStyle w:val="ListParagraph"/>
            </w:pPr>
            <w:r>
              <w:t xml:space="preserve">Tonga </w:t>
            </w:r>
          </w:p>
          <w:p w14:paraId="706C8B06" w14:textId="77777777" w:rsidR="40EB8B97" w:rsidRDefault="40EB8B97" w:rsidP="40EB8B97">
            <w:pPr>
              <w:pStyle w:val="ListParagraph"/>
            </w:pPr>
            <w:r>
              <w:t>Tuvalu</w:t>
            </w:r>
          </w:p>
          <w:p w14:paraId="69546976" w14:textId="77777777" w:rsidR="40EB8B97" w:rsidRDefault="40EB8B97" w:rsidP="40EB8B97">
            <w:pPr>
              <w:pStyle w:val="ListParagraph"/>
            </w:pPr>
            <w:r>
              <w:t xml:space="preserve">Vanuatu </w:t>
            </w:r>
          </w:p>
          <w:p w14:paraId="604F5C02" w14:textId="1925842F" w:rsidR="40EB8B97" w:rsidRDefault="40EB8B97" w:rsidP="40EB8B97">
            <w:pPr>
              <w:pStyle w:val="ListParagraph"/>
            </w:pPr>
            <w:r>
              <w:t>Vietnam</w:t>
            </w:r>
          </w:p>
        </w:tc>
      </w:tr>
    </w:tbl>
    <w:p w14:paraId="02EF3B7D" w14:textId="3238EA42" w:rsidR="005F53B6" w:rsidRDefault="6BB41CE6" w:rsidP="40EB8B97">
      <w:r>
        <w:t xml:space="preserve">We facilitated the expedited registration of COVID-19 therapies in the Indo-Pacific region by sharing technical information on their use in vulnerable groups, particularly in cases of severe COVID-19. This included sharing assessment reports for TGA-approved COVID-19 </w:t>
      </w:r>
      <w:r>
        <w:lastRenderedPageBreak/>
        <w:t xml:space="preserve">therapies with counterpart regulatory agencies in the region. </w:t>
      </w:r>
      <w:r w:rsidR="002F338B">
        <w:t>As noted above, in</w:t>
      </w:r>
      <w:r>
        <w:t xml:space="preserve"> response to requests from partners, we also developed and shared clinical factsheets for Lagevrio, Actemra, and Paxlovid, highlighting recommendations on their use in vulnerable populations such as pregnant women, women of reproductive age, and paediatric age groups.</w:t>
      </w:r>
    </w:p>
    <w:p w14:paraId="2941BC08" w14:textId="32195031" w:rsidR="005F53B6" w:rsidRDefault="6BB41CE6" w:rsidP="40EB8B97">
      <w:r>
        <w:t xml:space="preserve">In addition, </w:t>
      </w:r>
      <w:r w:rsidR="00EC0879">
        <w:t xml:space="preserve">through a series of virtual training workshops, </w:t>
      </w:r>
      <w:r>
        <w:t>we strengthened safety monitoring systems and post-market monitoring capabilities in Lao PDR, Malaysia, Thailand, and the Philippines. We also collaborated with WHO and NCIRS to provide joint workshops on signal detection and adverse event following immunisation identification in the Pacific Islands to strengthen post-market safety frameworks for COVID-19 vaccines.</w:t>
      </w:r>
      <w:r w:rsidR="004423D1">
        <w:t xml:space="preserve"> </w:t>
      </w:r>
      <w:r w:rsidR="004423D1" w:rsidRPr="003D1D2D">
        <w:t xml:space="preserve">Additionally, considerable focus has been given to Fiji’s pharmacovigilance capability building through mentorship of </w:t>
      </w:r>
      <w:r w:rsidR="00CF4F1C">
        <w:t>its</w:t>
      </w:r>
      <w:r w:rsidR="004423D1" w:rsidRPr="003D1D2D">
        <w:t xml:space="preserve"> first pharmacovigilance officer (funded by the WHO) and development of guidelines and policies.</w:t>
      </w:r>
    </w:p>
    <w:p w14:paraId="2CA9F526" w14:textId="12B8D5A0" w:rsidR="005F53B6" w:rsidRDefault="760072E7" w:rsidP="6CD30380">
      <w:pPr>
        <w:pStyle w:val="Heading2"/>
        <w:rPr>
          <w:rFonts w:asciiTheme="minorHAnsi" w:hAnsiTheme="minorHAnsi" w:cstheme="minorBidi"/>
          <w:sz w:val="22"/>
          <w:szCs w:val="22"/>
        </w:rPr>
      </w:pPr>
      <w:bookmarkStart w:id="26" w:name="_Toc153550388"/>
      <w:r>
        <w:t xml:space="preserve">Action Plan for Medical </w:t>
      </w:r>
      <w:r w:rsidR="0F204E94">
        <w:t>D</w:t>
      </w:r>
      <w:r>
        <w:t>evices</w:t>
      </w:r>
      <w:bookmarkEnd w:id="26"/>
    </w:p>
    <w:p w14:paraId="68594CFF" w14:textId="270637E0" w:rsidR="008035E9" w:rsidRPr="00A049E1" w:rsidRDefault="0068426F" w:rsidP="00FB3A5F">
      <w:pPr>
        <w:pStyle w:val="ListParagraph"/>
        <w:numPr>
          <w:ilvl w:val="0"/>
          <w:numId w:val="0"/>
        </w:numPr>
        <w:rPr>
          <w:b/>
          <w:bCs/>
        </w:rPr>
      </w:pPr>
      <w:r w:rsidRPr="6195C661">
        <w:rPr>
          <w:b/>
          <w:bCs/>
        </w:rPr>
        <w:t xml:space="preserve">We are </w:t>
      </w:r>
      <w:r w:rsidR="00E84F73" w:rsidRPr="6195C661">
        <w:rPr>
          <w:b/>
          <w:bCs/>
        </w:rPr>
        <w:t>continu</w:t>
      </w:r>
      <w:r w:rsidR="00E84F73">
        <w:rPr>
          <w:b/>
          <w:bCs/>
        </w:rPr>
        <w:t>ing</w:t>
      </w:r>
      <w:r w:rsidR="00F105E7">
        <w:rPr>
          <w:b/>
          <w:bCs/>
        </w:rPr>
        <w:t xml:space="preserve"> to </w:t>
      </w:r>
      <w:r w:rsidR="00B94BC0" w:rsidRPr="6195C661">
        <w:rPr>
          <w:b/>
          <w:bCs/>
        </w:rPr>
        <w:t>implement the Action Plan for Medical Devices</w:t>
      </w:r>
      <w:r w:rsidRPr="6195C661">
        <w:rPr>
          <w:b/>
          <w:bCs/>
        </w:rPr>
        <w:t xml:space="preserve">, </w:t>
      </w:r>
      <w:r w:rsidR="00F105E7">
        <w:rPr>
          <w:b/>
          <w:bCs/>
        </w:rPr>
        <w:t xml:space="preserve">to </w:t>
      </w:r>
      <w:r w:rsidR="00B94BC0" w:rsidRPr="6195C661">
        <w:rPr>
          <w:b/>
          <w:bCs/>
        </w:rPr>
        <w:t>improve how devices get on the market</w:t>
      </w:r>
      <w:r w:rsidR="00867892">
        <w:rPr>
          <w:b/>
          <w:bCs/>
        </w:rPr>
        <w:t>,</w:t>
      </w:r>
      <w:r w:rsidR="00B94BC0" w:rsidRPr="6195C661">
        <w:rPr>
          <w:b/>
          <w:bCs/>
        </w:rPr>
        <w:t xml:space="preserve"> strengthen monitoring and follow-up of devices already in use</w:t>
      </w:r>
      <w:r w:rsidR="00867892">
        <w:rPr>
          <w:b/>
          <w:bCs/>
        </w:rPr>
        <w:t>,</w:t>
      </w:r>
      <w:r w:rsidR="00B94BC0" w:rsidRPr="6195C661">
        <w:rPr>
          <w:b/>
          <w:bCs/>
        </w:rPr>
        <w:t xml:space="preserve"> and provide more information to patients about the devices they use.</w:t>
      </w:r>
    </w:p>
    <w:p w14:paraId="32913D50" w14:textId="043E170F" w:rsidR="006F3AF2" w:rsidRPr="006F3AF2" w:rsidRDefault="005767E4" w:rsidP="00A049E1">
      <w:r>
        <w:t>As part of implementing the Action Plan for Medical Devices, n</w:t>
      </w:r>
      <w:r w:rsidR="006F3AF2">
        <w:t xml:space="preserve">umerous activities </w:t>
      </w:r>
      <w:r w:rsidR="0080DA26">
        <w:t xml:space="preserve">have been undertaken </w:t>
      </w:r>
      <w:r w:rsidR="006F3AF2">
        <w:t xml:space="preserve">to improve the </w:t>
      </w:r>
      <w:r w:rsidR="038E35A1">
        <w:t xml:space="preserve">application and evaluation </w:t>
      </w:r>
      <w:r w:rsidR="006F3AF2">
        <w:t>process</w:t>
      </w:r>
      <w:r w:rsidR="778F372B">
        <w:t>es</w:t>
      </w:r>
      <w:r w:rsidR="006F3AF2">
        <w:t xml:space="preserve"> for</w:t>
      </w:r>
      <w:r w:rsidR="67687963">
        <w:t xml:space="preserve"> market approval of </w:t>
      </w:r>
      <w:r w:rsidR="00A4584A">
        <w:t>devices</w:t>
      </w:r>
      <w:r w:rsidR="006F3AF2">
        <w:t>. These include:</w:t>
      </w:r>
    </w:p>
    <w:p w14:paraId="08EA00CE" w14:textId="024C5092" w:rsidR="006F3AF2" w:rsidRPr="00F40CDA" w:rsidRDefault="360FFC12" w:rsidP="00A049E1">
      <w:pPr>
        <w:pStyle w:val="ListParagraph"/>
      </w:pPr>
      <w:r>
        <w:t xml:space="preserve">holding </w:t>
      </w:r>
      <w:r w:rsidR="00381CEB">
        <w:t>w</w:t>
      </w:r>
      <w:r w:rsidR="006F3AF2">
        <w:t xml:space="preserve">ebinars and stakeholder workshops </w:t>
      </w:r>
      <w:r w:rsidR="00A4584A">
        <w:t xml:space="preserve">about </w:t>
      </w:r>
      <w:r w:rsidR="007A3B5E">
        <w:t>managing the</w:t>
      </w:r>
      <w:r w:rsidR="006F3AF2">
        <w:t xml:space="preserve"> transitioning and assessment of medical devices approved under the E</w:t>
      </w:r>
      <w:r w:rsidR="00F105E7">
        <w:t xml:space="preserve">uropean (EU) </w:t>
      </w:r>
      <w:r w:rsidR="006F3AF2">
        <w:t>Medical Devices Directive</w:t>
      </w:r>
      <w:r w:rsidR="37915199">
        <w:t xml:space="preserve"> to the new EU Medical Device Regulations</w:t>
      </w:r>
    </w:p>
    <w:p w14:paraId="142D910A" w14:textId="69B09A55" w:rsidR="006F3AF2" w:rsidRPr="00F40CDA" w:rsidRDefault="00A4584A" w:rsidP="00A049E1">
      <w:pPr>
        <w:pStyle w:val="ListParagraph"/>
      </w:pPr>
      <w:r>
        <w:t>extending transition</w:t>
      </w:r>
      <w:r w:rsidR="006F3AF2">
        <w:t xml:space="preserve"> timelines for introduction of </w:t>
      </w:r>
      <w:r w:rsidR="00F105E7">
        <w:t>c</w:t>
      </w:r>
      <w:r w:rsidR="006F3AF2">
        <w:t>ompanion diagnostics regulations to 26 May 2026, to align with E</w:t>
      </w:r>
      <w:r w:rsidR="00F105E7">
        <w:t>U</w:t>
      </w:r>
      <w:r w:rsidR="006F3AF2">
        <w:t xml:space="preserve"> </w:t>
      </w:r>
      <w:r w:rsidR="00716E38">
        <w:t xml:space="preserve">In Vitro Diagnostic Regulation </w:t>
      </w:r>
      <w:r w:rsidR="00592548">
        <w:t>(</w:t>
      </w:r>
      <w:r w:rsidR="006F3AF2">
        <w:t>IVDR</w:t>
      </w:r>
      <w:r w:rsidR="00592548">
        <w:t>)</w:t>
      </w:r>
      <w:r w:rsidR="006F3AF2">
        <w:t xml:space="preserve"> timelines</w:t>
      </w:r>
    </w:p>
    <w:p w14:paraId="3321FAEF" w14:textId="5A6025A6" w:rsidR="006F3AF2" w:rsidRPr="00F40CDA" w:rsidRDefault="00BC60E2" w:rsidP="00A049E1">
      <w:pPr>
        <w:pStyle w:val="ListParagraph"/>
      </w:pPr>
      <w:r>
        <w:t>a</w:t>
      </w:r>
      <w:r w:rsidR="00381CEB">
        <w:t>mend</w:t>
      </w:r>
      <w:r w:rsidR="56749CB5">
        <w:t>ing</w:t>
      </w:r>
      <w:r w:rsidR="00381CEB">
        <w:t xml:space="preserve"> t</w:t>
      </w:r>
      <w:r w:rsidR="006F3AF2">
        <w:t>he Therapeutic Goods (Excluded Purposes) Specification 2020 to allow for legal supply of COVID</w:t>
      </w:r>
      <w:r w:rsidR="20699B1D">
        <w:t>-19</w:t>
      </w:r>
      <w:r w:rsidR="006F3AF2">
        <w:t xml:space="preserve"> self-tests to meet the public health</w:t>
      </w:r>
      <w:r w:rsidR="00200C90">
        <w:t xml:space="preserve"> need</w:t>
      </w:r>
      <w:r w:rsidR="006F3AF2">
        <w:t xml:space="preserve"> during COVID</w:t>
      </w:r>
      <w:r w:rsidR="3EDDF4AB">
        <w:t>-19</w:t>
      </w:r>
      <w:r w:rsidR="006F3AF2">
        <w:t xml:space="preserve"> pandemic </w:t>
      </w:r>
      <w:r w:rsidR="00A4584A">
        <w:t>management</w:t>
      </w:r>
    </w:p>
    <w:p w14:paraId="753E43B6" w14:textId="09E01063" w:rsidR="006F3AF2" w:rsidRPr="00F40CDA" w:rsidRDefault="006F3AF2" w:rsidP="00A049E1">
      <w:pPr>
        <w:pStyle w:val="ListParagraph"/>
      </w:pPr>
      <w:r>
        <w:t xml:space="preserve"> reclassification of certain medical devices:</w:t>
      </w:r>
    </w:p>
    <w:p w14:paraId="7694B7CE" w14:textId="1CCD1210" w:rsidR="006F3AF2" w:rsidRPr="00F40CDA" w:rsidRDefault="006F3AF2" w:rsidP="00ED1A1F">
      <w:pPr>
        <w:pStyle w:val="ListParagraph"/>
        <w:numPr>
          <w:ilvl w:val="1"/>
          <w:numId w:val="5"/>
        </w:numPr>
      </w:pPr>
      <w:r w:rsidRPr="00F40CDA">
        <w:t xml:space="preserve">active medical devices for therapy with diagnostic function </w:t>
      </w:r>
    </w:p>
    <w:p w14:paraId="425C4F40" w14:textId="4B6E9A70" w:rsidR="006F3AF2" w:rsidRPr="00F40CDA" w:rsidRDefault="006F3AF2" w:rsidP="00ED1A1F">
      <w:pPr>
        <w:pStyle w:val="ListParagraph"/>
        <w:numPr>
          <w:ilvl w:val="1"/>
          <w:numId w:val="5"/>
        </w:numPr>
      </w:pPr>
      <w:r w:rsidRPr="00F40CDA">
        <w:t>spinal implantable medical devices (motion preserving)</w:t>
      </w:r>
    </w:p>
    <w:p w14:paraId="6A591600" w14:textId="63C75168" w:rsidR="006F3AF2" w:rsidRPr="00F40CDA" w:rsidRDefault="006F3AF2" w:rsidP="00ED1A1F">
      <w:pPr>
        <w:pStyle w:val="ListParagraph"/>
        <w:numPr>
          <w:ilvl w:val="1"/>
          <w:numId w:val="5"/>
        </w:numPr>
      </w:pPr>
      <w:r w:rsidRPr="00F40CDA">
        <w:t xml:space="preserve">devices used in direct contact with the heart, central circulatory system, or central nervous system </w:t>
      </w:r>
    </w:p>
    <w:p w14:paraId="76ADF056" w14:textId="6E3597AD" w:rsidR="006F3AF2" w:rsidRPr="00F40CDA" w:rsidRDefault="006F3AF2" w:rsidP="00ED1A1F">
      <w:pPr>
        <w:pStyle w:val="ListParagraph"/>
        <w:numPr>
          <w:ilvl w:val="1"/>
          <w:numId w:val="5"/>
        </w:numPr>
      </w:pPr>
      <w:r w:rsidRPr="00F40CDA">
        <w:t xml:space="preserve">medical devices that administer medicines or biologicals by inhalation </w:t>
      </w:r>
    </w:p>
    <w:p w14:paraId="09EA1A7E" w14:textId="003DA71D" w:rsidR="006F3AF2" w:rsidRPr="00F40CDA" w:rsidRDefault="006F3AF2" w:rsidP="00ED1A1F">
      <w:pPr>
        <w:pStyle w:val="ListParagraph"/>
        <w:numPr>
          <w:ilvl w:val="1"/>
          <w:numId w:val="5"/>
        </w:numPr>
      </w:pPr>
      <w:r w:rsidRPr="00F40CDA">
        <w:t xml:space="preserve">active implantable medical devices </w:t>
      </w:r>
    </w:p>
    <w:p w14:paraId="75070200" w14:textId="26E16C16" w:rsidR="006F3AF2" w:rsidRPr="00F40CDA" w:rsidRDefault="006F3AF2" w:rsidP="00ED1A1F">
      <w:pPr>
        <w:pStyle w:val="ListParagraph"/>
        <w:numPr>
          <w:ilvl w:val="1"/>
          <w:numId w:val="5"/>
        </w:numPr>
      </w:pPr>
      <w:r w:rsidRPr="00F40CDA">
        <w:t>medical devices that are substances introduced into the body via body orifice or applied to the skin</w:t>
      </w:r>
    </w:p>
    <w:p w14:paraId="462193BA" w14:textId="7755F52C" w:rsidR="00845951" w:rsidRPr="006F3AF2" w:rsidRDefault="00381CEB" w:rsidP="00A049E1">
      <w:pPr>
        <w:pStyle w:val="ListParagraph"/>
        <w:rPr>
          <w:rFonts w:cstheme="minorHAnsi"/>
        </w:rPr>
      </w:pPr>
      <w:r>
        <w:t>r</w:t>
      </w:r>
      <w:r w:rsidR="44E9F6B4">
        <w:t>eview of fees and charges</w:t>
      </w:r>
      <w:r w:rsidR="21DE7C13">
        <w:t xml:space="preserve"> to align cost-recovery </w:t>
      </w:r>
      <w:r w:rsidR="18FB9E7A">
        <w:t xml:space="preserve">activities </w:t>
      </w:r>
      <w:r w:rsidR="5F4F6FAB">
        <w:t>with reform measures</w:t>
      </w:r>
      <w:r w:rsidR="00D07E7B">
        <w:t>.</w:t>
      </w:r>
    </w:p>
    <w:p w14:paraId="116D7DFB" w14:textId="76F612EF" w:rsidR="006F3AF2" w:rsidRPr="00F40CDA" w:rsidRDefault="006F3AF2" w:rsidP="00A40639">
      <w:r>
        <w:t>We have published</w:t>
      </w:r>
      <w:r w:rsidR="00381CEB">
        <w:t xml:space="preserve"> guidance</w:t>
      </w:r>
      <w:r w:rsidR="006A07DB">
        <w:t xml:space="preserve"> </w:t>
      </w:r>
      <w:r w:rsidR="005E555C">
        <w:t xml:space="preserve">for </w:t>
      </w:r>
      <w:r>
        <w:t>industry relating to regulatory amendments for first aid kits and system or procedure packs</w:t>
      </w:r>
      <w:r w:rsidR="00F1254F">
        <w:t xml:space="preserve">, </w:t>
      </w:r>
      <w:r w:rsidR="00717180">
        <w:t xml:space="preserve">and </w:t>
      </w:r>
      <w:r w:rsidR="00F1254F">
        <w:t>updated</w:t>
      </w:r>
      <w:r w:rsidR="00846981">
        <w:t xml:space="preserve"> guidance relating to personalised medical devices</w:t>
      </w:r>
      <w:r w:rsidR="00717180">
        <w:t xml:space="preserve">. </w:t>
      </w:r>
      <w:r w:rsidR="00522E1E">
        <w:t xml:space="preserve">Guidance materials were also published </w:t>
      </w:r>
      <w:r w:rsidR="00F65488">
        <w:t>on performance requirements and risk mitigation strategies for COVID</w:t>
      </w:r>
      <w:r w:rsidR="7E629981">
        <w:t>-19</w:t>
      </w:r>
      <w:r w:rsidR="00F65488">
        <w:t xml:space="preserve"> tests including combination test kits</w:t>
      </w:r>
      <w:r w:rsidR="00E644A1">
        <w:t xml:space="preserve">, </w:t>
      </w:r>
      <w:r w:rsidR="00E01E63">
        <w:t xml:space="preserve">on </w:t>
      </w:r>
      <w:r w:rsidR="00E644A1">
        <w:t xml:space="preserve">requirements for Patient Information Leaflets and Patient Information Cards, and </w:t>
      </w:r>
      <w:r>
        <w:t xml:space="preserve">on regulations </w:t>
      </w:r>
      <w:r w:rsidR="00ED69DE">
        <w:t>relating to</w:t>
      </w:r>
      <w:r>
        <w:t xml:space="preserve"> software and applications which meet the legislative definition of a medical device in Australia</w:t>
      </w:r>
      <w:r w:rsidR="00ED69DE">
        <w:t xml:space="preserve">. </w:t>
      </w:r>
      <w:r w:rsidR="009C3C29">
        <w:t>S</w:t>
      </w:r>
      <w:r>
        <w:t xml:space="preserve">ponsor notification forms </w:t>
      </w:r>
      <w:r w:rsidR="00A4584A">
        <w:t>for reclassified</w:t>
      </w:r>
      <w:r>
        <w:t xml:space="preserve"> medical devices </w:t>
      </w:r>
      <w:r w:rsidR="248103CC">
        <w:t xml:space="preserve">were </w:t>
      </w:r>
      <w:r w:rsidR="009C3C29">
        <w:t xml:space="preserve">developed </w:t>
      </w:r>
      <w:r w:rsidR="0026281F">
        <w:t xml:space="preserve">and, to </w:t>
      </w:r>
      <w:r w:rsidR="0026281F">
        <w:lastRenderedPageBreak/>
        <w:t xml:space="preserve">assist with the European IVDR transition, </w:t>
      </w:r>
      <w:r w:rsidR="00A40639">
        <w:t>guidance was published on</w:t>
      </w:r>
      <w:r>
        <w:t xml:space="preserve"> transition of manufacturer evidence for IVD medical devices</w:t>
      </w:r>
      <w:r w:rsidR="00A40639">
        <w:t>.</w:t>
      </w:r>
    </w:p>
    <w:p w14:paraId="122ADF9B" w14:textId="20A556B6" w:rsidR="00796261" w:rsidRDefault="006F3AF2" w:rsidP="00A049E1">
      <w:r>
        <w:t>Five working groups with consumer representation have been established and have been meeting regularly during the reporting period, including the</w:t>
      </w:r>
      <w:r w:rsidR="00796261">
        <w:t>:</w:t>
      </w:r>
    </w:p>
    <w:p w14:paraId="10EF1C15" w14:textId="04350352" w:rsidR="007A018F" w:rsidRPr="00F40CDA" w:rsidRDefault="006F3AF2" w:rsidP="00A049E1">
      <w:pPr>
        <w:pStyle w:val="ListParagraph"/>
      </w:pPr>
      <w:r>
        <w:t>Breast Implant Expert Working Group</w:t>
      </w:r>
    </w:p>
    <w:p w14:paraId="4982DD88" w14:textId="33CEF05E" w:rsidR="007A018F" w:rsidRPr="00F40CDA" w:rsidRDefault="006F3AF2" w:rsidP="00A049E1">
      <w:pPr>
        <w:pStyle w:val="ListParagraph"/>
      </w:pPr>
      <w:r>
        <w:t>Medical Device Consumer Working Group</w:t>
      </w:r>
    </w:p>
    <w:p w14:paraId="33F1F637" w14:textId="2B1191E5" w:rsidR="007A018F" w:rsidRPr="00F40CDA" w:rsidRDefault="006F3AF2" w:rsidP="00A049E1">
      <w:pPr>
        <w:pStyle w:val="ListParagraph"/>
      </w:pPr>
      <w:r>
        <w:t>Women’s Health Products Working Group</w:t>
      </w:r>
    </w:p>
    <w:p w14:paraId="7D52CC7E" w14:textId="2922D324" w:rsidR="007A018F" w:rsidRPr="00F40CDA" w:rsidRDefault="006F3AF2" w:rsidP="00A049E1">
      <w:pPr>
        <w:pStyle w:val="ListParagraph"/>
      </w:pPr>
      <w:r>
        <w:t xml:space="preserve">Ventilator Expert Working Group </w:t>
      </w:r>
    </w:p>
    <w:p w14:paraId="3086B577" w14:textId="57612F86" w:rsidR="006F3AF2" w:rsidRPr="00F40CDA" w:rsidRDefault="006F3AF2" w:rsidP="00A049E1">
      <w:pPr>
        <w:pStyle w:val="ListParagraph"/>
      </w:pPr>
      <w:r>
        <w:t>Surgical Mesh Expert Working Group.</w:t>
      </w:r>
    </w:p>
    <w:p w14:paraId="2618522C" w14:textId="036E4DF2" w:rsidR="06E6397B" w:rsidRDefault="00145B83" w:rsidP="6195C661">
      <w:pPr>
        <w:rPr>
          <w:szCs w:val="22"/>
        </w:rPr>
      </w:pPr>
      <w:r>
        <w:rPr>
          <w:szCs w:val="22"/>
        </w:rPr>
        <w:t>Each of t</w:t>
      </w:r>
      <w:r w:rsidR="06E6397B" w:rsidRPr="6195C661">
        <w:rPr>
          <w:szCs w:val="22"/>
        </w:rPr>
        <w:t>he device</w:t>
      </w:r>
      <w:r w:rsidR="00EF49C2">
        <w:rPr>
          <w:szCs w:val="22"/>
        </w:rPr>
        <w:t>-</w:t>
      </w:r>
      <w:r w:rsidR="77D742F7" w:rsidRPr="6195C661">
        <w:rPr>
          <w:szCs w:val="22"/>
        </w:rPr>
        <w:t>s</w:t>
      </w:r>
      <w:r w:rsidR="06E6397B" w:rsidRPr="6195C661">
        <w:rPr>
          <w:szCs w:val="22"/>
        </w:rPr>
        <w:t>pecific</w:t>
      </w:r>
      <w:r w:rsidR="50C53E06" w:rsidRPr="6195C661">
        <w:rPr>
          <w:szCs w:val="22"/>
        </w:rPr>
        <w:t xml:space="preserve"> expert</w:t>
      </w:r>
      <w:r w:rsidR="06E6397B" w:rsidRPr="6195C661">
        <w:rPr>
          <w:szCs w:val="22"/>
        </w:rPr>
        <w:t xml:space="preserve"> working g</w:t>
      </w:r>
      <w:r w:rsidR="7BADD5BB" w:rsidRPr="6195C661">
        <w:rPr>
          <w:szCs w:val="22"/>
        </w:rPr>
        <w:t>r</w:t>
      </w:r>
      <w:r w:rsidR="06E6397B" w:rsidRPr="6195C661">
        <w:rPr>
          <w:szCs w:val="22"/>
        </w:rPr>
        <w:t>oups</w:t>
      </w:r>
      <w:r w:rsidR="00CF4F1C">
        <w:rPr>
          <w:szCs w:val="22"/>
        </w:rPr>
        <w:t xml:space="preserve"> –</w:t>
      </w:r>
      <w:r w:rsidR="06E6397B" w:rsidRPr="6195C661">
        <w:rPr>
          <w:szCs w:val="22"/>
        </w:rPr>
        <w:t xml:space="preserve"> </w:t>
      </w:r>
      <w:r w:rsidR="2142F00D" w:rsidRPr="6195C661">
        <w:rPr>
          <w:szCs w:val="22"/>
        </w:rPr>
        <w:t>S</w:t>
      </w:r>
      <w:r w:rsidR="06E6397B" w:rsidRPr="6195C661">
        <w:rPr>
          <w:szCs w:val="22"/>
        </w:rPr>
        <w:t>ur</w:t>
      </w:r>
      <w:r w:rsidR="2DDB4E7F" w:rsidRPr="6195C661">
        <w:rPr>
          <w:szCs w:val="22"/>
        </w:rPr>
        <w:t>gical</w:t>
      </w:r>
      <w:r w:rsidR="59CEBF69" w:rsidRPr="6195C661">
        <w:rPr>
          <w:szCs w:val="22"/>
        </w:rPr>
        <w:t xml:space="preserve"> M</w:t>
      </w:r>
      <w:r w:rsidR="2DDB4E7F" w:rsidRPr="6195C661">
        <w:rPr>
          <w:szCs w:val="22"/>
        </w:rPr>
        <w:t xml:space="preserve">esh, </w:t>
      </w:r>
      <w:r w:rsidR="35527BCA" w:rsidRPr="6195C661">
        <w:rPr>
          <w:szCs w:val="22"/>
        </w:rPr>
        <w:t>B</w:t>
      </w:r>
      <w:r w:rsidR="2DDB4E7F" w:rsidRPr="6195C661">
        <w:rPr>
          <w:szCs w:val="22"/>
        </w:rPr>
        <w:t xml:space="preserve">reast </w:t>
      </w:r>
      <w:r w:rsidR="58AB33FB" w:rsidRPr="6195C661">
        <w:rPr>
          <w:szCs w:val="22"/>
        </w:rPr>
        <w:t>I</w:t>
      </w:r>
      <w:r w:rsidR="2DDB4E7F" w:rsidRPr="6195C661">
        <w:rPr>
          <w:szCs w:val="22"/>
        </w:rPr>
        <w:t>mplant and</w:t>
      </w:r>
      <w:r w:rsidR="07CFE50F" w:rsidRPr="6195C661">
        <w:rPr>
          <w:szCs w:val="22"/>
        </w:rPr>
        <w:t xml:space="preserve"> </w:t>
      </w:r>
      <w:r w:rsidR="71F86313" w:rsidRPr="6195C661">
        <w:rPr>
          <w:szCs w:val="22"/>
        </w:rPr>
        <w:t>V</w:t>
      </w:r>
      <w:r w:rsidR="2DDB4E7F" w:rsidRPr="6195C661">
        <w:rPr>
          <w:szCs w:val="22"/>
        </w:rPr>
        <w:t xml:space="preserve">entilator </w:t>
      </w:r>
      <w:r w:rsidR="4A0CCEE5" w:rsidRPr="6195C661">
        <w:rPr>
          <w:szCs w:val="22"/>
        </w:rPr>
        <w:t xml:space="preserve">working groups </w:t>
      </w:r>
      <w:r w:rsidR="00CF4F1C">
        <w:rPr>
          <w:szCs w:val="22"/>
        </w:rPr>
        <w:t xml:space="preserve">– </w:t>
      </w:r>
      <w:r w:rsidR="4A0CCEE5" w:rsidRPr="6195C661">
        <w:rPr>
          <w:szCs w:val="22"/>
        </w:rPr>
        <w:t>comprise</w:t>
      </w:r>
      <w:r w:rsidR="00AB3FAD">
        <w:rPr>
          <w:szCs w:val="22"/>
        </w:rPr>
        <w:t>s</w:t>
      </w:r>
      <w:r w:rsidR="4A0CCEE5" w:rsidRPr="6195C661">
        <w:rPr>
          <w:szCs w:val="22"/>
        </w:rPr>
        <w:t xml:space="preserve"> experts in the field and</w:t>
      </w:r>
      <w:r w:rsidR="4B09C517" w:rsidRPr="6195C661">
        <w:rPr>
          <w:szCs w:val="22"/>
        </w:rPr>
        <w:t xml:space="preserve"> a consumer representative. The Medical Devices Consumer Working Group</w:t>
      </w:r>
      <w:r w:rsidR="03688830" w:rsidRPr="6195C661">
        <w:rPr>
          <w:szCs w:val="22"/>
        </w:rPr>
        <w:t xml:space="preserve"> met</w:t>
      </w:r>
      <w:r w:rsidR="56DAA7DB" w:rsidRPr="6195C661">
        <w:rPr>
          <w:szCs w:val="22"/>
        </w:rPr>
        <w:t xml:space="preserve"> four times </w:t>
      </w:r>
      <w:r w:rsidR="00AB3FAD">
        <w:rPr>
          <w:szCs w:val="22"/>
        </w:rPr>
        <w:t>during the</w:t>
      </w:r>
      <w:r w:rsidR="56DAA7DB" w:rsidRPr="6195C661">
        <w:rPr>
          <w:szCs w:val="22"/>
        </w:rPr>
        <w:t xml:space="preserve"> </w:t>
      </w:r>
      <w:r w:rsidR="007A3B5E" w:rsidRPr="6195C661">
        <w:rPr>
          <w:szCs w:val="22"/>
        </w:rPr>
        <w:t>year</w:t>
      </w:r>
      <w:r w:rsidR="00AB3FAD">
        <w:rPr>
          <w:szCs w:val="22"/>
        </w:rPr>
        <w:t>,</w:t>
      </w:r>
      <w:r w:rsidR="007A3B5E" w:rsidRPr="6195C661">
        <w:rPr>
          <w:szCs w:val="22"/>
        </w:rPr>
        <w:t xml:space="preserve"> and</w:t>
      </w:r>
      <w:r w:rsidR="56DAA7DB" w:rsidRPr="6195C661">
        <w:rPr>
          <w:szCs w:val="22"/>
        </w:rPr>
        <w:t xml:space="preserve"> </w:t>
      </w:r>
      <w:r w:rsidR="00CF4F1C">
        <w:rPr>
          <w:szCs w:val="22"/>
        </w:rPr>
        <w:t xml:space="preserve">gives consumer insights </w:t>
      </w:r>
      <w:r w:rsidR="007E7468">
        <w:rPr>
          <w:szCs w:val="22"/>
        </w:rPr>
        <w:t xml:space="preserve">into </w:t>
      </w:r>
      <w:r w:rsidR="007E7468" w:rsidRPr="6195C661">
        <w:rPr>
          <w:szCs w:val="22"/>
        </w:rPr>
        <w:t>medical</w:t>
      </w:r>
      <w:r w:rsidR="56DAA7DB" w:rsidRPr="6195C661">
        <w:rPr>
          <w:szCs w:val="22"/>
        </w:rPr>
        <w:t xml:space="preserve"> devices reforms</w:t>
      </w:r>
      <w:r w:rsidR="26C2A5E5" w:rsidRPr="6195C661">
        <w:rPr>
          <w:szCs w:val="22"/>
        </w:rPr>
        <w:t xml:space="preserve"> projects.</w:t>
      </w:r>
      <w:r w:rsidR="00365F8B">
        <w:rPr>
          <w:szCs w:val="22"/>
        </w:rPr>
        <w:t xml:space="preserve"> </w:t>
      </w:r>
      <w:r w:rsidR="5600F0FC" w:rsidRPr="6195C661">
        <w:rPr>
          <w:szCs w:val="22"/>
        </w:rPr>
        <w:t>Th</w:t>
      </w:r>
      <w:r w:rsidR="00CF4F1C">
        <w:rPr>
          <w:szCs w:val="22"/>
        </w:rPr>
        <w:t>is w</w:t>
      </w:r>
      <w:r w:rsidR="5600F0FC" w:rsidRPr="6195C661">
        <w:rPr>
          <w:szCs w:val="22"/>
        </w:rPr>
        <w:t xml:space="preserve">orking </w:t>
      </w:r>
      <w:r w:rsidR="00CF4F1C">
        <w:rPr>
          <w:szCs w:val="22"/>
        </w:rPr>
        <w:t>g</w:t>
      </w:r>
      <w:r w:rsidR="5600F0FC" w:rsidRPr="6195C661">
        <w:rPr>
          <w:szCs w:val="22"/>
        </w:rPr>
        <w:t>roup w</w:t>
      </w:r>
      <w:r w:rsidR="00F105E7">
        <w:rPr>
          <w:szCs w:val="22"/>
        </w:rPr>
        <w:t>as</w:t>
      </w:r>
      <w:r w:rsidR="5600F0FC" w:rsidRPr="6195C661">
        <w:rPr>
          <w:szCs w:val="22"/>
        </w:rPr>
        <w:t xml:space="preserve"> integral in ensuring </w:t>
      </w:r>
      <w:r w:rsidR="007A3B5E" w:rsidRPr="6195C661">
        <w:rPr>
          <w:szCs w:val="22"/>
        </w:rPr>
        <w:t>consumers’</w:t>
      </w:r>
      <w:r w:rsidR="4BD76889" w:rsidRPr="6195C661">
        <w:rPr>
          <w:szCs w:val="22"/>
        </w:rPr>
        <w:t xml:space="preserve"> needs </w:t>
      </w:r>
      <w:r w:rsidR="00CF4F1C">
        <w:rPr>
          <w:szCs w:val="22"/>
        </w:rPr>
        <w:t xml:space="preserve">were considered as part of the TGA’s </w:t>
      </w:r>
      <w:r w:rsidR="4BD76889" w:rsidRPr="6195C661">
        <w:rPr>
          <w:szCs w:val="22"/>
        </w:rPr>
        <w:t>social media c</w:t>
      </w:r>
      <w:r w:rsidR="73E663AC" w:rsidRPr="6195C661">
        <w:rPr>
          <w:szCs w:val="22"/>
        </w:rPr>
        <w:t>ampaign</w:t>
      </w:r>
      <w:r w:rsidR="00CF4F1C">
        <w:rPr>
          <w:szCs w:val="22"/>
        </w:rPr>
        <w:t>s</w:t>
      </w:r>
      <w:r w:rsidR="73E663AC" w:rsidRPr="6195C661">
        <w:rPr>
          <w:szCs w:val="22"/>
        </w:rPr>
        <w:t xml:space="preserve"> on </w:t>
      </w:r>
      <w:r w:rsidR="00CF4F1C">
        <w:rPr>
          <w:szCs w:val="22"/>
        </w:rPr>
        <w:t>‘</w:t>
      </w:r>
      <w:r w:rsidR="73E663AC" w:rsidRPr="6195C661">
        <w:rPr>
          <w:szCs w:val="22"/>
        </w:rPr>
        <w:t>Travelling with medicines and medical devices</w:t>
      </w:r>
      <w:r w:rsidR="00CF4F1C">
        <w:rPr>
          <w:szCs w:val="22"/>
        </w:rPr>
        <w:t>’ and</w:t>
      </w:r>
      <w:r w:rsidR="423377BC" w:rsidRPr="6195C661">
        <w:rPr>
          <w:szCs w:val="22"/>
        </w:rPr>
        <w:t xml:space="preserve"> </w:t>
      </w:r>
      <w:r w:rsidR="00CF4F1C">
        <w:rPr>
          <w:szCs w:val="22"/>
        </w:rPr>
        <w:t>‘</w:t>
      </w:r>
      <w:r w:rsidR="73E663AC" w:rsidRPr="6195C661">
        <w:rPr>
          <w:szCs w:val="22"/>
        </w:rPr>
        <w:t>Five questions to ask you</w:t>
      </w:r>
      <w:r w:rsidR="7544250B" w:rsidRPr="6195C661">
        <w:rPr>
          <w:szCs w:val="22"/>
        </w:rPr>
        <w:t>r health professional before you get a medical implant</w:t>
      </w:r>
      <w:r w:rsidR="00CF4F1C">
        <w:rPr>
          <w:szCs w:val="22"/>
        </w:rPr>
        <w:t>’</w:t>
      </w:r>
      <w:r w:rsidR="1F95F957" w:rsidRPr="6195C661">
        <w:rPr>
          <w:szCs w:val="22"/>
        </w:rPr>
        <w:t xml:space="preserve">, </w:t>
      </w:r>
      <w:r w:rsidR="00CF4F1C">
        <w:rPr>
          <w:szCs w:val="22"/>
        </w:rPr>
        <w:t xml:space="preserve">as well as in the creation of </w:t>
      </w:r>
      <w:r w:rsidR="1F95F957" w:rsidRPr="6195C661">
        <w:rPr>
          <w:szCs w:val="22"/>
        </w:rPr>
        <w:t>factsheets for health care professionals a</w:t>
      </w:r>
      <w:r w:rsidR="77ADE986" w:rsidRPr="6195C661">
        <w:rPr>
          <w:szCs w:val="22"/>
        </w:rPr>
        <w:t xml:space="preserve">nd consumers </w:t>
      </w:r>
      <w:r w:rsidR="1F95F957" w:rsidRPr="6195C661">
        <w:rPr>
          <w:szCs w:val="22"/>
        </w:rPr>
        <w:t>on the patient implant card and patient information leaflet</w:t>
      </w:r>
      <w:r w:rsidR="08CA170C" w:rsidRPr="6195C661">
        <w:rPr>
          <w:szCs w:val="22"/>
        </w:rPr>
        <w:t>.</w:t>
      </w:r>
    </w:p>
    <w:p w14:paraId="1A53781C" w14:textId="5F96607B" w:rsidR="001E7F45" w:rsidRPr="006F3AF2" w:rsidRDefault="001E7F45" w:rsidP="001E7F45">
      <w:r>
        <w:t xml:space="preserve">On 21 March 2023, legislation was passed making it mandatory for Australian public hospitals, private hospitals, and any other health care facility (as prescribed by regulations) to report </w:t>
      </w:r>
      <w:r w:rsidR="00541F2D">
        <w:t xml:space="preserve">serious </w:t>
      </w:r>
      <w:r>
        <w:t>medical device</w:t>
      </w:r>
      <w:r w:rsidR="0015314F">
        <w:t>-</w:t>
      </w:r>
      <w:r>
        <w:t xml:space="preserve">related adverse events to </w:t>
      </w:r>
      <w:r w:rsidR="003D7949">
        <w:t>the TGA</w:t>
      </w:r>
      <w:r>
        <w:t xml:space="preserve">. Regulation to support the implementation of this new legislative requirement is due by 22 March 2025. We are working with the Australian Commission on Safety and Quality in Health Care (ACSQHC) and state </w:t>
      </w:r>
      <w:r w:rsidR="00BA7561">
        <w:t>and territory</w:t>
      </w:r>
      <w:r>
        <w:t xml:space="preserve"> jurisdictions on implement</w:t>
      </w:r>
      <w:r w:rsidR="007E31FA">
        <w:t>ing</w:t>
      </w:r>
      <w:r>
        <w:t xml:space="preserve"> the mandatory reporting of adverse events by health</w:t>
      </w:r>
      <w:r w:rsidR="00675D49">
        <w:t xml:space="preserve"> </w:t>
      </w:r>
      <w:r>
        <w:t>care facilities.</w:t>
      </w:r>
    </w:p>
    <w:p w14:paraId="10C2147E" w14:textId="042FE07A" w:rsidR="007E7A1E" w:rsidRPr="00F40CDA" w:rsidRDefault="00AD0823" w:rsidP="00EA6A26">
      <w:r>
        <w:t>To</w:t>
      </w:r>
      <w:r w:rsidR="00A4545B">
        <w:t xml:space="preserve"> assist consumers and health</w:t>
      </w:r>
      <w:r w:rsidR="00675D49">
        <w:t xml:space="preserve"> </w:t>
      </w:r>
      <w:r w:rsidR="00A4545B">
        <w:t xml:space="preserve">care professionals, </w:t>
      </w:r>
      <w:r w:rsidR="006F3AF2">
        <w:t>we have published</w:t>
      </w:r>
      <w:r w:rsidR="00473011">
        <w:t xml:space="preserve"> factsheets</w:t>
      </w:r>
      <w:r w:rsidR="0079541B">
        <w:t xml:space="preserve"> on</w:t>
      </w:r>
      <w:r w:rsidR="0012480D">
        <w:t xml:space="preserve"> </w:t>
      </w:r>
      <w:r w:rsidR="0079541B">
        <w:t xml:space="preserve">medical implants </w:t>
      </w:r>
      <w:r w:rsidR="0012480D">
        <w:t xml:space="preserve">for consumers and </w:t>
      </w:r>
      <w:r w:rsidR="004224E1">
        <w:t>health professional</w:t>
      </w:r>
      <w:r w:rsidR="008A7E07">
        <w:t>s</w:t>
      </w:r>
      <w:r w:rsidR="00D44467">
        <w:t>. We also undertook a public consultation on proposed regulatory changes strengthen</w:t>
      </w:r>
      <w:r w:rsidR="00150F2B">
        <w:t>ing</w:t>
      </w:r>
      <w:r w:rsidR="00D44467">
        <w:t xml:space="preserve"> safety oversight of clinical trials for medical devices.</w:t>
      </w:r>
    </w:p>
    <w:p w14:paraId="6E65F11B" w14:textId="771893CF" w:rsidR="006F3AF2" w:rsidRDefault="006F3AF2" w:rsidP="006D5740">
      <w:r>
        <w:t xml:space="preserve">We regularly met with state and territory health departments to discuss matters including COVID-19 RATs, </w:t>
      </w:r>
      <w:r w:rsidR="00541F2D">
        <w:t>p</w:t>
      </w:r>
      <w:r>
        <w:t xml:space="preserve">ersonal </w:t>
      </w:r>
      <w:r w:rsidR="00541F2D">
        <w:t>p</w:t>
      </w:r>
      <w:r>
        <w:t xml:space="preserve">rotective </w:t>
      </w:r>
      <w:r w:rsidR="00541F2D">
        <w:t>e</w:t>
      </w:r>
      <w:r>
        <w:t>quipment, and other regulatory actions relating to medical devices. A suite of measures has commenced to enhance the post-market adverse event reporting and surveillance of medical devices</w:t>
      </w:r>
      <w:r w:rsidR="00541F2D">
        <w:t>, including establishing a national supply disruption monitoring role</w:t>
      </w:r>
      <w:r>
        <w:t>.</w:t>
      </w:r>
    </w:p>
    <w:p w14:paraId="1D06BE43" w14:textId="7E2B282A" w:rsidR="00B5417E" w:rsidRPr="006F3AF2" w:rsidRDefault="408685BD" w:rsidP="00DD4691">
      <w:pPr>
        <w:pStyle w:val="Heading2"/>
      </w:pPr>
      <w:bookmarkStart w:id="27" w:name="_Toc153550389"/>
      <w:r>
        <w:t xml:space="preserve">Reforms </w:t>
      </w:r>
      <w:r w:rsidR="2DCB2DC2">
        <w:t>to regulate</w:t>
      </w:r>
      <w:r w:rsidR="1C0D3937">
        <w:t xml:space="preserve"> new technolog</w:t>
      </w:r>
      <w:r w:rsidR="3322F3DE">
        <w:t>ies</w:t>
      </w:r>
      <w:bookmarkEnd w:id="27"/>
    </w:p>
    <w:p w14:paraId="64EC72D7" w14:textId="63115521" w:rsidR="008035E9" w:rsidRPr="00A049E1" w:rsidRDefault="00545B80" w:rsidP="00E35B67">
      <w:pPr>
        <w:pStyle w:val="ListParagraph"/>
        <w:numPr>
          <w:ilvl w:val="0"/>
          <w:numId w:val="0"/>
        </w:numPr>
        <w:rPr>
          <w:b/>
          <w:bCs/>
        </w:rPr>
      </w:pPr>
      <w:r w:rsidRPr="00A049E1">
        <w:rPr>
          <w:b/>
          <w:bCs/>
        </w:rPr>
        <w:t>We are implementing</w:t>
      </w:r>
      <w:r w:rsidR="00B94BC0" w:rsidRPr="00A049E1">
        <w:rPr>
          <w:b/>
          <w:bCs/>
        </w:rPr>
        <w:t xml:space="preserve"> reforms to better accommodate new technologies such as medical device software, medical apps and personalised medical devices. </w:t>
      </w:r>
    </w:p>
    <w:p w14:paraId="7D2146BF" w14:textId="56A3ECED" w:rsidR="00C23A31" w:rsidRDefault="00C04238" w:rsidP="00AA31A4">
      <w:r w:rsidRPr="005F53B6">
        <w:t>Australia’s healthcare system is seeing an increas</w:t>
      </w:r>
      <w:r w:rsidR="00B4537E" w:rsidRPr="005F53B6">
        <w:t>ing role and</w:t>
      </w:r>
      <w:r w:rsidR="00C201C3" w:rsidRPr="005F53B6">
        <w:t xml:space="preserve"> </w:t>
      </w:r>
      <w:r w:rsidR="007E5DCF" w:rsidRPr="005F53B6">
        <w:t>demand for sophisticated</w:t>
      </w:r>
      <w:r w:rsidR="0060208B" w:rsidRPr="005F53B6">
        <w:t>,</w:t>
      </w:r>
      <w:r w:rsidR="007E5DCF" w:rsidRPr="005F53B6">
        <w:t xml:space="preserve"> innovati</w:t>
      </w:r>
      <w:r w:rsidR="00350E3D" w:rsidRPr="005F53B6">
        <w:t>ve</w:t>
      </w:r>
      <w:r w:rsidR="0060208B" w:rsidRPr="005F53B6">
        <w:t>,</w:t>
      </w:r>
      <w:r w:rsidR="00C8475F" w:rsidRPr="005F53B6">
        <w:t xml:space="preserve"> </w:t>
      </w:r>
      <w:r w:rsidR="00DC098E" w:rsidRPr="005F53B6">
        <w:t xml:space="preserve">and </w:t>
      </w:r>
      <w:r w:rsidR="00350E3D" w:rsidRPr="005F53B6">
        <w:t>easily</w:t>
      </w:r>
      <w:r w:rsidR="00C8475F" w:rsidRPr="005F53B6">
        <w:t xml:space="preserve"> access</w:t>
      </w:r>
      <w:r w:rsidR="00350E3D" w:rsidRPr="005F53B6">
        <w:t>ible</w:t>
      </w:r>
      <w:r w:rsidR="00DC098E" w:rsidRPr="005F53B6">
        <w:t xml:space="preserve"> </w:t>
      </w:r>
      <w:r w:rsidR="00C61ED2" w:rsidRPr="005F53B6">
        <w:t xml:space="preserve">software </w:t>
      </w:r>
      <w:r w:rsidR="003A5320">
        <w:t xml:space="preserve">solutions </w:t>
      </w:r>
      <w:r w:rsidR="00C61ED2" w:rsidRPr="005F53B6">
        <w:t>that</w:t>
      </w:r>
      <w:r w:rsidR="00B14141" w:rsidRPr="005F53B6">
        <w:t xml:space="preserve"> are regulated as</w:t>
      </w:r>
      <w:r w:rsidR="0060208B" w:rsidRPr="005F53B6">
        <w:t xml:space="preserve"> medical</w:t>
      </w:r>
      <w:r w:rsidR="00B14141" w:rsidRPr="005F53B6">
        <w:t xml:space="preserve"> devices.</w:t>
      </w:r>
      <w:r w:rsidR="00D01A23" w:rsidRPr="005F53B6">
        <w:t xml:space="preserve"> </w:t>
      </w:r>
    </w:p>
    <w:p w14:paraId="63B78EDA" w14:textId="52C5544D" w:rsidR="00BD6B41" w:rsidRPr="004D5670" w:rsidRDefault="003D4EEB" w:rsidP="00A049E1">
      <w:r w:rsidRPr="003D4EEB">
        <w:t xml:space="preserve">We </w:t>
      </w:r>
      <w:r w:rsidR="006E26A0">
        <w:t xml:space="preserve">have developed a </w:t>
      </w:r>
      <w:r w:rsidR="00265651" w:rsidRPr="003D4EEB">
        <w:t>close partnership with digital health commercialisation organisation</w:t>
      </w:r>
      <w:r w:rsidR="006E26A0">
        <w:t xml:space="preserve"> </w:t>
      </w:r>
      <w:r w:rsidR="00265651" w:rsidRPr="003D4EEB">
        <w:t>ANDHealth</w:t>
      </w:r>
      <w:r w:rsidR="001A3D96">
        <w:t>,</w:t>
      </w:r>
      <w:r w:rsidR="0011203A" w:rsidRPr="003D4EEB">
        <w:t xml:space="preserve"> </w:t>
      </w:r>
      <w:r w:rsidR="007D2CB5" w:rsidRPr="003D4EEB">
        <w:t xml:space="preserve">which provides training, support and assistance to </w:t>
      </w:r>
      <w:r w:rsidR="00674059">
        <w:t>i</w:t>
      </w:r>
      <w:r w:rsidR="00AD3A33" w:rsidRPr="003D4EEB">
        <w:t xml:space="preserve">ndustry in </w:t>
      </w:r>
      <w:r w:rsidR="009D45A3" w:rsidRPr="003D4EEB">
        <w:t xml:space="preserve">understanding how medical device </w:t>
      </w:r>
      <w:r w:rsidR="00A41BBF" w:rsidRPr="003D4EEB">
        <w:t>regulation applies to software</w:t>
      </w:r>
      <w:r w:rsidR="00675D49">
        <w:t>-</w:t>
      </w:r>
      <w:r w:rsidR="00A41BBF" w:rsidRPr="003D4EEB">
        <w:t xml:space="preserve">based </w:t>
      </w:r>
      <w:r w:rsidR="007723EB" w:rsidRPr="003D4EEB">
        <w:t xml:space="preserve">medical devices. </w:t>
      </w:r>
      <w:r w:rsidR="00F91D7C">
        <w:t xml:space="preserve">We have also </w:t>
      </w:r>
      <w:r w:rsidR="00BD6B41" w:rsidRPr="004D5670">
        <w:lastRenderedPageBreak/>
        <w:t>published guidance to support manufacturers and software developers, many of whom are new to medical device regulation</w:t>
      </w:r>
      <w:r w:rsidR="00F55148">
        <w:t xml:space="preserve">. Some </w:t>
      </w:r>
      <w:r w:rsidR="005623D3">
        <w:t>topics</w:t>
      </w:r>
      <w:r w:rsidR="00F55148">
        <w:t xml:space="preserve"> include</w:t>
      </w:r>
      <w:r w:rsidR="00BD6B41" w:rsidRPr="004D5670">
        <w:t>:</w:t>
      </w:r>
    </w:p>
    <w:p w14:paraId="13F0344A" w14:textId="4865EF6D" w:rsidR="00BD6B41" w:rsidRPr="004A7F3A" w:rsidRDefault="00BD6B41" w:rsidP="00A049E1">
      <w:pPr>
        <w:pStyle w:val="ListParagraph"/>
      </w:pPr>
      <w:r>
        <w:t>digital mental health</w:t>
      </w:r>
    </w:p>
    <w:p w14:paraId="0112AE5D" w14:textId="1DF9CC8C" w:rsidR="00BD6B41" w:rsidRPr="004A7F3A" w:rsidRDefault="00BD6B41" w:rsidP="00A049E1">
      <w:pPr>
        <w:pStyle w:val="ListParagraph"/>
      </w:pPr>
      <w:r>
        <w:t>baby movement apps</w:t>
      </w:r>
    </w:p>
    <w:p w14:paraId="44B7D118" w14:textId="06509105" w:rsidR="00BD6B41" w:rsidRPr="004A7F3A" w:rsidRDefault="00BD6B41" w:rsidP="00A049E1">
      <w:pPr>
        <w:pStyle w:val="ListParagraph"/>
      </w:pPr>
      <w:r>
        <w:t xml:space="preserve">generative </w:t>
      </w:r>
      <w:r w:rsidR="001A3D96">
        <w:t>artificial intelligence (</w:t>
      </w:r>
      <w:r>
        <w:t>AI</w:t>
      </w:r>
    </w:p>
    <w:p w14:paraId="5ADD5F1C" w14:textId="4BAD432F" w:rsidR="00BD6B41" w:rsidRPr="004A7F3A" w:rsidRDefault="00BD6B41" w:rsidP="00A049E1">
      <w:pPr>
        <w:pStyle w:val="ListParagraph"/>
      </w:pPr>
      <w:r>
        <w:t>clinical decision support system software</w:t>
      </w:r>
    </w:p>
    <w:p w14:paraId="70EB6E4C" w14:textId="029F7100" w:rsidR="00BD6B41" w:rsidRPr="004A7F3A" w:rsidRDefault="00BD6B41" w:rsidP="00A049E1">
      <w:pPr>
        <w:pStyle w:val="ListParagraph"/>
      </w:pPr>
      <w:r>
        <w:t>advertising factsheets specific to the software sector</w:t>
      </w:r>
      <w:r w:rsidR="005623D3">
        <w:t>.</w:t>
      </w:r>
    </w:p>
    <w:p w14:paraId="4FB83767" w14:textId="30E1E661" w:rsidR="00676F04" w:rsidRDefault="2471BDA7" w:rsidP="2ADDBB4C">
      <w:r>
        <w:t xml:space="preserve">We have responded to feedback from stakeholders impacted by the introduction of the personalised medical devices framework, conducting </w:t>
      </w:r>
      <w:r w:rsidR="00541F2D">
        <w:t>4</w:t>
      </w:r>
      <w:r>
        <w:t xml:space="preserve"> point-of-care manufacturing surveys across the allied health, dental and complex manufacturing sectors. These surveys sought to obtain more informa</w:t>
      </w:r>
      <w:r w:rsidR="60D2BA43">
        <w:t xml:space="preserve">tion about </w:t>
      </w:r>
      <w:r w:rsidR="00541F2D">
        <w:t xml:space="preserve">medical device </w:t>
      </w:r>
      <w:r w:rsidR="60D2BA43">
        <w:t>manufacturing activities undertaken at the point-of-care by, or on behalf of, health practitioners and professionals.</w:t>
      </w:r>
    </w:p>
    <w:p w14:paraId="6EF60594" w14:textId="23B109D4" w:rsidR="00676F04" w:rsidRDefault="004D5670" w:rsidP="2ADDBB4C">
      <w:r>
        <w:t>In June 2023, we convened a National Symposium with representatives from other regulators and state</w:t>
      </w:r>
      <w:r w:rsidR="00675D49">
        <w:t xml:space="preserve"> and </w:t>
      </w:r>
      <w:r>
        <w:t>territory governments</w:t>
      </w:r>
      <w:r w:rsidR="5EB566EA">
        <w:t xml:space="preserve"> to discuss </w:t>
      </w:r>
      <w:r w:rsidR="33A41B1F">
        <w:t xml:space="preserve">issues </w:t>
      </w:r>
      <w:r w:rsidR="00541F2D">
        <w:t xml:space="preserve">and risks </w:t>
      </w:r>
      <w:r w:rsidR="33A41B1F">
        <w:t>with medical device</w:t>
      </w:r>
      <w:r w:rsidR="00541F2D">
        <w:t>s</w:t>
      </w:r>
      <w:r w:rsidR="33A41B1F">
        <w:t xml:space="preserve"> manufactured at the point-of-care</w:t>
      </w:r>
      <w:r w:rsidR="003032F2">
        <w:t>,</w:t>
      </w:r>
      <w:r w:rsidR="33A41B1F">
        <w:t xml:space="preserve"> and </w:t>
      </w:r>
      <w:r w:rsidR="5EB566EA">
        <w:t>the need for a streamlined approach to regulati</w:t>
      </w:r>
      <w:r w:rsidR="1ED84629">
        <w:t xml:space="preserve">ng these activities. </w:t>
      </w:r>
      <w:r w:rsidR="67CC8FB3">
        <w:t>Participants agreed to form an overarching steering committee, informed by sector-specific working groups, to</w:t>
      </w:r>
      <w:r w:rsidR="2FD72DAA">
        <w:t>:</w:t>
      </w:r>
    </w:p>
    <w:p w14:paraId="2F81FB08" w14:textId="1ECB11E5" w:rsidR="2FD72DAA" w:rsidRPr="000E5FCF" w:rsidRDefault="00675D49" w:rsidP="000E5FCF">
      <w:pPr>
        <w:pStyle w:val="ListParagraph"/>
        <w:numPr>
          <w:ilvl w:val="0"/>
          <w:numId w:val="1"/>
        </w:numPr>
        <w:spacing w:before="120" w:after="240"/>
        <w:rPr>
          <w:szCs w:val="22"/>
        </w:rPr>
      </w:pPr>
      <w:r>
        <w:t>i</w:t>
      </w:r>
      <w:r w:rsidR="2FD72DAA" w:rsidRPr="000E5FCF">
        <w:t>dentify circumstances where medical devices are manufactured at the point-of-care either by, or on behalf of, health practitioners and professionals</w:t>
      </w:r>
    </w:p>
    <w:p w14:paraId="0D8754D3" w14:textId="3CBEBF1E" w:rsidR="2FD72DAA" w:rsidRPr="000E5FCF" w:rsidRDefault="00675D49" w:rsidP="000E5FCF">
      <w:pPr>
        <w:pStyle w:val="ListParagraph"/>
        <w:numPr>
          <w:ilvl w:val="0"/>
          <w:numId w:val="1"/>
        </w:numPr>
        <w:spacing w:before="120" w:after="240"/>
        <w:rPr>
          <w:szCs w:val="22"/>
        </w:rPr>
      </w:pPr>
      <w:r>
        <w:t>i</w:t>
      </w:r>
      <w:r w:rsidR="2FD72DAA" w:rsidRPr="000E5FCF">
        <w:t xml:space="preserve">dentify the risks associated with these devices and </w:t>
      </w:r>
      <w:r w:rsidR="02E82C12" w:rsidRPr="000E5FCF">
        <w:t xml:space="preserve">document the </w:t>
      </w:r>
      <w:r w:rsidR="2FD72DAA" w:rsidRPr="000E5FCF">
        <w:t>measures already in place to mitigate them</w:t>
      </w:r>
    </w:p>
    <w:p w14:paraId="0FF4C4AD" w14:textId="703BD8D9" w:rsidR="2FD72DAA" w:rsidRPr="000E5FCF" w:rsidRDefault="00675D49" w:rsidP="000E5FCF">
      <w:pPr>
        <w:pStyle w:val="ListParagraph"/>
        <w:numPr>
          <w:ilvl w:val="0"/>
          <w:numId w:val="1"/>
        </w:numPr>
        <w:spacing w:before="120" w:after="240"/>
        <w:rPr>
          <w:szCs w:val="22"/>
        </w:rPr>
      </w:pPr>
      <w:r>
        <w:t>m</w:t>
      </w:r>
      <w:r w:rsidR="2FD72DAA" w:rsidRPr="000E5FCF">
        <w:t>ap existing regulatory frameworks to identify</w:t>
      </w:r>
      <w:r w:rsidR="6B95A2B3" w:rsidRPr="2ADDBB4C">
        <w:t xml:space="preserve"> gaps and p</w:t>
      </w:r>
      <w:r w:rsidR="2FD72DAA" w:rsidRPr="000E5FCF">
        <w:t>otential refinements that will reduce burdens without introducing additional risks</w:t>
      </w:r>
    </w:p>
    <w:p w14:paraId="7C1442CF" w14:textId="47DCF375" w:rsidR="7CBA661A" w:rsidRPr="00EE59B9" w:rsidRDefault="00675D49" w:rsidP="000E5FCF">
      <w:pPr>
        <w:pStyle w:val="ListParagraph"/>
        <w:numPr>
          <w:ilvl w:val="0"/>
          <w:numId w:val="1"/>
        </w:numPr>
        <w:spacing w:before="120" w:after="240"/>
        <w:rPr>
          <w:szCs w:val="22"/>
        </w:rPr>
      </w:pPr>
      <w:r>
        <w:rPr>
          <w:szCs w:val="22"/>
        </w:rPr>
        <w:t>m</w:t>
      </w:r>
      <w:r w:rsidR="7CBA661A" w:rsidRPr="2ADDBB4C">
        <w:rPr>
          <w:szCs w:val="22"/>
        </w:rPr>
        <w:t xml:space="preserve">ake refinements where appropriate to ensure regulation of point-of-care manufacturing activities is seamless and </w:t>
      </w:r>
      <w:r w:rsidR="07407C07" w:rsidRPr="2ADDBB4C">
        <w:rPr>
          <w:szCs w:val="22"/>
        </w:rPr>
        <w:t xml:space="preserve">appropriately </w:t>
      </w:r>
      <w:r w:rsidR="7CBA661A" w:rsidRPr="2ADDBB4C">
        <w:rPr>
          <w:szCs w:val="22"/>
        </w:rPr>
        <w:t xml:space="preserve">addresses risks associated </w:t>
      </w:r>
      <w:r w:rsidR="5BB7D1AF" w:rsidRPr="2ADDBB4C">
        <w:rPr>
          <w:szCs w:val="22"/>
        </w:rPr>
        <w:t>with these devices</w:t>
      </w:r>
    </w:p>
    <w:p w14:paraId="57FCF76A" w14:textId="4CFEEED1" w:rsidR="2FD72DAA" w:rsidRPr="00EE59B9" w:rsidRDefault="00675D49" w:rsidP="000E5FCF">
      <w:pPr>
        <w:pStyle w:val="ListParagraph"/>
        <w:numPr>
          <w:ilvl w:val="0"/>
          <w:numId w:val="1"/>
        </w:numPr>
        <w:spacing w:before="120" w:after="240"/>
        <w:rPr>
          <w:szCs w:val="22"/>
        </w:rPr>
      </w:pPr>
      <w:r>
        <w:t>c</w:t>
      </w:r>
      <w:r w:rsidR="2FD72DAA" w:rsidRPr="00EE59B9">
        <w:t>ommunicate and educate stakeholders about their regulatory obligations by providing information through the most appropriate channels available.</w:t>
      </w:r>
    </w:p>
    <w:p w14:paraId="1ADC803A" w14:textId="420C3A00" w:rsidR="00546777" w:rsidRPr="006205C5" w:rsidRDefault="1003FFC2" w:rsidP="00DD4691">
      <w:pPr>
        <w:pStyle w:val="Heading2"/>
      </w:pPr>
      <w:bookmarkStart w:id="28" w:name="_Toc153550390"/>
      <w:r>
        <w:t>Unique Device Identification</w:t>
      </w:r>
      <w:r w:rsidR="63734D31">
        <w:t xml:space="preserve"> improvements to product safety and surveillance of products</w:t>
      </w:r>
      <w:bookmarkEnd w:id="28"/>
    </w:p>
    <w:p w14:paraId="1F42B21F" w14:textId="3EB94AD1" w:rsidR="00C93007" w:rsidRPr="00A049E1" w:rsidRDefault="00C93007" w:rsidP="00E12017">
      <w:pPr>
        <w:pStyle w:val="ListParagraph"/>
        <w:numPr>
          <w:ilvl w:val="0"/>
          <w:numId w:val="0"/>
        </w:numPr>
        <w:rPr>
          <w:b/>
          <w:bCs/>
        </w:rPr>
      </w:pPr>
      <w:r w:rsidRPr="00A049E1">
        <w:rPr>
          <w:b/>
          <w:bCs/>
        </w:rPr>
        <w:t xml:space="preserve">We are progressing the development and international alignment of the Unique Device Identification (UDI) system, to improve product safety and surveillance of products in </w:t>
      </w:r>
      <w:r w:rsidR="00541F2D">
        <w:rPr>
          <w:b/>
          <w:bCs/>
        </w:rPr>
        <w:t xml:space="preserve">the </w:t>
      </w:r>
      <w:r w:rsidRPr="00A049E1">
        <w:rPr>
          <w:b/>
          <w:bCs/>
        </w:rPr>
        <w:t>Australian supply chain.</w:t>
      </w:r>
    </w:p>
    <w:p w14:paraId="5EAA3F68" w14:textId="2BA56510" w:rsidR="00B5267A" w:rsidRDefault="00B5267A" w:rsidP="00C93007">
      <w:r>
        <w:t xml:space="preserve">When implemented across supply chains and the healthcare system, the </w:t>
      </w:r>
      <w:r w:rsidRPr="003266C9">
        <w:t>U</w:t>
      </w:r>
      <w:r>
        <w:t xml:space="preserve">DI system will </w:t>
      </w:r>
      <w:r w:rsidR="00675D49">
        <w:t xml:space="preserve">enable </w:t>
      </w:r>
      <w:r>
        <w:t>improv</w:t>
      </w:r>
      <w:r w:rsidR="00675D49">
        <w:t>ed</w:t>
      </w:r>
      <w:r>
        <w:t xml:space="preserve"> identification and traceability of medical devices. It will help </w:t>
      </w:r>
      <w:r w:rsidR="00866F98">
        <w:t xml:space="preserve">to </w:t>
      </w:r>
      <w:r>
        <w:t>improve the effectiveness of pre-market assessments of medical devices, enable improved information on the application of devices</w:t>
      </w:r>
      <w:r w:rsidR="009C544F">
        <w:t>,</w:t>
      </w:r>
      <w:r>
        <w:t xml:space="preserve"> and help the management of post-market safety-related activities</w:t>
      </w:r>
      <w:r w:rsidR="00675D49">
        <w:t>,</w:t>
      </w:r>
      <w:r>
        <w:t xml:space="preserve"> including faster identification and recall of problem devices and management of adverse events.</w:t>
      </w:r>
    </w:p>
    <w:p w14:paraId="5CB8061C" w14:textId="11831B65" w:rsidR="00C93007" w:rsidRDefault="00C93007" w:rsidP="00C93007">
      <w:r>
        <w:t xml:space="preserve">The UDI </w:t>
      </w:r>
      <w:r w:rsidR="00B5267A">
        <w:t>can assist by</w:t>
      </w:r>
      <w:r w:rsidR="00675D49">
        <w:t xml:space="preserve"> providing</w:t>
      </w:r>
      <w:r>
        <w:t>:</w:t>
      </w:r>
    </w:p>
    <w:p w14:paraId="1ACF3884" w14:textId="08908549" w:rsidR="00C93007" w:rsidRPr="004A7F3A" w:rsidRDefault="00C93007" w:rsidP="00C93007">
      <w:pPr>
        <w:pStyle w:val="ListParagraph"/>
      </w:pPr>
      <w:r>
        <w:lastRenderedPageBreak/>
        <w:t>easier and faster identification of patients who have been implanted with a device of concern</w:t>
      </w:r>
      <w:r w:rsidR="009C544F">
        <w:t xml:space="preserve">, such as </w:t>
      </w:r>
      <w:r>
        <w:t>a device with a safety incident or recall related to that device</w:t>
      </w:r>
    </w:p>
    <w:p w14:paraId="1AB7D95A" w14:textId="4DAFD95D" w:rsidR="00C93007" w:rsidRDefault="00C93007" w:rsidP="00C93007">
      <w:pPr>
        <w:pStyle w:val="ListParagraph"/>
      </w:pPr>
      <w:r>
        <w:t xml:space="preserve">easier identification and removal of those devices from stocks, storage, and distribution, helping </w:t>
      </w:r>
      <w:r w:rsidR="00DF766D">
        <w:t xml:space="preserve">to </w:t>
      </w:r>
      <w:r>
        <w:t>prevent any further devices of that model being implanted or used.</w:t>
      </w:r>
    </w:p>
    <w:p w14:paraId="63EF3952" w14:textId="63A3A15E" w:rsidR="00B5267A" w:rsidRDefault="00B5267A" w:rsidP="00C93007">
      <w:r>
        <w:t xml:space="preserve">Throughout this year we have engaged with public and private hospitals and healthcare organisations, peak bodies and other experts, including Queensland Health, Western Health in Victoria, </w:t>
      </w:r>
      <w:r w:rsidR="00BB5843">
        <w:t xml:space="preserve">and </w:t>
      </w:r>
      <w:r>
        <w:t xml:space="preserve">the ACSQHC. This engagement is aimed at improving our knowledge and understanding to develop guidance documents specifically for healthcare organisations to adopt the UDI. </w:t>
      </w:r>
    </w:p>
    <w:p w14:paraId="1A1A0A6B" w14:textId="3A72AD3D" w:rsidR="00C93007" w:rsidRDefault="00C93007" w:rsidP="00C93007">
      <w:r>
        <w:t xml:space="preserve">We have been working closely with international regulators and the International Medical Device Regulators Forum to maximise alignment of Australian UDI regulations with the UDI implementations of other international regulators. This alignment will help </w:t>
      </w:r>
      <w:r w:rsidR="00D12C95">
        <w:t xml:space="preserve">to </w:t>
      </w:r>
      <w:r>
        <w:t xml:space="preserve">minimise </w:t>
      </w:r>
      <w:r w:rsidR="005D6CF9">
        <w:t xml:space="preserve">the </w:t>
      </w:r>
      <w:r>
        <w:t>regulatory burden on industry and enhance post-market surveillance activities and our ability to respond to international signals regarding device performance.</w:t>
      </w:r>
    </w:p>
    <w:p w14:paraId="740E719A" w14:textId="1E38C66B" w:rsidR="00C93007" w:rsidRDefault="00C93007" w:rsidP="00C93007">
      <w:r>
        <w:t xml:space="preserve">A focus this </w:t>
      </w:r>
      <w:r w:rsidR="00541F2D">
        <w:t>year</w:t>
      </w:r>
      <w:r>
        <w:t xml:space="preserve"> has been consulting closely with sponsors and manufacturers to help us </w:t>
      </w:r>
      <w:r w:rsidR="005D6CF9">
        <w:t xml:space="preserve">to </w:t>
      </w:r>
      <w:r>
        <w:t>understand the EU’s UDI timetable</w:t>
      </w:r>
      <w:r w:rsidR="00541F2D">
        <w:t>, areas of difference</w:t>
      </w:r>
      <w:r>
        <w:t xml:space="preserve"> and any potential consequences arising from Australia’s implementation. </w:t>
      </w:r>
      <w:r w:rsidR="00541F2D">
        <w:t xml:space="preserve">Two </w:t>
      </w:r>
      <w:r w:rsidR="000F47E2">
        <w:t xml:space="preserve">face-to-face </w:t>
      </w:r>
      <w:r w:rsidR="00541F2D">
        <w:t>national workshops were held to discuss the challenges identified by stakeholders</w:t>
      </w:r>
      <w:r w:rsidR="004A662B">
        <w:t>,</w:t>
      </w:r>
      <w:r w:rsidR="00541F2D">
        <w:t xml:space="preserve"> and a number of webinars </w:t>
      </w:r>
      <w:r w:rsidR="004A662B">
        <w:t xml:space="preserve">were </w:t>
      </w:r>
      <w:r w:rsidR="00541F2D">
        <w:t xml:space="preserve">held with participation from global attendees. </w:t>
      </w:r>
    </w:p>
    <w:p w14:paraId="69290CC4" w14:textId="21301B0A" w:rsidR="00C93007" w:rsidRDefault="00C93007" w:rsidP="00C93007">
      <w:r>
        <w:t>Additionally, a test version of the Australian UDI database (AusUDID) has been used by sponsors and manufacturers</w:t>
      </w:r>
      <w:r w:rsidR="00541F2D">
        <w:t xml:space="preserve"> to</w:t>
      </w:r>
      <w:r>
        <w:t xml:space="preserve"> help identify an</w:t>
      </w:r>
      <w:r w:rsidR="0056117F">
        <w:t>d</w:t>
      </w:r>
      <w:r>
        <w:t xml:space="preserve"> align our UDI data elements, data validation rules</w:t>
      </w:r>
      <w:r w:rsidR="00541F2D">
        <w:t>, machine</w:t>
      </w:r>
      <w:r w:rsidR="004A662B">
        <w:t>-</w:t>
      </w:r>
      <w:r w:rsidR="00541F2D">
        <w:t>to</w:t>
      </w:r>
      <w:r w:rsidR="004A662B">
        <w:t>-</w:t>
      </w:r>
      <w:r w:rsidR="00541F2D">
        <w:t>machine data transfers</w:t>
      </w:r>
      <w:r>
        <w:t xml:space="preserve"> and system implementation. Sponsors have provided detailed feedback</w:t>
      </w:r>
      <w:r w:rsidR="0056117F">
        <w:t>, enabling</w:t>
      </w:r>
      <w:r>
        <w:t xml:space="preserve"> </w:t>
      </w:r>
      <w:r w:rsidR="00541F2D">
        <w:t xml:space="preserve">refinements </w:t>
      </w:r>
      <w:r w:rsidR="0056117F">
        <w:t>of</w:t>
      </w:r>
      <w:r>
        <w:t xml:space="preserve"> the </w:t>
      </w:r>
      <w:bookmarkStart w:id="29" w:name="_Hlk152754312"/>
      <w:r>
        <w:t>AusUDID</w:t>
      </w:r>
      <w:bookmarkEnd w:id="29"/>
      <w:r>
        <w:t xml:space="preserve">. </w:t>
      </w:r>
    </w:p>
    <w:p w14:paraId="5EDE3DD9" w14:textId="297D077E" w:rsidR="00C93007" w:rsidRPr="00E365C8" w:rsidRDefault="00C93007" w:rsidP="00C93007">
      <w:r>
        <w:t xml:space="preserve">We are actively working to ensure understanding and adoption of the UDI across </w:t>
      </w:r>
      <w:r w:rsidR="00E84F73">
        <w:t>the healthcare</w:t>
      </w:r>
      <w:r>
        <w:t xml:space="preserve"> system and continue to actively engage with many stakeholders</w:t>
      </w:r>
      <w:r w:rsidR="00B5267A">
        <w:t>,</w:t>
      </w:r>
      <w:r>
        <w:t xml:space="preserve"> seeking </w:t>
      </w:r>
      <w:r w:rsidRPr="00E365C8">
        <w:t xml:space="preserve">feedback through </w:t>
      </w:r>
      <w:r>
        <w:t xml:space="preserve">consultation papers, working groups, </w:t>
      </w:r>
      <w:r w:rsidRPr="00E365C8">
        <w:t>for</w:t>
      </w:r>
      <w:r w:rsidR="00A7052D">
        <w:t>a</w:t>
      </w:r>
      <w:r w:rsidRPr="00E365C8">
        <w:t xml:space="preserve">, </w:t>
      </w:r>
      <w:r>
        <w:t xml:space="preserve">and </w:t>
      </w:r>
      <w:r w:rsidRPr="00E365C8">
        <w:t xml:space="preserve">webinars. </w:t>
      </w:r>
      <w:r>
        <w:t xml:space="preserve">Extensive feedback has informed </w:t>
      </w:r>
      <w:r w:rsidRPr="00E365C8">
        <w:t>considerations for the Australian UDI system, including: </w:t>
      </w:r>
    </w:p>
    <w:p w14:paraId="0EF7A499" w14:textId="5B5B64D8" w:rsidR="00C93007" w:rsidRPr="00E365C8" w:rsidRDefault="00C93007" w:rsidP="00ED1A1F">
      <w:pPr>
        <w:numPr>
          <w:ilvl w:val="0"/>
          <w:numId w:val="14"/>
        </w:numPr>
        <w:spacing w:before="0" w:after="160" w:line="259" w:lineRule="auto"/>
      </w:pPr>
      <w:r w:rsidRPr="00E365C8">
        <w:t>global alignment</w:t>
      </w:r>
    </w:p>
    <w:p w14:paraId="4D72313C" w14:textId="5BBCE333" w:rsidR="00C93007" w:rsidRPr="00E365C8" w:rsidRDefault="00C93007" w:rsidP="00ED1A1F">
      <w:pPr>
        <w:numPr>
          <w:ilvl w:val="0"/>
          <w:numId w:val="14"/>
        </w:numPr>
        <w:spacing w:before="0" w:after="160" w:line="259" w:lineRule="auto"/>
      </w:pPr>
      <w:r w:rsidRPr="00E365C8">
        <w:t>Global Medical Device Nomenclature</w:t>
      </w:r>
      <w:r>
        <w:t xml:space="preserve"> and other data integrity considerations</w:t>
      </w:r>
    </w:p>
    <w:p w14:paraId="30D7B8B8" w14:textId="2F049579" w:rsidR="00C93007" w:rsidRDefault="00A7052D" w:rsidP="00ED1A1F">
      <w:pPr>
        <w:numPr>
          <w:ilvl w:val="0"/>
          <w:numId w:val="14"/>
        </w:numPr>
        <w:spacing w:before="0" w:after="160" w:line="259" w:lineRule="auto"/>
      </w:pPr>
      <w:r w:rsidRPr="00E365C8">
        <w:t>D</w:t>
      </w:r>
      <w:r w:rsidR="00C93007" w:rsidRPr="00E365C8">
        <w:t>ata elements</w:t>
      </w:r>
      <w:r w:rsidR="00C93007">
        <w:t xml:space="preserve"> and implementation impacts</w:t>
      </w:r>
    </w:p>
    <w:p w14:paraId="5ED6303A" w14:textId="428C4564" w:rsidR="00C93007" w:rsidRPr="00E365C8" w:rsidRDefault="00C93007" w:rsidP="00ED1A1F">
      <w:pPr>
        <w:numPr>
          <w:ilvl w:val="0"/>
          <w:numId w:val="14"/>
        </w:numPr>
        <w:spacing w:before="0" w:after="160" w:line="259" w:lineRule="auto"/>
      </w:pPr>
      <w:r>
        <w:t>communicating the benefits of UDI and any implementation considerations for hospitals and other health</w:t>
      </w:r>
      <w:r w:rsidR="004A662B">
        <w:t xml:space="preserve"> </w:t>
      </w:r>
      <w:r>
        <w:t>care facilities, and health</w:t>
      </w:r>
      <w:r w:rsidR="004A662B">
        <w:t xml:space="preserve"> </w:t>
      </w:r>
      <w:r>
        <w:t>care practitioners and professionals.</w:t>
      </w:r>
    </w:p>
    <w:p w14:paraId="64D733F1" w14:textId="1187E80D" w:rsidR="00B5267A" w:rsidRDefault="00C93007" w:rsidP="00C93007">
      <w:r>
        <w:t xml:space="preserve">Following ministerial approval of the key UDI policy elements in April 2023, we have engaged with industry to finalise the </w:t>
      </w:r>
      <w:r w:rsidR="00B5267A">
        <w:t xml:space="preserve">proposed </w:t>
      </w:r>
      <w:r>
        <w:t xml:space="preserve">implementation timetable, understand any transition considerations and finalise the design and implementation of the </w:t>
      </w:r>
      <w:r w:rsidR="004A662B">
        <w:t>AusUDID</w:t>
      </w:r>
      <w:r>
        <w:t xml:space="preserve">. </w:t>
      </w:r>
      <w:r w:rsidR="005F730A">
        <w:t xml:space="preserve">Finalisation </w:t>
      </w:r>
      <w:r w:rsidR="00B5267A">
        <w:t xml:space="preserve">of </w:t>
      </w:r>
      <w:r>
        <w:t>the UDI regulations</w:t>
      </w:r>
      <w:r w:rsidR="00B5267A">
        <w:t xml:space="preserve"> and transition arrangements</w:t>
      </w:r>
      <w:r>
        <w:t xml:space="preserve"> </w:t>
      </w:r>
      <w:r w:rsidR="00B5267A">
        <w:t xml:space="preserve">are anticipated during 2024. </w:t>
      </w:r>
    </w:p>
    <w:p w14:paraId="434212A7" w14:textId="022FC5D4" w:rsidR="008005E5" w:rsidRPr="00D534CC" w:rsidRDefault="3F61D4D6" w:rsidP="00DD4691">
      <w:pPr>
        <w:pStyle w:val="Heading2"/>
      </w:pPr>
      <w:bookmarkStart w:id="30" w:name="_Toc153550391"/>
      <w:r>
        <w:t>Repurposing of medicines</w:t>
      </w:r>
      <w:bookmarkEnd w:id="30"/>
    </w:p>
    <w:p w14:paraId="0A210CAE" w14:textId="6A3F01B4" w:rsidR="008035E9" w:rsidRPr="00A049E1" w:rsidRDefault="00545B80" w:rsidP="002E6B81">
      <w:pPr>
        <w:pStyle w:val="ListParagraph"/>
        <w:numPr>
          <w:ilvl w:val="0"/>
          <w:numId w:val="0"/>
        </w:numPr>
        <w:rPr>
          <w:rFonts w:cstheme="minorHAnsi"/>
          <w:b/>
          <w:bCs/>
        </w:rPr>
      </w:pPr>
      <w:r w:rsidRPr="7170241C">
        <w:rPr>
          <w:b/>
          <w:bCs/>
        </w:rPr>
        <w:t>We have progressed</w:t>
      </w:r>
      <w:r w:rsidR="00B94BC0" w:rsidRPr="7170241C">
        <w:rPr>
          <w:b/>
          <w:bCs/>
        </w:rPr>
        <w:t xml:space="preserve"> process and policy reforms to facilitate repurposing of existing medicines to address unmet medical needs.</w:t>
      </w:r>
    </w:p>
    <w:p w14:paraId="763FE075" w14:textId="55B9A8EB" w:rsidR="16E52840" w:rsidRPr="00EE59B9" w:rsidRDefault="16E52840" w:rsidP="00EE59B9">
      <w:pPr>
        <w:rPr>
          <w:rFonts w:eastAsia="Segoe UI" w:cs="Arial"/>
          <w:szCs w:val="22"/>
        </w:rPr>
      </w:pPr>
      <w:r w:rsidRPr="00EE59B9">
        <w:rPr>
          <w:rFonts w:eastAsia="Segoe UI" w:cs="Arial"/>
          <w:szCs w:val="22"/>
        </w:rPr>
        <w:t xml:space="preserve">Following </w:t>
      </w:r>
      <w:r w:rsidR="07772F53" w:rsidRPr="00EE59B9">
        <w:rPr>
          <w:rFonts w:eastAsia="Segoe UI" w:cs="Arial"/>
          <w:szCs w:val="22"/>
        </w:rPr>
        <w:t xml:space="preserve">extensive public and targeted consultation </w:t>
      </w:r>
      <w:r w:rsidR="3792B5A7" w:rsidRPr="00EE59B9">
        <w:rPr>
          <w:rFonts w:eastAsia="Segoe UI" w:cs="Arial"/>
          <w:szCs w:val="22"/>
        </w:rPr>
        <w:t xml:space="preserve">in 2021-22 </w:t>
      </w:r>
      <w:r w:rsidR="07772F53" w:rsidRPr="00EE59B9">
        <w:rPr>
          <w:rFonts w:eastAsia="Segoe UI" w:cs="Arial"/>
          <w:szCs w:val="22"/>
        </w:rPr>
        <w:t>on a</w:t>
      </w:r>
      <w:r w:rsidR="67B56C59" w:rsidRPr="00EE59B9">
        <w:rPr>
          <w:rFonts w:eastAsia="Segoe UI" w:cs="Arial"/>
          <w:szCs w:val="22"/>
        </w:rPr>
        <w:t xml:space="preserve"> Medicines</w:t>
      </w:r>
      <w:r w:rsidR="07772F53" w:rsidRPr="00EE59B9">
        <w:rPr>
          <w:rFonts w:eastAsia="Segoe UI" w:cs="Arial"/>
          <w:szCs w:val="22"/>
        </w:rPr>
        <w:t xml:space="preserve"> </w:t>
      </w:r>
      <w:r w:rsidR="54947DE2" w:rsidRPr="00EE59B9">
        <w:rPr>
          <w:rFonts w:eastAsia="Segoe UI" w:cs="Arial"/>
          <w:szCs w:val="22"/>
        </w:rPr>
        <w:t>R</w:t>
      </w:r>
      <w:r w:rsidR="07772F53" w:rsidRPr="00EE59B9">
        <w:rPr>
          <w:rFonts w:eastAsia="Segoe UI" w:cs="Arial"/>
          <w:szCs w:val="22"/>
        </w:rPr>
        <w:t xml:space="preserve">epurposing </w:t>
      </w:r>
      <w:r w:rsidR="7066F803" w:rsidRPr="00EE59B9">
        <w:rPr>
          <w:rFonts w:eastAsia="Segoe UI" w:cs="Arial"/>
          <w:szCs w:val="22"/>
        </w:rPr>
        <w:t>P</w:t>
      </w:r>
      <w:r w:rsidR="07772F53" w:rsidRPr="00EE59B9">
        <w:rPr>
          <w:rFonts w:eastAsia="Segoe UI" w:cs="Arial"/>
          <w:szCs w:val="22"/>
        </w:rPr>
        <w:t>rogram</w:t>
      </w:r>
      <w:r w:rsidR="00604B0C">
        <w:rPr>
          <w:rFonts w:eastAsia="Segoe UI" w:cs="Arial"/>
          <w:szCs w:val="22"/>
        </w:rPr>
        <w:t>,</w:t>
      </w:r>
      <w:r w:rsidR="07772F53" w:rsidRPr="00EE59B9">
        <w:rPr>
          <w:rFonts w:eastAsia="Segoe UI" w:cs="Arial"/>
          <w:szCs w:val="22"/>
        </w:rPr>
        <w:t xml:space="preserve"> </w:t>
      </w:r>
      <w:r w:rsidR="24E3249D" w:rsidRPr="00EE59B9">
        <w:rPr>
          <w:rFonts w:eastAsia="Segoe UI" w:cs="Arial"/>
          <w:szCs w:val="22"/>
        </w:rPr>
        <w:t xml:space="preserve">we </w:t>
      </w:r>
      <w:r w:rsidR="75C1A1D0" w:rsidRPr="00EE59B9">
        <w:rPr>
          <w:rFonts w:eastAsia="Segoe UI" w:cs="Arial"/>
          <w:szCs w:val="22"/>
        </w:rPr>
        <w:t>establish</w:t>
      </w:r>
      <w:r w:rsidR="39C4B922" w:rsidRPr="00EE59B9">
        <w:rPr>
          <w:rFonts w:eastAsia="Segoe UI" w:cs="Arial"/>
          <w:szCs w:val="22"/>
        </w:rPr>
        <w:t>ed the program</w:t>
      </w:r>
      <w:r w:rsidR="47BF6CBE" w:rsidRPr="00EE59B9">
        <w:rPr>
          <w:rFonts w:eastAsia="Segoe UI" w:cs="Arial"/>
          <w:szCs w:val="22"/>
        </w:rPr>
        <w:t>’s</w:t>
      </w:r>
      <w:r w:rsidR="39C4B922" w:rsidRPr="00EE59B9">
        <w:rPr>
          <w:rFonts w:eastAsia="Segoe UI" w:cs="Arial"/>
          <w:szCs w:val="22"/>
        </w:rPr>
        <w:t xml:space="preserve"> </w:t>
      </w:r>
      <w:r w:rsidR="5E5D3358" w:rsidRPr="00EE59B9">
        <w:rPr>
          <w:rFonts w:eastAsia="Segoe UI" w:cs="Arial"/>
          <w:szCs w:val="22"/>
        </w:rPr>
        <w:t>design</w:t>
      </w:r>
      <w:r w:rsidR="00593757">
        <w:rPr>
          <w:rFonts w:eastAsia="Segoe UI" w:cs="Arial"/>
          <w:szCs w:val="22"/>
        </w:rPr>
        <w:t>.</w:t>
      </w:r>
    </w:p>
    <w:p w14:paraId="5489DFAE" w14:textId="25EC1F16" w:rsidR="07772F53" w:rsidRPr="00EE59B9" w:rsidRDefault="00593757" w:rsidP="00ED1A1F">
      <w:pPr>
        <w:pStyle w:val="ListParagraph"/>
        <w:numPr>
          <w:ilvl w:val="0"/>
          <w:numId w:val="2"/>
        </w:numPr>
        <w:spacing w:after="120" w:line="264" w:lineRule="auto"/>
        <w:rPr>
          <w:rFonts w:eastAsia="Segoe UI"/>
          <w:color w:val="262626"/>
          <w:szCs w:val="22"/>
        </w:rPr>
      </w:pPr>
      <w:r>
        <w:rPr>
          <w:rFonts w:eastAsia="Segoe UI"/>
          <w:color w:val="262626"/>
          <w:szCs w:val="22"/>
        </w:rPr>
        <w:lastRenderedPageBreak/>
        <w:t>T</w:t>
      </w:r>
      <w:r w:rsidR="07772F53" w:rsidRPr="00EE59B9">
        <w:rPr>
          <w:rFonts w:eastAsia="Segoe UI"/>
          <w:color w:val="262626"/>
          <w:szCs w:val="22"/>
        </w:rPr>
        <w:t>he program aims to improve patient outcomes by sourcing knowledge about safe and efficacious new uses for old medicines from the Australian community</w:t>
      </w:r>
      <w:r>
        <w:rPr>
          <w:rFonts w:eastAsia="Segoe UI"/>
          <w:color w:val="262626"/>
          <w:szCs w:val="22"/>
        </w:rPr>
        <w:t>.</w:t>
      </w:r>
    </w:p>
    <w:p w14:paraId="2D69EAF6" w14:textId="2A894A03" w:rsidR="07772F53" w:rsidRPr="00EE59B9" w:rsidRDefault="00593757" w:rsidP="00ED1A1F">
      <w:pPr>
        <w:pStyle w:val="ListParagraph"/>
        <w:numPr>
          <w:ilvl w:val="0"/>
          <w:numId w:val="2"/>
        </w:numPr>
        <w:spacing w:after="120" w:line="264" w:lineRule="auto"/>
        <w:rPr>
          <w:rFonts w:eastAsia="Segoe UI"/>
          <w:color w:val="262626"/>
          <w:szCs w:val="22"/>
        </w:rPr>
      </w:pPr>
      <w:r>
        <w:rPr>
          <w:rFonts w:eastAsia="Segoe UI"/>
          <w:color w:val="262626"/>
          <w:szCs w:val="22"/>
        </w:rPr>
        <w:t>I</w:t>
      </w:r>
      <w:r w:rsidR="07772F53" w:rsidRPr="00EE59B9">
        <w:rPr>
          <w:rFonts w:eastAsia="Segoe UI"/>
          <w:color w:val="262626"/>
          <w:szCs w:val="22"/>
        </w:rPr>
        <w:t>t will target medicines for which a significant public health benefit has been identified but there is little or no commercial incentive for a sponsor to pursue regulatory approval and Pharmaceutical Benefits Scheme (PBS) listing to make this use more accessible</w:t>
      </w:r>
      <w:r>
        <w:rPr>
          <w:rFonts w:eastAsia="Segoe UI"/>
          <w:color w:val="262626"/>
          <w:szCs w:val="22"/>
        </w:rPr>
        <w:t>.</w:t>
      </w:r>
    </w:p>
    <w:p w14:paraId="4C04D10A" w14:textId="7BEDBDF3" w:rsidR="07772F53" w:rsidRPr="00EE59B9" w:rsidRDefault="00593757" w:rsidP="00ED1A1F">
      <w:pPr>
        <w:pStyle w:val="ListParagraph"/>
        <w:numPr>
          <w:ilvl w:val="0"/>
          <w:numId w:val="2"/>
        </w:numPr>
        <w:spacing w:after="120" w:line="264" w:lineRule="auto"/>
        <w:rPr>
          <w:rFonts w:eastAsia="Segoe UI"/>
          <w:color w:val="262626"/>
          <w:szCs w:val="22"/>
        </w:rPr>
      </w:pPr>
      <w:r>
        <w:rPr>
          <w:rFonts w:eastAsia="Segoe UI"/>
          <w:color w:val="262626"/>
          <w:szCs w:val="22"/>
        </w:rPr>
        <w:t>T</w:t>
      </w:r>
      <w:r w:rsidR="07772F53" w:rsidRPr="00EE59B9">
        <w:rPr>
          <w:rFonts w:eastAsia="Segoe UI"/>
          <w:color w:val="262626"/>
          <w:szCs w:val="22"/>
        </w:rPr>
        <w:t>he program will strengthen the voice of clinician, academic and patient groups by encouraging their active participation in identifying new uses of medicines</w:t>
      </w:r>
      <w:r>
        <w:rPr>
          <w:rFonts w:eastAsia="Segoe UI"/>
          <w:color w:val="262626"/>
          <w:szCs w:val="22"/>
        </w:rPr>
        <w:t>.</w:t>
      </w:r>
    </w:p>
    <w:p w14:paraId="6E6FFBB1" w14:textId="130DAD57" w:rsidR="07772F53" w:rsidRPr="00EE59B9" w:rsidRDefault="00593757" w:rsidP="00ED1A1F">
      <w:pPr>
        <w:pStyle w:val="ListParagraph"/>
        <w:numPr>
          <w:ilvl w:val="0"/>
          <w:numId w:val="2"/>
        </w:numPr>
        <w:spacing w:after="120" w:line="264" w:lineRule="auto"/>
        <w:rPr>
          <w:rFonts w:eastAsia="Segoe UI"/>
          <w:color w:val="262626"/>
          <w:szCs w:val="22"/>
        </w:rPr>
      </w:pPr>
      <w:r>
        <w:rPr>
          <w:rFonts w:eastAsia="Segoe UI"/>
          <w:color w:val="262626"/>
          <w:szCs w:val="22"/>
        </w:rPr>
        <w:t>T</w:t>
      </w:r>
      <w:r w:rsidR="07772F53" w:rsidRPr="00EE59B9">
        <w:rPr>
          <w:rFonts w:eastAsia="Segoe UI"/>
          <w:color w:val="262626"/>
          <w:szCs w:val="22"/>
        </w:rPr>
        <w:t>he program will provide incentives for sponsors to seek extensions of indication(s) for their medicines and PBS subsidy. Such repurposed medicines will allow cheaper alternatives to be available for health professionals to prescribe for patients.</w:t>
      </w:r>
    </w:p>
    <w:p w14:paraId="0EB2DAC0" w14:textId="19BD86DA" w:rsidR="009F0293" w:rsidRDefault="004366D5" w:rsidP="00A049E1">
      <w:r w:rsidRPr="00FB5C3A">
        <w:t>This program</w:t>
      </w:r>
      <w:r w:rsidR="00B7260E" w:rsidRPr="00FB5C3A">
        <w:t xml:space="preserve"> is</w:t>
      </w:r>
      <w:r w:rsidR="0037588B" w:rsidRPr="00FB5C3A">
        <w:t xml:space="preserve"> funded as part of a broader PBS reforms package in the 2023-24 Federal Budget</w:t>
      </w:r>
      <w:r w:rsidR="00D15A63">
        <w:t>,</w:t>
      </w:r>
      <w:r w:rsidR="0037588B" w:rsidRPr="00FB5C3A">
        <w:t xml:space="preserve"> and further consultation is underway with program launch expected in early 2024</w:t>
      </w:r>
      <w:r w:rsidR="00611369">
        <w:t>.</w:t>
      </w:r>
    </w:p>
    <w:p w14:paraId="2416B395" w14:textId="421C32DA" w:rsidR="00C12C54" w:rsidRPr="009F0293" w:rsidRDefault="751EDBB3" w:rsidP="00DD4691">
      <w:pPr>
        <w:pStyle w:val="Heading2"/>
      </w:pPr>
      <w:bookmarkStart w:id="31" w:name="_Toc153550392"/>
      <w:r>
        <w:t>Clinical trials regulation</w:t>
      </w:r>
      <w:bookmarkEnd w:id="31"/>
    </w:p>
    <w:p w14:paraId="27AE0F96" w14:textId="5CD7C6CE" w:rsidR="008035E9" w:rsidRPr="00A049E1" w:rsidRDefault="00611144" w:rsidP="004D5CBF">
      <w:pPr>
        <w:pStyle w:val="ListParagraph"/>
        <w:numPr>
          <w:ilvl w:val="0"/>
          <w:numId w:val="0"/>
        </w:numPr>
        <w:rPr>
          <w:b/>
          <w:bCs/>
        </w:rPr>
      </w:pPr>
      <w:r w:rsidRPr="7170241C">
        <w:rPr>
          <w:b/>
          <w:bCs/>
        </w:rPr>
        <w:t>We are r</w:t>
      </w:r>
      <w:r w:rsidR="00B94BC0" w:rsidRPr="7170241C">
        <w:rPr>
          <w:b/>
          <w:bCs/>
        </w:rPr>
        <w:t>eforming clinical trials regulation</w:t>
      </w:r>
      <w:r w:rsidR="00D15A63">
        <w:rPr>
          <w:b/>
          <w:bCs/>
        </w:rPr>
        <w:t xml:space="preserve">, </w:t>
      </w:r>
      <w:r w:rsidR="00B94BC0" w:rsidRPr="7170241C">
        <w:rPr>
          <w:b/>
          <w:bCs/>
        </w:rPr>
        <w:t>particularly of medical devices and cell and tissue products</w:t>
      </w:r>
      <w:r w:rsidR="00D15A63">
        <w:rPr>
          <w:b/>
          <w:bCs/>
        </w:rPr>
        <w:t>,</w:t>
      </w:r>
      <w:r w:rsidR="00B94BC0" w:rsidRPr="7170241C">
        <w:rPr>
          <w:b/>
          <w:bCs/>
        </w:rPr>
        <w:t xml:space="preserve"> to address safety concerns. </w:t>
      </w:r>
    </w:p>
    <w:p w14:paraId="0BFA611F" w14:textId="6F9D9447" w:rsidR="00AC64E5" w:rsidRDefault="60D0C359" w:rsidP="006D5740">
      <w:r>
        <w:t>In late 2022 we undertook a public consultation on proposed regulatory changes t</w:t>
      </w:r>
      <w:r w:rsidR="008E0516">
        <w:t>hat would involve the</w:t>
      </w:r>
      <w:r>
        <w:t xml:space="preserve"> </w:t>
      </w:r>
      <w:r w:rsidR="008E0516">
        <w:t xml:space="preserve">TGA </w:t>
      </w:r>
      <w:r>
        <w:t>strengthen</w:t>
      </w:r>
      <w:r w:rsidR="008E0516">
        <w:t xml:space="preserve">ing its </w:t>
      </w:r>
      <w:r>
        <w:t>safety oversight of clinical trials for medical devices</w:t>
      </w:r>
      <w:r w:rsidR="008E0516">
        <w:t xml:space="preserve">. Follow-up </w:t>
      </w:r>
      <w:r w:rsidR="6A231401">
        <w:t xml:space="preserve">targeted consultation </w:t>
      </w:r>
      <w:r w:rsidR="008E0516">
        <w:t xml:space="preserve">was </w:t>
      </w:r>
      <w:r w:rsidR="006F2251">
        <w:t>undertaken</w:t>
      </w:r>
      <w:r w:rsidR="008E0516">
        <w:t xml:space="preserve"> </w:t>
      </w:r>
      <w:r w:rsidR="3BF11D0A">
        <w:t>in early 2023</w:t>
      </w:r>
      <w:r w:rsidR="6A231401">
        <w:t xml:space="preserve"> to </w:t>
      </w:r>
      <w:r w:rsidR="008E0516">
        <w:t xml:space="preserve">refine </w:t>
      </w:r>
      <w:r w:rsidR="6D3E21AA">
        <w:t>proposal</w:t>
      </w:r>
      <w:r w:rsidR="6A231401">
        <w:t>s</w:t>
      </w:r>
      <w:r w:rsidR="77A3F8CA">
        <w:t xml:space="preserve"> that were less burdensome</w:t>
      </w:r>
      <w:r w:rsidR="008E0516">
        <w:t xml:space="preserve"> and buil</w:t>
      </w:r>
      <w:r w:rsidR="00CF72CA">
        <w:t>t</w:t>
      </w:r>
      <w:r w:rsidR="008E0516">
        <w:t xml:space="preserve"> on and strengthened existing mechanisms, including requiring mandatory information about very high risk, first</w:t>
      </w:r>
      <w:r w:rsidR="0085790D">
        <w:t>-</w:t>
      </w:r>
      <w:r w:rsidR="008E0516">
        <w:t>in</w:t>
      </w:r>
      <w:r w:rsidR="0085790D">
        <w:t>-</w:t>
      </w:r>
      <w:r w:rsidR="008E0516">
        <w:t>human medical devices</w:t>
      </w:r>
      <w:r w:rsidR="77A3F8CA">
        <w:t>.</w:t>
      </w:r>
      <w:r w:rsidR="2F8080FD">
        <w:t xml:space="preserve"> </w:t>
      </w:r>
      <w:r w:rsidR="424225A4">
        <w:t>In June 2023</w:t>
      </w:r>
      <w:r w:rsidR="002255AA">
        <w:t>,</w:t>
      </w:r>
      <w:r w:rsidR="424225A4">
        <w:t xml:space="preserve"> the </w:t>
      </w:r>
      <w:r w:rsidR="00CF72CA">
        <w:t>M</w:t>
      </w:r>
      <w:r w:rsidR="424225A4">
        <w:t>inister</w:t>
      </w:r>
      <w:r w:rsidR="00CF72CA">
        <w:t xml:space="preserve"> for Health and Aged Care</w:t>
      </w:r>
      <w:r w:rsidR="424225A4">
        <w:t xml:space="preserve"> approved </w:t>
      </w:r>
      <w:r w:rsidR="004E5F95">
        <w:t xml:space="preserve">the development of </w:t>
      </w:r>
      <w:r w:rsidR="008E0516">
        <w:t xml:space="preserve">changes to </w:t>
      </w:r>
      <w:r w:rsidR="18D04CCF">
        <w:t>the existing notification pathway</w:t>
      </w:r>
      <w:r w:rsidR="00AA5F59">
        <w:t>,</w:t>
      </w:r>
      <w:r w:rsidR="081050E0">
        <w:t xml:space="preserve"> and</w:t>
      </w:r>
      <w:r w:rsidR="00AA5F59">
        <w:t xml:space="preserve"> that</w:t>
      </w:r>
      <w:r w:rsidR="081050E0">
        <w:t xml:space="preserve"> </w:t>
      </w:r>
      <w:r w:rsidR="00E84F73">
        <w:t>th</w:t>
      </w:r>
      <w:r w:rsidR="00AA5F59">
        <w:t>e</w:t>
      </w:r>
      <w:r w:rsidR="00E84F73">
        <w:t>se clinical trials of medical devices</w:t>
      </w:r>
      <w:r w:rsidR="081050E0">
        <w:t xml:space="preserve"> </w:t>
      </w:r>
      <w:r w:rsidR="008E0516">
        <w:t xml:space="preserve">be included in </w:t>
      </w:r>
      <w:r w:rsidR="081050E0">
        <w:t xml:space="preserve">the TGA’s Good Clinical Practice </w:t>
      </w:r>
      <w:r w:rsidR="0085790D">
        <w:t>I</w:t>
      </w:r>
      <w:r w:rsidR="081050E0">
        <w:t xml:space="preserve">nspection </w:t>
      </w:r>
      <w:r w:rsidR="0085790D">
        <w:t>P</w:t>
      </w:r>
      <w:r w:rsidR="081050E0">
        <w:t>rogram</w:t>
      </w:r>
      <w:r w:rsidR="6A231401">
        <w:t xml:space="preserve">. </w:t>
      </w:r>
      <w:r w:rsidR="19E74573">
        <w:t xml:space="preserve">A review of the Clinical Trial Approval pathway </w:t>
      </w:r>
      <w:r w:rsidR="55788A3B">
        <w:t xml:space="preserve">has </w:t>
      </w:r>
      <w:r w:rsidR="19E74573">
        <w:t xml:space="preserve">commenced, with consultation </w:t>
      </w:r>
      <w:r w:rsidR="7C1780D7">
        <w:t>expected in 2024</w:t>
      </w:r>
      <w:r w:rsidR="19E74573">
        <w:t xml:space="preserve">. </w:t>
      </w:r>
    </w:p>
    <w:p w14:paraId="7BF70B44" w14:textId="185891EA" w:rsidR="00ED3178" w:rsidRDefault="62317383" w:rsidP="00DD4691">
      <w:pPr>
        <w:pStyle w:val="Heading2"/>
      </w:pPr>
      <w:bookmarkStart w:id="32" w:name="_Toc153550393"/>
      <w:r>
        <w:t>Medical device adverse event reporting</w:t>
      </w:r>
      <w:bookmarkEnd w:id="32"/>
    </w:p>
    <w:p w14:paraId="6407A60E" w14:textId="069917F7" w:rsidR="008035E9" w:rsidRPr="00A049E1" w:rsidRDefault="00611144" w:rsidP="004D5CBF">
      <w:pPr>
        <w:pStyle w:val="ListParagraph"/>
        <w:numPr>
          <w:ilvl w:val="0"/>
          <w:numId w:val="0"/>
        </w:numPr>
        <w:rPr>
          <w:b/>
          <w:bCs/>
        </w:rPr>
      </w:pPr>
      <w:r w:rsidRPr="7170241C">
        <w:rPr>
          <w:b/>
          <w:bCs/>
        </w:rPr>
        <w:t>We are i</w:t>
      </w:r>
      <w:r w:rsidR="00B94BC0" w:rsidRPr="7170241C">
        <w:rPr>
          <w:b/>
          <w:bCs/>
        </w:rPr>
        <w:t>mplement</w:t>
      </w:r>
      <w:r w:rsidRPr="7170241C">
        <w:rPr>
          <w:b/>
          <w:bCs/>
        </w:rPr>
        <w:t>ing</w:t>
      </w:r>
      <w:r w:rsidR="00B94BC0" w:rsidRPr="7170241C">
        <w:rPr>
          <w:b/>
          <w:bCs/>
        </w:rPr>
        <w:t xml:space="preserve"> enhancements to medical device adverse event reporting</w:t>
      </w:r>
      <w:r w:rsidR="002D7231">
        <w:rPr>
          <w:b/>
          <w:bCs/>
        </w:rPr>
        <w:t>,</w:t>
      </w:r>
      <w:r w:rsidR="00B94BC0" w:rsidRPr="7170241C">
        <w:rPr>
          <w:b/>
          <w:bCs/>
        </w:rPr>
        <w:t xml:space="preserve"> including development of processes for mandatory reporting of </w:t>
      </w:r>
      <w:r w:rsidR="008E0516">
        <w:rPr>
          <w:b/>
          <w:bCs/>
        </w:rPr>
        <w:t xml:space="preserve">serious </w:t>
      </w:r>
      <w:r w:rsidR="00B94BC0" w:rsidRPr="7170241C">
        <w:rPr>
          <w:b/>
          <w:bCs/>
        </w:rPr>
        <w:t>adverse events by healthcare facilities.</w:t>
      </w:r>
    </w:p>
    <w:p w14:paraId="2708D3EA" w14:textId="7C31F157" w:rsidR="003D60F8" w:rsidRDefault="003D60F8" w:rsidP="00A049E1">
      <w:r>
        <w:t xml:space="preserve">On 21 March 2023, the </w:t>
      </w:r>
      <w:r w:rsidRPr="40EB8B97">
        <w:rPr>
          <w:i/>
          <w:iCs/>
        </w:rPr>
        <w:t xml:space="preserve">Therapeutic Goods </w:t>
      </w:r>
      <w:r w:rsidR="00462A72">
        <w:rPr>
          <w:i/>
          <w:iCs/>
        </w:rPr>
        <w:t xml:space="preserve">Amendment (2022 Measures No. 1) </w:t>
      </w:r>
      <w:r w:rsidRPr="40EB8B97">
        <w:rPr>
          <w:i/>
          <w:iCs/>
        </w:rPr>
        <w:t xml:space="preserve">Act </w:t>
      </w:r>
      <w:r w:rsidR="00E84F73">
        <w:rPr>
          <w:i/>
          <w:iCs/>
        </w:rPr>
        <w:t>2023</w:t>
      </w:r>
      <w:r w:rsidR="00E84F73">
        <w:t xml:space="preserve"> received</w:t>
      </w:r>
      <w:r w:rsidR="00462A72">
        <w:t xml:space="preserve"> Royal Assent. </w:t>
      </w:r>
      <w:r w:rsidR="00443DD1">
        <w:t xml:space="preserve">This amended the </w:t>
      </w:r>
      <w:r w:rsidR="00443DD1" w:rsidRPr="00C41562">
        <w:rPr>
          <w:i/>
          <w:iCs/>
        </w:rPr>
        <w:t>Therapeutic Goods Act 1989</w:t>
      </w:r>
      <w:r w:rsidR="00C41562">
        <w:t xml:space="preserve"> </w:t>
      </w:r>
      <w:r w:rsidR="0051218E">
        <w:t>to</w:t>
      </w:r>
      <w:r w:rsidR="00443DD1">
        <w:t xml:space="preserve"> </w:t>
      </w:r>
      <w:r w:rsidR="0051218E">
        <w:t>establish a framework for the</w:t>
      </w:r>
      <w:r>
        <w:t xml:space="preserve"> mandatory </w:t>
      </w:r>
      <w:r w:rsidR="0051218E">
        <w:t xml:space="preserve">reporting </w:t>
      </w:r>
      <w:r w:rsidR="000D00DA">
        <w:t>of certain medical device adverse events</w:t>
      </w:r>
      <w:r w:rsidR="00EE68A1">
        <w:t>, principally by</w:t>
      </w:r>
      <w:r w:rsidR="002C6B1B">
        <w:t xml:space="preserve"> </w:t>
      </w:r>
      <w:r>
        <w:t>public</w:t>
      </w:r>
      <w:r w:rsidR="003A1A23">
        <w:t xml:space="preserve"> </w:t>
      </w:r>
      <w:r w:rsidR="002C6B1B">
        <w:t xml:space="preserve">and </w:t>
      </w:r>
      <w:r>
        <w:t>private hospitals</w:t>
      </w:r>
      <w:r w:rsidR="006A1BA3">
        <w:t>,</w:t>
      </w:r>
      <w:r>
        <w:t xml:space="preserve"> to the TGA. Regulations to implement the mandatory reporting scheme are </w:t>
      </w:r>
      <w:r w:rsidR="00455970">
        <w:t xml:space="preserve">scheduled </w:t>
      </w:r>
      <w:r>
        <w:t>to be in place by 22 March 2025.</w:t>
      </w:r>
      <w:r w:rsidR="006743CA">
        <w:t xml:space="preserve"> Mandatory reporting of adverse events currently only applies to sponsors and manufacturers, and expanding this to cover </w:t>
      </w:r>
      <w:r w:rsidR="00D04F59">
        <w:t xml:space="preserve">hospitals is designed to ensure </w:t>
      </w:r>
      <w:r w:rsidR="00C0019D">
        <w:t>the earlier identification of</w:t>
      </w:r>
      <w:r w:rsidR="001D31CC">
        <w:t>,</w:t>
      </w:r>
      <w:r w:rsidR="00C0019D">
        <w:t xml:space="preserve"> and quicker public health responses to</w:t>
      </w:r>
      <w:r w:rsidR="001D31CC">
        <w:t>,</w:t>
      </w:r>
      <w:r w:rsidR="00C0019D">
        <w:t xml:space="preserve"> safety issues involving the use of medical devices.</w:t>
      </w:r>
    </w:p>
    <w:p w14:paraId="5521B9E8" w14:textId="3E47583E" w:rsidR="007B3E7F" w:rsidRDefault="007B3E7F" w:rsidP="007B3E7F">
      <w:pPr>
        <w:spacing w:after="160" w:line="252" w:lineRule="auto"/>
        <w:rPr>
          <w:rFonts w:ascii="Calibri" w:hAnsi="Calibri"/>
        </w:rPr>
      </w:pPr>
      <w:r>
        <w:t>We are collaborating with the ACSQHC to incorporate mandatory reporting within the existing hospital quality assurance and accreditation frameworks.</w:t>
      </w:r>
    </w:p>
    <w:p w14:paraId="09E5D872" w14:textId="2D8DA4C8" w:rsidR="007B3E7F" w:rsidRDefault="007B3E7F" w:rsidP="007B3E7F">
      <w:pPr>
        <w:spacing w:after="160" w:line="252" w:lineRule="auto"/>
      </w:pPr>
      <w:r>
        <w:t>Between May and September 2023, we conducted a series of roundtable consultations with</w:t>
      </w:r>
      <w:r w:rsidR="002143CD">
        <w:t xml:space="preserve"> the</w:t>
      </w:r>
      <w:r>
        <w:t xml:space="preserve"> ACSQHC and representatives from state and territor</w:t>
      </w:r>
      <w:r w:rsidR="008E0516">
        <w:t>y</w:t>
      </w:r>
      <w:r>
        <w:t xml:space="preserve"> health departments and private and day hospital providers to identify the key data to be reported, methods of transmitting data, and analysis and feedback processes. The roundtables provided valuable insights into the existing incident reporting mechanisms, areas of jurisdictional duplication</w:t>
      </w:r>
      <w:r w:rsidR="00BA5C07">
        <w:t>,</w:t>
      </w:r>
      <w:r>
        <w:t xml:space="preserve"> and </w:t>
      </w:r>
      <w:r>
        <w:lastRenderedPageBreak/>
        <w:t>inconsistencies. There was a shared consensus to collaboratively identify and implement effective measures to streamline processes</w:t>
      </w:r>
      <w:r w:rsidR="0055761C">
        <w:t xml:space="preserve">. </w:t>
      </w:r>
      <w:r>
        <w:t>Our ongoing engagement with stakeholders will shape the regulatory amendments</w:t>
      </w:r>
      <w:r w:rsidR="008E0516">
        <w:t>,</w:t>
      </w:r>
      <w:r>
        <w:t xml:space="preserve"> policies </w:t>
      </w:r>
      <w:r w:rsidR="008E0516">
        <w:t xml:space="preserve">and processes </w:t>
      </w:r>
      <w:r>
        <w:t>to support mandatory reporting.</w:t>
      </w:r>
    </w:p>
    <w:p w14:paraId="0AF30801" w14:textId="4922DC2A" w:rsidR="006A3880" w:rsidRDefault="5F073DFA" w:rsidP="00DD4691">
      <w:pPr>
        <w:pStyle w:val="Heading2"/>
      </w:pPr>
      <w:bookmarkStart w:id="33" w:name="_Toc153550394"/>
      <w:r>
        <w:t>Real World Evide</w:t>
      </w:r>
      <w:r w:rsidR="3687A44F">
        <w:t>nce and Patient Reporting Outcomes</w:t>
      </w:r>
      <w:bookmarkEnd w:id="33"/>
    </w:p>
    <w:p w14:paraId="56486022" w14:textId="5C09DAC7" w:rsidR="008035E9" w:rsidRPr="00EF24CD" w:rsidRDefault="007316B3" w:rsidP="0083727C">
      <w:pPr>
        <w:pStyle w:val="ListParagraph"/>
        <w:numPr>
          <w:ilvl w:val="0"/>
          <w:numId w:val="0"/>
        </w:numPr>
        <w:rPr>
          <w:b/>
          <w:bCs/>
          <w:szCs w:val="22"/>
        </w:rPr>
      </w:pPr>
      <w:r w:rsidRPr="7170241C">
        <w:rPr>
          <w:b/>
          <w:bCs/>
        </w:rPr>
        <w:t>We have c</w:t>
      </w:r>
      <w:r w:rsidR="00B94BC0" w:rsidRPr="7170241C">
        <w:rPr>
          <w:b/>
          <w:bCs/>
        </w:rPr>
        <w:t>ommunicate</w:t>
      </w:r>
      <w:r w:rsidRPr="7170241C">
        <w:rPr>
          <w:b/>
          <w:bCs/>
        </w:rPr>
        <w:t>d</w:t>
      </w:r>
      <w:r w:rsidR="00B94BC0" w:rsidRPr="7170241C">
        <w:rPr>
          <w:b/>
          <w:bCs/>
        </w:rPr>
        <w:t xml:space="preserve"> how TGA implements Real World Evidence (RWE) and Patient Reported </w:t>
      </w:r>
      <w:r w:rsidR="00FD0298" w:rsidRPr="7170241C">
        <w:rPr>
          <w:b/>
          <w:bCs/>
        </w:rPr>
        <w:t>O</w:t>
      </w:r>
      <w:r w:rsidR="00B94BC0" w:rsidRPr="7170241C">
        <w:rPr>
          <w:b/>
          <w:bCs/>
        </w:rPr>
        <w:t>utcomes (PROs) in its evaluation of medicines and medical devices</w:t>
      </w:r>
      <w:r w:rsidR="00034547">
        <w:rPr>
          <w:b/>
          <w:bCs/>
        </w:rPr>
        <w:t>,</w:t>
      </w:r>
      <w:r w:rsidR="00B94BC0" w:rsidRPr="7170241C">
        <w:rPr>
          <w:b/>
          <w:bCs/>
        </w:rPr>
        <w:t xml:space="preserve"> and </w:t>
      </w:r>
      <w:r w:rsidR="00C2365E">
        <w:rPr>
          <w:b/>
          <w:bCs/>
        </w:rPr>
        <w:t>refined</w:t>
      </w:r>
      <w:r w:rsidR="00C2365E" w:rsidRPr="7170241C">
        <w:rPr>
          <w:b/>
          <w:bCs/>
        </w:rPr>
        <w:t xml:space="preserve"> </w:t>
      </w:r>
      <w:r w:rsidR="00B94BC0" w:rsidRPr="7170241C">
        <w:rPr>
          <w:b/>
          <w:bCs/>
        </w:rPr>
        <w:t xml:space="preserve">regulatory guidance for industry on how to use RWE and PROs in regulatory submissions. </w:t>
      </w:r>
    </w:p>
    <w:p w14:paraId="3AD3C434" w14:textId="7E904DE3" w:rsidR="009A329C" w:rsidRPr="00EF24CD" w:rsidRDefault="47C49824" w:rsidP="001515DB">
      <w:pPr>
        <w:rPr>
          <w:rFonts w:cs="Arial"/>
          <w:szCs w:val="22"/>
        </w:rPr>
      </w:pPr>
      <w:r w:rsidRPr="00EF24CD">
        <w:rPr>
          <w:rFonts w:cs="Arial"/>
          <w:szCs w:val="22"/>
        </w:rPr>
        <w:t xml:space="preserve">Following the </w:t>
      </w:r>
      <w:r w:rsidR="00AF0217" w:rsidRPr="00EF24CD">
        <w:rPr>
          <w:rFonts w:cs="Arial"/>
          <w:szCs w:val="22"/>
        </w:rPr>
        <w:t xml:space="preserve">2021 </w:t>
      </w:r>
      <w:r w:rsidRPr="00EF24CD">
        <w:rPr>
          <w:rFonts w:cs="Arial"/>
          <w:szCs w:val="22"/>
        </w:rPr>
        <w:t xml:space="preserve">review </w:t>
      </w:r>
      <w:r w:rsidR="00FF372C" w:rsidRPr="00EF24CD">
        <w:rPr>
          <w:rFonts w:cs="Arial"/>
          <w:szCs w:val="22"/>
        </w:rPr>
        <w:t>into the usage of real-world evidence</w:t>
      </w:r>
      <w:r w:rsidR="00AE664E" w:rsidRPr="00EF24CD">
        <w:rPr>
          <w:rStyle w:val="FootnoteReference"/>
          <w:rFonts w:eastAsia="Calibri" w:cs="Arial"/>
          <w:szCs w:val="22"/>
        </w:rPr>
        <w:footnoteReference w:id="5"/>
      </w:r>
      <w:r w:rsidRPr="00EF24CD">
        <w:rPr>
          <w:rFonts w:cs="Arial"/>
          <w:szCs w:val="22"/>
        </w:rPr>
        <w:t xml:space="preserve">, </w:t>
      </w:r>
      <w:r w:rsidR="00D67D2C" w:rsidRPr="00EF24CD">
        <w:rPr>
          <w:rFonts w:cs="Arial"/>
          <w:szCs w:val="22"/>
        </w:rPr>
        <w:t>we</w:t>
      </w:r>
      <w:r w:rsidR="39D49740" w:rsidRPr="00EF24CD">
        <w:rPr>
          <w:rFonts w:cs="Arial"/>
          <w:szCs w:val="22"/>
        </w:rPr>
        <w:t xml:space="preserve"> adopted changes to clarify the use of RWE in submissions. These </w:t>
      </w:r>
      <w:r w:rsidR="009A329C" w:rsidRPr="00EF24CD">
        <w:rPr>
          <w:rFonts w:cs="Arial"/>
          <w:szCs w:val="22"/>
        </w:rPr>
        <w:t xml:space="preserve">changes </w:t>
      </w:r>
      <w:r w:rsidR="39D49740" w:rsidRPr="00EF24CD">
        <w:rPr>
          <w:rFonts w:cs="Arial"/>
          <w:szCs w:val="22"/>
        </w:rPr>
        <w:t>include</w:t>
      </w:r>
      <w:r w:rsidR="1AE37F43" w:rsidRPr="00EF24CD">
        <w:rPr>
          <w:rFonts w:cs="Arial"/>
          <w:szCs w:val="22"/>
        </w:rPr>
        <w:t>d</w:t>
      </w:r>
      <w:r w:rsidR="009A329C" w:rsidRPr="00EF24CD">
        <w:rPr>
          <w:rFonts w:cs="Arial"/>
          <w:szCs w:val="22"/>
        </w:rPr>
        <w:t>:</w:t>
      </w:r>
    </w:p>
    <w:p w14:paraId="1D217A7A" w14:textId="60845954" w:rsidR="00CC59CD" w:rsidRPr="00CC59CD" w:rsidRDefault="222CEF00" w:rsidP="00ED1A1F">
      <w:pPr>
        <w:pStyle w:val="ListParagraph"/>
        <w:numPr>
          <w:ilvl w:val="0"/>
          <w:numId w:val="16"/>
        </w:numPr>
        <w:rPr>
          <w:szCs w:val="22"/>
        </w:rPr>
      </w:pPr>
      <w:r>
        <w:t>adoption of a definition of RWE</w:t>
      </w:r>
    </w:p>
    <w:p w14:paraId="7707CA45" w14:textId="6D718B0D" w:rsidR="00CC59CD" w:rsidRPr="00CC59CD" w:rsidRDefault="222CEF00" w:rsidP="00ED1A1F">
      <w:pPr>
        <w:pStyle w:val="ListParagraph"/>
        <w:numPr>
          <w:ilvl w:val="0"/>
          <w:numId w:val="16"/>
        </w:numPr>
        <w:rPr>
          <w:szCs w:val="22"/>
        </w:rPr>
      </w:pPr>
      <w:r>
        <w:t>revisions to the Pre-submission Planning Form for prescription medicines applications</w:t>
      </w:r>
    </w:p>
    <w:p w14:paraId="498C3244" w14:textId="3D5EB5AE" w:rsidR="00CC59CD" w:rsidRPr="00CC59CD" w:rsidRDefault="222CEF00" w:rsidP="00ED1A1F">
      <w:pPr>
        <w:pStyle w:val="ListParagraph"/>
        <w:numPr>
          <w:ilvl w:val="0"/>
          <w:numId w:val="16"/>
        </w:numPr>
        <w:rPr>
          <w:szCs w:val="22"/>
        </w:rPr>
      </w:pPr>
      <w:r>
        <w:t xml:space="preserve">updated </w:t>
      </w:r>
      <w:r w:rsidR="00CF72CA">
        <w:t>the c</w:t>
      </w:r>
      <w:r>
        <w:t>linical evidence guidelines</w:t>
      </w:r>
      <w:r w:rsidR="00CF72CA">
        <w:t xml:space="preserve"> for</w:t>
      </w:r>
      <w:r>
        <w:t xml:space="preserve"> </w:t>
      </w:r>
      <w:r w:rsidR="00CF72CA">
        <w:t>m</w:t>
      </w:r>
      <w:r>
        <w:t xml:space="preserve">edical </w:t>
      </w:r>
      <w:r w:rsidR="00CF72CA">
        <w:t>d</w:t>
      </w:r>
      <w:r>
        <w:t>evices</w:t>
      </w:r>
    </w:p>
    <w:p w14:paraId="1A6629F4" w14:textId="253F905D" w:rsidR="7EE21CF1" w:rsidRPr="00CC59CD" w:rsidRDefault="222CEF00" w:rsidP="00ED1A1F">
      <w:pPr>
        <w:pStyle w:val="ListParagraph"/>
        <w:numPr>
          <w:ilvl w:val="0"/>
          <w:numId w:val="16"/>
        </w:numPr>
        <w:rPr>
          <w:szCs w:val="22"/>
        </w:rPr>
      </w:pPr>
      <w:r>
        <w:t>adoption of international scientific guidelines on this topic.</w:t>
      </w:r>
      <w:r w:rsidR="165697B6">
        <w:t xml:space="preserve"> </w:t>
      </w:r>
    </w:p>
    <w:p w14:paraId="5480BF2C" w14:textId="64DFAE2B" w:rsidR="7FD18833" w:rsidRPr="00EF24CD" w:rsidRDefault="009A329C" w:rsidP="006D5740">
      <w:pPr>
        <w:rPr>
          <w:rFonts w:cs="Arial"/>
          <w:szCs w:val="22"/>
        </w:rPr>
      </w:pPr>
      <w:r w:rsidRPr="00EF24CD">
        <w:rPr>
          <w:rFonts w:cs="Arial"/>
          <w:szCs w:val="22"/>
        </w:rPr>
        <w:t>We</w:t>
      </w:r>
      <w:r w:rsidR="32B419D2" w:rsidRPr="00EF24CD">
        <w:rPr>
          <w:rFonts w:cs="Arial"/>
          <w:szCs w:val="22"/>
        </w:rPr>
        <w:t xml:space="preserve"> established a central point for information about RWE and PROs on the TGA website, </w:t>
      </w:r>
      <w:r w:rsidR="0082248F" w:rsidRPr="00EF24CD">
        <w:rPr>
          <w:rFonts w:cs="Arial"/>
          <w:szCs w:val="22"/>
        </w:rPr>
        <w:t>which</w:t>
      </w:r>
      <w:r w:rsidR="32B419D2" w:rsidRPr="00EF24CD">
        <w:rPr>
          <w:rFonts w:cs="Arial"/>
          <w:szCs w:val="22"/>
        </w:rPr>
        <w:t xml:space="preserve"> is </w:t>
      </w:r>
      <w:r w:rsidR="0082248F" w:rsidRPr="00EF24CD">
        <w:rPr>
          <w:rFonts w:cs="Arial"/>
          <w:szCs w:val="22"/>
        </w:rPr>
        <w:t>being</w:t>
      </w:r>
      <w:r w:rsidR="32B419D2" w:rsidRPr="00EF24CD">
        <w:rPr>
          <w:rFonts w:cs="Arial"/>
          <w:szCs w:val="22"/>
        </w:rPr>
        <w:t xml:space="preserve"> update</w:t>
      </w:r>
      <w:r w:rsidR="0082248F" w:rsidRPr="00EF24CD">
        <w:rPr>
          <w:rFonts w:cs="Arial"/>
          <w:szCs w:val="22"/>
        </w:rPr>
        <w:t>d</w:t>
      </w:r>
      <w:r w:rsidR="32B419D2" w:rsidRPr="00EF24CD">
        <w:rPr>
          <w:rFonts w:cs="Arial"/>
          <w:szCs w:val="22"/>
        </w:rPr>
        <w:t xml:space="preserve"> to provide more robust guidance to industry on RWE. Guidance on RWE in software applications has also </w:t>
      </w:r>
      <w:r w:rsidR="0082248F" w:rsidRPr="00EF24CD">
        <w:rPr>
          <w:rFonts w:cs="Arial"/>
          <w:szCs w:val="22"/>
        </w:rPr>
        <w:t xml:space="preserve">been </w:t>
      </w:r>
      <w:r w:rsidR="32B419D2" w:rsidRPr="00EF24CD">
        <w:rPr>
          <w:rFonts w:cs="Arial"/>
          <w:szCs w:val="22"/>
        </w:rPr>
        <w:t xml:space="preserve">published on </w:t>
      </w:r>
      <w:r w:rsidR="00CF72CA">
        <w:rPr>
          <w:rFonts w:cs="Arial"/>
          <w:szCs w:val="22"/>
        </w:rPr>
        <w:t>our</w:t>
      </w:r>
      <w:r w:rsidR="32B419D2" w:rsidRPr="00EF24CD">
        <w:rPr>
          <w:rFonts w:cs="Arial"/>
          <w:szCs w:val="22"/>
        </w:rPr>
        <w:t xml:space="preserve"> website.</w:t>
      </w:r>
      <w:r w:rsidR="00933FCA" w:rsidRPr="00EF24CD">
        <w:rPr>
          <w:rFonts w:cs="Arial"/>
          <w:szCs w:val="22"/>
        </w:rPr>
        <w:t xml:space="preserve"> </w:t>
      </w:r>
      <w:r w:rsidR="00BB2681" w:rsidRPr="00EF24CD">
        <w:rPr>
          <w:rFonts w:cs="Arial"/>
          <w:szCs w:val="22"/>
        </w:rPr>
        <w:t>Further, c</w:t>
      </w:r>
      <w:r w:rsidR="32B419D2" w:rsidRPr="00EF24CD">
        <w:rPr>
          <w:rFonts w:cs="Arial"/>
          <w:szCs w:val="22"/>
        </w:rPr>
        <w:t xml:space="preserve">linical </w:t>
      </w:r>
      <w:r w:rsidR="00BB2681" w:rsidRPr="00EF24CD">
        <w:rPr>
          <w:rFonts w:cs="Arial"/>
          <w:szCs w:val="22"/>
        </w:rPr>
        <w:t>e</w:t>
      </w:r>
      <w:r w:rsidR="32B419D2" w:rsidRPr="00EF24CD">
        <w:rPr>
          <w:rFonts w:cs="Arial"/>
          <w:szCs w:val="22"/>
        </w:rPr>
        <w:t xml:space="preserve">vidence </w:t>
      </w:r>
      <w:r w:rsidR="00BB2681" w:rsidRPr="00EF24CD">
        <w:rPr>
          <w:rFonts w:cs="Arial"/>
          <w:szCs w:val="22"/>
        </w:rPr>
        <w:t>g</w:t>
      </w:r>
      <w:r w:rsidR="32B419D2" w:rsidRPr="00EF24CD">
        <w:rPr>
          <w:rFonts w:cs="Arial"/>
          <w:szCs w:val="22"/>
        </w:rPr>
        <w:t xml:space="preserve">uidelines </w:t>
      </w:r>
      <w:r w:rsidR="00933FCA" w:rsidRPr="00EF24CD">
        <w:rPr>
          <w:rFonts w:cs="Arial"/>
          <w:szCs w:val="22"/>
        </w:rPr>
        <w:t>have</w:t>
      </w:r>
      <w:r w:rsidR="00421642" w:rsidRPr="00EF24CD">
        <w:rPr>
          <w:rFonts w:cs="Arial"/>
          <w:szCs w:val="22"/>
        </w:rPr>
        <w:t xml:space="preserve"> </w:t>
      </w:r>
      <w:r w:rsidR="00933FCA" w:rsidRPr="00EF24CD">
        <w:rPr>
          <w:rFonts w:cs="Arial"/>
          <w:szCs w:val="22"/>
        </w:rPr>
        <w:t xml:space="preserve">been drafted </w:t>
      </w:r>
      <w:r w:rsidR="32B419D2" w:rsidRPr="00EF24CD">
        <w:rPr>
          <w:rFonts w:cs="Arial"/>
          <w:szCs w:val="22"/>
        </w:rPr>
        <w:t xml:space="preserve">to </w:t>
      </w:r>
      <w:r w:rsidR="23ABBCAC" w:rsidRPr="00EF24CD">
        <w:rPr>
          <w:rFonts w:cs="Arial"/>
          <w:szCs w:val="22"/>
        </w:rPr>
        <w:t>provide more detail and clarity</w:t>
      </w:r>
      <w:r w:rsidR="32B419D2" w:rsidRPr="00EF24CD">
        <w:rPr>
          <w:rFonts w:cs="Arial"/>
          <w:szCs w:val="22"/>
        </w:rPr>
        <w:t xml:space="preserve"> </w:t>
      </w:r>
      <w:r w:rsidR="0713A094" w:rsidRPr="00EF24CD">
        <w:rPr>
          <w:rFonts w:cs="Arial"/>
          <w:szCs w:val="22"/>
        </w:rPr>
        <w:t>on the types and use of RWE</w:t>
      </w:r>
      <w:r w:rsidR="004F199C">
        <w:rPr>
          <w:rFonts w:cs="Arial"/>
          <w:szCs w:val="22"/>
        </w:rPr>
        <w:t>,</w:t>
      </w:r>
      <w:r w:rsidR="32B419D2" w:rsidRPr="00EF24CD">
        <w:rPr>
          <w:rFonts w:cs="Arial"/>
          <w:szCs w:val="22"/>
        </w:rPr>
        <w:t xml:space="preserve"> better reflect</w:t>
      </w:r>
      <w:r w:rsidR="004F199C">
        <w:rPr>
          <w:rFonts w:cs="Arial"/>
          <w:szCs w:val="22"/>
        </w:rPr>
        <w:t>ing</w:t>
      </w:r>
      <w:r w:rsidR="32B419D2" w:rsidRPr="00EF24CD">
        <w:rPr>
          <w:rFonts w:cs="Arial"/>
          <w:szCs w:val="22"/>
        </w:rPr>
        <w:t xml:space="preserve"> the TGA’s assess</w:t>
      </w:r>
      <w:r w:rsidR="6F9295EB" w:rsidRPr="00EF24CD">
        <w:rPr>
          <w:rFonts w:cs="Arial"/>
          <w:szCs w:val="22"/>
        </w:rPr>
        <w:t>ment of RWE in</w:t>
      </w:r>
      <w:r w:rsidR="32B419D2" w:rsidRPr="00EF24CD">
        <w:rPr>
          <w:rFonts w:cs="Arial"/>
          <w:szCs w:val="22"/>
        </w:rPr>
        <w:t xml:space="preserve"> medical device</w:t>
      </w:r>
      <w:r w:rsidR="5F9DE18C" w:rsidRPr="00EF24CD">
        <w:rPr>
          <w:rFonts w:cs="Arial"/>
          <w:szCs w:val="22"/>
        </w:rPr>
        <w:t xml:space="preserve"> applications</w:t>
      </w:r>
      <w:r w:rsidR="32B419D2" w:rsidRPr="00EF24CD">
        <w:rPr>
          <w:rFonts w:cs="Arial"/>
          <w:szCs w:val="22"/>
        </w:rPr>
        <w:t>.</w:t>
      </w:r>
    </w:p>
    <w:p w14:paraId="7B4A750B" w14:textId="77777777" w:rsidR="00E60A49" w:rsidRDefault="00E60A49">
      <w:pPr>
        <w:spacing w:before="0" w:after="160" w:line="259" w:lineRule="auto"/>
        <w:rPr>
          <w:rFonts w:eastAsiaTheme="majorEastAsia" w:cstheme="majorBidi"/>
          <w:b/>
          <w:color w:val="305DA1" w:themeColor="accent3" w:themeShade="80"/>
          <w:sz w:val="28"/>
          <w:szCs w:val="26"/>
        </w:rPr>
      </w:pPr>
      <w:r>
        <w:br w:type="page"/>
      </w:r>
    </w:p>
    <w:p w14:paraId="0E96D496" w14:textId="705B57F6" w:rsidR="005938AF" w:rsidRPr="00933FCA" w:rsidRDefault="00E51957" w:rsidP="005938AF">
      <w:pPr>
        <w:pStyle w:val="Heading2"/>
        <w:rPr>
          <w:rFonts w:cs="Times New Roman"/>
        </w:rPr>
      </w:pPr>
      <w:bookmarkStart w:id="34" w:name="_Toc153550395"/>
      <w:r>
        <w:lastRenderedPageBreak/>
        <w:t>Vapes</w:t>
      </w:r>
      <w:bookmarkEnd w:id="34"/>
    </w:p>
    <w:p w14:paraId="4616B7F5" w14:textId="665D6C4B" w:rsidR="005938AF" w:rsidRPr="005938AF" w:rsidRDefault="005938AF" w:rsidP="0083727C">
      <w:pPr>
        <w:pStyle w:val="ListParagraph"/>
        <w:numPr>
          <w:ilvl w:val="0"/>
          <w:numId w:val="0"/>
        </w:numPr>
        <w:spacing w:after="120"/>
      </w:pPr>
      <w:r w:rsidRPr="7170241C">
        <w:rPr>
          <w:b/>
          <w:bCs/>
        </w:rPr>
        <w:t>We continue education and enforcement of prescription</w:t>
      </w:r>
      <w:r w:rsidR="00CF72CA">
        <w:rPr>
          <w:b/>
          <w:bCs/>
        </w:rPr>
        <w:t>-</w:t>
      </w:r>
      <w:r w:rsidRPr="7170241C">
        <w:rPr>
          <w:b/>
          <w:bCs/>
        </w:rPr>
        <w:t xml:space="preserve">only access to </w:t>
      </w:r>
      <w:r w:rsidR="007A58CC">
        <w:rPr>
          <w:b/>
          <w:bCs/>
        </w:rPr>
        <w:t xml:space="preserve">nicotine </w:t>
      </w:r>
      <w:r w:rsidR="001114A8">
        <w:rPr>
          <w:b/>
          <w:bCs/>
        </w:rPr>
        <w:t>vapes</w:t>
      </w:r>
      <w:r w:rsidR="007A58CC">
        <w:rPr>
          <w:b/>
          <w:bCs/>
        </w:rPr>
        <w:t>, as well as progressing the development and implementation of significant reforms to the regulation of all vapes</w:t>
      </w:r>
      <w:r w:rsidRPr="7170241C">
        <w:rPr>
          <w:b/>
          <w:bCs/>
        </w:rPr>
        <w:t>.</w:t>
      </w:r>
    </w:p>
    <w:p w14:paraId="5DB5E70D" w14:textId="2D35D6A7" w:rsidR="00FC61D0" w:rsidRDefault="284B56AD" w:rsidP="23B264BB">
      <w:r w:rsidRPr="23B264BB">
        <w:t xml:space="preserve">Regulation of </w:t>
      </w:r>
      <w:r w:rsidR="001114A8">
        <w:t>vapes, particularly those containing n</w:t>
      </w:r>
      <w:r w:rsidRPr="23B264BB">
        <w:t>icotine</w:t>
      </w:r>
      <w:r w:rsidR="001114A8">
        <w:t>,</w:t>
      </w:r>
      <w:r w:rsidRPr="23B264BB">
        <w:t xml:space="preserve"> is a concern for </w:t>
      </w:r>
      <w:r w:rsidR="00CF72CA">
        <w:t>the Australian Government</w:t>
      </w:r>
      <w:r w:rsidRPr="23B264BB">
        <w:t xml:space="preserve"> and </w:t>
      </w:r>
      <w:r w:rsidR="00CF72CA">
        <w:t xml:space="preserve">many </w:t>
      </w:r>
      <w:r w:rsidRPr="23B264BB">
        <w:t xml:space="preserve">Australians. </w:t>
      </w:r>
      <w:r w:rsidR="007B772C">
        <w:t>C</w:t>
      </w:r>
      <w:r w:rsidR="00FC61D0">
        <w:t xml:space="preserve">urrent Commonwealth laws aim to prevent children and young people taking up nicotine vapes, whilst preserving access to nicotine vapes </w:t>
      </w:r>
      <w:r w:rsidR="000D0513">
        <w:t xml:space="preserve">under medical supervision, </w:t>
      </w:r>
      <w:r w:rsidR="00FC61D0">
        <w:t>for smoking cessation</w:t>
      </w:r>
      <w:r w:rsidR="000D0513">
        <w:t xml:space="preserve"> and the treatment of nicotine dependence</w:t>
      </w:r>
      <w:r w:rsidR="000F4FA6">
        <w:t>.</w:t>
      </w:r>
      <w:r w:rsidR="00FC61D0">
        <w:t xml:space="preserve"> </w:t>
      </w:r>
    </w:p>
    <w:p w14:paraId="59821007" w14:textId="6FC68E68" w:rsidR="002E2803" w:rsidRPr="00245F82" w:rsidRDefault="1A4D5A50" w:rsidP="23B264BB">
      <w:r w:rsidRPr="23B264BB">
        <w:t>During 2022-23</w:t>
      </w:r>
      <w:r w:rsidR="00115F0C">
        <w:t>,</w:t>
      </w:r>
      <w:r w:rsidRPr="23B264BB">
        <w:t xml:space="preserve"> w</w:t>
      </w:r>
      <w:r w:rsidR="00AE3F41" w:rsidRPr="23B264BB">
        <w:t>e</w:t>
      </w:r>
      <w:r w:rsidR="002E2803" w:rsidRPr="23B264BB">
        <w:t xml:space="preserve"> sought to disrupt and address the unlawful import</w:t>
      </w:r>
      <w:r w:rsidR="00115F0C">
        <w:t>ation</w:t>
      </w:r>
      <w:r w:rsidR="002E2803" w:rsidRPr="23B264BB">
        <w:t xml:space="preserve">, </w:t>
      </w:r>
      <w:r w:rsidR="00BD1172" w:rsidRPr="23B264BB">
        <w:t>advertising,</w:t>
      </w:r>
      <w:r w:rsidR="002E2803" w:rsidRPr="23B264BB">
        <w:t xml:space="preserve"> and supply of </w:t>
      </w:r>
      <w:r w:rsidR="00B27042">
        <w:t xml:space="preserve">nicotine </w:t>
      </w:r>
      <w:r w:rsidR="00A940DD">
        <w:t xml:space="preserve">vapes </w:t>
      </w:r>
      <w:r w:rsidR="002E2803" w:rsidRPr="23B264BB">
        <w:t>by:</w:t>
      </w:r>
    </w:p>
    <w:p w14:paraId="7E377AD6" w14:textId="28035055" w:rsidR="00CC59CD" w:rsidRPr="004A7F3A" w:rsidRDefault="5F61D622" w:rsidP="00ED1A1F">
      <w:pPr>
        <w:pStyle w:val="ListParagraph"/>
        <w:numPr>
          <w:ilvl w:val="0"/>
          <w:numId w:val="17"/>
        </w:numPr>
      </w:pPr>
      <w:r>
        <w:t xml:space="preserve">gathering and using intelligence to identify </w:t>
      </w:r>
      <w:r w:rsidR="02BB6E07">
        <w:t>non-compliance</w:t>
      </w:r>
    </w:p>
    <w:p w14:paraId="1B5D4834" w14:textId="1EB91DF7" w:rsidR="00CC59CD" w:rsidRPr="004A7F3A" w:rsidRDefault="5F61D622" w:rsidP="00ED1A1F">
      <w:pPr>
        <w:pStyle w:val="ListParagraph"/>
        <w:numPr>
          <w:ilvl w:val="0"/>
          <w:numId w:val="17"/>
        </w:numPr>
      </w:pPr>
      <w:r>
        <w:t>collaborating with other health and law enforcement agencies to increasingly target and address unlawful import</w:t>
      </w:r>
      <w:r w:rsidR="00115F0C">
        <w:t>ation</w:t>
      </w:r>
      <w:r>
        <w:t xml:space="preserve"> and supply</w:t>
      </w:r>
    </w:p>
    <w:p w14:paraId="5FB4190E" w14:textId="449875CC" w:rsidR="002E2803" w:rsidRPr="004A7F3A" w:rsidRDefault="5F61D622" w:rsidP="00ED1A1F">
      <w:pPr>
        <w:pStyle w:val="ListParagraph"/>
        <w:numPr>
          <w:ilvl w:val="0"/>
          <w:numId w:val="17"/>
        </w:numPr>
      </w:pPr>
      <w:r>
        <w:t>taking enforcement action in relation to unlawful advertising of nicotine vaping products to Australians</w:t>
      </w:r>
      <w:r w:rsidR="00115F0C">
        <w:t>.</w:t>
      </w:r>
    </w:p>
    <w:p w14:paraId="41A0D226" w14:textId="5286CCCC" w:rsidR="00D6581B" w:rsidRDefault="005B6992" w:rsidP="00D6581B">
      <w:pPr>
        <w:rPr>
          <w:rFonts w:cs="Arial"/>
        </w:rPr>
      </w:pPr>
      <w:r w:rsidRPr="23B264BB">
        <w:rPr>
          <w:rFonts w:eastAsia="Calibri" w:cs="Arial"/>
        </w:rPr>
        <w:t>We</w:t>
      </w:r>
      <w:r w:rsidR="5B9A3C04" w:rsidRPr="23B264BB">
        <w:rPr>
          <w:rFonts w:eastAsia="Calibri" w:cs="Arial"/>
        </w:rPr>
        <w:t xml:space="preserve"> </w:t>
      </w:r>
      <w:r w:rsidR="008B0F2E" w:rsidRPr="23B264BB">
        <w:rPr>
          <w:rFonts w:eastAsia="Calibri" w:cs="Arial"/>
        </w:rPr>
        <w:t>conducted</w:t>
      </w:r>
      <w:r w:rsidR="00A40A5E" w:rsidRPr="23B264BB">
        <w:rPr>
          <w:rFonts w:eastAsia="Calibri" w:cs="Arial"/>
        </w:rPr>
        <w:t xml:space="preserve"> over </w:t>
      </w:r>
      <w:r w:rsidRPr="23B264BB">
        <w:rPr>
          <w:rFonts w:cs="Arial"/>
        </w:rPr>
        <w:t>1</w:t>
      </w:r>
      <w:r w:rsidR="00CF72CA">
        <w:rPr>
          <w:rFonts w:cs="Arial"/>
        </w:rPr>
        <w:t>,</w:t>
      </w:r>
      <w:r w:rsidRPr="23B264BB">
        <w:rPr>
          <w:rFonts w:cs="Arial"/>
        </w:rPr>
        <w:t>500 investigation</w:t>
      </w:r>
      <w:r w:rsidR="003D52D9" w:rsidRPr="23B264BB">
        <w:rPr>
          <w:rFonts w:cs="Arial"/>
        </w:rPr>
        <w:t>s of non-compliance</w:t>
      </w:r>
      <w:r w:rsidR="00A40A5E" w:rsidRPr="23B264BB">
        <w:rPr>
          <w:rFonts w:cs="Arial"/>
        </w:rPr>
        <w:t>,</w:t>
      </w:r>
      <w:r w:rsidR="00D74594" w:rsidRPr="23B264BB">
        <w:rPr>
          <w:rFonts w:cs="Arial"/>
        </w:rPr>
        <w:t xml:space="preserve"> with </w:t>
      </w:r>
      <w:r w:rsidR="008B0F2E" w:rsidRPr="23B264BB">
        <w:rPr>
          <w:rFonts w:cs="Arial"/>
        </w:rPr>
        <w:t>a variety of</w:t>
      </w:r>
      <w:r w:rsidR="00D74594" w:rsidRPr="23B264BB">
        <w:rPr>
          <w:rFonts w:cs="Arial"/>
        </w:rPr>
        <w:t xml:space="preserve"> enforcement actions taken</w:t>
      </w:r>
      <w:r w:rsidR="00D9478A" w:rsidRPr="23B264BB">
        <w:rPr>
          <w:rFonts w:cs="Arial"/>
        </w:rPr>
        <w:t xml:space="preserve">. Over </w:t>
      </w:r>
      <w:r w:rsidR="00C6240B" w:rsidRPr="23B264BB">
        <w:rPr>
          <w:rFonts w:cs="Arial"/>
        </w:rPr>
        <w:t xml:space="preserve">1 million products </w:t>
      </w:r>
      <w:r w:rsidR="00D86BE9" w:rsidRPr="23B264BB">
        <w:rPr>
          <w:rFonts w:cs="Arial"/>
        </w:rPr>
        <w:t xml:space="preserve">were </w:t>
      </w:r>
      <w:r w:rsidR="00C6240B" w:rsidRPr="23B264BB">
        <w:rPr>
          <w:rFonts w:cs="Arial"/>
        </w:rPr>
        <w:t xml:space="preserve">seized or </w:t>
      </w:r>
      <w:r w:rsidR="00422948" w:rsidRPr="23B264BB">
        <w:rPr>
          <w:rFonts w:cs="Arial"/>
        </w:rPr>
        <w:t>surrendered</w:t>
      </w:r>
      <w:r w:rsidR="00D50204" w:rsidRPr="23B264BB">
        <w:rPr>
          <w:rFonts w:cs="Arial"/>
        </w:rPr>
        <w:t xml:space="preserve"> to authorities</w:t>
      </w:r>
      <w:r w:rsidR="00D9478A" w:rsidRPr="23B264BB">
        <w:rPr>
          <w:rFonts w:cs="Arial"/>
        </w:rPr>
        <w:t xml:space="preserve"> and </w:t>
      </w:r>
      <w:r w:rsidR="001D5220" w:rsidRPr="23B264BB">
        <w:rPr>
          <w:rFonts w:cs="Arial"/>
        </w:rPr>
        <w:t xml:space="preserve">over </w:t>
      </w:r>
      <w:r w:rsidR="00B819F7" w:rsidRPr="23B264BB">
        <w:rPr>
          <w:rFonts w:cs="Arial"/>
        </w:rPr>
        <w:t xml:space="preserve">100 </w:t>
      </w:r>
      <w:r w:rsidR="00422948" w:rsidRPr="23B264BB">
        <w:rPr>
          <w:rFonts w:cs="Arial"/>
        </w:rPr>
        <w:t>infringement</w:t>
      </w:r>
      <w:r w:rsidR="00B819F7" w:rsidRPr="23B264BB">
        <w:rPr>
          <w:rFonts w:cs="Arial"/>
        </w:rPr>
        <w:t xml:space="preserve"> notices</w:t>
      </w:r>
      <w:r w:rsidR="0085364D" w:rsidRPr="23B264BB">
        <w:rPr>
          <w:rFonts w:cs="Arial"/>
        </w:rPr>
        <w:t xml:space="preserve"> </w:t>
      </w:r>
      <w:r w:rsidR="00D9478A" w:rsidRPr="23B264BB">
        <w:rPr>
          <w:rFonts w:cs="Arial"/>
        </w:rPr>
        <w:t xml:space="preserve">were </w:t>
      </w:r>
      <w:r w:rsidR="0085364D" w:rsidRPr="23B264BB">
        <w:rPr>
          <w:rFonts w:cs="Arial"/>
        </w:rPr>
        <w:t>issued</w:t>
      </w:r>
      <w:r w:rsidR="00D9478A" w:rsidRPr="23B264BB">
        <w:rPr>
          <w:rFonts w:cs="Arial"/>
        </w:rPr>
        <w:t xml:space="preserve">. We also </w:t>
      </w:r>
      <w:r w:rsidR="00245F82" w:rsidRPr="23B264BB">
        <w:rPr>
          <w:rFonts w:cs="Arial"/>
        </w:rPr>
        <w:t>commence</w:t>
      </w:r>
      <w:r w:rsidR="004E77E0" w:rsidRPr="23B264BB">
        <w:rPr>
          <w:rFonts w:cs="Arial"/>
        </w:rPr>
        <w:t>d two</w:t>
      </w:r>
      <w:r w:rsidR="00C85676" w:rsidRPr="23B264BB">
        <w:rPr>
          <w:rFonts w:cs="Arial"/>
        </w:rPr>
        <w:t xml:space="preserve"> c</w:t>
      </w:r>
      <w:r w:rsidR="000A4478" w:rsidRPr="23B264BB">
        <w:rPr>
          <w:rFonts w:cs="Arial"/>
        </w:rPr>
        <w:t xml:space="preserve">ivil penalty proceedings </w:t>
      </w:r>
      <w:r w:rsidR="00245F82" w:rsidRPr="23B264BB">
        <w:rPr>
          <w:rFonts w:cs="Arial"/>
        </w:rPr>
        <w:t>in relation to</w:t>
      </w:r>
      <w:r w:rsidR="00B77CCA" w:rsidRPr="23B264BB">
        <w:rPr>
          <w:rFonts w:cs="Arial"/>
        </w:rPr>
        <w:t xml:space="preserve"> </w:t>
      </w:r>
      <w:r w:rsidR="00422948" w:rsidRPr="23B264BB">
        <w:rPr>
          <w:rFonts w:cs="Arial"/>
        </w:rPr>
        <w:t>unlawful advertising</w:t>
      </w:r>
      <w:r w:rsidR="00D6581B">
        <w:rPr>
          <w:rFonts w:cs="Arial"/>
        </w:rPr>
        <w:t xml:space="preserve">. </w:t>
      </w:r>
    </w:p>
    <w:p w14:paraId="255066E0" w14:textId="4B159E1C" w:rsidR="00D6581B" w:rsidRPr="00D6581B" w:rsidRDefault="00FC61D0" w:rsidP="00D6581B">
      <w:pPr>
        <w:rPr>
          <w:rFonts w:eastAsia="Calibri" w:cs="Arial"/>
        </w:rPr>
      </w:pPr>
      <w:r w:rsidRPr="00D6581B">
        <w:rPr>
          <w:rFonts w:eastAsia="Calibri" w:cs="Arial"/>
        </w:rPr>
        <w:t xml:space="preserve">However, vape use is increasing in the community, especially among young people. </w:t>
      </w:r>
      <w:r w:rsidR="0059496F" w:rsidRPr="00D6581B">
        <w:rPr>
          <w:rFonts w:eastAsia="Calibri" w:cs="Arial"/>
        </w:rPr>
        <w:t xml:space="preserve">We undertook a significant consultation on potential regulatory reforms to address this issue between 30 November 2022 and 16 January 2023, receiving almost 4,000 submissions. We received strong support for strengthening regulatory controls on </w:t>
      </w:r>
      <w:r w:rsidR="000F4FA6" w:rsidRPr="00D6581B">
        <w:rPr>
          <w:rFonts w:eastAsia="Calibri" w:cs="Arial"/>
        </w:rPr>
        <w:t xml:space="preserve">all </w:t>
      </w:r>
      <w:r w:rsidR="0059496F" w:rsidRPr="00D6581B">
        <w:rPr>
          <w:rFonts w:eastAsia="Calibri" w:cs="Arial"/>
        </w:rPr>
        <w:t xml:space="preserve">vapes. </w:t>
      </w:r>
      <w:r w:rsidR="006F44DF" w:rsidRPr="00D6581B">
        <w:rPr>
          <w:rFonts w:eastAsia="Calibri" w:cs="Arial"/>
        </w:rPr>
        <w:t>On 2 May 2023, f</w:t>
      </w:r>
      <w:r w:rsidR="0059496F" w:rsidRPr="00D6581B">
        <w:rPr>
          <w:rFonts w:eastAsia="Calibri" w:cs="Arial"/>
        </w:rPr>
        <w:t>ollowing consideration of the consultation feedback, the Minister for Health and Age</w:t>
      </w:r>
      <w:r w:rsidR="006F44DF" w:rsidRPr="00D6581B">
        <w:rPr>
          <w:rFonts w:eastAsia="Calibri" w:cs="Arial"/>
        </w:rPr>
        <w:t>d Care</w:t>
      </w:r>
      <w:r w:rsidR="0059496F" w:rsidRPr="00D6581B">
        <w:rPr>
          <w:rFonts w:eastAsia="Calibri" w:cs="Arial"/>
        </w:rPr>
        <w:t xml:space="preserve"> announced an intention to strengthen the regulat</w:t>
      </w:r>
      <w:r w:rsidR="006F44DF" w:rsidRPr="00D6581B">
        <w:rPr>
          <w:rFonts w:eastAsia="Calibri" w:cs="Arial"/>
        </w:rPr>
        <w:t xml:space="preserve">ory requirements for </w:t>
      </w:r>
      <w:r w:rsidR="0059496F" w:rsidRPr="00D6581B">
        <w:rPr>
          <w:rFonts w:eastAsia="Calibri" w:cs="Arial"/>
        </w:rPr>
        <w:t xml:space="preserve">all vapes. We progressed consideration of the reforms over the remainder of 2022-23 and </w:t>
      </w:r>
      <w:r w:rsidR="006F44DF" w:rsidRPr="00D6581B">
        <w:rPr>
          <w:rFonts w:eastAsia="Calibri" w:cs="Arial"/>
        </w:rPr>
        <w:t xml:space="preserve">this work will continue </w:t>
      </w:r>
      <w:r w:rsidR="00CF72CA">
        <w:rPr>
          <w:rFonts w:eastAsia="Calibri" w:cs="Arial"/>
        </w:rPr>
        <w:t>in</w:t>
      </w:r>
      <w:r w:rsidR="00CF72CA" w:rsidRPr="00D6581B">
        <w:rPr>
          <w:rFonts w:eastAsia="Calibri" w:cs="Arial"/>
        </w:rPr>
        <w:t xml:space="preserve"> </w:t>
      </w:r>
      <w:r w:rsidR="0059496F" w:rsidRPr="00D6581B">
        <w:rPr>
          <w:rFonts w:eastAsia="Calibri" w:cs="Arial"/>
        </w:rPr>
        <w:t xml:space="preserve">2023-24. </w:t>
      </w:r>
    </w:p>
    <w:p w14:paraId="58DB8A4D" w14:textId="067A8517" w:rsidR="005954A3" w:rsidRPr="005954A3" w:rsidRDefault="1EA065E7" w:rsidP="6CD30380">
      <w:pPr>
        <w:pStyle w:val="Heading2"/>
        <w:rPr>
          <w:rFonts w:cs="Times New Roman"/>
          <w:sz w:val="20"/>
          <w:szCs w:val="20"/>
        </w:rPr>
      </w:pPr>
      <w:bookmarkStart w:id="35" w:name="_Toc153550396"/>
      <w:r>
        <w:t>Paracetamol access</w:t>
      </w:r>
      <w:bookmarkEnd w:id="35"/>
    </w:p>
    <w:p w14:paraId="7CAB01A5" w14:textId="1DF1936B" w:rsidR="008035E9" w:rsidRPr="001515DB" w:rsidRDefault="00284D28" w:rsidP="0083727C">
      <w:pPr>
        <w:pStyle w:val="ListParagraph"/>
        <w:numPr>
          <w:ilvl w:val="0"/>
          <w:numId w:val="0"/>
        </w:numPr>
        <w:rPr>
          <w:b/>
          <w:bCs/>
        </w:rPr>
      </w:pPr>
      <w:r w:rsidRPr="7170241C">
        <w:rPr>
          <w:b/>
          <w:bCs/>
        </w:rPr>
        <w:t xml:space="preserve">We </w:t>
      </w:r>
      <w:r w:rsidR="7CCFB447" w:rsidRPr="7170241C">
        <w:rPr>
          <w:b/>
          <w:bCs/>
        </w:rPr>
        <w:t>will introduce revised</w:t>
      </w:r>
      <w:r w:rsidR="00B94BC0" w:rsidRPr="7170241C">
        <w:rPr>
          <w:b/>
          <w:bCs/>
        </w:rPr>
        <w:t xml:space="preserve"> access controls on paracetamol, in</w:t>
      </w:r>
      <w:r w:rsidR="00CF72CA">
        <w:rPr>
          <w:b/>
          <w:bCs/>
        </w:rPr>
        <w:t xml:space="preserve"> </w:t>
      </w:r>
      <w:r w:rsidR="00B94BC0" w:rsidRPr="7170241C">
        <w:rPr>
          <w:b/>
          <w:bCs/>
        </w:rPr>
        <w:t>light of several recent overdose deaths.</w:t>
      </w:r>
    </w:p>
    <w:p w14:paraId="07D4B9FE" w14:textId="2F9E3916" w:rsidR="00D34A6C" w:rsidRPr="00B70D4F" w:rsidRDefault="00D34A6C" w:rsidP="001515DB">
      <w:r>
        <w:t xml:space="preserve">Following concerns relating to the number of poisoning and deliberate overdoses of </w:t>
      </w:r>
      <w:r w:rsidR="00385277">
        <w:t>p</w:t>
      </w:r>
      <w:r>
        <w:t xml:space="preserve">aracetamol obtained from general retail outlets, we commissioned an independent expert report to investigate whether access restrictions were appropriate. The report, published on 14 September 2022, investigated the risks of intentional self-poisoning and found an increasing incidence, particularly </w:t>
      </w:r>
      <w:r w:rsidRPr="23B264BB">
        <w:rPr>
          <w:rFonts w:cstheme="minorBidi"/>
        </w:rPr>
        <w:t>among</w:t>
      </w:r>
      <w:r>
        <w:t xml:space="preserve"> adolescent females, with approximately 50 deaths per year.</w:t>
      </w:r>
    </w:p>
    <w:p w14:paraId="11789FEC" w14:textId="55A6850B" w:rsidR="00FD470D" w:rsidRDefault="00FD470D" w:rsidP="006D5740">
      <w:r>
        <w:t>On 3 May 2023, following 2 public consultation rounds, a final scheduling decision was published on the TGA website to reduce the maximum size of packs available for general sale (</w:t>
      </w:r>
      <w:r w:rsidR="00CC59CD">
        <w:t>for example, in</w:t>
      </w:r>
      <w:r>
        <w:t xml:space="preserve"> supermarkets and convenience stores) and in pharmacies without the supervision of a pharmacist (Schedule 2 ‘Pharmacy medicine</w:t>
      </w:r>
      <w:r w:rsidR="50C45FB9">
        <w:t>’</w:t>
      </w:r>
      <w:r>
        <w:t>), with</w:t>
      </w:r>
      <w:r w:rsidR="001A7D82">
        <w:t xml:space="preserve"> additional</w:t>
      </w:r>
      <w:r>
        <w:t xml:space="preserve"> requirements for blister packaging. Larger pack sizes will </w:t>
      </w:r>
      <w:r w:rsidR="00D34A6C">
        <w:t xml:space="preserve">now </w:t>
      </w:r>
      <w:r w:rsidR="001A7D82">
        <w:t xml:space="preserve">only </w:t>
      </w:r>
      <w:r>
        <w:t>be available under the supervision of a pharmacist</w:t>
      </w:r>
      <w:r w:rsidR="00A5077A">
        <w:t xml:space="preserve">, as a </w:t>
      </w:r>
      <w:r>
        <w:t>Schedule 3 ‘Pharmacy Only’ medicine.</w:t>
      </w:r>
    </w:p>
    <w:p w14:paraId="4A325264" w14:textId="03C3FAE7" w:rsidR="00FD470D" w:rsidRDefault="00FD470D" w:rsidP="23B264BB">
      <w:pPr>
        <w:rPr>
          <w:rFonts w:cstheme="minorBidi"/>
        </w:rPr>
      </w:pPr>
      <w:r w:rsidRPr="23B264BB">
        <w:rPr>
          <w:rFonts w:cstheme="minorBidi"/>
        </w:rPr>
        <w:lastRenderedPageBreak/>
        <w:t xml:space="preserve">The decision strikes a balance between minimising the incidence </w:t>
      </w:r>
      <w:r w:rsidR="001A7D82" w:rsidRPr="23B264BB">
        <w:rPr>
          <w:rFonts w:cstheme="minorBidi"/>
        </w:rPr>
        <w:t>of harm</w:t>
      </w:r>
      <w:r w:rsidRPr="23B264BB">
        <w:rPr>
          <w:rFonts w:cstheme="minorBidi"/>
        </w:rPr>
        <w:t xml:space="preserve"> from intentional paracetamol self-poisoning</w:t>
      </w:r>
      <w:r w:rsidR="009B134F">
        <w:rPr>
          <w:rFonts w:cstheme="minorBidi"/>
        </w:rPr>
        <w:t>,</w:t>
      </w:r>
      <w:r w:rsidRPr="23B264BB">
        <w:rPr>
          <w:rFonts w:cstheme="minorBidi"/>
        </w:rPr>
        <w:t xml:space="preserve"> and maintaining appropriate access to paracetamol for </w:t>
      </w:r>
      <w:r w:rsidR="009B134F">
        <w:rPr>
          <w:rFonts w:cstheme="minorBidi"/>
        </w:rPr>
        <w:t>symptom relief</w:t>
      </w:r>
      <w:r w:rsidRPr="23B264BB">
        <w:rPr>
          <w:rFonts w:cstheme="minorBidi"/>
        </w:rPr>
        <w:t>.</w:t>
      </w:r>
      <w:r w:rsidR="003C2006" w:rsidRPr="23B264BB">
        <w:rPr>
          <w:rFonts w:cstheme="minorBidi"/>
        </w:rPr>
        <w:t xml:space="preserve"> </w:t>
      </w:r>
      <w:r w:rsidRPr="23B264BB">
        <w:rPr>
          <w:rFonts w:cstheme="minorBidi"/>
        </w:rPr>
        <w:t>The changes will come into effect on 1 February 2025, allowing sufficient time for the industry to make the required changes to the labelling and packaging of paracetamol products</w:t>
      </w:r>
      <w:r w:rsidR="00707532" w:rsidRPr="23B264BB">
        <w:rPr>
          <w:rFonts w:cstheme="minorBidi"/>
        </w:rPr>
        <w:t>.</w:t>
      </w:r>
    </w:p>
    <w:p w14:paraId="788C6A27" w14:textId="42BE9BFF" w:rsidR="00BD3D59" w:rsidRDefault="6B5ABFBE" w:rsidP="00DD4691">
      <w:pPr>
        <w:pStyle w:val="Heading2"/>
      </w:pPr>
      <w:bookmarkStart w:id="36" w:name="_Toc153550397"/>
      <w:r>
        <w:t>Recall reforms</w:t>
      </w:r>
      <w:bookmarkEnd w:id="36"/>
    </w:p>
    <w:p w14:paraId="72E66B96" w14:textId="25735A62" w:rsidR="008035E9" w:rsidRPr="006A269B" w:rsidRDefault="00851458" w:rsidP="0083727C">
      <w:pPr>
        <w:pStyle w:val="ListParagraph"/>
        <w:numPr>
          <w:ilvl w:val="0"/>
          <w:numId w:val="0"/>
        </w:numPr>
        <w:rPr>
          <w:b/>
          <w:bCs/>
          <w:szCs w:val="22"/>
        </w:rPr>
      </w:pPr>
      <w:r w:rsidRPr="7170241C">
        <w:rPr>
          <w:b/>
          <w:bCs/>
        </w:rPr>
        <w:t xml:space="preserve">We </w:t>
      </w:r>
      <w:r w:rsidR="0027084B" w:rsidRPr="7170241C">
        <w:rPr>
          <w:b/>
          <w:bCs/>
        </w:rPr>
        <w:t>c</w:t>
      </w:r>
      <w:r w:rsidR="00B94BC0" w:rsidRPr="7170241C">
        <w:rPr>
          <w:b/>
          <w:bCs/>
        </w:rPr>
        <w:t>ontinu</w:t>
      </w:r>
      <w:r w:rsidRPr="7170241C">
        <w:rPr>
          <w:b/>
          <w:bCs/>
        </w:rPr>
        <w:t>e</w:t>
      </w:r>
      <w:r w:rsidR="00B94BC0" w:rsidRPr="7170241C">
        <w:rPr>
          <w:b/>
          <w:bCs/>
        </w:rPr>
        <w:t xml:space="preserve"> the design and implementation of reforms to improve recall actions for all therapeutic goods.</w:t>
      </w:r>
    </w:p>
    <w:p w14:paraId="08A540DD" w14:textId="76AEE256" w:rsidR="005C2519" w:rsidRPr="006A269B" w:rsidRDefault="009179BB" w:rsidP="006D5740">
      <w:r>
        <w:t xml:space="preserve">During 2022-23, </w:t>
      </w:r>
      <w:r w:rsidR="00FB01F1">
        <w:t>we</w:t>
      </w:r>
      <w:r w:rsidR="001B2395">
        <w:t xml:space="preserve"> </w:t>
      </w:r>
      <w:r w:rsidR="16EA511D">
        <w:t>continued</w:t>
      </w:r>
      <w:r w:rsidR="00211066">
        <w:t xml:space="preserve"> to </w:t>
      </w:r>
      <w:r w:rsidR="001B2395">
        <w:t>build on</w:t>
      </w:r>
      <w:r w:rsidR="006F27AA">
        <w:t xml:space="preserve"> </w:t>
      </w:r>
      <w:r w:rsidR="001B2395">
        <w:t>previous discovery activities</w:t>
      </w:r>
      <w:r w:rsidR="00FB01F1">
        <w:t xml:space="preserve"> by </w:t>
      </w:r>
      <w:r w:rsidR="00D1387D">
        <w:t>undertaking</w:t>
      </w:r>
      <w:r w:rsidR="006F27AA">
        <w:t xml:space="preserve"> </w:t>
      </w:r>
      <w:r w:rsidR="001B2395">
        <w:t>extensive consultation with</w:t>
      </w:r>
      <w:r w:rsidR="00D1387D">
        <w:t xml:space="preserve"> </w:t>
      </w:r>
      <w:r w:rsidR="001B2395">
        <w:t xml:space="preserve">state and territory </w:t>
      </w:r>
      <w:r w:rsidR="00D1387D">
        <w:t xml:space="preserve">governments, </w:t>
      </w:r>
      <w:r w:rsidR="001B2395">
        <w:t>peak industry associations</w:t>
      </w:r>
      <w:r w:rsidR="00D1387D">
        <w:t xml:space="preserve">, </w:t>
      </w:r>
      <w:r w:rsidR="001B2395">
        <w:t>individual sponsors</w:t>
      </w:r>
      <w:r w:rsidR="00D1387D">
        <w:t xml:space="preserve">, </w:t>
      </w:r>
      <w:r w:rsidR="001B2395">
        <w:t>consumer groups</w:t>
      </w:r>
      <w:r w:rsidR="00D1387D">
        <w:t xml:space="preserve"> and </w:t>
      </w:r>
      <w:r w:rsidR="001B2395">
        <w:t>health</w:t>
      </w:r>
      <w:r w:rsidR="00CC59CD">
        <w:t xml:space="preserve"> </w:t>
      </w:r>
      <w:r w:rsidR="001B2395">
        <w:t>care professionals</w:t>
      </w:r>
      <w:r w:rsidR="00F31A31">
        <w:t>,</w:t>
      </w:r>
      <w:r w:rsidR="00215442">
        <w:t xml:space="preserve"> to develop </w:t>
      </w:r>
      <w:r w:rsidR="007E441A">
        <w:t>purposeful recall reforms</w:t>
      </w:r>
      <w:r w:rsidR="001B2395">
        <w:t>.</w:t>
      </w:r>
      <w:r w:rsidR="007E441A">
        <w:t xml:space="preserve"> </w:t>
      </w:r>
      <w:r w:rsidR="001B2395">
        <w:t xml:space="preserve">The feedback received on our current processes informed a discussion paper and </w:t>
      </w:r>
      <w:r w:rsidR="001558A4">
        <w:t xml:space="preserve">identified </w:t>
      </w:r>
      <w:r w:rsidR="001B2395">
        <w:t>a number of reforms</w:t>
      </w:r>
      <w:r w:rsidR="001558A4">
        <w:t xml:space="preserve"> to pursue</w:t>
      </w:r>
      <w:r w:rsidR="001B2395">
        <w:t>.</w:t>
      </w:r>
    </w:p>
    <w:p w14:paraId="71A849DB" w14:textId="63790848" w:rsidR="00052AEE" w:rsidRPr="006A269B" w:rsidRDefault="009A3A1F" w:rsidP="003A00F0">
      <w:r>
        <w:t xml:space="preserve">The </w:t>
      </w:r>
      <w:hyperlink r:id="rId30">
        <w:r w:rsidRPr="7928109B">
          <w:rPr>
            <w:rStyle w:val="Hyperlink"/>
            <w:i/>
            <w:iCs/>
          </w:rPr>
          <w:t>Therapeutic Goods Recall Processes – Discussion Paper</w:t>
        </w:r>
      </w:hyperlink>
      <w:r w:rsidR="001E6885">
        <w:t>,</w:t>
      </w:r>
      <w:r>
        <w:t xml:space="preserve"> published in February 2023</w:t>
      </w:r>
      <w:r w:rsidR="001E6885">
        <w:t>,</w:t>
      </w:r>
      <w:r>
        <w:t xml:space="preserve"> set</w:t>
      </w:r>
      <w:r w:rsidR="00567161">
        <w:t>s</w:t>
      </w:r>
      <w:r>
        <w:t xml:space="preserve"> out potential changes to how product recalls </w:t>
      </w:r>
      <w:r w:rsidR="2E44EBD1">
        <w:t xml:space="preserve">are managed </w:t>
      </w:r>
      <w:r>
        <w:t>in Australia.</w:t>
      </w:r>
      <w:r w:rsidR="00631B6D">
        <w:t xml:space="preserve"> The process improvements </w:t>
      </w:r>
      <w:r w:rsidR="00855E98">
        <w:t>aim</w:t>
      </w:r>
      <w:r w:rsidR="00F34CAD">
        <w:t xml:space="preserve"> to</w:t>
      </w:r>
      <w:r w:rsidR="003A00F0">
        <w:t xml:space="preserve"> </w:t>
      </w:r>
      <w:r w:rsidR="00902BC5">
        <w:t>i</w:t>
      </w:r>
      <w:r w:rsidR="00052AEE">
        <w:t xml:space="preserve">ncrease awareness and understanding of recall </w:t>
      </w:r>
      <w:r w:rsidR="00BA39B0">
        <w:t>information</w:t>
      </w:r>
      <w:r w:rsidR="003A00F0">
        <w:t xml:space="preserve"> and </w:t>
      </w:r>
      <w:r w:rsidR="00A1680F">
        <w:t>adopt clearer</w:t>
      </w:r>
      <w:r w:rsidR="009861D3">
        <w:t xml:space="preserve"> recall </w:t>
      </w:r>
      <w:r w:rsidR="00E0461E">
        <w:t>terminology</w:t>
      </w:r>
      <w:r w:rsidR="003A00F0">
        <w:t xml:space="preserve">. </w:t>
      </w:r>
      <w:r w:rsidR="000E0EE6">
        <w:t>A</w:t>
      </w:r>
      <w:r w:rsidR="00E46EBA">
        <w:t>dditio</w:t>
      </w:r>
      <w:r w:rsidR="000E0EE6">
        <w:t>nally</w:t>
      </w:r>
      <w:r w:rsidR="00E46EBA">
        <w:t>,</w:t>
      </w:r>
      <w:r w:rsidR="008541A8">
        <w:t xml:space="preserve"> more efficient</w:t>
      </w:r>
      <w:r w:rsidR="00052AEE">
        <w:t xml:space="preserve"> sponsor reporting timelines </w:t>
      </w:r>
      <w:r w:rsidR="003E1D18">
        <w:t>will be developed along</w:t>
      </w:r>
      <w:r w:rsidR="00F035E0">
        <w:t xml:space="preserve">side </w:t>
      </w:r>
      <w:r w:rsidR="003E1D18">
        <w:t>processe</w:t>
      </w:r>
      <w:r w:rsidR="00E46EBA">
        <w:t>s</w:t>
      </w:r>
      <w:r w:rsidR="003E1D18">
        <w:t xml:space="preserve"> aimed at reducing</w:t>
      </w:r>
      <w:r w:rsidR="00052AEE">
        <w:t xml:space="preserve"> regulatory </w:t>
      </w:r>
      <w:r w:rsidR="00FD4883">
        <w:t>burden</w:t>
      </w:r>
      <w:r w:rsidR="00E46EBA">
        <w:t>.</w:t>
      </w:r>
    </w:p>
    <w:p w14:paraId="44D1C680" w14:textId="2B642679" w:rsidR="001B2395" w:rsidRPr="006A269B" w:rsidRDefault="008541A8" w:rsidP="001515DB">
      <w:r>
        <w:t xml:space="preserve">The discussion paper also canvassed the review of the TGA’s existing </w:t>
      </w:r>
      <w:r w:rsidR="0986EBCC">
        <w:t>legislative</w:t>
      </w:r>
      <w:r>
        <w:t xml:space="preserve"> powers relevant to recalls and </w:t>
      </w:r>
      <w:r w:rsidR="00A57774">
        <w:t xml:space="preserve">how </w:t>
      </w:r>
      <w:r>
        <w:t>greater transparency</w:t>
      </w:r>
      <w:r w:rsidR="00A57774">
        <w:t xml:space="preserve"> can be </w:t>
      </w:r>
      <w:r w:rsidR="007C3DE1">
        <w:t>created</w:t>
      </w:r>
      <w:r>
        <w:t xml:space="preserve"> throughout the supply chain.</w:t>
      </w:r>
      <w:r w:rsidR="007C3DE1">
        <w:t xml:space="preserve"> </w:t>
      </w:r>
      <w:r w:rsidR="001B2395">
        <w:t xml:space="preserve">Approximately 70 submissions were received in response to the </w:t>
      </w:r>
      <w:r w:rsidR="00CC59CD">
        <w:t>6-</w:t>
      </w:r>
      <w:r w:rsidR="005A247B">
        <w:t>week</w:t>
      </w:r>
      <w:r w:rsidR="001B2395">
        <w:t xml:space="preserve"> public </w:t>
      </w:r>
      <w:r w:rsidR="005A247B">
        <w:t>consultation</w:t>
      </w:r>
      <w:r w:rsidR="00674810">
        <w:t xml:space="preserve">. These </w:t>
      </w:r>
      <w:r w:rsidR="00256512">
        <w:t>responses will inform the development</w:t>
      </w:r>
      <w:r w:rsidR="00E23CEA">
        <w:t xml:space="preserve"> of</w:t>
      </w:r>
      <w:r w:rsidR="00256512">
        <w:t xml:space="preserve"> </w:t>
      </w:r>
      <w:r w:rsidR="00AD03F0">
        <w:t xml:space="preserve">the policy approach and legislative changes required to </w:t>
      </w:r>
      <w:r w:rsidR="009854DC">
        <w:t>continue the reforms in</w:t>
      </w:r>
      <w:r w:rsidR="001B2395">
        <w:t xml:space="preserve"> 2023-24.</w:t>
      </w:r>
    </w:p>
    <w:p w14:paraId="7E387BB8" w14:textId="1E46B28C" w:rsidR="003E759F" w:rsidRPr="001B2395" w:rsidRDefault="5F515FE8" w:rsidP="00DD4691">
      <w:pPr>
        <w:pStyle w:val="Heading2"/>
      </w:pPr>
      <w:bookmarkStart w:id="37" w:name="_Toc153550398"/>
      <w:r>
        <w:t>Scheduling of cosmetics and fragrances</w:t>
      </w:r>
      <w:bookmarkEnd w:id="37"/>
    </w:p>
    <w:p w14:paraId="1202A36E" w14:textId="1F3B522F" w:rsidR="00B94BC0" w:rsidRPr="006A269B" w:rsidRDefault="007316B3" w:rsidP="008B2B37">
      <w:pPr>
        <w:pStyle w:val="ListParagraph"/>
        <w:numPr>
          <w:ilvl w:val="0"/>
          <w:numId w:val="0"/>
        </w:numPr>
        <w:rPr>
          <w:b/>
          <w:bCs/>
        </w:rPr>
      </w:pPr>
      <w:r w:rsidRPr="7170241C">
        <w:rPr>
          <w:b/>
          <w:bCs/>
        </w:rPr>
        <w:t xml:space="preserve">We </w:t>
      </w:r>
      <w:r w:rsidR="3FE7012B" w:rsidRPr="7170241C">
        <w:rPr>
          <w:b/>
          <w:bCs/>
        </w:rPr>
        <w:t xml:space="preserve">implemented </w:t>
      </w:r>
      <w:r w:rsidR="00B94BC0" w:rsidRPr="7170241C">
        <w:rPr>
          <w:b/>
          <w:bCs/>
        </w:rPr>
        <w:t xml:space="preserve">improvements </w:t>
      </w:r>
      <w:r w:rsidR="3BE36223" w:rsidRPr="7170241C">
        <w:rPr>
          <w:b/>
          <w:bCs/>
        </w:rPr>
        <w:t>associated with</w:t>
      </w:r>
      <w:r w:rsidR="00B94BC0" w:rsidRPr="7170241C">
        <w:rPr>
          <w:b/>
          <w:bCs/>
        </w:rPr>
        <w:t xml:space="preserve"> the scheduling of cosmetic</w:t>
      </w:r>
      <w:r w:rsidR="007024D0" w:rsidRPr="7170241C">
        <w:rPr>
          <w:b/>
          <w:bCs/>
        </w:rPr>
        <w:t>s</w:t>
      </w:r>
      <w:r w:rsidR="00B94BC0" w:rsidRPr="7170241C">
        <w:rPr>
          <w:b/>
          <w:bCs/>
        </w:rPr>
        <w:t xml:space="preserve"> and fragrances in the Poisons Standard.</w:t>
      </w:r>
    </w:p>
    <w:p w14:paraId="74DAD78D" w14:textId="02966CDE" w:rsidR="00BA6391" w:rsidRPr="006A269B" w:rsidRDefault="00EA18B6" w:rsidP="001515DB">
      <w:pPr>
        <w:rPr>
          <w:rFonts w:cs="Arial"/>
        </w:rPr>
      </w:pPr>
      <w:r>
        <w:rPr>
          <w:rFonts w:cs="Arial"/>
        </w:rPr>
        <w:t>We have</w:t>
      </w:r>
      <w:r w:rsidR="006E5022" w:rsidRPr="006A269B">
        <w:rPr>
          <w:rFonts w:cs="Arial"/>
        </w:rPr>
        <w:t xml:space="preserve"> undertaken</w:t>
      </w:r>
      <w:r w:rsidR="001F54D7" w:rsidRPr="006A269B">
        <w:rPr>
          <w:rFonts w:cs="Arial"/>
        </w:rPr>
        <w:t xml:space="preserve"> </w:t>
      </w:r>
      <w:r>
        <w:rPr>
          <w:rFonts w:cs="Arial"/>
        </w:rPr>
        <w:t xml:space="preserve">a number of actions </w:t>
      </w:r>
      <w:r w:rsidR="001F54D7" w:rsidRPr="006A269B">
        <w:rPr>
          <w:rFonts w:cs="Arial"/>
        </w:rPr>
        <w:t>to improve the scheduling of cosmetic and fragrances in the Poisons Standard</w:t>
      </w:r>
      <w:r w:rsidR="00BA6391" w:rsidRPr="006A269B">
        <w:rPr>
          <w:rFonts w:cs="Arial"/>
        </w:rPr>
        <w:t>:</w:t>
      </w:r>
    </w:p>
    <w:p w14:paraId="6A1B884E" w14:textId="3C24BE7C" w:rsidR="00CC59CD" w:rsidRPr="006A269B" w:rsidRDefault="3C7E16B9" w:rsidP="00ED1A1F">
      <w:pPr>
        <w:pStyle w:val="ListParagraph"/>
        <w:numPr>
          <w:ilvl w:val="0"/>
          <w:numId w:val="18"/>
        </w:numPr>
      </w:pPr>
      <w:r>
        <w:t>introduction of</w:t>
      </w:r>
      <w:r w:rsidR="52540A4F">
        <w:t xml:space="preserve"> a new </w:t>
      </w:r>
      <w:r w:rsidR="4A23AE6F">
        <w:t xml:space="preserve">online application form </w:t>
      </w:r>
      <w:r w:rsidR="6A02A742">
        <w:t>in January 2023</w:t>
      </w:r>
      <w:r>
        <w:t>,</w:t>
      </w:r>
      <w:r w:rsidR="6A02A742">
        <w:t xml:space="preserve"> following</w:t>
      </w:r>
      <w:r w:rsidR="335BF0F7">
        <w:t xml:space="preserve"> input from stakeholder</w:t>
      </w:r>
      <w:r>
        <w:t>s</w:t>
      </w:r>
    </w:p>
    <w:p w14:paraId="137F26C2" w14:textId="274D78E5" w:rsidR="00BA6391" w:rsidRPr="006A269B" w:rsidRDefault="3C7E16B9" w:rsidP="00ED1A1F">
      <w:pPr>
        <w:pStyle w:val="ListParagraph"/>
        <w:numPr>
          <w:ilvl w:val="0"/>
          <w:numId w:val="18"/>
        </w:numPr>
      </w:pPr>
      <w:r>
        <w:t xml:space="preserve">consultation with targeted stakeholders </w:t>
      </w:r>
      <w:r w:rsidR="298C915D">
        <w:t>regarding</w:t>
      </w:r>
      <w:r>
        <w:t>:</w:t>
      </w:r>
    </w:p>
    <w:p w14:paraId="746F3A79" w14:textId="3DF48826" w:rsidR="00BA6391" w:rsidRPr="006A269B" w:rsidRDefault="00BA6391" w:rsidP="00ED1A1F">
      <w:pPr>
        <w:pStyle w:val="ListParagraph"/>
        <w:numPr>
          <w:ilvl w:val="1"/>
          <w:numId w:val="5"/>
        </w:numPr>
      </w:pPr>
      <w:r w:rsidRPr="006A269B">
        <w:t>guidance on derivatives of substances in the Poisons Standard</w:t>
      </w:r>
    </w:p>
    <w:p w14:paraId="518E7821" w14:textId="0E20AD05" w:rsidR="001F54D7" w:rsidRPr="006A269B" w:rsidRDefault="00BA6391" w:rsidP="00ED1A1F">
      <w:pPr>
        <w:pStyle w:val="ListParagraph"/>
        <w:numPr>
          <w:ilvl w:val="1"/>
          <w:numId w:val="5"/>
        </w:numPr>
      </w:pPr>
      <w:r w:rsidRPr="006A269B">
        <w:t>inclusion of Chemical Abstract Service (CAS) numbers for substances in Schedules 9 and 10 in the index of the Poisons Standard to improve searchability</w:t>
      </w:r>
      <w:r w:rsidR="00E02783" w:rsidRPr="006A269B">
        <w:t>.</w:t>
      </w:r>
    </w:p>
    <w:p w14:paraId="0DE75725" w14:textId="223BDCA2" w:rsidR="006A269B" w:rsidRDefault="006C6A91" w:rsidP="23B264BB">
      <w:pPr>
        <w:rPr>
          <w:rFonts w:cs="Arial"/>
        </w:rPr>
      </w:pPr>
      <w:r w:rsidRPr="006A269B">
        <w:rPr>
          <w:rFonts w:cs="Arial"/>
        </w:rPr>
        <w:t xml:space="preserve">We </w:t>
      </w:r>
      <w:r w:rsidR="007621B9" w:rsidRPr="006A269B">
        <w:rPr>
          <w:rFonts w:cs="Arial"/>
        </w:rPr>
        <w:t xml:space="preserve">will include CAS numbers </w:t>
      </w:r>
      <w:r w:rsidR="002F063F" w:rsidRPr="006A269B">
        <w:rPr>
          <w:rFonts w:cs="Arial"/>
        </w:rPr>
        <w:t>towards the end of 2023</w:t>
      </w:r>
      <w:r w:rsidR="00840095" w:rsidRPr="006A269B">
        <w:rPr>
          <w:rFonts w:cs="Arial"/>
        </w:rPr>
        <w:t>,</w:t>
      </w:r>
      <w:r w:rsidR="002F063F" w:rsidRPr="006A269B">
        <w:rPr>
          <w:rFonts w:cs="Arial"/>
        </w:rPr>
        <w:t xml:space="preserve"> </w:t>
      </w:r>
      <w:r w:rsidR="002D1890" w:rsidRPr="006A269B">
        <w:rPr>
          <w:rFonts w:cs="Arial"/>
        </w:rPr>
        <w:t>followed by additional consultation on substances in Schedules 5,6, and 7.</w:t>
      </w:r>
    </w:p>
    <w:p w14:paraId="48E932AF" w14:textId="199F4358" w:rsidR="003E57DA" w:rsidRPr="006A269B" w:rsidRDefault="00D839E1" w:rsidP="23B264BB">
      <w:pPr>
        <w:rPr>
          <w:rFonts w:cs="Arial"/>
        </w:rPr>
      </w:pPr>
      <w:r w:rsidRPr="006A269B">
        <w:rPr>
          <w:rFonts w:cs="Arial"/>
        </w:rPr>
        <w:br w:type="page"/>
      </w:r>
    </w:p>
    <w:p w14:paraId="1594DAC7" w14:textId="1DADBD50" w:rsidR="00157D95" w:rsidRPr="00346086" w:rsidRDefault="0C19C1BC" w:rsidP="00DD4691">
      <w:pPr>
        <w:pStyle w:val="Heading1"/>
      </w:pPr>
      <w:bookmarkStart w:id="38" w:name="_Toc153550399"/>
      <w:r>
        <w:lastRenderedPageBreak/>
        <w:t>Strategic objective 2 – Actively engage with our stakeholders</w:t>
      </w:r>
      <w:bookmarkEnd w:id="38"/>
    </w:p>
    <w:p w14:paraId="410EAF3C" w14:textId="0991D9AF" w:rsidR="00575929" w:rsidRDefault="00DD31EB" w:rsidP="00AC4B4B">
      <w:r>
        <w:t>We actively engage with our stakeholders</w:t>
      </w:r>
      <w:r w:rsidR="00840F11">
        <w:t>,</w:t>
      </w:r>
      <w:r w:rsidR="003B271C">
        <w:t xml:space="preserve"> and strive to</w:t>
      </w:r>
      <w:r>
        <w:t xml:space="preserve"> continuously improve our communication </w:t>
      </w:r>
      <w:r w:rsidR="00B826DB">
        <w:t>and</w:t>
      </w:r>
      <w:r>
        <w:t xml:space="preserve"> </w:t>
      </w:r>
      <w:r w:rsidR="000768DB">
        <w:t xml:space="preserve">respond </w:t>
      </w:r>
      <w:r w:rsidR="00BE5D73">
        <w:t xml:space="preserve">to enquiries </w:t>
      </w:r>
      <w:r w:rsidR="000768DB">
        <w:t>as quickly</w:t>
      </w:r>
      <w:r w:rsidR="00BE5D73">
        <w:t xml:space="preserve"> and </w:t>
      </w:r>
      <w:r>
        <w:t xml:space="preserve">effectively </w:t>
      </w:r>
      <w:r w:rsidR="00BE5D73">
        <w:t>as possible</w:t>
      </w:r>
      <w:r>
        <w:t xml:space="preserve">. </w:t>
      </w:r>
      <w:r w:rsidR="00A26357">
        <w:t xml:space="preserve">We </w:t>
      </w:r>
      <w:r>
        <w:t xml:space="preserve">proactively </w:t>
      </w:r>
      <w:r w:rsidR="00721808">
        <w:t xml:space="preserve">notify and </w:t>
      </w:r>
      <w:r>
        <w:t>educat</w:t>
      </w:r>
      <w:r w:rsidR="00A26357">
        <w:t>e</w:t>
      </w:r>
      <w:r>
        <w:t xml:space="preserve"> </w:t>
      </w:r>
      <w:r w:rsidR="00335BF6">
        <w:t>sponsors</w:t>
      </w:r>
      <w:r w:rsidR="00A26357">
        <w:t>, health practi</w:t>
      </w:r>
      <w:r w:rsidR="0081702C">
        <w:t>tioners</w:t>
      </w:r>
      <w:r w:rsidR="00335BF6">
        <w:t xml:space="preserve"> and consumers</w:t>
      </w:r>
      <w:r w:rsidR="00CE565B">
        <w:t xml:space="preserve"> on regulatory decisions</w:t>
      </w:r>
      <w:r w:rsidR="006722A8">
        <w:t>,</w:t>
      </w:r>
      <w:r w:rsidR="0081702C">
        <w:t xml:space="preserve"> and work</w:t>
      </w:r>
      <w:r w:rsidR="008F3F41">
        <w:t xml:space="preserve"> with </w:t>
      </w:r>
      <w:r>
        <w:t xml:space="preserve">them </w:t>
      </w:r>
      <w:r w:rsidR="006416F7">
        <w:t xml:space="preserve">when we implement new regulatory requirements and </w:t>
      </w:r>
      <w:r w:rsidR="00C33BCB">
        <w:t>address</w:t>
      </w:r>
      <w:r>
        <w:t xml:space="preserve"> </w:t>
      </w:r>
      <w:r w:rsidR="007D245E">
        <w:t xml:space="preserve">key </w:t>
      </w:r>
      <w:r>
        <w:t>issues</w:t>
      </w:r>
      <w:r w:rsidR="006416F7">
        <w:t>.</w:t>
      </w:r>
      <w:r w:rsidR="00D371B8">
        <w:t xml:space="preserve"> </w:t>
      </w:r>
      <w:r w:rsidR="006416F7">
        <w:t xml:space="preserve">It is important to us that </w:t>
      </w:r>
      <w:r w:rsidR="000265B5">
        <w:t>our stakeholders</w:t>
      </w:r>
      <w:r w:rsidR="00A3240B">
        <w:t xml:space="preserve"> understand </w:t>
      </w:r>
      <w:r w:rsidR="006416F7">
        <w:t>our p</w:t>
      </w:r>
      <w:r w:rsidR="00A3240B">
        <w:t xml:space="preserve">olicies, </w:t>
      </w:r>
      <w:r w:rsidR="00866C22">
        <w:t>practices,</w:t>
      </w:r>
      <w:r w:rsidR="00A3240B">
        <w:t xml:space="preserve"> and services</w:t>
      </w:r>
      <w:r w:rsidR="006416F7">
        <w:t xml:space="preserve">. </w:t>
      </w:r>
    </w:p>
    <w:p w14:paraId="248CA289" w14:textId="45DE8F28" w:rsidR="00346086" w:rsidRPr="00346086" w:rsidRDefault="006416F7" w:rsidP="40EB8B97">
      <w:pPr>
        <w:rPr>
          <w:rFonts w:asciiTheme="minorHAnsi" w:hAnsiTheme="minorHAnsi" w:cstheme="minorBidi"/>
        </w:rPr>
      </w:pPr>
      <w:r>
        <w:t xml:space="preserve">The TGA </w:t>
      </w:r>
      <w:r w:rsidR="00873700">
        <w:t xml:space="preserve">contributes </w:t>
      </w:r>
      <w:r>
        <w:t>active</w:t>
      </w:r>
      <w:r w:rsidR="00873700">
        <w:t>ly</w:t>
      </w:r>
      <w:r>
        <w:t xml:space="preserve"> to</w:t>
      </w:r>
      <w:r w:rsidR="001278DD">
        <w:t xml:space="preserve"> domestic and i</w:t>
      </w:r>
      <w:r w:rsidR="00DD31EB">
        <w:t>nternational health system</w:t>
      </w:r>
      <w:r>
        <w:t>s,</w:t>
      </w:r>
      <w:r w:rsidR="00DD31EB">
        <w:t xml:space="preserve"> </w:t>
      </w:r>
      <w:r w:rsidR="00E71509">
        <w:t xml:space="preserve">and </w:t>
      </w:r>
      <w:r>
        <w:t>we work closely with Australian regulatory</w:t>
      </w:r>
      <w:r w:rsidR="00CC59CD">
        <w:t xml:space="preserve"> bodies and</w:t>
      </w:r>
      <w:r>
        <w:t xml:space="preserve"> state and territory governments. We also work with regulators and research institutions globally to ensure we have access to the latest science and research</w:t>
      </w:r>
      <w:r w:rsidR="00575929">
        <w:t xml:space="preserve">. Our active engagement with stakeholders helps </w:t>
      </w:r>
      <w:r w:rsidR="000F5D08">
        <w:t xml:space="preserve">to </w:t>
      </w:r>
      <w:r w:rsidR="00575929">
        <w:t>ensure</w:t>
      </w:r>
      <w:r>
        <w:t xml:space="preserve"> Australians </w:t>
      </w:r>
      <w:r w:rsidR="00575929">
        <w:t>have</w:t>
      </w:r>
      <w:r>
        <w:t xml:space="preserve"> access to safe and efficacious medicines, medical </w:t>
      </w:r>
      <w:r w:rsidR="00570C71">
        <w:t>devices,</w:t>
      </w:r>
      <w:r>
        <w:t xml:space="preserve"> and biological products</w:t>
      </w:r>
      <w:r w:rsidR="00DD31EB">
        <w:t>.</w:t>
      </w:r>
    </w:p>
    <w:p w14:paraId="0F5605A6" w14:textId="77777777" w:rsidR="00DD31EB" w:rsidRPr="00346086" w:rsidRDefault="548E0903" w:rsidP="00DD4691">
      <w:pPr>
        <w:pStyle w:val="Heading2"/>
      </w:pPr>
      <w:bookmarkStart w:id="39" w:name="_Toc153550400"/>
      <w:r>
        <w:t>Performance Indicators</w:t>
      </w:r>
      <w:bookmarkEnd w:id="39"/>
      <w:r>
        <w:t xml:space="preserve"> </w:t>
      </w:r>
    </w:p>
    <w:p w14:paraId="542E6F32" w14:textId="12928750" w:rsidR="00DD31EB" w:rsidRPr="006A269B" w:rsidRDefault="00DD31EB" w:rsidP="40EB8B97">
      <w:pPr>
        <w:spacing w:after="0"/>
        <w:ind w:left="720" w:hanging="720"/>
        <w:rPr>
          <w:rFonts w:cs="Arial"/>
          <w:szCs w:val="22"/>
        </w:rPr>
      </w:pPr>
      <w:r w:rsidRPr="006A269B">
        <w:rPr>
          <w:rFonts w:cs="Arial"/>
          <w:szCs w:val="22"/>
        </w:rPr>
        <w:t xml:space="preserve">2.1 </w:t>
      </w:r>
      <w:r w:rsidRPr="006A269B">
        <w:rPr>
          <w:rFonts w:cs="Arial"/>
          <w:szCs w:val="22"/>
        </w:rPr>
        <w:tab/>
        <w:t xml:space="preserve">Respond in a timely manner and effectively to enquiries and be clear about our regulatory decisions. </w:t>
      </w:r>
    </w:p>
    <w:p w14:paraId="2A55FB1A" w14:textId="1A5DB732" w:rsidR="00DD31EB" w:rsidRPr="006A269B" w:rsidRDefault="00DD31EB" w:rsidP="40EB8B97">
      <w:pPr>
        <w:spacing w:after="0"/>
        <w:ind w:left="720" w:hanging="720"/>
        <w:rPr>
          <w:rFonts w:cs="Arial"/>
          <w:szCs w:val="22"/>
        </w:rPr>
      </w:pPr>
      <w:r w:rsidRPr="006A269B">
        <w:rPr>
          <w:rFonts w:cs="Arial"/>
          <w:szCs w:val="22"/>
        </w:rPr>
        <w:t xml:space="preserve">2.2 </w:t>
      </w:r>
      <w:r w:rsidRPr="006A269B">
        <w:rPr>
          <w:rFonts w:cs="Arial"/>
          <w:szCs w:val="22"/>
        </w:rPr>
        <w:tab/>
        <w:t xml:space="preserve">Actively communicate and educate stakeholders. </w:t>
      </w:r>
    </w:p>
    <w:p w14:paraId="10B1482D" w14:textId="6F4906B5" w:rsidR="00DD31EB" w:rsidRPr="006A269B" w:rsidRDefault="00DD31EB" w:rsidP="0E2EBD93">
      <w:pPr>
        <w:spacing w:after="0"/>
        <w:ind w:left="720" w:hanging="720"/>
        <w:rPr>
          <w:rFonts w:cs="Arial"/>
        </w:rPr>
      </w:pPr>
      <w:r w:rsidRPr="0E2EBD93">
        <w:rPr>
          <w:rFonts w:cs="Arial"/>
        </w:rPr>
        <w:t xml:space="preserve">2.3 </w:t>
      </w:r>
      <w:r>
        <w:tab/>
      </w:r>
      <w:r w:rsidRPr="0E2EBD93">
        <w:rPr>
          <w:rFonts w:cs="Arial"/>
        </w:rPr>
        <w:t>Collaborate with domestic and international health system stakeholders to address regulatory issues and understand the impact of changing policies, practices, and services.</w:t>
      </w:r>
    </w:p>
    <w:p w14:paraId="513FFDE2" w14:textId="19E5FE3D" w:rsidR="0E2EBD93" w:rsidRDefault="0E2EBD93" w:rsidP="0E2EBD93">
      <w:pPr>
        <w:pStyle w:val="NoSpacing"/>
        <w:rPr>
          <w:rFonts w:ascii="Arial" w:hAnsi="Arial" w:cs="Arial"/>
          <w:sz w:val="22"/>
          <w:szCs w:val="22"/>
          <w:highlight w:val="yellow"/>
        </w:rPr>
      </w:pPr>
    </w:p>
    <w:p w14:paraId="61E64C6B" w14:textId="6287D2A9" w:rsidR="123BF59F" w:rsidRPr="0072324A" w:rsidRDefault="6F306837" w:rsidP="0E2EBD93">
      <w:pPr>
        <w:pStyle w:val="NoSpacing"/>
        <w:rPr>
          <w:rFonts w:ascii="Arial" w:eastAsia="Arial" w:hAnsi="Arial" w:cs="Arial"/>
          <w:color w:val="000000"/>
          <w:sz w:val="22"/>
          <w:szCs w:val="22"/>
        </w:rPr>
      </w:pPr>
      <w:r w:rsidRPr="0072324A">
        <w:rPr>
          <w:rFonts w:ascii="Arial" w:eastAsia="Arial" w:hAnsi="Arial" w:cs="Arial"/>
          <w:b/>
          <w:bCs/>
          <w:color w:val="000000"/>
          <w:sz w:val="22"/>
          <w:szCs w:val="22"/>
        </w:rPr>
        <w:t>Insights from the TGA Stakeholder Survey</w:t>
      </w:r>
    </w:p>
    <w:p w14:paraId="357552B8" w14:textId="5E2F1986" w:rsidR="123BF59F" w:rsidRDefault="6F306837" w:rsidP="60FC52BE">
      <w:pPr>
        <w:spacing w:after="180"/>
        <w:rPr>
          <w:rFonts w:cs="Arial"/>
          <w:szCs w:val="22"/>
        </w:rPr>
      </w:pPr>
      <w:r w:rsidRPr="0072324A">
        <w:rPr>
          <w:rFonts w:eastAsia="Arial" w:cs="Arial"/>
          <w:szCs w:val="22"/>
        </w:rPr>
        <w:t xml:space="preserve">In performance indicator </w:t>
      </w:r>
      <w:r w:rsidR="00833976" w:rsidRPr="007E7468">
        <w:rPr>
          <w:rFonts w:eastAsia="Arial" w:cs="Arial"/>
          <w:szCs w:val="22"/>
        </w:rPr>
        <w:t>2.1</w:t>
      </w:r>
      <w:r w:rsidRPr="007E7468">
        <w:rPr>
          <w:rFonts w:eastAsia="Arial" w:cs="Arial"/>
          <w:szCs w:val="22"/>
        </w:rPr>
        <w:t>,</w:t>
      </w:r>
      <w:r w:rsidRPr="0072324A">
        <w:rPr>
          <w:rFonts w:eastAsia="Arial" w:cs="Arial"/>
          <w:szCs w:val="22"/>
        </w:rPr>
        <w:t xml:space="preserve"> we look to assess our success at r</w:t>
      </w:r>
      <w:r w:rsidRPr="0072324A">
        <w:rPr>
          <w:rFonts w:cs="Arial"/>
          <w:szCs w:val="22"/>
        </w:rPr>
        <w:t>esponding to enquiries in a timely and effective manner.</w:t>
      </w:r>
    </w:p>
    <w:p w14:paraId="26FA8208" w14:textId="78D2578E" w:rsidR="123BF59F" w:rsidRDefault="544660EF" w:rsidP="60FC52BE">
      <w:pPr>
        <w:spacing w:after="180"/>
        <w:rPr>
          <w:rFonts w:eastAsia="Arial" w:cs="Arial"/>
          <w:szCs w:val="22"/>
        </w:rPr>
      </w:pPr>
      <w:r w:rsidRPr="60FC52BE">
        <w:rPr>
          <w:rFonts w:eastAsia="Arial" w:cs="Arial"/>
          <w:szCs w:val="22"/>
        </w:rPr>
        <w:t xml:space="preserve">In the TGA’s Stakeholder Survey, respondents were asked if they had contacted or interacted with the TGA in the past 12 months. </w:t>
      </w:r>
      <w:r w:rsidR="0DC43ED3" w:rsidRPr="60FC52BE">
        <w:rPr>
          <w:rFonts w:eastAsia="Arial" w:cs="Arial"/>
          <w:szCs w:val="22"/>
        </w:rPr>
        <w:t>For medical products industry representatives,</w:t>
      </w:r>
      <w:r w:rsidRPr="60FC52BE">
        <w:rPr>
          <w:rFonts w:eastAsia="Arial" w:cs="Arial"/>
          <w:szCs w:val="22"/>
        </w:rPr>
        <w:t xml:space="preserve"> 88% indicat</w:t>
      </w:r>
      <w:r w:rsidR="00A1394C">
        <w:rPr>
          <w:rFonts w:eastAsia="Arial" w:cs="Arial"/>
          <w:szCs w:val="22"/>
        </w:rPr>
        <w:t>ed</w:t>
      </w:r>
      <w:r w:rsidRPr="60FC52BE">
        <w:rPr>
          <w:rFonts w:eastAsia="Arial" w:cs="Arial"/>
          <w:szCs w:val="22"/>
        </w:rPr>
        <w:t xml:space="preserve"> they had contacted or interacted with </w:t>
      </w:r>
      <w:r w:rsidR="7A9F5D47" w:rsidRPr="60FC52BE">
        <w:rPr>
          <w:rFonts w:eastAsia="Arial" w:cs="Arial"/>
          <w:szCs w:val="22"/>
        </w:rPr>
        <w:t>the TGA</w:t>
      </w:r>
      <w:r w:rsidRPr="60FC52BE">
        <w:rPr>
          <w:rFonts w:eastAsia="Arial" w:cs="Arial"/>
          <w:szCs w:val="22"/>
        </w:rPr>
        <w:t xml:space="preserve">. Overall, </w:t>
      </w:r>
      <w:r w:rsidR="007E7468" w:rsidRPr="60FC52BE">
        <w:rPr>
          <w:rFonts w:eastAsia="Arial" w:cs="Arial"/>
          <w:szCs w:val="22"/>
        </w:rPr>
        <w:t>most were</w:t>
      </w:r>
      <w:r w:rsidRPr="60FC52BE">
        <w:rPr>
          <w:rFonts w:eastAsia="Arial" w:cs="Arial"/>
          <w:szCs w:val="22"/>
        </w:rPr>
        <w:t xml:space="preserve"> satisfied with their experience communicating with the TGA (67%), while 16% were </w:t>
      </w:r>
      <w:r w:rsidR="00A51280">
        <w:rPr>
          <w:rFonts w:eastAsia="Arial" w:cs="Arial"/>
          <w:szCs w:val="22"/>
        </w:rPr>
        <w:t>dis</w:t>
      </w:r>
      <w:r w:rsidRPr="60FC52BE">
        <w:rPr>
          <w:rFonts w:eastAsia="Arial" w:cs="Arial"/>
          <w:szCs w:val="22"/>
        </w:rPr>
        <w:t>satisfied and 17% were neither satisfied nor dissatisfied.</w:t>
      </w:r>
    </w:p>
    <w:p w14:paraId="4B60E4E3" w14:textId="57FF334A" w:rsidR="123BF59F" w:rsidRDefault="53BEB461" w:rsidP="60FC52BE">
      <w:pPr>
        <w:spacing w:after="180"/>
        <w:rPr>
          <w:rFonts w:eastAsia="Arial" w:cs="Arial"/>
          <w:szCs w:val="22"/>
        </w:rPr>
      </w:pPr>
      <w:r w:rsidRPr="60FC52BE">
        <w:rPr>
          <w:rFonts w:eastAsia="Arial" w:cs="Arial"/>
          <w:szCs w:val="22"/>
        </w:rPr>
        <w:t>Smalle</w:t>
      </w:r>
      <w:r w:rsidR="5C2FB1EC" w:rsidRPr="60FC52BE">
        <w:rPr>
          <w:rFonts w:eastAsia="Arial" w:cs="Arial"/>
          <w:szCs w:val="22"/>
        </w:rPr>
        <w:t>r numbers of health professionals and consumers indicated they ha</w:t>
      </w:r>
      <w:r w:rsidR="00502183">
        <w:rPr>
          <w:rFonts w:eastAsia="Arial" w:cs="Arial"/>
          <w:szCs w:val="22"/>
        </w:rPr>
        <w:t>d</w:t>
      </w:r>
      <w:r w:rsidR="5C2FB1EC" w:rsidRPr="60FC52BE">
        <w:rPr>
          <w:rFonts w:eastAsia="Arial" w:cs="Arial"/>
          <w:szCs w:val="22"/>
        </w:rPr>
        <w:t xml:space="preserve"> contacted or interacted with the TGA</w:t>
      </w:r>
      <w:r w:rsidR="3EC5F96B" w:rsidRPr="60FC52BE">
        <w:rPr>
          <w:rFonts w:eastAsia="Arial" w:cs="Arial"/>
          <w:szCs w:val="22"/>
        </w:rPr>
        <w:t xml:space="preserve">. </w:t>
      </w:r>
      <w:r w:rsidR="544660EF" w:rsidRPr="60FC52BE">
        <w:rPr>
          <w:rFonts w:eastAsia="Arial" w:cs="Arial"/>
          <w:szCs w:val="22"/>
        </w:rPr>
        <w:t xml:space="preserve">Overall, most consumers were satisfied with their experience communicating with the TGA (71%), while 13% were </w:t>
      </w:r>
      <w:r w:rsidR="00A51280">
        <w:rPr>
          <w:rFonts w:eastAsia="Arial" w:cs="Arial"/>
          <w:szCs w:val="22"/>
        </w:rPr>
        <w:t>dis</w:t>
      </w:r>
      <w:r w:rsidR="544660EF" w:rsidRPr="60FC52BE">
        <w:rPr>
          <w:rFonts w:eastAsia="Arial" w:cs="Arial"/>
          <w:szCs w:val="22"/>
        </w:rPr>
        <w:t xml:space="preserve">satisfied and 16% were neither satisfied nor </w:t>
      </w:r>
      <w:r w:rsidR="00DC567C">
        <w:rPr>
          <w:rFonts w:eastAsia="Arial" w:cs="Arial"/>
          <w:szCs w:val="22"/>
        </w:rPr>
        <w:t>dis</w:t>
      </w:r>
      <w:r w:rsidR="544660EF" w:rsidRPr="60FC52BE">
        <w:rPr>
          <w:rFonts w:eastAsia="Arial" w:cs="Arial"/>
          <w:szCs w:val="22"/>
        </w:rPr>
        <w:t xml:space="preserve">satisfied. </w:t>
      </w:r>
      <w:r w:rsidR="39897D7C" w:rsidRPr="60FC52BE">
        <w:rPr>
          <w:rFonts w:eastAsia="Arial" w:cs="Arial"/>
          <w:szCs w:val="22"/>
        </w:rPr>
        <w:t xml:space="preserve">Among health professionals, </w:t>
      </w:r>
      <w:r w:rsidR="544660EF" w:rsidRPr="60FC52BE">
        <w:rPr>
          <w:rFonts w:eastAsia="Arial" w:cs="Arial"/>
          <w:szCs w:val="22"/>
        </w:rPr>
        <w:t xml:space="preserve">68% </w:t>
      </w:r>
      <w:r w:rsidR="02C28CA7" w:rsidRPr="60FC52BE">
        <w:rPr>
          <w:rFonts w:eastAsia="Arial" w:cs="Arial"/>
          <w:szCs w:val="22"/>
        </w:rPr>
        <w:t>of those who had contacted or interacted with the TGA were satisfied</w:t>
      </w:r>
      <w:r w:rsidR="544660EF" w:rsidRPr="60FC52BE">
        <w:rPr>
          <w:rFonts w:eastAsia="Arial" w:cs="Arial"/>
          <w:szCs w:val="22"/>
        </w:rPr>
        <w:t>, while 8% were dissatisfied and 24% were neither satisfied nor dissatisfied.</w:t>
      </w:r>
      <w:r w:rsidR="29AD9164" w:rsidRPr="60FC52BE">
        <w:rPr>
          <w:rFonts w:eastAsia="Arial" w:cs="Arial"/>
          <w:szCs w:val="22"/>
        </w:rPr>
        <w:t xml:space="preserve"> </w:t>
      </w:r>
    </w:p>
    <w:p w14:paraId="145C7DD5" w14:textId="2E046180" w:rsidR="6F306837" w:rsidRPr="0072324A" w:rsidRDefault="6F306837" w:rsidP="60FC52BE">
      <w:pPr>
        <w:spacing w:after="180"/>
        <w:rPr>
          <w:rFonts w:eastAsia="Arial" w:cs="Arial"/>
          <w:szCs w:val="22"/>
        </w:rPr>
      </w:pPr>
      <w:r w:rsidRPr="60FC52BE">
        <w:rPr>
          <w:rFonts w:eastAsia="Arial" w:cs="Arial"/>
          <w:szCs w:val="22"/>
        </w:rPr>
        <w:t xml:space="preserve">In performance </w:t>
      </w:r>
      <w:r w:rsidRPr="0072324A">
        <w:rPr>
          <w:rFonts w:eastAsia="Arial" w:cs="Arial"/>
          <w:szCs w:val="22"/>
        </w:rPr>
        <w:t xml:space="preserve">indicator </w:t>
      </w:r>
      <w:r w:rsidR="0072324A" w:rsidRPr="007E7468">
        <w:rPr>
          <w:rFonts w:eastAsia="Arial" w:cs="Arial"/>
          <w:szCs w:val="22"/>
        </w:rPr>
        <w:t>2</w:t>
      </w:r>
      <w:r w:rsidRPr="007E7468">
        <w:rPr>
          <w:rFonts w:eastAsia="Arial" w:cs="Arial"/>
          <w:szCs w:val="22"/>
        </w:rPr>
        <w:t>.1</w:t>
      </w:r>
      <w:r w:rsidRPr="0072324A">
        <w:rPr>
          <w:rFonts w:eastAsia="Arial" w:cs="Arial"/>
          <w:szCs w:val="22"/>
        </w:rPr>
        <w:t>, we also look to assess our success at being clear about our regulatory decisions</w:t>
      </w:r>
      <w:r w:rsidR="08648A02" w:rsidRPr="0072324A">
        <w:rPr>
          <w:rFonts w:eastAsia="Arial" w:cs="Arial"/>
          <w:szCs w:val="22"/>
        </w:rPr>
        <w:t>.</w:t>
      </w:r>
      <w:r w:rsidR="65F6F454" w:rsidRPr="0072324A">
        <w:rPr>
          <w:rFonts w:eastAsia="Arial" w:cs="Arial"/>
          <w:szCs w:val="22"/>
        </w:rPr>
        <w:t xml:space="preserve"> Stakeholders who had participated in a TGA consultation were asked to rate the various aspects of the process, including whether the TGA clearly explained the outcome. </w:t>
      </w:r>
      <w:r w:rsidR="366DD13B" w:rsidRPr="0072324A">
        <w:rPr>
          <w:rFonts w:eastAsia="Arial" w:cs="Arial"/>
          <w:szCs w:val="22"/>
        </w:rPr>
        <w:t>Among medical product industry stakeholders, 56% agreed that the TGA</w:t>
      </w:r>
      <w:r w:rsidR="4DFB2283" w:rsidRPr="0072324A">
        <w:rPr>
          <w:rFonts w:eastAsia="Arial" w:cs="Arial"/>
          <w:szCs w:val="22"/>
        </w:rPr>
        <w:t xml:space="preserve"> had</w:t>
      </w:r>
      <w:r w:rsidR="366DD13B" w:rsidRPr="0072324A">
        <w:rPr>
          <w:rFonts w:eastAsia="Arial" w:cs="Arial"/>
          <w:szCs w:val="22"/>
        </w:rPr>
        <w:t xml:space="preserve"> clearly explained the outcome, while 18% disagreed.</w:t>
      </w:r>
      <w:r w:rsidR="1B3FAA2F" w:rsidRPr="0072324A">
        <w:rPr>
          <w:rFonts w:eastAsia="Arial" w:cs="Arial"/>
          <w:szCs w:val="22"/>
        </w:rPr>
        <w:t xml:space="preserve"> </w:t>
      </w:r>
    </w:p>
    <w:p w14:paraId="64A3C749" w14:textId="7050AAED" w:rsidR="123BF59F" w:rsidRDefault="70261E98" w:rsidP="60FC52BE">
      <w:pPr>
        <w:spacing w:after="180"/>
        <w:rPr>
          <w:rFonts w:eastAsia="Arial" w:cs="Arial"/>
          <w:szCs w:val="22"/>
        </w:rPr>
      </w:pPr>
      <w:r w:rsidRPr="0072324A">
        <w:rPr>
          <w:rFonts w:cs="Arial"/>
          <w:szCs w:val="22"/>
        </w:rPr>
        <w:t xml:space="preserve">In performance indicator </w:t>
      </w:r>
      <w:r w:rsidR="0072324A" w:rsidRPr="007E7468">
        <w:rPr>
          <w:rFonts w:cs="Arial"/>
          <w:szCs w:val="22"/>
        </w:rPr>
        <w:t>2</w:t>
      </w:r>
      <w:r w:rsidRPr="007E7468">
        <w:rPr>
          <w:rFonts w:cs="Arial"/>
          <w:szCs w:val="22"/>
        </w:rPr>
        <w:t>.2,</w:t>
      </w:r>
      <w:r w:rsidRPr="0072324A">
        <w:rPr>
          <w:rFonts w:cs="Arial"/>
          <w:szCs w:val="22"/>
        </w:rPr>
        <w:t xml:space="preserve"> we look to assess our success at actively communicating with and educating stakeholders.</w:t>
      </w:r>
      <w:r w:rsidR="3599327A" w:rsidRPr="0072324A">
        <w:rPr>
          <w:rFonts w:eastAsia="Arial" w:cs="Arial"/>
          <w:szCs w:val="22"/>
        </w:rPr>
        <w:t xml:space="preserve"> </w:t>
      </w:r>
      <w:r w:rsidR="1D940AFB" w:rsidRPr="0072324A">
        <w:rPr>
          <w:rFonts w:eastAsia="Arial" w:cs="Arial"/>
          <w:szCs w:val="22"/>
        </w:rPr>
        <w:t>In</w:t>
      </w:r>
      <w:r w:rsidR="1D940AFB" w:rsidRPr="60FC52BE">
        <w:rPr>
          <w:rFonts w:eastAsia="Arial" w:cs="Arial"/>
          <w:szCs w:val="22"/>
        </w:rPr>
        <w:t xml:space="preserve"> the Stakeholder Survey, a</w:t>
      </w:r>
      <w:r w:rsidR="3599327A" w:rsidRPr="60FC52BE">
        <w:rPr>
          <w:rFonts w:eastAsia="Arial" w:cs="Arial"/>
          <w:szCs w:val="22"/>
        </w:rPr>
        <w:t xml:space="preserve"> quarter of consumers (25%) indicated they had seen a TGA educational activity in the past 12 months. </w:t>
      </w:r>
      <w:r w:rsidR="1B4B0B19" w:rsidRPr="60FC52BE">
        <w:rPr>
          <w:rFonts w:eastAsia="Arial" w:cs="Arial"/>
          <w:szCs w:val="22"/>
        </w:rPr>
        <w:t xml:space="preserve">Of this number, most had seen a social media campaign or post, with a smaller number having received a </w:t>
      </w:r>
      <w:r w:rsidR="1B4B0B19" w:rsidRPr="60FC52BE">
        <w:rPr>
          <w:rFonts w:eastAsia="Arial" w:cs="Arial"/>
          <w:szCs w:val="22"/>
        </w:rPr>
        <w:lastRenderedPageBreak/>
        <w:t xml:space="preserve">TGA email newsletter. </w:t>
      </w:r>
      <w:r w:rsidR="38D39A39" w:rsidRPr="60FC52BE">
        <w:rPr>
          <w:rFonts w:eastAsia="Arial" w:cs="Arial"/>
          <w:szCs w:val="22"/>
        </w:rPr>
        <w:t>Overall, 91% had found the education activity had been ‘slightly useful’, ‘moderately useful’, ‘very useful’ or ‘extremely useful’. Of this, 22% had found the educational activity ‘very useful’ or ‘extremely useful’.</w:t>
      </w:r>
    </w:p>
    <w:p w14:paraId="0CE9971B" w14:textId="4C3E097E" w:rsidR="123BF59F" w:rsidRDefault="3599327A" w:rsidP="60FC52BE">
      <w:pPr>
        <w:spacing w:after="180"/>
        <w:rPr>
          <w:rFonts w:eastAsia="Arial" w:cs="Arial"/>
          <w:szCs w:val="22"/>
        </w:rPr>
      </w:pPr>
      <w:r w:rsidRPr="60FC52BE">
        <w:rPr>
          <w:rFonts w:eastAsia="Arial" w:cs="Arial"/>
          <w:szCs w:val="22"/>
        </w:rPr>
        <w:t xml:space="preserve">About 2 out of 3 health professionals (67%) indicated they had seen or been involved in a TGA educational activity. </w:t>
      </w:r>
      <w:r w:rsidR="7A9D7DB1" w:rsidRPr="60FC52BE">
        <w:rPr>
          <w:rFonts w:eastAsia="Arial" w:cs="Arial"/>
          <w:szCs w:val="22"/>
        </w:rPr>
        <w:t>Of this number, most had seen a social media campaign or post, with a smaller number having received a TGA email newsletter. Overall, 97% of consumers had found the education activity ‘slightly useful’, ‘moderately useful’, ‘very useful’ or ‘extremely useful’. Almost half (45%) had found the educational activity ‘very useful’ or ‘extremely useful’.</w:t>
      </w:r>
    </w:p>
    <w:p w14:paraId="0BCB6837" w14:textId="61BA312B" w:rsidR="123BF59F" w:rsidRDefault="3599327A" w:rsidP="60FC52BE">
      <w:pPr>
        <w:spacing w:after="180"/>
        <w:rPr>
          <w:rFonts w:eastAsia="Arial" w:cs="Arial"/>
          <w:szCs w:val="22"/>
        </w:rPr>
      </w:pPr>
      <w:r w:rsidRPr="60FC52BE">
        <w:rPr>
          <w:rFonts w:eastAsia="Arial" w:cs="Arial"/>
          <w:szCs w:val="22"/>
        </w:rPr>
        <w:t xml:space="preserve">Well over half (57%) of </w:t>
      </w:r>
      <w:r w:rsidR="06624636" w:rsidRPr="60FC52BE">
        <w:rPr>
          <w:rFonts w:eastAsia="Arial" w:cs="Arial"/>
          <w:szCs w:val="22"/>
        </w:rPr>
        <w:t>medical product industry representatives</w:t>
      </w:r>
      <w:r w:rsidRPr="60FC52BE">
        <w:rPr>
          <w:rFonts w:eastAsia="Arial" w:cs="Arial"/>
          <w:szCs w:val="22"/>
        </w:rPr>
        <w:t xml:space="preserve"> had seen or been involved in a TGA educational activity in the past 12 months. Many of these respondents had seen a TGA email newsletter, attended a webinar, attended a TGA event such as the GMP </w:t>
      </w:r>
      <w:r w:rsidR="0072324A">
        <w:rPr>
          <w:rFonts w:eastAsia="Arial" w:cs="Arial"/>
          <w:szCs w:val="22"/>
        </w:rPr>
        <w:t>F</w:t>
      </w:r>
      <w:r w:rsidRPr="60FC52BE">
        <w:rPr>
          <w:rFonts w:eastAsia="Arial" w:cs="Arial"/>
          <w:szCs w:val="22"/>
        </w:rPr>
        <w:t>orum or seen a social media campaign or post. Overall, 97% had found the education activity had been ‘slightly useful’, ‘moderately useful’, ‘very useful’ or ‘extremely useful’. Of this, 52% had found the educational activity ‘very useful’ or ‘extremely useful’.</w:t>
      </w:r>
    </w:p>
    <w:p w14:paraId="429D972C" w14:textId="67A22C84" w:rsidR="123BF59F" w:rsidRDefault="12D44B09" w:rsidP="60FC52BE">
      <w:pPr>
        <w:spacing w:after="180"/>
        <w:rPr>
          <w:rFonts w:cs="Arial"/>
          <w:szCs w:val="22"/>
        </w:rPr>
      </w:pPr>
      <w:r w:rsidRPr="60FC52BE">
        <w:rPr>
          <w:rFonts w:cs="Arial"/>
          <w:szCs w:val="22"/>
        </w:rPr>
        <w:t>In performance measure 2.3, we look to assess our success at collaborat</w:t>
      </w:r>
      <w:r w:rsidR="2025F9B5" w:rsidRPr="60FC52BE">
        <w:rPr>
          <w:rFonts w:cs="Arial"/>
          <w:szCs w:val="22"/>
        </w:rPr>
        <w:t>ing</w:t>
      </w:r>
      <w:r w:rsidRPr="60FC52BE">
        <w:rPr>
          <w:rFonts w:cs="Arial"/>
          <w:szCs w:val="22"/>
        </w:rPr>
        <w:t xml:space="preserve"> with domestic and international health system stakeholders to address regulatory issues and understand the impact of changing policies, practices and services.</w:t>
      </w:r>
    </w:p>
    <w:p w14:paraId="4223CDB1" w14:textId="72675113" w:rsidR="123BF59F" w:rsidRDefault="00A33483" w:rsidP="60FC52BE">
      <w:pPr>
        <w:spacing w:after="180"/>
        <w:rPr>
          <w:rFonts w:eastAsia="Arial" w:cs="Arial"/>
          <w:szCs w:val="22"/>
        </w:rPr>
      </w:pPr>
      <w:r>
        <w:rPr>
          <w:rFonts w:cs="Arial"/>
          <w:szCs w:val="22"/>
        </w:rPr>
        <w:t>R</w:t>
      </w:r>
      <w:r w:rsidR="26DCA668" w:rsidRPr="60FC52BE">
        <w:rPr>
          <w:rFonts w:cs="Arial"/>
          <w:szCs w:val="22"/>
        </w:rPr>
        <w:t xml:space="preserve">epresentatives from </w:t>
      </w:r>
      <w:r>
        <w:rPr>
          <w:rFonts w:cs="Arial"/>
          <w:szCs w:val="22"/>
        </w:rPr>
        <w:t xml:space="preserve">71 </w:t>
      </w:r>
      <w:r w:rsidR="26DCA668" w:rsidRPr="60FC52BE">
        <w:rPr>
          <w:rFonts w:cs="Arial"/>
          <w:szCs w:val="22"/>
        </w:rPr>
        <w:t>state and territory agencies</w:t>
      </w:r>
      <w:r w:rsidR="61967DFB" w:rsidRPr="60FC52BE">
        <w:rPr>
          <w:rFonts w:cs="Arial"/>
          <w:szCs w:val="22"/>
        </w:rPr>
        <w:t xml:space="preserve">, </w:t>
      </w:r>
      <w:r w:rsidR="26DCA668" w:rsidRPr="60FC52BE">
        <w:rPr>
          <w:rFonts w:cs="Arial"/>
          <w:szCs w:val="22"/>
        </w:rPr>
        <w:t xml:space="preserve">the majority from health departments, </w:t>
      </w:r>
      <w:r>
        <w:rPr>
          <w:rFonts w:cs="Arial"/>
          <w:szCs w:val="22"/>
        </w:rPr>
        <w:t xml:space="preserve">were asked </w:t>
      </w:r>
      <w:r w:rsidR="26DCA668" w:rsidRPr="60FC52BE">
        <w:rPr>
          <w:rFonts w:cs="Arial"/>
          <w:szCs w:val="22"/>
        </w:rPr>
        <w:t xml:space="preserve">whether they believed the </w:t>
      </w:r>
      <w:r w:rsidR="26DCA668" w:rsidRPr="60FC52BE">
        <w:rPr>
          <w:rFonts w:eastAsia="Arial" w:cs="Arial"/>
          <w:szCs w:val="22"/>
        </w:rPr>
        <w:t>TGA consults with state and territory governments on regulatory changes</w:t>
      </w:r>
      <w:r w:rsidR="36CED177" w:rsidRPr="60FC52BE">
        <w:rPr>
          <w:rFonts w:eastAsia="Arial" w:cs="Arial"/>
          <w:szCs w:val="22"/>
        </w:rPr>
        <w:t>. 60% of respondents agreed while 21.7% disagreed.</w:t>
      </w:r>
      <w:r w:rsidR="0072324A">
        <w:rPr>
          <w:rFonts w:eastAsia="Arial" w:cs="Arial"/>
          <w:szCs w:val="22"/>
        </w:rPr>
        <w:t xml:space="preserve"> </w:t>
      </w:r>
      <w:r w:rsidR="36CED177" w:rsidRPr="60FC52BE">
        <w:rPr>
          <w:rFonts w:eastAsia="Arial" w:cs="Arial"/>
          <w:szCs w:val="22"/>
        </w:rPr>
        <w:t>State and territory representatives were also asked whether the TGA appropriately considers the impact of its regulatory actions and changes on the states and territories</w:t>
      </w:r>
      <w:r w:rsidR="0072324A">
        <w:rPr>
          <w:rFonts w:eastAsia="Arial" w:cs="Arial"/>
          <w:szCs w:val="22"/>
        </w:rPr>
        <w:t>, with</w:t>
      </w:r>
      <w:r w:rsidR="36CED177" w:rsidRPr="60FC52BE">
        <w:rPr>
          <w:rFonts w:eastAsia="Arial" w:cs="Arial"/>
          <w:szCs w:val="22"/>
        </w:rPr>
        <w:t xml:space="preserve"> 44% </w:t>
      </w:r>
      <w:r w:rsidR="0072324A" w:rsidRPr="60FC52BE">
        <w:rPr>
          <w:rFonts w:eastAsia="Arial" w:cs="Arial"/>
          <w:szCs w:val="22"/>
        </w:rPr>
        <w:t>agreei</w:t>
      </w:r>
      <w:r w:rsidR="0072324A">
        <w:rPr>
          <w:rFonts w:eastAsia="Arial" w:cs="Arial"/>
          <w:szCs w:val="22"/>
        </w:rPr>
        <w:t>ng</w:t>
      </w:r>
      <w:r w:rsidR="36CED177" w:rsidRPr="60FC52BE">
        <w:rPr>
          <w:rFonts w:eastAsia="Arial" w:cs="Arial"/>
          <w:szCs w:val="22"/>
        </w:rPr>
        <w:t xml:space="preserve"> that it </w:t>
      </w:r>
      <w:r w:rsidR="33A2A2D2" w:rsidRPr="60FC52BE">
        <w:rPr>
          <w:rFonts w:eastAsia="Arial" w:cs="Arial"/>
          <w:szCs w:val="22"/>
        </w:rPr>
        <w:t xml:space="preserve">does </w:t>
      </w:r>
      <w:r w:rsidR="005A4061">
        <w:rPr>
          <w:rFonts w:eastAsia="Arial" w:cs="Arial"/>
          <w:szCs w:val="22"/>
        </w:rPr>
        <w:t>and</w:t>
      </w:r>
      <w:r w:rsidR="005A4061" w:rsidRPr="60FC52BE">
        <w:rPr>
          <w:rFonts w:eastAsia="Arial" w:cs="Arial"/>
          <w:szCs w:val="22"/>
        </w:rPr>
        <w:t xml:space="preserve"> </w:t>
      </w:r>
      <w:r w:rsidR="33A2A2D2" w:rsidRPr="60FC52BE">
        <w:rPr>
          <w:rFonts w:eastAsia="Arial" w:cs="Arial"/>
          <w:szCs w:val="22"/>
        </w:rPr>
        <w:t>36% disagree</w:t>
      </w:r>
      <w:r w:rsidR="0072324A">
        <w:rPr>
          <w:rFonts w:eastAsia="Arial" w:cs="Arial"/>
          <w:szCs w:val="22"/>
        </w:rPr>
        <w:t>ing</w:t>
      </w:r>
      <w:r w:rsidR="33A2A2D2" w:rsidRPr="60FC52BE">
        <w:rPr>
          <w:rFonts w:eastAsia="Arial" w:cs="Arial"/>
          <w:szCs w:val="22"/>
        </w:rPr>
        <w:t xml:space="preserve">. </w:t>
      </w:r>
    </w:p>
    <w:p w14:paraId="14B0EC46" w14:textId="03367E80" w:rsidR="00575929" w:rsidRPr="00346086" w:rsidRDefault="0F3646D1" w:rsidP="00DD4691">
      <w:pPr>
        <w:pStyle w:val="Heading2"/>
      </w:pPr>
      <w:bookmarkStart w:id="40" w:name="_Toc153550401"/>
      <w:r>
        <w:t>Enquiry management</w:t>
      </w:r>
      <w:bookmarkEnd w:id="40"/>
      <w:r w:rsidR="20EEBCB3">
        <w:t xml:space="preserve"> </w:t>
      </w:r>
    </w:p>
    <w:p w14:paraId="605F6EE4" w14:textId="2F9F9746" w:rsidR="0012158C" w:rsidRPr="006A269B" w:rsidRDefault="009A7AE8" w:rsidP="008B2B37">
      <w:pPr>
        <w:pStyle w:val="ListParagraph"/>
        <w:numPr>
          <w:ilvl w:val="0"/>
          <w:numId w:val="0"/>
        </w:numPr>
        <w:rPr>
          <w:b/>
          <w:bCs/>
        </w:rPr>
      </w:pPr>
      <w:r w:rsidRPr="006A269B">
        <w:rPr>
          <w:b/>
          <w:bCs/>
        </w:rPr>
        <w:t xml:space="preserve">We continue </w:t>
      </w:r>
      <w:r w:rsidR="00985E5C" w:rsidRPr="006A269B">
        <w:rPr>
          <w:b/>
          <w:bCs/>
        </w:rPr>
        <w:t xml:space="preserve">to </w:t>
      </w:r>
      <w:r w:rsidR="004016D5" w:rsidRPr="006A269B">
        <w:rPr>
          <w:b/>
          <w:bCs/>
        </w:rPr>
        <w:t>implement</w:t>
      </w:r>
      <w:r w:rsidR="0012158C" w:rsidRPr="006A269B">
        <w:rPr>
          <w:b/>
          <w:bCs/>
        </w:rPr>
        <w:t xml:space="preserve"> a new enquiry management model that will improve the timeliness, efficienc</w:t>
      </w:r>
      <w:r w:rsidR="00DF7D28" w:rsidRPr="006A269B">
        <w:rPr>
          <w:b/>
          <w:bCs/>
        </w:rPr>
        <w:t xml:space="preserve">y </w:t>
      </w:r>
      <w:r w:rsidR="0012158C" w:rsidRPr="006A269B">
        <w:rPr>
          <w:b/>
          <w:bCs/>
        </w:rPr>
        <w:t>and documentation on how the TGA responds to enquiries from sponsors, health</w:t>
      </w:r>
      <w:r w:rsidR="002E2FE4" w:rsidRPr="006A269B">
        <w:rPr>
          <w:b/>
          <w:bCs/>
        </w:rPr>
        <w:t xml:space="preserve"> </w:t>
      </w:r>
      <w:r w:rsidR="0012158C" w:rsidRPr="006A269B">
        <w:rPr>
          <w:b/>
          <w:bCs/>
        </w:rPr>
        <w:t>professionals and</w:t>
      </w:r>
      <w:r w:rsidR="002E2FE4" w:rsidRPr="006A269B">
        <w:rPr>
          <w:b/>
          <w:bCs/>
        </w:rPr>
        <w:t xml:space="preserve"> t</w:t>
      </w:r>
      <w:r w:rsidR="0012158C" w:rsidRPr="006A269B">
        <w:rPr>
          <w:b/>
          <w:bCs/>
        </w:rPr>
        <w:t>he public.</w:t>
      </w:r>
    </w:p>
    <w:p w14:paraId="1BD5A6F6" w14:textId="11914D75" w:rsidR="00B51A82" w:rsidRDefault="00083B9D" w:rsidP="00083B9D">
      <w:r>
        <w:t>I</w:t>
      </w:r>
      <w:r w:rsidR="004016D5">
        <w:t>mplement</w:t>
      </w:r>
      <w:r>
        <w:t xml:space="preserve">ation of the TGA’s </w:t>
      </w:r>
      <w:r w:rsidR="003801E4">
        <w:t>new enquiry management</w:t>
      </w:r>
      <w:r>
        <w:t xml:space="preserve"> model is underway</w:t>
      </w:r>
      <w:r w:rsidR="008471DA">
        <w:t>,</w:t>
      </w:r>
      <w:r>
        <w:t xml:space="preserve"> and will continue </w:t>
      </w:r>
      <w:r w:rsidR="0072324A">
        <w:t>into</w:t>
      </w:r>
      <w:r>
        <w:t xml:space="preserve"> 2024. </w:t>
      </w:r>
      <w:r w:rsidR="00130B9F">
        <w:t>The</w:t>
      </w:r>
      <w:r w:rsidR="00CF3BE6">
        <w:t xml:space="preserve"> objectives </w:t>
      </w:r>
      <w:r w:rsidRPr="23B264BB">
        <w:rPr>
          <w:lang w:val="en-US"/>
        </w:rPr>
        <w:t xml:space="preserve">include </w:t>
      </w:r>
      <w:r w:rsidR="004378DA">
        <w:t>d</w:t>
      </w:r>
      <w:r w:rsidR="00285DC7">
        <w:t>eliver</w:t>
      </w:r>
      <w:r>
        <w:t>ing</w:t>
      </w:r>
      <w:r w:rsidR="00285DC7">
        <w:t xml:space="preserve"> improved customer experience</w:t>
      </w:r>
      <w:r>
        <w:t xml:space="preserve"> and a </w:t>
      </w:r>
      <w:r w:rsidR="00252454">
        <w:t>con</w:t>
      </w:r>
      <w:r w:rsidR="002C7540">
        <w:t>solidation</w:t>
      </w:r>
      <w:r>
        <w:t xml:space="preserve"> of</w:t>
      </w:r>
      <w:r w:rsidR="00DE6B52">
        <w:t xml:space="preserve"> </w:t>
      </w:r>
      <w:r>
        <w:t xml:space="preserve">enquiry channels for our </w:t>
      </w:r>
      <w:r w:rsidR="002C7540">
        <w:t xml:space="preserve">external </w:t>
      </w:r>
      <w:r>
        <w:t xml:space="preserve">stakeholders. </w:t>
      </w:r>
      <w:r w:rsidR="0043253D">
        <w:t xml:space="preserve">Improved </w:t>
      </w:r>
      <w:r w:rsidR="002C7540">
        <w:t xml:space="preserve">data </w:t>
      </w:r>
      <w:r>
        <w:t>management will</w:t>
      </w:r>
      <w:r w:rsidR="00833976">
        <w:t xml:space="preserve"> also</w:t>
      </w:r>
      <w:r>
        <w:t xml:space="preserve"> be an important</w:t>
      </w:r>
      <w:r w:rsidR="0043253D">
        <w:t xml:space="preserve"> feature of the model</w:t>
      </w:r>
      <w:r w:rsidR="00E96123">
        <w:t>,</w:t>
      </w:r>
      <w:r w:rsidR="0043253D">
        <w:t xml:space="preserve"> along with </w:t>
      </w:r>
      <w:r w:rsidR="00737B9D">
        <w:t xml:space="preserve">an uplift in staff training and </w:t>
      </w:r>
      <w:r w:rsidR="00C23583">
        <w:t>TGA</w:t>
      </w:r>
      <w:r w:rsidR="00C30E72">
        <w:t xml:space="preserve">-wide </w:t>
      </w:r>
      <w:r w:rsidR="00737B9D">
        <w:t>knowledge sharing in best practice enquiry management</w:t>
      </w:r>
      <w:r w:rsidR="00B51A82">
        <w:t>.</w:t>
      </w:r>
    </w:p>
    <w:p w14:paraId="47020919" w14:textId="0E938EE0" w:rsidR="006A269B" w:rsidRDefault="00B51A82" w:rsidP="009206F0">
      <w:r>
        <w:t>In March 2023 we launched a new</w:t>
      </w:r>
      <w:r w:rsidR="007B2DF0">
        <w:t xml:space="preserve"> online</w:t>
      </w:r>
      <w:r w:rsidR="009E2B17">
        <w:t xml:space="preserve"> </w:t>
      </w:r>
      <w:r>
        <w:t xml:space="preserve">enquiry form to enable </w:t>
      </w:r>
      <w:r w:rsidR="00D630EA">
        <w:t xml:space="preserve">external stakeholders </w:t>
      </w:r>
      <w:r w:rsidR="00AC3EBF">
        <w:t>to</w:t>
      </w:r>
      <w:r w:rsidR="000A6322">
        <w:t xml:space="preserve"> direc</w:t>
      </w:r>
      <w:r w:rsidR="008C39D0">
        <w:t>t</w:t>
      </w:r>
      <w:r w:rsidR="000262B9">
        <w:t xml:space="preserve"> </w:t>
      </w:r>
      <w:r w:rsidR="000A6322">
        <w:t xml:space="preserve">their enquiries through </w:t>
      </w:r>
      <w:r w:rsidR="000262B9">
        <w:t xml:space="preserve">specific channels. </w:t>
      </w:r>
      <w:r w:rsidR="00B03912">
        <w:t xml:space="preserve">This improvement enables </w:t>
      </w:r>
      <w:r w:rsidR="001712A0">
        <w:t>more efficient direction</w:t>
      </w:r>
      <w:r w:rsidR="00B03912">
        <w:t xml:space="preserve"> to </w:t>
      </w:r>
      <w:r w:rsidR="00C30E72">
        <w:t xml:space="preserve">the Medical Devices, </w:t>
      </w:r>
      <w:r w:rsidR="00B03912">
        <w:t xml:space="preserve">Special Access Scheme (SAS) and Authorised Prescriber (AP) </w:t>
      </w:r>
      <w:r w:rsidR="004934E6">
        <w:t>s</w:t>
      </w:r>
      <w:r w:rsidR="00B03912">
        <w:t>cheme</w:t>
      </w:r>
      <w:r w:rsidR="001712A0">
        <w:t xml:space="preserve"> teams</w:t>
      </w:r>
      <w:r w:rsidR="00B03912">
        <w:t xml:space="preserve"> for enquiries about prescribing of unapproved therapeutic goods</w:t>
      </w:r>
      <w:r w:rsidR="001712A0">
        <w:t xml:space="preserve"> and</w:t>
      </w:r>
      <w:r w:rsidR="00B03912">
        <w:t xml:space="preserve"> medical devices available in the Australian market.</w:t>
      </w:r>
    </w:p>
    <w:p w14:paraId="7FDE6CF5" w14:textId="77777777" w:rsidR="007043A9" w:rsidRDefault="007043A9">
      <w:pPr>
        <w:spacing w:before="0" w:after="160" w:line="259" w:lineRule="auto"/>
        <w:rPr>
          <w:b/>
          <w:bCs/>
        </w:rPr>
      </w:pPr>
      <w:r>
        <w:rPr>
          <w:b/>
          <w:bCs/>
        </w:rPr>
        <w:br w:type="page"/>
      </w:r>
    </w:p>
    <w:p w14:paraId="0892CB0F" w14:textId="00A53B51" w:rsidR="00A03C80" w:rsidRDefault="00565D25" w:rsidP="00536E33">
      <w:pPr>
        <w:rPr>
          <w:b/>
          <w:bCs/>
        </w:rPr>
      </w:pPr>
      <w:r w:rsidRPr="23B264BB">
        <w:rPr>
          <w:b/>
          <w:bCs/>
        </w:rPr>
        <w:lastRenderedPageBreak/>
        <w:t xml:space="preserve">Figure </w:t>
      </w:r>
      <w:r w:rsidR="00E60A49">
        <w:rPr>
          <w:b/>
          <w:bCs/>
        </w:rPr>
        <w:t>2.1</w:t>
      </w:r>
      <w:r w:rsidRPr="23B264BB">
        <w:rPr>
          <w:b/>
          <w:bCs/>
        </w:rPr>
        <w:t xml:space="preserve"> </w:t>
      </w:r>
      <w:r w:rsidR="00490845" w:rsidRPr="23B264BB">
        <w:rPr>
          <w:b/>
          <w:bCs/>
        </w:rPr>
        <w:t xml:space="preserve">TGA Contact Centre (TCC) </w:t>
      </w:r>
      <w:r w:rsidRPr="23B264BB">
        <w:rPr>
          <w:b/>
          <w:bCs/>
        </w:rPr>
        <w:t>Enquir</w:t>
      </w:r>
      <w:r w:rsidR="00490845" w:rsidRPr="23B264BB">
        <w:rPr>
          <w:b/>
          <w:bCs/>
        </w:rPr>
        <w:t xml:space="preserve">y Overview </w:t>
      </w:r>
      <w:r w:rsidR="00A03C80" w:rsidRPr="23B264BB">
        <w:rPr>
          <w:b/>
          <w:bCs/>
        </w:rPr>
        <w:t>in 2022-23</w:t>
      </w:r>
    </w:p>
    <w:p w14:paraId="26C7F88E" w14:textId="2F5B0A7D" w:rsidR="00A21B5A" w:rsidRDefault="00294283" w:rsidP="00C44DAC">
      <w:r>
        <w:rPr>
          <w:noProof/>
        </w:rPr>
        <w:drawing>
          <wp:inline distT="0" distB="0" distL="0" distR="0" wp14:anchorId="6234EBE3" wp14:editId="52DC743E">
            <wp:extent cx="5707468" cy="3907766"/>
            <wp:effectExtent l="0" t="0" r="0" b="0"/>
            <wp:docPr id="9" name="Picture 9" descr="This figure shows that of the 53,147 enquiries the TGA received 24,481 were actioned, and the contact centre's compliance with its service level standard was 96%. The discrepancy in the numbers is caused by enquiries that required no furth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that of the 53,147 enquiries the TGA received 24,481 were actioned, and the contact centre's compliance with its service level standard was 96%. The discrepancy in the numbers is caused by enquiries that required no further action."/>
                    <pic:cNvPicPr/>
                  </pic:nvPicPr>
                  <pic:blipFill>
                    <a:blip r:embed="rId31">
                      <a:extLst>
                        <a:ext uri="{28A0092B-C50C-407E-A947-70E740481C1C}">
                          <a14:useLocalDpi xmlns:a14="http://schemas.microsoft.com/office/drawing/2010/main" val="0"/>
                        </a:ext>
                      </a:extLst>
                    </a:blip>
                    <a:stretch>
                      <a:fillRect/>
                    </a:stretch>
                  </pic:blipFill>
                  <pic:spPr>
                    <a:xfrm>
                      <a:off x="0" y="0"/>
                      <a:ext cx="5724295" cy="3919287"/>
                    </a:xfrm>
                    <a:prstGeom prst="rect">
                      <a:avLst/>
                    </a:prstGeom>
                  </pic:spPr>
                </pic:pic>
              </a:graphicData>
            </a:graphic>
          </wp:inline>
        </w:drawing>
      </w:r>
    </w:p>
    <w:p w14:paraId="145FB47F" w14:textId="48017CC9" w:rsidR="00023A23" w:rsidRDefault="00C44DAC" w:rsidP="003350F1">
      <w:pPr>
        <w:spacing w:after="0" w:line="240" w:lineRule="auto"/>
      </w:pPr>
      <w:r>
        <w:t xml:space="preserve">The TGA Contact Centre (TCC) </w:t>
      </w:r>
      <w:r w:rsidR="00D06586">
        <w:t xml:space="preserve">received over </w:t>
      </w:r>
      <w:r w:rsidR="00A21B5A">
        <w:t>5</w:t>
      </w:r>
      <w:r w:rsidR="00982390">
        <w:t>3</w:t>
      </w:r>
      <w:r w:rsidR="00D06586">
        <w:t xml:space="preserve">,000 enquiries </w:t>
      </w:r>
      <w:r w:rsidR="0072324A">
        <w:t xml:space="preserve">in </w:t>
      </w:r>
      <w:r w:rsidR="006D7868">
        <w:t>2022-2</w:t>
      </w:r>
      <w:r w:rsidR="008055DC">
        <w:t>3</w:t>
      </w:r>
      <w:r w:rsidR="790D30C2">
        <w:t>,</w:t>
      </w:r>
      <w:r w:rsidR="00762954">
        <w:t xml:space="preserve"> </w:t>
      </w:r>
      <w:r w:rsidR="006D7868">
        <w:t>action</w:t>
      </w:r>
      <w:r w:rsidR="006301CD">
        <w:t>ing</w:t>
      </w:r>
      <w:r w:rsidR="00F8242C">
        <w:t xml:space="preserve"> 87</w:t>
      </w:r>
      <w:r w:rsidR="00097735">
        <w:t>%</w:t>
      </w:r>
      <w:r w:rsidR="00762954">
        <w:t xml:space="preserve"> </w:t>
      </w:r>
      <w:r w:rsidR="003E45BE">
        <w:t>of enquiries a</w:t>
      </w:r>
      <w:r w:rsidR="00715453">
        <w:t xml:space="preserve">vailable to action </w:t>
      </w:r>
      <w:r w:rsidR="00762954">
        <w:t xml:space="preserve">while maintaining a </w:t>
      </w:r>
      <w:r w:rsidR="007963B3">
        <w:t xml:space="preserve">compliance rate of </w:t>
      </w:r>
      <w:r w:rsidR="00762954">
        <w:t xml:space="preserve">96% </w:t>
      </w:r>
      <w:r w:rsidR="007963B3">
        <w:t xml:space="preserve">with </w:t>
      </w:r>
      <w:r w:rsidR="00F8242C">
        <w:t>our</w:t>
      </w:r>
      <w:r w:rsidR="007963B3">
        <w:t xml:space="preserve"> service level agreements</w:t>
      </w:r>
      <w:r w:rsidR="006301CD">
        <w:t xml:space="preserve"> for enquiry response times</w:t>
      </w:r>
      <w:r w:rsidR="007963B3">
        <w:t xml:space="preserve">. </w:t>
      </w:r>
      <w:r w:rsidR="009F4E8D">
        <w:t>These metrics represent a marked increase from the previous financial year, with an additional 31%</w:t>
      </w:r>
      <w:r w:rsidR="002611BC">
        <w:t xml:space="preserve"> of</w:t>
      </w:r>
      <w:r w:rsidR="009F4E8D">
        <w:t xml:space="preserve"> available enquiries actioned and an increase of 10% compliance with our service level agreements.</w:t>
      </w:r>
    </w:p>
    <w:p w14:paraId="0BB2D111" w14:textId="27019DFE" w:rsidR="00B453DF" w:rsidRPr="00285DC7" w:rsidRDefault="0D22674A" w:rsidP="00DD4691">
      <w:pPr>
        <w:pStyle w:val="Heading2"/>
      </w:pPr>
      <w:bookmarkStart w:id="41" w:name="_Toc153550402"/>
      <w:r>
        <w:t>Engagement with industry and consumer groups</w:t>
      </w:r>
      <w:bookmarkEnd w:id="41"/>
    </w:p>
    <w:p w14:paraId="5651FB27" w14:textId="23A24695" w:rsidR="009A7AE8" w:rsidRPr="006E4674" w:rsidRDefault="009A7AE8" w:rsidP="008B2B37">
      <w:pPr>
        <w:pStyle w:val="ListParagraph"/>
        <w:numPr>
          <w:ilvl w:val="0"/>
          <w:numId w:val="0"/>
        </w:numPr>
        <w:rPr>
          <w:b/>
          <w:bCs/>
        </w:rPr>
      </w:pPr>
      <w:r w:rsidRPr="006E4674">
        <w:rPr>
          <w:b/>
          <w:bCs/>
        </w:rPr>
        <w:t>We are c</w:t>
      </w:r>
      <w:r w:rsidR="0012158C" w:rsidRPr="006E4674">
        <w:rPr>
          <w:b/>
          <w:bCs/>
        </w:rPr>
        <w:t xml:space="preserve">ontinuing </w:t>
      </w:r>
      <w:r w:rsidR="004E2F2B" w:rsidRPr="006E4674">
        <w:rPr>
          <w:b/>
          <w:bCs/>
        </w:rPr>
        <w:t xml:space="preserve">our </w:t>
      </w:r>
      <w:r w:rsidR="0012158C" w:rsidRPr="006E4674">
        <w:rPr>
          <w:b/>
          <w:bCs/>
        </w:rPr>
        <w:t>engagement with industry and increasing engagement with consumer groups to</w:t>
      </w:r>
      <w:r w:rsidR="001F6F59" w:rsidRPr="006E4674">
        <w:rPr>
          <w:b/>
          <w:bCs/>
        </w:rPr>
        <w:t xml:space="preserve"> i</w:t>
      </w:r>
      <w:r w:rsidR="0012158C" w:rsidRPr="006E4674">
        <w:rPr>
          <w:b/>
          <w:bCs/>
        </w:rPr>
        <w:t>mprove regulatory practices and transparency of our regulatory decisions.</w:t>
      </w:r>
    </w:p>
    <w:p w14:paraId="028EFA94" w14:textId="253F78B8" w:rsidR="68444176" w:rsidRPr="00FF21CE" w:rsidRDefault="00EB145C" w:rsidP="009B2942">
      <w:pPr>
        <w:rPr>
          <w:rFonts w:eastAsiaTheme="minorEastAsia"/>
          <w:b/>
          <w:szCs w:val="22"/>
        </w:rPr>
      </w:pPr>
      <w:r w:rsidRPr="00FF21CE">
        <w:t xml:space="preserve">The TGA continues to strengthen </w:t>
      </w:r>
      <w:r w:rsidR="009B2942" w:rsidRPr="00FF21CE">
        <w:t>our</w:t>
      </w:r>
      <w:r w:rsidRPr="00FF21CE">
        <w:t xml:space="preserve"> engagement with industry and consumer groups through their involvement on, and with, multiple committees and working groups across the various therapeutic good</w:t>
      </w:r>
      <w:r w:rsidR="008C436E" w:rsidRPr="00FF21CE">
        <w:t>s</w:t>
      </w:r>
      <w:r w:rsidRPr="00FF21CE">
        <w:t xml:space="preserve"> sectors. These fora, augmented by independent expert advice from statutory advisory committees, ensure decisions on scientific and technical matters, policy</w:t>
      </w:r>
      <w:r w:rsidR="009D36A9">
        <w:t>,</w:t>
      </w:r>
      <w:r w:rsidRPr="00FF21CE">
        <w:t xml:space="preserve"> and other issues are well informed. The </w:t>
      </w:r>
      <w:r w:rsidR="008C436E" w:rsidRPr="00FF21CE">
        <w:t>advice</w:t>
      </w:r>
      <w:r w:rsidRPr="00FF21CE">
        <w:t xml:space="preserve"> provided by these committees is an important element in </w:t>
      </w:r>
      <w:r w:rsidR="008C436E" w:rsidRPr="00FF21CE">
        <w:t>improving our</w:t>
      </w:r>
      <w:r w:rsidRPr="00FF21CE">
        <w:t xml:space="preserve"> regulatory functions and we continue to </w:t>
      </w:r>
      <w:r w:rsidR="008C436E" w:rsidRPr="00FF21CE">
        <w:t>publish outcomes to ensure</w:t>
      </w:r>
      <w:r w:rsidRPr="00FF21CE">
        <w:t xml:space="preserve"> transparency with respect to our regulatory decision</w:t>
      </w:r>
      <w:r w:rsidR="008C436E" w:rsidRPr="00FF21CE">
        <w:t>-making.</w:t>
      </w:r>
      <w:r w:rsidRPr="00FF21CE">
        <w:t xml:space="preserve"> </w:t>
      </w:r>
    </w:p>
    <w:p w14:paraId="7E5D9637" w14:textId="0C6C2522" w:rsidR="58EE3C73" w:rsidRPr="00063BCD" w:rsidRDefault="37BA03F8" w:rsidP="40EB8B97">
      <w:pPr>
        <w:pStyle w:val="Heading3"/>
      </w:pPr>
      <w:bookmarkStart w:id="42" w:name="_Toc153550403"/>
      <w:r>
        <w:t>M</w:t>
      </w:r>
      <w:r w:rsidR="0C9BB181">
        <w:t>edicines</w:t>
      </w:r>
      <w:bookmarkEnd w:id="42"/>
    </w:p>
    <w:p w14:paraId="3A755E10" w14:textId="12DAF242" w:rsidR="00506DDE" w:rsidRPr="00EE59B9" w:rsidRDefault="6846DAD0" w:rsidP="08FC2E6C">
      <w:pPr>
        <w:rPr>
          <w:rFonts w:cs="Arial"/>
        </w:rPr>
      </w:pPr>
      <w:r w:rsidRPr="00EE59B9">
        <w:rPr>
          <w:rFonts w:cs="Arial"/>
        </w:rPr>
        <w:t>In 2022-23, we have</w:t>
      </w:r>
      <w:r w:rsidR="5799E46F" w:rsidRPr="00EE59B9">
        <w:rPr>
          <w:rFonts w:cs="Arial"/>
        </w:rPr>
        <w:t xml:space="preserve"> </w:t>
      </w:r>
      <w:r w:rsidR="31821EF9" w:rsidRPr="00EE59B9">
        <w:rPr>
          <w:rFonts w:cs="Arial"/>
        </w:rPr>
        <w:t>continued to engage with industry and consumer groups</w:t>
      </w:r>
      <w:r w:rsidR="25455389" w:rsidRPr="00EE59B9">
        <w:rPr>
          <w:rFonts w:cs="Arial"/>
        </w:rPr>
        <w:t>.</w:t>
      </w:r>
    </w:p>
    <w:p w14:paraId="670BE043" w14:textId="77777777" w:rsidR="00712595" w:rsidRDefault="00712595" w:rsidP="00712595">
      <w:pPr>
        <w:spacing w:before="0" w:after="0"/>
        <w:ind w:left="360" w:hanging="360"/>
        <w:rPr>
          <w:rFonts w:eastAsia="Calibri"/>
          <w:szCs w:val="22"/>
        </w:rPr>
      </w:pPr>
      <w:r w:rsidRPr="00712595">
        <w:rPr>
          <w:rFonts w:eastAsia="Calibri"/>
          <w:szCs w:val="22"/>
        </w:rPr>
        <w:t>In relation to non-prescription medicines we</w:t>
      </w:r>
      <w:r>
        <w:rPr>
          <w:rFonts w:eastAsia="Calibri"/>
          <w:szCs w:val="22"/>
        </w:rPr>
        <w:t>:</w:t>
      </w:r>
    </w:p>
    <w:p w14:paraId="4EE4325A" w14:textId="254BC687" w:rsidR="00712595" w:rsidRPr="00712595" w:rsidRDefault="00712595" w:rsidP="00712595">
      <w:pPr>
        <w:spacing w:before="0" w:after="0"/>
        <w:ind w:left="360" w:hanging="360"/>
        <w:rPr>
          <w:rFonts w:eastAsia="Calibri"/>
          <w:szCs w:val="22"/>
        </w:rPr>
      </w:pPr>
      <w:r w:rsidRPr="00712595">
        <w:rPr>
          <w:rFonts w:eastAsia="Calibri"/>
          <w:szCs w:val="22"/>
        </w:rPr>
        <w:t xml:space="preserve"> </w:t>
      </w:r>
    </w:p>
    <w:p w14:paraId="239A144A" w14:textId="7F3F17D7" w:rsidR="0072324A" w:rsidRPr="007E7468" w:rsidRDefault="46DD3872" w:rsidP="00ED1A1F">
      <w:pPr>
        <w:pStyle w:val="ListParagraph"/>
        <w:numPr>
          <w:ilvl w:val="0"/>
          <w:numId w:val="19"/>
        </w:numPr>
        <w:spacing w:before="0" w:after="0"/>
        <w:rPr>
          <w:rFonts w:eastAsia="Calibri"/>
          <w:szCs w:val="22"/>
        </w:rPr>
      </w:pPr>
      <w:r w:rsidRPr="007E7468">
        <w:rPr>
          <w:rFonts w:eastAsia="Calibri"/>
          <w:szCs w:val="22"/>
        </w:rPr>
        <w:t>answered over 3</w:t>
      </w:r>
      <w:r w:rsidR="0072324A">
        <w:rPr>
          <w:rFonts w:eastAsia="Calibri"/>
          <w:szCs w:val="22"/>
        </w:rPr>
        <w:t>,</w:t>
      </w:r>
      <w:r w:rsidRPr="007E7468">
        <w:rPr>
          <w:rFonts w:eastAsia="Calibri"/>
          <w:szCs w:val="22"/>
        </w:rPr>
        <w:t>085 emails and 4</w:t>
      </w:r>
      <w:r w:rsidR="0072324A">
        <w:rPr>
          <w:rFonts w:eastAsia="Calibri"/>
          <w:szCs w:val="22"/>
        </w:rPr>
        <w:t>,</w:t>
      </w:r>
      <w:r w:rsidRPr="007E7468">
        <w:rPr>
          <w:rFonts w:eastAsia="Calibri"/>
          <w:szCs w:val="22"/>
        </w:rPr>
        <w:t>296 phone calls from stakeholders</w:t>
      </w:r>
    </w:p>
    <w:p w14:paraId="216D44B7" w14:textId="2C6FEB57" w:rsidR="0072324A" w:rsidRPr="007E7468" w:rsidRDefault="46DD3872" w:rsidP="00ED1A1F">
      <w:pPr>
        <w:pStyle w:val="ListParagraph"/>
        <w:numPr>
          <w:ilvl w:val="0"/>
          <w:numId w:val="19"/>
        </w:numPr>
        <w:spacing w:before="0" w:after="0"/>
        <w:rPr>
          <w:rFonts w:eastAsia="Calibri"/>
          <w:szCs w:val="22"/>
        </w:rPr>
      </w:pPr>
      <w:r w:rsidRPr="007E7468">
        <w:rPr>
          <w:rFonts w:eastAsia="Calibri"/>
          <w:szCs w:val="22"/>
        </w:rPr>
        <w:t>published the results of 203 listed medicine compliance reviews and published compliance information for consumers</w:t>
      </w:r>
    </w:p>
    <w:p w14:paraId="3C670062" w14:textId="128AD459" w:rsidR="0072324A" w:rsidRPr="007E7468" w:rsidRDefault="46DD3872" w:rsidP="00ED1A1F">
      <w:pPr>
        <w:pStyle w:val="ListParagraph"/>
        <w:numPr>
          <w:ilvl w:val="0"/>
          <w:numId w:val="19"/>
        </w:numPr>
        <w:spacing w:before="0" w:after="0"/>
        <w:rPr>
          <w:rFonts w:eastAsia="Calibri"/>
          <w:szCs w:val="22"/>
        </w:rPr>
      </w:pPr>
      <w:r w:rsidRPr="007E7468">
        <w:rPr>
          <w:rFonts w:eastAsia="Calibri"/>
          <w:szCs w:val="22"/>
        </w:rPr>
        <w:lastRenderedPageBreak/>
        <w:t>met with peak industry groups in 2 consultative forum meetings (Comtech), 5 bilateral meetings and 6 individual meetings</w:t>
      </w:r>
    </w:p>
    <w:p w14:paraId="09AFAB38" w14:textId="06C217D1" w:rsidR="0069090A" w:rsidRPr="007E7468" w:rsidRDefault="46DD3872" w:rsidP="007E7468">
      <w:pPr>
        <w:pStyle w:val="ListParagraph"/>
        <w:rPr>
          <w:rFonts w:eastAsia="Calibri"/>
          <w:szCs w:val="22"/>
        </w:rPr>
      </w:pPr>
      <w:r w:rsidRPr="007E7468">
        <w:rPr>
          <w:rFonts w:eastAsia="Calibri"/>
          <w:szCs w:val="22"/>
        </w:rPr>
        <w:t>published two public consultations</w:t>
      </w:r>
      <w:r w:rsidR="00D15FF1">
        <w:rPr>
          <w:rFonts w:eastAsia="Calibri"/>
          <w:szCs w:val="22"/>
        </w:rPr>
        <w:t xml:space="preserve"> on</w:t>
      </w:r>
      <w:r w:rsidRPr="007E7468">
        <w:rPr>
          <w:rFonts w:eastAsia="Calibri"/>
          <w:szCs w:val="22"/>
        </w:rPr>
        <w:t xml:space="preserve"> </w:t>
      </w:r>
      <w:r w:rsidR="005D3FF5">
        <w:rPr>
          <w:rFonts w:eastAsia="Calibri"/>
          <w:szCs w:val="22"/>
        </w:rPr>
        <w:t>c</w:t>
      </w:r>
      <w:r w:rsidR="005D3FF5" w:rsidRPr="00B54E38">
        <w:rPr>
          <w:rFonts w:eastAsia="Calibri"/>
          <w:szCs w:val="22"/>
        </w:rPr>
        <w:t xml:space="preserve">larification and updates to the regulation of sunscreens and </w:t>
      </w:r>
      <w:r w:rsidR="005D3FF5">
        <w:rPr>
          <w:rFonts w:eastAsia="Calibri"/>
          <w:szCs w:val="22"/>
        </w:rPr>
        <w:t>p</w:t>
      </w:r>
      <w:r w:rsidR="005D3FF5" w:rsidRPr="00B54E38">
        <w:rPr>
          <w:rFonts w:eastAsia="Calibri"/>
          <w:szCs w:val="22"/>
        </w:rPr>
        <w:t>roposed changes to the Permissible Ingredients Determinatio</w:t>
      </w:r>
      <w:r w:rsidR="0069090A">
        <w:rPr>
          <w:rFonts w:eastAsia="Calibri"/>
          <w:szCs w:val="22"/>
        </w:rPr>
        <w:t>n</w:t>
      </w:r>
    </w:p>
    <w:p w14:paraId="792EEB9C" w14:textId="1322039A" w:rsidR="0072324A" w:rsidRPr="0069090A" w:rsidRDefault="46DD3872" w:rsidP="007E7468">
      <w:pPr>
        <w:pStyle w:val="ListParagraph"/>
      </w:pPr>
      <w:r w:rsidRPr="0069090A">
        <w:t>published mandatory requirements and guidance for applications for new ingredients in listed medicines</w:t>
      </w:r>
    </w:p>
    <w:p w14:paraId="0467CD5E" w14:textId="00CDDCE8" w:rsidR="46DD3872" w:rsidRPr="007E7468" w:rsidRDefault="46DD3872" w:rsidP="00ED1A1F">
      <w:pPr>
        <w:pStyle w:val="ListParagraph"/>
        <w:numPr>
          <w:ilvl w:val="0"/>
          <w:numId w:val="19"/>
        </w:numPr>
        <w:spacing w:before="0" w:after="0"/>
        <w:rPr>
          <w:rFonts w:eastAsia="Calibri"/>
          <w:szCs w:val="22"/>
        </w:rPr>
      </w:pPr>
      <w:r w:rsidRPr="007E7468">
        <w:rPr>
          <w:rFonts w:eastAsia="Calibri"/>
          <w:szCs w:val="22"/>
        </w:rPr>
        <w:t>presented at a range of speaking events, such as ARCS (Association of Regulatory and Clinical Scientists) and industry organised webinars.</w:t>
      </w:r>
    </w:p>
    <w:p w14:paraId="3A5FA3C7" w14:textId="5E3C290D" w:rsidR="08FC2E6C" w:rsidRDefault="08FC2E6C" w:rsidP="08FC2E6C">
      <w:pPr>
        <w:spacing w:before="40" w:after="80"/>
        <w:rPr>
          <w:rFonts w:eastAsia="Calibri"/>
          <w:szCs w:val="22"/>
          <w:highlight w:val="yellow"/>
        </w:rPr>
      </w:pPr>
    </w:p>
    <w:p w14:paraId="04D5D57A" w14:textId="5FF9E6E8" w:rsidR="78424E7F" w:rsidRDefault="00284919" w:rsidP="01E63B6E">
      <w:pPr>
        <w:spacing w:before="40" w:after="80"/>
        <w:rPr>
          <w:rFonts w:eastAsia="Calibri"/>
        </w:rPr>
      </w:pPr>
      <w:r>
        <w:rPr>
          <w:rFonts w:eastAsia="Calibri"/>
        </w:rPr>
        <w:t>T</w:t>
      </w:r>
      <w:r w:rsidR="78424E7F" w:rsidRPr="0BF1314D">
        <w:rPr>
          <w:rFonts w:eastAsia="Calibri"/>
        </w:rPr>
        <w:t xml:space="preserve">he </w:t>
      </w:r>
      <w:r w:rsidR="78424E7F" w:rsidRPr="00CD36F2">
        <w:rPr>
          <w:rFonts w:eastAsia="Calibri"/>
        </w:rPr>
        <w:t>Sp</w:t>
      </w:r>
      <w:r w:rsidR="78424E7F" w:rsidRPr="0BF1314D">
        <w:rPr>
          <w:rFonts w:eastAsia="Calibri"/>
        </w:rPr>
        <w:t>ecial Access Section</w:t>
      </w:r>
      <w:r w:rsidR="424E80F8" w:rsidRPr="68D1A86D">
        <w:rPr>
          <w:rFonts w:eastAsia="Calibri"/>
        </w:rPr>
        <w:t xml:space="preserve"> </w:t>
      </w:r>
      <w:r w:rsidR="424E80F8" w:rsidRPr="3F53E610">
        <w:rPr>
          <w:rFonts w:eastAsia="Calibri"/>
        </w:rPr>
        <w:t xml:space="preserve">within </w:t>
      </w:r>
      <w:r w:rsidR="424E80F8" w:rsidRPr="3C1CDCC6">
        <w:rPr>
          <w:rFonts w:eastAsia="Calibri"/>
        </w:rPr>
        <w:t>the</w:t>
      </w:r>
      <w:r w:rsidR="424E80F8" w:rsidRPr="3F53E610">
        <w:rPr>
          <w:rFonts w:eastAsia="Calibri"/>
        </w:rPr>
        <w:t xml:space="preserve"> </w:t>
      </w:r>
      <w:r w:rsidR="424E80F8" w:rsidRPr="68D1A86D">
        <w:rPr>
          <w:rFonts w:eastAsia="Calibri"/>
        </w:rPr>
        <w:t xml:space="preserve">International </w:t>
      </w:r>
      <w:r w:rsidR="424E80F8" w:rsidRPr="05B5ABE1">
        <w:rPr>
          <w:rFonts w:eastAsia="Calibri"/>
        </w:rPr>
        <w:t xml:space="preserve">Regulatory </w:t>
      </w:r>
      <w:r w:rsidR="424E80F8" w:rsidRPr="577C71CD">
        <w:rPr>
          <w:rFonts w:eastAsia="Calibri"/>
        </w:rPr>
        <w:t>Branch</w:t>
      </w:r>
      <w:r>
        <w:rPr>
          <w:rFonts w:eastAsia="Calibri"/>
        </w:rPr>
        <w:t xml:space="preserve"> has</w:t>
      </w:r>
      <w:r w:rsidR="78424E7F" w:rsidRPr="0BF1314D">
        <w:rPr>
          <w:rFonts w:eastAsia="Calibri"/>
        </w:rPr>
        <w:t xml:space="preserve"> responded to over 15,000 emails and 2</w:t>
      </w:r>
      <w:r w:rsidR="0069090A">
        <w:rPr>
          <w:rFonts w:eastAsia="Calibri"/>
        </w:rPr>
        <w:t>,</w:t>
      </w:r>
      <w:r w:rsidR="78424E7F" w:rsidRPr="0BF1314D">
        <w:rPr>
          <w:rFonts w:eastAsia="Calibri"/>
        </w:rPr>
        <w:t>700</w:t>
      </w:r>
      <w:r w:rsidR="78424E7F" w:rsidRPr="73C8A58F">
        <w:rPr>
          <w:rFonts w:eastAsia="Calibri"/>
        </w:rPr>
        <w:t xml:space="preserve"> phone calls</w:t>
      </w:r>
      <w:r w:rsidR="78424E7F" w:rsidRPr="569B4B72">
        <w:rPr>
          <w:rFonts w:eastAsia="Calibri"/>
        </w:rPr>
        <w:t xml:space="preserve"> from </w:t>
      </w:r>
      <w:r w:rsidR="78424E7F" w:rsidRPr="14D7426F">
        <w:rPr>
          <w:rFonts w:eastAsia="Calibri"/>
        </w:rPr>
        <w:t>stakeholders</w:t>
      </w:r>
      <w:r w:rsidR="43A8E59B" w:rsidRPr="351F4CAE">
        <w:rPr>
          <w:rFonts w:eastAsia="Calibri"/>
        </w:rPr>
        <w:t xml:space="preserve">. </w:t>
      </w:r>
      <w:r w:rsidR="6D63CEDA" w:rsidRPr="6658481E">
        <w:rPr>
          <w:rFonts w:eastAsia="Calibri"/>
        </w:rPr>
        <w:t>The m</w:t>
      </w:r>
      <w:r w:rsidR="27ADEF26" w:rsidRPr="6658481E">
        <w:rPr>
          <w:rFonts w:eastAsia="Calibri"/>
        </w:rPr>
        <w:t>ost</w:t>
      </w:r>
      <w:r w:rsidR="27ADEF26" w:rsidRPr="68DAF6B9">
        <w:rPr>
          <w:rFonts w:eastAsia="Calibri"/>
        </w:rPr>
        <w:t xml:space="preserve"> </w:t>
      </w:r>
      <w:r w:rsidR="27ADEF26" w:rsidRPr="744977F2">
        <w:rPr>
          <w:rFonts w:eastAsia="Calibri"/>
        </w:rPr>
        <w:t>frequent</w:t>
      </w:r>
      <w:r w:rsidR="48DE9F42" w:rsidRPr="21BABDA5">
        <w:rPr>
          <w:rFonts w:eastAsia="Calibri"/>
        </w:rPr>
        <w:t xml:space="preserve"> t</w:t>
      </w:r>
      <w:r w:rsidR="43A8E59B" w:rsidRPr="21BABDA5">
        <w:rPr>
          <w:rFonts w:eastAsia="Calibri"/>
        </w:rPr>
        <w:t>opics</w:t>
      </w:r>
      <w:r w:rsidR="43A8E59B" w:rsidRPr="351F4CAE">
        <w:rPr>
          <w:rFonts w:eastAsia="Calibri"/>
        </w:rPr>
        <w:t xml:space="preserve"> </w:t>
      </w:r>
      <w:r w:rsidR="3EB6263C" w:rsidRPr="6C926CC4">
        <w:rPr>
          <w:rFonts w:eastAsia="Calibri"/>
        </w:rPr>
        <w:t xml:space="preserve">have </w:t>
      </w:r>
      <w:r w:rsidR="3EB6263C" w:rsidRPr="33C086B1">
        <w:rPr>
          <w:rFonts w:eastAsia="Calibri"/>
        </w:rPr>
        <w:t>been</w:t>
      </w:r>
      <w:r w:rsidR="43A8E59B" w:rsidRPr="42211A45">
        <w:rPr>
          <w:rFonts w:eastAsia="Calibri"/>
        </w:rPr>
        <w:t xml:space="preserve">: </w:t>
      </w:r>
    </w:p>
    <w:p w14:paraId="4075D064" w14:textId="74A04EB3" w:rsidR="40F904BD" w:rsidRDefault="0069090A" w:rsidP="00ED1A1F">
      <w:pPr>
        <w:pStyle w:val="ListParagraph"/>
        <w:numPr>
          <w:ilvl w:val="0"/>
          <w:numId w:val="15"/>
        </w:numPr>
        <w:rPr>
          <w:rFonts w:eastAsia="Calibri"/>
          <w:szCs w:val="22"/>
        </w:rPr>
      </w:pPr>
      <w:r>
        <w:rPr>
          <w:rFonts w:eastAsia="Calibri"/>
          <w:szCs w:val="22"/>
        </w:rPr>
        <w:t>a</w:t>
      </w:r>
      <w:r w:rsidR="40E77D89" w:rsidRPr="0673220B">
        <w:rPr>
          <w:rFonts w:eastAsia="Calibri"/>
          <w:szCs w:val="22"/>
        </w:rPr>
        <w:t xml:space="preserve">ccessing unapproved </w:t>
      </w:r>
      <w:r w:rsidR="40E77D89" w:rsidRPr="6D979D5F">
        <w:rPr>
          <w:rFonts w:eastAsia="Calibri"/>
          <w:szCs w:val="22"/>
        </w:rPr>
        <w:t>therapeutic goods</w:t>
      </w:r>
      <w:r w:rsidR="40E77D89" w:rsidRPr="0673220B">
        <w:rPr>
          <w:rFonts w:eastAsia="Calibri"/>
          <w:szCs w:val="22"/>
        </w:rPr>
        <w:t xml:space="preserve"> </w:t>
      </w:r>
    </w:p>
    <w:p w14:paraId="31F67D48" w14:textId="44F81F7D" w:rsidR="78424E7F" w:rsidRDefault="0069090A" w:rsidP="00ED1A1F">
      <w:pPr>
        <w:pStyle w:val="ListParagraph"/>
        <w:numPr>
          <w:ilvl w:val="0"/>
          <w:numId w:val="15"/>
        </w:numPr>
        <w:rPr>
          <w:rFonts w:eastAsia="Calibri"/>
          <w:szCs w:val="22"/>
        </w:rPr>
      </w:pPr>
      <w:r>
        <w:rPr>
          <w:rFonts w:eastAsia="Calibri"/>
        </w:rPr>
        <w:t>t</w:t>
      </w:r>
      <w:r w:rsidR="6EC93E50" w:rsidRPr="4D19ABF9">
        <w:rPr>
          <w:rFonts w:eastAsia="Calibri"/>
        </w:rPr>
        <w:t xml:space="preserve">he </w:t>
      </w:r>
      <w:r w:rsidR="5F67098C" w:rsidRPr="67E01089">
        <w:rPr>
          <w:rFonts w:eastAsia="Calibri"/>
        </w:rPr>
        <w:t xml:space="preserve">Special </w:t>
      </w:r>
      <w:r w:rsidR="5F67098C" w:rsidRPr="6654B1B1">
        <w:rPr>
          <w:rFonts w:eastAsia="Calibri"/>
        </w:rPr>
        <w:t xml:space="preserve">Access Scheme </w:t>
      </w:r>
      <w:r w:rsidR="20967D9B" w:rsidRPr="19C96B95">
        <w:rPr>
          <w:rFonts w:eastAsia="Calibri"/>
        </w:rPr>
        <w:t>(SAS)</w:t>
      </w:r>
      <w:r w:rsidR="5F67098C" w:rsidRPr="3B2AE03B">
        <w:rPr>
          <w:rFonts w:eastAsia="Calibri"/>
        </w:rPr>
        <w:t xml:space="preserve"> </w:t>
      </w:r>
      <w:r w:rsidR="5F67098C" w:rsidRPr="6654B1B1">
        <w:rPr>
          <w:rFonts w:eastAsia="Calibri"/>
        </w:rPr>
        <w:t xml:space="preserve">and </w:t>
      </w:r>
      <w:r w:rsidR="5F67098C" w:rsidRPr="49D36016">
        <w:rPr>
          <w:rFonts w:eastAsia="Calibri"/>
        </w:rPr>
        <w:t xml:space="preserve">Authorised Prescriber </w:t>
      </w:r>
      <w:r w:rsidR="4C7CC4D8" w:rsidRPr="19C96B95">
        <w:rPr>
          <w:rFonts w:eastAsia="Calibri"/>
        </w:rPr>
        <w:t>(AP)</w:t>
      </w:r>
      <w:r w:rsidR="5F67098C" w:rsidRPr="19C96B95">
        <w:rPr>
          <w:rFonts w:eastAsia="Calibri"/>
        </w:rPr>
        <w:t xml:space="preserve"> </w:t>
      </w:r>
      <w:r w:rsidR="44C1BC4D" w:rsidRPr="3132B9C5">
        <w:rPr>
          <w:rFonts w:eastAsia="Calibri"/>
        </w:rPr>
        <w:t>pathway</w:t>
      </w:r>
      <w:r w:rsidR="5F67098C" w:rsidRPr="49D36016">
        <w:rPr>
          <w:rFonts w:eastAsia="Calibri"/>
        </w:rPr>
        <w:t xml:space="preserve"> </w:t>
      </w:r>
    </w:p>
    <w:p w14:paraId="7667076E" w14:textId="576F3666" w:rsidR="2400668F" w:rsidRDefault="2400668F" w:rsidP="00ED1A1F">
      <w:pPr>
        <w:pStyle w:val="ListParagraph"/>
        <w:numPr>
          <w:ilvl w:val="0"/>
          <w:numId w:val="15"/>
        </w:numPr>
        <w:rPr>
          <w:rFonts w:eastAsia="Calibri"/>
          <w:szCs w:val="22"/>
        </w:rPr>
      </w:pPr>
      <w:r w:rsidRPr="68DAF6B9">
        <w:rPr>
          <w:rFonts w:eastAsia="Calibri"/>
          <w:szCs w:val="22"/>
        </w:rPr>
        <w:t xml:space="preserve">SAS/AP Online system </w:t>
      </w:r>
    </w:p>
    <w:p w14:paraId="78087593" w14:textId="7DDCEA87" w:rsidR="7ADB314C" w:rsidRDefault="006C161D" w:rsidP="00ED1A1F">
      <w:pPr>
        <w:pStyle w:val="ListParagraph"/>
        <w:numPr>
          <w:ilvl w:val="0"/>
          <w:numId w:val="15"/>
        </w:numPr>
        <w:rPr>
          <w:rFonts w:eastAsia="Calibri"/>
          <w:szCs w:val="22"/>
        </w:rPr>
      </w:pPr>
      <w:r>
        <w:rPr>
          <w:rFonts w:eastAsia="Calibri"/>
          <w:szCs w:val="22"/>
        </w:rPr>
        <w:t>p</w:t>
      </w:r>
      <w:r w:rsidR="7ADB314C" w:rsidRPr="45D65BA4">
        <w:rPr>
          <w:rFonts w:eastAsia="Calibri"/>
          <w:szCs w:val="22"/>
        </w:rPr>
        <w:t xml:space="preserve">ersonal importation and the traveller’s exemption </w:t>
      </w:r>
    </w:p>
    <w:p w14:paraId="1D0FDB92" w14:textId="584A5029" w:rsidR="431FBF1B" w:rsidRDefault="7ADB314C" w:rsidP="00ED1A1F">
      <w:pPr>
        <w:pStyle w:val="ListParagraph"/>
        <w:numPr>
          <w:ilvl w:val="0"/>
          <w:numId w:val="15"/>
        </w:numPr>
        <w:rPr>
          <w:rFonts w:eastAsia="Calibri"/>
          <w:szCs w:val="22"/>
        </w:rPr>
      </w:pPr>
      <w:r w:rsidRPr="6EB03D7D">
        <w:rPr>
          <w:rFonts w:eastAsia="Calibri"/>
          <w:szCs w:val="22"/>
        </w:rPr>
        <w:t xml:space="preserve">MDMA, Psilocybin, medicinal cannabis and </w:t>
      </w:r>
      <w:r w:rsidR="4613B983" w:rsidRPr="77ED18D8">
        <w:rPr>
          <w:rFonts w:eastAsia="Calibri"/>
          <w:szCs w:val="22"/>
        </w:rPr>
        <w:t>v</w:t>
      </w:r>
      <w:r w:rsidRPr="77ED18D8">
        <w:rPr>
          <w:rFonts w:eastAsia="Calibri"/>
          <w:szCs w:val="22"/>
        </w:rPr>
        <w:t>aping</w:t>
      </w:r>
      <w:r w:rsidRPr="431FBF1B">
        <w:rPr>
          <w:rFonts w:eastAsia="Calibri"/>
          <w:szCs w:val="22"/>
        </w:rPr>
        <w:t xml:space="preserve"> </w:t>
      </w:r>
      <w:r w:rsidRPr="2840C9A6">
        <w:rPr>
          <w:rFonts w:eastAsia="Calibri"/>
          <w:szCs w:val="22"/>
        </w:rPr>
        <w:t>product</w:t>
      </w:r>
      <w:r w:rsidR="00047A34">
        <w:rPr>
          <w:rFonts w:eastAsia="Calibri"/>
          <w:szCs w:val="22"/>
        </w:rPr>
        <w:t>s</w:t>
      </w:r>
    </w:p>
    <w:p w14:paraId="474D4DD6" w14:textId="1F1E415E" w:rsidR="4FBB84C5" w:rsidRDefault="006C161D" w:rsidP="00ED1A1F">
      <w:pPr>
        <w:pStyle w:val="ListParagraph"/>
        <w:numPr>
          <w:ilvl w:val="0"/>
          <w:numId w:val="15"/>
        </w:numPr>
        <w:rPr>
          <w:rFonts w:eastAsia="Calibri"/>
          <w:szCs w:val="22"/>
        </w:rPr>
      </w:pPr>
      <w:r>
        <w:rPr>
          <w:rFonts w:eastAsia="Calibri"/>
          <w:szCs w:val="22"/>
        </w:rPr>
        <w:t>s</w:t>
      </w:r>
      <w:r w:rsidR="4FBB84C5" w:rsidRPr="7AB1C90A">
        <w:rPr>
          <w:rFonts w:eastAsia="Calibri"/>
          <w:szCs w:val="22"/>
        </w:rPr>
        <w:t xml:space="preserve">ponsor requirements in relation to </w:t>
      </w:r>
      <w:r w:rsidR="4FBB84C5" w:rsidRPr="5BD633CA">
        <w:rPr>
          <w:rFonts w:eastAsia="Calibri"/>
          <w:szCs w:val="22"/>
        </w:rPr>
        <w:t>unapproved therapeutic</w:t>
      </w:r>
      <w:r w:rsidR="4FBB84C5" w:rsidRPr="7AB1C90A">
        <w:rPr>
          <w:rFonts w:eastAsia="Calibri"/>
          <w:szCs w:val="22"/>
        </w:rPr>
        <w:t xml:space="preserve"> goods. </w:t>
      </w:r>
    </w:p>
    <w:p w14:paraId="1CEED943" w14:textId="0CDD8C4C" w:rsidR="71803AE8" w:rsidRPr="00DD4691" w:rsidRDefault="17FFC640" w:rsidP="40EB8B97">
      <w:pPr>
        <w:pStyle w:val="Heading3"/>
      </w:pPr>
      <w:bookmarkStart w:id="43" w:name="_Toc153550404"/>
      <w:r>
        <w:t>Medical Devices</w:t>
      </w:r>
      <w:bookmarkEnd w:id="43"/>
    </w:p>
    <w:p w14:paraId="4D1913A0" w14:textId="6F9955C4" w:rsidR="002E7F67" w:rsidRDefault="002E7F67" w:rsidP="030D1AF1">
      <w:r w:rsidRPr="00CD36F2">
        <w:t>The</w:t>
      </w:r>
      <w:r w:rsidR="00644FAF" w:rsidRPr="00CD36F2">
        <w:t xml:space="preserve"> TGA engages with the peak </w:t>
      </w:r>
      <w:r w:rsidR="00B864AB" w:rsidRPr="00CD36F2">
        <w:t xml:space="preserve">medical device </w:t>
      </w:r>
      <w:r w:rsidR="00644FAF" w:rsidRPr="00CD36F2">
        <w:t xml:space="preserve">stakeholders through </w:t>
      </w:r>
      <w:r w:rsidR="00437777" w:rsidRPr="00CD36F2">
        <w:t>regular meetings with the RegTech consultative committee</w:t>
      </w:r>
      <w:r w:rsidRPr="00CD36F2">
        <w:t xml:space="preserve"> </w:t>
      </w:r>
      <w:r w:rsidR="00B864AB" w:rsidRPr="00CD36F2">
        <w:t>to</w:t>
      </w:r>
      <w:r w:rsidRPr="00CD36F2">
        <w:t>:</w:t>
      </w:r>
    </w:p>
    <w:p w14:paraId="3F7D8D9D" w14:textId="53C55D52" w:rsidR="006C161D" w:rsidRPr="006C161D" w:rsidRDefault="006C161D" w:rsidP="00ED1A1F">
      <w:pPr>
        <w:pStyle w:val="ListParagraph"/>
        <w:numPr>
          <w:ilvl w:val="0"/>
          <w:numId w:val="15"/>
        </w:numPr>
      </w:pPr>
      <w:r w:rsidRPr="00CD36F2">
        <w:t xml:space="preserve">prioritise and discuss regulatory and technical </w:t>
      </w:r>
      <w:r w:rsidR="00127D09" w:rsidRPr="00CD36F2">
        <w:t xml:space="preserve">issues </w:t>
      </w:r>
      <w:r w:rsidRPr="00CD36F2">
        <w:t>arising from current regulation</w:t>
      </w:r>
      <w:r w:rsidR="00127D09">
        <w:t>,</w:t>
      </w:r>
      <w:r w:rsidRPr="00CD36F2">
        <w:t xml:space="preserve"> and propose solutions</w:t>
      </w:r>
    </w:p>
    <w:p w14:paraId="094D3C83" w14:textId="38F8C1ED" w:rsidR="004A7F3B" w:rsidRPr="00CD36F2" w:rsidRDefault="7CFA846C" w:rsidP="00ED1A1F">
      <w:pPr>
        <w:pStyle w:val="ListParagraph"/>
        <w:numPr>
          <w:ilvl w:val="0"/>
          <w:numId w:val="15"/>
        </w:numPr>
      </w:pPr>
      <w:r w:rsidRPr="00CD36F2">
        <w:t>provide a forum for members to raise regulatory or technical concern</w:t>
      </w:r>
      <w:r w:rsidR="00127D09">
        <w:t>s</w:t>
      </w:r>
      <w:r w:rsidRPr="00CD36F2">
        <w:t>, both current and emerging, faced by the TGA, the representative associations or members of the medical device sector generally</w:t>
      </w:r>
    </w:p>
    <w:p w14:paraId="4E4BB03E" w14:textId="687C2D99" w:rsidR="002E7F67" w:rsidRPr="003513F4" w:rsidRDefault="1651BA1C" w:rsidP="00ED1A1F">
      <w:pPr>
        <w:pStyle w:val="ListParagraph"/>
        <w:numPr>
          <w:ilvl w:val="0"/>
          <w:numId w:val="15"/>
        </w:numPr>
        <w:rPr>
          <w:szCs w:val="22"/>
        </w:rPr>
      </w:pPr>
      <w:r w:rsidRPr="00CD36F2">
        <w:t>i</w:t>
      </w:r>
      <w:r w:rsidR="7CFA846C" w:rsidRPr="00CD36F2">
        <w:t>dentify opportunities to improve current regulatory practices and compliance.</w:t>
      </w:r>
    </w:p>
    <w:p w14:paraId="4B6D5FA4" w14:textId="4A2FE168" w:rsidR="5EFACB3D" w:rsidRPr="00CD36F2" w:rsidRDefault="493CF4AE" w:rsidP="030D1AF1">
      <w:r w:rsidRPr="00CD36F2">
        <w:t xml:space="preserve">These meetings ensure that the TGA is transparent in the </w:t>
      </w:r>
      <w:r w:rsidR="00713CCE" w:rsidRPr="00CD36F2">
        <w:t>decision</w:t>
      </w:r>
      <w:r w:rsidR="00713CCE">
        <w:t>-making</w:t>
      </w:r>
      <w:r w:rsidRPr="00CD36F2">
        <w:t xml:space="preserve"> process and stakeholders provide valuable information on challenges and opportunities as the TGA continues to develop and implement its </w:t>
      </w:r>
      <w:r w:rsidR="003513F4">
        <w:t>m</w:t>
      </w:r>
      <w:r w:rsidRPr="00CD36F2">
        <w:t xml:space="preserve">edical </w:t>
      </w:r>
      <w:r w:rsidR="003513F4">
        <w:t>d</w:t>
      </w:r>
      <w:r w:rsidRPr="00CD36F2">
        <w:t>evice reform agenda.</w:t>
      </w:r>
    </w:p>
    <w:p w14:paraId="738629C3" w14:textId="7FA84A33" w:rsidR="00C8209D" w:rsidRDefault="0017466E" w:rsidP="40EB8B97">
      <w:r w:rsidRPr="00CD36F2">
        <w:t xml:space="preserve">We </w:t>
      </w:r>
      <w:r w:rsidR="00210869" w:rsidRPr="00CD36F2">
        <w:t xml:space="preserve">also </w:t>
      </w:r>
      <w:r w:rsidRPr="00CD36F2">
        <w:t xml:space="preserve">facilitate </w:t>
      </w:r>
      <w:r w:rsidR="0044736A" w:rsidRPr="00CD36F2">
        <w:t xml:space="preserve">five working </w:t>
      </w:r>
      <w:r w:rsidR="00F30F16" w:rsidRPr="00CD36F2">
        <w:t>groups</w:t>
      </w:r>
      <w:r w:rsidR="00713CCE">
        <w:t>,</w:t>
      </w:r>
      <w:r w:rsidR="00F30F16" w:rsidRPr="00CD36F2">
        <w:t xml:space="preserve"> </w:t>
      </w:r>
      <w:r w:rsidR="00713CCE">
        <w:t>which</w:t>
      </w:r>
      <w:r w:rsidR="00713CCE" w:rsidRPr="00CD36F2">
        <w:t xml:space="preserve"> </w:t>
      </w:r>
      <w:r w:rsidR="00210869" w:rsidRPr="00CD36F2">
        <w:t>met</w:t>
      </w:r>
      <w:r w:rsidR="00CA78CC" w:rsidRPr="00CD36F2">
        <w:t xml:space="preserve"> </w:t>
      </w:r>
      <w:r w:rsidR="0031246D" w:rsidRPr="00CD36F2">
        <w:t>regularly</w:t>
      </w:r>
      <w:r w:rsidR="00B73A61" w:rsidRPr="00CD36F2">
        <w:t xml:space="preserve"> </w:t>
      </w:r>
      <w:r w:rsidR="00041067" w:rsidRPr="00CD36F2">
        <w:t>during the reporting period</w:t>
      </w:r>
      <w:r w:rsidR="00713CCE">
        <w:t>:</w:t>
      </w:r>
      <w:r w:rsidR="00D32749" w:rsidRPr="00CD36F2">
        <w:t xml:space="preserve"> </w:t>
      </w:r>
    </w:p>
    <w:p w14:paraId="7DEA5DF5" w14:textId="539131CE" w:rsidR="003513F4" w:rsidRPr="003513F4" w:rsidRDefault="003513F4" w:rsidP="00ED1A1F">
      <w:pPr>
        <w:pStyle w:val="ListParagraph"/>
        <w:numPr>
          <w:ilvl w:val="0"/>
          <w:numId w:val="15"/>
        </w:numPr>
        <w:rPr>
          <w:szCs w:val="22"/>
        </w:rPr>
      </w:pPr>
      <w:r w:rsidRPr="00CD36F2">
        <w:t>Breast Implant Expert Working Group</w:t>
      </w:r>
    </w:p>
    <w:p w14:paraId="5499BD66" w14:textId="3EBD04D9" w:rsidR="003513F4" w:rsidRPr="00CD36F2" w:rsidRDefault="26D355D2" w:rsidP="00ED1A1F">
      <w:pPr>
        <w:pStyle w:val="ListParagraph"/>
        <w:numPr>
          <w:ilvl w:val="0"/>
          <w:numId w:val="15"/>
        </w:numPr>
      </w:pPr>
      <w:r w:rsidRPr="00CD36F2">
        <w:t>Medical Device Consumer Working Group</w:t>
      </w:r>
    </w:p>
    <w:p w14:paraId="6642C1F6" w14:textId="5347D65A" w:rsidR="003513F4" w:rsidRPr="003513F4" w:rsidRDefault="63DB1CDB" w:rsidP="00ED1A1F">
      <w:pPr>
        <w:pStyle w:val="ListParagraph"/>
        <w:numPr>
          <w:ilvl w:val="0"/>
          <w:numId w:val="15"/>
        </w:numPr>
        <w:rPr>
          <w:szCs w:val="22"/>
        </w:rPr>
      </w:pPr>
      <w:r w:rsidRPr="00CD36F2">
        <w:t>Women’s Health Products Working Group</w:t>
      </w:r>
    </w:p>
    <w:p w14:paraId="1D6B91E2" w14:textId="2F818BAF" w:rsidR="003513F4" w:rsidRPr="003513F4" w:rsidRDefault="63DB1CDB" w:rsidP="00ED1A1F">
      <w:pPr>
        <w:pStyle w:val="ListParagraph"/>
        <w:numPr>
          <w:ilvl w:val="0"/>
          <w:numId w:val="15"/>
        </w:numPr>
        <w:rPr>
          <w:szCs w:val="22"/>
        </w:rPr>
      </w:pPr>
      <w:r w:rsidRPr="00CD36F2">
        <w:t>Ventilator Expert Working Group</w:t>
      </w:r>
    </w:p>
    <w:p w14:paraId="233A7D72" w14:textId="05A6B43B" w:rsidR="00D32749" w:rsidRPr="00E42131" w:rsidRDefault="63DB1CDB" w:rsidP="00ED1A1F">
      <w:pPr>
        <w:pStyle w:val="ListParagraph"/>
        <w:numPr>
          <w:ilvl w:val="0"/>
          <w:numId w:val="15"/>
        </w:numPr>
        <w:rPr>
          <w:szCs w:val="22"/>
        </w:rPr>
      </w:pPr>
      <w:r w:rsidRPr="00CD36F2">
        <w:t>Surgical Mesh Expert Working Group</w:t>
      </w:r>
    </w:p>
    <w:p w14:paraId="0A42B5DC" w14:textId="6904247C" w:rsidR="3332214E" w:rsidRDefault="3332214E" w:rsidP="00247978">
      <w:pPr>
        <w:pStyle w:val="Heading3"/>
      </w:pPr>
      <w:bookmarkStart w:id="44" w:name="_Toc153550405"/>
      <w:r w:rsidRPr="40EB8B97">
        <w:t>Manufacturing</w:t>
      </w:r>
      <w:bookmarkEnd w:id="44"/>
    </w:p>
    <w:p w14:paraId="7E2CC3AD" w14:textId="0EF7CDBA" w:rsidR="00476A43" w:rsidRPr="00BC486B" w:rsidRDefault="65565F7A" w:rsidP="00476A43">
      <w:pPr>
        <w:rPr>
          <w:rFonts w:eastAsia="Calibri" w:cs="Arial"/>
        </w:rPr>
      </w:pPr>
      <w:r w:rsidRPr="00BC486B">
        <w:rPr>
          <w:rFonts w:eastAsia="Calibri" w:cs="Arial"/>
        </w:rPr>
        <w:t>We maintain</w:t>
      </w:r>
      <w:r w:rsidR="00476A43" w:rsidRPr="00BC486B">
        <w:rPr>
          <w:rFonts w:eastAsia="Calibri" w:cs="Arial"/>
        </w:rPr>
        <w:t xml:space="preserve"> regular engagement with </w:t>
      </w:r>
      <w:r w:rsidR="002A100E" w:rsidRPr="00BC486B">
        <w:rPr>
          <w:rFonts w:eastAsia="Calibri" w:cs="Arial"/>
        </w:rPr>
        <w:t>peak</w:t>
      </w:r>
      <w:r w:rsidR="001D5C72">
        <w:rPr>
          <w:rFonts w:eastAsia="Calibri" w:cs="Arial"/>
        </w:rPr>
        <w:t xml:space="preserve"> </w:t>
      </w:r>
      <w:r w:rsidR="002A100E" w:rsidRPr="00BC486B">
        <w:rPr>
          <w:rFonts w:eastAsia="Calibri" w:cs="Arial"/>
        </w:rPr>
        <w:t>bodies represent</w:t>
      </w:r>
      <w:r w:rsidR="008A3502">
        <w:rPr>
          <w:rFonts w:eastAsia="Calibri" w:cs="Arial"/>
        </w:rPr>
        <w:t>ing</w:t>
      </w:r>
      <w:r w:rsidR="002A100E" w:rsidRPr="00BC486B">
        <w:rPr>
          <w:rFonts w:eastAsia="Calibri" w:cs="Arial"/>
        </w:rPr>
        <w:t xml:space="preserve"> </w:t>
      </w:r>
      <w:r w:rsidR="006E6541" w:rsidRPr="00BC486B">
        <w:rPr>
          <w:rFonts w:eastAsia="Calibri" w:cs="Arial"/>
        </w:rPr>
        <w:t xml:space="preserve">sponsors and </w:t>
      </w:r>
      <w:r w:rsidR="00C2761D" w:rsidRPr="00BC486B">
        <w:rPr>
          <w:rFonts w:eastAsia="Calibri" w:cs="Arial"/>
        </w:rPr>
        <w:t xml:space="preserve">manufacturers </w:t>
      </w:r>
      <w:r w:rsidR="60304471" w:rsidRPr="00BC486B">
        <w:rPr>
          <w:rFonts w:eastAsia="Calibri" w:cs="Arial"/>
        </w:rPr>
        <w:t>in our</w:t>
      </w:r>
      <w:r w:rsidR="00C2761D" w:rsidRPr="00BC486B">
        <w:rPr>
          <w:rFonts w:eastAsia="Calibri" w:cs="Arial"/>
        </w:rPr>
        <w:t xml:space="preserve"> </w:t>
      </w:r>
      <w:r w:rsidR="0C799030" w:rsidRPr="00BC486B">
        <w:rPr>
          <w:rFonts w:eastAsia="Calibri" w:cs="Arial"/>
        </w:rPr>
        <w:t>TGA-</w:t>
      </w:r>
      <w:r w:rsidR="00C2761D" w:rsidRPr="00BC486B">
        <w:rPr>
          <w:rFonts w:eastAsia="Calibri" w:cs="Arial"/>
        </w:rPr>
        <w:t>Industry Working Group on GMP</w:t>
      </w:r>
      <w:r w:rsidR="007E50E5" w:rsidRPr="00BC486B">
        <w:rPr>
          <w:rFonts w:eastAsia="Calibri" w:cs="Arial"/>
        </w:rPr>
        <w:t xml:space="preserve"> (TIWGG). </w:t>
      </w:r>
      <w:r w:rsidR="00476A43" w:rsidRPr="00BC486B">
        <w:rPr>
          <w:rFonts w:eastAsia="Calibri" w:cs="Arial"/>
        </w:rPr>
        <w:t>The T</w:t>
      </w:r>
      <w:r w:rsidR="007E50E5" w:rsidRPr="00BC486B">
        <w:rPr>
          <w:rFonts w:eastAsia="Calibri" w:cs="Arial"/>
        </w:rPr>
        <w:t xml:space="preserve">IWGG meet </w:t>
      </w:r>
      <w:r w:rsidR="00C56BA8" w:rsidRPr="00BC486B">
        <w:rPr>
          <w:rFonts w:eastAsia="Calibri" w:cs="Arial"/>
        </w:rPr>
        <w:t>quarterly</w:t>
      </w:r>
      <w:r w:rsidR="00476A43" w:rsidRPr="00BC486B">
        <w:rPr>
          <w:rFonts w:eastAsia="Calibri" w:cs="Arial"/>
        </w:rPr>
        <w:t xml:space="preserve"> to discuss issues relating to the </w:t>
      </w:r>
      <w:r w:rsidR="000F00D5" w:rsidRPr="00BC486B">
        <w:rPr>
          <w:rFonts w:eastAsia="Calibri" w:cs="Arial"/>
        </w:rPr>
        <w:t xml:space="preserve">application of GMP </w:t>
      </w:r>
      <w:r w:rsidR="0071423C" w:rsidRPr="00BC486B">
        <w:rPr>
          <w:rFonts w:eastAsia="Calibri" w:cs="Arial"/>
        </w:rPr>
        <w:t xml:space="preserve">to the supply </w:t>
      </w:r>
      <w:r w:rsidR="00476A43" w:rsidRPr="00BC486B">
        <w:rPr>
          <w:rFonts w:eastAsia="Calibri" w:cs="Arial"/>
        </w:rPr>
        <w:t>of therapeutic goods</w:t>
      </w:r>
      <w:r w:rsidR="0071423C" w:rsidRPr="00BC486B">
        <w:rPr>
          <w:rFonts w:eastAsia="Calibri" w:cs="Arial"/>
        </w:rPr>
        <w:t xml:space="preserve"> in Australia</w:t>
      </w:r>
      <w:r w:rsidR="00476A43" w:rsidRPr="00BC486B">
        <w:rPr>
          <w:rFonts w:eastAsia="Calibri" w:cs="Arial"/>
        </w:rPr>
        <w:t xml:space="preserve">. </w:t>
      </w:r>
    </w:p>
    <w:p w14:paraId="62959D0E" w14:textId="0CD9E6A1" w:rsidR="00476A43" w:rsidRPr="00BC486B" w:rsidRDefault="3E24F5AB" w:rsidP="05A3E1CC">
      <w:pPr>
        <w:rPr>
          <w:rFonts w:eastAsia="Calibri" w:cs="Arial"/>
        </w:rPr>
      </w:pPr>
      <w:r w:rsidRPr="00BC486B">
        <w:rPr>
          <w:rFonts w:eastAsia="Calibri" w:cs="Arial"/>
        </w:rPr>
        <w:lastRenderedPageBreak/>
        <w:t>TIWGG members provide valuable feedback on the proposed adoption of revised</w:t>
      </w:r>
      <w:r w:rsidR="004366F8" w:rsidRPr="00BC486B">
        <w:rPr>
          <w:rFonts w:eastAsia="Calibri" w:cs="Arial"/>
        </w:rPr>
        <w:t xml:space="preserve"> </w:t>
      </w:r>
      <w:r w:rsidR="00BF74DD" w:rsidRPr="00BC486B">
        <w:rPr>
          <w:rFonts w:eastAsia="Calibri" w:cs="Arial"/>
        </w:rPr>
        <w:t>GMP</w:t>
      </w:r>
      <w:r w:rsidR="71338420" w:rsidRPr="00BC486B">
        <w:rPr>
          <w:rFonts w:eastAsia="Calibri" w:cs="Arial"/>
        </w:rPr>
        <w:t xml:space="preserve"> </w:t>
      </w:r>
      <w:r w:rsidR="001D5C72">
        <w:rPr>
          <w:rFonts w:eastAsia="Calibri" w:cs="Arial"/>
        </w:rPr>
        <w:t>c</w:t>
      </w:r>
      <w:r w:rsidR="71338420" w:rsidRPr="00BC486B">
        <w:rPr>
          <w:rFonts w:eastAsia="Calibri" w:cs="Arial"/>
        </w:rPr>
        <w:t xml:space="preserve">odes and assist </w:t>
      </w:r>
      <w:r w:rsidR="5523315B" w:rsidRPr="00BC486B">
        <w:rPr>
          <w:rFonts w:eastAsia="Calibri" w:cs="Arial"/>
        </w:rPr>
        <w:t xml:space="preserve">in </w:t>
      </w:r>
      <w:r w:rsidR="71338420" w:rsidRPr="00BC486B">
        <w:rPr>
          <w:rFonts w:eastAsia="Calibri" w:cs="Arial"/>
        </w:rPr>
        <w:t>identif</w:t>
      </w:r>
      <w:r w:rsidR="281B7D8A" w:rsidRPr="00BC486B">
        <w:rPr>
          <w:rFonts w:eastAsia="Calibri" w:cs="Arial"/>
        </w:rPr>
        <w:t>ying</w:t>
      </w:r>
      <w:r w:rsidR="71338420" w:rsidRPr="00BC486B">
        <w:rPr>
          <w:rFonts w:eastAsia="Calibri" w:cs="Arial"/>
        </w:rPr>
        <w:t xml:space="preserve"> </w:t>
      </w:r>
      <w:r w:rsidR="2B761DF7" w:rsidRPr="00BC486B">
        <w:rPr>
          <w:rFonts w:eastAsia="Calibri" w:cs="Arial"/>
        </w:rPr>
        <w:t xml:space="preserve">the </w:t>
      </w:r>
      <w:r w:rsidR="71338420" w:rsidRPr="00BC486B">
        <w:rPr>
          <w:rFonts w:eastAsia="Calibri" w:cs="Arial"/>
        </w:rPr>
        <w:t xml:space="preserve">need for specific updated </w:t>
      </w:r>
      <w:r w:rsidR="266DBA8D" w:rsidRPr="00BC486B">
        <w:rPr>
          <w:rFonts w:eastAsia="Calibri" w:cs="Arial"/>
        </w:rPr>
        <w:t>guidance and educational material</w:t>
      </w:r>
      <w:r w:rsidR="24C425DE" w:rsidRPr="00BC486B">
        <w:rPr>
          <w:rFonts w:eastAsia="Calibri" w:cs="Arial"/>
        </w:rPr>
        <w:t>s.</w:t>
      </w:r>
      <w:r w:rsidR="00BF74DD" w:rsidRPr="00BC486B">
        <w:rPr>
          <w:rFonts w:eastAsia="Calibri" w:cs="Arial"/>
        </w:rPr>
        <w:t xml:space="preserve"> </w:t>
      </w:r>
    </w:p>
    <w:p w14:paraId="09C37D13" w14:textId="7175A851" w:rsidR="2338C5E1" w:rsidRDefault="2338C5E1" w:rsidP="00247978">
      <w:pPr>
        <w:pStyle w:val="Heading3"/>
      </w:pPr>
      <w:bookmarkStart w:id="45" w:name="_Toc153550406"/>
      <w:r w:rsidRPr="40EB8B97">
        <w:t>Laboratories</w:t>
      </w:r>
      <w:bookmarkEnd w:id="45"/>
    </w:p>
    <w:p w14:paraId="68C1F97A" w14:textId="79A9505B" w:rsidR="2338C5E1" w:rsidRDefault="1EE45667" w:rsidP="7170241C">
      <w:r w:rsidRPr="00EE59B9">
        <w:t>Early in the COVID-19 pandemic, t</w:t>
      </w:r>
      <w:r w:rsidR="15A37FC6" w:rsidRPr="00EE59B9">
        <w:t>he Laboratories Branch</w:t>
      </w:r>
      <w:r w:rsidR="21CAB2C7" w:rsidRPr="00EE59B9">
        <w:t xml:space="preserve"> initiated </w:t>
      </w:r>
      <w:r w:rsidR="254AECCB" w:rsidRPr="00EE59B9">
        <w:t>engagement</w:t>
      </w:r>
      <w:r w:rsidR="15A37FC6" w:rsidRPr="00EE59B9">
        <w:t xml:space="preserve"> with international manufacturers and standards setting bodies </w:t>
      </w:r>
      <w:r w:rsidR="007A77EC" w:rsidRPr="00EE59B9">
        <w:t>regarding</w:t>
      </w:r>
      <w:r w:rsidR="15A37FC6" w:rsidRPr="00EE59B9">
        <w:t xml:space="preserve"> the quality requirements for face masks </w:t>
      </w:r>
      <w:r w:rsidR="570936AC" w:rsidRPr="00EE59B9">
        <w:t xml:space="preserve">and respirators. </w:t>
      </w:r>
      <w:r w:rsidR="0BF3BFBD" w:rsidRPr="00EE59B9">
        <w:t>This work has continued, with TGA representatives contributing to the developm</w:t>
      </w:r>
      <w:r w:rsidR="0AEE8C50" w:rsidRPr="00EE59B9">
        <w:t xml:space="preserve">ent and improvement of testing standards, particularly those of the </w:t>
      </w:r>
      <w:r w:rsidR="00166927">
        <w:t>American Society for Testing and Materials (ASTM</w:t>
      </w:r>
      <w:r w:rsidR="00063F89">
        <w:t>).</w:t>
      </w:r>
    </w:p>
    <w:p w14:paraId="2E617DCA" w14:textId="5AA091AB" w:rsidR="78505BD3" w:rsidRPr="00EE59B9" w:rsidRDefault="78505BD3" w:rsidP="7170241C">
      <w:pPr>
        <w:rPr>
          <w:rFonts w:eastAsia="Arial" w:cs="Arial"/>
        </w:rPr>
      </w:pPr>
      <w:r w:rsidRPr="00EE59B9">
        <w:rPr>
          <w:rFonts w:eastAsia="Arial" w:cs="Arial"/>
        </w:rPr>
        <w:t>We have continued to hold regular meetings with representatives from the disinfectant industry to</w:t>
      </w:r>
      <w:r w:rsidR="16B56CDB" w:rsidRPr="00EE59B9">
        <w:rPr>
          <w:rFonts w:eastAsia="Arial" w:cs="Arial"/>
        </w:rPr>
        <w:t xml:space="preserve"> </w:t>
      </w:r>
      <w:r w:rsidR="61B312F2" w:rsidRPr="00EE59B9">
        <w:rPr>
          <w:rFonts w:eastAsia="Arial" w:cs="Arial"/>
        </w:rPr>
        <w:t>discuss</w:t>
      </w:r>
      <w:r w:rsidR="16B56CDB" w:rsidRPr="00EE59B9">
        <w:rPr>
          <w:rFonts w:eastAsia="Arial" w:cs="Arial"/>
        </w:rPr>
        <w:t xml:space="preserve"> the exi</w:t>
      </w:r>
      <w:r w:rsidR="719577C1" w:rsidRPr="00EE59B9">
        <w:rPr>
          <w:rFonts w:eastAsia="Arial" w:cs="Arial"/>
        </w:rPr>
        <w:t xml:space="preserve">sting guidance, and collaborate on improving the </w:t>
      </w:r>
      <w:r w:rsidR="28F1A0FB" w:rsidRPr="00EE59B9">
        <w:rPr>
          <w:rFonts w:eastAsia="Arial" w:cs="Arial"/>
        </w:rPr>
        <w:t>information available to industry stakeholders</w:t>
      </w:r>
      <w:r w:rsidR="719577C1" w:rsidRPr="00EE59B9">
        <w:rPr>
          <w:rFonts w:eastAsia="Arial" w:cs="Arial"/>
        </w:rPr>
        <w:t>.</w:t>
      </w:r>
    </w:p>
    <w:p w14:paraId="16E624BA" w14:textId="581787A1" w:rsidR="5C52E925" w:rsidRPr="00EE59B9" w:rsidRDefault="5C52E925" w:rsidP="00EE59B9">
      <w:pPr>
        <w:rPr>
          <w:rFonts w:eastAsia="Arial" w:cs="Arial"/>
          <w:szCs w:val="22"/>
        </w:rPr>
      </w:pPr>
      <w:r w:rsidRPr="00EE59B9">
        <w:rPr>
          <w:rFonts w:eastAsia="Arial" w:cs="Arial"/>
          <w:szCs w:val="22"/>
        </w:rPr>
        <w:t xml:space="preserve">Laboratories staff participated in an industry roundtable discussion on mRNA Platform Regulation. Representatives of clinical development, research, </w:t>
      </w:r>
      <w:r w:rsidR="002D4ED2">
        <w:rPr>
          <w:rFonts w:eastAsia="Arial" w:cs="Arial"/>
          <w:szCs w:val="22"/>
        </w:rPr>
        <w:t xml:space="preserve">state and Commonwealth </w:t>
      </w:r>
      <w:r w:rsidRPr="00EE59B9">
        <w:rPr>
          <w:rFonts w:eastAsia="Arial" w:cs="Arial"/>
          <w:szCs w:val="22"/>
        </w:rPr>
        <w:t>government, and pharmaceutical manufacturers participated in open discussions on approaches to the regulation of mRNA medicines. An outcome of the discussion was for the development of an industry position paper on RNA platforms.</w:t>
      </w:r>
    </w:p>
    <w:p w14:paraId="44C07D5C" w14:textId="712B9648" w:rsidR="40493D1F" w:rsidRDefault="40493D1F" w:rsidP="007E7468">
      <w:pPr>
        <w:pStyle w:val="Heading3"/>
      </w:pPr>
      <w:bookmarkStart w:id="46" w:name="_Toc153550407"/>
      <w:r w:rsidRPr="7D0019BB">
        <w:t>Advertising compliance</w:t>
      </w:r>
      <w:bookmarkEnd w:id="46"/>
    </w:p>
    <w:p w14:paraId="01F90A87" w14:textId="124551FD" w:rsidR="40493D1F" w:rsidRPr="00BC486B" w:rsidRDefault="083B0A02">
      <w:r w:rsidRPr="00BC486B">
        <w:t xml:space="preserve">The TGA has continued to build positive relationships with a range of industry bodies and associations to educate </w:t>
      </w:r>
      <w:r w:rsidR="28646547" w:rsidRPr="00BC486B">
        <w:t>their members on ways to comply with their legislative obligations</w:t>
      </w:r>
      <w:r w:rsidR="10D3A3E1" w:rsidRPr="00BC486B">
        <w:t xml:space="preserve"> for advertising therapeutic goods</w:t>
      </w:r>
      <w:r w:rsidR="00AC3107" w:rsidRPr="00BC486B">
        <w:t>.</w:t>
      </w:r>
    </w:p>
    <w:p w14:paraId="7A2A0C01" w14:textId="077F7A4B" w:rsidR="366F9224" w:rsidRPr="00BC486B" w:rsidRDefault="366F9224" w:rsidP="0D249AC7">
      <w:pPr>
        <w:rPr>
          <w:rFonts w:eastAsia="Calibri" w:cs="Arial"/>
        </w:rPr>
      </w:pPr>
      <w:r w:rsidRPr="00BC486B">
        <w:rPr>
          <w:rFonts w:eastAsia="Calibri" w:cs="Arial"/>
        </w:rPr>
        <w:t xml:space="preserve">The TGA also maintains regular engagement with a range of </w:t>
      </w:r>
      <w:r w:rsidR="2ACA83A0" w:rsidRPr="00BC486B">
        <w:rPr>
          <w:rFonts w:eastAsia="Calibri" w:cs="Arial"/>
        </w:rPr>
        <w:t>industries</w:t>
      </w:r>
      <w:r w:rsidRPr="00BC486B">
        <w:rPr>
          <w:rFonts w:eastAsia="Calibri" w:cs="Arial"/>
        </w:rPr>
        <w:t xml:space="preserve"> through the Therapeutic Goods Advertising </w:t>
      </w:r>
      <w:r w:rsidR="23766EFB" w:rsidRPr="00BC486B">
        <w:rPr>
          <w:rFonts w:eastAsia="Calibri" w:cs="Arial"/>
        </w:rPr>
        <w:t>Consultative</w:t>
      </w:r>
      <w:r w:rsidR="323CC7FE" w:rsidRPr="00BC486B">
        <w:rPr>
          <w:rFonts w:eastAsia="Calibri" w:cs="Arial"/>
        </w:rPr>
        <w:t xml:space="preserve"> Committee (TGACC). The TGACC hold</w:t>
      </w:r>
      <w:r w:rsidR="00072DD2">
        <w:rPr>
          <w:rFonts w:eastAsia="Calibri" w:cs="Arial"/>
        </w:rPr>
        <w:t>s</w:t>
      </w:r>
      <w:r w:rsidR="323CC7FE" w:rsidRPr="00BC486B">
        <w:rPr>
          <w:rFonts w:eastAsia="Calibri" w:cs="Arial"/>
        </w:rPr>
        <w:t xml:space="preserve"> regular virtual and in-person meetings with representatives</w:t>
      </w:r>
      <w:r w:rsidR="52133B19" w:rsidRPr="00BC486B">
        <w:rPr>
          <w:rFonts w:eastAsia="Calibri" w:cs="Arial"/>
        </w:rPr>
        <w:t xml:space="preserve"> to discuss issues relating to the</w:t>
      </w:r>
      <w:r w:rsidR="5A1EB6DD" w:rsidRPr="00BC486B">
        <w:rPr>
          <w:rFonts w:eastAsia="Calibri" w:cs="Arial"/>
        </w:rPr>
        <w:t xml:space="preserve"> </w:t>
      </w:r>
      <w:r w:rsidR="52133B19" w:rsidRPr="00BC486B">
        <w:rPr>
          <w:rFonts w:eastAsia="Calibri" w:cs="Arial"/>
        </w:rPr>
        <w:t>advertising of therapeutic goods</w:t>
      </w:r>
      <w:r w:rsidR="58086E2E" w:rsidRPr="00BC486B">
        <w:rPr>
          <w:rFonts w:eastAsia="Calibri" w:cs="Arial"/>
        </w:rPr>
        <w:t>.</w:t>
      </w:r>
      <w:r w:rsidR="52133B19" w:rsidRPr="00BC486B">
        <w:rPr>
          <w:rFonts w:eastAsia="Calibri" w:cs="Arial"/>
        </w:rPr>
        <w:t xml:space="preserve"> </w:t>
      </w:r>
    </w:p>
    <w:p w14:paraId="76A601FE" w14:textId="37A812F0" w:rsidR="00F33A12" w:rsidRPr="00BC486B" w:rsidRDefault="00F33A12" w:rsidP="0D249AC7">
      <w:pPr>
        <w:rPr>
          <w:rFonts w:eastAsia="Calibri" w:cs="Arial"/>
        </w:rPr>
      </w:pPr>
      <w:r w:rsidRPr="00BC486B">
        <w:rPr>
          <w:rFonts w:eastAsia="Calibri" w:cs="Arial"/>
        </w:rPr>
        <w:t>In consultation with the TGACC, state</w:t>
      </w:r>
      <w:r w:rsidR="00191C16">
        <w:rPr>
          <w:rFonts w:eastAsia="Calibri" w:cs="Arial"/>
        </w:rPr>
        <w:t xml:space="preserve"> and </w:t>
      </w:r>
      <w:r w:rsidRPr="00BC486B">
        <w:rPr>
          <w:rFonts w:eastAsia="Calibri" w:cs="Arial"/>
        </w:rPr>
        <w:t xml:space="preserve">territory regulators and other </w:t>
      </w:r>
      <w:r w:rsidR="005C58A5" w:rsidRPr="00BC486B">
        <w:rPr>
          <w:rFonts w:eastAsia="Calibri" w:cs="Arial"/>
        </w:rPr>
        <w:t>stakeholder</w:t>
      </w:r>
      <w:r w:rsidR="7BD65388" w:rsidRPr="00BC486B">
        <w:rPr>
          <w:rFonts w:eastAsia="Calibri" w:cs="Arial"/>
        </w:rPr>
        <w:t>s</w:t>
      </w:r>
      <w:r w:rsidR="005C58A5" w:rsidRPr="00BC486B">
        <w:rPr>
          <w:rFonts w:eastAsia="Calibri" w:cs="Arial"/>
        </w:rPr>
        <w:t xml:space="preserve">, the TGA developed appropriate compliance priorities to </w:t>
      </w:r>
      <w:r w:rsidR="5BA2C152" w:rsidRPr="00BC486B">
        <w:rPr>
          <w:rFonts w:eastAsia="Calibri" w:cs="Arial"/>
        </w:rPr>
        <w:t xml:space="preserve">ensure </w:t>
      </w:r>
      <w:r w:rsidR="59BB181F" w:rsidRPr="00BC486B">
        <w:rPr>
          <w:rFonts w:eastAsia="Calibri" w:cs="Arial"/>
        </w:rPr>
        <w:t xml:space="preserve">the </w:t>
      </w:r>
      <w:r w:rsidR="00AF0945" w:rsidRPr="00BC486B">
        <w:rPr>
          <w:rFonts w:eastAsia="Calibri" w:cs="Arial"/>
        </w:rPr>
        <w:t xml:space="preserve">advertising compliance efforts </w:t>
      </w:r>
      <w:r w:rsidR="4B4B8762" w:rsidRPr="00BC486B">
        <w:rPr>
          <w:rFonts w:eastAsia="Calibri" w:cs="Arial"/>
        </w:rPr>
        <w:t xml:space="preserve">are </w:t>
      </w:r>
      <w:r w:rsidR="007A3B5E" w:rsidRPr="00BC486B">
        <w:rPr>
          <w:rFonts w:eastAsia="Calibri" w:cs="Arial"/>
        </w:rPr>
        <w:t>focused</w:t>
      </w:r>
      <w:r w:rsidR="4B4B8762" w:rsidRPr="00BC486B">
        <w:rPr>
          <w:rFonts w:eastAsia="Calibri" w:cs="Arial"/>
        </w:rPr>
        <w:t xml:space="preserve"> </w:t>
      </w:r>
      <w:r w:rsidR="00AF0945" w:rsidRPr="00BC486B">
        <w:rPr>
          <w:rFonts w:eastAsia="Calibri" w:cs="Arial"/>
        </w:rPr>
        <w:t xml:space="preserve">where they are </w:t>
      </w:r>
      <w:r w:rsidR="00C85BB0" w:rsidRPr="00BC486B">
        <w:rPr>
          <w:rFonts w:eastAsia="Calibri" w:cs="Arial"/>
        </w:rPr>
        <w:t xml:space="preserve">most </w:t>
      </w:r>
      <w:r w:rsidR="002F4AF1" w:rsidRPr="00BC486B">
        <w:rPr>
          <w:rFonts w:eastAsia="Calibri" w:cs="Arial"/>
        </w:rPr>
        <w:t>needed</w:t>
      </w:r>
      <w:r w:rsidR="00C85BB0" w:rsidRPr="00BC486B">
        <w:rPr>
          <w:rFonts w:eastAsia="Calibri" w:cs="Arial"/>
        </w:rPr>
        <w:t>.</w:t>
      </w:r>
    </w:p>
    <w:p w14:paraId="2ED86BF6" w14:textId="45EB591E" w:rsidR="0089024E" w:rsidRPr="00BC486B" w:rsidRDefault="0089024E" w:rsidP="0D249AC7">
      <w:pPr>
        <w:rPr>
          <w:rFonts w:eastAsia="Calibri"/>
        </w:rPr>
      </w:pPr>
      <w:r w:rsidRPr="00BC486B">
        <w:rPr>
          <w:rFonts w:eastAsia="Calibri"/>
        </w:rPr>
        <w:t xml:space="preserve">Further, the TGA holds regular meetings with digital platforms to encourage awareness of the TGA’s compliance priorities and </w:t>
      </w:r>
      <w:r w:rsidR="00E87849" w:rsidRPr="00BC486B">
        <w:rPr>
          <w:rFonts w:eastAsia="Calibri"/>
        </w:rPr>
        <w:t xml:space="preserve">address non-compliance on these platforms </w:t>
      </w:r>
      <w:r w:rsidR="009B6567" w:rsidRPr="00BC486B">
        <w:rPr>
          <w:rFonts w:eastAsia="Calibri"/>
        </w:rPr>
        <w:t>more rapidly and effectively.</w:t>
      </w:r>
    </w:p>
    <w:p w14:paraId="4379B3A7" w14:textId="143D0912" w:rsidR="002255A9" w:rsidRPr="002255A9" w:rsidRDefault="27F4F217" w:rsidP="40EB8B97">
      <w:pPr>
        <w:pStyle w:val="Heading2"/>
      </w:pPr>
      <w:bookmarkStart w:id="47" w:name="_Toc153550408"/>
      <w:r>
        <w:t>P</w:t>
      </w:r>
      <w:r w:rsidR="481CA311">
        <w:t>a</w:t>
      </w:r>
      <w:r>
        <w:t>rtnerships with international regulators</w:t>
      </w:r>
      <w:bookmarkEnd w:id="47"/>
    </w:p>
    <w:p w14:paraId="4EFD5438" w14:textId="7FB5555B" w:rsidR="0012158C" w:rsidRPr="003C1876" w:rsidRDefault="009A7AE8" w:rsidP="00B06621">
      <w:pPr>
        <w:pStyle w:val="ListParagraph"/>
        <w:numPr>
          <w:ilvl w:val="0"/>
          <w:numId w:val="0"/>
        </w:numPr>
        <w:rPr>
          <w:b/>
          <w:bCs/>
        </w:rPr>
      </w:pPr>
      <w:r w:rsidRPr="7D0019BB">
        <w:rPr>
          <w:b/>
          <w:bCs/>
        </w:rPr>
        <w:t>We are c</w:t>
      </w:r>
      <w:r w:rsidR="0012158C" w:rsidRPr="7D0019BB">
        <w:rPr>
          <w:b/>
          <w:bCs/>
        </w:rPr>
        <w:t>ontinuing our partnerships with international regulators, including through alliances such as</w:t>
      </w:r>
      <w:r w:rsidR="00944E9F" w:rsidRPr="7D0019BB">
        <w:rPr>
          <w:b/>
          <w:bCs/>
        </w:rPr>
        <w:t xml:space="preserve"> </w:t>
      </w:r>
      <w:r w:rsidR="0012158C" w:rsidRPr="7D0019BB">
        <w:rPr>
          <w:b/>
          <w:bCs/>
        </w:rPr>
        <w:t>Project Orbis, the Pharmaceutical Inspection Cooperation Scheme, the International Coalition</w:t>
      </w:r>
      <w:r w:rsidR="00944E9F" w:rsidRPr="7D0019BB">
        <w:rPr>
          <w:b/>
          <w:bCs/>
        </w:rPr>
        <w:t xml:space="preserve"> </w:t>
      </w:r>
      <w:r w:rsidR="0012158C" w:rsidRPr="7D0019BB">
        <w:rPr>
          <w:b/>
          <w:bCs/>
        </w:rPr>
        <w:t>of Medicines Regulatory Authorities, the International Medical Devices Regulators Forum and</w:t>
      </w:r>
      <w:r w:rsidR="00944E9F" w:rsidRPr="7D0019BB">
        <w:rPr>
          <w:b/>
          <w:bCs/>
        </w:rPr>
        <w:t xml:space="preserve"> </w:t>
      </w:r>
      <w:r w:rsidR="0012158C" w:rsidRPr="7D0019BB">
        <w:rPr>
          <w:b/>
          <w:bCs/>
        </w:rPr>
        <w:t xml:space="preserve">the </w:t>
      </w:r>
      <w:r w:rsidR="0EA2610D" w:rsidRPr="7D0019BB">
        <w:rPr>
          <w:b/>
          <w:bCs/>
        </w:rPr>
        <w:t>Access</w:t>
      </w:r>
      <w:r w:rsidR="0012158C" w:rsidRPr="7D0019BB">
        <w:rPr>
          <w:b/>
          <w:bCs/>
        </w:rPr>
        <w:t xml:space="preserve"> Consortium, to strengthen working arrangements, align regulatory practices and</w:t>
      </w:r>
      <w:r w:rsidR="00944E9F" w:rsidRPr="7D0019BB">
        <w:rPr>
          <w:b/>
          <w:bCs/>
        </w:rPr>
        <w:t xml:space="preserve"> </w:t>
      </w:r>
      <w:r w:rsidR="0012158C" w:rsidRPr="7D0019BB">
        <w:rPr>
          <w:b/>
          <w:bCs/>
        </w:rPr>
        <w:t>collaborate on regulatory policies.</w:t>
      </w:r>
    </w:p>
    <w:p w14:paraId="7A1DAA95" w14:textId="612479A9" w:rsidR="003B406A" w:rsidRPr="00AC4B4B" w:rsidRDefault="00314728" w:rsidP="00D550FF">
      <w:r>
        <w:t>Our</w:t>
      </w:r>
      <w:r w:rsidR="00CB1375">
        <w:t xml:space="preserve"> </w:t>
      </w:r>
      <w:r w:rsidR="00A03E39">
        <w:t>p</w:t>
      </w:r>
      <w:r>
        <w:t>artnerships with</w:t>
      </w:r>
      <w:r w:rsidR="007A0B40">
        <w:t xml:space="preserve"> international regulators </w:t>
      </w:r>
      <w:r w:rsidR="007E627A">
        <w:t xml:space="preserve">continue </w:t>
      </w:r>
      <w:r w:rsidR="00AF6260">
        <w:t>t</w:t>
      </w:r>
      <w:r w:rsidR="00B52518">
        <w:t>o strengthen working arrangements</w:t>
      </w:r>
      <w:r w:rsidR="007E627A">
        <w:t>,</w:t>
      </w:r>
      <w:r w:rsidR="0038103B">
        <w:t xml:space="preserve"> align regulatory </w:t>
      </w:r>
      <w:r w:rsidR="005112A5">
        <w:t>practices,</w:t>
      </w:r>
      <w:r w:rsidR="0038103B">
        <w:t xml:space="preserve"> </w:t>
      </w:r>
      <w:r w:rsidR="00491B76">
        <w:t xml:space="preserve">and </w:t>
      </w:r>
      <w:r w:rsidR="00F35DE3">
        <w:t>facilit</w:t>
      </w:r>
      <w:r w:rsidR="003B406A">
        <w:t xml:space="preserve">ate </w:t>
      </w:r>
      <w:r w:rsidR="00F92E72">
        <w:t>collaborat</w:t>
      </w:r>
      <w:r w:rsidR="003B406A">
        <w:t>ion</w:t>
      </w:r>
      <w:r w:rsidR="00F92E72">
        <w:t xml:space="preserve"> on regulatory </w:t>
      </w:r>
      <w:r w:rsidR="00491B76">
        <w:t>policies</w:t>
      </w:r>
      <w:r w:rsidR="00D550FF">
        <w:t>.</w:t>
      </w:r>
      <w:r w:rsidR="00605E7F">
        <w:t xml:space="preserve"> </w:t>
      </w:r>
      <w:r w:rsidR="00D550FF">
        <w:t xml:space="preserve">There were </w:t>
      </w:r>
      <w:r w:rsidR="0015253A">
        <w:t>several</w:t>
      </w:r>
      <w:r w:rsidR="00D550FF">
        <w:t xml:space="preserve"> important alliances and initiatives in 2022-23</w:t>
      </w:r>
      <w:r w:rsidR="00A32276">
        <w:t>.</w:t>
      </w:r>
    </w:p>
    <w:p w14:paraId="6CF226E4" w14:textId="77777777" w:rsidR="00FF313F" w:rsidRPr="00B85219" w:rsidRDefault="0010A5AE" w:rsidP="00DD4691">
      <w:pPr>
        <w:pStyle w:val="Heading3"/>
      </w:pPr>
      <w:bookmarkStart w:id="48" w:name="_Toc153550409"/>
      <w:r>
        <w:lastRenderedPageBreak/>
        <w:t>International Coalition of Medicines Regulatory Authorities</w:t>
      </w:r>
      <w:bookmarkEnd w:id="48"/>
    </w:p>
    <w:p w14:paraId="20CAD8AA" w14:textId="7721DF8B" w:rsidR="00FF313F" w:rsidRDefault="00FF313F" w:rsidP="00AD7977">
      <w:r w:rsidRPr="00B85219">
        <w:t>The International Coalition of Medicines Regulatory Authorities (ICMRA) was established</w:t>
      </w:r>
      <w:r w:rsidR="00EC602B">
        <w:t xml:space="preserve"> in 2013</w:t>
      </w:r>
      <w:r w:rsidRPr="00B85219">
        <w:t xml:space="preserve"> to better safeguard global public health by facilitating greater cooperation. It enables Heads of Medicines Regulatory Authorities to exercise concerted strategic leadership during a global public health crisis and share regulatory issues</w:t>
      </w:r>
      <w:r w:rsidR="00EC602B">
        <w:t>,</w:t>
      </w:r>
      <w:r w:rsidRPr="00B85219">
        <w:t xml:space="preserve"> challenges</w:t>
      </w:r>
      <w:r w:rsidR="00EC602B">
        <w:t xml:space="preserve"> and solutions</w:t>
      </w:r>
      <w:r w:rsidRPr="00B85219">
        <w:t xml:space="preserve">. </w:t>
      </w:r>
    </w:p>
    <w:p w14:paraId="0EA8F491" w14:textId="1A9EAD8F" w:rsidR="00436E9D" w:rsidRDefault="00A24C94" w:rsidP="001515DB">
      <w:pPr>
        <w:rPr>
          <w:rFonts w:cstheme="minorBidi"/>
        </w:rPr>
      </w:pPr>
      <w:r w:rsidRPr="006A7D27">
        <w:rPr>
          <w:rFonts w:cstheme="minorBidi"/>
        </w:rPr>
        <w:t xml:space="preserve">In November </w:t>
      </w:r>
      <w:r w:rsidR="000837DF" w:rsidRPr="006A7D27">
        <w:rPr>
          <w:rFonts w:cstheme="minorBidi"/>
        </w:rPr>
        <w:t>2022, we</w:t>
      </w:r>
      <w:r w:rsidR="00BD6284" w:rsidRPr="006A7D27">
        <w:rPr>
          <w:rFonts w:cstheme="minorBidi"/>
        </w:rPr>
        <w:t xml:space="preserve"> </w:t>
      </w:r>
      <w:r w:rsidR="0033574D" w:rsidRPr="006A7D27">
        <w:rPr>
          <w:rFonts w:cstheme="minorBidi"/>
        </w:rPr>
        <w:t>attended and presented at the ICMRA annual summit and plenary meeting</w:t>
      </w:r>
      <w:r w:rsidR="007D5BAB" w:rsidRPr="006A7D27">
        <w:rPr>
          <w:rFonts w:cstheme="minorBidi"/>
        </w:rPr>
        <w:t xml:space="preserve"> hosted by </w:t>
      </w:r>
      <w:r w:rsidR="00BB0506" w:rsidRPr="006A7D27">
        <w:rPr>
          <w:rFonts w:cstheme="minorBidi"/>
        </w:rPr>
        <w:t xml:space="preserve">the </w:t>
      </w:r>
      <w:r w:rsidR="007D5BAB" w:rsidRPr="006A7D27">
        <w:rPr>
          <w:rFonts w:cstheme="minorBidi"/>
        </w:rPr>
        <w:t>Irish Health Products Regulatory Authority</w:t>
      </w:r>
      <w:r w:rsidR="009E5C30" w:rsidRPr="006A7D27">
        <w:rPr>
          <w:rFonts w:cstheme="minorBidi"/>
        </w:rPr>
        <w:t xml:space="preserve"> to discuss</w:t>
      </w:r>
      <w:r w:rsidR="009E4695" w:rsidRPr="006A7D27">
        <w:rPr>
          <w:rFonts w:cstheme="minorBidi"/>
        </w:rPr>
        <w:t xml:space="preserve"> the future of medicines regulation</w:t>
      </w:r>
      <w:r w:rsidR="009E5C30" w:rsidRPr="006A7D27">
        <w:rPr>
          <w:rFonts w:cstheme="minorBidi"/>
        </w:rPr>
        <w:t xml:space="preserve">. </w:t>
      </w:r>
      <w:r w:rsidR="00514EDF" w:rsidRPr="006A7D27">
        <w:rPr>
          <w:rFonts w:cstheme="minorBidi"/>
        </w:rPr>
        <w:t>The summit had a strong</w:t>
      </w:r>
      <w:r w:rsidR="005E7B61" w:rsidRPr="006A7D27">
        <w:rPr>
          <w:rFonts w:cstheme="minorBidi"/>
        </w:rPr>
        <w:t xml:space="preserve"> focus on translating innovation into benefits for patients.</w:t>
      </w:r>
      <w:r w:rsidR="00770F7D" w:rsidRPr="006A7D27">
        <w:rPr>
          <w:rFonts w:cstheme="minorBidi"/>
        </w:rPr>
        <w:t xml:space="preserve"> </w:t>
      </w:r>
      <w:r w:rsidR="008F4DD3" w:rsidRPr="006A7D27">
        <w:rPr>
          <w:rFonts w:cstheme="minorBidi"/>
        </w:rPr>
        <w:t xml:space="preserve">Representatives from </w:t>
      </w:r>
      <w:r w:rsidR="00B50B59" w:rsidRPr="006A7D27">
        <w:rPr>
          <w:rFonts w:cstheme="minorBidi"/>
        </w:rPr>
        <w:t xml:space="preserve">medicines regulatory authorities from around the world </w:t>
      </w:r>
      <w:r w:rsidR="007C28EE" w:rsidRPr="006A7D27">
        <w:rPr>
          <w:rFonts w:cstheme="minorBidi"/>
        </w:rPr>
        <w:t xml:space="preserve">were present, </w:t>
      </w:r>
      <w:r w:rsidR="00B50B59" w:rsidRPr="006A7D27">
        <w:rPr>
          <w:rFonts w:cstheme="minorBidi"/>
        </w:rPr>
        <w:t>as well as experts from the World Health Organi</w:t>
      </w:r>
      <w:r w:rsidR="00E42131">
        <w:rPr>
          <w:rFonts w:cstheme="minorBidi"/>
        </w:rPr>
        <w:t>z</w:t>
      </w:r>
      <w:r w:rsidR="00B50B59" w:rsidRPr="006A7D27">
        <w:rPr>
          <w:rFonts w:cstheme="minorBidi"/>
        </w:rPr>
        <w:t>ation (WHO).</w:t>
      </w:r>
      <w:r w:rsidR="00436E9D" w:rsidRPr="006A7D27">
        <w:rPr>
          <w:rFonts w:cstheme="minorBidi"/>
        </w:rPr>
        <w:t xml:space="preserve"> </w:t>
      </w:r>
      <w:r w:rsidR="007C28EE" w:rsidRPr="006A7D27">
        <w:rPr>
          <w:rFonts w:cstheme="minorBidi"/>
        </w:rPr>
        <w:t>Views were exchanged on a range of other topics, including</w:t>
      </w:r>
      <w:r w:rsidR="00C2187F" w:rsidRPr="006A7D27">
        <w:rPr>
          <w:rFonts w:cstheme="minorBidi"/>
        </w:rPr>
        <w:t>:</w:t>
      </w:r>
    </w:p>
    <w:p w14:paraId="0BCB268A" w14:textId="1ACB25AA" w:rsidR="00E42131" w:rsidRPr="00AC4B4B" w:rsidRDefault="00294283" w:rsidP="00ED1A1F">
      <w:pPr>
        <w:pStyle w:val="ListParagraph"/>
        <w:numPr>
          <w:ilvl w:val="0"/>
          <w:numId w:val="15"/>
        </w:numPr>
      </w:pPr>
      <w:r>
        <w:rPr>
          <w:noProof/>
        </w:rPr>
        <w:drawing>
          <wp:anchor distT="0" distB="0" distL="114300" distR="114300" simplePos="0" relativeHeight="251660288" behindDoc="0" locked="0" layoutInCell="1" allowOverlap="1" wp14:anchorId="47C09BAB" wp14:editId="0E0C8B2C">
            <wp:simplePos x="0" y="0"/>
            <wp:positionH relativeFrom="column">
              <wp:posOffset>2561590</wp:posOffset>
            </wp:positionH>
            <wp:positionV relativeFrom="paragraph">
              <wp:posOffset>42892</wp:posOffset>
            </wp:positionV>
            <wp:extent cx="2976245" cy="199009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6245" cy="1990090"/>
                    </a:xfrm>
                    <a:prstGeom prst="rect">
                      <a:avLst/>
                    </a:prstGeom>
                  </pic:spPr>
                </pic:pic>
              </a:graphicData>
            </a:graphic>
            <wp14:sizeRelH relativeFrom="margin">
              <wp14:pctWidth>0</wp14:pctWidth>
            </wp14:sizeRelH>
            <wp14:sizeRelV relativeFrom="margin">
              <wp14:pctHeight>0</wp14:pctHeight>
            </wp14:sizeRelV>
          </wp:anchor>
        </w:drawing>
      </w:r>
      <w:r w:rsidR="00E42131">
        <w:t>antimicrobial resistance</w:t>
      </w:r>
    </w:p>
    <w:p w14:paraId="3280929A" w14:textId="5618D45D" w:rsidR="00E42131" w:rsidRPr="00AC4B4B" w:rsidRDefault="1C840ABE" w:rsidP="00ED1A1F">
      <w:pPr>
        <w:pStyle w:val="ListParagraph"/>
        <w:numPr>
          <w:ilvl w:val="0"/>
          <w:numId w:val="15"/>
        </w:numPr>
      </w:pPr>
      <w:r>
        <w:t>the i</w:t>
      </w:r>
      <w:r w:rsidR="4D05FC6A">
        <w:t>mportance of establishing a pharmaceutical quality knowledge management system</w:t>
      </w:r>
    </w:p>
    <w:p w14:paraId="556F3B49" w14:textId="1E2F83FE" w:rsidR="00E42131" w:rsidRPr="00AC4B4B" w:rsidRDefault="58DE99B7" w:rsidP="00ED1A1F">
      <w:pPr>
        <w:pStyle w:val="ListParagraph"/>
        <w:numPr>
          <w:ilvl w:val="0"/>
          <w:numId w:val="15"/>
        </w:numPr>
      </w:pPr>
      <w:r>
        <w:t>c</w:t>
      </w:r>
      <w:r w:rsidR="4D05FC6A">
        <w:t>linical trials in the context of public health emergencies</w:t>
      </w:r>
    </w:p>
    <w:p w14:paraId="3CE48F2B" w14:textId="76D3889C" w:rsidR="00E42131" w:rsidRPr="00AC4B4B" w:rsidRDefault="00182E1F" w:rsidP="00ED1A1F">
      <w:pPr>
        <w:pStyle w:val="ListParagraph"/>
        <w:numPr>
          <w:ilvl w:val="0"/>
          <w:numId w:val="15"/>
        </w:numPr>
      </w:pPr>
      <w:r>
        <w:rPr>
          <w:noProof/>
        </w:rPr>
        <w:drawing>
          <wp:anchor distT="0" distB="0" distL="114300" distR="114300" simplePos="0" relativeHeight="251669504" behindDoc="0" locked="0" layoutInCell="1" allowOverlap="1" wp14:anchorId="79D663C6" wp14:editId="7A73A222">
            <wp:simplePos x="0" y="0"/>
            <wp:positionH relativeFrom="margin">
              <wp:posOffset>4293870</wp:posOffset>
            </wp:positionH>
            <wp:positionV relativeFrom="paragraph">
              <wp:posOffset>226324</wp:posOffset>
            </wp:positionV>
            <wp:extent cx="1326515" cy="281940"/>
            <wp:effectExtent l="0" t="0" r="6985" b="381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6515" cy="281940"/>
                    </a:xfrm>
                    <a:prstGeom prst="rect">
                      <a:avLst/>
                    </a:prstGeom>
                  </pic:spPr>
                </pic:pic>
              </a:graphicData>
            </a:graphic>
            <wp14:sizeRelH relativeFrom="margin">
              <wp14:pctWidth>0</wp14:pctWidth>
            </wp14:sizeRelH>
            <wp14:sizeRelV relativeFrom="margin">
              <wp14:pctHeight>0</wp14:pctHeight>
            </wp14:sizeRelV>
          </wp:anchor>
        </w:drawing>
      </w:r>
      <w:r w:rsidR="5A25E742">
        <w:t>u</w:t>
      </w:r>
      <w:r w:rsidR="4B4AD8E7">
        <w:t>se of real-world data</w:t>
      </w:r>
    </w:p>
    <w:p w14:paraId="75C22536" w14:textId="3EBD14CB" w:rsidR="00DD6EF2" w:rsidRDefault="4B4AD8E7" w:rsidP="00ED1A1F">
      <w:pPr>
        <w:pStyle w:val="ListParagraph"/>
        <w:numPr>
          <w:ilvl w:val="0"/>
          <w:numId w:val="15"/>
        </w:numPr>
      </w:pPr>
      <w:r>
        <w:t>consolidation of the pharmacovigilance network for vaccines.</w:t>
      </w:r>
    </w:p>
    <w:p w14:paraId="059E9B7D" w14:textId="4D43FCA0" w:rsidR="00E25225" w:rsidRDefault="00B20CCA" w:rsidP="00AD7977">
      <w:pPr>
        <w:rPr>
          <w:rFonts w:cstheme="minorBidi"/>
        </w:rPr>
      </w:pPr>
      <w:r w:rsidRPr="00ED5116">
        <w:rPr>
          <w:rFonts w:cstheme="minorBidi"/>
        </w:rPr>
        <w:t>We continue to co-chair the ICMRA COVID-19 Vaccine Pharmacovigilance Network</w:t>
      </w:r>
      <w:r w:rsidR="0042555D">
        <w:rPr>
          <w:rFonts w:cstheme="minorBidi"/>
        </w:rPr>
        <w:t xml:space="preserve"> (ICMRA VPN)</w:t>
      </w:r>
      <w:r w:rsidR="00597683">
        <w:rPr>
          <w:rFonts w:cstheme="minorBidi"/>
        </w:rPr>
        <w:t xml:space="preserve"> </w:t>
      </w:r>
      <w:r w:rsidRPr="00ED5116">
        <w:rPr>
          <w:rFonts w:cstheme="minorBidi"/>
        </w:rPr>
        <w:t xml:space="preserve">with the UK’s Medicines and Healthcare </w:t>
      </w:r>
      <w:r w:rsidR="00597683">
        <w:rPr>
          <w:rFonts w:cstheme="minorBidi"/>
        </w:rPr>
        <w:t>p</w:t>
      </w:r>
      <w:r w:rsidRPr="00ED5116">
        <w:rPr>
          <w:rFonts w:cstheme="minorBidi"/>
        </w:rPr>
        <w:t>roducts Regulatory Agency</w:t>
      </w:r>
      <w:r w:rsidR="00ED5116">
        <w:rPr>
          <w:rFonts w:cstheme="minorBidi"/>
        </w:rPr>
        <w:t>. IC</w:t>
      </w:r>
      <w:r w:rsidR="002A0FF6">
        <w:rPr>
          <w:rFonts w:cstheme="minorBidi"/>
        </w:rPr>
        <w:t>MRA V</w:t>
      </w:r>
      <w:r w:rsidR="009226EC">
        <w:rPr>
          <w:rFonts w:cstheme="minorBidi"/>
        </w:rPr>
        <w:t>PN</w:t>
      </w:r>
      <w:r w:rsidRPr="00ED5116">
        <w:rPr>
          <w:rFonts w:cstheme="minorBidi"/>
        </w:rPr>
        <w:t xml:space="preserve"> meets regularly to share knowledge, experience and communications on pharmacovigilance activities and the emerging benefit-risk profile of COVID-19 vaccines.</w:t>
      </w:r>
    </w:p>
    <w:p w14:paraId="5688D430" w14:textId="20555B5C" w:rsidR="00B20CCA" w:rsidRDefault="00B20CCA" w:rsidP="001515DB">
      <w:pPr>
        <w:rPr>
          <w:rFonts w:cstheme="minorBidi"/>
        </w:rPr>
      </w:pPr>
      <w:r w:rsidRPr="00ED5116">
        <w:rPr>
          <w:rFonts w:cstheme="minorBidi"/>
        </w:rPr>
        <w:t xml:space="preserve">Throughout 2022-23, the </w:t>
      </w:r>
      <w:bookmarkStart w:id="49" w:name="_Hlk152758870"/>
      <w:r w:rsidRPr="00ED5116">
        <w:rPr>
          <w:rFonts w:cstheme="minorBidi"/>
        </w:rPr>
        <w:t xml:space="preserve">ICMRA VPN </w:t>
      </w:r>
      <w:bookmarkEnd w:id="49"/>
      <w:r w:rsidRPr="00ED5116">
        <w:rPr>
          <w:rFonts w:cstheme="minorBidi"/>
        </w:rPr>
        <w:t>shifted its focus slightly to:</w:t>
      </w:r>
    </w:p>
    <w:p w14:paraId="0EDA2D0F" w14:textId="632CAFEF" w:rsidR="0042555D" w:rsidRPr="00390059" w:rsidRDefault="0042555D" w:rsidP="00ED1A1F">
      <w:pPr>
        <w:pStyle w:val="ListParagraph"/>
        <w:numPr>
          <w:ilvl w:val="0"/>
          <w:numId w:val="15"/>
        </w:numPr>
      </w:pPr>
      <w:r>
        <w:t xml:space="preserve">continue the information sharing forum function of the </w:t>
      </w:r>
      <w:r w:rsidR="0002170E">
        <w:t>network</w:t>
      </w:r>
      <w:r>
        <w:t>, particularly on specific emerging safety issues or early warning of possible safety signals with COVID-19 vaccines</w:t>
      </w:r>
    </w:p>
    <w:p w14:paraId="3F818232" w14:textId="61FC4C32" w:rsidR="0042555D" w:rsidRPr="00390059" w:rsidRDefault="62CFA4B2" w:rsidP="00ED1A1F">
      <w:pPr>
        <w:pStyle w:val="ListParagraph"/>
        <w:numPr>
          <w:ilvl w:val="0"/>
          <w:numId w:val="15"/>
        </w:numPr>
      </w:pPr>
      <w:r>
        <w:t>a</w:t>
      </w:r>
      <w:r w:rsidR="6EB22BCB">
        <w:t>dvise the ICMRA Executive on approaches to better “real time” sharing of vaccine safety information and promote confidence in pharmacovigilance of vaccines</w:t>
      </w:r>
    </w:p>
    <w:p w14:paraId="6EC376D1" w14:textId="6D496CCB" w:rsidR="0042555D" w:rsidRPr="00390059" w:rsidRDefault="62CFA4B2" w:rsidP="00ED1A1F">
      <w:pPr>
        <w:pStyle w:val="ListParagraph"/>
        <w:numPr>
          <w:ilvl w:val="0"/>
          <w:numId w:val="15"/>
        </w:numPr>
      </w:pPr>
      <w:r>
        <w:t>e</w:t>
      </w:r>
      <w:r w:rsidR="6EB22BCB">
        <w:t>xpand the scope of the</w:t>
      </w:r>
      <w:r w:rsidR="0002170E">
        <w:t xml:space="preserve"> network’s</w:t>
      </w:r>
      <w:r w:rsidR="6EB22BCB">
        <w:t xml:space="preserve"> work to include other vaccines of interest where there may be a specific safety issue to discuss and no alternative forum that engages most ICMRA members is available</w:t>
      </w:r>
    </w:p>
    <w:p w14:paraId="0F17ABB7" w14:textId="143D82DD" w:rsidR="00B20CCA" w:rsidRDefault="62CFA4B2" w:rsidP="00ED1A1F">
      <w:pPr>
        <w:pStyle w:val="ListParagraph"/>
        <w:numPr>
          <w:ilvl w:val="0"/>
          <w:numId w:val="15"/>
        </w:numPr>
      </w:pPr>
      <w:r>
        <w:t>d</w:t>
      </w:r>
      <w:r w:rsidR="6EB22BCB">
        <w:t>iscuss regulatory experience with new pharmacovigilance tools (</w:t>
      </w:r>
      <w:r w:rsidR="007C7B93">
        <w:t>for example,</w:t>
      </w:r>
      <w:r w:rsidR="6EB22BCB">
        <w:t xml:space="preserve"> artificial intelligence methods in data collection).</w:t>
      </w:r>
    </w:p>
    <w:p w14:paraId="1843BEAD" w14:textId="18488755" w:rsidR="00B20CCA" w:rsidRDefault="6EB22BCB" w:rsidP="00712595">
      <w:r>
        <w:t>Through TGA’s joint leadership, the ICMRA VPN was a highly engaged and active network that assisted regulators globally with pharmacovigilance matters.</w:t>
      </w:r>
    </w:p>
    <w:p w14:paraId="4D352B42" w14:textId="3EFFAE7C" w:rsidR="00FF313F" w:rsidRPr="00861639" w:rsidRDefault="3952C0D5" w:rsidP="00DD4691">
      <w:pPr>
        <w:pStyle w:val="Heading3"/>
      </w:pPr>
      <w:bookmarkStart w:id="50" w:name="_Toc153550410"/>
      <w:r>
        <w:t xml:space="preserve">The </w:t>
      </w:r>
      <w:r w:rsidR="0EA2610D">
        <w:t>Access</w:t>
      </w:r>
      <w:r>
        <w:t xml:space="preserve"> Consortium</w:t>
      </w:r>
      <w:r w:rsidR="70BE826C">
        <w:t xml:space="preserve">: </w:t>
      </w:r>
      <w:r w:rsidR="0010A5AE">
        <w:t>International work-sharing for prescription medicines and medical devices</w:t>
      </w:r>
      <w:bookmarkEnd w:id="50"/>
      <w:r w:rsidR="0010A5AE">
        <w:t xml:space="preserve"> </w:t>
      </w:r>
    </w:p>
    <w:p w14:paraId="491CB707" w14:textId="3C15BB6C" w:rsidR="00FF313F" w:rsidRDefault="00FF313F" w:rsidP="001515DB">
      <w:r>
        <w:t xml:space="preserve">The </w:t>
      </w:r>
      <w:r w:rsidR="0EA2610D">
        <w:t>Access</w:t>
      </w:r>
      <w:r>
        <w:t xml:space="preserve"> Consortium is a medium-sized coalition of </w:t>
      </w:r>
      <w:r w:rsidR="0017294B">
        <w:t>comparable</w:t>
      </w:r>
      <w:r>
        <w:t xml:space="preserve"> regulatory authorities</w:t>
      </w:r>
      <w:r w:rsidR="0017294B">
        <w:t xml:space="preserve">- </w:t>
      </w:r>
      <w:r>
        <w:t>Australia</w:t>
      </w:r>
      <w:r w:rsidR="0017294B">
        <w:t xml:space="preserve">, </w:t>
      </w:r>
      <w:r>
        <w:t>Canada</w:t>
      </w:r>
      <w:r w:rsidR="0017294B">
        <w:t xml:space="preserve">, </w:t>
      </w:r>
      <w:r>
        <w:t>Singapore</w:t>
      </w:r>
      <w:r w:rsidR="0017294B">
        <w:t xml:space="preserve">, </w:t>
      </w:r>
      <w:r>
        <w:t>Switzerland</w:t>
      </w:r>
      <w:r w:rsidR="0017294B">
        <w:t xml:space="preserve"> and the </w:t>
      </w:r>
      <w:r>
        <w:t>United Kingdom</w:t>
      </w:r>
      <w:r w:rsidR="0017294B">
        <w:t>.</w:t>
      </w:r>
      <w:r>
        <w:t xml:space="preserve"> </w:t>
      </w:r>
      <w:r w:rsidR="0017294B">
        <w:t>These regulators</w:t>
      </w:r>
      <w:r>
        <w:t xml:space="preserve"> work together to promote greater regulatory collaboration and alignment of regulatory </w:t>
      </w:r>
      <w:r>
        <w:lastRenderedPageBreak/>
        <w:t>requirements. One significant area of collaboration is work-sharing the evaluation of a wide range of new chemical entities and generic medicines</w:t>
      </w:r>
      <w:r w:rsidR="00ED1541">
        <w:t>,</w:t>
      </w:r>
      <w:r>
        <w:t xml:space="preserve"> which streamline</w:t>
      </w:r>
      <w:r w:rsidR="00EB5170">
        <w:t>s</w:t>
      </w:r>
      <w:r>
        <w:t xml:space="preserve"> the evaluation process and reduce</w:t>
      </w:r>
      <w:r w:rsidR="00EB5170">
        <w:t>s</w:t>
      </w:r>
      <w:r>
        <w:t xml:space="preserve"> duplication of evaluation effort. The </w:t>
      </w:r>
      <w:r w:rsidR="007A1741">
        <w:t>c</w:t>
      </w:r>
      <w:r>
        <w:t>onsortium published a statement in May 2023 offering joint pipeline meetings to pharmaceutical and biotechnology companies.</w:t>
      </w:r>
    </w:p>
    <w:p w14:paraId="6DA65132" w14:textId="35818C9D" w:rsidR="00FF313F" w:rsidRPr="00861639" w:rsidRDefault="00FF313F" w:rsidP="001515DB">
      <w:r>
        <w:t>The heads of the five agencies met twice in this reporting period to review progress of the working groups and approve the work program for the upcoming year.</w:t>
      </w:r>
    </w:p>
    <w:p w14:paraId="4A110496" w14:textId="66A1C5BE" w:rsidR="00FF313F" w:rsidRDefault="00776958" w:rsidP="001515DB">
      <w:r>
        <w:t>In 2022-23 t</w:t>
      </w:r>
      <w:r w:rsidR="00FF313F">
        <w:t xml:space="preserve">he </w:t>
      </w:r>
      <w:r w:rsidR="0EA2610D">
        <w:t>Access</w:t>
      </w:r>
      <w:r w:rsidR="00FF313F">
        <w:t xml:space="preserve"> Consortium had </w:t>
      </w:r>
      <w:r w:rsidR="00F53F8B">
        <w:t>10</w:t>
      </w:r>
      <w:r w:rsidR="00FF313F">
        <w:t xml:space="preserve"> active working groups in place across a range of regulatory activities</w:t>
      </w:r>
      <w:r>
        <w:t>,</w:t>
      </w:r>
      <w:r w:rsidR="00FF313F">
        <w:t xml:space="preserve"> including a newly established </w:t>
      </w:r>
      <w:r w:rsidR="00F53F8B">
        <w:t>c</w:t>
      </w:r>
      <w:r w:rsidR="00FF313F">
        <w:t>linical trials working group and a dedicated Advanced Therapeutic Medicinal Products working group.</w:t>
      </w:r>
      <w:r w:rsidR="00174CAA">
        <w:t xml:space="preserve"> </w:t>
      </w:r>
      <w:r w:rsidR="00FF313F">
        <w:t xml:space="preserve">The </w:t>
      </w:r>
      <w:r>
        <w:t xml:space="preserve">following </w:t>
      </w:r>
      <w:r w:rsidR="00FF313F">
        <w:t>working groups continued to facilitate work-sharing initiatives during this reporting period:</w:t>
      </w:r>
    </w:p>
    <w:p w14:paraId="2313F9DB" w14:textId="36C01A8F" w:rsidR="00F53F8B" w:rsidRPr="00AC4B4B" w:rsidRDefault="00F53F8B" w:rsidP="00ED1A1F">
      <w:pPr>
        <w:pStyle w:val="ListParagraph"/>
        <w:numPr>
          <w:ilvl w:val="0"/>
          <w:numId w:val="15"/>
        </w:numPr>
      </w:pPr>
      <w:r>
        <w:t>New Active Substances (NAS) Working Group, which recently incorporated the COVID-19 Vaccines and Therapeutics Working Group (CVTWG)</w:t>
      </w:r>
    </w:p>
    <w:p w14:paraId="654B6195" w14:textId="0CFF9007" w:rsidR="00F53F8B" w:rsidRPr="00AC4B4B" w:rsidRDefault="0E5CF930" w:rsidP="00ED1A1F">
      <w:pPr>
        <w:pStyle w:val="ListParagraph"/>
        <w:numPr>
          <w:ilvl w:val="0"/>
          <w:numId w:val="15"/>
        </w:numPr>
      </w:pPr>
      <w:r>
        <w:t>Generic Medicines Working Group</w:t>
      </w:r>
    </w:p>
    <w:p w14:paraId="12D44159" w14:textId="5A0F6B56" w:rsidR="00FF313F" w:rsidRDefault="0E5CF930" w:rsidP="00ED1A1F">
      <w:pPr>
        <w:pStyle w:val="ListParagraph"/>
        <w:numPr>
          <w:ilvl w:val="0"/>
          <w:numId w:val="15"/>
        </w:numPr>
      </w:pPr>
      <w:r>
        <w:t>Biosimilars Working Group</w:t>
      </w:r>
      <w:r w:rsidR="00F53F8B">
        <w:t>.</w:t>
      </w:r>
    </w:p>
    <w:p w14:paraId="73DBB830" w14:textId="2BF0AA59" w:rsidR="00FF313F" w:rsidRDefault="00FF313F" w:rsidP="001515DB">
      <w:r>
        <w:t xml:space="preserve">In 2022-23, </w:t>
      </w:r>
      <w:r w:rsidR="00FC7256">
        <w:t>we</w:t>
      </w:r>
      <w:r>
        <w:t xml:space="preserve"> approved 5 submissions through the </w:t>
      </w:r>
      <w:r w:rsidR="0EA2610D">
        <w:t>Access</w:t>
      </w:r>
      <w:r>
        <w:t xml:space="preserve"> NAS Work-Sharing Initiative</w:t>
      </w:r>
      <w:r w:rsidR="003669C0">
        <w:t>,</w:t>
      </w:r>
      <w:r>
        <w:t xml:space="preserve"> including the first two submissions to be work-shared by all five Access agencies</w:t>
      </w:r>
      <w:r w:rsidR="004E58A4">
        <w:t>,</w:t>
      </w:r>
      <w:r>
        <w:t xml:space="preserve"> and 2 submissions through the Access Generic Medicines Work-Sharing Initiative. </w:t>
      </w:r>
      <w:r w:rsidR="00FC7256">
        <w:t>We</w:t>
      </w:r>
      <w:r>
        <w:t xml:space="preserve"> also participated in the first formal work-sharing of a priority NAS submission. The </w:t>
      </w:r>
      <w:r w:rsidR="3235A546">
        <w:t>Access Gener</w:t>
      </w:r>
      <w:r>
        <w:t>ic Medicines Work-sharing Initiative operational procedures have been updated to provide further clarity to sponsors on the expectations and requirements for entry into this evaluation pathway.</w:t>
      </w:r>
    </w:p>
    <w:p w14:paraId="7E736435" w14:textId="2A63042E" w:rsidR="00FC7256" w:rsidRDefault="00FC7256" w:rsidP="001515DB">
      <w:r>
        <w:t>In June 2023 t</w:t>
      </w:r>
      <w:r w:rsidR="00FF313F">
        <w:t xml:space="preserve">he </w:t>
      </w:r>
      <w:r w:rsidR="0EA2610D">
        <w:t>Access</w:t>
      </w:r>
      <w:r w:rsidR="537E1BA6">
        <w:t xml:space="preserve"> Consortium</w:t>
      </w:r>
      <w:r w:rsidR="00FF313F">
        <w:t xml:space="preserve"> delivered a presentation to industry at the Drug Information Association</w:t>
      </w:r>
      <w:r w:rsidR="00174CAA">
        <w:t xml:space="preserve"> </w:t>
      </w:r>
      <w:r w:rsidR="00FF313F">
        <w:t>meeting in Boston</w:t>
      </w:r>
      <w:r w:rsidR="003D30FE">
        <w:t>,</w:t>
      </w:r>
      <w:r w:rsidR="00FF313F">
        <w:t xml:space="preserve"> titled ‘</w:t>
      </w:r>
      <w:r w:rsidR="00FF313F" w:rsidRPr="7D0019BB">
        <w:rPr>
          <w:i/>
          <w:iCs/>
        </w:rPr>
        <w:t>Access Consortium – what next: How can Access regulators support rapid and safe global access to the next generation of medicinal product through aligned, innovative regulatory processes</w:t>
      </w:r>
      <w:r w:rsidR="00603E75" w:rsidRPr="00603E75">
        <w:rPr>
          <w:i/>
          <w:iCs/>
        </w:rPr>
        <w:t>’</w:t>
      </w:r>
      <w:r w:rsidR="00FF313F" w:rsidRPr="007E7468">
        <w:rPr>
          <w:i/>
          <w:iCs/>
        </w:rPr>
        <w:t>.</w:t>
      </w:r>
      <w:r w:rsidR="00FF313F">
        <w:t xml:space="preserve"> The presentation</w:t>
      </w:r>
      <w:r>
        <w:t>:</w:t>
      </w:r>
    </w:p>
    <w:p w14:paraId="3C75CD8F" w14:textId="45A426D6" w:rsidR="00603E75" w:rsidRPr="00AC4B4B" w:rsidRDefault="00603E75" w:rsidP="00ED1A1F">
      <w:pPr>
        <w:pStyle w:val="ListParagraph"/>
        <w:numPr>
          <w:ilvl w:val="0"/>
          <w:numId w:val="15"/>
        </w:numPr>
      </w:pPr>
      <w:r>
        <w:t>highlighted Access’s achievements in using work-sharing initiatives to expedite approvals</w:t>
      </w:r>
    </w:p>
    <w:p w14:paraId="0E0DA221" w14:textId="494CB495" w:rsidR="00603E75" w:rsidRPr="00AC4B4B" w:rsidRDefault="6E6FE36B" w:rsidP="00ED1A1F">
      <w:pPr>
        <w:pStyle w:val="ListParagraph"/>
        <w:numPr>
          <w:ilvl w:val="0"/>
          <w:numId w:val="15"/>
        </w:numPr>
      </w:pPr>
      <w:r>
        <w:t>showcased</w:t>
      </w:r>
      <w:r w:rsidR="0E5CF930">
        <w:t xml:space="preserve"> progress made against the Strategic Plan</w:t>
      </w:r>
    </w:p>
    <w:p w14:paraId="27121A4A" w14:textId="7C8A72CE" w:rsidR="00603E75" w:rsidRPr="00AC4B4B" w:rsidRDefault="0E5CF930" w:rsidP="00ED1A1F">
      <w:pPr>
        <w:pStyle w:val="ListParagraph"/>
        <w:numPr>
          <w:ilvl w:val="0"/>
          <w:numId w:val="15"/>
        </w:numPr>
      </w:pPr>
      <w:r>
        <w:t>explored opportunities for industry to bring new, innovative products through Access pathways</w:t>
      </w:r>
    </w:p>
    <w:p w14:paraId="4F3606DE" w14:textId="1DADBD50" w:rsidR="00FF313F" w:rsidRDefault="0E5CF930" w:rsidP="00ED1A1F">
      <w:pPr>
        <w:pStyle w:val="ListParagraph"/>
        <w:numPr>
          <w:ilvl w:val="0"/>
          <w:numId w:val="15"/>
        </w:numPr>
      </w:pPr>
      <w:r>
        <w:t>also incorporated a presentation from TGA on ‘Lessons Learned during COVID-19’.</w:t>
      </w:r>
    </w:p>
    <w:p w14:paraId="66B24F2F" w14:textId="77777777" w:rsidR="00FF313F" w:rsidRPr="00CE4A24" w:rsidRDefault="0010A5AE" w:rsidP="00DD4691">
      <w:pPr>
        <w:pStyle w:val="Heading3"/>
      </w:pPr>
      <w:bookmarkStart w:id="51" w:name="_Toc153550411"/>
      <w:r>
        <w:t>Project Orbis</w:t>
      </w:r>
      <w:bookmarkEnd w:id="51"/>
    </w:p>
    <w:p w14:paraId="26708E58" w14:textId="0A59EA9F" w:rsidR="008B7FB7" w:rsidRDefault="00FF313F" w:rsidP="001515DB">
      <w:r w:rsidRPr="00B40320">
        <w:t xml:space="preserve">Project Orbis is led by the US Food and Drug Administration (FDA) and provides a framework for concurrent submission and parallel review of oncology products among international partners. </w:t>
      </w:r>
      <w:r w:rsidR="008B7FB7">
        <w:t xml:space="preserve">We </w:t>
      </w:r>
      <w:r w:rsidRPr="00B40320">
        <w:t>continue to perform joint evaluations to share technical expertise and accelerate access to novel medicines. Currently the Project Orbis partners include</w:t>
      </w:r>
      <w:r w:rsidR="008B7FB7">
        <w:t>:</w:t>
      </w:r>
    </w:p>
    <w:p w14:paraId="1F0E3A42" w14:textId="26F12644" w:rsidR="00A746DC" w:rsidRPr="00AC4B4B" w:rsidRDefault="00A746DC" w:rsidP="00ED1A1F">
      <w:pPr>
        <w:pStyle w:val="ListParagraph"/>
        <w:numPr>
          <w:ilvl w:val="0"/>
          <w:numId w:val="15"/>
        </w:numPr>
      </w:pPr>
      <w:r>
        <w:t>Australia (TGA)</w:t>
      </w:r>
    </w:p>
    <w:p w14:paraId="257C54E5" w14:textId="2FF23AAF" w:rsidR="00A746DC" w:rsidRPr="00AC4B4B" w:rsidRDefault="0E5CF930" w:rsidP="00ED1A1F">
      <w:pPr>
        <w:pStyle w:val="ListParagraph"/>
        <w:numPr>
          <w:ilvl w:val="0"/>
          <w:numId w:val="15"/>
        </w:numPr>
      </w:pPr>
      <w:r>
        <w:t>Canada (Health Canada)</w:t>
      </w:r>
    </w:p>
    <w:p w14:paraId="2A51DD41" w14:textId="7AC21FB7" w:rsidR="00A746DC" w:rsidRPr="00AC4B4B" w:rsidRDefault="0E5CF930" w:rsidP="00ED1A1F">
      <w:pPr>
        <w:pStyle w:val="ListParagraph"/>
        <w:numPr>
          <w:ilvl w:val="0"/>
          <w:numId w:val="15"/>
        </w:numPr>
      </w:pPr>
      <w:r>
        <w:t>Switzerland (Swissmedic)</w:t>
      </w:r>
    </w:p>
    <w:p w14:paraId="2724B615" w14:textId="0447AF03" w:rsidR="00A746DC" w:rsidRPr="00AC4B4B" w:rsidRDefault="0E5CF930" w:rsidP="00ED1A1F">
      <w:pPr>
        <w:pStyle w:val="ListParagraph"/>
        <w:numPr>
          <w:ilvl w:val="0"/>
          <w:numId w:val="15"/>
        </w:numPr>
      </w:pPr>
      <w:r>
        <w:t>Singapore (HSA)</w:t>
      </w:r>
    </w:p>
    <w:p w14:paraId="40F07FD4" w14:textId="4D11BF8F" w:rsidR="00A746DC" w:rsidRPr="00A746DC" w:rsidRDefault="0E5CF930" w:rsidP="00ED1A1F">
      <w:pPr>
        <w:pStyle w:val="ListParagraph"/>
        <w:numPr>
          <w:ilvl w:val="0"/>
          <w:numId w:val="15"/>
        </w:numPr>
        <w:rPr>
          <w:szCs w:val="22"/>
        </w:rPr>
      </w:pPr>
      <w:r>
        <w:t>United Kingdom (MHRA)</w:t>
      </w:r>
    </w:p>
    <w:p w14:paraId="2D596801" w14:textId="77777777" w:rsidR="00A746DC" w:rsidRPr="00A746DC" w:rsidRDefault="47C41302" w:rsidP="00ED1A1F">
      <w:pPr>
        <w:pStyle w:val="ListParagraph"/>
        <w:numPr>
          <w:ilvl w:val="0"/>
          <w:numId w:val="15"/>
        </w:numPr>
        <w:rPr>
          <w:szCs w:val="22"/>
        </w:rPr>
      </w:pPr>
      <w:r>
        <w:lastRenderedPageBreak/>
        <w:t>Brazil (Anvisa)</w:t>
      </w:r>
    </w:p>
    <w:p w14:paraId="303C1298" w14:textId="3CEEB701" w:rsidR="00445FF9" w:rsidRPr="00326E56" w:rsidRDefault="47C41302" w:rsidP="00ED1A1F">
      <w:pPr>
        <w:pStyle w:val="ListParagraph"/>
        <w:numPr>
          <w:ilvl w:val="0"/>
          <w:numId w:val="15"/>
        </w:numPr>
        <w:rPr>
          <w:szCs w:val="22"/>
        </w:rPr>
      </w:pPr>
      <w:r>
        <w:t>Israel (MOH).</w:t>
      </w:r>
    </w:p>
    <w:p w14:paraId="6194A46D" w14:textId="1DADBD50" w:rsidR="00FF313F" w:rsidRPr="00A46EDD" w:rsidRDefault="00FF313F" w:rsidP="001515DB">
      <w:r>
        <w:t>During 2022-23, 21 submissions were approved through Project Orbis, including 6 provisional submissions, 4 priority submissions and 3 orphan submissions.</w:t>
      </w:r>
    </w:p>
    <w:p w14:paraId="1E74C816" w14:textId="3FB91DD8" w:rsidR="00FF313F" w:rsidRPr="00DB74E3" w:rsidRDefault="0010A5AE" w:rsidP="00DD4691">
      <w:pPr>
        <w:pStyle w:val="Heading3"/>
      </w:pPr>
      <w:bookmarkStart w:id="52" w:name="_Toc153550412"/>
      <w:r>
        <w:t>International agreements and arrangements for Good Manufacturing Pr</w:t>
      </w:r>
      <w:r w:rsidR="2B0157C7">
        <w:t>actice</w:t>
      </w:r>
      <w:bookmarkEnd w:id="52"/>
    </w:p>
    <w:p w14:paraId="29695509" w14:textId="4C8E24D5" w:rsidR="00FF313F" w:rsidRDefault="00A46EDD" w:rsidP="001515DB">
      <w:r>
        <w:t>We have</w:t>
      </w:r>
      <w:r w:rsidR="00FF313F">
        <w:t xml:space="preserve"> various international agreements and arrangements with other countries and regulatory authorities. Some of these allow </w:t>
      </w:r>
      <w:r w:rsidR="00FB28FF">
        <w:t>mutual reliance on</w:t>
      </w:r>
      <w:r w:rsidR="00FF313F">
        <w:t xml:space="preserve"> Good Manufacturing Practice (GMP) inspection programs. The scope of these agreements, the regulatory authorities covered and how they can be used in applications for GMP Clearances from the TGA is published on our website under </w:t>
      </w:r>
      <w:hyperlink r:id="rId34" w:history="1">
        <w:r w:rsidR="00FF313F" w:rsidRPr="007E7468">
          <w:rPr>
            <w:rStyle w:val="Hyperlink"/>
          </w:rPr>
          <w:t>International agreements and arrangements for GMP clearance</w:t>
        </w:r>
      </w:hyperlink>
      <w:r w:rsidR="00FF313F">
        <w:t>. In 2022, we worked closely with Access Consortium members on a joint statement on GMP Inspections Reliance and Recognition</w:t>
      </w:r>
      <w:r w:rsidR="008B47FE">
        <w:t>,</w:t>
      </w:r>
      <w:r w:rsidR="00FF313F">
        <w:t xml:space="preserve"> which was published in November 2022.</w:t>
      </w:r>
    </w:p>
    <w:p w14:paraId="48EFF95C" w14:textId="69E9A251" w:rsidR="00FF313F" w:rsidRDefault="00FF313F" w:rsidP="001515DB">
      <w:r>
        <w:t xml:space="preserve">Mutual </w:t>
      </w:r>
      <w:r w:rsidR="00D5029F">
        <w:t>R</w:t>
      </w:r>
      <w:r>
        <w:t xml:space="preserve">ecognition </w:t>
      </w:r>
      <w:r w:rsidR="00D5029F">
        <w:t>A</w:t>
      </w:r>
      <w:r>
        <w:t>greements (MRA</w:t>
      </w:r>
      <w:r w:rsidR="00D5029F">
        <w:t>s</w:t>
      </w:r>
      <w:r>
        <w:t>) are internationally binding agreements between countries to facilitate trade and market access. They can allow mutual recognition of</w:t>
      </w:r>
      <w:r w:rsidR="00D5029F">
        <w:t xml:space="preserve"> the outcomes of</w:t>
      </w:r>
      <w:r>
        <w:t xml:space="preserve"> GMP inspection</w:t>
      </w:r>
      <w:r w:rsidR="00D5029F">
        <w:t>s</w:t>
      </w:r>
      <w:r>
        <w:t xml:space="preserve"> of medicine manufacturers within the borders of each partner country. We have operationalised additional countries under the EU-Australia Mutual Recognition Agreement for GMP and established recurring forums with MRA partners. These include Europe, the UK, Canada, Singapore and New Zealand. Throughout 2022-23, we engaged with MRA partners on sites of common interest related to GMP inspections for COVID-19 vaccines to avoid duplication of effort.</w:t>
      </w:r>
    </w:p>
    <w:p w14:paraId="393E2184" w14:textId="0C2BE09D" w:rsidR="00FF313F" w:rsidRPr="000001A9" w:rsidRDefault="0010A5AE" w:rsidP="00DD4691">
      <w:pPr>
        <w:pStyle w:val="Heading3"/>
      </w:pPr>
      <w:bookmarkStart w:id="53" w:name="_Toc153550413"/>
      <w:r>
        <w:t>Pharmaceutical Inspection Cooperation Scheme (PIC/S)</w:t>
      </w:r>
      <w:bookmarkEnd w:id="53"/>
    </w:p>
    <w:p w14:paraId="1F989414" w14:textId="55CD6190" w:rsidR="00FF313F" w:rsidRDefault="00FF313F" w:rsidP="001515DB">
      <w:r>
        <w:t xml:space="preserve">Many regulatory authorities, including the TGA, are members of the Pharmaceutical Inspection Cooperation Scheme (PIC/S), which is a non-binding, informal, cooperative arrangement between authorities that regulate GMP for </w:t>
      </w:r>
      <w:r w:rsidR="5B4C6387">
        <w:t xml:space="preserve">human </w:t>
      </w:r>
      <w:r>
        <w:t>medicinal products</w:t>
      </w:r>
      <w:r w:rsidR="5D2292DF">
        <w:t>, biologicals and veterinarian products</w:t>
      </w:r>
      <w:r>
        <w:t>.</w:t>
      </w:r>
    </w:p>
    <w:p w14:paraId="3B7595EA" w14:textId="58426025" w:rsidR="00FF313F" w:rsidRDefault="000E14A8" w:rsidP="001515DB">
      <w:r>
        <w:t>We continue</w:t>
      </w:r>
      <w:r w:rsidR="00FF313F">
        <w:t xml:space="preserve"> to work with our regulatory partners in PIC/S on </w:t>
      </w:r>
      <w:r w:rsidR="007A3B5E">
        <w:t>best practice</w:t>
      </w:r>
      <w:r w:rsidR="3AFE91E0">
        <w:t xml:space="preserve"> </w:t>
      </w:r>
      <w:r w:rsidR="00BF6422">
        <w:t xml:space="preserve">processes </w:t>
      </w:r>
      <w:r w:rsidR="3AFE91E0">
        <w:t>for</w:t>
      </w:r>
      <w:r w:rsidR="00FF313F">
        <w:t xml:space="preserve"> remote inspection </w:t>
      </w:r>
      <w:r w:rsidR="53FD30FC">
        <w:t>and reliance</w:t>
      </w:r>
      <w:r w:rsidR="007A3B5E">
        <w:t>.</w:t>
      </w:r>
      <w:r w:rsidR="00FF313F">
        <w:t xml:space="preserve"> </w:t>
      </w:r>
      <w:r>
        <w:t xml:space="preserve">We </w:t>
      </w:r>
      <w:r w:rsidR="2B160C20">
        <w:t xml:space="preserve">hold </w:t>
      </w:r>
      <w:r w:rsidR="00FF313F">
        <w:t xml:space="preserve">the Chair of the PIC/S Sub-committee on Strategic Development, attending twice yearly in-person meetings of the PIC/S Executive Bureau and regular teleconferences </w:t>
      </w:r>
      <w:r w:rsidR="00F93884">
        <w:t>with</w:t>
      </w:r>
      <w:r w:rsidR="00FF313F">
        <w:t xml:space="preserve"> both </w:t>
      </w:r>
      <w:r w:rsidR="00F93884">
        <w:t xml:space="preserve">these groups. </w:t>
      </w:r>
    </w:p>
    <w:p w14:paraId="2904F2E6" w14:textId="5A21E509" w:rsidR="00FF313F" w:rsidRPr="00B40320" w:rsidRDefault="000001A9" w:rsidP="001515DB">
      <w:r>
        <w:t>We</w:t>
      </w:r>
      <w:r w:rsidR="00FF313F">
        <w:t xml:space="preserve"> participated in the revision </w:t>
      </w:r>
      <w:r w:rsidR="002A5452">
        <w:t xml:space="preserve">of </w:t>
      </w:r>
      <w:r w:rsidR="00FF313F">
        <w:t xml:space="preserve">and training </w:t>
      </w:r>
      <w:r w:rsidR="002A5452">
        <w:t>for</w:t>
      </w:r>
      <w:r w:rsidR="000E14A8">
        <w:t xml:space="preserve"> </w:t>
      </w:r>
      <w:r w:rsidR="00FF313F">
        <w:t>updates to the PIC</w:t>
      </w:r>
      <w:r w:rsidR="00EB6199">
        <w:t>/</w:t>
      </w:r>
      <w:r w:rsidR="00FF313F">
        <w:t xml:space="preserve">S guide to GMP for medicinal products (manufacturing standard) for sterile medicines, quality risk management and biological medicines. </w:t>
      </w:r>
      <w:r w:rsidR="008D7BE8">
        <w:t xml:space="preserve">We </w:t>
      </w:r>
      <w:r w:rsidR="00FF313F">
        <w:t xml:space="preserve">chaired and contributed to </w:t>
      </w:r>
      <w:r w:rsidR="41765408">
        <w:t>various</w:t>
      </w:r>
      <w:r w:rsidR="00FF313F">
        <w:t xml:space="preserve"> working groups within PIC/S aimed at fostering greater Inspection Reliance between members, consistency of data collection, development of training materials and alignment of processes.</w:t>
      </w:r>
    </w:p>
    <w:p w14:paraId="3DE72092" w14:textId="38B5005F" w:rsidR="00FF313F" w:rsidRPr="00752F2E" w:rsidRDefault="0010A5AE" w:rsidP="00DD4691">
      <w:pPr>
        <w:pStyle w:val="Heading3"/>
      </w:pPr>
      <w:bookmarkStart w:id="54" w:name="_Toc153550414"/>
      <w:r>
        <w:t>Medical Device Standards Work</w:t>
      </w:r>
      <w:bookmarkEnd w:id="54"/>
    </w:p>
    <w:p w14:paraId="03798D5E" w14:textId="255B81D9" w:rsidR="00047CCE" w:rsidRDefault="00E27C44" w:rsidP="001515DB">
      <w:r>
        <w:t>We are</w:t>
      </w:r>
      <w:r w:rsidR="00FF313F">
        <w:t xml:space="preserve"> a member of 5 International Organization for Standar</w:t>
      </w:r>
      <w:r w:rsidR="0038720D">
        <w:t>d</w:t>
      </w:r>
      <w:r w:rsidR="00FF313F">
        <w:t>i</w:t>
      </w:r>
      <w:r w:rsidR="008E12A9">
        <w:t>s</w:t>
      </w:r>
      <w:r w:rsidR="00FF313F">
        <w:t>ation (ISO) Technical Committees (TC), as well as several ISO sub-committees, relating to medical devices. The ISO TC’s include</w:t>
      </w:r>
      <w:r w:rsidR="00047CCE">
        <w:t>:</w:t>
      </w:r>
    </w:p>
    <w:p w14:paraId="35A21263" w14:textId="02593CBD" w:rsidR="00326E56" w:rsidRPr="00AC4B4B" w:rsidRDefault="00326E56" w:rsidP="00ED1A1F">
      <w:pPr>
        <w:pStyle w:val="ListParagraph"/>
        <w:numPr>
          <w:ilvl w:val="0"/>
          <w:numId w:val="15"/>
        </w:numPr>
      </w:pPr>
      <w:r>
        <w:t>anaesthetic and respiratory equipment</w:t>
      </w:r>
    </w:p>
    <w:p w14:paraId="52613B92" w14:textId="21884775" w:rsidR="00326E56" w:rsidRPr="00AC4B4B" w:rsidRDefault="00326E56" w:rsidP="00ED1A1F">
      <w:pPr>
        <w:pStyle w:val="ListParagraph"/>
        <w:numPr>
          <w:ilvl w:val="0"/>
          <w:numId w:val="15"/>
        </w:numPr>
      </w:pPr>
      <w:r>
        <w:t>i</w:t>
      </w:r>
      <w:r w:rsidR="0E5CF930">
        <w:t>mplants for surgery</w:t>
      </w:r>
    </w:p>
    <w:p w14:paraId="38D8B147" w14:textId="39ADD644" w:rsidR="00326E56" w:rsidRPr="00AC4B4B" w:rsidRDefault="00326E56" w:rsidP="00ED1A1F">
      <w:pPr>
        <w:pStyle w:val="ListParagraph"/>
        <w:numPr>
          <w:ilvl w:val="0"/>
          <w:numId w:val="15"/>
        </w:numPr>
      </w:pPr>
      <w:r>
        <w:t>b</w:t>
      </w:r>
      <w:r w:rsidR="0E5CF930">
        <w:t>iological evaluation of medical devices</w:t>
      </w:r>
    </w:p>
    <w:p w14:paraId="5F43DC97" w14:textId="71F6CF22" w:rsidR="00326E56" w:rsidRPr="00AC4B4B" w:rsidRDefault="00326E56" w:rsidP="00ED1A1F">
      <w:pPr>
        <w:pStyle w:val="ListParagraph"/>
        <w:numPr>
          <w:ilvl w:val="0"/>
          <w:numId w:val="15"/>
        </w:numPr>
      </w:pPr>
      <w:r>
        <w:t>q</w:t>
      </w:r>
      <w:r w:rsidR="0E5CF930">
        <w:t>uality management and corresponding general aspects for medical devices</w:t>
      </w:r>
    </w:p>
    <w:p w14:paraId="6D2F05DF" w14:textId="279E20CB" w:rsidR="001628A9" w:rsidRPr="00AC4B4B" w:rsidRDefault="00326E56" w:rsidP="00ED1A1F">
      <w:pPr>
        <w:pStyle w:val="ListParagraph"/>
        <w:numPr>
          <w:ilvl w:val="0"/>
          <w:numId w:val="15"/>
        </w:numPr>
      </w:pPr>
      <w:r>
        <w:lastRenderedPageBreak/>
        <w:t>c</w:t>
      </w:r>
      <w:r w:rsidR="0E5CF930">
        <w:t>linical laboratory testing and in vitro diagnostic test systems.</w:t>
      </w:r>
    </w:p>
    <w:p w14:paraId="66D951A9" w14:textId="0940373A" w:rsidR="00FF313F" w:rsidRPr="00B40320" w:rsidRDefault="00FF313F" w:rsidP="001515DB">
      <w:r w:rsidRPr="00B40320">
        <w:t>ISO is an independent, non-governmental international organi</w:t>
      </w:r>
      <w:r w:rsidR="00326E56">
        <w:t>s</w:t>
      </w:r>
      <w:r w:rsidRPr="00B40320">
        <w:t>ation with a membership of 168 national standards bodies</w:t>
      </w:r>
      <w:r w:rsidR="00127670">
        <w:t>, bringing</w:t>
      </w:r>
      <w:r w:rsidRPr="00B40320">
        <w:t xml:space="preserve"> together experts to share knowledge and develop voluntary, consensus-based, market relevant </w:t>
      </w:r>
      <w:r w:rsidR="00AF7480">
        <w:t>i</w:t>
      </w:r>
      <w:r w:rsidRPr="00B40320">
        <w:t xml:space="preserve">nternational </w:t>
      </w:r>
      <w:r w:rsidR="00AF7480">
        <w:t>s</w:t>
      </w:r>
      <w:r w:rsidRPr="00B40320">
        <w:t>tandards that support innovation and provide solutions to global challenges.</w:t>
      </w:r>
    </w:p>
    <w:p w14:paraId="3A1EAB51" w14:textId="7553E8F6" w:rsidR="00FF313F" w:rsidRDefault="0038720D" w:rsidP="001515DB">
      <w:r>
        <w:t>We are</w:t>
      </w:r>
      <w:r w:rsidR="00FF313F">
        <w:t xml:space="preserve"> also on the ASTM International Committees for face masks and breast implants. ASTM is a developer of international voluntary consensus standards.</w:t>
      </w:r>
    </w:p>
    <w:p w14:paraId="459F23FB" w14:textId="77777777" w:rsidR="00FF313F" w:rsidRPr="002562C9" w:rsidRDefault="0010A5AE" w:rsidP="00DD4691">
      <w:pPr>
        <w:pStyle w:val="Heading3"/>
      </w:pPr>
      <w:bookmarkStart w:id="55" w:name="_Toc153550415"/>
      <w:r>
        <w:t>Comparable overseas regulators for medical devices</w:t>
      </w:r>
      <w:bookmarkEnd w:id="55"/>
    </w:p>
    <w:p w14:paraId="1CE0E6D5" w14:textId="7B043864" w:rsidR="008E0516" w:rsidRDefault="008E0516" w:rsidP="001515DB">
      <w:pPr>
        <w:rPr>
          <w:rFonts w:cs="Arial"/>
        </w:rPr>
      </w:pPr>
      <w:r w:rsidRPr="000E03E9">
        <w:rPr>
          <w:rFonts w:cs="Arial"/>
        </w:rPr>
        <w:t>We now formally recognise the Health Sciences Authority (HSA) Singapore as a Comparable Overseas Regulator for medical devices, which allows Australian sponsors to apply for TGA approval to supply medical devices in Australia based on HSA approval.</w:t>
      </w:r>
    </w:p>
    <w:p w14:paraId="0534410F" w14:textId="4755D38C" w:rsidR="00FF313F" w:rsidRPr="000E03E9" w:rsidRDefault="009800DF" w:rsidP="001515DB">
      <w:pPr>
        <w:rPr>
          <w:rFonts w:cs="Arial"/>
        </w:rPr>
      </w:pPr>
      <w:r>
        <w:rPr>
          <w:rFonts w:cs="Arial"/>
        </w:rPr>
        <w:t>In addition, t</w:t>
      </w:r>
      <w:r w:rsidR="47C41302" w:rsidRPr="000E03E9">
        <w:rPr>
          <w:rFonts w:cs="Arial"/>
        </w:rPr>
        <w:t>he Medical Device Single Audit Program (MDSAP)</w:t>
      </w:r>
      <w:r w:rsidR="00160776" w:rsidRPr="000E03E9">
        <w:rPr>
          <w:rStyle w:val="FootnoteReference"/>
          <w:rFonts w:cs="Arial"/>
        </w:rPr>
        <w:footnoteReference w:id="6"/>
      </w:r>
      <w:r w:rsidR="47C41302" w:rsidRPr="000E03E9">
        <w:rPr>
          <w:rFonts w:cs="Arial"/>
        </w:rPr>
        <w:t xml:space="preserve"> has been designed to jointly leverage regulatory resources to manage an efficient, effective, and sustainable single audit program focused on the Quality Management System</w:t>
      </w:r>
      <w:r w:rsidR="00E5147A" w:rsidRPr="000E03E9">
        <w:rPr>
          <w:rStyle w:val="FootnoteReference"/>
          <w:rFonts w:cs="Arial"/>
        </w:rPr>
        <w:footnoteReference w:id="7"/>
      </w:r>
      <w:r w:rsidR="47C41302" w:rsidRPr="000E03E9">
        <w:rPr>
          <w:rFonts w:cs="Arial"/>
        </w:rPr>
        <w:t xml:space="preserve"> and regulatory requirements of medical device manufacturers. MDSAP certificates are issued by recognised auditing organisations</w:t>
      </w:r>
      <w:r w:rsidR="1A7966FF" w:rsidRPr="000E03E9">
        <w:rPr>
          <w:rFonts w:cs="Arial"/>
        </w:rPr>
        <w:t>,</w:t>
      </w:r>
      <w:r w:rsidR="47C41302" w:rsidRPr="000E03E9">
        <w:rPr>
          <w:rFonts w:cs="Arial"/>
        </w:rPr>
        <w:t xml:space="preserve"> with oversight from the participating comparable overseas regulators and the TGA.</w:t>
      </w:r>
    </w:p>
    <w:p w14:paraId="01CE9408" w14:textId="7D2DC12C" w:rsidR="008E0516" w:rsidRDefault="00834849" w:rsidP="001515DB">
      <w:pPr>
        <w:rPr>
          <w:rFonts w:cs="Arial"/>
        </w:rPr>
      </w:pPr>
      <w:r w:rsidRPr="000E03E9">
        <w:rPr>
          <w:rFonts w:cs="Arial"/>
        </w:rPr>
        <w:t>We have</w:t>
      </w:r>
      <w:r w:rsidR="00FF313F" w:rsidRPr="000E03E9">
        <w:rPr>
          <w:rFonts w:cs="Arial"/>
        </w:rPr>
        <w:t xml:space="preserve"> been a participating member of the MDSAP consortium since it was initiated as an IMDRF work item in 2012. Throughout 2022-23, we continued our leading role in the MDSAP</w:t>
      </w:r>
      <w:r w:rsidRPr="000E03E9">
        <w:rPr>
          <w:rFonts w:cs="Arial"/>
        </w:rPr>
        <w:t>,</w:t>
      </w:r>
      <w:r w:rsidR="00FF313F" w:rsidRPr="000E03E9">
        <w:rPr>
          <w:rFonts w:cs="Arial"/>
        </w:rPr>
        <w:t xml:space="preserve"> which now has over 6</w:t>
      </w:r>
      <w:r w:rsidR="00157D19">
        <w:rPr>
          <w:rFonts w:cs="Arial"/>
        </w:rPr>
        <w:t>,</w:t>
      </w:r>
      <w:r w:rsidR="00FF313F" w:rsidRPr="000E03E9">
        <w:rPr>
          <w:rFonts w:cs="Arial"/>
        </w:rPr>
        <w:t xml:space="preserve">500 manufacturing sites participating with one annual audit of the manufacturer being accepted by Australia, USA, Canada, Brazil and Japan. </w:t>
      </w:r>
    </w:p>
    <w:p w14:paraId="24140D94" w14:textId="286E9958" w:rsidR="003C66BF" w:rsidRPr="00B40320" w:rsidRDefault="3601C02F" w:rsidP="00DD4691">
      <w:pPr>
        <w:pStyle w:val="Heading2"/>
      </w:pPr>
      <w:bookmarkStart w:id="56" w:name="_Toc153550416"/>
      <w:r>
        <w:t>Public awareness and education activities</w:t>
      </w:r>
      <w:bookmarkEnd w:id="56"/>
    </w:p>
    <w:p w14:paraId="5126B408" w14:textId="49536F69" w:rsidR="0012158C" w:rsidRPr="002B0C30" w:rsidRDefault="0012158C" w:rsidP="008A7BD8">
      <w:pPr>
        <w:pStyle w:val="NoSpacing"/>
        <w:spacing w:before="120" w:after="120"/>
        <w:rPr>
          <w:rFonts w:ascii="Arial" w:hAnsi="Arial" w:cs="Arial"/>
          <w:b/>
          <w:bCs/>
          <w:sz w:val="22"/>
          <w:szCs w:val="22"/>
        </w:rPr>
      </w:pPr>
      <w:r w:rsidRPr="40EB8B97">
        <w:rPr>
          <w:rFonts w:ascii="Arial" w:hAnsi="Arial" w:cs="Arial"/>
          <w:b/>
          <w:bCs/>
          <w:sz w:val="22"/>
          <w:szCs w:val="22"/>
        </w:rPr>
        <w:t>Undertaking public awareness and education activities to inform consumers, health</w:t>
      </w:r>
      <w:r w:rsidR="001B4528" w:rsidRPr="40EB8B97">
        <w:rPr>
          <w:rFonts w:ascii="Arial" w:hAnsi="Arial" w:cs="Arial"/>
          <w:b/>
          <w:bCs/>
          <w:sz w:val="22"/>
          <w:szCs w:val="22"/>
        </w:rPr>
        <w:t xml:space="preserve"> </w:t>
      </w:r>
      <w:r w:rsidRPr="40EB8B97">
        <w:rPr>
          <w:rFonts w:ascii="Arial" w:hAnsi="Arial" w:cs="Arial"/>
          <w:b/>
          <w:bCs/>
          <w:sz w:val="22"/>
          <w:szCs w:val="22"/>
        </w:rPr>
        <w:t>professionals and businesses about priority topics.</w:t>
      </w:r>
    </w:p>
    <w:p w14:paraId="295CE8E9" w14:textId="32C7EA85" w:rsidR="00C360C2" w:rsidRPr="00C360C2" w:rsidRDefault="00C360C2" w:rsidP="001515DB">
      <w:r w:rsidRPr="00C360C2">
        <w:t>Throughout 2022-23</w:t>
      </w:r>
      <w:r w:rsidR="008E12A9">
        <w:t>, we</w:t>
      </w:r>
      <w:r w:rsidRPr="00C360C2">
        <w:t xml:space="preserve"> delivered 9 paid public education campaigns</w:t>
      </w:r>
      <w:r w:rsidR="008E12A9">
        <w:t>,</w:t>
      </w:r>
      <w:r w:rsidRPr="00C360C2">
        <w:t xml:space="preserve"> reaching a combined total of 22.7 million people:</w:t>
      </w:r>
    </w:p>
    <w:p w14:paraId="3BD26FBA" w14:textId="49A5C198" w:rsidR="00157D19" w:rsidRPr="00157D19" w:rsidRDefault="00157D19" w:rsidP="00ED1A1F">
      <w:pPr>
        <w:pStyle w:val="ListParagraph"/>
        <w:numPr>
          <w:ilvl w:val="0"/>
          <w:numId w:val="15"/>
        </w:numPr>
        <w:rPr>
          <w:szCs w:val="22"/>
        </w:rPr>
      </w:pPr>
      <w:r>
        <w:t>p</w:t>
      </w:r>
      <w:r w:rsidR="5EE2D3ED">
        <w:t>aracetamol safe use and storage – 12 December to 23 December 2022</w:t>
      </w:r>
    </w:p>
    <w:p w14:paraId="0883A239" w14:textId="723D5A7B" w:rsidR="00157D19" w:rsidRPr="00AC4B4B" w:rsidRDefault="00157D19" w:rsidP="00ED1A1F">
      <w:pPr>
        <w:pStyle w:val="ListParagraph"/>
        <w:numPr>
          <w:ilvl w:val="0"/>
          <w:numId w:val="15"/>
        </w:numPr>
      </w:pPr>
      <w:r>
        <w:t>a</w:t>
      </w:r>
      <w:r w:rsidR="5EE2D3ED">
        <w:t>ntibiotics and Ozempic shortages – 14 December to 26 December 2022</w:t>
      </w:r>
    </w:p>
    <w:p w14:paraId="2AC42F96" w14:textId="424984B2" w:rsidR="00157D19" w:rsidRPr="00AC4B4B" w:rsidRDefault="00157D19" w:rsidP="00ED1A1F">
      <w:pPr>
        <w:pStyle w:val="ListParagraph"/>
        <w:numPr>
          <w:ilvl w:val="0"/>
          <w:numId w:val="15"/>
        </w:numPr>
      </w:pPr>
      <w:r>
        <w:t>p</w:t>
      </w:r>
      <w:r w:rsidR="5EE2D3ED">
        <w:t>holcodine cancellation and recalls – 30 March to 19 April 2023</w:t>
      </w:r>
    </w:p>
    <w:p w14:paraId="3E67FC06" w14:textId="19748239" w:rsidR="00157D19" w:rsidRPr="00AC4B4B" w:rsidRDefault="5EE2D3ED" w:rsidP="00ED1A1F">
      <w:pPr>
        <w:pStyle w:val="ListParagraph"/>
        <w:numPr>
          <w:ilvl w:val="0"/>
          <w:numId w:val="15"/>
        </w:numPr>
      </w:pPr>
      <w:r>
        <w:t>MDMA and psilocybin – 5 April to 20 April 2023</w:t>
      </w:r>
    </w:p>
    <w:p w14:paraId="40488F84" w14:textId="1A4D93E6" w:rsidR="00157D19" w:rsidRPr="00AC4B4B" w:rsidRDefault="00157D19" w:rsidP="00ED1A1F">
      <w:pPr>
        <w:pStyle w:val="ListParagraph"/>
        <w:numPr>
          <w:ilvl w:val="0"/>
          <w:numId w:val="15"/>
        </w:numPr>
      </w:pPr>
      <w:r>
        <w:t>b</w:t>
      </w:r>
      <w:r w:rsidR="5EE2D3ED">
        <w:t>eware of buying online – 22 May to 9 June 2023</w:t>
      </w:r>
    </w:p>
    <w:p w14:paraId="5ED715DE" w14:textId="190CE006" w:rsidR="00157D19" w:rsidRPr="00AC4B4B" w:rsidRDefault="00157D19" w:rsidP="00ED1A1F">
      <w:pPr>
        <w:pStyle w:val="ListParagraph"/>
        <w:numPr>
          <w:ilvl w:val="0"/>
          <w:numId w:val="15"/>
        </w:numPr>
      </w:pPr>
      <w:r>
        <w:t>m</w:t>
      </w:r>
      <w:r w:rsidR="5EE2D3ED">
        <w:t>andatory statements – Do you read the label every time? – 6 June to 30 June 2023</w:t>
      </w:r>
    </w:p>
    <w:p w14:paraId="0F3C75E0" w14:textId="421A1EC1" w:rsidR="00157D19" w:rsidRPr="00AC4B4B" w:rsidRDefault="00157D19" w:rsidP="00ED1A1F">
      <w:pPr>
        <w:pStyle w:val="ListParagraph"/>
        <w:numPr>
          <w:ilvl w:val="0"/>
          <w:numId w:val="15"/>
        </w:numPr>
      </w:pPr>
      <w:r>
        <w:t>h</w:t>
      </w:r>
      <w:r w:rsidR="5EE2D3ED">
        <w:t xml:space="preserve">ow to find out what’s in your medicine </w:t>
      </w:r>
      <w:r w:rsidR="73ACCB60">
        <w:t>–</w:t>
      </w:r>
      <w:r w:rsidR="5EE2D3ED">
        <w:t xml:space="preserve"> 7 June to 30 June 2023</w:t>
      </w:r>
    </w:p>
    <w:p w14:paraId="12D21142" w14:textId="7F1A9C10" w:rsidR="00157D19" w:rsidRPr="00AC4B4B" w:rsidRDefault="5EE2D3ED" w:rsidP="00ED1A1F">
      <w:pPr>
        <w:pStyle w:val="ListParagraph"/>
        <w:numPr>
          <w:ilvl w:val="0"/>
          <w:numId w:val="15"/>
        </w:numPr>
      </w:pPr>
      <w:r>
        <w:t xml:space="preserve">5 questions to ask your health professional before you get a medical implant </w:t>
      </w:r>
      <w:r w:rsidR="73ACCB60">
        <w:t>–</w:t>
      </w:r>
      <w:r>
        <w:t xml:space="preserve"> 8 June to 30 June 2023</w:t>
      </w:r>
    </w:p>
    <w:p w14:paraId="045FB3E2" w14:textId="3AE21CBB" w:rsidR="00C360C2" w:rsidRPr="00AC4B4B" w:rsidRDefault="00157D19" w:rsidP="00ED1A1F">
      <w:pPr>
        <w:pStyle w:val="ListParagraph"/>
        <w:numPr>
          <w:ilvl w:val="0"/>
          <w:numId w:val="15"/>
        </w:numPr>
      </w:pPr>
      <w:r>
        <w:lastRenderedPageBreak/>
        <w:t>t</w:t>
      </w:r>
      <w:r w:rsidR="5EE2D3ED">
        <w:t>ravelling with medicines and medical devices – 8 June to 30 June 2023</w:t>
      </w:r>
    </w:p>
    <w:p w14:paraId="0C3FECDE" w14:textId="246785BD" w:rsidR="00E60A49" w:rsidRDefault="002E535B" w:rsidP="000E03E9">
      <w:r>
        <w:t>The campaign</w:t>
      </w:r>
      <w:r w:rsidR="00141216">
        <w:t>s</w:t>
      </w:r>
      <w:r>
        <w:t xml:space="preserve"> </w:t>
      </w:r>
      <w:r w:rsidR="00AA3BD8">
        <w:t>performed extremely well</w:t>
      </w:r>
      <w:r w:rsidR="00E42B28">
        <w:t>,</w:t>
      </w:r>
      <w:r w:rsidR="00A32276">
        <w:t xml:space="preserve"> </w:t>
      </w:r>
      <w:r w:rsidR="00891076">
        <w:t>r</w:t>
      </w:r>
      <w:r w:rsidR="00EE4F8C">
        <w:t>eaching a</w:t>
      </w:r>
      <w:r w:rsidR="00E2184D">
        <w:t xml:space="preserve">n </w:t>
      </w:r>
      <w:r w:rsidR="000D79EA">
        <w:t xml:space="preserve">average </w:t>
      </w:r>
      <w:r w:rsidR="00E2184D">
        <w:t>of</w:t>
      </w:r>
      <w:r w:rsidR="000D79EA">
        <w:t xml:space="preserve"> more than 2.5 million people per campaign</w:t>
      </w:r>
      <w:r w:rsidR="00A32276">
        <w:t xml:space="preserve">. We </w:t>
      </w:r>
      <w:r w:rsidR="00891076">
        <w:t>a</w:t>
      </w:r>
      <w:r w:rsidR="00F714D6">
        <w:t>chiev</w:t>
      </w:r>
      <w:r w:rsidR="00A32276">
        <w:t>ed</w:t>
      </w:r>
      <w:r w:rsidR="00F714D6">
        <w:t xml:space="preserve"> more than </w:t>
      </w:r>
      <w:r w:rsidR="00E04AB0">
        <w:t xml:space="preserve">8.2 million impressions per campaign </w:t>
      </w:r>
      <w:r w:rsidR="00541B6A">
        <w:t>(the number of times the content was displayed)</w:t>
      </w:r>
      <w:r w:rsidR="00E42B28">
        <w:t>,</w:t>
      </w:r>
      <w:r w:rsidR="00A32276">
        <w:t xml:space="preserve"> and drove </w:t>
      </w:r>
      <w:r w:rsidR="00EF0EB4">
        <w:t>29</w:t>
      </w:r>
      <w:r w:rsidR="00006CC3">
        <w:t>,</w:t>
      </w:r>
      <w:r w:rsidR="00EF0EB4">
        <w:t xml:space="preserve">000 visitors to </w:t>
      </w:r>
      <w:r w:rsidR="00F714D6">
        <w:t>our website</w:t>
      </w:r>
      <w:r w:rsidR="00A32276">
        <w:t xml:space="preserve">. The aim of our campaigns is to raise </w:t>
      </w:r>
      <w:r>
        <w:t>awareness among consumers and health professionals of priority</w:t>
      </w:r>
      <w:r w:rsidR="007623BA">
        <w:t xml:space="preserve"> educations topics</w:t>
      </w:r>
      <w:r w:rsidR="00A32276">
        <w:t>, and we consistently outp</w:t>
      </w:r>
      <w:r w:rsidR="00F76F56">
        <w:t>erform</w:t>
      </w:r>
      <w:r w:rsidR="00006CC3">
        <w:t>ed</w:t>
      </w:r>
      <w:r w:rsidR="00F76F56">
        <w:t xml:space="preserve"> the Australian Government benchmark, demonstrat</w:t>
      </w:r>
      <w:r w:rsidR="00A32276">
        <w:t>ing</w:t>
      </w:r>
      <w:r w:rsidR="00F76F56">
        <w:t xml:space="preserve"> that the content was relevant and engaging to the target audiences</w:t>
      </w:r>
      <w:r w:rsidR="00A32276">
        <w:t>.</w:t>
      </w:r>
    </w:p>
    <w:p w14:paraId="32826706" w14:textId="77777777" w:rsidR="00E60A49" w:rsidRDefault="00E60A49">
      <w:pPr>
        <w:spacing w:before="0" w:after="160" w:line="259" w:lineRule="auto"/>
      </w:pPr>
      <w:r>
        <w:br w:type="page"/>
      </w:r>
    </w:p>
    <w:tbl>
      <w:tblPr>
        <w:tblStyle w:val="TableGrid"/>
        <w:tblW w:w="0" w:type="auto"/>
        <w:tblBorders>
          <w:top w:val="none" w:sz="0" w:space="0" w:color="auto"/>
          <w:left w:val="single" w:sz="18" w:space="0" w:color="48339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C360C2" w:rsidRPr="00BC5933" w14:paraId="46A9A16A" w14:textId="77777777" w:rsidTr="00294283">
        <w:tc>
          <w:tcPr>
            <w:tcW w:w="7933" w:type="dxa"/>
            <w:tcMar>
              <w:left w:w="369" w:type="dxa"/>
            </w:tcMar>
          </w:tcPr>
          <w:p w14:paraId="06E70290" w14:textId="42A0BED6" w:rsidR="00C360C2" w:rsidRPr="00780A0A" w:rsidRDefault="00C360C2" w:rsidP="00DD4691">
            <w:pPr>
              <w:rPr>
                <w:b/>
                <w:bCs/>
                <w:color w:val="483391"/>
                <w:lang w:eastAsia="en-US"/>
              </w:rPr>
            </w:pPr>
            <w:bookmarkStart w:id="57" w:name="_Hlk144107176"/>
            <w:r w:rsidRPr="00780A0A">
              <w:rPr>
                <w:b/>
                <w:bCs/>
                <w:color w:val="483391"/>
                <w:lang w:eastAsia="en-US"/>
              </w:rPr>
              <w:lastRenderedPageBreak/>
              <w:t xml:space="preserve">Case Study – Travelling with medicines and medical devices campaign </w:t>
            </w:r>
          </w:p>
          <w:p w14:paraId="675A0A7A" w14:textId="0FC977C0" w:rsidR="00C360C2" w:rsidRDefault="00294283" w:rsidP="001515DB">
            <w:pPr>
              <w:rPr>
                <w:lang w:eastAsia="en-US"/>
              </w:rPr>
            </w:pPr>
            <w:r w:rsidRPr="00BC5933">
              <w:rPr>
                <w:noProof/>
                <w:color w:val="2B579A"/>
                <w:shd w:val="clear" w:color="auto" w:fill="E6E6E6"/>
              </w:rPr>
              <w:drawing>
                <wp:anchor distT="0" distB="0" distL="114300" distR="114300" simplePos="0" relativeHeight="251661312" behindDoc="0" locked="0" layoutInCell="1" allowOverlap="1" wp14:anchorId="74A24628" wp14:editId="1243D2DB">
                  <wp:simplePos x="0" y="0"/>
                  <wp:positionH relativeFrom="column">
                    <wp:posOffset>2456815</wp:posOffset>
                  </wp:positionH>
                  <wp:positionV relativeFrom="paragraph">
                    <wp:posOffset>1078230</wp:posOffset>
                  </wp:positionV>
                  <wp:extent cx="2341880" cy="2346325"/>
                  <wp:effectExtent l="0" t="0" r="127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1880" cy="2346325"/>
                          </a:xfrm>
                          <a:prstGeom prst="rect">
                            <a:avLst/>
                          </a:prstGeom>
                        </pic:spPr>
                      </pic:pic>
                    </a:graphicData>
                  </a:graphic>
                  <wp14:sizeRelH relativeFrom="margin">
                    <wp14:pctWidth>0</wp14:pctWidth>
                  </wp14:sizeRelH>
                  <wp14:sizeRelV relativeFrom="margin">
                    <wp14:pctHeight>0</wp14:pctHeight>
                  </wp14:sizeRelV>
                </wp:anchor>
              </w:drawing>
            </w:r>
            <w:r w:rsidR="00C360C2" w:rsidRPr="005B26C1">
              <w:rPr>
                <w:lang w:eastAsia="en-US"/>
              </w:rPr>
              <w:t xml:space="preserve">This campaign used a range of digital channels to reach and educate Australian and international consumers about their obligations when travelling to and from Australia with medicines and medical devices. The multi-faceted strategy delivered educational content </w:t>
            </w:r>
            <w:r w:rsidR="00364E8D">
              <w:rPr>
                <w:lang w:eastAsia="en-US"/>
              </w:rPr>
              <w:t xml:space="preserve">and amplified its message </w:t>
            </w:r>
            <w:r w:rsidR="00C360C2" w:rsidRPr="005B26C1">
              <w:rPr>
                <w:lang w:eastAsia="en-US"/>
              </w:rPr>
              <w:t>through a paid promotion campaign, existing organic (non-paid) networks</w:t>
            </w:r>
            <w:r w:rsidR="002B7358">
              <w:rPr>
                <w:lang w:eastAsia="en-US"/>
              </w:rPr>
              <w:t>,</w:t>
            </w:r>
            <w:r w:rsidR="00C360C2" w:rsidRPr="005B26C1">
              <w:rPr>
                <w:lang w:eastAsia="en-US"/>
              </w:rPr>
              <w:t xml:space="preserve"> and targeted stakeholders.</w:t>
            </w:r>
          </w:p>
          <w:p w14:paraId="0450E50F" w14:textId="19916A7E" w:rsidR="00C360C2" w:rsidRDefault="00182E1F" w:rsidP="001515DB">
            <w:pPr>
              <w:rPr>
                <w:lang w:eastAsia="en-US"/>
              </w:rPr>
            </w:pPr>
            <w:r>
              <w:rPr>
                <w:noProof/>
              </w:rPr>
              <w:drawing>
                <wp:anchor distT="0" distB="0" distL="114300" distR="114300" simplePos="0" relativeHeight="251671552" behindDoc="0" locked="0" layoutInCell="1" allowOverlap="1" wp14:anchorId="10381EC5" wp14:editId="6375564D">
                  <wp:simplePos x="0" y="0"/>
                  <wp:positionH relativeFrom="margin">
                    <wp:posOffset>3839353</wp:posOffset>
                  </wp:positionH>
                  <wp:positionV relativeFrom="paragraph">
                    <wp:posOffset>1656692</wp:posOffset>
                  </wp:positionV>
                  <wp:extent cx="1939026" cy="412559"/>
                  <wp:effectExtent l="0" t="0" r="4445" b="698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rot="10800000">
                            <a:off x="0" y="0"/>
                            <a:ext cx="1939026" cy="412559"/>
                          </a:xfrm>
                          <a:prstGeom prst="rect">
                            <a:avLst/>
                          </a:prstGeom>
                        </pic:spPr>
                      </pic:pic>
                    </a:graphicData>
                  </a:graphic>
                  <wp14:sizeRelH relativeFrom="margin">
                    <wp14:pctWidth>0</wp14:pctWidth>
                  </wp14:sizeRelH>
                  <wp14:sizeRelV relativeFrom="margin">
                    <wp14:pctHeight>0</wp14:pctHeight>
                  </wp14:sizeRelV>
                </wp:anchor>
              </w:drawing>
            </w:r>
            <w:r w:rsidR="00C360C2" w:rsidRPr="40EB8B97">
              <w:rPr>
                <w:lang w:eastAsia="en-US"/>
              </w:rPr>
              <w:t>During the content design phase, the TGA project team worked closely with internal and external stakeholders to step out an improved educational journey for travellers entering or leaving Australia. This included a user discovery workshop with members of the Medical Device Consumer Working Group (MDCWG), who provided invaluable insights into the information needs and pain points for the groups they represent.</w:t>
            </w:r>
          </w:p>
          <w:p w14:paraId="1C676C12" w14:textId="3A2C08CF" w:rsidR="005B26C1" w:rsidRPr="00780A0A" w:rsidRDefault="00C360C2" w:rsidP="00780A0A">
            <w:pPr>
              <w:rPr>
                <w:lang w:eastAsia="en-US"/>
              </w:rPr>
            </w:pPr>
            <w:r w:rsidRPr="40EB8B97">
              <w:rPr>
                <w:lang w:eastAsia="en-US"/>
              </w:rPr>
              <w:t xml:space="preserve">The paid advertising ran from 8 </w:t>
            </w:r>
            <w:r w:rsidR="00704997">
              <w:rPr>
                <w:lang w:eastAsia="en-US"/>
              </w:rPr>
              <w:t>to</w:t>
            </w:r>
            <w:r w:rsidRPr="40EB8B97">
              <w:rPr>
                <w:lang w:eastAsia="en-US"/>
              </w:rPr>
              <w:t xml:space="preserve"> 30 June 2023 on Facebook and Instagram, as well as digital display advertising on lifestyle websites that targeted consumers looking to travel. </w:t>
            </w:r>
            <w:r w:rsidR="00BA4613">
              <w:rPr>
                <w:lang w:eastAsia="en-US"/>
              </w:rPr>
              <w:t>T</w:t>
            </w:r>
            <w:r w:rsidRPr="40EB8B97">
              <w:rPr>
                <w:lang w:eastAsia="en-US"/>
              </w:rPr>
              <w:t>he campaign reached more than 2.2 million people and received 13.8 million impressions. This promotion resulted in 7</w:t>
            </w:r>
            <w:r w:rsidR="193786F4" w:rsidRPr="40EB8B97">
              <w:rPr>
                <w:lang w:eastAsia="en-US"/>
              </w:rPr>
              <w:t>,</w:t>
            </w:r>
            <w:r w:rsidRPr="40EB8B97">
              <w:rPr>
                <w:lang w:eastAsia="en-US"/>
              </w:rPr>
              <w:t xml:space="preserve">385 clicks through to the website and the </w:t>
            </w:r>
            <w:hyperlink r:id="rId36" w:history="1">
              <w:r w:rsidRPr="001E3D73">
                <w:rPr>
                  <w:rStyle w:val="Hyperlink"/>
                  <w:rFonts w:eastAsiaTheme="minorHAnsi"/>
                  <w:szCs w:val="24"/>
                  <w:lang w:eastAsia="en-US"/>
                </w:rPr>
                <w:t>Leaving Australia and Entering Australia videos</w:t>
              </w:r>
            </w:hyperlink>
            <w:r w:rsidRPr="40EB8B97">
              <w:rPr>
                <w:lang w:eastAsia="en-US"/>
              </w:rPr>
              <w:t xml:space="preserve"> have received over 2,000 views on YouTube.</w:t>
            </w:r>
            <w:bookmarkEnd w:id="57"/>
          </w:p>
        </w:tc>
      </w:tr>
    </w:tbl>
    <w:p w14:paraId="46104167" w14:textId="1D3B8031" w:rsidR="00C360C2" w:rsidRPr="00C360C2" w:rsidRDefault="313DCEC4" w:rsidP="00DD4691">
      <w:pPr>
        <w:pStyle w:val="Heading2"/>
      </w:pPr>
      <w:bookmarkStart w:id="58" w:name="_Toc153550417"/>
      <w:r>
        <w:t>Priority review pathway for biologicals</w:t>
      </w:r>
      <w:bookmarkEnd w:id="58"/>
    </w:p>
    <w:p w14:paraId="19C952C7" w14:textId="10B9C08F" w:rsidR="0012158C" w:rsidRPr="000E03E9" w:rsidRDefault="00850844" w:rsidP="00691F41">
      <w:pPr>
        <w:pStyle w:val="ListParagraph"/>
        <w:numPr>
          <w:ilvl w:val="0"/>
          <w:numId w:val="0"/>
        </w:numPr>
        <w:rPr>
          <w:b/>
          <w:bCs/>
        </w:rPr>
      </w:pPr>
      <w:r w:rsidRPr="000E03E9">
        <w:rPr>
          <w:b/>
          <w:bCs/>
        </w:rPr>
        <w:t>We have introduced</w:t>
      </w:r>
      <w:r w:rsidR="0012158C" w:rsidRPr="000E03E9">
        <w:rPr>
          <w:b/>
          <w:bCs/>
        </w:rPr>
        <w:t xml:space="preserve"> a priority review pathway</w:t>
      </w:r>
      <w:r w:rsidR="0012158C" w:rsidRPr="000E03E9" w:rsidDel="00BA1B70">
        <w:rPr>
          <w:b/>
          <w:bCs/>
        </w:rPr>
        <w:t xml:space="preserve"> </w:t>
      </w:r>
      <w:r w:rsidR="0012158C" w:rsidRPr="000E03E9">
        <w:rPr>
          <w:b/>
          <w:bCs/>
        </w:rPr>
        <w:t>for biologicals to enable faster patient access to cell and</w:t>
      </w:r>
      <w:r w:rsidR="36550A23" w:rsidRPr="000E03E9">
        <w:rPr>
          <w:b/>
          <w:bCs/>
        </w:rPr>
        <w:t xml:space="preserve"> </w:t>
      </w:r>
      <w:r w:rsidR="0012158C" w:rsidRPr="000E03E9">
        <w:rPr>
          <w:b/>
          <w:bCs/>
        </w:rPr>
        <w:t>tissue therapies.</w:t>
      </w:r>
    </w:p>
    <w:p w14:paraId="27059C87" w14:textId="396CC0DB" w:rsidR="001E0E97" w:rsidRPr="000E03E9" w:rsidRDefault="3DCC59A5" w:rsidP="23B264BB">
      <w:pPr>
        <w:rPr>
          <w:rFonts w:cs="Arial"/>
        </w:rPr>
      </w:pPr>
      <w:r w:rsidRPr="000E03E9">
        <w:rPr>
          <w:rFonts w:cs="Arial"/>
        </w:rPr>
        <w:t xml:space="preserve">Following a </w:t>
      </w:r>
      <w:r w:rsidR="199204E7" w:rsidRPr="000E03E9">
        <w:rPr>
          <w:rFonts w:cs="Arial"/>
        </w:rPr>
        <w:t xml:space="preserve">key recommendation </w:t>
      </w:r>
      <w:r w:rsidR="4AE05AE0" w:rsidRPr="000E03E9">
        <w:rPr>
          <w:rFonts w:cs="Arial"/>
        </w:rPr>
        <w:t>of the</w:t>
      </w:r>
      <w:r w:rsidR="08980952" w:rsidRPr="000E03E9">
        <w:rPr>
          <w:rFonts w:cs="Arial"/>
        </w:rPr>
        <w:t xml:space="preserve"> </w:t>
      </w:r>
      <w:r w:rsidR="3BB43855" w:rsidRPr="000E03E9">
        <w:rPr>
          <w:rFonts w:cs="Arial"/>
        </w:rPr>
        <w:t>TGA-commissioned MTPconnect report into</w:t>
      </w:r>
      <w:r w:rsidR="4AE05AE0" w:rsidRPr="000E03E9">
        <w:rPr>
          <w:rFonts w:cs="Arial"/>
        </w:rPr>
        <w:t xml:space="preserve"> a</w:t>
      </w:r>
      <w:r w:rsidR="3BB43855" w:rsidRPr="000E03E9">
        <w:rPr>
          <w:rFonts w:cs="Arial"/>
        </w:rPr>
        <w:t xml:space="preserve"> regulatory framework for gene, </w:t>
      </w:r>
      <w:r w:rsidR="023A75B5" w:rsidRPr="000E03E9">
        <w:rPr>
          <w:rFonts w:cs="Arial"/>
        </w:rPr>
        <w:t>cell,</w:t>
      </w:r>
      <w:r w:rsidR="3BB43855" w:rsidRPr="000E03E9">
        <w:rPr>
          <w:rFonts w:cs="Arial"/>
        </w:rPr>
        <w:t xml:space="preserve"> and tissue therapies in Australi</w:t>
      </w:r>
      <w:r w:rsidR="1792CC9F" w:rsidRPr="000E03E9">
        <w:rPr>
          <w:rFonts w:cs="Arial"/>
        </w:rPr>
        <w:t xml:space="preserve">a, </w:t>
      </w:r>
      <w:r w:rsidR="79AD90DA" w:rsidRPr="000E03E9">
        <w:rPr>
          <w:rFonts w:cs="Arial"/>
        </w:rPr>
        <w:t>we introduced a priority review pathway</w:t>
      </w:r>
      <w:r w:rsidR="0012282F" w:rsidRPr="000E03E9">
        <w:rPr>
          <w:rStyle w:val="FootnoteReference"/>
          <w:rFonts w:cs="Arial"/>
        </w:rPr>
        <w:footnoteReference w:id="8"/>
      </w:r>
      <w:r w:rsidR="79AD90DA" w:rsidRPr="000E03E9">
        <w:rPr>
          <w:rFonts w:cs="Arial"/>
        </w:rPr>
        <w:t xml:space="preserve"> for biologicals</w:t>
      </w:r>
      <w:r w:rsidR="004C7BE3" w:rsidRPr="000E03E9">
        <w:rPr>
          <w:rStyle w:val="FootnoteReference"/>
          <w:rFonts w:cs="Arial"/>
        </w:rPr>
        <w:footnoteReference w:id="9"/>
      </w:r>
      <w:r w:rsidR="38BE6C19" w:rsidRPr="000E03E9">
        <w:rPr>
          <w:rFonts w:cs="Arial"/>
        </w:rPr>
        <w:t xml:space="preserve"> </w:t>
      </w:r>
      <w:r w:rsidR="3A91F4F4" w:rsidRPr="000E03E9">
        <w:rPr>
          <w:rFonts w:cs="Arial"/>
        </w:rPr>
        <w:t>to allow</w:t>
      </w:r>
      <w:r w:rsidR="0300AA28" w:rsidRPr="000E03E9">
        <w:rPr>
          <w:rFonts w:cs="Arial"/>
        </w:rPr>
        <w:t xml:space="preserve"> life-saving therapies to be brought to marke</w:t>
      </w:r>
      <w:r w:rsidR="701B379C" w:rsidRPr="000E03E9">
        <w:rPr>
          <w:rFonts w:cs="Arial"/>
        </w:rPr>
        <w:t>t</w:t>
      </w:r>
      <w:r w:rsidR="0300AA28" w:rsidRPr="000E03E9">
        <w:rPr>
          <w:rFonts w:cs="Arial"/>
        </w:rPr>
        <w:t xml:space="preserve"> faster</w:t>
      </w:r>
      <w:r w:rsidR="549348EB" w:rsidRPr="000E03E9">
        <w:rPr>
          <w:rFonts w:cs="Arial"/>
        </w:rPr>
        <w:t>, enabl</w:t>
      </w:r>
      <w:r w:rsidR="00367529">
        <w:rPr>
          <w:rFonts w:cs="Arial"/>
        </w:rPr>
        <w:t>ing</w:t>
      </w:r>
      <w:r w:rsidR="5A4C61B5" w:rsidRPr="000E03E9">
        <w:rPr>
          <w:rFonts w:cs="Arial"/>
        </w:rPr>
        <w:t xml:space="preserve"> quicker patient access to these products</w:t>
      </w:r>
      <w:r w:rsidR="0300AA28" w:rsidRPr="000E03E9">
        <w:rPr>
          <w:rFonts w:cs="Arial"/>
        </w:rPr>
        <w:t xml:space="preserve">. </w:t>
      </w:r>
      <w:r w:rsidR="2534C857" w:rsidRPr="000E03E9">
        <w:rPr>
          <w:rFonts w:cs="Arial"/>
        </w:rPr>
        <w:t>The target timeframe of 150 working days is up to 1</w:t>
      </w:r>
      <w:r w:rsidR="0BF2379F" w:rsidRPr="000E03E9">
        <w:rPr>
          <w:rFonts w:cs="Arial"/>
        </w:rPr>
        <w:t>05</w:t>
      </w:r>
      <w:r w:rsidR="420A038F" w:rsidRPr="000E03E9">
        <w:rPr>
          <w:rFonts w:cs="Arial"/>
        </w:rPr>
        <w:t xml:space="preserve"> </w:t>
      </w:r>
      <w:r w:rsidR="00712595">
        <w:rPr>
          <w:rFonts w:cs="Arial"/>
        </w:rPr>
        <w:t xml:space="preserve">days </w:t>
      </w:r>
      <w:r w:rsidR="023A75B5" w:rsidRPr="000E03E9">
        <w:rPr>
          <w:rFonts w:cs="Arial"/>
        </w:rPr>
        <w:t xml:space="preserve">faster </w:t>
      </w:r>
      <w:r w:rsidR="3355928F" w:rsidRPr="000E03E9">
        <w:rPr>
          <w:rFonts w:cs="Arial"/>
        </w:rPr>
        <w:t>tha</w:t>
      </w:r>
      <w:r w:rsidR="023A75B5" w:rsidRPr="000E03E9">
        <w:rPr>
          <w:rFonts w:cs="Arial"/>
        </w:rPr>
        <w:t>n the timeframe for the standard assessment pathway.</w:t>
      </w:r>
    </w:p>
    <w:p w14:paraId="25091883" w14:textId="010E00FC" w:rsidR="00117CC9" w:rsidRPr="000E03E9" w:rsidRDefault="3B9078B1" w:rsidP="001515DB">
      <w:pPr>
        <w:rPr>
          <w:rFonts w:cs="Arial"/>
        </w:rPr>
      </w:pPr>
      <w:r w:rsidRPr="000E03E9">
        <w:rPr>
          <w:rFonts w:cs="Arial"/>
        </w:rPr>
        <w:t xml:space="preserve">Aligning </w:t>
      </w:r>
      <w:r w:rsidR="63A473B2" w:rsidRPr="000E03E9">
        <w:rPr>
          <w:rFonts w:cs="Arial"/>
        </w:rPr>
        <w:t>with other export</w:t>
      </w:r>
      <w:r w:rsidR="48694328" w:rsidRPr="000E03E9">
        <w:rPr>
          <w:rFonts w:cs="Arial"/>
        </w:rPr>
        <w:t>-</w:t>
      </w:r>
      <w:r w:rsidR="3FA3FD3A" w:rsidRPr="000E03E9">
        <w:rPr>
          <w:rFonts w:cs="Arial"/>
        </w:rPr>
        <w:t>only therapeutic products</w:t>
      </w:r>
      <w:r w:rsidR="23379484" w:rsidRPr="000E03E9">
        <w:rPr>
          <w:rFonts w:cs="Arial"/>
        </w:rPr>
        <w:t xml:space="preserve"> </w:t>
      </w:r>
      <w:r w:rsidR="78DA0F0F" w:rsidRPr="000E03E9">
        <w:rPr>
          <w:rFonts w:cs="Arial"/>
        </w:rPr>
        <w:t xml:space="preserve">that </w:t>
      </w:r>
      <w:r w:rsidR="23379484" w:rsidRPr="000E03E9">
        <w:rPr>
          <w:rFonts w:cs="Arial"/>
        </w:rPr>
        <w:t>we regulate</w:t>
      </w:r>
      <w:r w:rsidR="7CED69B8" w:rsidRPr="000E03E9">
        <w:rPr>
          <w:rFonts w:cs="Arial"/>
        </w:rPr>
        <w:t>,</w:t>
      </w:r>
      <w:r w:rsidR="746A5AB3" w:rsidRPr="000E03E9">
        <w:rPr>
          <w:rFonts w:cs="Arial"/>
        </w:rPr>
        <w:t xml:space="preserve"> we introduced a</w:t>
      </w:r>
      <w:r w:rsidR="04CEDAF4" w:rsidRPr="000E03E9">
        <w:rPr>
          <w:rFonts w:cs="Arial"/>
        </w:rPr>
        <w:t xml:space="preserve">n </w:t>
      </w:r>
      <w:r w:rsidR="1A8F3133" w:rsidRPr="000E03E9">
        <w:rPr>
          <w:rFonts w:cs="Arial"/>
        </w:rPr>
        <w:t>additional</w:t>
      </w:r>
      <w:r w:rsidR="050383CB" w:rsidRPr="000E03E9">
        <w:rPr>
          <w:rFonts w:cs="Arial"/>
        </w:rPr>
        <w:t xml:space="preserve"> </w:t>
      </w:r>
      <w:r w:rsidR="6368E9FF" w:rsidRPr="000E03E9">
        <w:rPr>
          <w:rFonts w:cs="Arial"/>
        </w:rPr>
        <w:t>a</w:t>
      </w:r>
      <w:r w:rsidR="04CEDAF4" w:rsidRPr="000E03E9">
        <w:rPr>
          <w:rFonts w:cs="Arial"/>
        </w:rPr>
        <w:t>pplication pathway for export-only biological</w:t>
      </w:r>
      <w:r w:rsidR="65E749CA" w:rsidRPr="000E03E9">
        <w:rPr>
          <w:rFonts w:cs="Arial"/>
        </w:rPr>
        <w:t>s</w:t>
      </w:r>
      <w:r w:rsidR="2A30538A" w:rsidRPr="000E03E9">
        <w:rPr>
          <w:rFonts w:cs="Arial"/>
        </w:rPr>
        <w:t xml:space="preserve"> to </w:t>
      </w:r>
      <w:r w:rsidR="42DD400C" w:rsidRPr="000E03E9">
        <w:rPr>
          <w:rFonts w:cs="Arial"/>
        </w:rPr>
        <w:t>support export</w:t>
      </w:r>
      <w:r w:rsidR="00EC2647" w:rsidRPr="000E03E9">
        <w:rPr>
          <w:rStyle w:val="FootnoteReference"/>
          <w:rFonts w:cs="Arial"/>
        </w:rPr>
        <w:footnoteReference w:id="10"/>
      </w:r>
      <w:r w:rsidR="0098083A">
        <w:rPr>
          <w:rFonts w:cs="Arial"/>
        </w:rPr>
        <w:t xml:space="preserve"> </w:t>
      </w:r>
      <w:r w:rsidR="0A8637DB" w:rsidRPr="000E03E9">
        <w:rPr>
          <w:rFonts w:cs="Arial"/>
        </w:rPr>
        <w:t>to countries</w:t>
      </w:r>
      <w:r w:rsidR="2FE3268F" w:rsidRPr="000E03E9">
        <w:rPr>
          <w:rFonts w:cs="Arial"/>
        </w:rPr>
        <w:t xml:space="preserve"> </w:t>
      </w:r>
      <w:r w:rsidR="76E6817B" w:rsidRPr="000E03E9">
        <w:rPr>
          <w:rFonts w:cs="Arial"/>
        </w:rPr>
        <w:lastRenderedPageBreak/>
        <w:t xml:space="preserve">where manufacture is not yet </w:t>
      </w:r>
      <w:r w:rsidR="3F05C3E2" w:rsidRPr="000E03E9">
        <w:rPr>
          <w:rFonts w:cs="Arial"/>
        </w:rPr>
        <w:t>occurring or the product differs from that supplied in Australia</w:t>
      </w:r>
      <w:r w:rsidR="78DA0F0F" w:rsidRPr="000E03E9">
        <w:rPr>
          <w:rFonts w:cs="Arial"/>
        </w:rPr>
        <w:t xml:space="preserve">, </w:t>
      </w:r>
      <w:r w:rsidR="34C31159" w:rsidRPr="000E03E9">
        <w:rPr>
          <w:rFonts w:cs="Arial"/>
        </w:rPr>
        <w:t>th</w:t>
      </w:r>
      <w:r w:rsidR="2B63A0FC" w:rsidRPr="000E03E9">
        <w:rPr>
          <w:rFonts w:cs="Arial"/>
        </w:rPr>
        <w:t>ereby</w:t>
      </w:r>
      <w:r w:rsidR="34C31159" w:rsidRPr="000E03E9">
        <w:rPr>
          <w:rFonts w:cs="Arial"/>
        </w:rPr>
        <w:t xml:space="preserve"> </w:t>
      </w:r>
      <w:r w:rsidR="50524818" w:rsidRPr="000E03E9">
        <w:rPr>
          <w:rFonts w:cs="Arial"/>
        </w:rPr>
        <w:t>minimising</w:t>
      </w:r>
      <w:r w:rsidR="242999D3" w:rsidRPr="000E03E9">
        <w:rPr>
          <w:rFonts w:cs="Arial"/>
        </w:rPr>
        <w:t xml:space="preserve"> </w:t>
      </w:r>
      <w:r w:rsidR="34C31159" w:rsidRPr="000E03E9">
        <w:rPr>
          <w:rFonts w:cs="Arial"/>
        </w:rPr>
        <w:t xml:space="preserve">regulatory burden </w:t>
      </w:r>
      <w:r w:rsidR="242999D3" w:rsidRPr="000E03E9">
        <w:rPr>
          <w:rFonts w:cs="Arial"/>
        </w:rPr>
        <w:t>for these products</w:t>
      </w:r>
      <w:r w:rsidR="2B63A0FC" w:rsidRPr="000E03E9">
        <w:rPr>
          <w:rFonts w:cs="Arial"/>
        </w:rPr>
        <w:t>.</w:t>
      </w:r>
    </w:p>
    <w:p w14:paraId="6127EE9D" w14:textId="2D68B663" w:rsidR="0011183C" w:rsidRDefault="3984779C" w:rsidP="00DD4691">
      <w:pPr>
        <w:pStyle w:val="Heading2"/>
      </w:pPr>
      <w:bookmarkStart w:id="59" w:name="_Toc153550418"/>
      <w:r>
        <w:t>Learning about stakeholder perspectives and emerging issues</w:t>
      </w:r>
      <w:bookmarkEnd w:id="59"/>
    </w:p>
    <w:p w14:paraId="22E8FBB6" w14:textId="39079DDA" w:rsidR="003C2045" w:rsidRPr="000E03E9" w:rsidRDefault="00850844" w:rsidP="00691F41">
      <w:pPr>
        <w:pStyle w:val="ListParagraph"/>
        <w:numPr>
          <w:ilvl w:val="0"/>
          <w:numId w:val="0"/>
        </w:numPr>
        <w:rPr>
          <w:b/>
          <w:bCs/>
        </w:rPr>
      </w:pPr>
      <w:r w:rsidRPr="000E03E9">
        <w:rPr>
          <w:b/>
          <w:bCs/>
        </w:rPr>
        <w:t>We continue to l</w:t>
      </w:r>
      <w:r w:rsidR="0012158C" w:rsidRPr="000E03E9">
        <w:rPr>
          <w:b/>
          <w:bCs/>
        </w:rPr>
        <w:t>earn about the perspectives and emerging issues relevant to our stakeholders through</w:t>
      </w:r>
      <w:r w:rsidR="00266DC6" w:rsidRPr="000E03E9">
        <w:rPr>
          <w:b/>
          <w:bCs/>
        </w:rPr>
        <w:t xml:space="preserve"> </w:t>
      </w:r>
      <w:r w:rsidR="0012158C" w:rsidRPr="000E03E9">
        <w:rPr>
          <w:b/>
          <w:bCs/>
        </w:rPr>
        <w:t>stakeholder surveys, public consultations, market research, and formal and informal forums.</w:t>
      </w:r>
    </w:p>
    <w:p w14:paraId="607B84A6" w14:textId="762D308A" w:rsidR="0014132D" w:rsidRDefault="0014132D" w:rsidP="001515DB">
      <w:r>
        <w:t>In 2022-23 we provided opportunities for industry</w:t>
      </w:r>
      <w:r w:rsidR="11B9B867">
        <w:t>, health care professionals</w:t>
      </w:r>
      <w:r>
        <w:t xml:space="preserve"> and consumers to hear from and speak with us at many </w:t>
      </w:r>
      <w:r w:rsidR="5384BC6E">
        <w:t xml:space="preserve">in-person </w:t>
      </w:r>
      <w:r w:rsidR="50708D79">
        <w:t xml:space="preserve">and </w:t>
      </w:r>
      <w:r w:rsidR="64D06759">
        <w:t>online</w:t>
      </w:r>
      <w:r w:rsidR="50708D79">
        <w:t xml:space="preserve"> </w:t>
      </w:r>
      <w:r>
        <w:t>events</w:t>
      </w:r>
      <w:r w:rsidR="77556E36">
        <w:t xml:space="preserve">. We spoke informally at universities </w:t>
      </w:r>
      <w:r w:rsidR="03D01077">
        <w:t>and incubation hubs</w:t>
      </w:r>
      <w:r w:rsidR="77556E36">
        <w:t xml:space="preserve"> across Australia</w:t>
      </w:r>
      <w:r w:rsidR="003A6327">
        <w:t xml:space="preserve">, </w:t>
      </w:r>
      <w:r w:rsidR="2D919AD3">
        <w:t xml:space="preserve">in addition to </w:t>
      </w:r>
      <w:r>
        <w:t>participat</w:t>
      </w:r>
      <w:r w:rsidR="0094576E">
        <w:t>i</w:t>
      </w:r>
      <w:r w:rsidR="49CB64CE">
        <w:t>ng</w:t>
      </w:r>
      <w:r w:rsidR="0094576E">
        <w:t xml:space="preserve"> </w:t>
      </w:r>
      <w:r w:rsidR="00E77DB8">
        <w:t xml:space="preserve">in </w:t>
      </w:r>
      <w:r w:rsidR="0094576E">
        <w:t>and presenti</w:t>
      </w:r>
      <w:r w:rsidR="1BF260D8">
        <w:t>ng</w:t>
      </w:r>
      <w:r>
        <w:t xml:space="preserve"> at seminars, exhibitions and conferences</w:t>
      </w:r>
      <w:r w:rsidR="781AD1E6">
        <w:t xml:space="preserve">. </w:t>
      </w:r>
    </w:p>
    <w:p w14:paraId="09BD2EC6" w14:textId="6FB55ECA" w:rsidR="0014132D" w:rsidRDefault="0031123C" w:rsidP="001515DB">
      <w:r>
        <w:t>We</w:t>
      </w:r>
      <w:r w:rsidR="0014132D">
        <w:t xml:space="preserve"> attended the ARCS Annual Conference in Sydney in June 2023</w:t>
      </w:r>
      <w:r>
        <w:t>,</w:t>
      </w:r>
      <w:r w:rsidR="0014132D">
        <w:t xml:space="preserve"> an example of our commitment to engage </w:t>
      </w:r>
      <w:r w:rsidR="14DB638D">
        <w:t>face-to-face</w:t>
      </w:r>
      <w:r w:rsidR="0014132D">
        <w:t xml:space="preserve"> with our stakeholders. The conference brought together industry professionals, consumers, patients, practitioners, researchers, and academi</w:t>
      </w:r>
      <w:r w:rsidR="00DA2671">
        <w:t>cs</w:t>
      </w:r>
      <w:r w:rsidR="0014132D">
        <w:t xml:space="preserve"> to unite and educate. </w:t>
      </w:r>
      <w:r w:rsidR="006B213E">
        <w:t>Twenty-four</w:t>
      </w:r>
      <w:r w:rsidR="0014132D">
        <w:t xml:space="preserve"> TGA staff </w:t>
      </w:r>
      <w:r w:rsidR="00662FD1">
        <w:t xml:space="preserve">presented on a diverse range of topics </w:t>
      </w:r>
      <w:r w:rsidR="0014132D">
        <w:t xml:space="preserve">across the </w:t>
      </w:r>
      <w:r w:rsidR="000B23EE">
        <w:t xml:space="preserve">3 </w:t>
      </w:r>
      <w:r w:rsidR="007E7468">
        <w:t>days and</w:t>
      </w:r>
      <w:r w:rsidR="0014132D">
        <w:t xml:space="preserve"> </w:t>
      </w:r>
      <w:r w:rsidR="00662FD1">
        <w:t xml:space="preserve">educated </w:t>
      </w:r>
      <w:r w:rsidR="0014132D">
        <w:t xml:space="preserve">attendees on the </w:t>
      </w:r>
      <w:r w:rsidR="0095402A">
        <w:t>current</w:t>
      </w:r>
      <w:r w:rsidR="0014132D">
        <w:t xml:space="preserve"> </w:t>
      </w:r>
      <w:r w:rsidR="00457E6E">
        <w:t>and emerging</w:t>
      </w:r>
      <w:r w:rsidR="0014132D">
        <w:t xml:space="preserve"> regulatory environment in Australia. We also had an exhibition booth at the conference</w:t>
      </w:r>
      <w:r w:rsidR="0079357D">
        <w:t xml:space="preserve"> where</w:t>
      </w:r>
      <w:r w:rsidR="52FA0EE1">
        <w:t xml:space="preserve"> w</w:t>
      </w:r>
      <w:r w:rsidR="64188A72">
        <w:t>e</w:t>
      </w:r>
      <w:r w:rsidR="52FA0EE1">
        <w:t xml:space="preserve"> interacted with over 150 delegates</w:t>
      </w:r>
      <w:r w:rsidR="75041ECE">
        <w:t xml:space="preserve"> on </w:t>
      </w:r>
      <w:r w:rsidR="58B91901">
        <w:t xml:space="preserve">popular topics such as the Good Clinical Practice (GCP) </w:t>
      </w:r>
      <w:r w:rsidR="00C53837">
        <w:t>I</w:t>
      </w:r>
      <w:r w:rsidR="58B91901">
        <w:t xml:space="preserve">nspection </w:t>
      </w:r>
      <w:r w:rsidR="00C53837">
        <w:t>P</w:t>
      </w:r>
      <w:r w:rsidR="58B91901">
        <w:t>rogram</w:t>
      </w:r>
      <w:r w:rsidR="00C53837">
        <w:t>,</w:t>
      </w:r>
      <w:r w:rsidR="4D547D23">
        <w:t xml:space="preserve"> and Software as a Medical Device</w:t>
      </w:r>
      <w:r w:rsidR="0014132D">
        <w:t xml:space="preserve">. </w:t>
      </w:r>
      <w:r w:rsidR="001C10AB">
        <w:t xml:space="preserve">Feedback from delegates confirmed the value in being able to speak directly with </w:t>
      </w:r>
      <w:r w:rsidR="00B971F7">
        <w:t>subject matter experts in the one place, as well as network with each other.</w:t>
      </w:r>
    </w:p>
    <w:p w14:paraId="003E9ACE" w14:textId="6E6EA19F" w:rsidR="007C0833" w:rsidRPr="00AC4B4B" w:rsidRDefault="69C57AEE" w:rsidP="23B264BB">
      <w:r>
        <w:t xml:space="preserve">Delivered via the TGA Consultation Hub, </w:t>
      </w:r>
      <w:r w:rsidR="59F71065">
        <w:t>o</w:t>
      </w:r>
      <w:r w:rsidR="42DCFF38">
        <w:t>ur consultation process</w:t>
      </w:r>
      <w:r w:rsidR="41D2D854">
        <w:t>es are</w:t>
      </w:r>
      <w:r w:rsidR="42DCFF38">
        <w:t xml:space="preserve"> a critical mechanism </w:t>
      </w:r>
      <w:r w:rsidR="3A8AF12E">
        <w:t>for</w:t>
      </w:r>
      <w:r w:rsidR="42DCFF38">
        <w:t xml:space="preserve"> informing regulatory reforms and policy changes for consideration by government</w:t>
      </w:r>
      <w:r w:rsidR="3A8AF12E">
        <w:t>,</w:t>
      </w:r>
      <w:r w:rsidR="42DCFF38">
        <w:t xml:space="preserve"> and our surveys provide opportunity for stakeholders to provide feedback on changes we have made. </w:t>
      </w:r>
      <w:r w:rsidR="3345B6D8">
        <w:t>Man</w:t>
      </w:r>
      <w:r w:rsidR="72C8AC16">
        <w:t>y</w:t>
      </w:r>
      <w:r w:rsidR="26241FEA">
        <w:t xml:space="preserve"> </w:t>
      </w:r>
      <w:r w:rsidR="58A496BB">
        <w:t>topics of regulation were covered by</w:t>
      </w:r>
      <w:r w:rsidR="3A8AF12E">
        <w:t xml:space="preserve"> </w:t>
      </w:r>
      <w:r w:rsidR="1353E53D">
        <w:t>39 consultations and surveys opened in 2022-23</w:t>
      </w:r>
      <w:r w:rsidR="3C2C70C1">
        <w:t xml:space="preserve">. Examples include </w:t>
      </w:r>
      <w:r w:rsidR="06657C94">
        <w:t xml:space="preserve">adoption of </w:t>
      </w:r>
      <w:r w:rsidR="453991A0">
        <w:t>i</w:t>
      </w:r>
      <w:r w:rsidR="1CD03D72">
        <w:t>nternational</w:t>
      </w:r>
      <w:r w:rsidR="06657C94">
        <w:t xml:space="preserve"> scientific </w:t>
      </w:r>
      <w:r w:rsidR="30589C20">
        <w:t>guidelines in Australia</w:t>
      </w:r>
      <w:r w:rsidR="19010E57">
        <w:t xml:space="preserve">, </w:t>
      </w:r>
      <w:r w:rsidR="749436D4">
        <w:t>r</w:t>
      </w:r>
      <w:r w:rsidR="3D37CD70">
        <w:t>eview</w:t>
      </w:r>
      <w:r w:rsidR="75E7BAD1">
        <w:t>ing</w:t>
      </w:r>
      <w:r w:rsidR="3D37CD70">
        <w:t xml:space="preserve"> regulatory requirements for medical devices containing materials of animal</w:t>
      </w:r>
      <w:r w:rsidR="762724FA">
        <w:t>,</w:t>
      </w:r>
      <w:r w:rsidR="200F76B3">
        <w:t xml:space="preserve"> microbial or recombinant origin</w:t>
      </w:r>
      <w:r w:rsidR="6D2B1CED">
        <w:t>,</w:t>
      </w:r>
      <w:r w:rsidR="200F76B3">
        <w:t xml:space="preserve"> repurposing medicines</w:t>
      </w:r>
      <w:r w:rsidR="302DEE02">
        <w:t xml:space="preserve">, and </w:t>
      </w:r>
      <w:r w:rsidR="762724FA">
        <w:t>i</w:t>
      </w:r>
      <w:r w:rsidR="200F76B3">
        <w:t>mproving patient access to critical medicines in acute</w:t>
      </w:r>
      <w:r w:rsidR="00D60D06">
        <w:t xml:space="preserve"> </w:t>
      </w:r>
      <w:r w:rsidR="200F76B3">
        <w:t>care settings</w:t>
      </w:r>
      <w:r w:rsidR="61531A83">
        <w:t>.</w:t>
      </w:r>
    </w:p>
    <w:p w14:paraId="68705C20" w14:textId="0E7671E6" w:rsidR="0848F308" w:rsidRDefault="0848F308" w:rsidP="7928109B">
      <w:pPr>
        <w:pStyle w:val="NoSpacing"/>
        <w:rPr>
          <w:rFonts w:ascii="Arial" w:hAnsi="Arial" w:cs="Arial"/>
          <w:sz w:val="22"/>
          <w:szCs w:val="22"/>
        </w:rPr>
      </w:pPr>
      <w:r w:rsidRPr="7928109B">
        <w:rPr>
          <w:rFonts w:ascii="Arial" w:hAnsi="Arial" w:cs="Arial"/>
          <w:sz w:val="22"/>
          <w:szCs w:val="22"/>
        </w:rPr>
        <w:t>The TGA finalised the outcomes of a public consultation on regulatory options to allow references to the TGA in advertising. This was informed by 26 submissions received from the therapeutic goods industry (sponsors, manufacturers, and industry organisations), health</w:t>
      </w:r>
      <w:r w:rsidR="007C4C12">
        <w:rPr>
          <w:rFonts w:ascii="Arial" w:hAnsi="Arial" w:cs="Arial"/>
          <w:sz w:val="22"/>
          <w:szCs w:val="22"/>
        </w:rPr>
        <w:t xml:space="preserve"> </w:t>
      </w:r>
      <w:r w:rsidRPr="7928109B">
        <w:rPr>
          <w:rFonts w:ascii="Arial" w:hAnsi="Arial" w:cs="Arial"/>
          <w:sz w:val="22"/>
          <w:szCs w:val="22"/>
        </w:rPr>
        <w:t>care professional bodies, consumers, consumer representatives and advertising organisations.</w:t>
      </w:r>
    </w:p>
    <w:p w14:paraId="4C644525" w14:textId="02C60F6B" w:rsidR="25415D5F" w:rsidRDefault="4F2CABE2" w:rsidP="00AD7977">
      <w:r>
        <w:t xml:space="preserve">We learn a </w:t>
      </w:r>
      <w:r w:rsidR="00EE5919">
        <w:t xml:space="preserve">great deal </w:t>
      </w:r>
      <w:r>
        <w:t xml:space="preserve">about emerging issues and the perspectives of our stakeholders through the </w:t>
      </w:r>
      <w:r w:rsidR="25415D5F">
        <w:t xml:space="preserve">annual TGA </w:t>
      </w:r>
      <w:r w:rsidR="00C74BDC">
        <w:t>S</w:t>
      </w:r>
      <w:r w:rsidR="25415D5F">
        <w:t xml:space="preserve">takeholder </w:t>
      </w:r>
      <w:r w:rsidR="00C74BDC">
        <w:t>S</w:t>
      </w:r>
      <w:r w:rsidR="25415D5F">
        <w:t>urvey</w:t>
      </w:r>
      <w:r w:rsidR="2B57DD08">
        <w:t>. This survey</w:t>
      </w:r>
      <w:r w:rsidR="25415D5F">
        <w:t xml:space="preserve"> gathers opinions and feedback on </w:t>
      </w:r>
      <w:r w:rsidR="00E918F8">
        <w:t xml:space="preserve">our </w:t>
      </w:r>
      <w:r w:rsidR="25415D5F">
        <w:t>operations and services. In addition to industry contacts with a TGA Business Services account, in 2023 we surveyed 1,000 consumers, 180 health professionals and representatives from state and territory governments. The survey results support the planning cycles and process improvements for relevant line areas.</w:t>
      </w:r>
    </w:p>
    <w:p w14:paraId="4AA9633F" w14:textId="38517A28" w:rsidR="25415D5F" w:rsidRPr="00255D27" w:rsidRDefault="00E918F8" w:rsidP="23B264BB">
      <w:r>
        <w:t xml:space="preserve">We </w:t>
      </w:r>
      <w:r w:rsidR="4D0AA06C">
        <w:t xml:space="preserve">also </w:t>
      </w:r>
      <w:r>
        <w:t>conduct</w:t>
      </w:r>
      <w:r w:rsidR="25415D5F">
        <w:t xml:space="preserve"> market research through third-party organisations to help identify audience knowledge, </w:t>
      </w:r>
      <w:r w:rsidR="00083C50">
        <w:t>perceptions,</w:t>
      </w:r>
      <w:r w:rsidR="25415D5F">
        <w:t xml:space="preserve"> and sentiment on particular focus areas. For example, market research conducted by ORIMA Research about mandatory statements for certain medicines and medical devices helped</w:t>
      </w:r>
      <w:r w:rsidR="0010478A">
        <w:t xml:space="preserve"> to</w:t>
      </w:r>
      <w:r w:rsidR="25415D5F">
        <w:t xml:space="preserve"> inform the communication objectives of the ‘Do you read the label every time?’ paid </w:t>
      </w:r>
      <w:r w:rsidR="00937D26">
        <w:t xml:space="preserve">social media </w:t>
      </w:r>
      <w:r w:rsidR="25415D5F">
        <w:t>campaign that was run in 2022-23.</w:t>
      </w:r>
    </w:p>
    <w:p w14:paraId="3CEC7F2D" w14:textId="77777777" w:rsidR="00E60A49" w:rsidRDefault="00E60A49">
      <w:pPr>
        <w:spacing w:before="0" w:after="160" w:line="259" w:lineRule="auto"/>
        <w:rPr>
          <w:rFonts w:eastAsiaTheme="majorEastAsia" w:cstheme="majorBidi"/>
          <w:b/>
          <w:color w:val="305DA1" w:themeColor="accent3" w:themeShade="80"/>
          <w:sz w:val="28"/>
          <w:szCs w:val="26"/>
        </w:rPr>
      </w:pPr>
      <w:r>
        <w:br w:type="page"/>
      </w:r>
    </w:p>
    <w:p w14:paraId="72B83A29" w14:textId="4FB70FF8" w:rsidR="003243EE" w:rsidRPr="00E918F8" w:rsidRDefault="57A32934" w:rsidP="00DD4691">
      <w:pPr>
        <w:pStyle w:val="Heading2"/>
      </w:pPr>
      <w:bookmarkStart w:id="60" w:name="_Toc153550419"/>
      <w:r>
        <w:lastRenderedPageBreak/>
        <w:t xml:space="preserve">Supporting </w:t>
      </w:r>
      <w:r w:rsidR="7722819F">
        <w:t>small and medium enterprises</w:t>
      </w:r>
      <w:bookmarkEnd w:id="60"/>
    </w:p>
    <w:p w14:paraId="2916912E" w14:textId="342FEB66" w:rsidR="00C403AF" w:rsidRPr="000E03E9" w:rsidRDefault="005B4899" w:rsidP="00691F41">
      <w:pPr>
        <w:pStyle w:val="ListParagraph"/>
        <w:numPr>
          <w:ilvl w:val="0"/>
          <w:numId w:val="0"/>
        </w:numPr>
        <w:rPr>
          <w:b/>
          <w:bCs/>
        </w:rPr>
      </w:pPr>
      <w:r w:rsidRPr="000E03E9">
        <w:rPr>
          <w:b/>
          <w:bCs/>
        </w:rPr>
        <w:t>We support</w:t>
      </w:r>
      <w:r w:rsidR="0012158C" w:rsidRPr="000E03E9">
        <w:rPr>
          <w:b/>
          <w:bCs/>
        </w:rPr>
        <w:t xml:space="preserve"> small and medium sized enterprises (SMEs) and Australian innovators unfamiliar</w:t>
      </w:r>
      <w:r w:rsidR="00E918F8" w:rsidRPr="000E03E9">
        <w:rPr>
          <w:b/>
          <w:bCs/>
        </w:rPr>
        <w:t xml:space="preserve"> </w:t>
      </w:r>
      <w:r w:rsidR="0012158C" w:rsidRPr="000E03E9">
        <w:rPr>
          <w:b/>
          <w:bCs/>
        </w:rPr>
        <w:t>with therapeutic goods regulation to better understand regulatory requirements.</w:t>
      </w:r>
    </w:p>
    <w:p w14:paraId="1445F190" w14:textId="3294D230" w:rsidR="00393E59" w:rsidRPr="00AC4B4B" w:rsidRDefault="402D03DA" w:rsidP="00EA0A67">
      <w:r>
        <w:t>We continue</w:t>
      </w:r>
      <w:r w:rsidR="183A4A2B">
        <w:t xml:space="preserve"> to develop new ways to provide support and education to those unfamiliar with regulation</w:t>
      </w:r>
      <w:r w:rsidR="009B3ABA">
        <w:t>.</w:t>
      </w:r>
      <w:r w:rsidR="183A4A2B">
        <w:t xml:space="preserve"> </w:t>
      </w:r>
      <w:r w:rsidR="009B3ABA">
        <w:t>We have</w:t>
      </w:r>
      <w:r w:rsidR="183A4A2B">
        <w:t xml:space="preserve"> reposition</w:t>
      </w:r>
      <w:r w:rsidR="009B3ABA">
        <w:t>ed</w:t>
      </w:r>
      <w:r w:rsidR="183A4A2B">
        <w:t xml:space="preserve"> </w:t>
      </w:r>
      <w:r w:rsidR="009B3ABA">
        <w:t>our</w:t>
      </w:r>
      <w:r w:rsidR="183A4A2B">
        <w:t xml:space="preserve"> SME Assist </w:t>
      </w:r>
      <w:r w:rsidR="009B3ABA">
        <w:t xml:space="preserve">program </w:t>
      </w:r>
      <w:r w:rsidR="183A4A2B">
        <w:t>to TGA Learn</w:t>
      </w:r>
      <w:r w:rsidR="6030A0AB">
        <w:t xml:space="preserve">, so </w:t>
      </w:r>
      <w:r w:rsidR="5E8872AB">
        <w:t>SME</w:t>
      </w:r>
      <w:r w:rsidR="4895D66F">
        <w:t xml:space="preserve">s, </w:t>
      </w:r>
      <w:r w:rsidR="5E8872AB">
        <w:t>start-ups, researchers</w:t>
      </w:r>
      <w:r w:rsidR="4895D66F">
        <w:t xml:space="preserve"> and </w:t>
      </w:r>
      <w:r w:rsidR="45E1D09C">
        <w:t>n</w:t>
      </w:r>
      <w:r w:rsidR="45A25C63">
        <w:t>ewcomers to</w:t>
      </w:r>
      <w:r w:rsidR="45694773">
        <w:t xml:space="preserve"> regulation</w:t>
      </w:r>
      <w:r w:rsidR="4895D66F">
        <w:t xml:space="preserve"> better understand their regulatory requirements. </w:t>
      </w:r>
    </w:p>
    <w:p w14:paraId="70E554A9" w14:textId="76B7377F" w:rsidR="4C3C1EA6" w:rsidRDefault="4C3C1EA6" w:rsidP="00716816">
      <w:pPr>
        <w:jc w:val="center"/>
      </w:pPr>
      <w:r>
        <w:rPr>
          <w:noProof/>
        </w:rPr>
        <w:drawing>
          <wp:inline distT="0" distB="0" distL="0" distR="0" wp14:anchorId="5F9C6631" wp14:editId="03DE42AC">
            <wp:extent cx="3976777" cy="1773326"/>
            <wp:effectExtent l="0" t="0" r="0" b="0"/>
            <wp:docPr id="176450219" name="Picture 176450219" descr="The four TGA Learn pillars are: 1 - self paced online learning, 2 - Online education events, 3 - In-person events, 4 - Education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0219" name="Picture 176450219" descr="The four TGA Learn pillars are: 1 - self paced online learning, 2 - Online education events, 3 - In-person events, 4 - Education partnershi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96090" cy="1781938"/>
                    </a:xfrm>
                    <a:prstGeom prst="rect">
                      <a:avLst/>
                    </a:prstGeom>
                  </pic:spPr>
                </pic:pic>
              </a:graphicData>
            </a:graphic>
          </wp:inline>
        </w:drawing>
      </w:r>
    </w:p>
    <w:p w14:paraId="1992BDAD" w14:textId="6CD44D68" w:rsidR="10FD47F4" w:rsidRDefault="10FD47F4" w:rsidP="08FC2E6C">
      <w:pPr>
        <w:jc w:val="center"/>
      </w:pPr>
    </w:p>
    <w:p w14:paraId="791BDF57" w14:textId="12505B33" w:rsidR="00C403AF" w:rsidRDefault="00C403AF" w:rsidP="001515DB">
      <w:r>
        <w:t>Following consultation with industry groups</w:t>
      </w:r>
      <w:r w:rsidR="00EA0A67">
        <w:t xml:space="preserve"> we have developed </w:t>
      </w:r>
      <w:r>
        <w:t xml:space="preserve">TGA Learn </w:t>
      </w:r>
      <w:r w:rsidR="00EA0A67">
        <w:t>to provide</w:t>
      </w:r>
      <w:r>
        <w:t xml:space="preserve"> a comprehensive self-paced learning experience</w:t>
      </w:r>
      <w:r w:rsidR="00EA0A67">
        <w:t xml:space="preserve"> along with structured online learning events, targeted in-person events and strategic education partnerships. </w:t>
      </w:r>
      <w:r>
        <w:t xml:space="preserve">TGA Learn recognises the need for different learning methods and access to self-paced education. </w:t>
      </w:r>
      <w:r w:rsidR="00A130F2">
        <w:t>As such, i</w:t>
      </w:r>
      <w:r w:rsidR="00EA0A67">
        <w:t>t will allow individuals</w:t>
      </w:r>
      <w:r>
        <w:t xml:space="preserve"> to tailor </w:t>
      </w:r>
      <w:r w:rsidR="00EA0A67">
        <w:t>their</w:t>
      </w:r>
      <w:r>
        <w:t xml:space="preserve"> learning experience</w:t>
      </w:r>
      <w:r w:rsidR="00A130F2">
        <w:t xml:space="preserve"> and will introduce education-based</w:t>
      </w:r>
      <w:r>
        <w:t xml:space="preserve"> partnerships with key industry groups</w:t>
      </w:r>
      <w:r w:rsidR="00A130F2">
        <w:t>.</w:t>
      </w:r>
      <w:r w:rsidR="2FCAFE10">
        <w:t xml:space="preserve"> Through </w:t>
      </w:r>
      <w:r w:rsidR="3C51FFAE">
        <w:t>the T</w:t>
      </w:r>
      <w:r w:rsidR="2FCAFE10">
        <w:t>GA Learn package of learning options, SME Assist w</w:t>
      </w:r>
      <w:r w:rsidR="516B8643">
        <w:t xml:space="preserve">ill continue to be provided as an advisory service to our stakeholders. </w:t>
      </w:r>
    </w:p>
    <w:p w14:paraId="76FBDC81" w14:textId="3D432C64" w:rsidR="516B8643" w:rsidRDefault="2508C173" w:rsidP="23B264BB">
      <w:pPr>
        <w:pStyle w:val="Heading2-numbered"/>
      </w:pPr>
      <w:bookmarkStart w:id="61" w:name="_Toc153550420"/>
      <w:r w:rsidRPr="6CD30380">
        <w:rPr>
          <w:rFonts w:ascii="Arial" w:hAnsi="Arial"/>
          <w:b/>
          <w:bCs/>
          <w:color w:val="305DA1" w:themeColor="accent3" w:themeShade="80"/>
          <w:sz w:val="28"/>
          <w:szCs w:val="28"/>
        </w:rPr>
        <w:t>Providing guidance materials to regulated entities</w:t>
      </w:r>
      <w:bookmarkEnd w:id="61"/>
      <w:r w:rsidRPr="6CD30380">
        <w:rPr>
          <w:rFonts w:ascii="Arial" w:hAnsi="Arial"/>
          <w:b/>
          <w:bCs/>
          <w:color w:val="305DA1" w:themeColor="accent3" w:themeShade="80"/>
          <w:sz w:val="28"/>
          <w:szCs w:val="28"/>
        </w:rPr>
        <w:t xml:space="preserve"> </w:t>
      </w:r>
    </w:p>
    <w:p w14:paraId="61969A6F" w14:textId="4DBA0DDF" w:rsidR="00A84F79" w:rsidRPr="000E03E9" w:rsidRDefault="00850844" w:rsidP="00691F41">
      <w:pPr>
        <w:pStyle w:val="ListParagraph"/>
        <w:numPr>
          <w:ilvl w:val="0"/>
          <w:numId w:val="0"/>
        </w:numPr>
        <w:rPr>
          <w:b/>
          <w:bCs/>
        </w:rPr>
      </w:pPr>
      <w:r w:rsidRPr="2ADDBB4C">
        <w:rPr>
          <w:b/>
          <w:bCs/>
        </w:rPr>
        <w:t xml:space="preserve">We </w:t>
      </w:r>
      <w:r w:rsidR="00854A74" w:rsidRPr="2ADDBB4C">
        <w:rPr>
          <w:b/>
          <w:bCs/>
        </w:rPr>
        <w:t>have c</w:t>
      </w:r>
      <w:r w:rsidR="00A84F79" w:rsidRPr="2ADDBB4C">
        <w:rPr>
          <w:b/>
          <w:bCs/>
        </w:rPr>
        <w:t>ontinu</w:t>
      </w:r>
      <w:r w:rsidR="00854A74" w:rsidRPr="2ADDBB4C">
        <w:rPr>
          <w:b/>
          <w:bCs/>
        </w:rPr>
        <w:t>ed</w:t>
      </w:r>
      <w:r w:rsidR="00A84F79" w:rsidRPr="2ADDBB4C">
        <w:rPr>
          <w:b/>
          <w:bCs/>
        </w:rPr>
        <w:t xml:space="preserve"> to develop and publish new and updated guidance material that assists regulated</w:t>
      </w:r>
      <w:r w:rsidR="009A722D" w:rsidRPr="2ADDBB4C">
        <w:rPr>
          <w:b/>
          <w:bCs/>
        </w:rPr>
        <w:t xml:space="preserve"> </w:t>
      </w:r>
      <w:r w:rsidR="00A84F79" w:rsidRPr="2ADDBB4C">
        <w:rPr>
          <w:b/>
          <w:bCs/>
        </w:rPr>
        <w:t>entities to understand and meet their regulatory obligations.</w:t>
      </w:r>
    </w:p>
    <w:p w14:paraId="62FED879" w14:textId="05B87313" w:rsidR="3120578B" w:rsidRPr="00EE59B9" w:rsidRDefault="3120578B" w:rsidP="40C2F73A">
      <w:pPr>
        <w:rPr>
          <w:rFonts w:cs="Arial"/>
          <w:szCs w:val="22"/>
        </w:rPr>
      </w:pPr>
      <w:r w:rsidRPr="00516B31">
        <w:rPr>
          <w:rFonts w:eastAsiaTheme="minorEastAsia" w:cs="Arial"/>
          <w:szCs w:val="22"/>
        </w:rPr>
        <w:t>In the 2022</w:t>
      </w:r>
      <w:r w:rsidR="00AB7F12">
        <w:rPr>
          <w:rFonts w:eastAsiaTheme="minorEastAsia" w:cs="Arial"/>
          <w:szCs w:val="22"/>
        </w:rPr>
        <w:t>-</w:t>
      </w:r>
      <w:r w:rsidRPr="00516B31">
        <w:rPr>
          <w:rFonts w:eastAsiaTheme="minorEastAsia" w:cs="Arial"/>
          <w:szCs w:val="22"/>
        </w:rPr>
        <w:t xml:space="preserve">23 </w:t>
      </w:r>
      <w:r w:rsidRPr="00716816">
        <w:rPr>
          <w:rFonts w:eastAsiaTheme="minorEastAsia" w:cs="Arial"/>
          <w:szCs w:val="22"/>
        </w:rPr>
        <w:t>f</w:t>
      </w:r>
      <w:r w:rsidRPr="00516B31">
        <w:rPr>
          <w:rFonts w:eastAsiaTheme="minorEastAsia" w:cs="Arial"/>
          <w:szCs w:val="22"/>
        </w:rPr>
        <w:t xml:space="preserve">inancial year, there were 57 guidance content </w:t>
      </w:r>
      <w:r w:rsidR="44B82EA5" w:rsidRPr="00716816">
        <w:rPr>
          <w:rFonts w:eastAsiaTheme="minorEastAsia" w:cs="Arial"/>
          <w:szCs w:val="22"/>
        </w:rPr>
        <w:t xml:space="preserve">changes on the TGA website, including the publishing of new </w:t>
      </w:r>
      <w:r w:rsidRPr="00516B31">
        <w:rPr>
          <w:rFonts w:eastAsiaTheme="minorEastAsia" w:cs="Arial"/>
          <w:szCs w:val="22"/>
        </w:rPr>
        <w:t>guidance</w:t>
      </w:r>
      <w:r w:rsidR="00AB7F12">
        <w:rPr>
          <w:rFonts w:eastAsiaTheme="minorEastAsia" w:cs="Arial"/>
          <w:szCs w:val="22"/>
        </w:rPr>
        <w:t xml:space="preserve"> and</w:t>
      </w:r>
      <w:r w:rsidRPr="00516B31">
        <w:rPr>
          <w:rFonts w:eastAsiaTheme="minorEastAsia" w:cs="Arial"/>
          <w:szCs w:val="22"/>
        </w:rPr>
        <w:t xml:space="preserve"> major and minor updates</w:t>
      </w:r>
      <w:r w:rsidR="093E68AC" w:rsidRPr="00716816">
        <w:rPr>
          <w:rFonts w:eastAsiaTheme="minorEastAsia" w:cs="Arial"/>
          <w:szCs w:val="22"/>
        </w:rPr>
        <w:t xml:space="preserve"> to existing guidance</w:t>
      </w:r>
      <w:r w:rsidRPr="00516B31">
        <w:rPr>
          <w:rFonts w:eastAsiaTheme="minorEastAsia" w:cs="Arial"/>
          <w:szCs w:val="22"/>
        </w:rPr>
        <w:t xml:space="preserve">. </w:t>
      </w:r>
    </w:p>
    <w:p w14:paraId="135FDE39" w14:textId="3C3BDDA2" w:rsidR="01D355A1" w:rsidRPr="00EE59B9" w:rsidRDefault="01D355A1" w:rsidP="40C2F73A">
      <w:pPr>
        <w:rPr>
          <w:rFonts w:cs="Arial"/>
          <w:szCs w:val="22"/>
        </w:rPr>
      </w:pPr>
      <w:r w:rsidRPr="00716816">
        <w:rPr>
          <w:rFonts w:eastAsiaTheme="minorEastAsia" w:cs="Arial"/>
          <w:szCs w:val="22"/>
        </w:rPr>
        <w:t>T</w:t>
      </w:r>
      <w:r w:rsidR="3120578B" w:rsidRPr="00EE59B9">
        <w:rPr>
          <w:rFonts w:eastAsiaTheme="minorEastAsia" w:cs="Arial"/>
          <w:szCs w:val="22"/>
        </w:rPr>
        <w:t xml:space="preserve">he more notable new guidance and updates included: </w:t>
      </w:r>
    </w:p>
    <w:p w14:paraId="6EA98078" w14:textId="0C658EE7" w:rsidR="3120578B" w:rsidRPr="00EE59B9" w:rsidRDefault="00AD6673" w:rsidP="00ED1A1F">
      <w:pPr>
        <w:pStyle w:val="ListParagraph"/>
        <w:numPr>
          <w:ilvl w:val="0"/>
          <w:numId w:val="4"/>
        </w:numPr>
        <w:rPr>
          <w:rFonts w:eastAsia="Arial Nova"/>
          <w:szCs w:val="22"/>
        </w:rPr>
      </w:pPr>
      <w:hyperlink r:id="rId38" w:history="1">
        <w:r w:rsidR="3120578B" w:rsidRPr="00EE59B9">
          <w:rPr>
            <w:rStyle w:val="Hyperlink"/>
            <w:rFonts w:eastAsia="Calibri"/>
            <w:szCs w:val="22"/>
          </w:rPr>
          <w:t>Supplying substitute medicines during a medicines shortage</w:t>
        </w:r>
      </w:hyperlink>
      <w:r w:rsidR="3120578B" w:rsidRPr="00EE59B9">
        <w:rPr>
          <w:rFonts w:eastAsia="Arial Nova"/>
          <w:szCs w:val="22"/>
        </w:rPr>
        <w:t xml:space="preserve"> (March 2023</w:t>
      </w:r>
      <w:r w:rsidR="7E9D2B95" w:rsidRPr="00EE59B9">
        <w:rPr>
          <w:rFonts w:eastAsia="Arial Nova"/>
          <w:szCs w:val="22"/>
        </w:rPr>
        <w:t>)</w:t>
      </w:r>
    </w:p>
    <w:p w14:paraId="532E9484" w14:textId="70AB74CB" w:rsidR="3120578B" w:rsidRPr="00EE59B9" w:rsidRDefault="00AD6673" w:rsidP="00ED1A1F">
      <w:pPr>
        <w:pStyle w:val="ListParagraph"/>
        <w:numPr>
          <w:ilvl w:val="0"/>
          <w:numId w:val="4"/>
        </w:numPr>
        <w:spacing w:before="0" w:after="0" w:line="252" w:lineRule="auto"/>
        <w:rPr>
          <w:rFonts w:eastAsia="Arial Nova"/>
          <w:szCs w:val="22"/>
        </w:rPr>
      </w:pPr>
      <w:hyperlink r:id="rId39" w:history="1">
        <w:r w:rsidR="3120578B" w:rsidRPr="00EE59B9">
          <w:rPr>
            <w:rStyle w:val="Hyperlink"/>
            <w:rFonts w:eastAsia="Calibri"/>
            <w:szCs w:val="22"/>
          </w:rPr>
          <w:t>Manufacturer evidence for IVD medical devices</w:t>
        </w:r>
      </w:hyperlink>
      <w:r w:rsidR="3120578B" w:rsidRPr="00EE59B9">
        <w:rPr>
          <w:rFonts w:eastAsia="Arial Nova"/>
          <w:szCs w:val="22"/>
        </w:rPr>
        <w:t xml:space="preserve"> (June 2023)</w:t>
      </w:r>
    </w:p>
    <w:p w14:paraId="7DA9590B" w14:textId="02590ABB" w:rsidR="3120578B" w:rsidRPr="00EE59B9" w:rsidRDefault="00AD6673" w:rsidP="00ED1A1F">
      <w:pPr>
        <w:pStyle w:val="ListParagraph"/>
        <w:numPr>
          <w:ilvl w:val="0"/>
          <w:numId w:val="4"/>
        </w:numPr>
        <w:spacing w:before="0" w:after="0" w:line="252" w:lineRule="auto"/>
        <w:rPr>
          <w:rFonts w:eastAsia="Arial Nova"/>
          <w:szCs w:val="22"/>
        </w:rPr>
      </w:pPr>
      <w:hyperlink r:id="rId40" w:history="1">
        <w:r w:rsidR="3120578B" w:rsidRPr="00EE59B9">
          <w:rPr>
            <w:rStyle w:val="Hyperlink"/>
            <w:rFonts w:eastAsia="Calibri"/>
            <w:szCs w:val="22"/>
          </w:rPr>
          <w:t>Applying the Advertising Code rules</w:t>
        </w:r>
      </w:hyperlink>
      <w:r w:rsidR="3120578B" w:rsidRPr="00EE59B9">
        <w:rPr>
          <w:rFonts w:eastAsia="Arial Nova"/>
          <w:szCs w:val="22"/>
        </w:rPr>
        <w:t xml:space="preserve"> (parts 2 and 3 of the guidance added May </w:t>
      </w:r>
      <w:r w:rsidR="004835F6">
        <w:rPr>
          <w:rFonts w:eastAsia="Arial Nova"/>
          <w:szCs w:val="22"/>
        </w:rPr>
        <w:t>20</w:t>
      </w:r>
      <w:r w:rsidR="3120578B" w:rsidRPr="00EE59B9">
        <w:rPr>
          <w:rFonts w:eastAsia="Arial Nova"/>
          <w:szCs w:val="22"/>
        </w:rPr>
        <w:t>23)</w:t>
      </w:r>
    </w:p>
    <w:p w14:paraId="72D7BC43" w14:textId="45E29AA0" w:rsidR="3120578B" w:rsidRPr="00EE59B9" w:rsidRDefault="00AD6673" w:rsidP="00ED1A1F">
      <w:pPr>
        <w:pStyle w:val="ListParagraph"/>
        <w:numPr>
          <w:ilvl w:val="0"/>
          <w:numId w:val="4"/>
        </w:numPr>
        <w:spacing w:before="0" w:after="0" w:line="252" w:lineRule="auto"/>
        <w:rPr>
          <w:rFonts w:eastAsia="Arial Nova"/>
          <w:szCs w:val="22"/>
        </w:rPr>
      </w:pPr>
      <w:hyperlink r:id="rId41" w:history="1">
        <w:r w:rsidR="3120578B" w:rsidRPr="00EE59B9">
          <w:rPr>
            <w:rStyle w:val="Hyperlink"/>
            <w:rFonts w:eastAsia="Calibri"/>
            <w:szCs w:val="22"/>
          </w:rPr>
          <w:t>updated guidelines for sunscreens</w:t>
        </w:r>
      </w:hyperlink>
      <w:r w:rsidR="3120578B" w:rsidRPr="00EE59B9">
        <w:rPr>
          <w:rFonts w:eastAsia="Arial Nova"/>
          <w:szCs w:val="22"/>
        </w:rPr>
        <w:t xml:space="preserve"> (May </w:t>
      </w:r>
      <w:r w:rsidR="00B2030D">
        <w:rPr>
          <w:rFonts w:eastAsia="Arial Nova"/>
          <w:szCs w:val="22"/>
        </w:rPr>
        <w:t>20</w:t>
      </w:r>
      <w:r w:rsidR="3120578B" w:rsidRPr="00EE59B9">
        <w:rPr>
          <w:rFonts w:eastAsia="Arial Nova"/>
          <w:szCs w:val="22"/>
        </w:rPr>
        <w:t>23)</w:t>
      </w:r>
    </w:p>
    <w:p w14:paraId="74BE1BC2" w14:textId="54357912" w:rsidR="00712595" w:rsidRDefault="00AD6673" w:rsidP="00ED1A1F">
      <w:pPr>
        <w:pStyle w:val="ListParagraph"/>
        <w:numPr>
          <w:ilvl w:val="0"/>
          <w:numId w:val="4"/>
        </w:numPr>
        <w:spacing w:before="0" w:after="0" w:line="252" w:lineRule="auto"/>
        <w:rPr>
          <w:rFonts w:eastAsia="Arial Nova"/>
          <w:szCs w:val="22"/>
        </w:rPr>
      </w:pPr>
      <w:hyperlink r:id="rId42" w:history="1">
        <w:r w:rsidR="3120578B" w:rsidRPr="00EE59B9">
          <w:rPr>
            <w:rStyle w:val="Hyperlink"/>
            <w:rFonts w:eastAsia="Calibri"/>
            <w:szCs w:val="22"/>
          </w:rPr>
          <w:t>Application requirements for new substances in listed medicines</w:t>
        </w:r>
      </w:hyperlink>
      <w:r w:rsidR="3120578B" w:rsidRPr="00EE59B9">
        <w:rPr>
          <w:rFonts w:eastAsia="Arial Nova"/>
          <w:szCs w:val="22"/>
        </w:rPr>
        <w:t xml:space="preserve"> (May </w:t>
      </w:r>
      <w:r w:rsidR="00B2030D">
        <w:rPr>
          <w:rFonts w:eastAsia="Arial Nova"/>
          <w:szCs w:val="22"/>
        </w:rPr>
        <w:t>20</w:t>
      </w:r>
      <w:r w:rsidR="3120578B" w:rsidRPr="00EE59B9">
        <w:rPr>
          <w:rFonts w:eastAsia="Arial Nova"/>
          <w:szCs w:val="22"/>
        </w:rPr>
        <w:t>23)</w:t>
      </w:r>
    </w:p>
    <w:p w14:paraId="725B5A0E" w14:textId="659EB816" w:rsidR="00F04379" w:rsidRDefault="00AD6673" w:rsidP="00ED1A1F">
      <w:pPr>
        <w:pStyle w:val="ListParagraph"/>
        <w:numPr>
          <w:ilvl w:val="0"/>
          <w:numId w:val="4"/>
        </w:numPr>
        <w:spacing w:before="0" w:after="0" w:line="252" w:lineRule="auto"/>
        <w:rPr>
          <w:rFonts w:eastAsia="Arial Nova"/>
          <w:szCs w:val="22"/>
        </w:rPr>
      </w:pPr>
      <w:hyperlink r:id="rId43" w:history="1">
        <w:r w:rsidR="3120578B" w:rsidRPr="00712595">
          <w:rPr>
            <w:rStyle w:val="Hyperlink"/>
            <w:rFonts w:eastAsia="Calibri"/>
            <w:szCs w:val="22"/>
          </w:rPr>
          <w:t>Listed medicine training</w:t>
        </w:r>
      </w:hyperlink>
      <w:r w:rsidR="3120578B" w:rsidRPr="00712595">
        <w:rPr>
          <w:rFonts w:eastAsia="Arial Nova"/>
          <w:szCs w:val="22"/>
        </w:rPr>
        <w:t xml:space="preserve"> </w:t>
      </w:r>
      <w:r w:rsidR="6F7A945D" w:rsidRPr="00712595">
        <w:rPr>
          <w:rFonts w:eastAsia="Arial Nova"/>
          <w:szCs w:val="22"/>
        </w:rPr>
        <w:t xml:space="preserve">(interactive guidance) </w:t>
      </w:r>
      <w:r w:rsidR="3120578B" w:rsidRPr="00712595">
        <w:rPr>
          <w:rFonts w:eastAsia="Arial Nova"/>
          <w:szCs w:val="22"/>
        </w:rPr>
        <w:t>to supplement the information in the Evidence Guidelines (January 2023)</w:t>
      </w:r>
    </w:p>
    <w:p w14:paraId="134D3406" w14:textId="26A16F83" w:rsidR="001544D6" w:rsidRPr="00716816" w:rsidRDefault="001544D6" w:rsidP="001544D6">
      <w:pPr>
        <w:rPr>
          <w:rFonts w:cs="Arial"/>
          <w:szCs w:val="22"/>
        </w:rPr>
      </w:pPr>
      <w:r w:rsidRPr="00716816">
        <w:rPr>
          <w:rFonts w:cs="Arial"/>
          <w:szCs w:val="22"/>
        </w:rPr>
        <w:t xml:space="preserve">In response to emerging trends in advertising non-compliance, we published guidance materials to assist regulated entities </w:t>
      </w:r>
      <w:r w:rsidR="00EA2605">
        <w:rPr>
          <w:rFonts w:cs="Arial"/>
          <w:szCs w:val="22"/>
        </w:rPr>
        <w:t xml:space="preserve">to </w:t>
      </w:r>
      <w:r w:rsidRPr="00716816">
        <w:rPr>
          <w:rFonts w:cs="Arial"/>
          <w:szCs w:val="22"/>
        </w:rPr>
        <w:t xml:space="preserve">understand their regulatory obligations </w:t>
      </w:r>
      <w:r w:rsidR="00EA2605">
        <w:rPr>
          <w:rFonts w:cs="Arial"/>
          <w:szCs w:val="22"/>
        </w:rPr>
        <w:t>regarding the</w:t>
      </w:r>
      <w:r w:rsidRPr="00716816">
        <w:rPr>
          <w:rFonts w:cs="Arial"/>
          <w:szCs w:val="22"/>
        </w:rPr>
        <w:t xml:space="preserve"> advertising of therapeutic goods. Specific topics included advertising COVID-19 rapid antigen point-of-care tests and self-tests (home use tests), applying the Advertising Code rules, advertising relating to mushroom products, therapeutic goods advertising and ASX </w:t>
      </w:r>
      <w:r w:rsidRPr="00716816">
        <w:rPr>
          <w:rFonts w:cs="Arial"/>
          <w:szCs w:val="22"/>
        </w:rPr>
        <w:lastRenderedPageBreak/>
        <w:t>announcements, and using scientific or clinical claims (representations) in therapeutic goods advertising.</w:t>
      </w:r>
    </w:p>
    <w:p w14:paraId="54B37758" w14:textId="7CABD70A" w:rsidR="40880112" w:rsidRPr="00120FA4" w:rsidRDefault="00494F37" w:rsidP="00120FA4">
      <w:pPr>
        <w:pStyle w:val="Default"/>
        <w:rPr>
          <w:rFonts w:ascii="Arial" w:hAnsi="Arial" w:cs="Arial"/>
          <w:sz w:val="22"/>
          <w:szCs w:val="22"/>
        </w:rPr>
      </w:pPr>
      <w:r w:rsidRPr="00120FA4">
        <w:rPr>
          <w:rFonts w:ascii="Arial" w:hAnsi="Arial" w:cs="Arial"/>
          <w:sz w:val="22"/>
          <w:szCs w:val="22"/>
        </w:rPr>
        <w:t>F</w:t>
      </w:r>
      <w:r w:rsidR="00EB2843" w:rsidRPr="00120FA4">
        <w:rPr>
          <w:rFonts w:ascii="Arial" w:hAnsi="Arial" w:cs="Arial"/>
          <w:sz w:val="22"/>
          <w:szCs w:val="22"/>
        </w:rPr>
        <w:t>eedback</w:t>
      </w:r>
      <w:r w:rsidR="007A3D6F" w:rsidRPr="00120FA4">
        <w:rPr>
          <w:rFonts w:ascii="Arial" w:hAnsi="Arial" w:cs="Arial"/>
          <w:sz w:val="22"/>
          <w:szCs w:val="22"/>
        </w:rPr>
        <w:t xml:space="preserve"> gathered through the TGA Website Redevelopment Project</w:t>
      </w:r>
      <w:r w:rsidRPr="00120FA4">
        <w:rPr>
          <w:rFonts w:ascii="Arial" w:hAnsi="Arial" w:cs="Arial"/>
          <w:sz w:val="22"/>
          <w:szCs w:val="22"/>
        </w:rPr>
        <w:t xml:space="preserve"> showed our i</w:t>
      </w:r>
      <w:r w:rsidR="0029534A" w:rsidRPr="00120FA4">
        <w:rPr>
          <w:rFonts w:ascii="Arial" w:hAnsi="Arial" w:cs="Arial"/>
          <w:sz w:val="22"/>
          <w:szCs w:val="22"/>
        </w:rPr>
        <w:t xml:space="preserve">ndustry audiences need guidance that is complete, </w:t>
      </w:r>
      <w:r w:rsidR="00120FA4" w:rsidRPr="00120FA4">
        <w:rPr>
          <w:rFonts w:ascii="Arial" w:hAnsi="Arial" w:cs="Arial"/>
          <w:sz w:val="22"/>
          <w:szCs w:val="22"/>
        </w:rPr>
        <w:t>current</w:t>
      </w:r>
      <w:r w:rsidR="006C3128">
        <w:rPr>
          <w:rFonts w:ascii="Arial" w:hAnsi="Arial" w:cs="Arial"/>
          <w:sz w:val="22"/>
          <w:szCs w:val="22"/>
        </w:rPr>
        <w:t>,</w:t>
      </w:r>
      <w:r w:rsidR="00120FA4" w:rsidRPr="00120FA4">
        <w:rPr>
          <w:rFonts w:ascii="Arial" w:hAnsi="Arial" w:cs="Arial"/>
          <w:sz w:val="22"/>
          <w:szCs w:val="22"/>
        </w:rPr>
        <w:t xml:space="preserve"> clear</w:t>
      </w:r>
      <w:r w:rsidR="0029534A" w:rsidRPr="00120FA4">
        <w:rPr>
          <w:rFonts w:ascii="Arial" w:hAnsi="Arial" w:cs="Arial"/>
          <w:sz w:val="22"/>
          <w:szCs w:val="22"/>
        </w:rPr>
        <w:t xml:space="preserve">, easy to find (ideally without having to search) and easy to understand. </w:t>
      </w:r>
      <w:r w:rsidR="00097DE7" w:rsidRPr="00120FA4">
        <w:rPr>
          <w:rFonts w:ascii="Arial" w:hAnsi="Arial" w:cs="Arial"/>
          <w:sz w:val="22"/>
          <w:szCs w:val="22"/>
        </w:rPr>
        <w:t xml:space="preserve">In </w:t>
      </w:r>
      <w:r w:rsidR="005330F6" w:rsidRPr="00120FA4">
        <w:rPr>
          <w:rFonts w:ascii="Arial" w:hAnsi="Arial" w:cs="Arial"/>
          <w:sz w:val="22"/>
          <w:szCs w:val="22"/>
        </w:rPr>
        <w:t>May 2023</w:t>
      </w:r>
      <w:r w:rsidR="00097DE7" w:rsidRPr="00120FA4">
        <w:rPr>
          <w:rFonts w:ascii="Arial" w:hAnsi="Arial" w:cs="Arial"/>
          <w:sz w:val="22"/>
          <w:szCs w:val="22"/>
        </w:rPr>
        <w:t>,</w:t>
      </w:r>
      <w:r w:rsidR="00AA6499" w:rsidRPr="00120FA4">
        <w:rPr>
          <w:rFonts w:ascii="Arial" w:hAnsi="Arial" w:cs="Arial"/>
          <w:sz w:val="22"/>
          <w:szCs w:val="22"/>
        </w:rPr>
        <w:t xml:space="preserve"> </w:t>
      </w:r>
      <w:r w:rsidR="00EF32B3" w:rsidRPr="00120FA4">
        <w:rPr>
          <w:rFonts w:ascii="Arial" w:hAnsi="Arial" w:cs="Arial"/>
          <w:sz w:val="22"/>
          <w:szCs w:val="22"/>
        </w:rPr>
        <w:t>in response to this feedback</w:t>
      </w:r>
      <w:r w:rsidR="000C1728">
        <w:rPr>
          <w:rFonts w:ascii="Arial" w:hAnsi="Arial" w:cs="Arial"/>
          <w:sz w:val="22"/>
          <w:szCs w:val="22"/>
        </w:rPr>
        <w:t>,</w:t>
      </w:r>
      <w:r w:rsidR="00097DE7" w:rsidRPr="00120FA4">
        <w:rPr>
          <w:rFonts w:ascii="Arial" w:hAnsi="Arial" w:cs="Arial"/>
          <w:sz w:val="22"/>
          <w:szCs w:val="22"/>
        </w:rPr>
        <w:t xml:space="preserve"> </w:t>
      </w:r>
      <w:r w:rsidR="005330F6" w:rsidRPr="00120FA4">
        <w:rPr>
          <w:rFonts w:ascii="Arial" w:hAnsi="Arial" w:cs="Arial"/>
          <w:sz w:val="22"/>
          <w:szCs w:val="22"/>
        </w:rPr>
        <w:t>we start</w:t>
      </w:r>
      <w:r w:rsidR="25ED688F" w:rsidRPr="00120FA4">
        <w:rPr>
          <w:rFonts w:ascii="Arial" w:hAnsi="Arial" w:cs="Arial"/>
          <w:sz w:val="22"/>
          <w:szCs w:val="22"/>
        </w:rPr>
        <w:t xml:space="preserve">ed exploring how to improve </w:t>
      </w:r>
      <w:r w:rsidR="002C12D4">
        <w:rPr>
          <w:rFonts w:ascii="Arial" w:hAnsi="Arial" w:cs="Arial"/>
          <w:sz w:val="22"/>
          <w:szCs w:val="22"/>
        </w:rPr>
        <w:t>g</w:t>
      </w:r>
      <w:r w:rsidR="25ED688F" w:rsidRPr="00120FA4">
        <w:rPr>
          <w:rFonts w:ascii="Arial" w:hAnsi="Arial" w:cs="Arial"/>
          <w:sz w:val="22"/>
          <w:szCs w:val="22"/>
        </w:rPr>
        <w:t>uidance</w:t>
      </w:r>
      <w:r w:rsidR="00120FA4" w:rsidRPr="00120FA4">
        <w:rPr>
          <w:rFonts w:ascii="Arial" w:hAnsi="Arial" w:cs="Arial"/>
          <w:sz w:val="22"/>
          <w:szCs w:val="22"/>
        </w:rPr>
        <w:t xml:space="preserve"> </w:t>
      </w:r>
      <w:r w:rsidR="00661973" w:rsidRPr="00120FA4">
        <w:rPr>
          <w:rFonts w:ascii="Arial" w:hAnsi="Arial" w:cs="Arial"/>
          <w:sz w:val="22"/>
          <w:szCs w:val="22"/>
        </w:rPr>
        <w:t xml:space="preserve">through a </w:t>
      </w:r>
      <w:r w:rsidR="002C12D4">
        <w:rPr>
          <w:rFonts w:ascii="Arial" w:hAnsi="Arial" w:cs="Arial"/>
          <w:sz w:val="22"/>
          <w:szCs w:val="22"/>
        </w:rPr>
        <w:t>d</w:t>
      </w:r>
      <w:r w:rsidR="00661973" w:rsidRPr="00120FA4">
        <w:rPr>
          <w:rFonts w:ascii="Arial" w:hAnsi="Arial" w:cs="Arial"/>
          <w:sz w:val="22"/>
          <w:szCs w:val="22"/>
        </w:rPr>
        <w:t xml:space="preserve">iscovery project with staff and </w:t>
      </w:r>
      <w:r w:rsidR="00B15339" w:rsidRPr="00120FA4">
        <w:rPr>
          <w:rFonts w:ascii="Arial" w:hAnsi="Arial" w:cs="Arial"/>
          <w:sz w:val="22"/>
          <w:szCs w:val="22"/>
        </w:rPr>
        <w:t>external website users</w:t>
      </w:r>
      <w:r w:rsidR="002C12D4">
        <w:rPr>
          <w:rFonts w:ascii="Arial" w:hAnsi="Arial" w:cs="Arial"/>
          <w:sz w:val="22"/>
          <w:szCs w:val="22"/>
        </w:rPr>
        <w:t>.</w:t>
      </w:r>
    </w:p>
    <w:p w14:paraId="50366B3B" w14:textId="512E7228" w:rsidR="40880112" w:rsidRPr="00716816" w:rsidRDefault="009E1319" w:rsidP="5642C746">
      <w:pPr>
        <w:rPr>
          <w:rFonts w:cs="Arial"/>
          <w:szCs w:val="22"/>
        </w:rPr>
      </w:pPr>
      <w:r w:rsidRPr="00716816">
        <w:rPr>
          <w:rFonts w:cs="Arial"/>
          <w:szCs w:val="22"/>
        </w:rPr>
        <w:t>Several s</w:t>
      </w:r>
      <w:r w:rsidR="40880112" w:rsidRPr="00716816">
        <w:rPr>
          <w:rFonts w:cs="Arial"/>
          <w:szCs w:val="22"/>
        </w:rPr>
        <w:t xml:space="preserve">trategic and tactical interventions were identified following </w:t>
      </w:r>
      <w:r w:rsidR="00DB31E9">
        <w:rPr>
          <w:rFonts w:cs="Arial"/>
          <w:szCs w:val="22"/>
        </w:rPr>
        <w:t>the d</w:t>
      </w:r>
      <w:r w:rsidR="40880112" w:rsidRPr="00716816">
        <w:rPr>
          <w:rFonts w:cs="Arial"/>
          <w:szCs w:val="22"/>
        </w:rPr>
        <w:t xml:space="preserve">iscovery </w:t>
      </w:r>
      <w:r w:rsidR="00DB31E9">
        <w:rPr>
          <w:rFonts w:cs="Arial"/>
          <w:szCs w:val="22"/>
        </w:rPr>
        <w:t xml:space="preserve">phase </w:t>
      </w:r>
      <w:r w:rsidR="40880112" w:rsidRPr="00716816">
        <w:rPr>
          <w:rFonts w:cs="Arial"/>
          <w:szCs w:val="22"/>
        </w:rPr>
        <w:t xml:space="preserve">that will </w:t>
      </w:r>
      <w:r w:rsidR="001544D6" w:rsidRPr="00716816">
        <w:rPr>
          <w:rFonts w:cs="Arial"/>
          <w:szCs w:val="22"/>
        </w:rPr>
        <w:t xml:space="preserve">be implemented during the </w:t>
      </w:r>
      <w:r w:rsidR="009277D2">
        <w:rPr>
          <w:rFonts w:eastAsia="Times New Roman"/>
          <w:shd w:val="clear" w:color="auto" w:fill="FFFFFF"/>
        </w:rPr>
        <w:t xml:space="preserve">2023-24 </w:t>
      </w:r>
      <w:r w:rsidR="001544D6" w:rsidRPr="00716816">
        <w:rPr>
          <w:rFonts w:cs="Arial"/>
          <w:szCs w:val="22"/>
        </w:rPr>
        <w:t>financial year.</w:t>
      </w:r>
    </w:p>
    <w:p w14:paraId="7FA0546E" w14:textId="5C49674E" w:rsidR="008A52F9" w:rsidRPr="00AC4B4B" w:rsidRDefault="51AC312C" w:rsidP="00C730F3">
      <w:pPr>
        <w:pStyle w:val="Heading2"/>
      </w:pPr>
      <w:bookmarkStart w:id="62" w:name="_Toc153550421"/>
      <w:r>
        <w:t>Educating about</w:t>
      </w:r>
      <w:r w:rsidR="31BB85F7">
        <w:t xml:space="preserve"> adverse event reporting</w:t>
      </w:r>
      <w:bookmarkEnd w:id="62"/>
      <w:r w:rsidR="31BB85F7">
        <w:t xml:space="preserve"> </w:t>
      </w:r>
    </w:p>
    <w:p w14:paraId="135554B1" w14:textId="27DA13D3" w:rsidR="0012158C" w:rsidRPr="001D24D1" w:rsidRDefault="001D24D1" w:rsidP="001D24D1">
      <w:pPr>
        <w:rPr>
          <w:b/>
          <w:bCs/>
        </w:rPr>
      </w:pPr>
      <w:r>
        <w:rPr>
          <w:b/>
          <w:bCs/>
        </w:rPr>
        <w:t>W</w:t>
      </w:r>
      <w:r w:rsidR="1A68DA2E" w:rsidRPr="001D24D1">
        <w:rPr>
          <w:b/>
          <w:bCs/>
        </w:rPr>
        <w:t>e c</w:t>
      </w:r>
      <w:r w:rsidR="0B7E41B5" w:rsidRPr="001D24D1">
        <w:rPr>
          <w:b/>
          <w:bCs/>
        </w:rPr>
        <w:t>ontinu</w:t>
      </w:r>
      <w:r w:rsidR="1A68DA2E" w:rsidRPr="001D24D1">
        <w:rPr>
          <w:b/>
          <w:bCs/>
        </w:rPr>
        <w:t>e</w:t>
      </w:r>
      <w:r w:rsidR="0B7E41B5" w:rsidRPr="001D24D1">
        <w:rPr>
          <w:b/>
          <w:bCs/>
        </w:rPr>
        <w:t xml:space="preserve"> education and awareness raising activities to support adverse event reporting</w:t>
      </w:r>
      <w:r w:rsidR="00854A74" w:rsidRPr="08FC2E6C">
        <w:rPr>
          <w:rStyle w:val="FootnoteReference"/>
          <w:rFonts w:asciiTheme="minorHAnsi" w:hAnsiTheme="minorHAnsi" w:cstheme="minorBidi"/>
          <w:b/>
          <w:bCs/>
        </w:rPr>
        <w:footnoteReference w:id="11"/>
      </w:r>
      <w:r w:rsidR="1A68DA2E" w:rsidRPr="001D24D1">
        <w:rPr>
          <w:b/>
          <w:bCs/>
        </w:rPr>
        <w:t xml:space="preserve"> </w:t>
      </w:r>
      <w:r w:rsidR="0B7E41B5" w:rsidRPr="001D24D1">
        <w:rPr>
          <w:b/>
          <w:bCs/>
        </w:rPr>
        <w:t>by</w:t>
      </w:r>
      <w:r w:rsidR="1684EA63" w:rsidRPr="001D24D1">
        <w:rPr>
          <w:b/>
          <w:bCs/>
        </w:rPr>
        <w:t xml:space="preserve"> </w:t>
      </w:r>
      <w:r w:rsidR="0B7E41B5" w:rsidRPr="001D24D1">
        <w:rPr>
          <w:b/>
          <w:bCs/>
        </w:rPr>
        <w:t>consumers and health professionals.</w:t>
      </w:r>
    </w:p>
    <w:p w14:paraId="021F8D21" w14:textId="156B1311" w:rsidR="7000B4D7" w:rsidRDefault="7AD359C4" w:rsidP="2ADDBB4C">
      <w:pPr>
        <w:rPr>
          <w:highlight w:val="yellow"/>
        </w:rPr>
      </w:pPr>
      <w:r>
        <w:t xml:space="preserve">We </w:t>
      </w:r>
      <w:r w:rsidR="00712595">
        <w:t xml:space="preserve">have </w:t>
      </w:r>
      <w:r>
        <w:t xml:space="preserve">sought feedback from </w:t>
      </w:r>
      <w:r w:rsidR="1CC146A7">
        <w:t>our Medical Devices C</w:t>
      </w:r>
      <w:r>
        <w:t xml:space="preserve">onsumer </w:t>
      </w:r>
      <w:r w:rsidR="718C93E6">
        <w:t>W</w:t>
      </w:r>
      <w:r>
        <w:t xml:space="preserve">orking </w:t>
      </w:r>
      <w:r w:rsidR="489DE895">
        <w:t>G</w:t>
      </w:r>
      <w:r>
        <w:t xml:space="preserve">roup about </w:t>
      </w:r>
      <w:r w:rsidR="3F048CC7">
        <w:t xml:space="preserve">online guidance for reporting </w:t>
      </w:r>
      <w:r w:rsidR="44181688">
        <w:t xml:space="preserve">medical device </w:t>
      </w:r>
      <w:r w:rsidR="3F048CC7">
        <w:t>adverse events, and provided information on how that data is used by the TGA to identify signals and emerging trends.</w:t>
      </w:r>
      <w:r w:rsidR="483FD5DB">
        <w:t xml:space="preserve"> We also work collaboratively with health professionals, particularly those in state and territory facilities</w:t>
      </w:r>
      <w:r w:rsidR="2055511A">
        <w:t xml:space="preserve">, </w:t>
      </w:r>
      <w:r w:rsidR="008B715D">
        <w:t>and members</w:t>
      </w:r>
      <w:r w:rsidR="2055511A">
        <w:t xml:space="preserve"> of our </w:t>
      </w:r>
      <w:r w:rsidR="5A9F2DE3">
        <w:t xml:space="preserve">medical devices </w:t>
      </w:r>
      <w:r w:rsidR="2055511A">
        <w:t>expert working groups</w:t>
      </w:r>
      <w:r w:rsidR="008B715D">
        <w:t>,</w:t>
      </w:r>
      <w:r w:rsidR="483FD5DB">
        <w:t xml:space="preserve"> to ex</w:t>
      </w:r>
      <w:r w:rsidR="2561AA7D">
        <w:t>change information and learn about emerging risks and suitable</w:t>
      </w:r>
      <w:r w:rsidR="483FD5DB">
        <w:t xml:space="preserve"> </w:t>
      </w:r>
      <w:r w:rsidR="632E65F5">
        <w:t>risk reduction measures.</w:t>
      </w:r>
      <w:r w:rsidR="3F048CC7">
        <w:t xml:space="preserve"> </w:t>
      </w:r>
    </w:p>
    <w:p w14:paraId="2C7B785B" w14:textId="6134DED2" w:rsidR="0D249AC7" w:rsidRDefault="30E2057C" w:rsidP="00516B31">
      <w:pPr>
        <w:spacing w:after="160" w:line="257" w:lineRule="auto"/>
        <w:rPr>
          <w:rFonts w:eastAsia="Calibri"/>
          <w:szCs w:val="22"/>
        </w:rPr>
      </w:pPr>
      <w:r w:rsidRPr="00516B31">
        <w:rPr>
          <w:rFonts w:eastAsia="Arial" w:cs="Arial"/>
        </w:rPr>
        <w:t>We contin</w:t>
      </w:r>
      <w:r w:rsidR="4CB42039" w:rsidRPr="00516B31">
        <w:rPr>
          <w:rFonts w:eastAsia="Arial" w:cs="Arial"/>
        </w:rPr>
        <w:t>u</w:t>
      </w:r>
      <w:r w:rsidRPr="00516B31">
        <w:rPr>
          <w:rFonts w:eastAsia="Arial" w:cs="Arial"/>
        </w:rPr>
        <w:t xml:space="preserve">ed to publish alerts as </w:t>
      </w:r>
      <w:r w:rsidR="19468F5A" w:rsidRPr="00516B31">
        <w:rPr>
          <w:rFonts w:eastAsia="Arial" w:cs="Arial"/>
        </w:rPr>
        <w:t>safety issues were identified</w:t>
      </w:r>
      <w:r w:rsidR="287DD6B4" w:rsidRPr="00516B31">
        <w:rPr>
          <w:rFonts w:eastAsia="Arial" w:cs="Arial"/>
        </w:rPr>
        <w:t>,</w:t>
      </w:r>
      <w:r w:rsidR="19468F5A" w:rsidRPr="00516B31">
        <w:rPr>
          <w:rFonts w:eastAsia="Arial" w:cs="Arial"/>
        </w:rPr>
        <w:t xml:space="preserve"> with tailored information for consumers and hea</w:t>
      </w:r>
      <w:r w:rsidR="25200800" w:rsidRPr="00516B31">
        <w:rPr>
          <w:rFonts w:eastAsia="Arial" w:cs="Arial"/>
        </w:rPr>
        <w:t>l</w:t>
      </w:r>
      <w:r w:rsidR="19468F5A" w:rsidRPr="00516B31">
        <w:rPr>
          <w:rFonts w:eastAsia="Arial" w:cs="Arial"/>
        </w:rPr>
        <w:t xml:space="preserve">th professionals. Regular </w:t>
      </w:r>
      <w:r w:rsidRPr="00516B31">
        <w:rPr>
          <w:rFonts w:eastAsia="Arial" w:cs="Arial"/>
        </w:rPr>
        <w:t xml:space="preserve">Medicines Safety Update </w:t>
      </w:r>
      <w:r w:rsidR="31BA854C" w:rsidRPr="00516B31">
        <w:rPr>
          <w:rFonts w:eastAsia="Arial" w:cs="Arial"/>
        </w:rPr>
        <w:t xml:space="preserve">articles </w:t>
      </w:r>
      <w:r w:rsidRPr="00516B31">
        <w:rPr>
          <w:rFonts w:eastAsia="Arial" w:cs="Arial"/>
        </w:rPr>
        <w:t>provide</w:t>
      </w:r>
      <w:r w:rsidR="63EFDA9B" w:rsidRPr="00516B31">
        <w:rPr>
          <w:rFonts w:eastAsia="Arial" w:cs="Arial"/>
        </w:rPr>
        <w:t>d</w:t>
      </w:r>
      <w:r w:rsidRPr="00516B31">
        <w:rPr>
          <w:rFonts w:eastAsia="Arial" w:cs="Arial"/>
        </w:rPr>
        <w:t xml:space="preserve"> health professionals with practical information and advice on drug safety and information about emerging safety issues. </w:t>
      </w:r>
      <w:r w:rsidR="421CDE89" w:rsidRPr="00516B31">
        <w:rPr>
          <w:rFonts w:eastAsia="Arial" w:cs="Arial"/>
        </w:rPr>
        <w:t>The COVID-19 vaccine safety report was published regularly until the official end of the emergency response</w:t>
      </w:r>
      <w:r w:rsidR="7D175C42" w:rsidRPr="7928109B">
        <w:rPr>
          <w:rFonts w:eastAsia="Arial" w:cs="Arial"/>
        </w:rPr>
        <w:t xml:space="preserve"> in November 2023</w:t>
      </w:r>
      <w:r w:rsidR="421CDE89" w:rsidRPr="00516B31">
        <w:rPr>
          <w:rFonts w:eastAsia="Arial" w:cs="Arial"/>
        </w:rPr>
        <w:t xml:space="preserve">. </w:t>
      </w:r>
      <w:r w:rsidR="008B715D">
        <w:rPr>
          <w:rFonts w:eastAsia="Arial" w:cs="Arial"/>
        </w:rPr>
        <w:t>T</w:t>
      </w:r>
      <w:r w:rsidR="421CDE89" w:rsidRPr="00516B31">
        <w:rPr>
          <w:rFonts w:eastAsia="Arial" w:cs="Arial"/>
        </w:rPr>
        <w:t xml:space="preserve">hese avenues included </w:t>
      </w:r>
      <w:r w:rsidR="6137086B" w:rsidRPr="00516B31">
        <w:rPr>
          <w:rFonts w:eastAsia="Arial" w:cs="Arial"/>
        </w:rPr>
        <w:t>information promoting adverse event reporting and the valuable role it plays in safety monitoring.</w:t>
      </w:r>
      <w:r w:rsidR="5886126A" w:rsidRPr="00516B31">
        <w:rPr>
          <w:rFonts w:eastAsia="Arial" w:cs="Arial"/>
        </w:rPr>
        <w:t xml:space="preserve"> </w:t>
      </w:r>
      <w:r w:rsidR="6F5CFF88" w:rsidRPr="00516B31">
        <w:rPr>
          <w:rFonts w:eastAsia="Arial" w:cs="Arial"/>
        </w:rPr>
        <w:t>We also</w:t>
      </w:r>
      <w:r w:rsidR="5886126A" w:rsidRPr="00516B31">
        <w:rPr>
          <w:rFonts w:eastAsia="Arial" w:cs="Arial"/>
        </w:rPr>
        <w:t xml:space="preserve"> </w:t>
      </w:r>
      <w:r w:rsidR="005E6665" w:rsidRPr="7928109B">
        <w:rPr>
          <w:rFonts w:eastAsia="Arial" w:cs="Arial"/>
        </w:rPr>
        <w:t>established</w:t>
      </w:r>
      <w:r w:rsidR="5886126A" w:rsidRPr="00516B31">
        <w:rPr>
          <w:rFonts w:eastAsia="Arial" w:cs="Arial"/>
        </w:rPr>
        <w:t xml:space="preserve"> </w:t>
      </w:r>
      <w:r w:rsidR="00B271E9" w:rsidRPr="7928109B">
        <w:rPr>
          <w:rFonts w:eastAsia="Arial" w:cs="Arial"/>
        </w:rPr>
        <w:t xml:space="preserve">collaborative </w:t>
      </w:r>
      <w:r w:rsidR="006D4F48" w:rsidRPr="7928109B">
        <w:rPr>
          <w:rFonts w:eastAsia="Arial" w:cs="Arial"/>
        </w:rPr>
        <w:t>relationships</w:t>
      </w:r>
      <w:r w:rsidR="5886126A" w:rsidRPr="00516B31">
        <w:rPr>
          <w:rFonts w:eastAsia="Arial" w:cs="Arial"/>
        </w:rPr>
        <w:t xml:space="preserve"> with external </w:t>
      </w:r>
      <w:r w:rsidR="02CB4EBD" w:rsidRPr="7928109B">
        <w:rPr>
          <w:rFonts w:eastAsia="Arial" w:cs="Arial"/>
        </w:rPr>
        <w:t>medicine</w:t>
      </w:r>
      <w:r w:rsidR="5886126A" w:rsidRPr="00516B31">
        <w:rPr>
          <w:rFonts w:eastAsia="Arial" w:cs="Arial"/>
        </w:rPr>
        <w:t xml:space="preserve"> and health information </w:t>
      </w:r>
      <w:r w:rsidR="4F50EA47" w:rsidRPr="00516B31">
        <w:rPr>
          <w:rFonts w:eastAsia="Arial" w:cs="Arial"/>
        </w:rPr>
        <w:t>services</w:t>
      </w:r>
      <w:r w:rsidR="005E6665" w:rsidRPr="7928109B">
        <w:rPr>
          <w:rFonts w:eastAsia="Arial" w:cs="Arial"/>
        </w:rPr>
        <w:t xml:space="preserve"> to explore </w:t>
      </w:r>
      <w:r w:rsidR="000A1B09" w:rsidRPr="7928109B">
        <w:rPr>
          <w:rFonts w:eastAsia="Arial" w:cs="Arial"/>
        </w:rPr>
        <w:t xml:space="preserve">opportunities </w:t>
      </w:r>
      <w:r w:rsidR="5C95CBB2" w:rsidRPr="00516B31">
        <w:rPr>
          <w:rFonts w:eastAsia="Arial" w:cs="Arial"/>
        </w:rPr>
        <w:t xml:space="preserve">to </w:t>
      </w:r>
      <w:r w:rsidR="4B968E1A" w:rsidRPr="00516B31">
        <w:rPr>
          <w:rFonts w:eastAsia="Arial" w:cs="Arial"/>
        </w:rPr>
        <w:t>disseminate our safety information</w:t>
      </w:r>
      <w:r w:rsidR="00595C71" w:rsidRPr="7928109B">
        <w:rPr>
          <w:rFonts w:eastAsia="Arial" w:cs="Arial"/>
        </w:rPr>
        <w:t xml:space="preserve"> through these channels</w:t>
      </w:r>
      <w:r w:rsidR="4B968E1A" w:rsidRPr="00516B31">
        <w:rPr>
          <w:rFonts w:eastAsia="Arial" w:cs="Arial"/>
        </w:rPr>
        <w:t>.</w:t>
      </w:r>
    </w:p>
    <w:p w14:paraId="667734EB" w14:textId="553D9EED" w:rsidR="0D249AC7" w:rsidRDefault="266D4FC5" w:rsidP="7928109B">
      <w:pPr>
        <w:spacing w:after="160" w:line="257" w:lineRule="auto"/>
        <w:rPr>
          <w:rFonts w:eastAsia="Arial" w:cs="Arial"/>
          <w:szCs w:val="22"/>
        </w:rPr>
      </w:pPr>
      <w:r w:rsidRPr="7928109B">
        <w:rPr>
          <w:rFonts w:eastAsia="Arial" w:cs="Arial"/>
          <w:szCs w:val="22"/>
        </w:rPr>
        <w:t xml:space="preserve">We actively engage consumers and health care professionals to educate and raise awareness through various channels, including our social media platforms, webinars and participation at external events. Activities that raise awareness of adverse event reporting include posts across our social media accounts and participation in </w:t>
      </w:r>
      <w:r w:rsidR="00075A56" w:rsidRPr="7928109B">
        <w:rPr>
          <w:rFonts w:eastAsia="Arial" w:cs="Arial"/>
          <w:szCs w:val="22"/>
        </w:rPr>
        <w:t>MedSafetyWeek, an</w:t>
      </w:r>
      <w:r w:rsidRPr="7928109B">
        <w:rPr>
          <w:rFonts w:eastAsia="Arial" w:cs="Arial"/>
          <w:szCs w:val="22"/>
        </w:rPr>
        <w:t xml:space="preserve"> annual event in which regulators from around the world collaborate and promote reporting medicine adverse events.</w:t>
      </w:r>
    </w:p>
    <w:p w14:paraId="3DF8CC36" w14:textId="1F2868D0" w:rsidR="0D249AC7" w:rsidRPr="00516B31" w:rsidRDefault="266D4FC5" w:rsidP="7928109B">
      <w:pPr>
        <w:spacing w:before="0" w:after="0"/>
        <w:rPr>
          <w:rFonts w:eastAsia="Arial" w:cs="Arial"/>
          <w:szCs w:val="22"/>
        </w:rPr>
      </w:pPr>
      <w:r w:rsidRPr="7928109B">
        <w:rPr>
          <w:rFonts w:eastAsia="Arial" w:cs="Arial"/>
          <w:szCs w:val="22"/>
        </w:rPr>
        <w:t>We also educated hundreds of attendees at the ARCS annual conference on how we are improving access to adverse event data and showcased features of the new Database of Adverse Event Notifications (DAEN). We also engaged face</w:t>
      </w:r>
      <w:r w:rsidR="003429AF">
        <w:rPr>
          <w:rFonts w:eastAsia="Arial" w:cs="Arial"/>
          <w:szCs w:val="22"/>
        </w:rPr>
        <w:t>-</w:t>
      </w:r>
      <w:r w:rsidRPr="7928109B">
        <w:rPr>
          <w:rFonts w:eastAsia="Arial" w:cs="Arial"/>
          <w:szCs w:val="22"/>
        </w:rPr>
        <w:t>to</w:t>
      </w:r>
      <w:r w:rsidR="003429AF">
        <w:rPr>
          <w:rFonts w:eastAsia="Arial" w:cs="Arial"/>
          <w:szCs w:val="22"/>
        </w:rPr>
        <w:t>-</w:t>
      </w:r>
      <w:r w:rsidRPr="7928109B">
        <w:rPr>
          <w:rFonts w:eastAsia="Arial" w:cs="Arial"/>
          <w:szCs w:val="22"/>
        </w:rPr>
        <w:t xml:space="preserve">face with consumers and health professionals at our exhibition booths at other events, including the Pharmaceutical Society of Australian (PSA) Conference </w:t>
      </w:r>
      <w:r w:rsidR="00E82C3B">
        <w:rPr>
          <w:rFonts w:eastAsia="Arial" w:cs="Arial"/>
          <w:szCs w:val="22"/>
        </w:rPr>
        <w:t xml:space="preserve">in </w:t>
      </w:r>
      <w:r w:rsidRPr="7928109B">
        <w:rPr>
          <w:rFonts w:eastAsia="Arial" w:cs="Arial"/>
          <w:szCs w:val="22"/>
        </w:rPr>
        <w:t xml:space="preserve">Sydney, General Practice Conference and Exhibition (GPCE) </w:t>
      </w:r>
      <w:r w:rsidR="00E82C3B">
        <w:rPr>
          <w:rFonts w:eastAsia="Arial" w:cs="Arial"/>
          <w:szCs w:val="22"/>
        </w:rPr>
        <w:t xml:space="preserve">in </w:t>
      </w:r>
      <w:r w:rsidRPr="7928109B">
        <w:rPr>
          <w:rFonts w:eastAsia="Arial" w:cs="Arial"/>
          <w:szCs w:val="22"/>
        </w:rPr>
        <w:t>Melbourne, Rural Medicine Australia (RMA) conference</w:t>
      </w:r>
      <w:r w:rsidR="00E82C3B">
        <w:rPr>
          <w:rFonts w:eastAsia="Arial" w:cs="Arial"/>
          <w:szCs w:val="22"/>
        </w:rPr>
        <w:t>,</w:t>
      </w:r>
      <w:r w:rsidRPr="7928109B">
        <w:rPr>
          <w:rFonts w:eastAsia="Arial" w:cs="Arial"/>
          <w:szCs w:val="22"/>
        </w:rPr>
        <w:t xml:space="preserve"> and Health Wellness and Fitness Show.</w:t>
      </w:r>
    </w:p>
    <w:p w14:paraId="5E8F22C7" w14:textId="4F810996" w:rsidR="007C4E21" w:rsidRPr="00AF3422" w:rsidRDefault="0324888A" w:rsidP="00C730F3">
      <w:pPr>
        <w:pStyle w:val="Heading1"/>
      </w:pPr>
      <w:bookmarkStart w:id="63" w:name="_Toc153550422"/>
      <w:r>
        <w:lastRenderedPageBreak/>
        <w:t>Strategic objective 3 – Promote compliance with regulatory requirements</w:t>
      </w:r>
      <w:bookmarkEnd w:id="63"/>
    </w:p>
    <w:p w14:paraId="61D3960F" w14:textId="69277B01" w:rsidR="007B0A1D" w:rsidRDefault="63EAACF4" w:rsidP="001515DB">
      <w:r>
        <w:t xml:space="preserve">We use data and intelligence to </w:t>
      </w:r>
      <w:r w:rsidR="001D5989">
        <w:t xml:space="preserve">manage risk and </w:t>
      </w:r>
      <w:r>
        <w:t xml:space="preserve">inform our </w:t>
      </w:r>
      <w:r w:rsidR="00005845">
        <w:t>compliance</w:t>
      </w:r>
      <w:r w:rsidR="004D5CB0">
        <w:t xml:space="preserve"> strategy and</w:t>
      </w:r>
      <w:r w:rsidR="00F7671D">
        <w:t xml:space="preserve"> activities</w:t>
      </w:r>
      <w:r>
        <w:t xml:space="preserve">. By </w:t>
      </w:r>
      <w:r w:rsidR="00625B3C">
        <w:t>measuring</w:t>
      </w:r>
      <w:r>
        <w:t xml:space="preserve"> risk</w:t>
      </w:r>
      <w:r w:rsidR="006D20D0">
        <w:t xml:space="preserve"> of non-compliance </w:t>
      </w:r>
      <w:r w:rsidR="00AB7F12">
        <w:t>in line with</w:t>
      </w:r>
      <w:r w:rsidR="006D20D0">
        <w:t xml:space="preserve"> our regulatory requirements</w:t>
      </w:r>
      <w:r w:rsidR="00946469">
        <w:t>,</w:t>
      </w:r>
      <w:r>
        <w:t xml:space="preserve"> we</w:t>
      </w:r>
      <w:r w:rsidR="006D20D0">
        <w:t xml:space="preserve"> are able to</w:t>
      </w:r>
      <w:r>
        <w:t xml:space="preserve"> implement mitigati</w:t>
      </w:r>
      <w:r w:rsidR="00743E9C">
        <w:t xml:space="preserve">ons </w:t>
      </w:r>
      <w:r>
        <w:t xml:space="preserve">and take proportionate actions </w:t>
      </w:r>
      <w:r w:rsidR="00F47D2C">
        <w:t xml:space="preserve">ranging from </w:t>
      </w:r>
      <w:r>
        <w:t xml:space="preserve">education </w:t>
      </w:r>
      <w:r w:rsidR="00F47D2C">
        <w:t>through to</w:t>
      </w:r>
      <w:r>
        <w:t xml:space="preserve"> </w:t>
      </w:r>
      <w:r w:rsidR="000618C0">
        <w:t>enforcement</w:t>
      </w:r>
      <w:r w:rsidR="00310A41">
        <w:t xml:space="preserve"> and litigation</w:t>
      </w:r>
      <w:r>
        <w:t xml:space="preserve">. </w:t>
      </w:r>
      <w:r w:rsidR="00F22DC6">
        <w:t xml:space="preserve">Our risk framework is embedded </w:t>
      </w:r>
      <w:r w:rsidR="00500CB1">
        <w:t>in ou</w:t>
      </w:r>
      <w:r w:rsidR="005D49DB">
        <w:t>r</w:t>
      </w:r>
      <w:r w:rsidR="00500CB1">
        <w:t xml:space="preserve"> regulatory activities to ensure </w:t>
      </w:r>
      <w:r>
        <w:t xml:space="preserve">the efficacy, safety and </w:t>
      </w:r>
      <w:r w:rsidR="02B7589E">
        <w:t>quality</w:t>
      </w:r>
      <w:r w:rsidR="004C1AB1">
        <w:t xml:space="preserve"> of the products we regulate</w:t>
      </w:r>
      <w:r>
        <w:t>.</w:t>
      </w:r>
    </w:p>
    <w:p w14:paraId="5CDE71BC" w14:textId="77777777" w:rsidR="007B0A1D" w:rsidRPr="00AF3422" w:rsidRDefault="5E037EEB" w:rsidP="00C730F3">
      <w:pPr>
        <w:pStyle w:val="Heading2"/>
      </w:pPr>
      <w:bookmarkStart w:id="64" w:name="_Toc153550423"/>
      <w:r>
        <w:t>Performance Indicators</w:t>
      </w:r>
      <w:bookmarkEnd w:id="64"/>
    </w:p>
    <w:p w14:paraId="058619A5" w14:textId="444017D9" w:rsidR="007B0A1D" w:rsidRPr="005D49DB" w:rsidRDefault="007B0A1D" w:rsidP="40EB8B97">
      <w:pPr>
        <w:spacing w:after="0"/>
        <w:ind w:left="720" w:hanging="720"/>
        <w:rPr>
          <w:rFonts w:cs="Arial"/>
        </w:rPr>
      </w:pPr>
      <w:r w:rsidRPr="40EB8B97">
        <w:rPr>
          <w:rFonts w:cs="Arial"/>
        </w:rPr>
        <w:t xml:space="preserve">3.1 </w:t>
      </w:r>
      <w:r>
        <w:tab/>
      </w:r>
      <w:r w:rsidRPr="40EB8B97">
        <w:rPr>
          <w:rFonts w:cs="Arial"/>
        </w:rPr>
        <w:t xml:space="preserve">Data and intelligence are used to identify risks of non-compliance and inform </w:t>
      </w:r>
      <w:r w:rsidR="6F743647" w:rsidRPr="40EB8B97">
        <w:rPr>
          <w:rFonts w:cs="Arial"/>
        </w:rPr>
        <w:t>c</w:t>
      </w:r>
      <w:r w:rsidRPr="40EB8B97">
        <w:rPr>
          <w:rFonts w:cs="Arial"/>
        </w:rPr>
        <w:t>ompliance</w:t>
      </w:r>
      <w:r w:rsidR="70C6B2DF" w:rsidRPr="40EB8B97">
        <w:rPr>
          <w:rFonts w:cs="Arial"/>
        </w:rPr>
        <w:t xml:space="preserve"> </w:t>
      </w:r>
      <w:r w:rsidRPr="40EB8B97">
        <w:rPr>
          <w:rFonts w:cs="Arial"/>
        </w:rPr>
        <w:t>strategy.</w:t>
      </w:r>
    </w:p>
    <w:p w14:paraId="04928D36" w14:textId="264FFA9C" w:rsidR="007B0A1D" w:rsidRPr="005D49DB" w:rsidRDefault="007B0A1D" w:rsidP="40EB8B97">
      <w:pPr>
        <w:spacing w:after="0"/>
        <w:ind w:left="720" w:hanging="720"/>
        <w:rPr>
          <w:rFonts w:cs="Arial"/>
        </w:rPr>
      </w:pPr>
      <w:r w:rsidRPr="40EB8B97">
        <w:rPr>
          <w:rFonts w:cs="Arial"/>
        </w:rPr>
        <w:t xml:space="preserve">3.2 </w:t>
      </w:r>
      <w:r>
        <w:tab/>
      </w:r>
      <w:r w:rsidRPr="40EB8B97">
        <w:rPr>
          <w:rFonts w:cs="Arial"/>
        </w:rPr>
        <w:t>Serious, deliberate, and repeated non-compliance is addressed.</w:t>
      </w:r>
    </w:p>
    <w:p w14:paraId="3B8F1437" w14:textId="41ADED4B" w:rsidR="007B0A1D" w:rsidRPr="005D49DB" w:rsidRDefault="007B0A1D" w:rsidP="40EB8B97">
      <w:pPr>
        <w:spacing w:after="0"/>
        <w:ind w:left="720" w:hanging="720"/>
        <w:rPr>
          <w:rFonts w:cs="Arial"/>
        </w:rPr>
      </w:pPr>
      <w:r w:rsidRPr="40EB8B97">
        <w:rPr>
          <w:rFonts w:cs="Arial"/>
        </w:rPr>
        <w:t>3.3</w:t>
      </w:r>
      <w:r>
        <w:tab/>
      </w:r>
      <w:r w:rsidRPr="40EB8B97">
        <w:rPr>
          <w:rFonts w:cs="Arial"/>
        </w:rPr>
        <w:t xml:space="preserve">Product safety, quality, efficacy, and performance issues are identified and </w:t>
      </w:r>
      <w:r w:rsidR="4A4F476B" w:rsidRPr="40EB8B97">
        <w:rPr>
          <w:rFonts w:cs="Arial"/>
        </w:rPr>
        <w:t>a</w:t>
      </w:r>
      <w:r w:rsidRPr="40EB8B97">
        <w:rPr>
          <w:rFonts w:cs="Arial"/>
        </w:rPr>
        <w:t>ssessed</w:t>
      </w:r>
      <w:r w:rsidR="6CD6F67C" w:rsidRPr="40EB8B97">
        <w:rPr>
          <w:rFonts w:cs="Arial"/>
        </w:rPr>
        <w:t xml:space="preserve"> </w:t>
      </w:r>
      <w:r w:rsidRPr="40EB8B97">
        <w:rPr>
          <w:rFonts w:cs="Arial"/>
        </w:rPr>
        <w:t>proportionally with the risk being managed.</w:t>
      </w:r>
    </w:p>
    <w:p w14:paraId="5407D2E7" w14:textId="77777777" w:rsidR="00A24890" w:rsidRPr="005D49DB" w:rsidRDefault="00A24890" w:rsidP="00A24890">
      <w:pPr>
        <w:pStyle w:val="NoSpacing"/>
        <w:rPr>
          <w:rFonts w:ascii="Arial" w:hAnsi="Arial" w:cs="Arial"/>
          <w:sz w:val="22"/>
          <w:szCs w:val="22"/>
        </w:rPr>
      </w:pPr>
    </w:p>
    <w:p w14:paraId="3B409304" w14:textId="6287D2A9" w:rsidR="2084217C" w:rsidRDefault="2084217C" w:rsidP="60FC52BE">
      <w:pPr>
        <w:pStyle w:val="NoSpacing"/>
        <w:rPr>
          <w:rFonts w:ascii="Arial" w:eastAsia="Arial" w:hAnsi="Arial" w:cs="Arial"/>
          <w:color w:val="000000"/>
          <w:sz w:val="22"/>
          <w:szCs w:val="22"/>
        </w:rPr>
      </w:pPr>
      <w:r w:rsidRPr="00516B31">
        <w:rPr>
          <w:rFonts w:ascii="Arial" w:eastAsia="Arial" w:hAnsi="Arial" w:cs="Arial"/>
          <w:b/>
          <w:bCs/>
          <w:color w:val="000000"/>
          <w:sz w:val="22"/>
          <w:szCs w:val="22"/>
        </w:rPr>
        <w:t>Insights from the TGA Stakeholder Survey</w:t>
      </w:r>
    </w:p>
    <w:p w14:paraId="61FC5968" w14:textId="0F083B52" w:rsidR="3021F1B5" w:rsidRDefault="3021F1B5" w:rsidP="60FC52BE">
      <w:pPr>
        <w:spacing w:after="180"/>
        <w:rPr>
          <w:rFonts w:cs="Arial"/>
        </w:rPr>
      </w:pPr>
      <w:r w:rsidRPr="60FC52BE">
        <w:rPr>
          <w:rFonts w:eastAsia="Arial" w:cs="Arial"/>
          <w:szCs w:val="22"/>
        </w:rPr>
        <w:t xml:space="preserve">For performance measures 3.1 and 3.2, </w:t>
      </w:r>
      <w:r w:rsidR="2084217C" w:rsidRPr="60FC52BE">
        <w:rPr>
          <w:rFonts w:eastAsia="Arial" w:cs="Arial"/>
          <w:szCs w:val="22"/>
        </w:rPr>
        <w:t xml:space="preserve">we look to assess our success at </w:t>
      </w:r>
      <w:r w:rsidR="66670D74" w:rsidRPr="60FC52BE">
        <w:rPr>
          <w:rFonts w:eastAsia="Arial" w:cs="Arial"/>
          <w:szCs w:val="22"/>
        </w:rPr>
        <w:t>promoting regulatory compliance and addressing s</w:t>
      </w:r>
      <w:r w:rsidR="66670D74" w:rsidRPr="60FC52BE">
        <w:rPr>
          <w:rFonts w:cs="Arial"/>
        </w:rPr>
        <w:t>erious, deliberate, and repeated non-compliance</w:t>
      </w:r>
      <w:r w:rsidR="5FC7A6A3" w:rsidRPr="60FC52BE">
        <w:rPr>
          <w:rFonts w:cs="Arial"/>
        </w:rPr>
        <w:t>.</w:t>
      </w:r>
      <w:r w:rsidR="0F74644E" w:rsidRPr="60FC52BE">
        <w:rPr>
          <w:rFonts w:cs="Arial"/>
        </w:rPr>
        <w:t xml:space="preserve"> </w:t>
      </w:r>
    </w:p>
    <w:p w14:paraId="7F320411" w14:textId="0D5E9B95" w:rsidR="5FC7A6A3" w:rsidRDefault="5FC7A6A3" w:rsidP="60FC52BE">
      <w:pPr>
        <w:spacing w:after="180"/>
        <w:rPr>
          <w:rFonts w:cs="Arial"/>
        </w:rPr>
      </w:pPr>
      <w:r w:rsidRPr="60FC52BE">
        <w:rPr>
          <w:rFonts w:cs="Arial"/>
        </w:rPr>
        <w:t xml:space="preserve">Three statements were included in the </w:t>
      </w:r>
      <w:r w:rsidR="3233BE96" w:rsidRPr="60FC52BE">
        <w:rPr>
          <w:rFonts w:cs="Arial"/>
        </w:rPr>
        <w:t>TGA Stakeholder Survey</w:t>
      </w:r>
      <w:r w:rsidRPr="60FC52BE">
        <w:rPr>
          <w:rFonts w:cs="Arial"/>
        </w:rPr>
        <w:t xml:space="preserve"> to measure perceptions of </w:t>
      </w:r>
      <w:r w:rsidR="5ED91800" w:rsidRPr="60FC52BE">
        <w:rPr>
          <w:rFonts w:cs="Arial"/>
        </w:rPr>
        <w:t>our</w:t>
      </w:r>
      <w:r w:rsidRPr="60FC52BE">
        <w:rPr>
          <w:rFonts w:cs="Arial"/>
        </w:rPr>
        <w:t xml:space="preserve"> compliance and enforcement activities. The first relates specifically to the TGA’s enforcement of advertising regulations: ‘The TGA takes strong action against illegal advertising for health </w:t>
      </w:r>
      <w:r w:rsidR="00EF2B6A" w:rsidRPr="60FC52BE">
        <w:rPr>
          <w:rFonts w:cs="Arial"/>
        </w:rPr>
        <w:t>products</w:t>
      </w:r>
      <w:r w:rsidR="00EF2B6A">
        <w:rPr>
          <w:rFonts w:cs="Arial"/>
        </w:rPr>
        <w:t>’</w:t>
      </w:r>
      <w:r w:rsidRPr="60FC52BE">
        <w:rPr>
          <w:rFonts w:cs="Arial"/>
        </w:rPr>
        <w:t xml:space="preserve">. Agreement with this statement was 63% for consumers (8% disagreed), 66% for </w:t>
      </w:r>
      <w:r w:rsidR="52A11AA9" w:rsidRPr="60FC52BE">
        <w:rPr>
          <w:rFonts w:cs="Arial"/>
        </w:rPr>
        <w:t>medical product industry stakeholders</w:t>
      </w:r>
      <w:r w:rsidRPr="60FC52BE">
        <w:rPr>
          <w:rFonts w:cs="Arial"/>
        </w:rPr>
        <w:t xml:space="preserve"> (9% disagreed)</w:t>
      </w:r>
      <w:r w:rsidR="00A32A9A">
        <w:rPr>
          <w:rFonts w:cs="Arial"/>
        </w:rPr>
        <w:t>,</w:t>
      </w:r>
      <w:r w:rsidRPr="60FC52BE">
        <w:rPr>
          <w:rFonts w:cs="Arial"/>
        </w:rPr>
        <w:t xml:space="preserve"> and 63% for health professionals (9% disagreed). </w:t>
      </w:r>
    </w:p>
    <w:p w14:paraId="67460289" w14:textId="39B5D904" w:rsidR="5FC7A6A3" w:rsidRDefault="5FC7A6A3" w:rsidP="60FC52BE">
      <w:pPr>
        <w:spacing w:after="180"/>
        <w:rPr>
          <w:rFonts w:cs="Arial"/>
        </w:rPr>
      </w:pPr>
      <w:r w:rsidRPr="60FC52BE">
        <w:rPr>
          <w:rFonts w:cs="Arial"/>
        </w:rPr>
        <w:t>A second statement aim</w:t>
      </w:r>
      <w:r w:rsidR="42983E65" w:rsidRPr="60FC52BE">
        <w:rPr>
          <w:rFonts w:cs="Arial"/>
        </w:rPr>
        <w:t>ed</w:t>
      </w:r>
      <w:r w:rsidRPr="60FC52BE">
        <w:rPr>
          <w:rFonts w:cs="Arial"/>
        </w:rPr>
        <w:t xml:space="preserve"> to measure perceptions of the full range of the TGA’s enforcement actions: ‘The TGA takes strong action against illegal behaviour’. Consumers were less likely to agree with this statement, with 60% agreeing (12% disagreed). Among </w:t>
      </w:r>
      <w:r w:rsidR="7BC161B8" w:rsidRPr="60FC52BE">
        <w:rPr>
          <w:rFonts w:cs="Arial"/>
        </w:rPr>
        <w:t xml:space="preserve">medical product industry </w:t>
      </w:r>
      <w:r w:rsidRPr="60FC52BE">
        <w:rPr>
          <w:rFonts w:cs="Arial"/>
        </w:rPr>
        <w:t>stakeholders 70% agreed (8% disagreed)</w:t>
      </w:r>
      <w:r w:rsidR="00752521">
        <w:rPr>
          <w:rFonts w:cs="Arial"/>
        </w:rPr>
        <w:t>,</w:t>
      </w:r>
      <w:r w:rsidRPr="60FC52BE">
        <w:rPr>
          <w:rFonts w:cs="Arial"/>
        </w:rPr>
        <w:t xml:space="preserve"> and for health professionals, 61% agreed (6% disagreed). </w:t>
      </w:r>
    </w:p>
    <w:p w14:paraId="05E70080" w14:textId="68FF106C" w:rsidR="5FC7A6A3" w:rsidRDefault="5FC7A6A3" w:rsidP="60FC52BE">
      <w:pPr>
        <w:spacing w:after="180"/>
        <w:rPr>
          <w:rFonts w:cs="Arial"/>
        </w:rPr>
      </w:pPr>
      <w:r w:rsidRPr="60FC52BE">
        <w:rPr>
          <w:rFonts w:cs="Arial"/>
        </w:rPr>
        <w:t>A third statement aim</w:t>
      </w:r>
      <w:r w:rsidR="03AF9BCA" w:rsidRPr="60FC52BE">
        <w:rPr>
          <w:rFonts w:cs="Arial"/>
        </w:rPr>
        <w:t>ed</w:t>
      </w:r>
      <w:r w:rsidRPr="60FC52BE">
        <w:rPr>
          <w:rFonts w:cs="Arial"/>
        </w:rPr>
        <w:t xml:space="preserve"> to gauge whether respondents believe the TGA takes action against serious non-compliance and repeat offenders: ‘I am confident the TGA addresses serious, deliberate and repeated non-compliance’. Stakeholders tended to be more positive to this statement, with 67% of consumers agreeing (11% disagreed), 75% of </w:t>
      </w:r>
      <w:r w:rsidR="4B714CFC" w:rsidRPr="60FC52BE">
        <w:rPr>
          <w:rFonts w:cs="Arial"/>
        </w:rPr>
        <w:t>medical product industry representatives</w:t>
      </w:r>
      <w:r w:rsidRPr="60FC52BE">
        <w:rPr>
          <w:rFonts w:cs="Arial"/>
        </w:rPr>
        <w:t xml:space="preserve"> agreeing (8% disagreed)</w:t>
      </w:r>
      <w:r w:rsidR="00A32A9A">
        <w:rPr>
          <w:rFonts w:cs="Arial"/>
        </w:rPr>
        <w:t>,</w:t>
      </w:r>
      <w:r w:rsidRPr="60FC52BE">
        <w:rPr>
          <w:rFonts w:cs="Arial"/>
        </w:rPr>
        <w:t xml:space="preserve"> and 74% of health professionals agreeing (7% disagreed). </w:t>
      </w:r>
    </w:p>
    <w:p w14:paraId="0F33081D" w14:textId="4A4AA0B2" w:rsidR="089F0540" w:rsidRDefault="089F0540" w:rsidP="60FC52BE">
      <w:pPr>
        <w:spacing w:after="180"/>
        <w:rPr>
          <w:rFonts w:cs="Arial"/>
        </w:rPr>
      </w:pPr>
      <w:r w:rsidRPr="60FC52BE">
        <w:rPr>
          <w:rFonts w:cs="Arial"/>
        </w:rPr>
        <w:t>For performance measure 3.2, we aim to assess whether product safety, quality, efficacy, and performance issues are identified and assessed proportio</w:t>
      </w:r>
      <w:r w:rsidR="0047496D">
        <w:rPr>
          <w:rFonts w:cs="Arial"/>
        </w:rPr>
        <w:t>nate</w:t>
      </w:r>
      <w:r w:rsidRPr="60FC52BE">
        <w:rPr>
          <w:rFonts w:cs="Arial"/>
        </w:rPr>
        <w:t xml:space="preserve">ly </w:t>
      </w:r>
      <w:r w:rsidR="0047496D">
        <w:rPr>
          <w:rFonts w:cs="Arial"/>
        </w:rPr>
        <w:t>to</w:t>
      </w:r>
      <w:r w:rsidR="0047496D" w:rsidRPr="60FC52BE">
        <w:rPr>
          <w:rFonts w:cs="Arial"/>
        </w:rPr>
        <w:t xml:space="preserve"> </w:t>
      </w:r>
      <w:r w:rsidRPr="60FC52BE">
        <w:rPr>
          <w:rFonts w:cs="Arial"/>
        </w:rPr>
        <w:t>the risk being managed.</w:t>
      </w:r>
    </w:p>
    <w:p w14:paraId="3A4782EA" w14:textId="75BFD0F5" w:rsidR="56431AB4" w:rsidRDefault="56431AB4" w:rsidP="60FC52BE">
      <w:pPr>
        <w:spacing w:after="180"/>
        <w:rPr>
          <w:rFonts w:cs="Arial"/>
        </w:rPr>
      </w:pPr>
      <w:r w:rsidRPr="60FC52BE">
        <w:rPr>
          <w:rFonts w:cs="Arial"/>
        </w:rPr>
        <w:t>In the S</w:t>
      </w:r>
      <w:r w:rsidR="74B77442" w:rsidRPr="60FC52BE">
        <w:rPr>
          <w:rFonts w:cs="Arial"/>
        </w:rPr>
        <w:t>t</w:t>
      </w:r>
      <w:r w:rsidRPr="60FC52BE">
        <w:rPr>
          <w:rFonts w:cs="Arial"/>
        </w:rPr>
        <w:t>akeholder Survey,</w:t>
      </w:r>
      <w:r w:rsidR="5FC7A6A3" w:rsidRPr="60FC52BE">
        <w:rPr>
          <w:rFonts w:cs="Arial"/>
        </w:rPr>
        <w:t xml:space="preserve"> stakeholders were also asked to indicate </w:t>
      </w:r>
      <w:r w:rsidR="28D3FD0C" w:rsidRPr="60FC52BE">
        <w:rPr>
          <w:rFonts w:cs="Arial"/>
        </w:rPr>
        <w:t>their level of</w:t>
      </w:r>
      <w:r w:rsidR="5FC7A6A3" w:rsidRPr="60FC52BE">
        <w:rPr>
          <w:rFonts w:cs="Arial"/>
        </w:rPr>
        <w:t xml:space="preserve"> agreement or disagreement with </w:t>
      </w:r>
      <w:r w:rsidR="1353E938" w:rsidRPr="60FC52BE">
        <w:rPr>
          <w:rFonts w:cs="Arial"/>
        </w:rPr>
        <w:t>the statement</w:t>
      </w:r>
      <w:r w:rsidR="5FC7A6A3" w:rsidRPr="60FC52BE">
        <w:rPr>
          <w:rFonts w:cs="Arial"/>
        </w:rPr>
        <w:t xml:space="preserve">: ‘If a safety issue is identified, I am confident that the TGA takes appropriate action’. </w:t>
      </w:r>
      <w:r w:rsidR="6918D365" w:rsidRPr="60FC52BE">
        <w:rPr>
          <w:rFonts w:cs="Arial"/>
        </w:rPr>
        <w:t>This statement was asked in relation to three topics</w:t>
      </w:r>
      <w:r w:rsidR="0047496D">
        <w:rPr>
          <w:rFonts w:cs="Arial"/>
        </w:rPr>
        <w:t>-</w:t>
      </w:r>
      <w:r w:rsidR="6918D365" w:rsidRPr="60FC52BE">
        <w:rPr>
          <w:rFonts w:cs="Arial"/>
        </w:rPr>
        <w:t xml:space="preserve"> the regulation of medicines, the regulation of medical devices and the re</w:t>
      </w:r>
      <w:r w:rsidR="38BA8B94" w:rsidRPr="60FC52BE">
        <w:rPr>
          <w:rFonts w:cs="Arial"/>
        </w:rPr>
        <w:t>gulation of complementary medicines</w:t>
      </w:r>
      <w:r w:rsidR="1E80A730" w:rsidRPr="60FC52BE">
        <w:rPr>
          <w:rFonts w:cs="Arial"/>
        </w:rPr>
        <w:t xml:space="preserve">, </w:t>
      </w:r>
      <w:r w:rsidR="38BA8B94" w:rsidRPr="60FC52BE">
        <w:rPr>
          <w:rFonts w:cs="Arial"/>
        </w:rPr>
        <w:t xml:space="preserve">with a short description </w:t>
      </w:r>
      <w:r w:rsidR="01511097" w:rsidRPr="60FC52BE">
        <w:rPr>
          <w:rFonts w:cs="Arial"/>
        </w:rPr>
        <w:t>provided to give examples of</w:t>
      </w:r>
      <w:r w:rsidR="38BA8B94" w:rsidRPr="60FC52BE">
        <w:rPr>
          <w:rFonts w:cs="Arial"/>
        </w:rPr>
        <w:t xml:space="preserve"> each category. </w:t>
      </w:r>
    </w:p>
    <w:p w14:paraId="0B5BA982" w14:textId="4543F7E4" w:rsidR="5FC7A6A3" w:rsidRDefault="5FC7A6A3" w:rsidP="60FC52BE">
      <w:pPr>
        <w:spacing w:after="180"/>
        <w:rPr>
          <w:rFonts w:cs="Arial"/>
        </w:rPr>
      </w:pPr>
      <w:r w:rsidRPr="60FC52BE">
        <w:rPr>
          <w:rFonts w:cs="Arial"/>
        </w:rPr>
        <w:lastRenderedPageBreak/>
        <w:t xml:space="preserve">For medicines, 71% of consumers agreed that the TGA would take appropriate action if an issue </w:t>
      </w:r>
      <w:r w:rsidR="0047496D">
        <w:rPr>
          <w:rFonts w:cs="Arial"/>
        </w:rPr>
        <w:t>were</w:t>
      </w:r>
      <w:r w:rsidR="0047496D" w:rsidRPr="60FC52BE">
        <w:rPr>
          <w:rFonts w:cs="Arial"/>
        </w:rPr>
        <w:t xml:space="preserve"> </w:t>
      </w:r>
      <w:r w:rsidRPr="60FC52BE">
        <w:rPr>
          <w:rFonts w:cs="Arial"/>
        </w:rPr>
        <w:t xml:space="preserve">identified (7% disagreed), 81% of </w:t>
      </w:r>
      <w:r w:rsidR="74334220" w:rsidRPr="60FC52BE">
        <w:rPr>
          <w:rFonts w:cs="Arial"/>
        </w:rPr>
        <w:t xml:space="preserve">medical product industry </w:t>
      </w:r>
      <w:r w:rsidR="5C33B810" w:rsidRPr="60FC52BE">
        <w:rPr>
          <w:rFonts w:cs="Arial"/>
        </w:rPr>
        <w:t>stakeholders agreed</w:t>
      </w:r>
      <w:r w:rsidRPr="60FC52BE">
        <w:rPr>
          <w:rFonts w:cs="Arial"/>
        </w:rPr>
        <w:t xml:space="preserve"> (4% disagreed), and 86% of health professionals agreed (4% disagreed). For medical devices, 72% of consumers agreed (6% disagreed), 79% of </w:t>
      </w:r>
      <w:r w:rsidR="31E52C86" w:rsidRPr="60FC52BE">
        <w:rPr>
          <w:rFonts w:cs="Arial"/>
        </w:rPr>
        <w:t xml:space="preserve">medical product device representatives </w:t>
      </w:r>
      <w:r w:rsidRPr="60FC52BE">
        <w:rPr>
          <w:rFonts w:cs="Arial"/>
        </w:rPr>
        <w:t>agreed (4% disagreed), and 89% of health professionals agreed (2% disagreed).</w:t>
      </w:r>
    </w:p>
    <w:p w14:paraId="404059CA" w14:textId="0739E2CB" w:rsidR="5FC7A6A3" w:rsidRDefault="5FC7A6A3" w:rsidP="60FC52BE">
      <w:pPr>
        <w:spacing w:after="180"/>
        <w:rPr>
          <w:rFonts w:cs="Arial"/>
        </w:rPr>
      </w:pPr>
      <w:r w:rsidRPr="60FC52BE">
        <w:rPr>
          <w:rFonts w:cs="Arial"/>
        </w:rPr>
        <w:t xml:space="preserve">Stakeholders were less positive regarding </w:t>
      </w:r>
      <w:r w:rsidR="01D7DF4C" w:rsidRPr="60FC52BE">
        <w:rPr>
          <w:rFonts w:cs="Arial"/>
        </w:rPr>
        <w:t xml:space="preserve">appropriate </w:t>
      </w:r>
      <w:r w:rsidRPr="60FC52BE">
        <w:rPr>
          <w:rFonts w:cs="Arial"/>
        </w:rPr>
        <w:t xml:space="preserve">action being taken against complementary medicines. For consumers, 65% agreed that the TGA would take appropriate action if a safety issue </w:t>
      </w:r>
      <w:r w:rsidR="00FA1AEA">
        <w:rPr>
          <w:rFonts w:cs="Arial"/>
        </w:rPr>
        <w:t>were</w:t>
      </w:r>
      <w:r w:rsidR="00FA1AEA" w:rsidRPr="60FC52BE">
        <w:rPr>
          <w:rFonts w:cs="Arial"/>
        </w:rPr>
        <w:t xml:space="preserve"> </w:t>
      </w:r>
      <w:r w:rsidRPr="60FC52BE">
        <w:rPr>
          <w:rFonts w:cs="Arial"/>
        </w:rPr>
        <w:t xml:space="preserve">identified with a complementary medicine (8% disagreed). For </w:t>
      </w:r>
      <w:r w:rsidR="7F9F03C3" w:rsidRPr="60FC52BE">
        <w:rPr>
          <w:rFonts w:cs="Arial"/>
        </w:rPr>
        <w:t xml:space="preserve">medical product </w:t>
      </w:r>
      <w:r w:rsidR="64374A20" w:rsidRPr="60FC52BE">
        <w:rPr>
          <w:rFonts w:cs="Arial"/>
        </w:rPr>
        <w:t>representatives</w:t>
      </w:r>
      <w:r w:rsidRPr="60FC52BE">
        <w:rPr>
          <w:rFonts w:cs="Arial"/>
        </w:rPr>
        <w:t xml:space="preserve"> 66% agreed (7% disagreed)</w:t>
      </w:r>
      <w:r w:rsidR="00FA1AEA">
        <w:rPr>
          <w:rFonts w:cs="Arial"/>
        </w:rPr>
        <w:t>,</w:t>
      </w:r>
      <w:r w:rsidRPr="60FC52BE">
        <w:rPr>
          <w:rFonts w:cs="Arial"/>
        </w:rPr>
        <w:t xml:space="preserve"> and 66% of health professionals agreed (11% disagreed).</w:t>
      </w:r>
    </w:p>
    <w:p w14:paraId="62AC6027" w14:textId="3E8C1575" w:rsidR="5FC7A6A3" w:rsidRDefault="5FC7A6A3" w:rsidP="60FC52BE">
      <w:pPr>
        <w:spacing w:after="180"/>
      </w:pPr>
      <w:r w:rsidRPr="60FC52BE">
        <w:rPr>
          <w:rFonts w:cs="Arial"/>
        </w:rPr>
        <w:t>Many respondents across all categories answered ‘unsure’ or ‘neither agree nor disagree’. When taken together, these results suggest that our stakeholders generally believe the TGA takes strong action in response to non-compliance with the therapeutic goods legislation.</w:t>
      </w:r>
    </w:p>
    <w:p w14:paraId="30BE82F2" w14:textId="56B42047" w:rsidR="00566C7D" w:rsidRPr="002233B4" w:rsidRDefault="1DBF4CE3" w:rsidP="00C730F3">
      <w:pPr>
        <w:pStyle w:val="Heading2"/>
      </w:pPr>
      <w:bookmarkStart w:id="65" w:name="_Toc153550424"/>
      <w:r>
        <w:t>Good Clinical Practice and Pharmacovigilance Inspection Programs</w:t>
      </w:r>
      <w:bookmarkEnd w:id="65"/>
    </w:p>
    <w:p w14:paraId="73E947E2" w14:textId="6F50694F" w:rsidR="00436AF8" w:rsidRPr="00754777" w:rsidRDefault="00C071D8" w:rsidP="00077A09">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7831E7" w:rsidRPr="40EB8B97">
        <w:rPr>
          <w:rFonts w:ascii="Arial" w:hAnsi="Arial" w:cs="Arial"/>
          <w:b/>
          <w:bCs/>
          <w:sz w:val="22"/>
          <w:szCs w:val="22"/>
        </w:rPr>
        <w:t>i</w:t>
      </w:r>
      <w:r w:rsidRPr="40EB8B97">
        <w:rPr>
          <w:rFonts w:ascii="Arial" w:hAnsi="Arial" w:cs="Arial"/>
          <w:b/>
          <w:bCs/>
          <w:sz w:val="22"/>
          <w:szCs w:val="22"/>
        </w:rPr>
        <w:t>mplement</w:t>
      </w:r>
      <w:r w:rsidR="00436AF8" w:rsidRPr="40EB8B97">
        <w:rPr>
          <w:rFonts w:ascii="Arial" w:hAnsi="Arial" w:cs="Arial"/>
          <w:b/>
          <w:bCs/>
          <w:sz w:val="22"/>
          <w:szCs w:val="22"/>
        </w:rPr>
        <w:t xml:space="preserve"> Good Clinical Practice Inspection and Pharmacovigilance Inspection Programs to help medicines clinical trial sites and medicines sponsors </w:t>
      </w:r>
      <w:r w:rsidR="00436AF8" w:rsidRPr="00754777">
        <w:rPr>
          <w:rFonts w:ascii="Arial" w:hAnsi="Arial" w:cs="Arial"/>
          <w:b/>
          <w:bCs/>
          <w:sz w:val="22"/>
          <w:szCs w:val="22"/>
        </w:rPr>
        <w:t>respectively to understand their obligations and confirm compliance.</w:t>
      </w:r>
    </w:p>
    <w:p w14:paraId="0B944D8E" w14:textId="09037F86" w:rsidR="0C4A0057" w:rsidRPr="00E755A7" w:rsidRDefault="7EB17D02" w:rsidP="00AD7977">
      <w:r w:rsidRPr="00754777">
        <w:t>Foll</w:t>
      </w:r>
      <w:r w:rsidRPr="00754777">
        <w:rPr>
          <w:rFonts w:eastAsiaTheme="minorEastAsia"/>
        </w:rPr>
        <w:t>owing commencement of</w:t>
      </w:r>
      <w:r w:rsidR="2A01462B" w:rsidRPr="00754777">
        <w:rPr>
          <w:rFonts w:eastAsiaTheme="minorEastAsia"/>
        </w:rPr>
        <w:t xml:space="preserve"> </w:t>
      </w:r>
      <w:r w:rsidR="661BA19B" w:rsidRPr="00754777">
        <w:rPr>
          <w:rFonts w:eastAsiaTheme="minorEastAsia"/>
        </w:rPr>
        <w:t>the G</w:t>
      </w:r>
      <w:r w:rsidR="5FBE4798" w:rsidRPr="00754777">
        <w:rPr>
          <w:rFonts w:eastAsiaTheme="minorEastAsia"/>
        </w:rPr>
        <w:t xml:space="preserve">ood </w:t>
      </w:r>
      <w:r w:rsidR="661BA19B" w:rsidRPr="00754777">
        <w:rPr>
          <w:rFonts w:eastAsiaTheme="minorEastAsia"/>
        </w:rPr>
        <w:t>C</w:t>
      </w:r>
      <w:r w:rsidR="3BD1DB63" w:rsidRPr="00754777">
        <w:rPr>
          <w:rFonts w:eastAsiaTheme="minorEastAsia"/>
        </w:rPr>
        <w:t xml:space="preserve">linical </w:t>
      </w:r>
      <w:r w:rsidR="661BA19B" w:rsidRPr="00754777">
        <w:rPr>
          <w:rFonts w:eastAsiaTheme="minorEastAsia"/>
        </w:rPr>
        <w:t>P</w:t>
      </w:r>
      <w:r w:rsidR="21D30291" w:rsidRPr="00754777">
        <w:rPr>
          <w:rFonts w:eastAsiaTheme="minorEastAsia"/>
        </w:rPr>
        <w:t>ractice (GCP)</w:t>
      </w:r>
      <w:r w:rsidR="661BA19B" w:rsidRPr="00754777">
        <w:rPr>
          <w:rFonts w:eastAsiaTheme="minorEastAsia"/>
        </w:rPr>
        <w:t xml:space="preserve"> </w:t>
      </w:r>
      <w:r w:rsidR="007118F1">
        <w:rPr>
          <w:rFonts w:eastAsiaTheme="minorEastAsia"/>
        </w:rPr>
        <w:t>I</w:t>
      </w:r>
      <w:r w:rsidR="661BA19B" w:rsidRPr="00754777">
        <w:rPr>
          <w:rFonts w:eastAsiaTheme="minorEastAsia"/>
        </w:rPr>
        <w:t xml:space="preserve">nspection </w:t>
      </w:r>
      <w:r w:rsidR="007118F1">
        <w:rPr>
          <w:rFonts w:eastAsiaTheme="minorEastAsia"/>
        </w:rPr>
        <w:t>P</w:t>
      </w:r>
      <w:r w:rsidR="661BA19B" w:rsidRPr="00754777">
        <w:rPr>
          <w:rFonts w:eastAsiaTheme="minorEastAsia"/>
        </w:rPr>
        <w:t xml:space="preserve">rogram </w:t>
      </w:r>
      <w:r w:rsidRPr="00754777">
        <w:rPr>
          <w:rFonts w:eastAsiaTheme="minorEastAsia"/>
        </w:rPr>
        <w:t>in 2022,</w:t>
      </w:r>
      <w:r w:rsidR="3EBAD948" w:rsidRPr="00754777">
        <w:rPr>
          <w:rFonts w:eastAsiaTheme="minorEastAsia"/>
        </w:rPr>
        <w:t xml:space="preserve"> </w:t>
      </w:r>
      <w:r w:rsidR="5EE8EE4D" w:rsidRPr="00754777">
        <w:rPr>
          <w:rFonts w:eastAsiaTheme="minorEastAsia"/>
        </w:rPr>
        <w:t>w</w:t>
      </w:r>
      <w:r w:rsidR="2A01462B" w:rsidRPr="00754777">
        <w:rPr>
          <w:rFonts w:eastAsiaTheme="minorEastAsia"/>
        </w:rPr>
        <w:t xml:space="preserve">e conducted 7 inspections of clinical trial sites of medicines and </w:t>
      </w:r>
      <w:r w:rsidR="2A01462B" w:rsidRPr="007E7468">
        <w:rPr>
          <w:rFonts w:eastAsiaTheme="minorEastAsia"/>
        </w:rPr>
        <w:t>biological</w:t>
      </w:r>
      <w:r w:rsidR="00754777" w:rsidRPr="007E7468">
        <w:rPr>
          <w:rFonts w:eastAsiaTheme="minorEastAsia"/>
        </w:rPr>
        <w:t>s</w:t>
      </w:r>
      <w:r w:rsidR="0011256B" w:rsidRPr="007E7468">
        <w:rPr>
          <w:rStyle w:val="FootnoteReference"/>
          <w:rFonts w:eastAsiaTheme="minorEastAsia"/>
        </w:rPr>
        <w:footnoteReference w:id="12"/>
      </w:r>
      <w:r w:rsidR="00754777" w:rsidRPr="007E7468">
        <w:rPr>
          <w:rFonts w:eastAsiaTheme="minorEastAsia"/>
        </w:rPr>
        <w:t>.</w:t>
      </w:r>
      <w:r w:rsidR="2A01462B" w:rsidRPr="00754777">
        <w:rPr>
          <w:rFonts w:eastAsiaTheme="minorEastAsia"/>
        </w:rPr>
        <w:t>The first</w:t>
      </w:r>
      <w:r w:rsidR="2A01462B" w:rsidRPr="08FC2E6C">
        <w:rPr>
          <w:rFonts w:eastAsiaTheme="minorEastAsia"/>
        </w:rPr>
        <w:t xml:space="preserve"> inspection was conducted in August 2022, following publication of guidance and education webinars introducing the new program. GCP is an international ethical and scientific quality standard for designing, conducting, </w:t>
      </w:r>
      <w:r w:rsidR="5128C1BE" w:rsidRPr="08FC2E6C">
        <w:rPr>
          <w:rFonts w:eastAsiaTheme="minorEastAsia"/>
        </w:rPr>
        <w:t>recording,</w:t>
      </w:r>
      <w:r w:rsidR="2A01462B" w:rsidRPr="08FC2E6C">
        <w:rPr>
          <w:rFonts w:eastAsiaTheme="minorEastAsia"/>
        </w:rPr>
        <w:t xml:space="preserve"> and reporting clinical trials. The GCP </w:t>
      </w:r>
      <w:r w:rsidR="00E51CF6">
        <w:rPr>
          <w:rFonts w:eastAsiaTheme="minorEastAsia"/>
        </w:rPr>
        <w:t>I</w:t>
      </w:r>
      <w:r w:rsidR="2A01462B" w:rsidRPr="08FC2E6C">
        <w:rPr>
          <w:rFonts w:eastAsiaTheme="minorEastAsia"/>
        </w:rPr>
        <w:t xml:space="preserve">nspection </w:t>
      </w:r>
      <w:r w:rsidR="00E51CF6">
        <w:rPr>
          <w:rFonts w:eastAsiaTheme="minorEastAsia"/>
        </w:rPr>
        <w:t>P</w:t>
      </w:r>
      <w:r w:rsidR="2A01462B" w:rsidRPr="08FC2E6C">
        <w:rPr>
          <w:rFonts w:eastAsiaTheme="minorEastAsia"/>
        </w:rPr>
        <w:t xml:space="preserve">rogram strengthens </w:t>
      </w:r>
      <w:r w:rsidR="5128C1BE" w:rsidRPr="08FC2E6C">
        <w:rPr>
          <w:rFonts w:eastAsiaTheme="minorEastAsia"/>
        </w:rPr>
        <w:t>t</w:t>
      </w:r>
      <w:r w:rsidR="5128C1BE">
        <w:t xml:space="preserve">he </w:t>
      </w:r>
      <w:r w:rsidR="2A01462B" w:rsidRPr="00E755A7">
        <w:t>TGA’s oversight of compliance, to verify that the rights, safety and wellbeing of clinical trial participants are protected and that the generated trial data are credible.</w:t>
      </w:r>
    </w:p>
    <w:p w14:paraId="17B515D8" w14:textId="7DD164DA" w:rsidR="0ED67501" w:rsidRPr="00F201A1" w:rsidRDefault="0B3C5DA6" w:rsidP="001515DB">
      <w:pPr>
        <w:rPr>
          <w:rFonts w:cs="Arial"/>
        </w:rPr>
      </w:pPr>
      <w:r w:rsidRPr="00F201A1">
        <w:rPr>
          <w:rFonts w:cs="Arial"/>
        </w:rPr>
        <w:t>We also</w:t>
      </w:r>
      <w:r w:rsidR="656074CD" w:rsidRPr="00F201A1">
        <w:rPr>
          <w:rFonts w:cs="Arial"/>
        </w:rPr>
        <w:t xml:space="preserve"> operated the Pharmacovigilance Inspection Program to help sponsors maintain compliance with our requirements</w:t>
      </w:r>
      <w:r w:rsidR="42DA2945" w:rsidRPr="00F201A1">
        <w:rPr>
          <w:rFonts w:cs="Arial"/>
        </w:rPr>
        <w:t xml:space="preserve">, with </w:t>
      </w:r>
      <w:r w:rsidR="054D0BFC" w:rsidRPr="00F201A1">
        <w:rPr>
          <w:rFonts w:cs="Arial"/>
        </w:rPr>
        <w:t xml:space="preserve">9 inspections completed in </w:t>
      </w:r>
      <w:r w:rsidR="232871EB" w:rsidRPr="00F201A1">
        <w:rPr>
          <w:rFonts w:cs="Arial"/>
        </w:rPr>
        <w:t xml:space="preserve">2022-23 </w:t>
      </w:r>
      <w:r w:rsidR="00D9008B">
        <w:rPr>
          <w:rFonts w:cs="Arial"/>
        </w:rPr>
        <w:t>compared with</w:t>
      </w:r>
      <w:r w:rsidR="232871EB" w:rsidRPr="00F201A1">
        <w:rPr>
          <w:rFonts w:cs="Arial"/>
        </w:rPr>
        <w:t xml:space="preserve"> </w:t>
      </w:r>
      <w:r w:rsidR="74DEB5E6" w:rsidRPr="00F201A1">
        <w:rPr>
          <w:rFonts w:cs="Arial"/>
        </w:rPr>
        <w:t xml:space="preserve">10 in the previous </w:t>
      </w:r>
      <w:r w:rsidR="00B3797C">
        <w:rPr>
          <w:rFonts w:cs="Arial"/>
        </w:rPr>
        <w:t xml:space="preserve">financial </w:t>
      </w:r>
      <w:r w:rsidR="74DEB5E6" w:rsidRPr="00F201A1">
        <w:rPr>
          <w:rFonts w:cs="Arial"/>
        </w:rPr>
        <w:t>year</w:t>
      </w:r>
      <w:r w:rsidR="006C40BE" w:rsidRPr="00F201A1">
        <w:rPr>
          <w:rStyle w:val="FootnoteReference"/>
          <w:rFonts w:cs="Arial"/>
        </w:rPr>
        <w:footnoteReference w:id="13"/>
      </w:r>
      <w:r w:rsidR="656074CD" w:rsidRPr="00F201A1">
        <w:rPr>
          <w:rFonts w:cs="Arial"/>
        </w:rPr>
        <w:t>.</w:t>
      </w:r>
      <w:r w:rsidR="224AF8D3" w:rsidRPr="00F201A1">
        <w:rPr>
          <w:rFonts w:cs="Arial"/>
        </w:rPr>
        <w:t xml:space="preserve"> </w:t>
      </w:r>
      <w:r w:rsidR="656074CD" w:rsidRPr="00F201A1">
        <w:rPr>
          <w:rFonts w:cs="Arial"/>
        </w:rPr>
        <w:t xml:space="preserve">Our pharmacovigilance inspectors conducted inspections, reviewed enforceable </w:t>
      </w:r>
      <w:r w:rsidR="55558219" w:rsidRPr="00F201A1">
        <w:rPr>
          <w:rFonts w:cs="Arial"/>
        </w:rPr>
        <w:t>undertakings,</w:t>
      </w:r>
      <w:r w:rsidR="656074CD" w:rsidRPr="00F201A1">
        <w:rPr>
          <w:rFonts w:cs="Arial"/>
        </w:rPr>
        <w:t xml:space="preserve"> and provided educational presentations. The inspectors conducted the 2022 Pharmacovigilance Inspection Program Risk Assessment Survey, which is a tool to help prioritise and schedule pharmacovigilance inspections based on risk.</w:t>
      </w:r>
    </w:p>
    <w:p w14:paraId="7414A403" w14:textId="6516F4C2" w:rsidR="4554A334" w:rsidRPr="00F201A1" w:rsidRDefault="09518BA8" w:rsidP="001515DB">
      <w:pPr>
        <w:rPr>
          <w:rFonts w:cs="Arial"/>
        </w:rPr>
      </w:pPr>
      <w:r w:rsidRPr="00F201A1">
        <w:rPr>
          <w:rFonts w:cs="Arial"/>
        </w:rPr>
        <w:t xml:space="preserve">The </w:t>
      </w:r>
      <w:r w:rsidR="6E524D82" w:rsidRPr="00F201A1">
        <w:rPr>
          <w:rFonts w:cs="Arial"/>
        </w:rPr>
        <w:t xml:space="preserve">GCP and </w:t>
      </w:r>
      <w:r w:rsidR="51C65E7D" w:rsidRPr="00F201A1">
        <w:rPr>
          <w:rFonts w:cs="Arial"/>
        </w:rPr>
        <w:t>pharmacovigilance</w:t>
      </w:r>
      <w:r w:rsidRPr="00F201A1">
        <w:rPr>
          <w:rFonts w:cs="Arial"/>
        </w:rPr>
        <w:t xml:space="preserve"> inspectors participated in international working groups and observed </w:t>
      </w:r>
      <w:r w:rsidR="00FD4309">
        <w:rPr>
          <w:rFonts w:cs="Arial"/>
        </w:rPr>
        <w:t>4</w:t>
      </w:r>
      <w:r w:rsidRPr="00F201A1">
        <w:rPr>
          <w:rFonts w:cs="Arial"/>
        </w:rPr>
        <w:t xml:space="preserve"> inspections </w:t>
      </w:r>
      <w:r w:rsidR="2FF545A8" w:rsidRPr="00F201A1">
        <w:rPr>
          <w:rFonts w:cs="Arial"/>
        </w:rPr>
        <w:t xml:space="preserve">by international regulators </w:t>
      </w:r>
      <w:r w:rsidRPr="00F201A1">
        <w:rPr>
          <w:rFonts w:cs="Arial"/>
        </w:rPr>
        <w:t xml:space="preserve">to facilitate the ongoing development of the </w:t>
      </w:r>
      <w:r w:rsidR="06C5ED5E" w:rsidRPr="00F201A1">
        <w:rPr>
          <w:rFonts w:cs="Arial"/>
        </w:rPr>
        <w:t>TGA’s</w:t>
      </w:r>
      <w:r w:rsidR="262A6988" w:rsidRPr="00F201A1">
        <w:rPr>
          <w:rFonts w:cs="Arial"/>
        </w:rPr>
        <w:t xml:space="preserve"> inspection </w:t>
      </w:r>
      <w:r w:rsidRPr="00F201A1">
        <w:rPr>
          <w:rFonts w:cs="Arial"/>
        </w:rPr>
        <w:t>program</w:t>
      </w:r>
      <w:r w:rsidR="6DA0B905" w:rsidRPr="00F201A1">
        <w:rPr>
          <w:rFonts w:cs="Arial"/>
        </w:rPr>
        <w:t>s</w:t>
      </w:r>
      <w:r w:rsidRPr="00F201A1">
        <w:rPr>
          <w:rFonts w:cs="Arial"/>
        </w:rPr>
        <w:t xml:space="preserve"> in line with global best practice.</w:t>
      </w:r>
    </w:p>
    <w:p w14:paraId="09C1ABA1" w14:textId="77777777" w:rsidR="007043A9" w:rsidRDefault="007043A9">
      <w:pPr>
        <w:spacing w:before="0" w:after="160" w:line="259" w:lineRule="auto"/>
        <w:rPr>
          <w:rFonts w:eastAsiaTheme="majorEastAsia" w:cstheme="majorBidi"/>
          <w:b/>
          <w:color w:val="305DA1" w:themeColor="accent3" w:themeShade="80"/>
          <w:sz w:val="28"/>
          <w:szCs w:val="26"/>
        </w:rPr>
      </w:pPr>
      <w:r>
        <w:br w:type="page"/>
      </w:r>
    </w:p>
    <w:p w14:paraId="752050E8" w14:textId="1306DFBA" w:rsidR="009129DE" w:rsidRDefault="694C8381" w:rsidP="00C730F3">
      <w:pPr>
        <w:pStyle w:val="Heading2"/>
      </w:pPr>
      <w:bookmarkStart w:id="66" w:name="_Toc153550425"/>
      <w:r>
        <w:lastRenderedPageBreak/>
        <w:t>Enabling regulatory c</w:t>
      </w:r>
      <w:r w:rsidR="2BA45461">
        <w:t xml:space="preserve">ompliance </w:t>
      </w:r>
      <w:r>
        <w:t>through</w:t>
      </w:r>
      <w:r w:rsidR="2BA45461">
        <w:t xml:space="preserve"> education and communication</w:t>
      </w:r>
      <w:bookmarkEnd w:id="66"/>
    </w:p>
    <w:p w14:paraId="5440278E" w14:textId="534021B0" w:rsidR="004D389F" w:rsidRPr="002C57A9" w:rsidRDefault="00060089" w:rsidP="00077A09">
      <w:pPr>
        <w:pStyle w:val="NoSpacing"/>
        <w:spacing w:before="120" w:after="120"/>
        <w:rPr>
          <w:rFonts w:ascii="Arial" w:hAnsi="Arial" w:cs="Arial"/>
          <w:b/>
          <w:bCs/>
          <w:sz w:val="22"/>
          <w:szCs w:val="22"/>
        </w:rPr>
      </w:pPr>
      <w:r w:rsidRPr="40EB8B97">
        <w:rPr>
          <w:rFonts w:ascii="Arial" w:hAnsi="Arial" w:cs="Arial"/>
          <w:b/>
          <w:bCs/>
          <w:sz w:val="22"/>
          <w:szCs w:val="22"/>
        </w:rPr>
        <w:t>We undertake</w:t>
      </w:r>
      <w:r w:rsidR="00436AF8" w:rsidRPr="40EB8B97">
        <w:rPr>
          <w:rFonts w:ascii="Arial" w:hAnsi="Arial" w:cs="Arial"/>
          <w:b/>
          <w:bCs/>
          <w:sz w:val="22"/>
          <w:szCs w:val="22"/>
        </w:rPr>
        <w:t xml:space="preserve"> education and communication activities to enable compliance with regulatory requirements, including in relation to manufacturing, importation and advertising of therapeutic goods. </w:t>
      </w:r>
    </w:p>
    <w:p w14:paraId="4863EE98" w14:textId="3CB8902B" w:rsidR="00C2186A" w:rsidRDefault="54AAAB29" w:rsidP="001515DB">
      <w:r w:rsidRPr="00F201A1">
        <w:rPr>
          <w:rFonts w:cs="Arial"/>
        </w:rPr>
        <w:t>In response to emerging trends in advertising non-compliance</w:t>
      </w:r>
      <w:r w:rsidR="00EE2128" w:rsidRPr="00F201A1">
        <w:rPr>
          <w:rStyle w:val="FootnoteReference"/>
          <w:rFonts w:cs="Arial"/>
        </w:rPr>
        <w:footnoteReference w:id="14"/>
      </w:r>
      <w:r w:rsidRPr="00F201A1">
        <w:rPr>
          <w:rFonts w:cs="Arial"/>
        </w:rPr>
        <w:t>, we published 12 safety alerts or warnings, including in relation to counterfeit semaglutide products and various products containing undeclared substances such as sildenafil. Consumer awareness materials we published included:</w:t>
      </w:r>
    </w:p>
    <w:p w14:paraId="69648D2B" w14:textId="5C378C1E" w:rsidR="00C2186A" w:rsidRPr="007E7468" w:rsidRDefault="00F64FE4" w:rsidP="00ED1A1F">
      <w:pPr>
        <w:pStyle w:val="ListParagraph"/>
        <w:numPr>
          <w:ilvl w:val="0"/>
          <w:numId w:val="4"/>
        </w:numPr>
        <w:spacing w:before="0" w:after="0" w:line="252" w:lineRule="auto"/>
        <w:rPr>
          <w:rFonts w:eastAsia="Arial Nova"/>
          <w:szCs w:val="22"/>
        </w:rPr>
      </w:pPr>
      <w:r>
        <w:t>w</w:t>
      </w:r>
      <w:r w:rsidR="00C2186A">
        <w:t>arnings</w:t>
      </w:r>
      <w:r w:rsidR="3FE813D2">
        <w:t xml:space="preserve"> about Ozempic scams</w:t>
      </w:r>
    </w:p>
    <w:p w14:paraId="0F3742DF" w14:textId="177DEE76" w:rsidR="00893893" w:rsidRPr="00F201A1" w:rsidRDefault="00F64FE4" w:rsidP="00ED1A1F">
      <w:pPr>
        <w:pStyle w:val="ListParagraph"/>
        <w:numPr>
          <w:ilvl w:val="0"/>
          <w:numId w:val="4"/>
        </w:numPr>
        <w:spacing w:before="0" w:after="0" w:line="252" w:lineRule="auto"/>
      </w:pPr>
      <w:r>
        <w:t>A social media campaign to encourage people to</w:t>
      </w:r>
      <w:r w:rsidR="3FE813D2">
        <w:t xml:space="preserve"> read the </w:t>
      </w:r>
      <w:r w:rsidR="00893893">
        <w:t>labels of therapeutic goods every time they use them, even if they have used them before</w:t>
      </w:r>
    </w:p>
    <w:p w14:paraId="5A857E99" w14:textId="1A8BEF4F" w:rsidR="004A459C" w:rsidRPr="00F201A1" w:rsidRDefault="005A67EA" w:rsidP="00ED1A1F">
      <w:pPr>
        <w:pStyle w:val="ListParagraph"/>
        <w:numPr>
          <w:ilvl w:val="0"/>
          <w:numId w:val="4"/>
        </w:numPr>
        <w:spacing w:before="0" w:after="0" w:line="252" w:lineRule="auto"/>
      </w:pPr>
      <w:r>
        <w:t>“</w:t>
      </w:r>
      <w:r w:rsidR="004A459C">
        <w:t>h</w:t>
      </w:r>
      <w:r w:rsidR="3FE813D2">
        <w:t>ave you spotted a dodgy ad? Report it to TGA</w:t>
      </w:r>
      <w:r>
        <w:t>”</w:t>
      </w:r>
    </w:p>
    <w:p w14:paraId="1BE77919" w14:textId="259D63FA" w:rsidR="004D389F" w:rsidRDefault="004A459C" w:rsidP="00ED1A1F">
      <w:pPr>
        <w:pStyle w:val="ListParagraph"/>
        <w:numPr>
          <w:ilvl w:val="0"/>
          <w:numId w:val="4"/>
        </w:numPr>
        <w:spacing w:before="0" w:after="0" w:line="252" w:lineRule="auto"/>
      </w:pPr>
      <w:r>
        <w:t>b</w:t>
      </w:r>
      <w:r w:rsidR="3FE813D2">
        <w:t>eware of buying medicines and medical devices online</w:t>
      </w:r>
      <w:r>
        <w:t>.</w:t>
      </w:r>
    </w:p>
    <w:p w14:paraId="75DB41F4" w14:textId="44FF7F62" w:rsidR="004D389F" w:rsidRPr="00F201A1" w:rsidRDefault="004D389F" w:rsidP="001515DB">
      <w:pPr>
        <w:rPr>
          <w:rFonts w:cs="Arial"/>
        </w:rPr>
      </w:pPr>
      <w:r w:rsidRPr="00F201A1">
        <w:rPr>
          <w:rFonts w:cs="Arial"/>
        </w:rPr>
        <w:t>We have continued to provide information to consumers regarding counterfeit therapeutic goods through our publication of safety alerts on our website. In 2022-23 the alerts included:</w:t>
      </w:r>
    </w:p>
    <w:p w14:paraId="24A61134" w14:textId="6A1BAEF1" w:rsidR="00AD0B1C" w:rsidRDefault="3FE813D2" w:rsidP="00ED1A1F">
      <w:pPr>
        <w:pStyle w:val="ListParagraph"/>
        <w:numPr>
          <w:ilvl w:val="0"/>
          <w:numId w:val="4"/>
        </w:numPr>
        <w:spacing w:before="0" w:after="0" w:line="252" w:lineRule="auto"/>
      </w:pPr>
      <w:r>
        <w:t>counterfeit semaglutide vials</w:t>
      </w:r>
    </w:p>
    <w:p w14:paraId="76288982" w14:textId="6247BE4B" w:rsidR="00AD0B1C" w:rsidRPr="00F201A1" w:rsidRDefault="3FE813D2" w:rsidP="00ED1A1F">
      <w:pPr>
        <w:pStyle w:val="ListParagraph"/>
        <w:numPr>
          <w:ilvl w:val="0"/>
          <w:numId w:val="4"/>
        </w:numPr>
        <w:spacing w:before="0" w:after="0" w:line="252" w:lineRule="auto"/>
      </w:pPr>
      <w:r>
        <w:t>counterfeit nicotine vaping products</w:t>
      </w:r>
    </w:p>
    <w:p w14:paraId="678EF3EF" w14:textId="17C7CFF5" w:rsidR="00AD0B1C" w:rsidRPr="00F201A1" w:rsidRDefault="3FE813D2" w:rsidP="00ED1A1F">
      <w:pPr>
        <w:pStyle w:val="ListParagraph"/>
        <w:numPr>
          <w:ilvl w:val="0"/>
          <w:numId w:val="4"/>
        </w:numPr>
        <w:spacing w:before="0" w:after="0" w:line="252" w:lineRule="auto"/>
      </w:pPr>
      <w:r>
        <w:t xml:space="preserve">erectile dysfunction treatment claiming to contain herbal ingredients but also containing the undisclosed ingredient sildenafil </w:t>
      </w:r>
    </w:p>
    <w:p w14:paraId="479A3AFE" w14:textId="1F87E5BD" w:rsidR="00BB03F5" w:rsidRDefault="009E4E04" w:rsidP="00ED1A1F">
      <w:pPr>
        <w:pStyle w:val="ListParagraph"/>
        <w:numPr>
          <w:ilvl w:val="0"/>
          <w:numId w:val="4"/>
        </w:numPr>
        <w:spacing w:before="0" w:after="0" w:line="252" w:lineRule="auto"/>
      </w:pPr>
      <w:r>
        <w:t>A</w:t>
      </w:r>
      <w:r w:rsidR="3FE813D2">
        <w:t xml:space="preserve"> warning for consumers, advertisers, importers, and suppliers regarding counterfeit </w:t>
      </w:r>
      <w:r>
        <w:t>nicotine vaping products</w:t>
      </w:r>
      <w:r w:rsidR="3FE813D2">
        <w:t>.</w:t>
      </w:r>
    </w:p>
    <w:p w14:paraId="7DDB91B2" w14:textId="65032104" w:rsidR="00D83F99" w:rsidRPr="00F201A1" w:rsidRDefault="00D4552B" w:rsidP="00AD7977">
      <w:pPr>
        <w:rPr>
          <w:rFonts w:cs="Arial"/>
        </w:rPr>
      </w:pPr>
      <w:r w:rsidRPr="00F201A1">
        <w:rPr>
          <w:rFonts w:cs="Arial"/>
        </w:rPr>
        <w:t>In Ja</w:t>
      </w:r>
      <w:r w:rsidR="002466B1" w:rsidRPr="00F201A1">
        <w:rPr>
          <w:rFonts w:cs="Arial"/>
        </w:rPr>
        <w:t>nuary 2023, w</w:t>
      </w:r>
      <w:r w:rsidR="00C022E6" w:rsidRPr="00F201A1">
        <w:rPr>
          <w:rFonts w:cs="Arial"/>
        </w:rPr>
        <w:t>e published two e-learning modules</w:t>
      </w:r>
      <w:r w:rsidR="00E82C35" w:rsidRPr="00F201A1">
        <w:rPr>
          <w:rFonts w:cs="Arial"/>
        </w:rPr>
        <w:t xml:space="preserve"> </w:t>
      </w:r>
      <w:r w:rsidR="00444633" w:rsidRPr="00F201A1">
        <w:rPr>
          <w:rFonts w:cs="Arial"/>
        </w:rPr>
        <w:t xml:space="preserve">to supplement the </w:t>
      </w:r>
      <w:r w:rsidR="00BE515D" w:rsidRPr="00F201A1">
        <w:rPr>
          <w:rFonts w:cs="Arial"/>
        </w:rPr>
        <w:t>June 2022</w:t>
      </w:r>
      <w:r w:rsidR="00BE515D">
        <w:rPr>
          <w:rFonts w:cs="Arial"/>
        </w:rPr>
        <w:t xml:space="preserve"> </w:t>
      </w:r>
      <w:r w:rsidR="00444633" w:rsidRPr="00F201A1">
        <w:rPr>
          <w:rFonts w:cs="Arial"/>
        </w:rPr>
        <w:t>Evidence Guidelines for liste</w:t>
      </w:r>
      <w:r w:rsidR="0042036E" w:rsidRPr="00F201A1">
        <w:rPr>
          <w:rFonts w:cs="Arial"/>
        </w:rPr>
        <w:t>d medicines</w:t>
      </w:r>
      <w:r w:rsidR="00BE515D">
        <w:rPr>
          <w:rFonts w:cs="Arial"/>
        </w:rPr>
        <w:t xml:space="preserve">, </w:t>
      </w:r>
      <w:r w:rsidR="00F13E30" w:rsidRPr="00F201A1">
        <w:rPr>
          <w:rFonts w:cs="Arial"/>
        </w:rPr>
        <w:t xml:space="preserve">with </w:t>
      </w:r>
      <w:r w:rsidR="004928DC" w:rsidRPr="00F201A1">
        <w:rPr>
          <w:rFonts w:cs="Arial"/>
        </w:rPr>
        <w:t>a</w:t>
      </w:r>
      <w:r w:rsidR="008703FF">
        <w:rPr>
          <w:rFonts w:cs="Arial"/>
        </w:rPr>
        <w:t xml:space="preserve"> </w:t>
      </w:r>
      <w:r w:rsidR="0042036E" w:rsidRPr="00F201A1">
        <w:rPr>
          <w:rFonts w:cs="Arial"/>
        </w:rPr>
        <w:t xml:space="preserve">recorded </w:t>
      </w:r>
      <w:r w:rsidR="004928DC" w:rsidRPr="00F201A1">
        <w:rPr>
          <w:rFonts w:cs="Arial"/>
        </w:rPr>
        <w:t>webinar</w:t>
      </w:r>
      <w:r w:rsidR="00E82C35" w:rsidRPr="00F201A1">
        <w:rPr>
          <w:rFonts w:cs="Arial"/>
        </w:rPr>
        <w:t xml:space="preserve"> </w:t>
      </w:r>
      <w:r w:rsidR="0042036E" w:rsidRPr="00F201A1">
        <w:rPr>
          <w:rFonts w:cs="Arial"/>
        </w:rPr>
        <w:t xml:space="preserve">in </w:t>
      </w:r>
      <w:r w:rsidR="009B13B8" w:rsidRPr="00F201A1">
        <w:rPr>
          <w:rFonts w:cs="Arial"/>
        </w:rPr>
        <w:t>May 2023</w:t>
      </w:r>
      <w:r w:rsidR="008703FF">
        <w:rPr>
          <w:rFonts w:cs="Arial"/>
        </w:rPr>
        <w:t>,</w:t>
      </w:r>
      <w:r w:rsidR="00E82C35" w:rsidRPr="00F201A1">
        <w:rPr>
          <w:rFonts w:cs="Arial"/>
        </w:rPr>
        <w:t xml:space="preserve"> </w:t>
      </w:r>
      <w:r w:rsidR="00B26CCB" w:rsidRPr="00F201A1">
        <w:rPr>
          <w:rFonts w:cs="Arial"/>
        </w:rPr>
        <w:t>a</w:t>
      </w:r>
      <w:r w:rsidR="00A931D3" w:rsidRPr="00F201A1">
        <w:rPr>
          <w:rFonts w:cs="Arial"/>
        </w:rPr>
        <w:t>s additional spons</w:t>
      </w:r>
      <w:r w:rsidR="00561EBC" w:rsidRPr="00F201A1">
        <w:rPr>
          <w:rFonts w:cs="Arial"/>
        </w:rPr>
        <w:t>or educational resource tools</w:t>
      </w:r>
      <w:r w:rsidR="00980790" w:rsidRPr="00F201A1">
        <w:rPr>
          <w:rFonts w:cs="Arial"/>
        </w:rPr>
        <w:t>.</w:t>
      </w:r>
      <w:r w:rsidR="00E82C35" w:rsidRPr="00F201A1">
        <w:rPr>
          <w:rFonts w:cs="Arial"/>
        </w:rPr>
        <w:t xml:space="preserve"> </w:t>
      </w:r>
      <w:r w:rsidR="00D83F99" w:rsidRPr="00F201A1">
        <w:rPr>
          <w:rFonts w:cs="Arial"/>
        </w:rPr>
        <w:t>These resources assist sponsors to understand how to use the Evidence Guidelines and provide additional information regarding common questions and issues encountered</w:t>
      </w:r>
      <w:r w:rsidR="0060339A">
        <w:rPr>
          <w:rFonts w:cs="Arial"/>
        </w:rPr>
        <w:t>.</w:t>
      </w:r>
    </w:p>
    <w:p w14:paraId="305B2256" w14:textId="30772FBE" w:rsidR="008413BC" w:rsidRDefault="00933AED" w:rsidP="001515DB">
      <w:r>
        <w:t>On 21 March 2023 we</w:t>
      </w:r>
      <w:r w:rsidR="0870DFAD">
        <w:t xml:space="preserve"> held </w:t>
      </w:r>
      <w:r w:rsidR="00626BED">
        <w:t xml:space="preserve">a </w:t>
      </w:r>
      <w:r w:rsidR="0870DFAD">
        <w:t xml:space="preserve">GMP Forum </w:t>
      </w:r>
      <w:r w:rsidR="00626BED">
        <w:t xml:space="preserve">in Sydney </w:t>
      </w:r>
      <w:r w:rsidR="0870DFAD">
        <w:t xml:space="preserve">that bought together sponsors, manufacturers, and other industry stakeholders to share information on the regulation of </w:t>
      </w:r>
      <w:r w:rsidR="00C655B3">
        <w:t xml:space="preserve">the </w:t>
      </w:r>
      <w:r w:rsidR="0870DFAD">
        <w:t xml:space="preserve">manufacturing of medicines and biologicals. The </w:t>
      </w:r>
      <w:r w:rsidR="18BC7794">
        <w:t>f</w:t>
      </w:r>
      <w:r w:rsidR="0870DFAD">
        <w:t>orum was attended by approximately 600 delegates and TGA staff. It provided provide industry stakeholders with a unique opportunity to connect with and learn from regulators and subject matter experts from across the TGA</w:t>
      </w:r>
      <w:r w:rsidR="0058550B">
        <w:t xml:space="preserve"> about their regulatory requirements</w:t>
      </w:r>
      <w:r w:rsidR="00DD0EDE">
        <w:t xml:space="preserve"> relevant to Good </w:t>
      </w:r>
      <w:r w:rsidR="72C55FDA">
        <w:t>M</w:t>
      </w:r>
      <w:r w:rsidR="00DD0EDE">
        <w:t xml:space="preserve">anufacturing </w:t>
      </w:r>
      <w:r w:rsidR="619B34D8">
        <w:t>P</w:t>
      </w:r>
      <w:r w:rsidR="00DD0EDE">
        <w:t>ractices</w:t>
      </w:r>
      <w:r w:rsidR="0870DFAD">
        <w:t>.</w:t>
      </w:r>
    </w:p>
    <w:p w14:paraId="5CABB15D" w14:textId="7F78FBEA" w:rsidR="5CE58B69" w:rsidRDefault="5CE58B69" w:rsidP="6195C661">
      <w:r>
        <w:t xml:space="preserve">In September 2023, we held an information webinar prior to launching the Medical Devices Vigilance Program. A </w:t>
      </w:r>
      <w:r w:rsidR="5AED0489">
        <w:t>sponsor</w:t>
      </w:r>
      <w:r>
        <w:t>-self-a</w:t>
      </w:r>
      <w:r w:rsidR="1E4B5AF4">
        <w:t xml:space="preserve">ssessment tool </w:t>
      </w:r>
      <w:r w:rsidR="2BAE3BB9">
        <w:t xml:space="preserve">was developed as part of this program and aims to educate industry stakeholders of their regulatory requirements. </w:t>
      </w:r>
      <w:r w:rsidR="47732CC9">
        <w:t>The program’s d</w:t>
      </w:r>
      <w:r w:rsidR="2BAE3BB9">
        <w:t xml:space="preserve">esktop </w:t>
      </w:r>
      <w:r w:rsidR="00063F89">
        <w:t>audits,</w:t>
      </w:r>
      <w:r w:rsidR="2BAE3BB9">
        <w:t xml:space="preserve"> and </w:t>
      </w:r>
      <w:r w:rsidR="14829DAE">
        <w:t>onsite inspection will</w:t>
      </w:r>
      <w:r w:rsidR="22F07222">
        <w:t xml:space="preserve"> complete sponsor education and promote compliance.</w:t>
      </w:r>
    </w:p>
    <w:p w14:paraId="0B2077F8" w14:textId="094E3D90" w:rsidR="00E84F3A" w:rsidRDefault="3E06B102" w:rsidP="00C730F3">
      <w:pPr>
        <w:pStyle w:val="Heading2"/>
      </w:pPr>
      <w:bookmarkStart w:id="67" w:name="_Toc153550426"/>
      <w:r>
        <w:lastRenderedPageBreak/>
        <w:t>Monitoring and enforc</w:t>
      </w:r>
      <w:r w:rsidR="028C2E93">
        <w:t>ing co</w:t>
      </w:r>
      <w:r>
        <w:t>mpliance</w:t>
      </w:r>
      <w:bookmarkEnd w:id="67"/>
    </w:p>
    <w:p w14:paraId="2DE71E47" w14:textId="2F73DD54" w:rsidR="00853F1A" w:rsidRPr="009B7EF2" w:rsidRDefault="2D3DF790" w:rsidP="00A60FA6">
      <w:pPr>
        <w:pStyle w:val="NoSpacing"/>
        <w:spacing w:before="120" w:after="120"/>
        <w:rPr>
          <w:rFonts w:ascii="Arial" w:hAnsi="Arial" w:cs="Arial"/>
          <w:b/>
          <w:bCs/>
          <w:sz w:val="22"/>
          <w:szCs w:val="22"/>
        </w:rPr>
      </w:pPr>
      <w:r w:rsidRPr="40EB8B97">
        <w:rPr>
          <w:rFonts w:ascii="Arial" w:hAnsi="Arial" w:cs="Arial"/>
          <w:b/>
          <w:bCs/>
          <w:sz w:val="22"/>
          <w:szCs w:val="22"/>
        </w:rPr>
        <w:t>We monitor and enforce</w:t>
      </w:r>
      <w:r w:rsidR="2167D34B" w:rsidRPr="40EB8B97">
        <w:rPr>
          <w:rFonts w:ascii="Arial" w:hAnsi="Arial" w:cs="Arial"/>
          <w:b/>
          <w:bCs/>
          <w:sz w:val="22"/>
          <w:szCs w:val="22"/>
        </w:rPr>
        <w:t xml:space="preserve"> compliance on the import, export, manufacture, supply and advertising of therapeutic goods</w:t>
      </w:r>
      <w:r w:rsidR="006D0E3C" w:rsidRPr="40EB8B97">
        <w:rPr>
          <w:rStyle w:val="FootnoteReference"/>
          <w:rFonts w:ascii="Arial" w:hAnsi="Arial" w:cs="Arial"/>
          <w:b/>
          <w:bCs/>
          <w:sz w:val="22"/>
          <w:szCs w:val="22"/>
        </w:rPr>
        <w:footnoteReference w:id="15"/>
      </w:r>
      <w:r w:rsidR="2167D34B" w:rsidRPr="40EB8B97">
        <w:rPr>
          <w:rFonts w:ascii="Arial" w:hAnsi="Arial" w:cs="Arial"/>
          <w:b/>
          <w:bCs/>
          <w:sz w:val="22"/>
          <w:szCs w:val="22"/>
        </w:rPr>
        <w:t>.</w:t>
      </w:r>
    </w:p>
    <w:p w14:paraId="0528E65E" w14:textId="34BB4E66" w:rsidR="00B3041B" w:rsidRPr="00F201A1" w:rsidRDefault="7551A1C7" w:rsidP="001515DB">
      <w:pPr>
        <w:rPr>
          <w:rFonts w:cs="Arial"/>
        </w:rPr>
      </w:pPr>
      <w:r w:rsidRPr="00F201A1">
        <w:rPr>
          <w:rFonts w:cs="Arial"/>
        </w:rPr>
        <w:t xml:space="preserve">Over 2022-23, </w:t>
      </w:r>
      <w:r w:rsidR="150BB623" w:rsidRPr="00F201A1">
        <w:rPr>
          <w:rFonts w:cs="Arial"/>
        </w:rPr>
        <w:t>non-compliance</w:t>
      </w:r>
      <w:r w:rsidR="03043FAD" w:rsidRPr="00F201A1">
        <w:rPr>
          <w:rFonts w:cs="Arial"/>
        </w:rPr>
        <w:t xml:space="preserve"> was </w:t>
      </w:r>
      <w:r w:rsidR="7E928135" w:rsidRPr="00F201A1">
        <w:rPr>
          <w:rFonts w:cs="Arial"/>
        </w:rPr>
        <w:t>identified</w:t>
      </w:r>
      <w:r w:rsidR="03043FAD" w:rsidRPr="00F201A1">
        <w:rPr>
          <w:rFonts w:cs="Arial"/>
        </w:rPr>
        <w:t xml:space="preserve"> through</w:t>
      </w:r>
      <w:r w:rsidR="102CD7B5" w:rsidRPr="00F201A1">
        <w:rPr>
          <w:rFonts w:cs="Arial"/>
        </w:rPr>
        <w:t xml:space="preserve"> </w:t>
      </w:r>
      <w:r w:rsidRPr="00F201A1">
        <w:rPr>
          <w:rFonts w:cs="Arial"/>
        </w:rPr>
        <w:t>a</w:t>
      </w:r>
      <w:r w:rsidR="13522B9A" w:rsidRPr="00F201A1">
        <w:rPr>
          <w:rFonts w:cs="Arial"/>
        </w:rPr>
        <w:t>nalysis and review of complaints</w:t>
      </w:r>
      <w:r w:rsidR="243FA955" w:rsidRPr="00F201A1">
        <w:rPr>
          <w:rFonts w:cs="Arial"/>
        </w:rPr>
        <w:t xml:space="preserve"> and </w:t>
      </w:r>
      <w:r w:rsidRPr="00F201A1">
        <w:rPr>
          <w:rFonts w:cs="Arial"/>
        </w:rPr>
        <w:t>r</w:t>
      </w:r>
      <w:r w:rsidR="13522B9A" w:rsidRPr="00F201A1">
        <w:rPr>
          <w:rFonts w:cs="Arial"/>
        </w:rPr>
        <w:t>eports received from the community</w:t>
      </w:r>
      <w:r w:rsidR="253B230C" w:rsidRPr="00F201A1">
        <w:rPr>
          <w:rFonts w:cs="Arial"/>
        </w:rPr>
        <w:t xml:space="preserve">, </w:t>
      </w:r>
      <w:r w:rsidR="17B952CF" w:rsidRPr="00F201A1">
        <w:rPr>
          <w:rFonts w:cs="Arial"/>
        </w:rPr>
        <w:t>m</w:t>
      </w:r>
      <w:r w:rsidR="13522B9A" w:rsidRPr="00F201A1">
        <w:rPr>
          <w:rFonts w:cs="Arial"/>
        </w:rPr>
        <w:t xml:space="preserve">onitoring </w:t>
      </w:r>
      <w:r w:rsidR="17B952CF" w:rsidRPr="00F201A1">
        <w:rPr>
          <w:rFonts w:cs="Arial"/>
        </w:rPr>
        <w:t xml:space="preserve">of </w:t>
      </w:r>
      <w:r w:rsidR="13522B9A" w:rsidRPr="00F201A1">
        <w:rPr>
          <w:rFonts w:cs="Arial"/>
        </w:rPr>
        <w:t>digital platforms</w:t>
      </w:r>
      <w:r w:rsidR="7E928135" w:rsidRPr="00F201A1">
        <w:rPr>
          <w:rFonts w:cs="Arial"/>
        </w:rPr>
        <w:t xml:space="preserve"> and </w:t>
      </w:r>
      <w:r w:rsidR="17B952CF" w:rsidRPr="00F201A1">
        <w:rPr>
          <w:rFonts w:cs="Arial"/>
        </w:rPr>
        <w:t>a</w:t>
      </w:r>
      <w:r w:rsidR="625524AC" w:rsidRPr="00F201A1">
        <w:rPr>
          <w:rFonts w:cs="Arial"/>
        </w:rPr>
        <w:t>dvice from other regulators and agencies</w:t>
      </w:r>
      <w:r w:rsidR="7E3BECB5" w:rsidRPr="00F201A1">
        <w:rPr>
          <w:rFonts w:cs="Arial"/>
        </w:rPr>
        <w:t>, including</w:t>
      </w:r>
      <w:r w:rsidR="4A691488" w:rsidRPr="00F201A1">
        <w:rPr>
          <w:rFonts w:cs="Arial"/>
        </w:rPr>
        <w:t xml:space="preserve"> border and law enforcement agencies</w:t>
      </w:r>
      <w:r w:rsidR="004008A9">
        <w:rPr>
          <w:rFonts w:cs="Arial"/>
        </w:rPr>
        <w:t xml:space="preserve"> and</w:t>
      </w:r>
      <w:r w:rsidR="7E3BECB5" w:rsidRPr="00F201A1">
        <w:rPr>
          <w:rFonts w:cs="Arial"/>
        </w:rPr>
        <w:t xml:space="preserve"> </w:t>
      </w:r>
      <w:r w:rsidR="4A691488" w:rsidRPr="00F201A1">
        <w:rPr>
          <w:rFonts w:cs="Arial"/>
        </w:rPr>
        <w:t>state and territory regulators</w:t>
      </w:r>
      <w:r w:rsidR="1EB33958" w:rsidRPr="00F201A1">
        <w:rPr>
          <w:rFonts w:cs="Arial"/>
        </w:rPr>
        <w:t xml:space="preserve">. </w:t>
      </w:r>
      <w:r w:rsidR="3AD0E99A" w:rsidRPr="00F201A1">
        <w:rPr>
          <w:rFonts w:cs="Arial"/>
          <w:shd w:val="clear" w:color="auto" w:fill="FFFFFF"/>
        </w:rPr>
        <w:t>The TGA used a risk-based approach to prioritise reports and other signals of non-compliance with the ​​​​​​​</w:t>
      </w:r>
      <w:r w:rsidR="7E3BECB5" w:rsidRPr="00F201A1">
        <w:rPr>
          <w:rFonts w:cs="Arial"/>
          <w:shd w:val="clear" w:color="auto" w:fill="FFFFFF"/>
        </w:rPr>
        <w:t>Act</w:t>
      </w:r>
      <w:r w:rsidR="00BF5DFD" w:rsidRPr="00F201A1">
        <w:rPr>
          <w:rStyle w:val="FootnoteReference"/>
          <w:rFonts w:cs="Arial"/>
          <w:shd w:val="clear" w:color="auto" w:fill="FFFFFF"/>
        </w:rPr>
        <w:footnoteReference w:id="16"/>
      </w:r>
      <w:r w:rsidR="4195E76E" w:rsidRPr="00F201A1">
        <w:rPr>
          <w:rFonts w:cs="Arial"/>
          <w:shd w:val="clear" w:color="auto" w:fill="FFFFFF"/>
        </w:rPr>
        <w:t>.</w:t>
      </w:r>
      <w:r w:rsidR="272C7082" w:rsidRPr="00F201A1">
        <w:rPr>
          <w:rFonts w:cs="Arial"/>
          <w:shd w:val="clear" w:color="auto" w:fill="FFFFFF"/>
        </w:rPr>
        <w:t xml:space="preserve"> We worked closely with domestic and international agencies </w:t>
      </w:r>
      <w:r w:rsidR="4B47653C" w:rsidRPr="00F201A1">
        <w:rPr>
          <w:rFonts w:cs="Arial"/>
          <w:shd w:val="clear" w:color="auto" w:fill="FFFFFF"/>
        </w:rPr>
        <w:t>to</w:t>
      </w:r>
      <w:r w:rsidR="68B55A19" w:rsidRPr="00F201A1">
        <w:rPr>
          <w:rFonts w:cs="Arial"/>
          <w:shd w:val="clear" w:color="auto" w:fill="FFFFFF"/>
        </w:rPr>
        <w:t xml:space="preserve"> </w:t>
      </w:r>
      <w:r w:rsidR="4B47653C" w:rsidRPr="00F201A1">
        <w:rPr>
          <w:rFonts w:cs="Arial"/>
        </w:rPr>
        <w:t>d</w:t>
      </w:r>
      <w:r w:rsidR="6202B3E1" w:rsidRPr="00F201A1">
        <w:rPr>
          <w:rFonts w:cs="Arial"/>
        </w:rPr>
        <w:t>etect</w:t>
      </w:r>
      <w:r w:rsidR="7F49DA34" w:rsidRPr="00F201A1">
        <w:rPr>
          <w:rFonts w:cs="Arial"/>
        </w:rPr>
        <w:t xml:space="preserve">, </w:t>
      </w:r>
      <w:r w:rsidR="4A82B1C1" w:rsidRPr="00F201A1">
        <w:rPr>
          <w:rFonts w:cs="Arial"/>
        </w:rPr>
        <w:t>intercept,</w:t>
      </w:r>
      <w:r w:rsidR="340C5836" w:rsidRPr="00F201A1">
        <w:rPr>
          <w:rFonts w:cs="Arial"/>
        </w:rPr>
        <w:t xml:space="preserve"> </w:t>
      </w:r>
      <w:r w:rsidR="4B47653C" w:rsidRPr="00F201A1">
        <w:rPr>
          <w:rFonts w:cs="Arial"/>
        </w:rPr>
        <w:t>and</w:t>
      </w:r>
      <w:r w:rsidR="7F49DA34" w:rsidRPr="00F201A1">
        <w:rPr>
          <w:rFonts w:cs="Arial"/>
        </w:rPr>
        <w:t xml:space="preserve"> </w:t>
      </w:r>
      <w:r w:rsidR="4B47653C" w:rsidRPr="00F201A1">
        <w:rPr>
          <w:rFonts w:cs="Arial"/>
        </w:rPr>
        <w:t>i</w:t>
      </w:r>
      <w:r w:rsidR="340C5836" w:rsidRPr="00F201A1">
        <w:rPr>
          <w:rFonts w:cs="Arial"/>
        </w:rPr>
        <w:t>nvestigate</w:t>
      </w:r>
      <w:r w:rsidR="7F49DA34" w:rsidRPr="00F201A1">
        <w:rPr>
          <w:rFonts w:cs="Arial"/>
        </w:rPr>
        <w:t xml:space="preserve"> </w:t>
      </w:r>
      <w:r w:rsidR="39B8B7E6" w:rsidRPr="00F201A1">
        <w:rPr>
          <w:rFonts w:cs="Arial"/>
          <w:shd w:val="clear" w:color="auto" w:fill="FFFFFF"/>
        </w:rPr>
        <w:t>illicit therapeutic goods imported into Australia.</w:t>
      </w:r>
    </w:p>
    <w:p w14:paraId="4D44B59C" w14:textId="09FB0A35" w:rsidR="008947FC" w:rsidRPr="00F201A1" w:rsidRDefault="7F49DA34" w:rsidP="001515DB">
      <w:pPr>
        <w:rPr>
          <w:rFonts w:cs="Arial"/>
          <w:shd w:val="clear" w:color="auto" w:fill="FFFFFF"/>
        </w:rPr>
      </w:pPr>
      <w:r w:rsidRPr="00F201A1">
        <w:rPr>
          <w:rFonts w:cs="Arial"/>
          <w:shd w:val="clear" w:color="auto" w:fill="FFFFFF"/>
        </w:rPr>
        <w:t>O</w:t>
      </w:r>
      <w:r w:rsidR="39B8B7E6" w:rsidRPr="00F201A1">
        <w:rPr>
          <w:rFonts w:cs="Arial"/>
          <w:shd w:val="clear" w:color="auto" w:fill="FFFFFF"/>
        </w:rPr>
        <w:t>ur partnership with Australian Border Force</w:t>
      </w:r>
      <w:r w:rsidRPr="00F201A1">
        <w:rPr>
          <w:rFonts w:cs="Arial"/>
          <w:shd w:val="clear" w:color="auto" w:fill="FFFFFF"/>
        </w:rPr>
        <w:t xml:space="preserve"> has bee</w:t>
      </w:r>
      <w:r w:rsidR="119A9F6E" w:rsidRPr="00F201A1">
        <w:rPr>
          <w:rFonts w:cs="Arial"/>
          <w:shd w:val="clear" w:color="auto" w:fill="FFFFFF"/>
        </w:rPr>
        <w:t>n</w:t>
      </w:r>
      <w:r w:rsidRPr="00F201A1">
        <w:rPr>
          <w:rFonts w:cs="Arial"/>
          <w:shd w:val="clear" w:color="auto" w:fill="FFFFFF"/>
        </w:rPr>
        <w:t xml:space="preserve"> crucial in </w:t>
      </w:r>
      <w:r w:rsidR="3684EB15" w:rsidRPr="00F201A1">
        <w:rPr>
          <w:rFonts w:cs="Arial"/>
          <w:shd w:val="clear" w:color="auto" w:fill="FFFFFF"/>
        </w:rPr>
        <w:t xml:space="preserve">building </w:t>
      </w:r>
      <w:r w:rsidR="40FF8EFA" w:rsidRPr="00F201A1">
        <w:rPr>
          <w:rFonts w:cs="Arial"/>
          <w:shd w:val="clear" w:color="auto" w:fill="FFFFFF"/>
        </w:rPr>
        <w:t>an effective compliance program</w:t>
      </w:r>
      <w:r w:rsidR="01DEA100" w:rsidRPr="00F201A1">
        <w:rPr>
          <w:rFonts w:cs="Arial"/>
          <w:shd w:val="clear" w:color="auto" w:fill="FFFFFF"/>
        </w:rPr>
        <w:t>.</w:t>
      </w:r>
      <w:r w:rsidR="40FF8EFA" w:rsidRPr="00F201A1">
        <w:rPr>
          <w:rFonts w:cs="Arial"/>
          <w:shd w:val="clear" w:color="auto" w:fill="FFFFFF"/>
        </w:rPr>
        <w:t xml:space="preserve"> </w:t>
      </w:r>
      <w:r w:rsidR="45135814" w:rsidRPr="00F201A1">
        <w:rPr>
          <w:rFonts w:cs="Arial"/>
          <w:shd w:val="clear" w:color="auto" w:fill="FFFFFF"/>
        </w:rPr>
        <w:t xml:space="preserve">Together we manage </w:t>
      </w:r>
      <w:r w:rsidR="01DEA100" w:rsidRPr="00F201A1">
        <w:rPr>
          <w:rFonts w:cs="Arial"/>
          <w:shd w:val="clear" w:color="auto" w:fill="FFFFFF"/>
        </w:rPr>
        <w:t xml:space="preserve">the </w:t>
      </w:r>
      <w:r w:rsidR="45135814" w:rsidRPr="00F201A1">
        <w:rPr>
          <w:rFonts w:cs="Arial"/>
          <w:shd w:val="clear" w:color="auto" w:fill="FFFFFF"/>
        </w:rPr>
        <w:t>import and supply of therapeutic goods, undertaking assessments</w:t>
      </w:r>
      <w:r w:rsidR="007B6FBA">
        <w:rPr>
          <w:rFonts w:cs="Arial"/>
          <w:shd w:val="clear" w:color="auto" w:fill="FFFFFF"/>
        </w:rPr>
        <w:t>,</w:t>
      </w:r>
      <w:r w:rsidR="45135814" w:rsidRPr="00F201A1">
        <w:rPr>
          <w:rFonts w:cs="Arial"/>
          <w:shd w:val="clear" w:color="auto" w:fill="FFFFFF"/>
        </w:rPr>
        <w:t xml:space="preserve"> including a review of prescriptions that consumers hold</w:t>
      </w:r>
      <w:r w:rsidR="005A7EA2">
        <w:rPr>
          <w:rFonts w:cs="Arial"/>
          <w:shd w:val="clear" w:color="auto" w:fill="FFFFFF"/>
        </w:rPr>
        <w:t>,</w:t>
      </w:r>
      <w:r w:rsidR="45135814" w:rsidRPr="00F201A1">
        <w:rPr>
          <w:rFonts w:cs="Arial"/>
          <w:shd w:val="clear" w:color="auto" w:fill="FFFFFF"/>
        </w:rPr>
        <w:t xml:space="preserve"> to determine if goods are imported via a lawful pathway</w:t>
      </w:r>
      <w:r w:rsidR="00383E85" w:rsidRPr="00F201A1">
        <w:rPr>
          <w:rStyle w:val="FootnoteReference"/>
          <w:rFonts w:cs="Arial"/>
          <w:shd w:val="clear" w:color="auto" w:fill="FFFFFF"/>
        </w:rPr>
        <w:footnoteReference w:id="17"/>
      </w:r>
      <w:r w:rsidR="45135814" w:rsidRPr="00F201A1">
        <w:rPr>
          <w:rFonts w:cs="Arial"/>
          <w:shd w:val="clear" w:color="auto" w:fill="FFFFFF"/>
        </w:rPr>
        <w:t xml:space="preserve">. Where there is suspected non-compliance, our staff use proportionate regulatory action to achieve compliance. </w:t>
      </w:r>
    </w:p>
    <w:p w14:paraId="1CCBB897" w14:textId="17B81B69" w:rsidR="00794268" w:rsidRDefault="7242E95E" w:rsidP="001515DB">
      <w:pPr>
        <w:pStyle w:val="Caption"/>
        <w:keepNext/>
      </w:pPr>
      <w:r w:rsidRPr="00E60A49">
        <w:t xml:space="preserve">Figure </w:t>
      </w:r>
      <w:r w:rsidR="00E60A49" w:rsidRPr="00E60A49">
        <w:t>3.1</w:t>
      </w:r>
      <w:r w:rsidRPr="00E60A49">
        <w:t xml:space="preserve"> </w:t>
      </w:r>
      <w:r w:rsidR="008946E2" w:rsidRPr="00E60A49">
        <w:t>Regulatory c</w:t>
      </w:r>
      <w:r w:rsidR="0013278A" w:rsidRPr="00E60A49">
        <w:t xml:space="preserve">ompliance </w:t>
      </w:r>
      <w:r w:rsidR="0013278A" w:rsidRPr="008946E2">
        <w:t>and enforcement cases by offence type</w:t>
      </w:r>
    </w:p>
    <w:p w14:paraId="587FDA5A" w14:textId="6863ACF1" w:rsidR="00294283" w:rsidRPr="00294283" w:rsidRDefault="00182E1F" w:rsidP="00780A0A">
      <w:pPr>
        <w:jc w:val="center"/>
      </w:pPr>
      <w:r>
        <w:rPr>
          <w:noProof/>
        </w:rPr>
        <w:drawing>
          <wp:inline distT="0" distB="0" distL="0" distR="0" wp14:anchorId="52EE9110" wp14:editId="4D275B26">
            <wp:extent cx="4477109" cy="2457134"/>
            <wp:effectExtent l="0" t="0" r="0" b="0"/>
            <wp:docPr id="11" name="Picture 11" descr="This graph show that the number of regulatory compliance cases relating to import increased in the 2022-23 financial year by almost 4000 cases over the previous financial year. Other offences remained fairly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 show that the number of regulatory compliance cases relating to import increased in the 2022-23 financial year by almost 4000 cases over the previous financial year. Other offences remained fairly static."/>
                    <pic:cNvPicPr/>
                  </pic:nvPicPr>
                  <pic:blipFill>
                    <a:blip r:embed="rId44">
                      <a:extLst>
                        <a:ext uri="{28A0092B-C50C-407E-A947-70E740481C1C}">
                          <a14:useLocalDpi xmlns:a14="http://schemas.microsoft.com/office/drawing/2010/main" val="0"/>
                        </a:ext>
                      </a:extLst>
                    </a:blip>
                    <a:stretch>
                      <a:fillRect/>
                    </a:stretch>
                  </pic:blipFill>
                  <pic:spPr>
                    <a:xfrm>
                      <a:off x="0" y="0"/>
                      <a:ext cx="4495400" cy="2467172"/>
                    </a:xfrm>
                    <a:prstGeom prst="rect">
                      <a:avLst/>
                    </a:prstGeom>
                  </pic:spPr>
                </pic:pic>
              </a:graphicData>
            </a:graphic>
          </wp:inline>
        </w:drawing>
      </w:r>
    </w:p>
    <w:p w14:paraId="5FB8BA8E" w14:textId="36900A3A" w:rsidR="00294283" w:rsidRDefault="00294283" w:rsidP="00294283">
      <w:pPr>
        <w:pStyle w:val="Caption"/>
        <w:keepNext/>
      </w:pPr>
      <w:r w:rsidRPr="00E60A49">
        <w:lastRenderedPageBreak/>
        <w:t xml:space="preserve">Figure </w:t>
      </w:r>
      <w:r w:rsidR="00E60A49" w:rsidRPr="00E60A49">
        <w:t>3.2</w:t>
      </w:r>
      <w:r w:rsidRPr="00E60A49">
        <w:t xml:space="preserve"> </w:t>
      </w:r>
      <w:r w:rsidR="00182E1F" w:rsidRPr="00E60A49">
        <w:t>Goods</w:t>
      </w:r>
      <w:r w:rsidR="00182E1F">
        <w:t xml:space="preserve"> referred to the ABF for destruction</w:t>
      </w:r>
    </w:p>
    <w:p w14:paraId="6C3F9EB7" w14:textId="09EACA2E" w:rsidR="00294283" w:rsidRPr="00294283" w:rsidRDefault="00182E1F" w:rsidP="00780A0A">
      <w:pPr>
        <w:jc w:val="center"/>
      </w:pPr>
      <w:r>
        <w:rPr>
          <w:noProof/>
        </w:rPr>
        <w:drawing>
          <wp:inline distT="0" distB="0" distL="0" distR="0" wp14:anchorId="0F5AFE29" wp14:editId="32F41777">
            <wp:extent cx="4546121" cy="2372554"/>
            <wp:effectExtent l="0" t="0" r="0" b="0"/>
            <wp:docPr id="12" name="Picture 12" descr="This graph shows that the number of goods referred to the ABF for destruction increased from around 4.2 million in 2021-22 to over 4.8 million in the 2022-23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at the number of goods referred to the ABF for destruction increased from around 4.2 million in 2021-22 to over 4.8 million in the 2022-23 financial year."/>
                    <pic:cNvPicPr/>
                  </pic:nvPicPr>
                  <pic:blipFill>
                    <a:blip r:embed="rId45">
                      <a:extLst>
                        <a:ext uri="{28A0092B-C50C-407E-A947-70E740481C1C}">
                          <a14:useLocalDpi xmlns:a14="http://schemas.microsoft.com/office/drawing/2010/main" val="0"/>
                        </a:ext>
                      </a:extLst>
                    </a:blip>
                    <a:stretch>
                      <a:fillRect/>
                    </a:stretch>
                  </pic:blipFill>
                  <pic:spPr>
                    <a:xfrm>
                      <a:off x="0" y="0"/>
                      <a:ext cx="4568331" cy="2384145"/>
                    </a:xfrm>
                    <a:prstGeom prst="rect">
                      <a:avLst/>
                    </a:prstGeom>
                  </pic:spPr>
                </pic:pic>
              </a:graphicData>
            </a:graphic>
          </wp:inline>
        </w:drawing>
      </w:r>
    </w:p>
    <w:p w14:paraId="32D059ED" w14:textId="1EAB824E" w:rsidR="00F63E41" w:rsidRPr="008C35AA" w:rsidRDefault="00853F1A" w:rsidP="001515DB">
      <w:pPr>
        <w:rPr>
          <w:shd w:val="clear" w:color="auto" w:fill="FFFFFF"/>
        </w:rPr>
      </w:pPr>
      <w:r w:rsidRPr="00B04497">
        <w:rPr>
          <w:shd w:val="clear" w:color="auto" w:fill="FFFFFF"/>
        </w:rPr>
        <w:t xml:space="preserve">We enhanced monitoring </w:t>
      </w:r>
      <w:r w:rsidRPr="008C35AA">
        <w:rPr>
          <w:shd w:val="clear" w:color="auto" w:fill="FFFFFF"/>
        </w:rPr>
        <w:t>of therapeutic goods advertised on digital platforms and expanded our relationships with these platforms. This led to more than 15,000 unlawful advertisements being removed</w:t>
      </w:r>
      <w:r w:rsidR="007B6FBA">
        <w:rPr>
          <w:shd w:val="clear" w:color="auto" w:fill="FFFFFF"/>
        </w:rPr>
        <w:t xml:space="preserve">- </w:t>
      </w:r>
      <w:r w:rsidRPr="008C35AA">
        <w:rPr>
          <w:shd w:val="clear" w:color="auto" w:fill="FFFFFF"/>
        </w:rPr>
        <w:t xml:space="preserve">an exponential increase </w:t>
      </w:r>
      <w:r w:rsidR="00E1541F">
        <w:rPr>
          <w:shd w:val="clear" w:color="auto" w:fill="FFFFFF"/>
        </w:rPr>
        <w:t>on</w:t>
      </w:r>
      <w:r w:rsidRPr="008C35AA">
        <w:rPr>
          <w:shd w:val="clear" w:color="auto" w:fill="FFFFFF"/>
        </w:rPr>
        <w:t xml:space="preserve"> the 900 removed in the previous year. Some platforms introduced greater controls on how posts are released for publication, which has prevented unlawful advertisements being published.</w:t>
      </w:r>
    </w:p>
    <w:p w14:paraId="16C5A129" w14:textId="169AFEE7" w:rsidR="00D71A32" w:rsidRDefault="001B4845" w:rsidP="001515DB">
      <w:r>
        <w:t>We also a</w:t>
      </w:r>
      <w:r w:rsidR="00853F1A">
        <w:t>ddress</w:t>
      </w:r>
      <w:r>
        <w:t>ed</w:t>
      </w:r>
      <w:r w:rsidR="00853F1A">
        <w:t xml:space="preserve"> serious, </w:t>
      </w:r>
      <w:r w:rsidR="00266C13">
        <w:t>deliberate,</w:t>
      </w:r>
      <w:r w:rsidR="00853F1A">
        <w:t xml:space="preserve"> and repeated non-compliance through appropriate and proportionate enforcement responses</w:t>
      </w:r>
      <w:r w:rsidR="00E1541F">
        <w:t>,</w:t>
      </w:r>
      <w:r w:rsidR="008037A7">
        <w:t xml:space="preserve"> and collaborated</w:t>
      </w:r>
      <w:r w:rsidR="00853F1A">
        <w:t xml:space="preserve"> with other local and international health and law enforcement agencies as appropriate.</w:t>
      </w:r>
    </w:p>
    <w:p w14:paraId="07D950CD" w14:textId="597D4696" w:rsidR="00D138BF" w:rsidRDefault="61CA2785" w:rsidP="00C730F3">
      <w:pPr>
        <w:pStyle w:val="Heading2"/>
      </w:pPr>
      <w:bookmarkStart w:id="68" w:name="_Toc153550427"/>
      <w:r>
        <w:t>D</w:t>
      </w:r>
      <w:r w:rsidR="7C81FCC5">
        <w:t xml:space="preserve">ata analytics and </w:t>
      </w:r>
      <w:r>
        <w:t>operational intelligence</w:t>
      </w:r>
      <w:bookmarkEnd w:id="68"/>
    </w:p>
    <w:p w14:paraId="5E720F69" w14:textId="5691AFC5" w:rsidR="00853F1A" w:rsidRPr="00C12A60" w:rsidRDefault="007831E7" w:rsidP="00A60FA6">
      <w:pPr>
        <w:pStyle w:val="NoSpacing"/>
        <w:spacing w:before="120" w:after="120"/>
        <w:rPr>
          <w:rFonts w:ascii="Arial" w:hAnsi="Arial" w:cs="Arial"/>
          <w:b/>
          <w:bCs/>
          <w:sz w:val="22"/>
          <w:szCs w:val="22"/>
        </w:rPr>
      </w:pPr>
      <w:r w:rsidRPr="00C12A60">
        <w:rPr>
          <w:rFonts w:ascii="Arial" w:hAnsi="Arial" w:cs="Arial"/>
          <w:b/>
          <w:bCs/>
          <w:sz w:val="22"/>
          <w:szCs w:val="22"/>
        </w:rPr>
        <w:t>We e</w:t>
      </w:r>
      <w:r w:rsidR="00853F1A" w:rsidRPr="00C12A60">
        <w:rPr>
          <w:rFonts w:ascii="Arial" w:hAnsi="Arial" w:cs="Arial"/>
          <w:b/>
          <w:bCs/>
          <w:sz w:val="22"/>
          <w:szCs w:val="22"/>
        </w:rPr>
        <w:t>nhanc</w:t>
      </w:r>
      <w:r w:rsidR="005A4DAA" w:rsidRPr="00C12A60">
        <w:rPr>
          <w:rFonts w:ascii="Arial" w:hAnsi="Arial" w:cs="Arial"/>
          <w:b/>
          <w:bCs/>
          <w:sz w:val="22"/>
          <w:szCs w:val="22"/>
        </w:rPr>
        <w:t>ed</w:t>
      </w:r>
      <w:r w:rsidR="00853F1A" w:rsidRPr="00C12A60">
        <w:rPr>
          <w:rFonts w:ascii="Arial" w:hAnsi="Arial" w:cs="Arial"/>
          <w:b/>
          <w:bCs/>
          <w:sz w:val="22"/>
          <w:szCs w:val="22"/>
        </w:rPr>
        <w:t xml:space="preserve"> our data analytics capability and further embedd</w:t>
      </w:r>
      <w:r w:rsidR="0099195F">
        <w:rPr>
          <w:rFonts w:ascii="Arial" w:hAnsi="Arial" w:cs="Arial"/>
          <w:b/>
          <w:bCs/>
          <w:sz w:val="22"/>
          <w:szCs w:val="22"/>
        </w:rPr>
        <w:t>ed</w:t>
      </w:r>
      <w:r w:rsidR="00853F1A" w:rsidRPr="00C12A60">
        <w:rPr>
          <w:rFonts w:ascii="Arial" w:hAnsi="Arial" w:cs="Arial"/>
          <w:b/>
          <w:bCs/>
          <w:sz w:val="22"/>
          <w:szCs w:val="22"/>
        </w:rPr>
        <w:t xml:space="preserve"> operational intelligence to enhance the effectiveness and targeting of our education, </w:t>
      </w:r>
      <w:r w:rsidR="00F65B2D" w:rsidRPr="00C12A60">
        <w:rPr>
          <w:rFonts w:ascii="Arial" w:hAnsi="Arial" w:cs="Arial"/>
          <w:b/>
          <w:bCs/>
          <w:sz w:val="22"/>
          <w:szCs w:val="22"/>
        </w:rPr>
        <w:t>compliance,</w:t>
      </w:r>
      <w:r w:rsidR="00853F1A" w:rsidRPr="00C12A60">
        <w:rPr>
          <w:rFonts w:ascii="Arial" w:hAnsi="Arial" w:cs="Arial"/>
          <w:b/>
          <w:bCs/>
          <w:sz w:val="22"/>
          <w:szCs w:val="22"/>
        </w:rPr>
        <w:t xml:space="preserve"> and enforcement activities, for example in Listed Medicines compliance reviews.</w:t>
      </w:r>
    </w:p>
    <w:p w14:paraId="6ADEDE8D" w14:textId="77777777" w:rsidR="004D11D6" w:rsidRPr="00A5014A" w:rsidRDefault="004D11D6" w:rsidP="004D11D6">
      <w:pPr>
        <w:pStyle w:val="Heading3"/>
      </w:pPr>
      <w:bookmarkStart w:id="69" w:name="_Toc153550428"/>
      <w:r>
        <w:t>Enhancing data analytics</w:t>
      </w:r>
      <w:bookmarkEnd w:id="69"/>
      <w:r>
        <w:t xml:space="preserve"> </w:t>
      </w:r>
    </w:p>
    <w:p w14:paraId="0806A522" w14:textId="34A38E49" w:rsidR="004D11D6" w:rsidRDefault="0099530D" w:rsidP="001515DB">
      <w:r>
        <w:t>We continue to develop new ways to visualise and report on the data held within compliance systems to inform executive and operational decision making. Systems enhancements are further supported by governance and record keeping activities to improve the accuracy and reliability of reporting capabilities over time.</w:t>
      </w:r>
    </w:p>
    <w:p w14:paraId="016FFD9D" w14:textId="6FBB7B1D" w:rsidR="004D11D6" w:rsidRPr="00A5014A" w:rsidRDefault="004D11D6" w:rsidP="004D11D6">
      <w:pPr>
        <w:pStyle w:val="Heading3"/>
      </w:pPr>
      <w:bookmarkStart w:id="70" w:name="_Toc153550429"/>
      <w:r>
        <w:t>Embedding operational intelligence</w:t>
      </w:r>
      <w:bookmarkEnd w:id="70"/>
    </w:p>
    <w:p w14:paraId="2DBA569D" w14:textId="7335F1E4" w:rsidR="004D11D6" w:rsidRDefault="004D11D6" w:rsidP="001515DB">
      <w:pPr>
        <w:rPr>
          <w:rFonts w:cs="Arial"/>
          <w:szCs w:val="22"/>
        </w:rPr>
      </w:pPr>
      <w:r>
        <w:rPr>
          <w:rFonts w:cs="Arial"/>
          <w:szCs w:val="22"/>
        </w:rPr>
        <w:t xml:space="preserve">The use of operational intelligence and data analytics </w:t>
      </w:r>
      <w:r w:rsidR="007726CF">
        <w:rPr>
          <w:rFonts w:cs="Arial"/>
          <w:szCs w:val="22"/>
        </w:rPr>
        <w:t xml:space="preserve">has </w:t>
      </w:r>
      <w:r>
        <w:rPr>
          <w:rFonts w:cs="Arial"/>
          <w:szCs w:val="22"/>
        </w:rPr>
        <w:t xml:space="preserve">become further embedded in processes that guide our compliance and enforcement actions including the review of the advertising, import and supply compliance priorities. </w:t>
      </w:r>
    </w:p>
    <w:p w14:paraId="43055E2E" w14:textId="7DDF3EEA" w:rsidR="00853F1A" w:rsidRDefault="00853F1A" w:rsidP="001515DB">
      <w:pPr>
        <w:rPr>
          <w:rFonts w:cs="Arial"/>
          <w:szCs w:val="22"/>
        </w:rPr>
      </w:pPr>
      <w:r w:rsidRPr="00C12A60">
        <w:rPr>
          <w:rFonts w:cs="Arial"/>
          <w:szCs w:val="22"/>
        </w:rPr>
        <w:t xml:space="preserve">Through analysis of data and intelligence to inform our compliance priorities </w:t>
      </w:r>
      <w:r w:rsidR="00A97A96">
        <w:rPr>
          <w:rFonts w:cs="Arial"/>
          <w:szCs w:val="22"/>
        </w:rPr>
        <w:t>and</w:t>
      </w:r>
      <w:r w:rsidRPr="00C12A60">
        <w:rPr>
          <w:rFonts w:cs="Arial"/>
          <w:szCs w:val="22"/>
        </w:rPr>
        <w:t xml:space="preserve"> focus our efforts where the greatest risk was identified</w:t>
      </w:r>
      <w:r w:rsidR="00A97A96">
        <w:rPr>
          <w:rFonts w:cs="Arial"/>
          <w:szCs w:val="22"/>
        </w:rPr>
        <w:t>, a</w:t>
      </w:r>
      <w:r w:rsidRPr="00C12A60">
        <w:rPr>
          <w:rFonts w:cs="Arial"/>
          <w:szCs w:val="22"/>
        </w:rPr>
        <w:t>ll issues identified as part of this process are considered</w:t>
      </w:r>
      <w:r w:rsidR="00A9051B">
        <w:rPr>
          <w:rFonts w:cs="Arial"/>
          <w:szCs w:val="22"/>
        </w:rPr>
        <w:t>. F</w:t>
      </w:r>
      <w:r w:rsidRPr="00C12A60">
        <w:rPr>
          <w:rFonts w:cs="Arial"/>
          <w:szCs w:val="22"/>
        </w:rPr>
        <w:t>actors that determine our compliance priorities include:</w:t>
      </w:r>
    </w:p>
    <w:p w14:paraId="6CE1B1FA" w14:textId="1190DA65" w:rsidR="00A9051B" w:rsidRPr="00A9051B" w:rsidRDefault="00A9051B" w:rsidP="00ED1A1F">
      <w:pPr>
        <w:pStyle w:val="ListParagraph"/>
        <w:numPr>
          <w:ilvl w:val="0"/>
          <w:numId w:val="4"/>
        </w:numPr>
        <w:rPr>
          <w:szCs w:val="22"/>
        </w:rPr>
      </w:pPr>
      <w:r>
        <w:t>trends of non-compliant behaviours within and across industry sectors</w:t>
      </w:r>
    </w:p>
    <w:p w14:paraId="1E88E2DC" w14:textId="0B5822B8" w:rsidR="00A9051B" w:rsidRPr="00C12A60" w:rsidRDefault="57454FEA" w:rsidP="00ED1A1F">
      <w:pPr>
        <w:pStyle w:val="ListParagraph"/>
        <w:numPr>
          <w:ilvl w:val="0"/>
          <w:numId w:val="4"/>
        </w:numPr>
      </w:pPr>
      <w:r>
        <w:t>t</w:t>
      </w:r>
      <w:r w:rsidR="52FB1E77">
        <w:t>he risk of non-compliance in relation to an upcoming regulatory change to ensure awareness of the regulatory requirements and early intervention, as a preventative measure to growth in non-compliance</w:t>
      </w:r>
    </w:p>
    <w:p w14:paraId="54D7A0A2" w14:textId="2DB54EDE" w:rsidR="00A9051B" w:rsidRPr="00A9051B" w:rsidRDefault="57454FEA" w:rsidP="00ED1A1F">
      <w:pPr>
        <w:pStyle w:val="ListParagraph"/>
        <w:numPr>
          <w:ilvl w:val="0"/>
          <w:numId w:val="4"/>
        </w:numPr>
        <w:rPr>
          <w:szCs w:val="22"/>
        </w:rPr>
      </w:pPr>
      <w:r>
        <w:lastRenderedPageBreak/>
        <w:t>v</w:t>
      </w:r>
      <w:r w:rsidR="52FB1E77">
        <w:t xml:space="preserve">ulnerability of target consumers and likelihood of harm (likelihood of delayed alternative treatment, </w:t>
      </w:r>
      <w:r w:rsidR="7EC92E1A">
        <w:t>impact,</w:t>
      </w:r>
      <w:r w:rsidR="52FB1E77">
        <w:t xml:space="preserve"> and imminence of physical harm)</w:t>
      </w:r>
    </w:p>
    <w:p w14:paraId="46768165" w14:textId="62F925FA" w:rsidR="00A9051B" w:rsidRPr="00A9051B" w:rsidRDefault="57454FEA" w:rsidP="00ED1A1F">
      <w:pPr>
        <w:pStyle w:val="ListParagraph"/>
        <w:numPr>
          <w:ilvl w:val="0"/>
          <w:numId w:val="4"/>
        </w:numPr>
        <w:rPr>
          <w:szCs w:val="22"/>
        </w:rPr>
      </w:pPr>
      <w:r>
        <w:t>t</w:t>
      </w:r>
      <w:r w:rsidR="52FB1E77">
        <w:t xml:space="preserve">hreats to the integrity of health products regulation </w:t>
      </w:r>
      <w:r w:rsidR="00FF4CDB">
        <w:t>such as</w:t>
      </w:r>
      <w:r w:rsidR="52FB1E77">
        <w:t xml:space="preserve"> links to medium and long-term public health risks, widespread and serious non-compliance in relation to a class of goods, emerging markets</w:t>
      </w:r>
    </w:p>
    <w:p w14:paraId="6AEC30B9" w14:textId="595F5EA0" w:rsidR="00853F1A" w:rsidRPr="00F715C5" w:rsidRDefault="57454FEA" w:rsidP="00ED1A1F">
      <w:pPr>
        <w:pStyle w:val="ListParagraph"/>
        <w:numPr>
          <w:ilvl w:val="0"/>
          <w:numId w:val="4"/>
        </w:numPr>
        <w:rPr>
          <w:szCs w:val="22"/>
        </w:rPr>
      </w:pPr>
      <w:r>
        <w:t>s</w:t>
      </w:r>
      <w:r w:rsidR="52FB1E77">
        <w:t>erious and persistent non-compliant behaviours subject to a large quantity of reports both within and across industry sectors.</w:t>
      </w:r>
    </w:p>
    <w:p w14:paraId="5087A714" w14:textId="768C514E" w:rsidR="00A93688" w:rsidRPr="00A93688" w:rsidRDefault="00A93688" w:rsidP="00A93688">
      <w:pPr>
        <w:rPr>
          <w:szCs w:val="22"/>
        </w:rPr>
      </w:pPr>
      <w:r w:rsidRPr="00A93688">
        <w:rPr>
          <w:szCs w:val="22"/>
        </w:rPr>
        <w:t xml:space="preserve">Teams responsible for the evaluation of prescription medicine applications now have access to standard workflow management reports in Power BI that enable data driven operational decision making. These reports are refreshed daily and enable teams to identify current priorities, </w:t>
      </w:r>
      <w:r w:rsidR="00AB0ECB">
        <w:rPr>
          <w:szCs w:val="22"/>
        </w:rPr>
        <w:t xml:space="preserve">optimise </w:t>
      </w:r>
      <w:r w:rsidRPr="00A93688">
        <w:rPr>
          <w:szCs w:val="22"/>
        </w:rPr>
        <w:t xml:space="preserve">resource allocation and </w:t>
      </w:r>
      <w:r w:rsidR="00AB0ECB">
        <w:rPr>
          <w:szCs w:val="22"/>
        </w:rPr>
        <w:t xml:space="preserve">recognise </w:t>
      </w:r>
      <w:r w:rsidRPr="00A93688">
        <w:rPr>
          <w:szCs w:val="22"/>
        </w:rPr>
        <w:t>emerging trends. The new standardised workflow management reports ensure a single source of truth and provide consistency in reporting.</w:t>
      </w:r>
    </w:p>
    <w:p w14:paraId="3ABDFD30" w14:textId="723B516D" w:rsidR="00A93688" w:rsidRDefault="00A93688" w:rsidP="00A93688">
      <w:pPr>
        <w:rPr>
          <w:szCs w:val="22"/>
        </w:rPr>
      </w:pPr>
      <w:r w:rsidRPr="00A93688">
        <w:rPr>
          <w:szCs w:val="22"/>
        </w:rPr>
        <w:t>Medical Officers responsible for clinical evaluation teams are now able to make more informed decisions around resource allocation and have additional capacity to support their team</w:t>
      </w:r>
      <w:r w:rsidR="00CD1392">
        <w:rPr>
          <w:szCs w:val="22"/>
        </w:rPr>
        <w:t>s</w:t>
      </w:r>
      <w:r w:rsidRPr="00A93688">
        <w:rPr>
          <w:szCs w:val="22"/>
        </w:rPr>
        <w:t>. There has also been a reduction in applications exceeding their statutory timeframes as the teams responsible for completing the thousands of minor variations each year have more reliable data to prioritise tasks.</w:t>
      </w:r>
    </w:p>
    <w:p w14:paraId="3147505D" w14:textId="77777777" w:rsidR="00A93688" w:rsidRDefault="00A93688">
      <w:pPr>
        <w:spacing w:before="0" w:after="160" w:line="259" w:lineRule="auto"/>
        <w:rPr>
          <w:szCs w:val="22"/>
        </w:rPr>
      </w:pPr>
      <w:r>
        <w:rPr>
          <w:szCs w:val="22"/>
        </w:rPr>
        <w:br w:type="page"/>
      </w:r>
    </w:p>
    <w:p w14:paraId="7107CFC3" w14:textId="41334CE3" w:rsidR="0061759B" w:rsidRDefault="217269E4" w:rsidP="00C730F3">
      <w:pPr>
        <w:pStyle w:val="Heading3"/>
      </w:pPr>
      <w:bookmarkStart w:id="71" w:name="_Toc153550430"/>
      <w:r>
        <w:lastRenderedPageBreak/>
        <w:t xml:space="preserve">Compliance </w:t>
      </w:r>
      <w:r w:rsidR="7FEA07C2">
        <w:t>of listed medicines</w:t>
      </w:r>
      <w:bookmarkEnd w:id="71"/>
    </w:p>
    <w:p w14:paraId="3067A913" w14:textId="0C54238C" w:rsidR="20DE8280" w:rsidRPr="003B3E69" w:rsidRDefault="660E2DCE" w:rsidP="71241107">
      <w:pPr>
        <w:rPr>
          <w:rFonts w:cs="Arial"/>
        </w:rPr>
      </w:pPr>
      <w:r w:rsidRPr="71241107">
        <w:rPr>
          <w:rFonts w:cs="Arial"/>
        </w:rPr>
        <w:t xml:space="preserve">For listed </w:t>
      </w:r>
      <w:r w:rsidR="7DA96FA2" w:rsidRPr="71241107">
        <w:rPr>
          <w:rFonts w:cs="Arial"/>
        </w:rPr>
        <w:t>medicines</w:t>
      </w:r>
      <w:r w:rsidR="20DE8280" w:rsidRPr="71241107">
        <w:rPr>
          <w:rFonts w:cs="Arial"/>
        </w:rPr>
        <w:t>, targeted compliance activities were conducted based</w:t>
      </w:r>
      <w:r w:rsidR="005F5ABB" w:rsidRPr="71241107">
        <w:rPr>
          <w:rFonts w:cs="Arial"/>
        </w:rPr>
        <w:t xml:space="preserve"> </w:t>
      </w:r>
      <w:r w:rsidR="20DE8280" w:rsidRPr="71241107">
        <w:rPr>
          <w:rFonts w:cs="Arial"/>
        </w:rPr>
        <w:t>on signals intelligence received through various avenues such as complaints</w:t>
      </w:r>
      <w:r w:rsidR="005F5ABB" w:rsidRPr="71241107">
        <w:rPr>
          <w:rFonts w:cs="Arial"/>
        </w:rPr>
        <w:t xml:space="preserve">, </w:t>
      </w:r>
      <w:r w:rsidR="20DE8280" w:rsidRPr="71241107">
        <w:rPr>
          <w:rFonts w:cs="Arial"/>
        </w:rPr>
        <w:t xml:space="preserve">proactive scanning of the </w:t>
      </w:r>
      <w:r w:rsidR="39FE57DC" w:rsidRPr="71241107">
        <w:rPr>
          <w:rFonts w:cs="Arial"/>
        </w:rPr>
        <w:t>ARTG</w:t>
      </w:r>
      <w:r w:rsidR="004D65E5">
        <w:rPr>
          <w:rFonts w:cs="Arial"/>
        </w:rPr>
        <w:t>,</w:t>
      </w:r>
      <w:r w:rsidR="005F5ABB" w:rsidRPr="71241107">
        <w:rPr>
          <w:rFonts w:cs="Arial"/>
        </w:rPr>
        <w:t xml:space="preserve"> and </w:t>
      </w:r>
      <w:r w:rsidR="20DE8280" w:rsidRPr="71241107">
        <w:rPr>
          <w:rFonts w:cs="Arial"/>
        </w:rPr>
        <w:t>referrals from other agencies</w:t>
      </w:r>
      <w:r w:rsidR="005F5ABB" w:rsidRPr="71241107">
        <w:rPr>
          <w:rFonts w:cs="Arial"/>
        </w:rPr>
        <w:t xml:space="preserve">. We also identify </w:t>
      </w:r>
      <w:r w:rsidR="00AA78A9" w:rsidRPr="71241107">
        <w:rPr>
          <w:rFonts w:cs="Arial"/>
        </w:rPr>
        <w:t xml:space="preserve">potential non-compliance via </w:t>
      </w:r>
      <w:r w:rsidR="20DE8280" w:rsidRPr="71241107">
        <w:rPr>
          <w:rFonts w:cs="Arial"/>
        </w:rPr>
        <w:t>actions from international counterparts</w:t>
      </w:r>
      <w:r w:rsidR="00AA78A9" w:rsidRPr="71241107">
        <w:rPr>
          <w:rFonts w:cs="Arial"/>
        </w:rPr>
        <w:t xml:space="preserve">, </w:t>
      </w:r>
      <w:r w:rsidR="20DE8280" w:rsidRPr="71241107">
        <w:rPr>
          <w:rFonts w:cs="Arial"/>
        </w:rPr>
        <w:t xml:space="preserve">adverse </w:t>
      </w:r>
      <w:r w:rsidR="00C90FE7" w:rsidRPr="71241107">
        <w:rPr>
          <w:rFonts w:cs="Arial"/>
        </w:rPr>
        <w:t>events,</w:t>
      </w:r>
      <w:r w:rsidR="20DE8280" w:rsidRPr="71241107">
        <w:rPr>
          <w:rFonts w:cs="Arial"/>
        </w:rPr>
        <w:t xml:space="preserve"> and our laboratory testing results.</w:t>
      </w:r>
      <w:r w:rsidR="00C7291F" w:rsidRPr="71241107">
        <w:rPr>
          <w:rFonts w:cs="Arial"/>
        </w:rPr>
        <w:t xml:space="preserve"> </w:t>
      </w:r>
    </w:p>
    <w:tbl>
      <w:tblPr>
        <w:tblStyle w:val="TableGrid"/>
        <w:tblW w:w="0" w:type="auto"/>
        <w:tblBorders>
          <w:top w:val="none" w:sz="0" w:space="0" w:color="auto"/>
          <w:left w:val="single" w:sz="18" w:space="0" w:color="483391"/>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792"/>
      </w:tblGrid>
      <w:tr w:rsidR="6CD30380" w14:paraId="290B1AF2" w14:textId="77777777" w:rsidTr="00182E1F">
        <w:trPr>
          <w:trHeight w:val="300"/>
        </w:trPr>
        <w:tc>
          <w:tcPr>
            <w:tcW w:w="7792" w:type="dxa"/>
            <w:tcMar>
              <w:left w:w="369" w:type="dxa"/>
            </w:tcMar>
          </w:tcPr>
          <w:p w14:paraId="3C309085" w14:textId="7C7D2639" w:rsidR="10D06714" w:rsidRPr="00780A0A" w:rsidRDefault="10D06714" w:rsidP="6CD30380">
            <w:pPr>
              <w:rPr>
                <w:b/>
                <w:bCs/>
                <w:color w:val="483391"/>
                <w:lang w:eastAsia="en-US"/>
              </w:rPr>
            </w:pPr>
            <w:r w:rsidRPr="00780A0A">
              <w:rPr>
                <w:b/>
                <w:bCs/>
                <w:color w:val="483391"/>
                <w:lang w:eastAsia="en-US"/>
              </w:rPr>
              <w:t xml:space="preserve">Case Study – </w:t>
            </w:r>
            <w:r w:rsidR="6CEDBF0E" w:rsidRPr="00780A0A">
              <w:rPr>
                <w:b/>
                <w:bCs/>
                <w:color w:val="483391"/>
                <w:lang w:eastAsia="en-US"/>
              </w:rPr>
              <w:t>Proactive scanning of ARTG</w:t>
            </w:r>
          </w:p>
          <w:p w14:paraId="2E1D57D7" w14:textId="32065324" w:rsidR="27B8023D" w:rsidRDefault="3DB493C5" w:rsidP="6CD30380">
            <w:pPr>
              <w:rPr>
                <w:rFonts w:cs="Arial"/>
              </w:rPr>
            </w:pPr>
            <w:r w:rsidRPr="6CD30380">
              <w:rPr>
                <w:rFonts w:cs="Arial"/>
              </w:rPr>
              <w:t>We conducted weekly ARTG scanning of a total of 1,722</w:t>
            </w:r>
            <w:r w:rsidR="27B8023D" w:rsidRPr="6CD30380">
              <w:rPr>
                <w:rStyle w:val="FootnoteReference"/>
                <w:rFonts w:cs="Arial"/>
              </w:rPr>
              <w:footnoteReference w:id="18"/>
            </w:r>
            <w:r w:rsidRPr="6CD30380">
              <w:rPr>
                <w:rFonts w:cs="Arial"/>
              </w:rPr>
              <w:t xml:space="preserve"> newly listed medicines to detect potential non-compliance prior to the sponsor marketing the medicine. Early engagement with the sponsor soon after their listing allows sponsors to update their product before they suffer commercial losses. We triaged signals of potential non-compliance and assessed them for alleged breaches. </w:t>
            </w:r>
          </w:p>
          <w:p w14:paraId="6B78A1EF" w14:textId="582C460A" w:rsidR="10D06714" w:rsidRDefault="3DB493C5" w:rsidP="6CD30380">
            <w:pPr>
              <w:rPr>
                <w:rFonts w:cs="Arial"/>
              </w:rPr>
            </w:pPr>
            <w:r w:rsidRPr="6CD30380">
              <w:rPr>
                <w:rFonts w:cs="Arial"/>
              </w:rPr>
              <w:t xml:space="preserve">We took actions dependent on the risks posed, </w:t>
            </w:r>
            <w:r w:rsidR="00386F0F">
              <w:rPr>
                <w:rFonts w:cs="Arial"/>
              </w:rPr>
              <w:t>including</w:t>
            </w:r>
            <w:r w:rsidRPr="6CD30380">
              <w:rPr>
                <w:rFonts w:cs="Arial"/>
              </w:rPr>
              <w:t xml:space="preserve"> educational correspondence, warning letters, cancellations, and infringement notices. A total of 345</w:t>
            </w:r>
            <w:r w:rsidR="10D06714" w:rsidRPr="6CD30380">
              <w:rPr>
                <w:rStyle w:val="FootnoteReference"/>
                <w:rFonts w:cs="Arial"/>
              </w:rPr>
              <w:footnoteReference w:id="19"/>
            </w:r>
            <w:r w:rsidRPr="6CD30380">
              <w:rPr>
                <w:rFonts w:cs="Arial"/>
              </w:rPr>
              <w:t xml:space="preserve"> signals were investigated and completed while 118</w:t>
            </w:r>
            <w:r w:rsidR="10D06714" w:rsidRPr="6CD30380">
              <w:rPr>
                <w:rStyle w:val="FootnoteReference"/>
                <w:rFonts w:cs="Arial"/>
              </w:rPr>
              <w:footnoteReference w:id="20"/>
            </w:r>
            <w:r w:rsidRPr="6CD30380">
              <w:rPr>
                <w:rFonts w:cs="Arial"/>
              </w:rPr>
              <w:t xml:space="preserve"> signals transitioned to compliance reviews. Two topics of potential broad non-compliance were detected, and mass educational emails were sent to sponsors that covered 539 listed medicines.</w:t>
            </w:r>
            <w:r w:rsidR="10D06714" w:rsidRPr="6CD30380">
              <w:rPr>
                <w:rStyle w:val="FootnoteReference"/>
                <w:rFonts w:eastAsia="Segoe UI" w:cs="Arial"/>
              </w:rPr>
              <w:footnoteReference w:id="21"/>
            </w:r>
          </w:p>
        </w:tc>
      </w:tr>
    </w:tbl>
    <w:p w14:paraId="52F6D5B0" w14:textId="57680B6C" w:rsidR="6CD30380" w:rsidRDefault="6CD30380" w:rsidP="6CD30380">
      <w:pPr>
        <w:rPr>
          <w:rFonts w:cs="Arial"/>
        </w:rPr>
      </w:pPr>
    </w:p>
    <w:p w14:paraId="02F47C10" w14:textId="01F98E74" w:rsidR="20DE8280" w:rsidRPr="003B3E69" w:rsidRDefault="20DE8280" w:rsidP="00AD7977">
      <w:pPr>
        <w:rPr>
          <w:rFonts w:cs="Arial"/>
          <w:szCs w:val="22"/>
        </w:rPr>
      </w:pPr>
      <w:r w:rsidRPr="003B3E69">
        <w:rPr>
          <w:rFonts w:cs="Arial"/>
          <w:szCs w:val="22"/>
        </w:rPr>
        <w:t>Targeted reviews in 2022-23 included medicines containing</w:t>
      </w:r>
      <w:r w:rsidR="00DF22E5" w:rsidRPr="003B3E69">
        <w:rPr>
          <w:rFonts w:cs="Arial"/>
          <w:szCs w:val="22"/>
        </w:rPr>
        <w:t xml:space="preserve"> </w:t>
      </w:r>
      <w:r w:rsidRPr="003B3E69">
        <w:rPr>
          <w:rFonts w:cs="Arial"/>
          <w:szCs w:val="22"/>
        </w:rPr>
        <w:t>caffeine</w:t>
      </w:r>
      <w:r w:rsidR="00DF22E5" w:rsidRPr="003B3E69">
        <w:rPr>
          <w:rFonts w:cs="Arial"/>
          <w:szCs w:val="22"/>
        </w:rPr>
        <w:t xml:space="preserve">, </w:t>
      </w:r>
      <w:r w:rsidRPr="003B3E69">
        <w:rPr>
          <w:rFonts w:cs="Arial"/>
          <w:szCs w:val="22"/>
        </w:rPr>
        <w:t>fennel</w:t>
      </w:r>
      <w:r w:rsidR="00DF22E5" w:rsidRPr="003B3E69">
        <w:rPr>
          <w:rFonts w:cs="Arial"/>
          <w:szCs w:val="22"/>
        </w:rPr>
        <w:t xml:space="preserve">, </w:t>
      </w:r>
      <w:r w:rsidRPr="00494C14">
        <w:rPr>
          <w:rFonts w:cs="Arial"/>
          <w:i/>
          <w:iCs/>
          <w:szCs w:val="22"/>
        </w:rPr>
        <w:t xml:space="preserve">Andrographis </w:t>
      </w:r>
      <w:r w:rsidR="00DF22E5" w:rsidRPr="00494C14">
        <w:rPr>
          <w:rFonts w:cs="Arial"/>
          <w:i/>
          <w:iCs/>
          <w:szCs w:val="22"/>
        </w:rPr>
        <w:t>paniculate,</w:t>
      </w:r>
      <w:r w:rsidR="00DF22E5" w:rsidRPr="003B3E69">
        <w:rPr>
          <w:rFonts w:cs="Arial"/>
          <w:szCs w:val="22"/>
        </w:rPr>
        <w:t xml:space="preserve"> </w:t>
      </w:r>
      <w:r w:rsidRPr="003B3E69">
        <w:rPr>
          <w:rFonts w:cs="Arial"/>
          <w:szCs w:val="22"/>
        </w:rPr>
        <w:t>4-(4-hydroxy-4-methylpentyl)-3-cyclohexene carboxaldehyde (HICC)</w:t>
      </w:r>
      <w:r w:rsidR="00DF22E5" w:rsidRPr="003B3E69">
        <w:rPr>
          <w:rFonts w:cs="Arial"/>
          <w:szCs w:val="22"/>
        </w:rPr>
        <w:t xml:space="preserve"> and </w:t>
      </w:r>
      <w:r w:rsidRPr="003B3E69">
        <w:rPr>
          <w:rFonts w:cs="Arial"/>
          <w:szCs w:val="22"/>
        </w:rPr>
        <w:t>aerosol sunscreen products.</w:t>
      </w:r>
      <w:r w:rsidR="00B30F29" w:rsidRPr="003B3E69">
        <w:rPr>
          <w:rFonts w:cs="Arial"/>
          <w:szCs w:val="22"/>
        </w:rPr>
        <w:t xml:space="preserve"> </w:t>
      </w:r>
      <w:r w:rsidRPr="003B3E69">
        <w:rPr>
          <w:rFonts w:cs="Arial"/>
          <w:szCs w:val="22"/>
        </w:rPr>
        <w:t>Indications and their presentation, including those suggested by the medicine name, were targeted where they did not reflect the permissible indications in the ARTG entry of the medicine. In addition, sponsor</w:t>
      </w:r>
      <w:r w:rsidR="00AB35EB">
        <w:rPr>
          <w:rFonts w:cs="Arial"/>
          <w:szCs w:val="22"/>
        </w:rPr>
        <w:t>s</w:t>
      </w:r>
      <w:r w:rsidRPr="003B3E69">
        <w:rPr>
          <w:rFonts w:cs="Arial"/>
          <w:szCs w:val="22"/>
        </w:rPr>
        <w:t xml:space="preserve"> with a history of non-compliance w</w:t>
      </w:r>
      <w:r w:rsidR="00AB35EB">
        <w:rPr>
          <w:rFonts w:cs="Arial"/>
          <w:szCs w:val="22"/>
        </w:rPr>
        <w:t>ere</w:t>
      </w:r>
      <w:r w:rsidRPr="003B3E69">
        <w:rPr>
          <w:rFonts w:cs="Arial"/>
          <w:szCs w:val="22"/>
        </w:rPr>
        <w:t xml:space="preserve"> targeted.</w:t>
      </w:r>
    </w:p>
    <w:p w14:paraId="5A280605" w14:textId="48171E4F" w:rsidR="20DE8280" w:rsidRDefault="089972E0" w:rsidP="00AD7977">
      <w:r w:rsidRPr="08FC2E6C">
        <w:rPr>
          <w:rFonts w:cs="Arial"/>
        </w:rPr>
        <w:t>For targeted reviews, w</w:t>
      </w:r>
      <w:r w:rsidR="165577C1" w:rsidRPr="08FC2E6C">
        <w:rPr>
          <w:rFonts w:cs="Arial"/>
        </w:rPr>
        <w:t>e took a total of 905</w:t>
      </w:r>
      <w:r w:rsidR="00A96B5E" w:rsidRPr="08FC2E6C">
        <w:rPr>
          <w:rStyle w:val="FootnoteReference"/>
          <w:rFonts w:cs="Arial"/>
        </w:rPr>
        <w:footnoteReference w:id="22"/>
      </w:r>
      <w:r w:rsidR="165577C1" w:rsidRPr="08FC2E6C">
        <w:rPr>
          <w:rFonts w:cs="Arial"/>
        </w:rPr>
        <w:t xml:space="preserve"> compliance and enforcement actions, ranging from low level education actions such as mass email education</w:t>
      </w:r>
      <w:r w:rsidR="00797E08">
        <w:rPr>
          <w:rFonts w:cs="Arial"/>
        </w:rPr>
        <w:t>,</w:t>
      </w:r>
      <w:r w:rsidR="165577C1" w:rsidRPr="08FC2E6C">
        <w:rPr>
          <w:rFonts w:cs="Arial"/>
        </w:rPr>
        <w:t xml:space="preserve"> to higher level actions such</w:t>
      </w:r>
      <w:r w:rsidR="165577C1" w:rsidRPr="00A61978">
        <w:t xml:space="preserve"> </w:t>
      </w:r>
      <w:r w:rsidR="165577C1" w:rsidRPr="003B3E69">
        <w:rPr>
          <w:rFonts w:cs="Arial"/>
        </w:rPr>
        <w:t>as infringement notices and consumer level recall of stock.</w:t>
      </w:r>
      <w:r w:rsidR="26C62540" w:rsidRPr="003B3E69">
        <w:rPr>
          <w:rFonts w:cs="Arial"/>
        </w:rPr>
        <w:t xml:space="preserve"> </w:t>
      </w:r>
      <w:r w:rsidR="165577C1" w:rsidRPr="003B3E69">
        <w:rPr>
          <w:rFonts w:cs="Arial"/>
        </w:rPr>
        <w:t xml:space="preserve">All </w:t>
      </w:r>
      <w:r w:rsidR="1ECEC2E4" w:rsidRPr="003B3E69">
        <w:rPr>
          <w:rFonts w:cs="Arial"/>
        </w:rPr>
        <w:t xml:space="preserve">listed medicine </w:t>
      </w:r>
      <w:r w:rsidR="165577C1" w:rsidRPr="003B3E69">
        <w:rPr>
          <w:rFonts w:cs="Arial"/>
        </w:rPr>
        <w:t xml:space="preserve">compliance activities facilitated a reach of </w:t>
      </w:r>
      <w:r w:rsidR="40285812" w:rsidRPr="003B3E69">
        <w:rPr>
          <w:rFonts w:cs="Arial"/>
        </w:rPr>
        <w:t xml:space="preserve">at least </w:t>
      </w:r>
      <w:r w:rsidR="165577C1" w:rsidRPr="003B3E69">
        <w:rPr>
          <w:rFonts w:cs="Arial"/>
        </w:rPr>
        <w:t>22%</w:t>
      </w:r>
      <w:r w:rsidR="00BC7C1C" w:rsidRPr="003B3E69">
        <w:rPr>
          <w:rStyle w:val="FootnoteReference"/>
          <w:rFonts w:cs="Arial"/>
        </w:rPr>
        <w:footnoteReference w:id="23"/>
      </w:r>
      <w:r w:rsidR="165577C1" w:rsidRPr="003B3E69">
        <w:rPr>
          <w:rFonts w:cs="Arial"/>
        </w:rPr>
        <w:t xml:space="preserve"> of listed medicine sponsors.</w:t>
      </w:r>
    </w:p>
    <w:p w14:paraId="22B34758" w14:textId="4B9B1008" w:rsidR="00853F1A" w:rsidRPr="00BC6771" w:rsidRDefault="00853F1A">
      <w:r w:rsidRPr="44078614">
        <w:rPr>
          <w:rFonts w:asciiTheme="minorHAnsi" w:hAnsiTheme="minorHAnsi" w:cstheme="minorBidi"/>
          <w:szCs w:val="22"/>
        </w:rPr>
        <w:br w:type="page"/>
      </w:r>
    </w:p>
    <w:p w14:paraId="4F9792D3" w14:textId="2B91B5AF" w:rsidR="007B0A1D" w:rsidRPr="00CB74E2" w:rsidRDefault="1F97C90A" w:rsidP="00C730F3">
      <w:pPr>
        <w:pStyle w:val="Heading1"/>
      </w:pPr>
      <w:bookmarkStart w:id="72" w:name="_Toc153550431"/>
      <w:r>
        <w:lastRenderedPageBreak/>
        <w:t>Strategic objective 4 – Innovate and continuously improve</w:t>
      </w:r>
      <w:bookmarkEnd w:id="72"/>
    </w:p>
    <w:p w14:paraId="10346A45" w14:textId="596264CE" w:rsidR="00B00FBD" w:rsidRPr="001A796B" w:rsidRDefault="00D97347" w:rsidP="001515DB">
      <w:pPr>
        <w:rPr>
          <w:szCs w:val="22"/>
        </w:rPr>
      </w:pPr>
      <w:r w:rsidRPr="001A796B">
        <w:rPr>
          <w:szCs w:val="22"/>
        </w:rPr>
        <w:t xml:space="preserve">The TGA aims to </w:t>
      </w:r>
      <w:r w:rsidR="00463A81" w:rsidRPr="001A796B">
        <w:rPr>
          <w:szCs w:val="22"/>
        </w:rPr>
        <w:t>continuously improve our regulatory activities</w:t>
      </w:r>
      <w:r w:rsidR="00821046" w:rsidRPr="001A796B">
        <w:rPr>
          <w:szCs w:val="22"/>
        </w:rPr>
        <w:t>,</w:t>
      </w:r>
      <w:r w:rsidR="00463A81" w:rsidRPr="001A796B">
        <w:rPr>
          <w:szCs w:val="22"/>
        </w:rPr>
        <w:t xml:space="preserve"> services</w:t>
      </w:r>
      <w:r w:rsidR="00CC1784" w:rsidRPr="001A796B">
        <w:rPr>
          <w:szCs w:val="22"/>
        </w:rPr>
        <w:t xml:space="preserve"> and </w:t>
      </w:r>
      <w:r w:rsidR="008D4BFB" w:rsidRPr="001A796B">
        <w:rPr>
          <w:szCs w:val="22"/>
        </w:rPr>
        <w:t>systems</w:t>
      </w:r>
      <w:r w:rsidR="00B9710F" w:rsidRPr="001A796B">
        <w:rPr>
          <w:szCs w:val="22"/>
        </w:rPr>
        <w:t xml:space="preserve">. </w:t>
      </w:r>
      <w:r w:rsidR="00B71622" w:rsidRPr="001A796B">
        <w:rPr>
          <w:szCs w:val="22"/>
        </w:rPr>
        <w:t>We achieve</w:t>
      </w:r>
      <w:r w:rsidR="00B9710F" w:rsidRPr="001A796B">
        <w:rPr>
          <w:szCs w:val="22"/>
        </w:rPr>
        <w:t xml:space="preserve"> this through the regular review of </w:t>
      </w:r>
      <w:r w:rsidR="00745856" w:rsidRPr="001A796B">
        <w:rPr>
          <w:szCs w:val="22"/>
        </w:rPr>
        <w:t xml:space="preserve">our processes to enhance efficiency and </w:t>
      </w:r>
      <w:r w:rsidR="00283479" w:rsidRPr="001A796B">
        <w:rPr>
          <w:szCs w:val="22"/>
        </w:rPr>
        <w:t>effectiveness, and we work with our stakeholders</w:t>
      </w:r>
      <w:r w:rsidR="00832AEE" w:rsidRPr="001A796B">
        <w:rPr>
          <w:szCs w:val="22"/>
        </w:rPr>
        <w:t xml:space="preserve"> </w:t>
      </w:r>
      <w:r w:rsidR="00283479" w:rsidRPr="001A796B">
        <w:rPr>
          <w:szCs w:val="22"/>
        </w:rPr>
        <w:t>to understand</w:t>
      </w:r>
      <w:r w:rsidR="00832AEE" w:rsidRPr="001A796B">
        <w:rPr>
          <w:szCs w:val="22"/>
        </w:rPr>
        <w:t xml:space="preserve"> the experience of sponsors, health practitioners and consumers when </w:t>
      </w:r>
      <w:r w:rsidR="00B569C4">
        <w:rPr>
          <w:szCs w:val="22"/>
        </w:rPr>
        <w:t>they access</w:t>
      </w:r>
      <w:r w:rsidR="00B569C4" w:rsidRPr="001A796B">
        <w:rPr>
          <w:szCs w:val="22"/>
        </w:rPr>
        <w:t xml:space="preserve"> </w:t>
      </w:r>
      <w:r w:rsidR="00832AEE" w:rsidRPr="001A796B">
        <w:rPr>
          <w:szCs w:val="22"/>
        </w:rPr>
        <w:t xml:space="preserve">our services </w:t>
      </w:r>
      <w:r w:rsidR="00CD66BD" w:rsidRPr="001A796B">
        <w:rPr>
          <w:szCs w:val="22"/>
        </w:rPr>
        <w:t xml:space="preserve">and interact with our staff and </w:t>
      </w:r>
      <w:r w:rsidR="0044109E" w:rsidRPr="001A796B">
        <w:rPr>
          <w:szCs w:val="22"/>
        </w:rPr>
        <w:t xml:space="preserve">business </w:t>
      </w:r>
      <w:r w:rsidR="00CD66BD" w:rsidRPr="001A796B">
        <w:rPr>
          <w:szCs w:val="22"/>
        </w:rPr>
        <w:t xml:space="preserve">systems. </w:t>
      </w:r>
      <w:r w:rsidR="003219C2" w:rsidRPr="001A796B">
        <w:rPr>
          <w:szCs w:val="22"/>
        </w:rPr>
        <w:t>Improving our performance also means ensuring our staf</w:t>
      </w:r>
      <w:r w:rsidR="001A793F" w:rsidRPr="001A796B">
        <w:rPr>
          <w:szCs w:val="22"/>
        </w:rPr>
        <w:t>f</w:t>
      </w:r>
      <w:r w:rsidR="00601E57" w:rsidRPr="001A796B">
        <w:rPr>
          <w:szCs w:val="22"/>
        </w:rPr>
        <w:t xml:space="preserve"> are well trained and </w:t>
      </w:r>
      <w:r w:rsidR="005D6C07" w:rsidRPr="001A796B">
        <w:rPr>
          <w:szCs w:val="22"/>
        </w:rPr>
        <w:t>informed about</w:t>
      </w:r>
      <w:r w:rsidR="003219C2" w:rsidRPr="001A796B">
        <w:rPr>
          <w:szCs w:val="22"/>
        </w:rPr>
        <w:t xml:space="preserve"> </w:t>
      </w:r>
      <w:r w:rsidR="001A793F" w:rsidRPr="001A796B">
        <w:rPr>
          <w:szCs w:val="22"/>
        </w:rPr>
        <w:t>the latest</w:t>
      </w:r>
      <w:r w:rsidR="0085723A" w:rsidRPr="001A796B">
        <w:rPr>
          <w:szCs w:val="22"/>
        </w:rPr>
        <w:t xml:space="preserve"> science and emerging developments </w:t>
      </w:r>
      <w:r w:rsidR="00CE1B3F" w:rsidRPr="001A796B">
        <w:rPr>
          <w:szCs w:val="22"/>
        </w:rPr>
        <w:t xml:space="preserve">relating to </w:t>
      </w:r>
      <w:r w:rsidR="008B7B94" w:rsidRPr="001A796B">
        <w:rPr>
          <w:szCs w:val="22"/>
        </w:rPr>
        <w:t xml:space="preserve">regulators around the world and our regulated entities.  </w:t>
      </w:r>
      <w:r w:rsidR="001A793F" w:rsidRPr="001A796B">
        <w:rPr>
          <w:szCs w:val="22"/>
        </w:rPr>
        <w:t xml:space="preserve"> </w:t>
      </w:r>
    </w:p>
    <w:tbl>
      <w:tblPr>
        <w:tblStyle w:val="TableGrid"/>
        <w:tblW w:w="0" w:type="auto"/>
        <w:tblInd w:w="-23" w:type="dxa"/>
        <w:tblBorders>
          <w:top w:val="none" w:sz="0" w:space="0" w:color="auto"/>
          <w:left w:val="single" w:sz="18" w:space="0" w:color="483391"/>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7797"/>
      </w:tblGrid>
      <w:tr w:rsidR="0D249AC7" w14:paraId="7CC2760D" w14:textId="77777777" w:rsidTr="0069779B">
        <w:trPr>
          <w:trHeight w:val="300"/>
        </w:trPr>
        <w:tc>
          <w:tcPr>
            <w:tcW w:w="7797" w:type="dxa"/>
            <w:tcMar>
              <w:left w:w="369" w:type="dxa"/>
            </w:tcMar>
          </w:tcPr>
          <w:p w14:paraId="22F00256" w14:textId="49CF46DE" w:rsidR="744347BD" w:rsidRPr="00780A0A" w:rsidRDefault="00182E1F" w:rsidP="0D249AC7">
            <w:pPr>
              <w:pStyle w:val="Heading3"/>
              <w:rPr>
                <w:bCs/>
                <w:color w:val="483391"/>
                <w:sz w:val="22"/>
                <w:szCs w:val="22"/>
              </w:rPr>
            </w:pPr>
            <w:bookmarkStart w:id="73" w:name="_Toc153550432"/>
            <w:r w:rsidRPr="00780A0A">
              <w:rPr>
                <w:rFonts w:eastAsiaTheme="minorEastAsia" w:cs="Times New Roman"/>
                <w:bCs/>
                <w:color w:val="483391"/>
                <w:sz w:val="22"/>
                <w:szCs w:val="22"/>
              </w:rPr>
              <w:t>Case Study –</w:t>
            </w:r>
            <w:r w:rsidRPr="00780A0A">
              <w:rPr>
                <w:bCs/>
                <w:color w:val="483391"/>
                <w:lang w:eastAsia="en-US"/>
              </w:rPr>
              <w:t xml:space="preserve"> </w:t>
            </w:r>
            <w:r w:rsidR="744347BD" w:rsidRPr="00780A0A">
              <w:rPr>
                <w:rFonts w:eastAsiaTheme="minorEastAsia" w:cs="Times New Roman"/>
                <w:bCs/>
                <w:color w:val="483391"/>
                <w:sz w:val="22"/>
                <w:szCs w:val="22"/>
              </w:rPr>
              <w:t>Continued capability development through the Regulatory Science Strategy 2020-2025</w:t>
            </w:r>
            <w:bookmarkEnd w:id="73"/>
          </w:p>
          <w:p w14:paraId="0C232F26" w14:textId="0AB57AF4" w:rsidR="744347BD" w:rsidRPr="00516B31" w:rsidRDefault="744347BD" w:rsidP="0D249AC7">
            <w:r w:rsidRPr="00516B31">
              <w:t xml:space="preserve">Through the </w:t>
            </w:r>
            <w:hyperlink r:id="rId46" w:history="1">
              <w:r w:rsidRPr="00516B31">
                <w:t>Regulatory Science Strategy 2020-2025</w:t>
              </w:r>
            </w:hyperlink>
            <w:r w:rsidRPr="00516B31">
              <w:t xml:space="preserve">, we aim to ensure that we continue to </w:t>
            </w:r>
            <w:r w:rsidRPr="00AB64EA">
              <w:t xml:space="preserve">make the </w:t>
            </w:r>
            <w:r w:rsidRPr="007E7468">
              <w:t>best possible regulatory decisions</w:t>
            </w:r>
            <w:r w:rsidRPr="00516B31">
              <w:t xml:space="preserve"> by ensuring that our regulatory scientists are capable, collaborative, communicative, and responsive to future challenges and emerging technologies.</w:t>
            </w:r>
          </w:p>
          <w:p w14:paraId="0ED9CEFA" w14:textId="1E7A5B18" w:rsidR="744347BD" w:rsidRPr="00516B31" w:rsidRDefault="744347BD" w:rsidP="0D249AC7">
            <w:r w:rsidRPr="00516B31">
              <w:t>The first key focus area of the Regulatory Science Strategy is to ‘maintain and build skills in regulatory science’. We continue to provide training and development opportunities that allow our staff to maintain their scientific expertise and further develop their skills to meet future challenges by:</w:t>
            </w:r>
          </w:p>
          <w:p w14:paraId="4092021A" w14:textId="484FBB2F" w:rsidR="744347BD" w:rsidRPr="00516B31" w:rsidRDefault="744347BD" w:rsidP="0D249AC7">
            <w:pPr>
              <w:pStyle w:val="ListParagraph"/>
            </w:pPr>
            <w:r w:rsidRPr="00516B31">
              <w:t>developing induction and technical e-learning modules to support effective and accessible staff training</w:t>
            </w:r>
          </w:p>
          <w:p w14:paraId="071A8FC7" w14:textId="36BA8EFE" w:rsidR="744347BD" w:rsidRPr="00516B31" w:rsidRDefault="744347BD" w:rsidP="0D249AC7">
            <w:pPr>
              <w:pStyle w:val="ListParagraph"/>
            </w:pPr>
            <w:r w:rsidRPr="00516B31">
              <w:t>progressing the rollout of the Regulatory Scientist Capability Framework</w:t>
            </w:r>
            <w:r w:rsidR="00F76EAF">
              <w:t>,</w:t>
            </w:r>
            <w:r w:rsidRPr="00516B31">
              <w:t xml:space="preserve"> </w:t>
            </w:r>
            <w:r w:rsidR="00F76EAF" w:rsidRPr="00516B31">
              <w:t>which specifies the seven capabilities required within the regulatory scientific workforce to enable strong performance</w:t>
            </w:r>
            <w:r w:rsidR="00F76EAF">
              <w:t>,</w:t>
            </w:r>
            <w:r w:rsidR="00F76EAF" w:rsidRPr="00516B31">
              <w:t xml:space="preserve"> </w:t>
            </w:r>
            <w:r w:rsidRPr="00516B31">
              <w:t>into our Medical Devices and Product Quality Division</w:t>
            </w:r>
          </w:p>
          <w:p w14:paraId="2A5B7436" w14:textId="497C93C4" w:rsidR="0D249AC7" w:rsidRPr="00780A0A" w:rsidRDefault="744347BD" w:rsidP="0D249AC7">
            <w:pPr>
              <w:pStyle w:val="ListParagraph"/>
            </w:pPr>
            <w:r w:rsidRPr="00516B31">
              <w:t xml:space="preserve">working towards delivering a reporting tool for </w:t>
            </w:r>
            <w:r w:rsidR="00973482">
              <w:t>c</w:t>
            </w:r>
            <w:r w:rsidRPr="00516B31">
              <w:t xml:space="preserve">ontinuing </w:t>
            </w:r>
            <w:r w:rsidR="00973482">
              <w:t>p</w:t>
            </w:r>
            <w:r w:rsidRPr="00516B31">
              <w:t xml:space="preserve">rofessional </w:t>
            </w:r>
            <w:r w:rsidR="00973482">
              <w:t>d</w:t>
            </w:r>
            <w:r w:rsidRPr="00516B31">
              <w:t>evelopment to empower staff and managers to maintain their technical and regulatory skills.</w:t>
            </w:r>
          </w:p>
        </w:tc>
      </w:tr>
    </w:tbl>
    <w:p w14:paraId="2D7E2AED" w14:textId="77777777" w:rsidR="00516B31" w:rsidRDefault="00516B31" w:rsidP="001515DB">
      <w:pPr>
        <w:rPr>
          <w:szCs w:val="22"/>
        </w:rPr>
      </w:pPr>
    </w:p>
    <w:p w14:paraId="087B0747" w14:textId="356A75E5" w:rsidR="00B71622" w:rsidRPr="003A2E2F" w:rsidRDefault="00EF1980" w:rsidP="001515DB">
      <w:pPr>
        <w:rPr>
          <w:szCs w:val="22"/>
        </w:rPr>
      </w:pPr>
      <w:r w:rsidRPr="003A2E2F">
        <w:rPr>
          <w:szCs w:val="22"/>
        </w:rPr>
        <w:t xml:space="preserve">The digital transformation </w:t>
      </w:r>
      <w:r w:rsidR="00C8057A" w:rsidRPr="003A2E2F">
        <w:rPr>
          <w:szCs w:val="22"/>
        </w:rPr>
        <w:t xml:space="preserve">continues to be a key </w:t>
      </w:r>
      <w:r w:rsidR="00832B4A" w:rsidRPr="003A2E2F">
        <w:rPr>
          <w:szCs w:val="22"/>
        </w:rPr>
        <w:t xml:space="preserve">element in building </w:t>
      </w:r>
      <w:r w:rsidR="00F50FE1" w:rsidRPr="003A2E2F">
        <w:rPr>
          <w:szCs w:val="22"/>
        </w:rPr>
        <w:t>an improved user experience</w:t>
      </w:r>
      <w:r w:rsidR="00566F70" w:rsidRPr="003A2E2F">
        <w:rPr>
          <w:szCs w:val="22"/>
        </w:rPr>
        <w:t xml:space="preserve">. </w:t>
      </w:r>
      <w:r w:rsidR="00C728EB" w:rsidRPr="003A2E2F">
        <w:rPr>
          <w:szCs w:val="22"/>
        </w:rPr>
        <w:t xml:space="preserve">There are numerous projects completed </w:t>
      </w:r>
      <w:r w:rsidR="003D0309" w:rsidRPr="003A2E2F">
        <w:rPr>
          <w:szCs w:val="22"/>
        </w:rPr>
        <w:t xml:space="preserve">in 2022-23 </w:t>
      </w:r>
      <w:r w:rsidR="00C728EB" w:rsidRPr="003A2E2F">
        <w:rPr>
          <w:szCs w:val="22"/>
        </w:rPr>
        <w:t xml:space="preserve">and </w:t>
      </w:r>
      <w:r w:rsidR="006C47FA" w:rsidRPr="003A2E2F">
        <w:rPr>
          <w:szCs w:val="22"/>
        </w:rPr>
        <w:t xml:space="preserve">continuing in 2023-24 </w:t>
      </w:r>
      <w:r w:rsidR="002838F0" w:rsidRPr="003A2E2F">
        <w:rPr>
          <w:szCs w:val="22"/>
        </w:rPr>
        <w:t xml:space="preserve">that will have a positive impact </w:t>
      </w:r>
      <w:r w:rsidR="0032374D" w:rsidRPr="003A2E2F">
        <w:rPr>
          <w:szCs w:val="22"/>
        </w:rPr>
        <w:t>for stakeholders and staff</w:t>
      </w:r>
      <w:r w:rsidR="00601E57" w:rsidRPr="003A2E2F">
        <w:rPr>
          <w:szCs w:val="22"/>
        </w:rPr>
        <w:t xml:space="preserve">. </w:t>
      </w:r>
      <w:r w:rsidR="00C27874" w:rsidRPr="00227EC2">
        <w:rPr>
          <w:szCs w:val="22"/>
        </w:rPr>
        <w:t xml:space="preserve">The $61 million of </w:t>
      </w:r>
      <w:r w:rsidR="00CA44AA">
        <w:rPr>
          <w:szCs w:val="22"/>
        </w:rPr>
        <w:t xml:space="preserve">TGA Public Good </w:t>
      </w:r>
      <w:r w:rsidR="00C27874" w:rsidRPr="00227EC2">
        <w:rPr>
          <w:szCs w:val="22"/>
        </w:rPr>
        <w:t>funding</w:t>
      </w:r>
      <w:r w:rsidR="00980226" w:rsidRPr="00227EC2">
        <w:rPr>
          <w:szCs w:val="22"/>
        </w:rPr>
        <w:t xml:space="preserve"> over </w:t>
      </w:r>
      <w:r w:rsidR="004F63A2">
        <w:rPr>
          <w:szCs w:val="22"/>
        </w:rPr>
        <w:t xml:space="preserve">4 </w:t>
      </w:r>
      <w:r w:rsidR="00980226" w:rsidRPr="00227EC2">
        <w:rPr>
          <w:szCs w:val="22"/>
        </w:rPr>
        <w:t>years provided in the 2023-24 Budget</w:t>
      </w:r>
      <w:r w:rsidR="00980226" w:rsidRPr="003A2E2F">
        <w:rPr>
          <w:szCs w:val="22"/>
        </w:rPr>
        <w:t xml:space="preserve"> </w:t>
      </w:r>
      <w:r w:rsidR="00526889" w:rsidRPr="003A2E2F">
        <w:rPr>
          <w:szCs w:val="22"/>
        </w:rPr>
        <w:t xml:space="preserve">will enable the TGA to continue </w:t>
      </w:r>
      <w:r w:rsidR="00693172" w:rsidRPr="003A2E2F">
        <w:rPr>
          <w:szCs w:val="22"/>
        </w:rPr>
        <w:t xml:space="preserve">undertaking activities aimed at protecting public health. It will also allow </w:t>
      </w:r>
      <w:r w:rsidR="007A5ADA" w:rsidRPr="003A2E2F">
        <w:rPr>
          <w:szCs w:val="22"/>
        </w:rPr>
        <w:t xml:space="preserve">us to </w:t>
      </w:r>
      <w:r w:rsidR="00220590" w:rsidRPr="003A2E2F">
        <w:rPr>
          <w:szCs w:val="22"/>
        </w:rPr>
        <w:t xml:space="preserve">uplift a </w:t>
      </w:r>
      <w:r w:rsidR="00C81E51" w:rsidRPr="003A2E2F">
        <w:rPr>
          <w:szCs w:val="22"/>
        </w:rPr>
        <w:t>number of</w:t>
      </w:r>
      <w:r w:rsidR="00220590" w:rsidRPr="003A2E2F">
        <w:rPr>
          <w:szCs w:val="22"/>
        </w:rPr>
        <w:t xml:space="preserve"> </w:t>
      </w:r>
      <w:r w:rsidR="00F54AAD" w:rsidRPr="003A2E2F">
        <w:rPr>
          <w:szCs w:val="22"/>
        </w:rPr>
        <w:t xml:space="preserve">regulatory services </w:t>
      </w:r>
      <w:r w:rsidR="00FE5DA8" w:rsidRPr="003A2E2F">
        <w:rPr>
          <w:szCs w:val="22"/>
        </w:rPr>
        <w:t>through reallocation of</w:t>
      </w:r>
      <w:r w:rsidR="00444557" w:rsidRPr="003A2E2F">
        <w:rPr>
          <w:szCs w:val="22"/>
        </w:rPr>
        <w:t xml:space="preserve"> </w:t>
      </w:r>
      <w:r w:rsidR="00FE5DA8" w:rsidRPr="003A2E2F">
        <w:rPr>
          <w:szCs w:val="22"/>
        </w:rPr>
        <w:t xml:space="preserve">funding </w:t>
      </w:r>
      <w:r w:rsidR="008D5EE1" w:rsidRPr="003A2E2F">
        <w:rPr>
          <w:szCs w:val="22"/>
        </w:rPr>
        <w:t xml:space="preserve">that was </w:t>
      </w:r>
      <w:r w:rsidR="002F498B" w:rsidRPr="003A2E2F">
        <w:rPr>
          <w:szCs w:val="22"/>
        </w:rPr>
        <w:t xml:space="preserve">previously subsidising </w:t>
      </w:r>
      <w:r w:rsidR="00FE5DA8" w:rsidRPr="003A2E2F">
        <w:rPr>
          <w:szCs w:val="22"/>
        </w:rPr>
        <w:t>pu</w:t>
      </w:r>
      <w:r w:rsidR="00BE6B00" w:rsidRPr="003A2E2F">
        <w:rPr>
          <w:szCs w:val="22"/>
        </w:rPr>
        <w:t>blic good activities</w:t>
      </w:r>
      <w:r w:rsidR="008D5EE1" w:rsidRPr="003A2E2F">
        <w:rPr>
          <w:szCs w:val="22"/>
        </w:rPr>
        <w:t>.</w:t>
      </w:r>
    </w:p>
    <w:p w14:paraId="403CF43D" w14:textId="4B9B1008" w:rsidR="00B71622" w:rsidRPr="00CB74E2" w:rsidRDefault="1BB666EB" w:rsidP="00C769D1">
      <w:pPr>
        <w:pStyle w:val="Heading2"/>
      </w:pPr>
      <w:bookmarkStart w:id="74" w:name="_Toc153550433"/>
      <w:r>
        <w:t>Performance Indicators</w:t>
      </w:r>
      <w:bookmarkEnd w:id="74"/>
      <w:r>
        <w:t xml:space="preserve"> </w:t>
      </w:r>
    </w:p>
    <w:p w14:paraId="6EF56D3D" w14:textId="49908B9F" w:rsidR="009E3696" w:rsidRPr="003A2E2F" w:rsidRDefault="00B71622" w:rsidP="40EB8B97">
      <w:pPr>
        <w:spacing w:after="0"/>
        <w:ind w:left="720" w:hanging="720"/>
        <w:rPr>
          <w:rFonts w:cs="Arial"/>
          <w:szCs w:val="22"/>
        </w:rPr>
      </w:pPr>
      <w:r w:rsidRPr="003A2E2F">
        <w:rPr>
          <w:rFonts w:cs="Arial"/>
          <w:szCs w:val="22"/>
        </w:rPr>
        <w:t xml:space="preserve">4.1 </w:t>
      </w:r>
      <w:r w:rsidRPr="003A2E2F">
        <w:rPr>
          <w:rFonts w:cs="Arial"/>
          <w:szCs w:val="22"/>
        </w:rPr>
        <w:tab/>
        <w:t xml:space="preserve">Continuously improve services, processes, and systems to ensure they are fit for purpose. </w:t>
      </w:r>
    </w:p>
    <w:p w14:paraId="236E0BD3" w14:textId="68C00DCD" w:rsidR="009E3696" w:rsidRPr="003A2E2F" w:rsidRDefault="00B71622" w:rsidP="40EB8B97">
      <w:pPr>
        <w:spacing w:after="0"/>
        <w:ind w:left="720" w:hanging="720"/>
        <w:rPr>
          <w:rFonts w:cs="Arial"/>
          <w:szCs w:val="22"/>
        </w:rPr>
      </w:pPr>
      <w:r w:rsidRPr="003A2E2F">
        <w:rPr>
          <w:rFonts w:cs="Arial"/>
          <w:szCs w:val="22"/>
        </w:rPr>
        <w:t>4.2</w:t>
      </w:r>
      <w:r w:rsidRPr="003A2E2F">
        <w:rPr>
          <w:rFonts w:cs="Arial"/>
          <w:szCs w:val="22"/>
        </w:rPr>
        <w:tab/>
        <w:t>Promote an impartial, flexible, and innovative workforce.</w:t>
      </w:r>
    </w:p>
    <w:p w14:paraId="343FBE34" w14:textId="77777777" w:rsidR="00C63FD6" w:rsidRPr="003A2E2F" w:rsidRDefault="00C63FD6" w:rsidP="001515DB">
      <w:pPr>
        <w:pStyle w:val="NoSpacing"/>
        <w:rPr>
          <w:rFonts w:ascii="Arial" w:hAnsi="Arial" w:cs="Arial"/>
          <w:sz w:val="22"/>
          <w:szCs w:val="22"/>
        </w:rPr>
      </w:pPr>
    </w:p>
    <w:p w14:paraId="4FC85686" w14:textId="2D741B5C" w:rsidR="009E3696" w:rsidRPr="00E72D95" w:rsidRDefault="7B68EFE5" w:rsidP="00C769D1">
      <w:pPr>
        <w:pStyle w:val="Heading2"/>
        <w:rPr>
          <w:lang w:val="en"/>
        </w:rPr>
      </w:pPr>
      <w:bookmarkStart w:id="75" w:name="_Toc153550434"/>
      <w:r w:rsidRPr="6CD30380">
        <w:rPr>
          <w:lang w:val="en"/>
        </w:rPr>
        <w:lastRenderedPageBreak/>
        <w:t>Digital transformation</w:t>
      </w:r>
      <w:bookmarkEnd w:id="75"/>
    </w:p>
    <w:p w14:paraId="401054C2" w14:textId="6FB6CB0A" w:rsidR="00CB74E2" w:rsidRPr="00C81E51" w:rsidRDefault="00E63FF0" w:rsidP="005E5F17">
      <w:pPr>
        <w:pStyle w:val="NoSpacing"/>
        <w:spacing w:before="120" w:after="120"/>
        <w:rPr>
          <w:rFonts w:ascii="Arial" w:hAnsi="Arial" w:cs="Arial"/>
          <w:b/>
          <w:bCs/>
          <w:sz w:val="22"/>
          <w:szCs w:val="22"/>
        </w:rPr>
      </w:pPr>
      <w:r w:rsidRPr="40EB8B97">
        <w:rPr>
          <w:rFonts w:ascii="Arial" w:hAnsi="Arial" w:cs="Arial"/>
          <w:b/>
          <w:bCs/>
          <w:sz w:val="22"/>
          <w:szCs w:val="22"/>
        </w:rPr>
        <w:t>We progressed</w:t>
      </w:r>
      <w:r w:rsidR="00CB74E2" w:rsidRPr="40EB8B97">
        <w:rPr>
          <w:rFonts w:ascii="Arial" w:hAnsi="Arial" w:cs="Arial"/>
          <w:b/>
          <w:bCs/>
          <w:sz w:val="22"/>
          <w:szCs w:val="22"/>
        </w:rPr>
        <w:t xml:space="preserve"> the implementation of new IT and business systems for TGA services, product evaluation and workflow managemen</w:t>
      </w:r>
      <w:r w:rsidR="00AE3682" w:rsidRPr="40EB8B97">
        <w:rPr>
          <w:rFonts w:ascii="Arial" w:hAnsi="Arial" w:cs="Arial"/>
          <w:b/>
          <w:bCs/>
          <w:sz w:val="22"/>
          <w:szCs w:val="22"/>
        </w:rPr>
        <w:t>t.</w:t>
      </w:r>
    </w:p>
    <w:p w14:paraId="24A821A6" w14:textId="10B6B2D2" w:rsidR="00881BC4" w:rsidRDefault="00682C0C" w:rsidP="0066295C">
      <w:pPr>
        <w:rPr>
          <w:rFonts w:eastAsia="Times New Roman"/>
          <w:shd w:val="clear" w:color="auto" w:fill="FFFFFF"/>
        </w:rPr>
      </w:pPr>
      <w:r w:rsidRPr="0066295C">
        <w:t xml:space="preserve">Through the </w:t>
      </w:r>
      <w:r w:rsidR="004E024B" w:rsidRPr="0066295C">
        <w:t>digital t</w:t>
      </w:r>
      <w:r w:rsidR="00017BBA" w:rsidRPr="0066295C">
        <w:rPr>
          <w:shd w:val="clear" w:color="auto" w:fill="FFFFFF"/>
        </w:rPr>
        <w:t xml:space="preserve">ransformation </w:t>
      </w:r>
      <w:r w:rsidR="00AE3682">
        <w:rPr>
          <w:shd w:val="clear" w:color="auto" w:fill="FFFFFF"/>
        </w:rPr>
        <w:t>p</w:t>
      </w:r>
      <w:r w:rsidR="007B4638" w:rsidRPr="0066295C">
        <w:rPr>
          <w:shd w:val="clear" w:color="auto" w:fill="FFFFFF"/>
        </w:rPr>
        <w:t>rogram</w:t>
      </w:r>
      <w:r w:rsidR="001148E4" w:rsidRPr="0066295C">
        <w:t xml:space="preserve"> </w:t>
      </w:r>
      <w:r w:rsidR="003A4A3F">
        <w:t>of work</w:t>
      </w:r>
      <w:r w:rsidRPr="0066295C">
        <w:t>, we</w:t>
      </w:r>
      <w:r w:rsidR="007B4638" w:rsidRPr="0066295C">
        <w:rPr>
          <w:shd w:val="clear" w:color="auto" w:fill="FFFFFF"/>
        </w:rPr>
        <w:t xml:space="preserve"> </w:t>
      </w:r>
      <w:r w:rsidR="00250065" w:rsidRPr="0066295C">
        <w:t>are</w:t>
      </w:r>
      <w:r w:rsidR="007B4638" w:rsidRPr="0066295C">
        <w:rPr>
          <w:shd w:val="clear" w:color="auto" w:fill="FFFFFF"/>
        </w:rPr>
        <w:t xml:space="preserve"> </w:t>
      </w:r>
      <w:r w:rsidR="00017BBA" w:rsidRPr="0066295C">
        <w:rPr>
          <w:shd w:val="clear" w:color="auto" w:fill="FFFFFF"/>
        </w:rPr>
        <w:t>deliver</w:t>
      </w:r>
      <w:r w:rsidR="007B4638" w:rsidRPr="0066295C">
        <w:rPr>
          <w:shd w:val="clear" w:color="auto" w:fill="FFFFFF"/>
        </w:rPr>
        <w:t>ing</w:t>
      </w:r>
      <w:r w:rsidR="00017BBA" w:rsidRPr="0066295C">
        <w:rPr>
          <w:shd w:val="clear" w:color="auto" w:fill="FFFFFF"/>
        </w:rPr>
        <w:t xml:space="preserve"> modern digital tools </w:t>
      </w:r>
      <w:r w:rsidR="007B4638" w:rsidRPr="0066295C">
        <w:rPr>
          <w:shd w:val="clear" w:color="auto" w:fill="FFFFFF"/>
        </w:rPr>
        <w:t xml:space="preserve">to </w:t>
      </w:r>
      <w:r w:rsidR="00017BBA" w:rsidRPr="0066295C">
        <w:rPr>
          <w:shd w:val="clear" w:color="auto" w:fill="FFFFFF"/>
        </w:rPr>
        <w:t xml:space="preserve">make it easier for staff and industry to complete business transactions and find the information they need. </w:t>
      </w:r>
      <w:r w:rsidR="004A0D61">
        <w:rPr>
          <w:shd w:val="clear" w:color="auto" w:fill="FFFFFF"/>
        </w:rPr>
        <w:t xml:space="preserve">We commenced the development of </w:t>
      </w:r>
      <w:r w:rsidR="00017BBA" w:rsidRPr="0066295C">
        <w:rPr>
          <w:shd w:val="clear" w:color="auto" w:fill="FFFFFF"/>
        </w:rPr>
        <w:t>portal and case management capabilities</w:t>
      </w:r>
      <w:r w:rsidR="00E328B0" w:rsidRPr="0066295C">
        <w:rPr>
          <w:shd w:val="clear" w:color="auto" w:fill="FFFFFF"/>
        </w:rPr>
        <w:t xml:space="preserve">, </w:t>
      </w:r>
      <w:r w:rsidR="00E328B0" w:rsidRPr="0066295C">
        <w:t xml:space="preserve">including </w:t>
      </w:r>
      <w:r w:rsidR="007F6991" w:rsidRPr="0066295C">
        <w:t xml:space="preserve">a </w:t>
      </w:r>
      <w:r w:rsidR="00017BBA" w:rsidRPr="0066295C">
        <w:rPr>
          <w:rFonts w:eastAsia="Times New Roman"/>
        </w:rPr>
        <w:t>new case management solution</w:t>
      </w:r>
      <w:r w:rsidR="007F6991" w:rsidRPr="0066295C">
        <w:rPr>
          <w:rFonts w:eastAsia="Times New Roman"/>
        </w:rPr>
        <w:t xml:space="preserve"> </w:t>
      </w:r>
      <w:r w:rsidR="00DB6639" w:rsidRPr="0066295C">
        <w:rPr>
          <w:rFonts w:eastAsia="Times New Roman"/>
        </w:rPr>
        <w:t>that will</w:t>
      </w:r>
      <w:r w:rsidR="00E328B0" w:rsidRPr="0066295C">
        <w:rPr>
          <w:rFonts w:eastAsia="Times New Roman"/>
        </w:rPr>
        <w:t xml:space="preserve"> </w:t>
      </w:r>
      <w:r w:rsidR="00BD0C88" w:rsidRPr="0066295C">
        <w:rPr>
          <w:rFonts w:eastAsia="Times New Roman"/>
        </w:rPr>
        <w:t xml:space="preserve">be </w:t>
      </w:r>
      <w:r w:rsidR="00E328B0" w:rsidRPr="0066295C">
        <w:rPr>
          <w:rFonts w:eastAsia="Times New Roman"/>
        </w:rPr>
        <w:t>onboard</w:t>
      </w:r>
      <w:r w:rsidR="00DB6639" w:rsidRPr="0066295C">
        <w:rPr>
          <w:rFonts w:eastAsia="Times New Roman"/>
        </w:rPr>
        <w:t>ed</w:t>
      </w:r>
      <w:r w:rsidR="00E328B0" w:rsidRPr="0066295C">
        <w:rPr>
          <w:rFonts w:eastAsia="Times New Roman"/>
        </w:rPr>
        <w:t xml:space="preserve"> </w:t>
      </w:r>
      <w:r w:rsidR="00420B61" w:rsidRPr="0066295C">
        <w:rPr>
          <w:rFonts w:eastAsia="Times New Roman"/>
        </w:rPr>
        <w:t>wit</w:t>
      </w:r>
      <w:r w:rsidR="009018BF" w:rsidRPr="0066295C">
        <w:rPr>
          <w:rFonts w:eastAsia="Times New Roman"/>
        </w:rPr>
        <w:t>h</w:t>
      </w:r>
      <w:r w:rsidR="00420B61" w:rsidRPr="0066295C">
        <w:rPr>
          <w:rFonts w:eastAsia="Times New Roman"/>
        </w:rPr>
        <w:t xml:space="preserve"> new functions </w:t>
      </w:r>
      <w:r w:rsidR="00E328B0" w:rsidRPr="0066295C">
        <w:rPr>
          <w:rFonts w:eastAsia="Times New Roman"/>
        </w:rPr>
        <w:t>over</w:t>
      </w:r>
      <w:r w:rsidR="000E31BD" w:rsidRPr="0066295C">
        <w:rPr>
          <w:rFonts w:eastAsia="Times New Roman"/>
        </w:rPr>
        <w:t xml:space="preserve"> </w:t>
      </w:r>
      <w:r w:rsidR="00E328B0" w:rsidRPr="0066295C">
        <w:rPr>
          <w:rFonts w:eastAsia="Times New Roman"/>
        </w:rPr>
        <w:t>time</w:t>
      </w:r>
      <w:r w:rsidR="00E328B0" w:rsidRPr="0066295C">
        <w:rPr>
          <w:rFonts w:eastAsia="Times New Roman"/>
          <w:shd w:val="clear" w:color="auto" w:fill="FFFFFF"/>
        </w:rPr>
        <w:t>.</w:t>
      </w:r>
      <w:r w:rsidR="00E328B0" w:rsidRPr="0066295C" w:rsidDel="0070547C">
        <w:rPr>
          <w:rFonts w:eastAsia="Times New Roman"/>
        </w:rPr>
        <w:t xml:space="preserve"> </w:t>
      </w:r>
      <w:r w:rsidR="007F6991" w:rsidRPr="0066295C">
        <w:rPr>
          <w:rFonts w:eastAsia="Times New Roman"/>
          <w:shd w:val="clear" w:color="auto" w:fill="FFFFFF"/>
        </w:rPr>
        <w:t>This</w:t>
      </w:r>
      <w:r w:rsidR="00FF31FA" w:rsidRPr="0066295C">
        <w:rPr>
          <w:rFonts w:eastAsia="Times New Roman"/>
          <w:shd w:val="clear" w:color="auto" w:fill="FFFFFF"/>
        </w:rPr>
        <w:t xml:space="preserve"> </w:t>
      </w:r>
      <w:r w:rsidR="00205BAF" w:rsidRPr="0066295C">
        <w:rPr>
          <w:rFonts w:eastAsia="Times New Roman"/>
        </w:rPr>
        <w:t>is in response to industry</w:t>
      </w:r>
      <w:r w:rsidR="00FF31FA" w:rsidRPr="0066295C">
        <w:rPr>
          <w:rFonts w:eastAsia="Times New Roman"/>
          <w:shd w:val="clear" w:color="auto" w:fill="FFFFFF"/>
        </w:rPr>
        <w:t xml:space="preserve"> feedback </w:t>
      </w:r>
      <w:r w:rsidR="000E31BD" w:rsidRPr="0066295C">
        <w:rPr>
          <w:rFonts w:eastAsia="Times New Roman"/>
          <w:shd w:val="clear" w:color="auto" w:fill="FFFFFF"/>
        </w:rPr>
        <w:t>regarding</w:t>
      </w:r>
      <w:r w:rsidR="00D6651D" w:rsidRPr="0066295C">
        <w:rPr>
          <w:rFonts w:eastAsia="Times New Roman"/>
          <w:shd w:val="clear" w:color="auto" w:fill="FFFFFF"/>
        </w:rPr>
        <w:t xml:space="preserve"> </w:t>
      </w:r>
      <w:r w:rsidR="005A7AC0" w:rsidRPr="0066295C">
        <w:rPr>
          <w:rFonts w:eastAsia="Times New Roman"/>
          <w:shd w:val="clear" w:color="auto" w:fill="FFFFFF"/>
        </w:rPr>
        <w:t xml:space="preserve">opportunities to </w:t>
      </w:r>
      <w:r w:rsidR="518295BE" w:rsidRPr="0066295C">
        <w:rPr>
          <w:rFonts w:eastAsia="Times New Roman"/>
          <w:shd w:val="clear" w:color="auto" w:fill="FFFFFF"/>
        </w:rPr>
        <w:t>streamline applications</w:t>
      </w:r>
      <w:r w:rsidR="00117F2B">
        <w:rPr>
          <w:rFonts w:eastAsia="Times New Roman"/>
          <w:shd w:val="clear" w:color="auto" w:fill="FFFFFF"/>
        </w:rPr>
        <w:t>,</w:t>
      </w:r>
      <w:r w:rsidR="518295BE" w:rsidRPr="0066295C">
        <w:rPr>
          <w:rFonts w:eastAsia="Times New Roman"/>
          <w:shd w:val="clear" w:color="auto" w:fill="FFFFFF"/>
        </w:rPr>
        <w:t xml:space="preserve"> </w:t>
      </w:r>
      <w:r w:rsidR="0057662B" w:rsidRPr="67E8AC8C">
        <w:rPr>
          <w:rFonts w:eastAsia="Times New Roman"/>
          <w:shd w:val="clear" w:color="auto" w:fill="FFFFFF"/>
        </w:rPr>
        <w:t>strengthen</w:t>
      </w:r>
      <w:r w:rsidR="0057662B" w:rsidRPr="4A1A029C">
        <w:rPr>
          <w:rFonts w:eastAsia="Times New Roman"/>
          <w:shd w:val="clear" w:color="auto" w:fill="FFFFFF"/>
        </w:rPr>
        <w:t xml:space="preserve"> </w:t>
      </w:r>
      <w:r w:rsidR="00C859DD" w:rsidRPr="4A1A029C">
        <w:rPr>
          <w:rFonts w:eastAsia="Times New Roman"/>
          <w:shd w:val="clear" w:color="auto" w:fill="FFFFFF"/>
        </w:rPr>
        <w:t>visibility of how an application is progressing</w:t>
      </w:r>
      <w:r w:rsidR="00117F2B">
        <w:rPr>
          <w:rFonts w:eastAsia="Times New Roman"/>
          <w:shd w:val="clear" w:color="auto" w:fill="FFFFFF"/>
        </w:rPr>
        <w:t>,</w:t>
      </w:r>
      <w:r w:rsidR="00713FA9" w:rsidRPr="4A1A029C">
        <w:rPr>
          <w:rFonts w:eastAsia="Times New Roman"/>
          <w:shd w:val="clear" w:color="auto" w:fill="FFFFFF"/>
        </w:rPr>
        <w:t xml:space="preserve"> and</w:t>
      </w:r>
      <w:r w:rsidR="006A356B" w:rsidRPr="4A1A029C">
        <w:rPr>
          <w:rFonts w:eastAsia="Times New Roman"/>
          <w:shd w:val="clear" w:color="auto" w:fill="FFFFFF"/>
        </w:rPr>
        <w:t xml:space="preserve"> </w:t>
      </w:r>
      <w:r w:rsidR="00DC5514" w:rsidRPr="4A1A029C">
        <w:rPr>
          <w:rFonts w:eastAsia="Times New Roman"/>
          <w:shd w:val="clear" w:color="auto" w:fill="FFFFFF"/>
        </w:rPr>
        <w:t>make processes more efficient</w:t>
      </w:r>
      <w:r w:rsidR="00713FA9" w:rsidRPr="4A1A029C">
        <w:rPr>
          <w:rFonts w:eastAsia="Times New Roman"/>
          <w:shd w:val="clear" w:color="auto" w:fill="FFFFFF"/>
        </w:rPr>
        <w:t>.</w:t>
      </w:r>
    </w:p>
    <w:p w14:paraId="079E0E60" w14:textId="313E3266" w:rsidR="00052701" w:rsidRDefault="00127900" w:rsidP="0066295C">
      <w:pPr>
        <w:rPr>
          <w:rFonts w:eastAsia="Times New Roman"/>
          <w:shd w:val="clear" w:color="auto" w:fill="FFFFFF"/>
        </w:rPr>
      </w:pPr>
      <w:r>
        <w:rPr>
          <w:rFonts w:eastAsia="Times New Roman"/>
          <w:shd w:val="clear" w:color="auto" w:fill="FFFFFF"/>
        </w:rPr>
        <w:t>In</w:t>
      </w:r>
      <w:r w:rsidR="00CF78E5">
        <w:rPr>
          <w:rFonts w:eastAsia="Times New Roman"/>
          <w:shd w:val="clear" w:color="auto" w:fill="FFFFFF"/>
        </w:rPr>
        <w:t xml:space="preserve"> 2022-23 the </w:t>
      </w:r>
      <w:r w:rsidR="006C570A">
        <w:rPr>
          <w:rFonts w:eastAsia="Times New Roman"/>
          <w:shd w:val="clear" w:color="auto" w:fill="FFFFFF"/>
        </w:rPr>
        <w:t xml:space="preserve">transformation work </w:t>
      </w:r>
      <w:r w:rsidR="00052701">
        <w:rPr>
          <w:rFonts w:eastAsia="Times New Roman"/>
          <w:shd w:val="clear" w:color="auto" w:fill="FFFFFF"/>
        </w:rPr>
        <w:t>completed the following projects:</w:t>
      </w:r>
    </w:p>
    <w:p w14:paraId="0EAD2A47" w14:textId="77777777" w:rsidR="00D319DF" w:rsidRDefault="00D319DF" w:rsidP="00ED1A1F">
      <w:pPr>
        <w:pStyle w:val="ListParagraph"/>
        <w:numPr>
          <w:ilvl w:val="0"/>
          <w:numId w:val="11"/>
        </w:numPr>
        <w:ind w:left="360"/>
        <w:rPr>
          <w:rFonts w:eastAsia="Times New Roman"/>
          <w:shd w:val="clear" w:color="auto" w:fill="FFFFFF"/>
        </w:rPr>
      </w:pPr>
      <w:r w:rsidRPr="00486844">
        <w:rPr>
          <w:rFonts w:eastAsia="Times New Roman"/>
          <w:b/>
          <w:bCs/>
          <w:shd w:val="clear" w:color="auto" w:fill="FFFFFF"/>
        </w:rPr>
        <w:t>Website improvements</w:t>
      </w:r>
      <w:r>
        <w:rPr>
          <w:rFonts w:eastAsia="Times New Roman"/>
          <w:b/>
          <w:bCs/>
          <w:shd w:val="clear" w:color="auto" w:fill="FFFFFF"/>
        </w:rPr>
        <w:t xml:space="preserve"> (Phase 1)</w:t>
      </w:r>
      <w:r w:rsidRPr="00A62DFE">
        <w:rPr>
          <w:rFonts w:eastAsia="Times New Roman"/>
          <w:shd w:val="clear" w:color="auto" w:fill="FFFFFF"/>
        </w:rPr>
        <w:t xml:space="preserve"> </w:t>
      </w:r>
    </w:p>
    <w:p w14:paraId="243B9D64" w14:textId="3A2044BA" w:rsidR="00D319DF" w:rsidRDefault="00D319DF" w:rsidP="00ED1A1F">
      <w:pPr>
        <w:pStyle w:val="ListParagraph"/>
        <w:numPr>
          <w:ilvl w:val="1"/>
          <w:numId w:val="11"/>
        </w:numPr>
        <w:ind w:left="1080"/>
        <w:rPr>
          <w:rFonts w:eastAsia="Times New Roman"/>
          <w:shd w:val="clear" w:color="auto" w:fill="FFFFFF"/>
        </w:rPr>
      </w:pPr>
      <w:r>
        <w:rPr>
          <w:rFonts w:eastAsia="Times New Roman"/>
          <w:shd w:val="clear" w:color="auto" w:fill="FFFFFF"/>
        </w:rPr>
        <w:t>M</w:t>
      </w:r>
      <w:r w:rsidRPr="00366D56">
        <w:rPr>
          <w:rFonts w:eastAsia="Times New Roman"/>
          <w:shd w:val="clear" w:color="auto" w:fill="FFFFFF"/>
        </w:rPr>
        <w:t>odernised TGA and ODC websites released</w:t>
      </w:r>
    </w:p>
    <w:p w14:paraId="1E11D6A1" w14:textId="02F96CF7" w:rsidR="00D319DF" w:rsidRPr="00AB3823" w:rsidRDefault="00D319DF" w:rsidP="00ED1A1F">
      <w:pPr>
        <w:pStyle w:val="ListParagraph"/>
        <w:numPr>
          <w:ilvl w:val="1"/>
          <w:numId w:val="11"/>
        </w:numPr>
        <w:ind w:left="1080"/>
        <w:rPr>
          <w:rFonts w:eastAsia="Times New Roman"/>
          <w:shd w:val="clear" w:color="auto" w:fill="FFFFFF"/>
        </w:rPr>
      </w:pPr>
      <w:r w:rsidRPr="00AB3823">
        <w:t xml:space="preserve">Enhanced ARTG Search Visualisation Tool </w:t>
      </w:r>
      <w:r>
        <w:t xml:space="preserve">released and available </w:t>
      </w:r>
      <w:r w:rsidRPr="00AB3823">
        <w:t xml:space="preserve">on </w:t>
      </w:r>
      <w:r>
        <w:t xml:space="preserve">the </w:t>
      </w:r>
      <w:r w:rsidRPr="00AB3823">
        <w:t>TGA website</w:t>
      </w:r>
    </w:p>
    <w:p w14:paraId="2D63950A" w14:textId="77777777" w:rsidR="00D319DF" w:rsidRPr="008D0CDE" w:rsidRDefault="00D319DF" w:rsidP="00ED1A1F">
      <w:pPr>
        <w:pStyle w:val="ListParagraph"/>
        <w:numPr>
          <w:ilvl w:val="0"/>
          <w:numId w:val="11"/>
        </w:numPr>
        <w:ind w:left="360"/>
        <w:rPr>
          <w:b/>
          <w:bCs/>
        </w:rPr>
      </w:pPr>
      <w:r w:rsidRPr="008D0CDE">
        <w:rPr>
          <w:b/>
          <w:bCs/>
        </w:rPr>
        <w:t xml:space="preserve">Website </w:t>
      </w:r>
      <w:r w:rsidRPr="008D0CDE">
        <w:rPr>
          <w:rFonts w:eastAsia="Times New Roman"/>
          <w:b/>
          <w:bCs/>
          <w:shd w:val="clear" w:color="auto" w:fill="FFFFFF"/>
        </w:rPr>
        <w:t>improvements</w:t>
      </w:r>
      <w:r w:rsidRPr="008D0CDE">
        <w:rPr>
          <w:b/>
          <w:bCs/>
        </w:rPr>
        <w:t xml:space="preserve"> (Phase 2 – commenced)</w:t>
      </w:r>
    </w:p>
    <w:p w14:paraId="60595D19" w14:textId="4730A6A2" w:rsidR="00D319DF" w:rsidRPr="00AB3823" w:rsidRDefault="00D319DF" w:rsidP="00ED1A1F">
      <w:pPr>
        <w:pStyle w:val="ListParagraph"/>
        <w:numPr>
          <w:ilvl w:val="0"/>
          <w:numId w:val="13"/>
        </w:numPr>
        <w:ind w:left="1080"/>
        <w:rPr>
          <w:rFonts w:eastAsia="Times New Roman"/>
          <w:shd w:val="clear" w:color="auto" w:fill="FFFFFF"/>
        </w:rPr>
      </w:pPr>
      <w:r>
        <w:t>C</w:t>
      </w:r>
      <w:r w:rsidRPr="00AB3823">
        <w:t>ontent and search enhancements based on feedback</w:t>
      </w:r>
    </w:p>
    <w:p w14:paraId="5F557853" w14:textId="30756ED7" w:rsidR="00D319DF" w:rsidRPr="008D0CDE" w:rsidRDefault="00D319DF" w:rsidP="00ED1A1F">
      <w:pPr>
        <w:pStyle w:val="ListParagraph"/>
        <w:numPr>
          <w:ilvl w:val="0"/>
          <w:numId w:val="13"/>
        </w:numPr>
        <w:ind w:left="1080"/>
        <w:rPr>
          <w:rFonts w:eastAsia="Times New Roman"/>
          <w:shd w:val="clear" w:color="auto" w:fill="FFFFFF"/>
        </w:rPr>
      </w:pPr>
      <w:r>
        <w:t>New underpinning tools to support website data analytics and continuous improvement</w:t>
      </w:r>
    </w:p>
    <w:p w14:paraId="6CF5E5BC" w14:textId="7C9A9C0F" w:rsidR="00D319DF" w:rsidRDefault="00D319DF" w:rsidP="00ED1A1F">
      <w:pPr>
        <w:pStyle w:val="ListParagraph"/>
        <w:numPr>
          <w:ilvl w:val="0"/>
          <w:numId w:val="11"/>
        </w:numPr>
        <w:ind w:left="360"/>
        <w:rPr>
          <w:rFonts w:eastAsia="Times New Roman"/>
        </w:rPr>
      </w:pPr>
      <w:r w:rsidRPr="7170241C">
        <w:rPr>
          <w:b/>
          <w:bCs/>
        </w:rPr>
        <w:t>User research, design and business process</w:t>
      </w:r>
      <w:r w:rsidR="5A8D43B2" w:rsidRPr="7170241C">
        <w:rPr>
          <w:b/>
          <w:bCs/>
        </w:rPr>
        <w:t xml:space="preserve"> analysis</w:t>
      </w:r>
      <w:r w:rsidRPr="7170241C">
        <w:rPr>
          <w:b/>
          <w:bCs/>
        </w:rPr>
        <w:t xml:space="preserve"> </w:t>
      </w:r>
      <w:r w:rsidRPr="7170241C">
        <w:rPr>
          <w:rStyle w:val="normaltextrun"/>
          <w:b/>
          <w:bCs/>
          <w:color w:val="0070C0"/>
          <w:sz w:val="40"/>
          <w:szCs w:val="40"/>
        </w:rPr>
        <w:t xml:space="preserve"> </w:t>
      </w:r>
    </w:p>
    <w:p w14:paraId="307B587B" w14:textId="242A0DB7" w:rsidR="00D319DF" w:rsidRDefault="00D319DF" w:rsidP="00ED1A1F">
      <w:pPr>
        <w:pStyle w:val="ListParagraph"/>
        <w:numPr>
          <w:ilvl w:val="1"/>
          <w:numId w:val="11"/>
        </w:numPr>
        <w:ind w:left="1080"/>
        <w:rPr>
          <w:rFonts w:eastAsia="Times New Roman"/>
        </w:rPr>
      </w:pPr>
      <w:r>
        <w:rPr>
          <w:rFonts w:eastAsia="Times New Roman"/>
        </w:rPr>
        <w:t>O</w:t>
      </w:r>
      <w:r w:rsidRPr="000921F7">
        <w:rPr>
          <w:rFonts w:eastAsia="Times New Roman"/>
        </w:rPr>
        <w:t xml:space="preserve">ver </w:t>
      </w:r>
      <w:r w:rsidR="003A7F05">
        <w:rPr>
          <w:rFonts w:eastAsia="Times New Roman"/>
        </w:rPr>
        <w:t>2</w:t>
      </w:r>
      <w:r w:rsidRPr="000921F7">
        <w:rPr>
          <w:rFonts w:eastAsia="Times New Roman"/>
        </w:rPr>
        <w:t>,</w:t>
      </w:r>
      <w:r w:rsidR="003A7F05">
        <w:rPr>
          <w:rFonts w:eastAsia="Times New Roman"/>
        </w:rPr>
        <w:t>5</w:t>
      </w:r>
      <w:r w:rsidRPr="000921F7">
        <w:rPr>
          <w:rFonts w:eastAsia="Times New Roman"/>
        </w:rPr>
        <w:t xml:space="preserve">00 individuals, including health professionals, </w:t>
      </w:r>
      <w:r w:rsidR="00227EC2">
        <w:rPr>
          <w:rFonts w:eastAsia="Times New Roman"/>
        </w:rPr>
        <w:t>s</w:t>
      </w:r>
      <w:r w:rsidRPr="000921F7">
        <w:rPr>
          <w:rFonts w:eastAsia="Times New Roman"/>
        </w:rPr>
        <w:t xml:space="preserve">ponsors, </w:t>
      </w:r>
      <w:r w:rsidR="00227EC2">
        <w:rPr>
          <w:rFonts w:eastAsia="Times New Roman"/>
        </w:rPr>
        <w:t>c</w:t>
      </w:r>
      <w:r w:rsidRPr="000921F7">
        <w:rPr>
          <w:rFonts w:eastAsia="Times New Roman"/>
        </w:rPr>
        <w:t>onsumers and system owners</w:t>
      </w:r>
      <w:r>
        <w:rPr>
          <w:rFonts w:eastAsia="Times New Roman"/>
        </w:rPr>
        <w:t xml:space="preserve"> involved in user research and design activities</w:t>
      </w:r>
    </w:p>
    <w:p w14:paraId="06FE31D7" w14:textId="7C5CF6A0" w:rsidR="00D319DF" w:rsidRDefault="00D319DF" w:rsidP="00ED1A1F">
      <w:pPr>
        <w:pStyle w:val="ListParagraph"/>
        <w:numPr>
          <w:ilvl w:val="1"/>
          <w:numId w:val="11"/>
        </w:numPr>
        <w:ind w:left="1080"/>
        <w:rPr>
          <w:rFonts w:eastAsia="Times New Roman"/>
        </w:rPr>
      </w:pPr>
      <w:r w:rsidRPr="7170241C">
        <w:rPr>
          <w:rFonts w:eastAsia="Times New Roman"/>
        </w:rPr>
        <w:t>Over 50 business processes mapped</w:t>
      </w:r>
      <w:r w:rsidR="539D9BE9" w:rsidRPr="7170241C">
        <w:rPr>
          <w:rFonts w:eastAsia="Times New Roman"/>
        </w:rPr>
        <w:t xml:space="preserve"> and analysed</w:t>
      </w:r>
      <w:r w:rsidRPr="7170241C">
        <w:rPr>
          <w:rFonts w:eastAsia="Times New Roman"/>
        </w:rPr>
        <w:t xml:space="preserve"> to help identify common components</w:t>
      </w:r>
    </w:p>
    <w:p w14:paraId="60CABFB3" w14:textId="156E4D77" w:rsidR="00D319DF" w:rsidRDefault="00D319DF" w:rsidP="00ED1A1F">
      <w:pPr>
        <w:pStyle w:val="ListParagraph"/>
        <w:numPr>
          <w:ilvl w:val="1"/>
          <w:numId w:val="11"/>
        </w:numPr>
        <w:ind w:left="1080"/>
        <w:rPr>
          <w:rFonts w:eastAsia="Times New Roman"/>
        </w:rPr>
      </w:pPr>
      <w:r>
        <w:rPr>
          <w:rFonts w:eastAsia="Times New Roman"/>
        </w:rPr>
        <w:t>Delivering research insights that are now informing the portal and case management build stage</w:t>
      </w:r>
    </w:p>
    <w:p w14:paraId="5D291183" w14:textId="77777777" w:rsidR="00D319DF" w:rsidRPr="00F75C45" w:rsidRDefault="00D319DF" w:rsidP="00ED1A1F">
      <w:pPr>
        <w:pStyle w:val="ListParagraph"/>
        <w:numPr>
          <w:ilvl w:val="0"/>
          <w:numId w:val="11"/>
        </w:numPr>
        <w:ind w:left="360"/>
      </w:pPr>
      <w:r>
        <w:rPr>
          <w:b/>
          <w:bCs/>
        </w:rPr>
        <w:t xml:space="preserve">Laboratory Modernisation – design artefacts </w:t>
      </w:r>
    </w:p>
    <w:p w14:paraId="0B91C67B" w14:textId="439E9317" w:rsidR="00D319DF" w:rsidRPr="009767EF" w:rsidRDefault="00D319DF" w:rsidP="00ED1A1F">
      <w:pPr>
        <w:pStyle w:val="ListParagraph"/>
        <w:numPr>
          <w:ilvl w:val="1"/>
          <w:numId w:val="11"/>
        </w:numPr>
        <w:ind w:left="1080"/>
      </w:pPr>
      <w:r>
        <w:t>Supported the i</w:t>
      </w:r>
      <w:r w:rsidRPr="009767EF">
        <w:t>ntroduc</w:t>
      </w:r>
      <w:r>
        <w:t>tion of</w:t>
      </w:r>
      <w:r w:rsidRPr="009767EF">
        <w:t xml:space="preserve"> a new software system to manage testing information and case management, as well as introducing improved business processes</w:t>
      </w:r>
    </w:p>
    <w:p w14:paraId="727801C5" w14:textId="77777777" w:rsidR="00D319DF" w:rsidRPr="009767EF" w:rsidRDefault="00D319DF" w:rsidP="00ED1A1F">
      <w:pPr>
        <w:pStyle w:val="ListParagraph"/>
        <w:numPr>
          <w:ilvl w:val="0"/>
          <w:numId w:val="11"/>
        </w:numPr>
        <w:ind w:left="360"/>
        <w:rPr>
          <w:rFonts w:eastAsia="Times New Roman"/>
        </w:rPr>
      </w:pPr>
      <w:r w:rsidRPr="00AB3823">
        <w:rPr>
          <w:b/>
        </w:rPr>
        <w:t xml:space="preserve">New Advertising Compliance App </w:t>
      </w:r>
      <w:r w:rsidRPr="00AB3823">
        <w:t>for case management and public portal for reporting and enquiri</w:t>
      </w:r>
      <w:r>
        <w:t>es</w:t>
      </w:r>
    </w:p>
    <w:p w14:paraId="00E8DF67" w14:textId="357DB06C" w:rsidR="00D319DF" w:rsidRPr="00AB3823" w:rsidRDefault="00D319DF" w:rsidP="00ED1A1F">
      <w:pPr>
        <w:pStyle w:val="ListParagraph"/>
        <w:numPr>
          <w:ilvl w:val="0"/>
          <w:numId w:val="11"/>
        </w:numPr>
        <w:ind w:left="360"/>
        <w:rPr>
          <w:rFonts w:eastAsia="Times New Roman"/>
        </w:rPr>
      </w:pPr>
      <w:r w:rsidRPr="009767EF">
        <w:rPr>
          <w:rFonts w:eastAsia="Times New Roman"/>
          <w:b/>
          <w:bCs/>
        </w:rPr>
        <w:t>Special Access Scheme and Authorised Prescriber Scheme Online System</w:t>
      </w:r>
      <w:r w:rsidRPr="006B21C8">
        <w:rPr>
          <w:rFonts w:eastAsia="Times New Roman"/>
        </w:rPr>
        <w:t xml:space="preserve"> usability and access improvements</w:t>
      </w:r>
    </w:p>
    <w:p w14:paraId="0F831E94" w14:textId="5C694E3B" w:rsidR="00792495" w:rsidRDefault="00FA381C" w:rsidP="00361927">
      <w:pPr>
        <w:rPr>
          <w:rFonts w:eastAsia="Times New Roman"/>
          <w:shd w:val="clear" w:color="auto" w:fill="FFFFFF"/>
        </w:rPr>
      </w:pPr>
      <w:r>
        <w:rPr>
          <w:rFonts w:eastAsia="Times New Roman"/>
          <w:shd w:val="clear" w:color="auto" w:fill="FFFFFF"/>
        </w:rPr>
        <w:t>The 2023-24 period will</w:t>
      </w:r>
      <w:r w:rsidR="00302979">
        <w:rPr>
          <w:rFonts w:eastAsia="Times New Roman"/>
          <w:shd w:val="clear" w:color="auto" w:fill="FFFFFF"/>
        </w:rPr>
        <w:t xml:space="preserve"> build</w:t>
      </w:r>
      <w:r>
        <w:rPr>
          <w:rFonts w:eastAsia="Times New Roman"/>
          <w:shd w:val="clear" w:color="auto" w:fill="FFFFFF"/>
        </w:rPr>
        <w:t xml:space="preserve"> </w:t>
      </w:r>
      <w:r w:rsidR="00302979">
        <w:rPr>
          <w:rFonts w:eastAsia="Times New Roman"/>
          <w:shd w:val="clear" w:color="auto" w:fill="FFFFFF"/>
        </w:rPr>
        <w:t>on these foundations and move into the next delivery stage</w:t>
      </w:r>
      <w:r w:rsidR="005B50DC">
        <w:rPr>
          <w:rFonts w:eastAsia="Times New Roman"/>
          <w:shd w:val="clear" w:color="auto" w:fill="FFFFFF"/>
        </w:rPr>
        <w:t xml:space="preserve">. </w:t>
      </w:r>
      <w:r w:rsidR="00142ACF">
        <w:rPr>
          <w:rFonts w:eastAsia="Times New Roman"/>
          <w:shd w:val="clear" w:color="auto" w:fill="FFFFFF"/>
        </w:rPr>
        <w:t>Our n</w:t>
      </w:r>
      <w:r w:rsidR="005B50DC">
        <w:rPr>
          <w:rFonts w:eastAsia="Times New Roman"/>
          <w:shd w:val="clear" w:color="auto" w:fill="FFFFFF"/>
        </w:rPr>
        <w:t>ext priorities include:</w:t>
      </w:r>
    </w:p>
    <w:p w14:paraId="51A59A83" w14:textId="303DD39B" w:rsidR="00F4201E" w:rsidRPr="00486844" w:rsidRDefault="00F468AF" w:rsidP="00ED1A1F">
      <w:pPr>
        <w:pStyle w:val="ListParagraph"/>
        <w:numPr>
          <w:ilvl w:val="0"/>
          <w:numId w:val="12"/>
        </w:numPr>
        <w:rPr>
          <w:rFonts w:eastAsia="Times New Roman"/>
          <w:shd w:val="clear" w:color="auto" w:fill="FFFFFF"/>
        </w:rPr>
      </w:pPr>
      <w:r>
        <w:rPr>
          <w:rFonts w:eastAsia="Times New Roman"/>
          <w:b/>
          <w:bCs/>
          <w:shd w:val="clear" w:color="auto" w:fill="FFFFFF"/>
        </w:rPr>
        <w:t>Deliver</w:t>
      </w:r>
      <w:r w:rsidR="000D4C0D">
        <w:rPr>
          <w:rFonts w:eastAsia="Times New Roman"/>
          <w:b/>
          <w:bCs/>
          <w:shd w:val="clear" w:color="auto" w:fill="FFFFFF"/>
        </w:rPr>
        <w:t>ing</w:t>
      </w:r>
      <w:r w:rsidR="00302979">
        <w:rPr>
          <w:rFonts w:eastAsia="Times New Roman"/>
          <w:b/>
          <w:bCs/>
          <w:shd w:val="clear" w:color="auto" w:fill="FFFFFF"/>
        </w:rPr>
        <w:t xml:space="preserve"> portal foundations</w:t>
      </w:r>
      <w:r w:rsidR="000D4C0D" w:rsidRPr="00CD36F2">
        <w:rPr>
          <w:rFonts w:eastAsia="Times New Roman"/>
          <w:shd w:val="clear" w:color="auto" w:fill="FFFFFF"/>
        </w:rPr>
        <w:t xml:space="preserve">, including the first stages of work on </w:t>
      </w:r>
      <w:r w:rsidR="005A223C" w:rsidRPr="00486844">
        <w:rPr>
          <w:rFonts w:eastAsia="Times New Roman"/>
          <w:shd w:val="clear" w:color="auto" w:fill="FFFFFF"/>
        </w:rPr>
        <w:t xml:space="preserve">a </w:t>
      </w:r>
      <w:r w:rsidR="000D4C0D">
        <w:rPr>
          <w:rFonts w:eastAsia="Times New Roman"/>
          <w:shd w:val="clear" w:color="auto" w:fill="FFFFFF"/>
        </w:rPr>
        <w:t xml:space="preserve">new </w:t>
      </w:r>
      <w:r w:rsidR="005A223C" w:rsidRPr="00486844">
        <w:rPr>
          <w:rFonts w:eastAsia="Times New Roman"/>
          <w:shd w:val="clear" w:color="auto" w:fill="FFFFFF"/>
        </w:rPr>
        <w:t xml:space="preserve">portal landing page, </w:t>
      </w:r>
      <w:r w:rsidR="007B382F" w:rsidRPr="00486844">
        <w:rPr>
          <w:rFonts w:eastAsia="Times New Roman"/>
          <w:shd w:val="clear" w:color="auto" w:fill="FFFFFF"/>
        </w:rPr>
        <w:t>dashboard, service catalogue and search, not</w:t>
      </w:r>
      <w:r w:rsidR="00AB1B0B" w:rsidRPr="00486844">
        <w:rPr>
          <w:rFonts w:eastAsia="Times New Roman"/>
          <w:shd w:val="clear" w:color="auto" w:fill="FFFFFF"/>
        </w:rPr>
        <w:t>i</w:t>
      </w:r>
      <w:r w:rsidR="007B382F" w:rsidRPr="00486844">
        <w:rPr>
          <w:rFonts w:eastAsia="Times New Roman"/>
          <w:shd w:val="clear" w:color="auto" w:fill="FFFFFF"/>
        </w:rPr>
        <w:t>f</w:t>
      </w:r>
      <w:r w:rsidR="00F704F0" w:rsidRPr="00486844">
        <w:rPr>
          <w:rFonts w:eastAsia="Times New Roman"/>
          <w:shd w:val="clear" w:color="auto" w:fill="FFFFFF"/>
        </w:rPr>
        <w:t>i</w:t>
      </w:r>
      <w:r w:rsidR="00AB1B0B" w:rsidRPr="00486844">
        <w:rPr>
          <w:rFonts w:eastAsia="Times New Roman"/>
          <w:shd w:val="clear" w:color="auto" w:fill="FFFFFF"/>
        </w:rPr>
        <w:t>c</w:t>
      </w:r>
      <w:r w:rsidR="007B382F" w:rsidRPr="00486844">
        <w:rPr>
          <w:rFonts w:eastAsia="Times New Roman"/>
          <w:shd w:val="clear" w:color="auto" w:fill="FFFFFF"/>
        </w:rPr>
        <w:t xml:space="preserve">ations, customer identity management, user registration and organisation management and </w:t>
      </w:r>
      <w:r w:rsidR="00CC7ADC" w:rsidRPr="00486844">
        <w:rPr>
          <w:rFonts w:eastAsia="Times New Roman"/>
          <w:shd w:val="clear" w:color="auto" w:fill="FFFFFF"/>
        </w:rPr>
        <w:t>payment capability.</w:t>
      </w:r>
    </w:p>
    <w:p w14:paraId="024B05BB" w14:textId="5E98D882" w:rsidR="00CC7ADC" w:rsidRPr="00486844" w:rsidRDefault="00313557" w:rsidP="00ED1A1F">
      <w:pPr>
        <w:pStyle w:val="ListParagraph"/>
        <w:numPr>
          <w:ilvl w:val="0"/>
          <w:numId w:val="12"/>
        </w:numPr>
        <w:rPr>
          <w:rFonts w:eastAsia="Times New Roman"/>
          <w:shd w:val="clear" w:color="auto" w:fill="FFFFFF"/>
        </w:rPr>
      </w:pPr>
      <w:r>
        <w:rPr>
          <w:rFonts w:eastAsia="Times New Roman"/>
          <w:b/>
          <w:bCs/>
          <w:shd w:val="clear" w:color="auto" w:fill="FFFFFF"/>
        </w:rPr>
        <w:t>Delivering case management foundations</w:t>
      </w:r>
      <w:r w:rsidRPr="00CD36F2">
        <w:rPr>
          <w:rFonts w:eastAsia="Times New Roman"/>
          <w:shd w:val="clear" w:color="auto" w:fill="FFFFFF"/>
        </w:rPr>
        <w:t xml:space="preserve">, including </w:t>
      </w:r>
      <w:r w:rsidR="00516E19" w:rsidRPr="00486844">
        <w:rPr>
          <w:rFonts w:eastAsia="Times New Roman"/>
          <w:shd w:val="clear" w:color="auto" w:fill="FFFFFF"/>
        </w:rPr>
        <w:t>ready</w:t>
      </w:r>
      <w:r w:rsidR="00142ACF">
        <w:rPr>
          <w:rFonts w:eastAsia="Times New Roman"/>
          <w:shd w:val="clear" w:color="auto" w:fill="FFFFFF"/>
        </w:rPr>
        <w:t>-</w:t>
      </w:r>
      <w:r w:rsidR="00516E19" w:rsidRPr="00486844">
        <w:rPr>
          <w:rFonts w:eastAsia="Times New Roman"/>
          <w:shd w:val="clear" w:color="auto" w:fill="FFFFFF"/>
        </w:rPr>
        <w:t>to</w:t>
      </w:r>
      <w:r w:rsidR="00142ACF">
        <w:rPr>
          <w:rFonts w:eastAsia="Times New Roman"/>
          <w:shd w:val="clear" w:color="auto" w:fill="FFFFFF"/>
        </w:rPr>
        <w:t>-</w:t>
      </w:r>
      <w:r w:rsidR="00516E19" w:rsidRPr="00486844">
        <w:rPr>
          <w:rFonts w:eastAsia="Times New Roman"/>
          <w:shd w:val="clear" w:color="auto" w:fill="FFFFFF"/>
        </w:rPr>
        <w:t>configure ways to manage submissions, progress</w:t>
      </w:r>
      <w:r w:rsidR="0003666C" w:rsidRPr="00486844">
        <w:rPr>
          <w:rFonts w:eastAsia="Times New Roman"/>
          <w:shd w:val="clear" w:color="auto" w:fill="FFFFFF"/>
        </w:rPr>
        <w:t xml:space="preserve"> cases through stages to completion, </w:t>
      </w:r>
      <w:r w:rsidR="00142ACF">
        <w:rPr>
          <w:rFonts w:eastAsia="Times New Roman"/>
          <w:shd w:val="clear" w:color="auto" w:fill="FFFFFF"/>
        </w:rPr>
        <w:t xml:space="preserve">and </w:t>
      </w:r>
      <w:r w:rsidR="0003666C" w:rsidRPr="00486844">
        <w:rPr>
          <w:rFonts w:eastAsia="Times New Roman"/>
          <w:shd w:val="clear" w:color="auto" w:fill="FFFFFF"/>
        </w:rPr>
        <w:t>track and manage work, portal integrations</w:t>
      </w:r>
      <w:r w:rsidR="006A17DD">
        <w:rPr>
          <w:rFonts w:eastAsia="Times New Roman"/>
          <w:shd w:val="clear" w:color="auto" w:fill="FFFFFF"/>
        </w:rPr>
        <w:t>,</w:t>
      </w:r>
      <w:r w:rsidR="0003666C" w:rsidRPr="00486844">
        <w:rPr>
          <w:rFonts w:eastAsia="Times New Roman"/>
          <w:shd w:val="clear" w:color="auto" w:fill="FFFFFF"/>
        </w:rPr>
        <w:t xml:space="preserve"> and a </w:t>
      </w:r>
      <w:r>
        <w:rPr>
          <w:rFonts w:eastAsia="Times New Roman"/>
          <w:shd w:val="clear" w:color="auto" w:fill="FFFFFF"/>
        </w:rPr>
        <w:t xml:space="preserve">growing </w:t>
      </w:r>
      <w:r w:rsidR="0003666C" w:rsidRPr="00486844">
        <w:rPr>
          <w:rFonts w:eastAsia="Times New Roman"/>
          <w:shd w:val="clear" w:color="auto" w:fill="FFFFFF"/>
        </w:rPr>
        <w:t>library of common functions</w:t>
      </w:r>
      <w:r w:rsidR="00AB1B0B" w:rsidRPr="00486844">
        <w:rPr>
          <w:rFonts w:eastAsia="Times New Roman"/>
          <w:shd w:val="clear" w:color="auto" w:fill="FFFFFF"/>
        </w:rPr>
        <w:t xml:space="preserve"> such as payment integrations, document generations and task assignment.</w:t>
      </w:r>
    </w:p>
    <w:p w14:paraId="3FBECAF7" w14:textId="3D56C0DA" w:rsidR="00F4201E" w:rsidRPr="00486844" w:rsidRDefault="00862A4D" w:rsidP="00ED1A1F">
      <w:pPr>
        <w:pStyle w:val="ListParagraph"/>
        <w:numPr>
          <w:ilvl w:val="0"/>
          <w:numId w:val="12"/>
        </w:numPr>
        <w:rPr>
          <w:rFonts w:eastAsia="Times New Roman"/>
          <w:shd w:val="clear" w:color="auto" w:fill="FFFFFF"/>
        </w:rPr>
      </w:pPr>
      <w:r w:rsidRPr="00486844">
        <w:rPr>
          <w:rFonts w:eastAsia="Times New Roman"/>
          <w:b/>
          <w:bCs/>
          <w:shd w:val="clear" w:color="auto" w:fill="FFFFFF"/>
        </w:rPr>
        <w:lastRenderedPageBreak/>
        <w:t xml:space="preserve">Onboarding of </w:t>
      </w:r>
      <w:r w:rsidR="00313557">
        <w:rPr>
          <w:rFonts w:eastAsia="Times New Roman"/>
          <w:b/>
          <w:bCs/>
          <w:shd w:val="clear" w:color="auto" w:fill="FFFFFF"/>
        </w:rPr>
        <w:t xml:space="preserve">the first </w:t>
      </w:r>
      <w:r w:rsidRPr="00486844">
        <w:rPr>
          <w:rFonts w:eastAsia="Times New Roman"/>
          <w:b/>
          <w:bCs/>
          <w:shd w:val="clear" w:color="auto" w:fill="FFFFFF"/>
        </w:rPr>
        <w:t xml:space="preserve">TGA processes to </w:t>
      </w:r>
      <w:r w:rsidR="00313557">
        <w:rPr>
          <w:rFonts w:eastAsia="Times New Roman"/>
          <w:b/>
          <w:bCs/>
          <w:shd w:val="clear" w:color="auto" w:fill="FFFFFF"/>
        </w:rPr>
        <w:t xml:space="preserve">new </w:t>
      </w:r>
      <w:r w:rsidRPr="00486844">
        <w:rPr>
          <w:rFonts w:eastAsia="Times New Roman"/>
          <w:b/>
          <w:bCs/>
          <w:shd w:val="clear" w:color="auto" w:fill="FFFFFF"/>
        </w:rPr>
        <w:t>core solution</w:t>
      </w:r>
      <w:r w:rsidR="00313557">
        <w:rPr>
          <w:rFonts w:eastAsia="Times New Roman"/>
          <w:b/>
          <w:bCs/>
          <w:shd w:val="clear" w:color="auto" w:fill="FFFFFF"/>
        </w:rPr>
        <w:t>s</w:t>
      </w:r>
      <w:r w:rsidR="009B56EB">
        <w:rPr>
          <w:rFonts w:eastAsia="Times New Roman"/>
          <w:shd w:val="clear" w:color="auto" w:fill="FFFFFF"/>
        </w:rPr>
        <w:t>,</w:t>
      </w:r>
      <w:r w:rsidRPr="00486844">
        <w:rPr>
          <w:rFonts w:eastAsia="Times New Roman"/>
          <w:shd w:val="clear" w:color="auto" w:fill="FFFFFF"/>
        </w:rPr>
        <w:t xml:space="preserve"> </w:t>
      </w:r>
      <w:r w:rsidR="00C62481">
        <w:rPr>
          <w:rFonts w:eastAsia="Times New Roman"/>
          <w:shd w:val="clear" w:color="auto" w:fill="FFFFFF"/>
        </w:rPr>
        <w:t>s</w:t>
      </w:r>
      <w:r w:rsidR="0026148D" w:rsidRPr="00486844">
        <w:rPr>
          <w:rFonts w:eastAsia="Times New Roman"/>
          <w:shd w:val="clear" w:color="auto" w:fill="FFFFFF"/>
        </w:rPr>
        <w:t xml:space="preserve">tarting with new ingredient name proposal, pre-submission meeting request and </w:t>
      </w:r>
      <w:r w:rsidR="005C65B3" w:rsidRPr="00486844">
        <w:rPr>
          <w:rFonts w:eastAsia="Times New Roman"/>
          <w:shd w:val="clear" w:color="auto" w:fill="FFFFFF"/>
        </w:rPr>
        <w:t>designation applications.</w:t>
      </w:r>
    </w:p>
    <w:p w14:paraId="574A7907" w14:textId="434B1D8D" w:rsidR="00862A4D" w:rsidRPr="00486844" w:rsidRDefault="00C62481" w:rsidP="00ED1A1F">
      <w:pPr>
        <w:pStyle w:val="ListParagraph"/>
        <w:numPr>
          <w:ilvl w:val="0"/>
          <w:numId w:val="12"/>
        </w:numPr>
        <w:rPr>
          <w:rFonts w:eastAsia="Times New Roman"/>
          <w:shd w:val="clear" w:color="auto" w:fill="FFFFFF"/>
        </w:rPr>
      </w:pPr>
      <w:r>
        <w:rPr>
          <w:rFonts w:eastAsia="Times New Roman"/>
          <w:b/>
          <w:bCs/>
          <w:shd w:val="clear" w:color="auto" w:fill="FFFFFF"/>
        </w:rPr>
        <w:t>Delivering the next round of e</w:t>
      </w:r>
      <w:r w:rsidR="00174652" w:rsidRPr="00486844">
        <w:rPr>
          <w:rFonts w:eastAsia="Times New Roman"/>
          <w:b/>
          <w:bCs/>
          <w:shd w:val="clear" w:color="auto" w:fill="FFFFFF"/>
        </w:rPr>
        <w:t>nhancements to the TGA website</w:t>
      </w:r>
      <w:r w:rsidR="009B56EB">
        <w:rPr>
          <w:rFonts w:eastAsia="Times New Roman"/>
          <w:shd w:val="clear" w:color="auto" w:fill="FFFFFF"/>
        </w:rPr>
        <w:t>, including</w:t>
      </w:r>
      <w:r w:rsidR="002979A8" w:rsidRPr="00486844">
        <w:rPr>
          <w:rFonts w:eastAsia="Times New Roman"/>
          <w:shd w:val="clear" w:color="auto" w:fill="FFFFFF"/>
        </w:rPr>
        <w:t xml:space="preserve"> content improvement</w:t>
      </w:r>
      <w:r>
        <w:rPr>
          <w:rFonts w:eastAsia="Times New Roman"/>
          <w:shd w:val="clear" w:color="auto" w:fill="FFFFFF"/>
        </w:rPr>
        <w:t>s to</w:t>
      </w:r>
      <w:r w:rsidR="002979A8" w:rsidRPr="00486844">
        <w:rPr>
          <w:rFonts w:eastAsia="Times New Roman"/>
          <w:shd w:val="clear" w:color="auto" w:fill="FFFFFF"/>
        </w:rPr>
        <w:t xml:space="preserve"> improve search</w:t>
      </w:r>
      <w:r>
        <w:rPr>
          <w:rFonts w:eastAsia="Times New Roman"/>
          <w:shd w:val="clear" w:color="auto" w:fill="FFFFFF"/>
        </w:rPr>
        <w:t xml:space="preserve">, as well as </w:t>
      </w:r>
      <w:r w:rsidR="00975E4F" w:rsidRPr="00486844">
        <w:rPr>
          <w:rFonts w:eastAsia="Times New Roman"/>
          <w:shd w:val="clear" w:color="auto" w:fill="FFFFFF"/>
        </w:rPr>
        <w:t xml:space="preserve">improvements to regulatory guidance </w:t>
      </w:r>
      <w:r w:rsidR="00D413EC" w:rsidRPr="00486844">
        <w:rPr>
          <w:rFonts w:eastAsia="Times New Roman"/>
          <w:shd w:val="clear" w:color="auto" w:fill="FFFFFF"/>
        </w:rPr>
        <w:t xml:space="preserve">will </w:t>
      </w:r>
      <w:r w:rsidR="00F704F0" w:rsidRPr="00486844">
        <w:rPr>
          <w:rFonts w:eastAsia="Times New Roman"/>
          <w:shd w:val="clear" w:color="auto" w:fill="FFFFFF"/>
        </w:rPr>
        <w:t>aid industry sponsors and manufacturers.</w:t>
      </w:r>
    </w:p>
    <w:p w14:paraId="5026C47A" w14:textId="183FF1F4" w:rsidR="00486844" w:rsidRPr="00486844" w:rsidRDefault="03684E41" w:rsidP="008679D6">
      <w:pPr>
        <w:pStyle w:val="Heading2"/>
        <w:rPr>
          <w:shd w:val="clear" w:color="auto" w:fill="FFFFFF"/>
        </w:rPr>
      </w:pPr>
      <w:bookmarkStart w:id="76" w:name="_Toc153550435"/>
      <w:r>
        <w:rPr>
          <w:shd w:val="clear" w:color="auto" w:fill="FFFFFF"/>
        </w:rPr>
        <w:t>Consolidation of data assets</w:t>
      </w:r>
      <w:bookmarkEnd w:id="76"/>
    </w:p>
    <w:p w14:paraId="2BADEEA4" w14:textId="38BC1259" w:rsidR="00CB74E2" w:rsidRPr="00722734" w:rsidRDefault="008B6DF5" w:rsidP="00CB2A68">
      <w:pPr>
        <w:pStyle w:val="NoSpacing"/>
        <w:spacing w:before="120" w:after="120"/>
        <w:rPr>
          <w:rFonts w:ascii="Arial" w:hAnsi="Arial" w:cs="Arial"/>
          <w:b/>
          <w:bCs/>
          <w:sz w:val="22"/>
          <w:szCs w:val="22"/>
        </w:rPr>
      </w:pPr>
      <w:r w:rsidRPr="40EB8B97">
        <w:rPr>
          <w:rFonts w:ascii="Arial" w:hAnsi="Arial" w:cs="Arial"/>
          <w:b/>
          <w:bCs/>
          <w:sz w:val="22"/>
          <w:szCs w:val="22"/>
        </w:rPr>
        <w:t>We are c</w:t>
      </w:r>
      <w:r w:rsidR="00CB74E2" w:rsidRPr="40EB8B97">
        <w:rPr>
          <w:rFonts w:ascii="Arial" w:hAnsi="Arial" w:cs="Arial"/>
          <w:b/>
          <w:bCs/>
          <w:sz w:val="22"/>
          <w:szCs w:val="22"/>
        </w:rPr>
        <w:t>onsolid</w:t>
      </w:r>
      <w:r w:rsidR="00B37F70" w:rsidRPr="40EB8B97">
        <w:rPr>
          <w:rFonts w:ascii="Arial" w:hAnsi="Arial" w:cs="Arial"/>
          <w:b/>
          <w:bCs/>
          <w:sz w:val="22"/>
          <w:szCs w:val="22"/>
        </w:rPr>
        <w:t>at</w:t>
      </w:r>
      <w:r w:rsidRPr="40EB8B97">
        <w:rPr>
          <w:rFonts w:ascii="Arial" w:hAnsi="Arial" w:cs="Arial"/>
          <w:b/>
          <w:bCs/>
          <w:sz w:val="22"/>
          <w:szCs w:val="22"/>
        </w:rPr>
        <w:t>ing</w:t>
      </w:r>
      <w:r w:rsidR="00CB74E2" w:rsidRPr="40EB8B97">
        <w:rPr>
          <w:rFonts w:ascii="Arial" w:hAnsi="Arial" w:cs="Arial"/>
          <w:b/>
          <w:bCs/>
          <w:sz w:val="22"/>
          <w:szCs w:val="22"/>
        </w:rPr>
        <w:t xml:space="preserve"> TGA’s data assets to better support TGA’s regulatory activities.</w:t>
      </w:r>
    </w:p>
    <w:p w14:paraId="490FF53D" w14:textId="3413BD0A" w:rsidR="00CB74E2" w:rsidRDefault="00E328B0" w:rsidP="00AD7977">
      <w:pPr>
        <w:rPr>
          <w:shd w:val="clear" w:color="auto" w:fill="FFFFFF"/>
        </w:rPr>
      </w:pPr>
      <w:r w:rsidRPr="0097234B">
        <w:rPr>
          <w:shd w:val="clear" w:color="auto" w:fill="FFFFFF"/>
        </w:rPr>
        <w:t xml:space="preserve">Through delivery of a new case management solution, </w:t>
      </w:r>
      <w:r w:rsidR="0013004E">
        <w:rPr>
          <w:shd w:val="clear" w:color="auto" w:fill="FFFFFF"/>
        </w:rPr>
        <w:t xml:space="preserve">we are </w:t>
      </w:r>
      <w:r w:rsidR="00643C15">
        <w:rPr>
          <w:shd w:val="clear" w:color="auto" w:fill="FFFFFF"/>
        </w:rPr>
        <w:t>providing greater consolidation of our data assets that support</w:t>
      </w:r>
      <w:r w:rsidR="00B82329">
        <w:rPr>
          <w:shd w:val="clear" w:color="auto" w:fill="FFFFFF"/>
        </w:rPr>
        <w:t xml:space="preserve"> regulatory activities by</w:t>
      </w:r>
      <w:r w:rsidR="00EA73CB">
        <w:rPr>
          <w:shd w:val="clear" w:color="auto" w:fill="FFFFFF"/>
        </w:rPr>
        <w:t xml:space="preserve"> gradually onboarding </w:t>
      </w:r>
      <w:r w:rsidRPr="0097234B">
        <w:rPr>
          <w:shd w:val="clear" w:color="auto" w:fill="FFFFFF"/>
        </w:rPr>
        <w:t>business areas that currently operate in silo systems</w:t>
      </w:r>
      <w:r w:rsidR="00BC3316">
        <w:rPr>
          <w:shd w:val="clear" w:color="auto" w:fill="FFFFFF"/>
        </w:rPr>
        <w:t>. Over time</w:t>
      </w:r>
      <w:r w:rsidR="006A17DD">
        <w:rPr>
          <w:shd w:val="clear" w:color="auto" w:fill="FFFFFF"/>
        </w:rPr>
        <w:t>,</w:t>
      </w:r>
      <w:r w:rsidR="00BC3316">
        <w:rPr>
          <w:shd w:val="clear" w:color="auto" w:fill="FFFFFF"/>
        </w:rPr>
        <w:t xml:space="preserve"> </w:t>
      </w:r>
      <w:r w:rsidR="00A96044">
        <w:rPr>
          <w:shd w:val="clear" w:color="auto" w:fill="FFFFFF"/>
        </w:rPr>
        <w:t xml:space="preserve">all regulatory activities will be managed through </w:t>
      </w:r>
      <w:r w:rsidRPr="0097234B">
        <w:rPr>
          <w:shd w:val="clear" w:color="auto" w:fill="FFFFFF"/>
        </w:rPr>
        <w:t xml:space="preserve">one case management solution. </w:t>
      </w:r>
    </w:p>
    <w:p w14:paraId="58BCF8DA" w14:textId="195B1B68" w:rsidR="0087763F" w:rsidRPr="003E39BC" w:rsidRDefault="4B7386F1" w:rsidP="00A243E8">
      <w:pPr>
        <w:pStyle w:val="Heading2"/>
      </w:pPr>
      <w:bookmarkStart w:id="77" w:name="_Toc153550436"/>
      <w:r>
        <w:t>Modernisation of the TGA Laboratories</w:t>
      </w:r>
      <w:bookmarkEnd w:id="77"/>
    </w:p>
    <w:p w14:paraId="6BB20DE4" w14:textId="1907FF03" w:rsidR="00B82CB4" w:rsidRPr="00722734" w:rsidRDefault="00EA2C9E" w:rsidP="00CB2A68">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5E2D05" w:rsidRPr="40EB8B97">
        <w:rPr>
          <w:rFonts w:ascii="Arial" w:hAnsi="Arial" w:cs="Arial"/>
          <w:b/>
          <w:bCs/>
          <w:sz w:val="22"/>
          <w:szCs w:val="22"/>
        </w:rPr>
        <w:t>m</w:t>
      </w:r>
      <w:r w:rsidRPr="40EB8B97">
        <w:rPr>
          <w:rFonts w:ascii="Arial" w:hAnsi="Arial" w:cs="Arial"/>
          <w:b/>
          <w:bCs/>
          <w:sz w:val="22"/>
          <w:szCs w:val="22"/>
        </w:rPr>
        <w:t>odernised</w:t>
      </w:r>
      <w:r w:rsidR="00CB74E2" w:rsidRPr="40EB8B97">
        <w:rPr>
          <w:rFonts w:ascii="Arial" w:hAnsi="Arial" w:cs="Arial"/>
          <w:b/>
          <w:bCs/>
          <w:sz w:val="22"/>
          <w:szCs w:val="22"/>
        </w:rPr>
        <w:t xml:space="preserve"> the TGA Laboratories through transferring laboratory services to the new purpose-built facility at Fairbairn.</w:t>
      </w:r>
    </w:p>
    <w:p w14:paraId="30F95789" w14:textId="44589EAC" w:rsidR="1086F87C" w:rsidRDefault="00BE585F" w:rsidP="001515DB">
      <w:pPr>
        <w:rPr>
          <w:rFonts w:eastAsia="Segoe UI"/>
        </w:rPr>
      </w:pPr>
      <w:r w:rsidRPr="40EB8B97">
        <w:rPr>
          <w:rFonts w:eastAsia="Segoe UI"/>
        </w:rPr>
        <w:t>In August 2022</w:t>
      </w:r>
      <w:r w:rsidR="006A17DD">
        <w:rPr>
          <w:rFonts w:eastAsia="Segoe UI"/>
        </w:rPr>
        <w:t>,</w:t>
      </w:r>
      <w:r w:rsidRPr="40EB8B97">
        <w:rPr>
          <w:rFonts w:eastAsia="Segoe UI"/>
        </w:rPr>
        <w:t xml:space="preserve"> </w:t>
      </w:r>
      <w:r w:rsidR="001615BE" w:rsidRPr="40EB8B97">
        <w:rPr>
          <w:rFonts w:eastAsia="Segoe UI"/>
        </w:rPr>
        <w:t>w</w:t>
      </w:r>
      <w:r w:rsidRPr="40EB8B97">
        <w:rPr>
          <w:rFonts w:eastAsia="Segoe UI"/>
        </w:rPr>
        <w:t>e relocated the</w:t>
      </w:r>
      <w:r w:rsidR="08AE0BA2" w:rsidRPr="40EB8B97">
        <w:rPr>
          <w:rFonts w:eastAsia="Segoe UI"/>
        </w:rPr>
        <w:t xml:space="preserve"> TGA </w:t>
      </w:r>
      <w:r w:rsidR="005D0E02">
        <w:rPr>
          <w:rFonts w:eastAsia="Segoe UI"/>
        </w:rPr>
        <w:t>l</w:t>
      </w:r>
      <w:r w:rsidR="08AE0BA2" w:rsidRPr="40EB8B97">
        <w:rPr>
          <w:rFonts w:eastAsia="Segoe UI"/>
        </w:rPr>
        <w:t xml:space="preserve">aboratories to a new </w:t>
      </w:r>
      <w:r w:rsidR="007E280A" w:rsidRPr="40EB8B97">
        <w:rPr>
          <w:rFonts w:eastAsia="Segoe UI"/>
        </w:rPr>
        <w:t>purpose-built</w:t>
      </w:r>
      <w:r w:rsidR="08AE0BA2" w:rsidRPr="40EB8B97">
        <w:rPr>
          <w:rFonts w:eastAsia="Segoe UI"/>
        </w:rPr>
        <w:t xml:space="preserve"> facility</w:t>
      </w:r>
      <w:r w:rsidR="00E83F7F">
        <w:rPr>
          <w:rFonts w:eastAsia="Segoe UI"/>
        </w:rPr>
        <w:t xml:space="preserve"> </w:t>
      </w:r>
      <w:r w:rsidR="003F79DC" w:rsidRPr="40EB8B97">
        <w:rPr>
          <w:rFonts w:eastAsia="Segoe UI"/>
        </w:rPr>
        <w:t xml:space="preserve">in Fairbairn </w:t>
      </w:r>
      <w:r w:rsidR="003F79DC">
        <w:rPr>
          <w:rFonts w:eastAsia="Segoe UI"/>
        </w:rPr>
        <w:t xml:space="preserve">ACT, </w:t>
      </w:r>
      <w:r w:rsidR="00E83F7F">
        <w:rPr>
          <w:rFonts w:eastAsia="Segoe UI"/>
        </w:rPr>
        <w:t>the Gulgana and Ya</w:t>
      </w:r>
      <w:r w:rsidR="00615315">
        <w:rPr>
          <w:rFonts w:eastAsia="Segoe UI"/>
        </w:rPr>
        <w:t>r</w:t>
      </w:r>
      <w:r w:rsidR="00E83F7F">
        <w:rPr>
          <w:rFonts w:eastAsia="Segoe UI"/>
        </w:rPr>
        <w:t>wan Gawar buildings</w:t>
      </w:r>
      <w:r w:rsidR="08AE0BA2" w:rsidRPr="40EB8B97">
        <w:rPr>
          <w:rFonts w:eastAsia="Segoe UI"/>
        </w:rPr>
        <w:t xml:space="preserve">. </w:t>
      </w:r>
      <w:r w:rsidR="08AE0BA2">
        <w:t xml:space="preserve">The new facility has been designed to maximise functionality </w:t>
      </w:r>
      <w:r w:rsidR="002D48CC">
        <w:t xml:space="preserve">to </w:t>
      </w:r>
      <w:r w:rsidR="08AE0BA2">
        <w:t xml:space="preserve">ensure it meets new and emerging priorities </w:t>
      </w:r>
      <w:r w:rsidR="00415E56">
        <w:t>and</w:t>
      </w:r>
      <w:r w:rsidR="08AE0BA2">
        <w:t xml:space="preserve"> ensur</w:t>
      </w:r>
      <w:r w:rsidR="002D48CC">
        <w:t>es</w:t>
      </w:r>
      <w:r w:rsidR="08AE0BA2">
        <w:t xml:space="preserve"> the quality of therapeutic goods. </w:t>
      </w:r>
      <w:r w:rsidR="08AE0BA2" w:rsidRPr="40EB8B97">
        <w:rPr>
          <w:rFonts w:eastAsia="Segoe UI"/>
        </w:rPr>
        <w:t xml:space="preserve">The transition to the new facility was </w:t>
      </w:r>
      <w:r w:rsidR="00987CD2" w:rsidRPr="40EB8B97">
        <w:rPr>
          <w:rFonts w:eastAsia="Segoe UI"/>
        </w:rPr>
        <w:t>carefully planned</w:t>
      </w:r>
      <w:r w:rsidR="08AE0BA2" w:rsidRPr="40EB8B97">
        <w:rPr>
          <w:rFonts w:eastAsia="Segoe UI"/>
        </w:rPr>
        <w:t xml:space="preserve"> to minimise the impact </w:t>
      </w:r>
      <w:r w:rsidR="0062109B" w:rsidRPr="40EB8B97">
        <w:rPr>
          <w:rFonts w:eastAsia="Segoe UI"/>
        </w:rPr>
        <w:t xml:space="preserve">and output of the </w:t>
      </w:r>
      <w:r w:rsidR="08AE0BA2" w:rsidRPr="40EB8B97">
        <w:rPr>
          <w:rFonts w:eastAsia="Segoe UI"/>
        </w:rPr>
        <w:t>laboratories and the timeliness of regulatory decisions and safety monitoring actions.</w:t>
      </w:r>
    </w:p>
    <w:p w14:paraId="0426BC91" w14:textId="301142FD" w:rsidR="00192D2E" w:rsidRPr="00192D2E" w:rsidRDefault="6EAE2D2C" w:rsidP="00192D2E">
      <w:pPr>
        <w:pStyle w:val="Heading2"/>
      </w:pPr>
      <w:bookmarkStart w:id="78" w:name="_Toc153550437"/>
      <w:r>
        <w:t>Redeveloped TGA website</w:t>
      </w:r>
      <w:bookmarkEnd w:id="78"/>
    </w:p>
    <w:p w14:paraId="31BC1957" w14:textId="450ECD8D" w:rsidR="00CB74E2" w:rsidRPr="00722734" w:rsidRDefault="0040455A" w:rsidP="00CB2A68">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5E2D05" w:rsidRPr="40EB8B97">
        <w:rPr>
          <w:rFonts w:ascii="Arial" w:hAnsi="Arial" w:cs="Arial"/>
          <w:b/>
          <w:bCs/>
          <w:sz w:val="22"/>
          <w:szCs w:val="22"/>
        </w:rPr>
        <w:t>r</w:t>
      </w:r>
      <w:r w:rsidR="00CB74E2" w:rsidRPr="40EB8B97">
        <w:rPr>
          <w:rFonts w:ascii="Arial" w:hAnsi="Arial" w:cs="Arial"/>
          <w:b/>
          <w:bCs/>
          <w:sz w:val="22"/>
          <w:szCs w:val="22"/>
        </w:rPr>
        <w:t>edevelop</w:t>
      </w:r>
      <w:r w:rsidRPr="40EB8B97">
        <w:rPr>
          <w:rFonts w:ascii="Arial" w:hAnsi="Arial" w:cs="Arial"/>
          <w:b/>
          <w:bCs/>
          <w:sz w:val="22"/>
          <w:szCs w:val="22"/>
        </w:rPr>
        <w:t>ed</w:t>
      </w:r>
      <w:r w:rsidR="00CB74E2" w:rsidRPr="40EB8B97">
        <w:rPr>
          <w:rFonts w:ascii="Arial" w:hAnsi="Arial" w:cs="Arial"/>
          <w:b/>
          <w:bCs/>
          <w:sz w:val="22"/>
          <w:szCs w:val="22"/>
        </w:rPr>
        <w:t xml:space="preserve"> the TGA website to provide a more user centric design and modern digital services and information useful for consumers, health</w:t>
      </w:r>
      <w:r w:rsidR="002A4E8C">
        <w:rPr>
          <w:rFonts w:ascii="Arial" w:hAnsi="Arial" w:cs="Arial"/>
          <w:b/>
          <w:bCs/>
          <w:sz w:val="22"/>
          <w:szCs w:val="22"/>
        </w:rPr>
        <w:t xml:space="preserve"> </w:t>
      </w:r>
      <w:r w:rsidR="00CB74E2" w:rsidRPr="40EB8B97">
        <w:rPr>
          <w:rFonts w:ascii="Arial" w:hAnsi="Arial" w:cs="Arial"/>
          <w:b/>
          <w:bCs/>
          <w:sz w:val="22"/>
          <w:szCs w:val="22"/>
        </w:rPr>
        <w:t xml:space="preserve">care professionals and industry. </w:t>
      </w:r>
    </w:p>
    <w:p w14:paraId="0EA4AEEE" w14:textId="2CA83FA7" w:rsidR="0048053D" w:rsidRPr="00AC4B4B" w:rsidRDefault="002439F8" w:rsidP="00732E33">
      <w:r>
        <w:t>We introduced n</w:t>
      </w:r>
      <w:r w:rsidR="0048053D">
        <w:t>ew user experience management software to improve our data gathering capabilities and our understanding of users of the TGA website.</w:t>
      </w:r>
      <w:r w:rsidR="0050410C">
        <w:t xml:space="preserve"> </w:t>
      </w:r>
      <w:r w:rsidR="0048053D">
        <w:t>Following the launch of the new TGA website</w:t>
      </w:r>
      <w:r w:rsidR="708476AB">
        <w:t>,</w:t>
      </w:r>
      <w:r w:rsidR="0048053D">
        <w:t xml:space="preserve"> we discovered</w:t>
      </w:r>
      <w:r w:rsidR="0050410C">
        <w:t xml:space="preserve"> that </w:t>
      </w:r>
      <w:r w:rsidR="0048053D">
        <w:t xml:space="preserve">79% of our users </w:t>
      </w:r>
      <w:r w:rsidR="00732E33">
        <w:t>we</w:t>
      </w:r>
      <w:r w:rsidR="0048053D">
        <w:t>re likely or very likely to return</w:t>
      </w:r>
      <w:r w:rsidR="00732E33">
        <w:t xml:space="preserve"> and </w:t>
      </w:r>
      <w:r w:rsidR="0048053D">
        <w:t xml:space="preserve">55% </w:t>
      </w:r>
      <w:r w:rsidR="00732E33">
        <w:t>were</w:t>
      </w:r>
      <w:r w:rsidR="0048053D">
        <w:t xml:space="preserve"> satisfied or very satisfied with their user experience.</w:t>
      </w:r>
    </w:p>
    <w:p w14:paraId="5C491B81" w14:textId="3FE30381" w:rsidR="0048053D" w:rsidRDefault="0048053D" w:rsidP="001515DB">
      <w:r w:rsidRPr="0048053D">
        <w:t xml:space="preserve">We </w:t>
      </w:r>
      <w:r w:rsidR="00EE1125">
        <w:t xml:space="preserve">also </w:t>
      </w:r>
      <w:r w:rsidRPr="0048053D">
        <w:t>reduced the TGA website average page load time by 40%, improving our website user experience and presence on Google.</w:t>
      </w:r>
      <w:r w:rsidR="00EE1125">
        <w:t xml:space="preserve"> </w:t>
      </w:r>
      <w:r w:rsidRPr="0048053D">
        <w:t>Analysis using our new data gathering capabilities has improved our ability to prioritise content updates and redirect our work towards measurable user needs. We now know that 75% of participants surveyed are looking for information on a product or process administered by the TGA.</w:t>
      </w:r>
    </w:p>
    <w:p w14:paraId="7B87E290" w14:textId="57C231EF" w:rsidR="00E60A49" w:rsidRDefault="006B7F33" w:rsidP="001515DB">
      <w:pPr>
        <w:rPr>
          <w:rFonts w:cstheme="minorBidi"/>
        </w:rPr>
      </w:pPr>
      <w:r w:rsidRPr="40EB8B97">
        <w:rPr>
          <w:rFonts w:cstheme="minorBidi"/>
        </w:rPr>
        <w:t xml:space="preserve">The TGA </w:t>
      </w:r>
      <w:r w:rsidR="00E2647F" w:rsidRPr="40EB8B97">
        <w:rPr>
          <w:rFonts w:cstheme="minorBidi"/>
        </w:rPr>
        <w:t>will continue to ensure the website is</w:t>
      </w:r>
      <w:r w:rsidR="00736627" w:rsidRPr="40EB8B97">
        <w:rPr>
          <w:rFonts w:cstheme="minorBidi"/>
        </w:rPr>
        <w:t xml:space="preserve"> </w:t>
      </w:r>
      <w:r w:rsidRPr="40EB8B97">
        <w:rPr>
          <w:rFonts w:cstheme="minorBidi"/>
        </w:rPr>
        <w:t>accessible, easy to navigate</w:t>
      </w:r>
      <w:r w:rsidR="00607A70" w:rsidRPr="40EB8B97">
        <w:rPr>
          <w:rFonts w:cstheme="minorBidi"/>
        </w:rPr>
        <w:t xml:space="preserve"> and</w:t>
      </w:r>
      <w:r w:rsidRPr="40EB8B97">
        <w:rPr>
          <w:rFonts w:cstheme="minorBidi"/>
        </w:rPr>
        <w:t xml:space="preserve"> accurate</w:t>
      </w:r>
      <w:r w:rsidR="00607A70" w:rsidRPr="40EB8B97">
        <w:rPr>
          <w:rFonts w:cstheme="minorBidi"/>
        </w:rPr>
        <w:t xml:space="preserve">. </w:t>
      </w:r>
      <w:r w:rsidR="006D125B" w:rsidRPr="40EB8B97">
        <w:rPr>
          <w:rFonts w:cstheme="minorBidi"/>
        </w:rPr>
        <w:t xml:space="preserve">Further upgrades to the website </w:t>
      </w:r>
      <w:r w:rsidR="006C3D56" w:rsidRPr="40EB8B97">
        <w:rPr>
          <w:rFonts w:cstheme="minorBidi"/>
        </w:rPr>
        <w:t xml:space="preserve">in 2023-24 </w:t>
      </w:r>
      <w:r w:rsidR="006D125B" w:rsidRPr="40EB8B97">
        <w:rPr>
          <w:rFonts w:cstheme="minorBidi"/>
        </w:rPr>
        <w:t>will</w:t>
      </w:r>
      <w:r w:rsidR="00175F59" w:rsidRPr="40EB8B97">
        <w:rPr>
          <w:rFonts w:cstheme="minorBidi"/>
        </w:rPr>
        <w:t xml:space="preserve"> focus on content and search</w:t>
      </w:r>
      <w:r w:rsidR="00F010CD" w:rsidRPr="40EB8B97">
        <w:rPr>
          <w:rFonts w:cstheme="minorBidi"/>
        </w:rPr>
        <w:t xml:space="preserve"> to provide timely benefits to </w:t>
      </w:r>
      <w:r w:rsidRPr="40EB8B97">
        <w:rPr>
          <w:rFonts w:cstheme="minorBidi"/>
        </w:rPr>
        <w:t xml:space="preserve">industry, health professionals and the </w:t>
      </w:r>
      <w:r w:rsidR="00E92498" w:rsidRPr="40EB8B97">
        <w:rPr>
          <w:rFonts w:cstheme="minorBidi"/>
        </w:rPr>
        <w:t>public</w:t>
      </w:r>
      <w:r w:rsidRPr="40EB8B97">
        <w:rPr>
          <w:rFonts w:cstheme="minorBidi"/>
        </w:rPr>
        <w:t>.</w:t>
      </w:r>
    </w:p>
    <w:p w14:paraId="50028BD1" w14:textId="77777777" w:rsidR="00E60A49" w:rsidRDefault="00E60A49">
      <w:pPr>
        <w:spacing w:before="0" w:after="160" w:line="259" w:lineRule="auto"/>
        <w:rPr>
          <w:rFonts w:cstheme="minorBidi"/>
        </w:rPr>
      </w:pPr>
      <w:r>
        <w:rPr>
          <w:rFonts w:cstheme="minorBidi"/>
        </w:rPr>
        <w:br w:type="page"/>
      </w:r>
    </w:p>
    <w:p w14:paraId="24B51D46" w14:textId="5BFAD478" w:rsidR="0033354C" w:rsidRPr="006A2BA7" w:rsidRDefault="60938BDB" w:rsidP="0033354C">
      <w:pPr>
        <w:pStyle w:val="Heading2"/>
      </w:pPr>
      <w:bookmarkStart w:id="79" w:name="_Toc153550438"/>
      <w:r>
        <w:lastRenderedPageBreak/>
        <w:t>Searchable Poison Standard database</w:t>
      </w:r>
      <w:bookmarkEnd w:id="79"/>
    </w:p>
    <w:p w14:paraId="3A75CDBF" w14:textId="4759FA59" w:rsidR="00CB74E2" w:rsidRPr="00322B08" w:rsidRDefault="00BA30C6" w:rsidP="00CB2A68">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7E2A29" w:rsidRPr="40EB8B97">
        <w:rPr>
          <w:rFonts w:ascii="Arial" w:hAnsi="Arial" w:cs="Arial"/>
          <w:b/>
          <w:bCs/>
          <w:sz w:val="22"/>
          <w:szCs w:val="22"/>
        </w:rPr>
        <w:t>are developing</w:t>
      </w:r>
      <w:r w:rsidR="6A9D7EB2" w:rsidRPr="40EB8B97">
        <w:rPr>
          <w:rFonts w:ascii="Arial" w:hAnsi="Arial" w:cs="Arial"/>
          <w:b/>
          <w:bCs/>
          <w:sz w:val="22"/>
          <w:szCs w:val="22"/>
        </w:rPr>
        <w:t xml:space="preserve"> a searchable database for the Poisons Standard which will explain medicines and chemicals scheduling decisions in plain English.</w:t>
      </w:r>
    </w:p>
    <w:p w14:paraId="682FC634" w14:textId="76C6F9FD" w:rsidR="00871419" w:rsidRDefault="00853A94" w:rsidP="001515DB">
      <w:r>
        <w:t xml:space="preserve">On 1 February 2023, </w:t>
      </w:r>
      <w:r w:rsidR="004F74B1">
        <w:t xml:space="preserve">we updated </w:t>
      </w:r>
      <w:r>
        <w:t>the Poisons Standard to a new structure that improves readability and clarity</w:t>
      </w:r>
      <w:r w:rsidR="007B1D89">
        <w:t>. This will</w:t>
      </w:r>
      <w:r>
        <w:t xml:space="preserve"> assist regulated entities to understand their obligations</w:t>
      </w:r>
      <w:r w:rsidR="004F74B1">
        <w:t>,</w:t>
      </w:r>
      <w:r>
        <w:t xml:space="preserve"> while ensuring </w:t>
      </w:r>
      <w:r w:rsidR="00D978F5">
        <w:t>the document</w:t>
      </w:r>
      <w:r>
        <w:t xml:space="preserve"> align</w:t>
      </w:r>
      <w:r w:rsidR="00D978F5">
        <w:t>s</w:t>
      </w:r>
      <w:r>
        <w:t xml:space="preserve"> with modern drafting conventions and rules for Commonwealth legislative instruments. W</w:t>
      </w:r>
      <w:r w:rsidR="004F74B1">
        <w:t>e suspended w</w:t>
      </w:r>
      <w:r>
        <w:t xml:space="preserve">ork on a publicly searchable Poisons Standard database until advancements in cognitive search technology </w:t>
      </w:r>
      <w:r w:rsidR="00027458">
        <w:t xml:space="preserve">and generative AI </w:t>
      </w:r>
      <w:r w:rsidR="002B2FB4">
        <w:t xml:space="preserve">are cost effective and </w:t>
      </w:r>
      <w:r w:rsidR="00AF4B95">
        <w:t xml:space="preserve">can be </w:t>
      </w:r>
      <w:r w:rsidR="00BD369D">
        <w:t xml:space="preserve">supported by </w:t>
      </w:r>
      <w:r w:rsidR="00293E7B">
        <w:t xml:space="preserve">our </w:t>
      </w:r>
      <w:r w:rsidR="00AA126C">
        <w:t>IT infrastructure</w:t>
      </w:r>
      <w:r w:rsidR="00293E7B">
        <w:t>.</w:t>
      </w:r>
    </w:p>
    <w:p w14:paraId="27551687" w14:textId="48019D7D" w:rsidR="006A2BA7" w:rsidRPr="0057471C" w:rsidRDefault="77FAD766" w:rsidP="006A2BA7">
      <w:pPr>
        <w:pStyle w:val="Heading2"/>
      </w:pPr>
      <w:bookmarkStart w:id="80" w:name="_Toc153550439"/>
      <w:r>
        <w:t xml:space="preserve">Sharing of adverse event </w:t>
      </w:r>
      <w:r w:rsidR="060F1401">
        <w:t>information</w:t>
      </w:r>
      <w:bookmarkEnd w:id="80"/>
    </w:p>
    <w:p w14:paraId="5ECEA02A" w14:textId="313D9746" w:rsidR="00CB74E2" w:rsidRPr="00322B08" w:rsidRDefault="00FB20CF" w:rsidP="006E7CED">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D2077E" w:rsidRPr="40EB8B97">
        <w:rPr>
          <w:rFonts w:ascii="Arial" w:hAnsi="Arial" w:cs="Arial"/>
          <w:b/>
          <w:bCs/>
          <w:sz w:val="22"/>
          <w:szCs w:val="22"/>
        </w:rPr>
        <w:t>are i</w:t>
      </w:r>
      <w:r w:rsidR="6A9D7EB2" w:rsidRPr="40EB8B97">
        <w:rPr>
          <w:rFonts w:ascii="Arial" w:hAnsi="Arial" w:cs="Arial"/>
          <w:b/>
          <w:bCs/>
          <w:sz w:val="22"/>
          <w:szCs w:val="22"/>
        </w:rPr>
        <w:t>ncreas</w:t>
      </w:r>
      <w:r w:rsidR="007E2A29" w:rsidRPr="40EB8B97">
        <w:rPr>
          <w:rFonts w:ascii="Arial" w:hAnsi="Arial" w:cs="Arial"/>
          <w:b/>
          <w:bCs/>
          <w:sz w:val="22"/>
          <w:szCs w:val="22"/>
        </w:rPr>
        <w:t>ing</w:t>
      </w:r>
      <w:r w:rsidR="6A9D7EB2" w:rsidRPr="40EB8B97">
        <w:rPr>
          <w:rFonts w:ascii="Arial" w:hAnsi="Arial" w:cs="Arial"/>
          <w:b/>
          <w:bCs/>
          <w:sz w:val="22"/>
          <w:szCs w:val="22"/>
        </w:rPr>
        <w:t xml:space="preserve"> transparency of and streamlin</w:t>
      </w:r>
      <w:r w:rsidR="0014742B" w:rsidRPr="40EB8B97">
        <w:rPr>
          <w:rFonts w:ascii="Arial" w:hAnsi="Arial" w:cs="Arial"/>
          <w:b/>
          <w:bCs/>
          <w:sz w:val="22"/>
          <w:szCs w:val="22"/>
        </w:rPr>
        <w:t>ing</w:t>
      </w:r>
      <w:r w:rsidR="6A9D7EB2" w:rsidRPr="40EB8B97">
        <w:rPr>
          <w:rFonts w:ascii="Arial" w:hAnsi="Arial" w:cs="Arial"/>
          <w:b/>
          <w:bCs/>
          <w:sz w:val="22"/>
          <w:szCs w:val="22"/>
        </w:rPr>
        <w:t xml:space="preserve"> sharing of adverse event data through improvements to the Database of Adverse Event Notifications (DAEN-medicines) and implementation of new data exchange methods that enable receipt and sharing of adverse event information with state and territory health departments and health care professionals. </w:t>
      </w:r>
    </w:p>
    <w:p w14:paraId="76B152D8" w14:textId="57C49E5C" w:rsidR="00501A6A" w:rsidRDefault="00501A6A" w:rsidP="001515DB">
      <w:r>
        <w:t>During the COVID-19 pandemic we experienced unprecedented public interest regarding the safety of medicines and vaccines, with large numbers of people searching our website for information about adverse events.</w:t>
      </w:r>
    </w:p>
    <w:p w14:paraId="2DF0486A" w14:textId="2063FBE5" w:rsidR="00501A6A" w:rsidRPr="009800DF" w:rsidRDefault="00042679">
      <w:pPr>
        <w:rPr>
          <w:rFonts w:cstheme="minorBidi"/>
          <w:highlight w:val="yellow"/>
        </w:rPr>
      </w:pPr>
      <w:r>
        <w:rPr>
          <w:rFonts w:cstheme="minorBidi"/>
        </w:rPr>
        <w:t>I</w:t>
      </w:r>
      <w:r w:rsidRPr="0D249AC7">
        <w:rPr>
          <w:rFonts w:cstheme="minorBidi"/>
        </w:rPr>
        <w:t>n June 2022</w:t>
      </w:r>
      <w:r>
        <w:rPr>
          <w:rFonts w:cstheme="minorBidi"/>
        </w:rPr>
        <w:t>,</w:t>
      </w:r>
      <w:r w:rsidRPr="0D249AC7">
        <w:rPr>
          <w:rFonts w:cstheme="minorBidi"/>
        </w:rPr>
        <w:t xml:space="preserve"> </w:t>
      </w:r>
      <w:r>
        <w:rPr>
          <w:rFonts w:cstheme="minorBidi"/>
        </w:rPr>
        <w:t>t</w:t>
      </w:r>
      <w:r w:rsidR="00501A6A" w:rsidRPr="0D249AC7">
        <w:rPr>
          <w:rFonts w:cstheme="minorBidi"/>
        </w:rPr>
        <w:t xml:space="preserve">o maintain transparency of medicine and vaccine adverse </w:t>
      </w:r>
      <w:r w:rsidR="00501A6A" w:rsidRPr="7D0019BB">
        <w:rPr>
          <w:rFonts w:cstheme="minorBidi"/>
        </w:rPr>
        <w:t>events</w:t>
      </w:r>
      <w:r w:rsidR="00501A6A" w:rsidRPr="0D249AC7">
        <w:rPr>
          <w:rFonts w:cstheme="minorBidi"/>
        </w:rPr>
        <w:t xml:space="preserve">, we launched a trial (beta) version of the Database of Adverse Event Notifications (DAEN) for medicines. </w:t>
      </w:r>
      <w:r w:rsidR="00C66E94">
        <w:rPr>
          <w:rFonts w:cstheme="minorBidi"/>
        </w:rPr>
        <w:t>This allowed users</w:t>
      </w:r>
      <w:r w:rsidR="00977BB8">
        <w:rPr>
          <w:rFonts w:cstheme="minorBidi"/>
        </w:rPr>
        <w:t xml:space="preserve"> to </w:t>
      </w:r>
      <w:r w:rsidR="00501A6A">
        <w:t xml:space="preserve">interact with search results through dynamic tables, </w:t>
      </w:r>
      <w:r w:rsidR="00632A89">
        <w:t>filters,</w:t>
      </w:r>
      <w:r w:rsidR="00501A6A">
        <w:t xml:space="preserve"> and graphs, </w:t>
      </w:r>
      <w:r w:rsidR="00E225FC">
        <w:t>and</w:t>
      </w:r>
      <w:r w:rsidR="00501A6A">
        <w:t xml:space="preserve"> download search results. Based on positive feedback from </w:t>
      </w:r>
      <w:r w:rsidR="00FD0547">
        <w:t xml:space="preserve">a </w:t>
      </w:r>
      <w:r w:rsidR="00501A6A">
        <w:t>user survey</w:t>
      </w:r>
      <w:r w:rsidR="00CA59DD">
        <w:t>,</w:t>
      </w:r>
      <w:r w:rsidR="00501A6A">
        <w:t xml:space="preserve"> the old DAEN </w:t>
      </w:r>
      <w:r w:rsidR="00884AA3">
        <w:t>for</w:t>
      </w:r>
      <w:r w:rsidR="00501A6A">
        <w:t xml:space="preserve"> medicines was decommissioned. </w:t>
      </w:r>
      <w:r w:rsidR="00CA59DD">
        <w:t>We</w:t>
      </w:r>
      <w:r w:rsidR="00501A6A">
        <w:t xml:space="preserve"> also published </w:t>
      </w:r>
      <w:r w:rsidR="00CA59DD">
        <w:t>u</w:t>
      </w:r>
      <w:r w:rsidR="00501A6A">
        <w:t xml:space="preserve">pdated </w:t>
      </w:r>
      <w:r w:rsidR="00DE73B5">
        <w:t xml:space="preserve">information </w:t>
      </w:r>
      <w:r w:rsidR="00C27037">
        <w:t>for</w:t>
      </w:r>
      <w:r w:rsidR="00501A6A">
        <w:t xml:space="preserve"> users</w:t>
      </w:r>
      <w:r w:rsidR="00CA59DD">
        <w:t>,</w:t>
      </w:r>
      <w:r w:rsidR="00501A6A">
        <w:t xml:space="preserve"> including tips on how to search and answers to </w:t>
      </w:r>
      <w:r w:rsidR="00F64951">
        <w:t xml:space="preserve">frequently </w:t>
      </w:r>
      <w:r w:rsidR="00501A6A">
        <w:t>asked questions.</w:t>
      </w:r>
    </w:p>
    <w:p w14:paraId="73C4F6BD" w14:textId="06D28179" w:rsidR="59D484E5" w:rsidRDefault="59D484E5" w:rsidP="0D249AC7">
      <w:pPr>
        <w:rPr>
          <w:rFonts w:eastAsia="Arial" w:cs="Arial"/>
          <w:szCs w:val="22"/>
        </w:rPr>
      </w:pPr>
      <w:r w:rsidRPr="00A113DF">
        <w:rPr>
          <w:rFonts w:eastAsia="Arial" w:cs="Arial"/>
          <w:color w:val="000000"/>
          <w:szCs w:val="22"/>
        </w:rPr>
        <w:t xml:space="preserve">Users reported that the new interface </w:t>
      </w:r>
      <w:r w:rsidR="0A0136FE" w:rsidRPr="00A113DF">
        <w:rPr>
          <w:rFonts w:eastAsia="Arial" w:cs="Arial"/>
          <w:color w:val="000000"/>
          <w:szCs w:val="22"/>
        </w:rPr>
        <w:t xml:space="preserve">made </w:t>
      </w:r>
      <w:r w:rsidRPr="00A113DF">
        <w:rPr>
          <w:rFonts w:eastAsia="Arial" w:cs="Arial"/>
          <w:color w:val="000000"/>
          <w:szCs w:val="22"/>
        </w:rPr>
        <w:t>search</w:t>
      </w:r>
      <w:r w:rsidR="17067ADD" w:rsidRPr="00A113DF">
        <w:rPr>
          <w:rFonts w:eastAsia="Arial" w:cs="Arial"/>
          <w:color w:val="000000"/>
          <w:szCs w:val="22"/>
        </w:rPr>
        <w:t>ing</w:t>
      </w:r>
      <w:r w:rsidRPr="00A113DF">
        <w:rPr>
          <w:rFonts w:eastAsia="Arial" w:cs="Arial"/>
          <w:color w:val="000000"/>
          <w:szCs w:val="22"/>
        </w:rPr>
        <w:t xml:space="preserve"> for products </w:t>
      </w:r>
      <w:r w:rsidR="599EE2BF" w:rsidRPr="00A113DF">
        <w:rPr>
          <w:rFonts w:eastAsia="Arial" w:cs="Arial"/>
          <w:color w:val="000000"/>
          <w:szCs w:val="22"/>
        </w:rPr>
        <w:t xml:space="preserve">faster </w:t>
      </w:r>
      <w:r w:rsidRPr="00A113DF">
        <w:rPr>
          <w:rFonts w:eastAsia="Arial" w:cs="Arial"/>
          <w:color w:val="000000"/>
          <w:szCs w:val="22"/>
        </w:rPr>
        <w:t xml:space="preserve">and </w:t>
      </w:r>
      <w:r w:rsidR="3F315680" w:rsidRPr="00A113DF">
        <w:rPr>
          <w:rFonts w:eastAsia="Arial" w:cs="Arial"/>
          <w:color w:val="000000"/>
          <w:szCs w:val="22"/>
        </w:rPr>
        <w:t xml:space="preserve">it was </w:t>
      </w:r>
      <w:r w:rsidRPr="00A113DF">
        <w:rPr>
          <w:rFonts w:eastAsia="Arial" w:cs="Arial"/>
          <w:color w:val="000000"/>
          <w:szCs w:val="22"/>
        </w:rPr>
        <w:t>easier to find the information</w:t>
      </w:r>
      <w:r w:rsidR="0014247D">
        <w:rPr>
          <w:rFonts w:eastAsia="Arial" w:cs="Arial"/>
          <w:color w:val="000000"/>
          <w:szCs w:val="22"/>
        </w:rPr>
        <w:t xml:space="preserve"> they w</w:t>
      </w:r>
      <w:r w:rsidR="000132BE">
        <w:rPr>
          <w:rFonts w:eastAsia="Arial" w:cs="Arial"/>
          <w:color w:val="000000"/>
          <w:szCs w:val="22"/>
        </w:rPr>
        <w:t>ere looking for</w:t>
      </w:r>
      <w:r w:rsidRPr="00A113DF">
        <w:rPr>
          <w:rFonts w:eastAsia="Arial" w:cs="Arial"/>
          <w:color w:val="000000"/>
          <w:szCs w:val="22"/>
        </w:rPr>
        <w:t xml:space="preserve">. </w:t>
      </w:r>
      <w:r w:rsidR="001A315A">
        <w:rPr>
          <w:rFonts w:eastAsia="Arial" w:cs="Arial"/>
          <w:color w:val="000000"/>
          <w:szCs w:val="22"/>
        </w:rPr>
        <w:t>G</w:t>
      </w:r>
      <w:r w:rsidRPr="00A113DF">
        <w:rPr>
          <w:rFonts w:eastAsia="Arial" w:cs="Arial"/>
          <w:color w:val="000000"/>
          <w:szCs w:val="22"/>
        </w:rPr>
        <w:t xml:space="preserve">raphs </w:t>
      </w:r>
      <w:r w:rsidR="2155DF36" w:rsidRPr="00A113DF">
        <w:rPr>
          <w:rFonts w:eastAsia="Arial" w:cs="Arial"/>
          <w:color w:val="000000"/>
          <w:szCs w:val="22"/>
        </w:rPr>
        <w:t xml:space="preserve">simplified </w:t>
      </w:r>
      <w:r w:rsidR="00DF7F1D">
        <w:rPr>
          <w:rFonts w:eastAsia="Arial" w:cs="Arial"/>
          <w:color w:val="000000"/>
          <w:szCs w:val="22"/>
        </w:rPr>
        <w:t xml:space="preserve">the </w:t>
      </w:r>
      <w:r w:rsidR="2155DF36" w:rsidRPr="00A113DF">
        <w:rPr>
          <w:rFonts w:eastAsia="Arial" w:cs="Arial"/>
          <w:color w:val="000000"/>
          <w:szCs w:val="22"/>
        </w:rPr>
        <w:t>interpret</w:t>
      </w:r>
      <w:r w:rsidR="307985DB" w:rsidRPr="0D249AC7">
        <w:rPr>
          <w:rFonts w:eastAsia="Arial" w:cs="Arial"/>
          <w:color w:val="000000"/>
          <w:szCs w:val="22"/>
        </w:rPr>
        <w:t>ation of</w:t>
      </w:r>
      <w:r w:rsidR="2155DF36" w:rsidRPr="00A113DF">
        <w:rPr>
          <w:rFonts w:eastAsia="Arial" w:cs="Arial"/>
          <w:color w:val="000000"/>
          <w:szCs w:val="22"/>
        </w:rPr>
        <w:t xml:space="preserve"> r</w:t>
      </w:r>
      <w:r w:rsidRPr="00A113DF">
        <w:rPr>
          <w:rFonts w:eastAsia="Arial" w:cs="Arial"/>
          <w:color w:val="000000"/>
          <w:szCs w:val="22"/>
        </w:rPr>
        <w:t>esults and help</w:t>
      </w:r>
      <w:r w:rsidR="2EACFBD2" w:rsidRPr="00A113DF">
        <w:rPr>
          <w:rFonts w:eastAsia="Arial" w:cs="Arial"/>
          <w:color w:val="000000"/>
          <w:szCs w:val="22"/>
        </w:rPr>
        <w:t xml:space="preserve">ed </w:t>
      </w:r>
      <w:r w:rsidR="00DF7F1D">
        <w:rPr>
          <w:rFonts w:eastAsia="Arial" w:cs="Arial"/>
          <w:color w:val="000000"/>
          <w:szCs w:val="22"/>
        </w:rPr>
        <w:t>users</w:t>
      </w:r>
      <w:r w:rsidR="00DF7F1D" w:rsidRPr="00A113DF">
        <w:rPr>
          <w:rFonts w:eastAsia="Arial" w:cs="Arial"/>
          <w:color w:val="000000"/>
          <w:szCs w:val="22"/>
        </w:rPr>
        <w:t xml:space="preserve"> </w:t>
      </w:r>
      <w:r w:rsidRPr="00A113DF">
        <w:rPr>
          <w:rFonts w:eastAsia="Arial" w:cs="Arial"/>
          <w:color w:val="000000"/>
          <w:szCs w:val="22"/>
        </w:rPr>
        <w:t>to understand the prevalence of adverse events.</w:t>
      </w:r>
    </w:p>
    <w:p w14:paraId="249C84BB" w14:textId="29A69677" w:rsidR="00CB74E2" w:rsidRDefault="00501A6A" w:rsidP="00E71822">
      <w:r w:rsidRPr="00501A6A">
        <w:t xml:space="preserve">We have also progressed improvements </w:t>
      </w:r>
      <w:r w:rsidR="00AF4861">
        <w:t xml:space="preserve">in </w:t>
      </w:r>
      <w:r w:rsidRPr="00501A6A">
        <w:t xml:space="preserve">how we share and receive medicine and vaccine adverse event reports. </w:t>
      </w:r>
      <w:r w:rsidRPr="00AC4B4B">
        <w:t xml:space="preserve">We have implemented automated sharing of adverse event data for vaccines with state and territory health departments. </w:t>
      </w:r>
      <w:r w:rsidR="00AF4861">
        <w:t>I</w:t>
      </w:r>
      <w:r w:rsidR="00806E91">
        <w:t>n</w:t>
      </w:r>
      <w:r w:rsidRPr="00AC4B4B">
        <w:t xml:space="preserve"> May 2023</w:t>
      </w:r>
      <w:r w:rsidR="00515377">
        <w:t>, following a public consultation,</w:t>
      </w:r>
      <w:r w:rsidRPr="00AC4B4B">
        <w:t xml:space="preserve"> we created two new legislative instruments that enable sponsors to access adverse event reports relevant to their medicines using their existing login details. </w:t>
      </w:r>
      <w:r w:rsidR="00E71822">
        <w:t>T</w:t>
      </w:r>
      <w:r w:rsidRPr="00501A6A">
        <w:t xml:space="preserve">his </w:t>
      </w:r>
      <w:r w:rsidR="00E71822">
        <w:t>has</w:t>
      </w:r>
      <w:r w:rsidRPr="00501A6A">
        <w:t xml:space="preserve"> replace</w:t>
      </w:r>
      <w:r w:rsidR="00E71822">
        <w:t>d</w:t>
      </w:r>
      <w:r w:rsidRPr="00501A6A">
        <w:t xml:space="preserve"> the need for sponsors to email us to request reports, delivering better and faster access to relevant adverse event data with less effort.</w:t>
      </w:r>
    </w:p>
    <w:p w14:paraId="5529F15F" w14:textId="1B256E78" w:rsidR="00B2729F" w:rsidRDefault="2A70B162" w:rsidP="00B2729F">
      <w:pPr>
        <w:pStyle w:val="Heading2"/>
      </w:pPr>
      <w:bookmarkStart w:id="81" w:name="_Toc153550440"/>
      <w:r>
        <w:t xml:space="preserve">Building links with universities, international regulators and </w:t>
      </w:r>
      <w:r w:rsidR="7172F116">
        <w:t>industry</w:t>
      </w:r>
      <w:bookmarkEnd w:id="81"/>
    </w:p>
    <w:p w14:paraId="1BEE1AFD" w14:textId="33638F55" w:rsidR="00D86C51" w:rsidRPr="00632A89" w:rsidRDefault="001813BD" w:rsidP="006E7CED">
      <w:pPr>
        <w:pStyle w:val="NoSpacing"/>
        <w:spacing w:before="360" w:after="160"/>
        <w:rPr>
          <w:rFonts w:ascii="Arial" w:hAnsi="Arial" w:cs="Arial"/>
          <w:b/>
          <w:bCs/>
          <w:sz w:val="22"/>
          <w:szCs w:val="22"/>
        </w:rPr>
      </w:pPr>
      <w:r w:rsidRPr="40EB8B97">
        <w:rPr>
          <w:rFonts w:ascii="Arial" w:hAnsi="Arial" w:cs="Arial"/>
          <w:b/>
          <w:bCs/>
          <w:sz w:val="22"/>
          <w:szCs w:val="22"/>
        </w:rPr>
        <w:t>We continue to</w:t>
      </w:r>
      <w:r w:rsidR="00F21061" w:rsidRPr="40EB8B97">
        <w:rPr>
          <w:rFonts w:ascii="Arial" w:hAnsi="Arial" w:cs="Arial"/>
          <w:b/>
          <w:bCs/>
          <w:sz w:val="22"/>
          <w:szCs w:val="22"/>
        </w:rPr>
        <w:t xml:space="preserve"> build</w:t>
      </w:r>
      <w:r w:rsidR="6A9D7EB2" w:rsidRPr="40EB8B97">
        <w:rPr>
          <w:rFonts w:ascii="Arial" w:hAnsi="Arial" w:cs="Arial"/>
          <w:b/>
          <w:bCs/>
          <w:sz w:val="22"/>
          <w:szCs w:val="22"/>
        </w:rPr>
        <w:t xml:space="preserve"> and maintai</w:t>
      </w:r>
      <w:r w:rsidR="00F21061" w:rsidRPr="40EB8B97">
        <w:rPr>
          <w:rFonts w:ascii="Arial" w:hAnsi="Arial" w:cs="Arial"/>
          <w:b/>
          <w:bCs/>
          <w:sz w:val="22"/>
          <w:szCs w:val="22"/>
        </w:rPr>
        <w:t>n</w:t>
      </w:r>
      <w:r w:rsidR="6A9D7EB2" w:rsidRPr="40EB8B97">
        <w:rPr>
          <w:rFonts w:ascii="Arial" w:hAnsi="Arial" w:cs="Arial"/>
          <w:b/>
          <w:bCs/>
          <w:sz w:val="22"/>
          <w:szCs w:val="22"/>
        </w:rPr>
        <w:t xml:space="preserve"> links with universities, international regulators, and industry to improve our regulatory practices and enhanc</w:t>
      </w:r>
      <w:r w:rsidR="00486575" w:rsidRPr="40EB8B97">
        <w:rPr>
          <w:rFonts w:ascii="Arial" w:hAnsi="Arial" w:cs="Arial"/>
          <w:b/>
          <w:bCs/>
          <w:sz w:val="22"/>
          <w:szCs w:val="22"/>
        </w:rPr>
        <w:t>e</w:t>
      </w:r>
      <w:r w:rsidR="6A9D7EB2" w:rsidRPr="40EB8B97">
        <w:rPr>
          <w:rFonts w:ascii="Arial" w:hAnsi="Arial" w:cs="Arial"/>
          <w:b/>
          <w:bCs/>
          <w:sz w:val="22"/>
          <w:szCs w:val="22"/>
        </w:rPr>
        <w:t xml:space="preserve"> our responsiveness to emerging technologies.</w:t>
      </w:r>
    </w:p>
    <w:p w14:paraId="2A6F9DDE" w14:textId="0A4B2BD6" w:rsidR="00F46256" w:rsidRDefault="35D5948D" w:rsidP="7928109B">
      <w:pPr>
        <w:spacing w:before="0" w:after="0"/>
        <w:rPr>
          <w:rFonts w:eastAsia="Arial" w:cs="Arial"/>
        </w:rPr>
      </w:pPr>
      <w:r w:rsidRPr="7928109B">
        <w:rPr>
          <w:rFonts w:eastAsia="Arial" w:cs="Arial"/>
        </w:rPr>
        <w:t>We have</w:t>
      </w:r>
      <w:r w:rsidR="250110C4" w:rsidRPr="7928109B">
        <w:rPr>
          <w:rFonts w:eastAsia="Arial" w:cs="Arial"/>
        </w:rPr>
        <w:t xml:space="preserve"> </w:t>
      </w:r>
      <w:r w:rsidR="0B00A6A5" w:rsidRPr="7928109B">
        <w:rPr>
          <w:rFonts w:eastAsia="Arial" w:cs="Arial"/>
        </w:rPr>
        <w:t xml:space="preserve">hosted and </w:t>
      </w:r>
      <w:r w:rsidR="250110C4" w:rsidRPr="7928109B">
        <w:rPr>
          <w:rFonts w:eastAsia="Arial" w:cs="Arial"/>
        </w:rPr>
        <w:t>participated in multiple workshops and events hosted by industry</w:t>
      </w:r>
      <w:r w:rsidR="12933774" w:rsidRPr="7928109B">
        <w:rPr>
          <w:rFonts w:eastAsia="Arial" w:cs="Arial"/>
        </w:rPr>
        <w:t xml:space="preserve">. </w:t>
      </w:r>
      <w:r w:rsidR="615DD533" w:rsidRPr="7928109B">
        <w:rPr>
          <w:rFonts w:eastAsia="Arial" w:cs="Arial"/>
        </w:rPr>
        <w:t>At t</w:t>
      </w:r>
      <w:r w:rsidR="12933774" w:rsidRPr="7928109B">
        <w:rPr>
          <w:rFonts w:eastAsia="Arial" w:cs="Arial"/>
        </w:rPr>
        <w:t>hese events</w:t>
      </w:r>
      <w:r w:rsidR="615DD533" w:rsidRPr="7928109B">
        <w:rPr>
          <w:rFonts w:eastAsia="Arial" w:cs="Arial"/>
        </w:rPr>
        <w:t>, we</w:t>
      </w:r>
      <w:r w:rsidR="12933774" w:rsidRPr="7928109B">
        <w:rPr>
          <w:rFonts w:eastAsia="Arial" w:cs="Arial"/>
        </w:rPr>
        <w:t xml:space="preserve"> present educational information </w:t>
      </w:r>
      <w:r w:rsidRPr="7928109B">
        <w:rPr>
          <w:rFonts w:eastAsia="Arial" w:cs="Arial"/>
        </w:rPr>
        <w:t>to build</w:t>
      </w:r>
      <w:r w:rsidR="12933774" w:rsidRPr="7928109B">
        <w:rPr>
          <w:rFonts w:eastAsia="Arial" w:cs="Arial"/>
        </w:rPr>
        <w:t xml:space="preserve"> better </w:t>
      </w:r>
      <w:r w:rsidR="250110C4" w:rsidRPr="7928109B">
        <w:rPr>
          <w:rFonts w:eastAsia="Arial" w:cs="Arial"/>
        </w:rPr>
        <w:t>understanding of regulatory requirements</w:t>
      </w:r>
      <w:r w:rsidR="6F2DE5CD" w:rsidRPr="7928109B">
        <w:rPr>
          <w:rFonts w:eastAsia="Arial" w:cs="Arial"/>
        </w:rPr>
        <w:t>, explain recent changes,</w:t>
      </w:r>
      <w:r w:rsidR="250110C4" w:rsidRPr="7928109B">
        <w:rPr>
          <w:rFonts w:eastAsia="Arial" w:cs="Arial"/>
        </w:rPr>
        <w:t xml:space="preserve"> and </w:t>
      </w:r>
      <w:r w:rsidR="70C250ED" w:rsidRPr="7928109B">
        <w:rPr>
          <w:rFonts w:eastAsia="Arial" w:cs="Arial"/>
        </w:rPr>
        <w:t>outlin</w:t>
      </w:r>
      <w:r w:rsidRPr="7928109B">
        <w:rPr>
          <w:rFonts w:eastAsia="Arial" w:cs="Arial"/>
        </w:rPr>
        <w:t>e</w:t>
      </w:r>
      <w:r w:rsidR="70C250ED" w:rsidRPr="7928109B">
        <w:rPr>
          <w:rFonts w:eastAsia="Arial" w:cs="Arial"/>
        </w:rPr>
        <w:t xml:space="preserve"> </w:t>
      </w:r>
      <w:r w:rsidR="250110C4" w:rsidRPr="7928109B">
        <w:rPr>
          <w:rFonts w:eastAsia="Arial" w:cs="Arial"/>
        </w:rPr>
        <w:t xml:space="preserve">better practices for those who seek to </w:t>
      </w:r>
      <w:r w:rsidR="42633B84" w:rsidRPr="7928109B">
        <w:rPr>
          <w:rFonts w:eastAsia="Arial" w:cs="Arial"/>
        </w:rPr>
        <w:t xml:space="preserve">include new therapeutic goods or those who are supplying therapeutic goods. </w:t>
      </w:r>
      <w:r w:rsidRPr="7928109B">
        <w:rPr>
          <w:rFonts w:eastAsia="Arial" w:cs="Arial"/>
        </w:rPr>
        <w:t>We</w:t>
      </w:r>
      <w:r w:rsidR="721B2613" w:rsidRPr="7928109B">
        <w:rPr>
          <w:rFonts w:eastAsia="Arial" w:cs="Arial"/>
        </w:rPr>
        <w:t xml:space="preserve"> also </w:t>
      </w:r>
      <w:r w:rsidR="721B2613" w:rsidRPr="7928109B">
        <w:rPr>
          <w:rFonts w:eastAsia="Arial" w:cs="Arial"/>
        </w:rPr>
        <w:lastRenderedPageBreak/>
        <w:t xml:space="preserve">delivered </w:t>
      </w:r>
      <w:r w:rsidR="12B0F89A" w:rsidRPr="7928109B">
        <w:rPr>
          <w:rFonts w:eastAsia="Arial" w:cs="Arial"/>
        </w:rPr>
        <w:t xml:space="preserve">educational </w:t>
      </w:r>
      <w:r w:rsidR="42633B84" w:rsidRPr="7928109B">
        <w:rPr>
          <w:rFonts w:eastAsia="Arial" w:cs="Arial"/>
        </w:rPr>
        <w:t>lectures and presentations</w:t>
      </w:r>
      <w:r w:rsidR="46E4B148" w:rsidRPr="7928109B">
        <w:rPr>
          <w:rFonts w:eastAsia="Arial" w:cs="Arial"/>
        </w:rPr>
        <w:t xml:space="preserve"> </w:t>
      </w:r>
      <w:r w:rsidR="6BA1FC54" w:rsidRPr="7928109B">
        <w:rPr>
          <w:rFonts w:eastAsia="Arial" w:cs="Arial"/>
        </w:rPr>
        <w:t xml:space="preserve">in the higher education, </w:t>
      </w:r>
      <w:r w:rsidR="0E2D5E3E" w:rsidRPr="7928109B">
        <w:rPr>
          <w:rFonts w:eastAsia="Arial" w:cs="Arial"/>
        </w:rPr>
        <w:t>research,</w:t>
      </w:r>
      <w:r w:rsidR="6BA1FC54" w:rsidRPr="7928109B">
        <w:rPr>
          <w:rFonts w:eastAsia="Arial" w:cs="Arial"/>
        </w:rPr>
        <w:t xml:space="preserve"> and translation sectors.</w:t>
      </w:r>
      <w:r w:rsidR="01CB3040" w:rsidRPr="6F2137F5">
        <w:rPr>
          <w:rFonts w:eastAsia="Arial" w:cs="Arial"/>
        </w:rPr>
        <w:t xml:space="preserve"> This included our ‘Meeting your obligations’ one</w:t>
      </w:r>
      <w:r w:rsidR="002553CA">
        <w:rPr>
          <w:rFonts w:eastAsia="Arial" w:cs="Arial"/>
        </w:rPr>
        <w:t>-</w:t>
      </w:r>
      <w:r w:rsidR="01CB3040" w:rsidRPr="6F2137F5">
        <w:rPr>
          <w:rFonts w:eastAsia="Arial" w:cs="Arial"/>
        </w:rPr>
        <w:t>day workshop held in Brisbane</w:t>
      </w:r>
      <w:r w:rsidR="00247480">
        <w:rPr>
          <w:rFonts w:eastAsia="Arial" w:cs="Arial"/>
        </w:rPr>
        <w:t>,</w:t>
      </w:r>
      <w:r w:rsidR="01CB3040" w:rsidRPr="6F2137F5">
        <w:rPr>
          <w:rFonts w:eastAsia="Arial" w:cs="Arial"/>
        </w:rPr>
        <w:t xml:space="preserve"> which attracted over 240 attendees across the sector. The session educated sponsors supplying medical devices and complementary </w:t>
      </w:r>
      <w:r w:rsidR="007A3B5E" w:rsidRPr="6F2137F5">
        <w:rPr>
          <w:rFonts w:eastAsia="Arial" w:cs="Arial"/>
        </w:rPr>
        <w:t>medicines and</w:t>
      </w:r>
      <w:r w:rsidR="01CB3040" w:rsidRPr="6F2137F5">
        <w:rPr>
          <w:rFonts w:eastAsia="Arial" w:cs="Arial"/>
        </w:rPr>
        <w:t xml:space="preserve"> featured a guest speaker from MTPConnect who spoke about taking a product from concept to consumers.</w:t>
      </w:r>
      <w:r w:rsidR="434897D4" w:rsidRPr="6F2137F5">
        <w:rPr>
          <w:rFonts w:eastAsia="Arial" w:cs="Arial"/>
        </w:rPr>
        <w:t xml:space="preserve"> </w:t>
      </w:r>
      <w:r w:rsidR="46E3EBBD" w:rsidRPr="76BD838D">
        <w:rPr>
          <w:rFonts w:eastAsia="Arial" w:cs="Arial"/>
        </w:rPr>
        <w:t xml:space="preserve">The </w:t>
      </w:r>
      <w:r w:rsidR="00247480">
        <w:rPr>
          <w:rFonts w:eastAsia="Arial" w:cs="Arial"/>
        </w:rPr>
        <w:t xml:space="preserve">Q&amp;A </w:t>
      </w:r>
      <w:r w:rsidR="46E3EBBD" w:rsidRPr="76BD838D">
        <w:rPr>
          <w:rFonts w:eastAsia="Arial" w:cs="Arial"/>
        </w:rPr>
        <w:t>sessions from these events and lectures are also valuable</w:t>
      </w:r>
      <w:r w:rsidR="00247480">
        <w:rPr>
          <w:rFonts w:eastAsia="Arial" w:cs="Arial"/>
        </w:rPr>
        <w:t>, allowing us</w:t>
      </w:r>
      <w:r w:rsidR="46E3EBBD" w:rsidRPr="76BD838D">
        <w:rPr>
          <w:rFonts w:eastAsia="Arial" w:cs="Arial"/>
        </w:rPr>
        <w:t xml:space="preserve"> to hear about the emerging developments and areas of </w:t>
      </w:r>
      <w:r w:rsidR="17318498" w:rsidRPr="6870ED57">
        <w:rPr>
          <w:rFonts w:eastAsia="Arial" w:cs="Arial"/>
        </w:rPr>
        <w:t>interest</w:t>
      </w:r>
      <w:r w:rsidR="46E3EBBD" w:rsidRPr="76BD838D">
        <w:rPr>
          <w:rFonts w:eastAsia="Arial" w:cs="Arial"/>
        </w:rPr>
        <w:t xml:space="preserve"> from researchers and incubators, and </w:t>
      </w:r>
      <w:r w:rsidR="5470397A" w:rsidRPr="76BD838D">
        <w:rPr>
          <w:rFonts w:eastAsia="Arial" w:cs="Arial"/>
        </w:rPr>
        <w:t xml:space="preserve">the experience is </w:t>
      </w:r>
      <w:r w:rsidR="60FAE7A1" w:rsidRPr="352C62BC">
        <w:rPr>
          <w:rFonts w:eastAsia="Arial" w:cs="Arial"/>
        </w:rPr>
        <w:t>utilised in developing</w:t>
      </w:r>
      <w:r w:rsidR="5470397A" w:rsidRPr="76BD838D">
        <w:rPr>
          <w:rFonts w:eastAsia="Arial" w:cs="Arial"/>
        </w:rPr>
        <w:t xml:space="preserve"> and </w:t>
      </w:r>
      <w:r w:rsidR="60FAE7A1" w:rsidRPr="352C62BC">
        <w:rPr>
          <w:rFonts w:eastAsia="Arial" w:cs="Arial"/>
        </w:rPr>
        <w:t>updating</w:t>
      </w:r>
      <w:r w:rsidR="5470397A" w:rsidRPr="76BD838D">
        <w:rPr>
          <w:rFonts w:eastAsia="Arial" w:cs="Arial"/>
        </w:rPr>
        <w:t xml:space="preserve"> our online resources.</w:t>
      </w:r>
    </w:p>
    <w:p w14:paraId="249C5E74" w14:textId="49C90304" w:rsidR="00234B92" w:rsidRDefault="00234B92">
      <w:r>
        <w:t>We</w:t>
      </w:r>
      <w:r w:rsidR="000D2F70">
        <w:t xml:space="preserve"> chair the Regulatory Science Network</w:t>
      </w:r>
      <w:r>
        <w:t xml:space="preserve"> (RSN)</w:t>
      </w:r>
      <w:r w:rsidR="000D2F70">
        <w:t xml:space="preserve">, a network of Australian government agencies responsible for regulating chemicals and biological agents. The RSN’s objective is to improve the performance of these agencies by strengthening evidence-based decision-making through capacity building and enhanced operational effectiveness and interagency cooperation. </w:t>
      </w:r>
    </w:p>
    <w:p w14:paraId="586CB64B" w14:textId="07961710" w:rsidR="2A8598F3" w:rsidRPr="00CD36F2" w:rsidRDefault="2A8598F3" w:rsidP="0D249AC7">
      <w:pPr>
        <w:rPr>
          <w:rFonts w:eastAsia="Arial" w:cs="Arial"/>
          <w:szCs w:val="22"/>
        </w:rPr>
      </w:pPr>
      <w:r w:rsidRPr="00CD36F2">
        <w:rPr>
          <w:rFonts w:eastAsia="Arial" w:cs="Arial"/>
          <w:szCs w:val="22"/>
        </w:rPr>
        <w:t>We proactively cultivate close relationships with academic institutions to augment our</w:t>
      </w:r>
      <w:r w:rsidRPr="00CD36F2">
        <w:rPr>
          <w:rFonts w:eastAsia="Arial" w:cs="Arial"/>
          <w:color w:val="FF0000"/>
          <w:szCs w:val="22"/>
        </w:rPr>
        <w:t xml:space="preserve"> </w:t>
      </w:r>
      <w:r w:rsidRPr="00CD36F2">
        <w:rPr>
          <w:rFonts w:eastAsia="Arial" w:cs="Arial"/>
          <w:szCs w:val="22"/>
        </w:rPr>
        <w:t>signal investigation work and ensure that research activities align with our pharmacovigilance priorities. We partner with the National Centre for Immunisation Research Surveillance (NCIRS) to co-author papers</w:t>
      </w:r>
      <w:r w:rsidR="00DD4EF9">
        <w:rPr>
          <w:rFonts w:eastAsia="Arial" w:cs="Arial"/>
          <w:szCs w:val="22"/>
        </w:rPr>
        <w:t xml:space="preserve">, </w:t>
      </w:r>
      <w:r w:rsidRPr="00CD36F2">
        <w:rPr>
          <w:rFonts w:eastAsia="Arial" w:cs="Arial"/>
          <w:szCs w:val="22"/>
        </w:rPr>
        <w:t>including the Communicable Diseases Intelligence publication of Surveillance of adverse events following immunisation in Australia</w:t>
      </w:r>
      <w:r w:rsidR="00DD4EF9">
        <w:rPr>
          <w:rFonts w:eastAsia="Arial" w:cs="Arial"/>
          <w:szCs w:val="22"/>
        </w:rPr>
        <w:t>. We also</w:t>
      </w:r>
      <w:r w:rsidRPr="00CD36F2">
        <w:rPr>
          <w:rFonts w:eastAsia="Arial" w:cs="Arial"/>
          <w:szCs w:val="22"/>
        </w:rPr>
        <w:t xml:space="preserve"> utilise NCIRS data in our enhanced influenza</w:t>
      </w:r>
      <w:r w:rsidR="62F6973C" w:rsidRPr="00CD36F2">
        <w:rPr>
          <w:rFonts w:eastAsia="Arial" w:cs="Arial"/>
          <w:szCs w:val="22"/>
        </w:rPr>
        <w:t xml:space="preserve"> vaccine</w:t>
      </w:r>
      <w:r w:rsidRPr="00CD36F2">
        <w:rPr>
          <w:rFonts w:eastAsia="Arial" w:cs="Arial"/>
          <w:szCs w:val="22"/>
        </w:rPr>
        <w:t xml:space="preserve"> surveillance program. We meet regularly with the Centre of Research Excellence in Medicines Intelligence to bolster our regulatory practice</w:t>
      </w:r>
      <w:r w:rsidR="00EE620D">
        <w:rPr>
          <w:rFonts w:eastAsia="Arial" w:cs="Arial"/>
          <w:szCs w:val="22"/>
        </w:rPr>
        <w:t>,</w:t>
      </w:r>
      <w:r w:rsidRPr="00CD36F2">
        <w:rPr>
          <w:rFonts w:eastAsia="Arial" w:cs="Arial"/>
          <w:szCs w:val="22"/>
        </w:rPr>
        <w:t xml:space="preserve"> through visibility of current research into the quality use of medicines and medicines safety.</w:t>
      </w:r>
    </w:p>
    <w:p w14:paraId="3FF5408B" w14:textId="70F88B74" w:rsidR="0D249AC7" w:rsidRDefault="3493F5C0" w:rsidP="0D249AC7">
      <w:r>
        <w:t>The TGA hosts a</w:t>
      </w:r>
      <w:r w:rsidR="58690F0C">
        <w:t>n</w:t>
      </w:r>
      <w:r>
        <w:t xml:space="preserve"> </w:t>
      </w:r>
      <w:r w:rsidR="395F4E55">
        <w:t>online</w:t>
      </w:r>
      <w:r>
        <w:t xml:space="preserve"> platform to facilitate information exchange with 11 other international medical device regulators. This platform </w:t>
      </w:r>
      <w:r w:rsidR="68C2E15C">
        <w:t>enable</w:t>
      </w:r>
      <w:r w:rsidR="0277AFB4">
        <w:t>d</w:t>
      </w:r>
      <w:r w:rsidR="68C2E15C">
        <w:t xml:space="preserve"> timely and regular </w:t>
      </w:r>
      <w:r w:rsidR="44C6DF22">
        <w:t>exchange of information</w:t>
      </w:r>
      <w:r w:rsidR="68C2E15C">
        <w:t xml:space="preserve"> and </w:t>
      </w:r>
      <w:r w:rsidR="15E2330A">
        <w:t>multilateral</w:t>
      </w:r>
      <w:r w:rsidR="44C6DF22">
        <w:t xml:space="preserve"> </w:t>
      </w:r>
      <w:r w:rsidR="240B0747">
        <w:t xml:space="preserve">discussions on emerging and ongoing </w:t>
      </w:r>
      <w:r w:rsidR="77E5F41F">
        <w:t>updates</w:t>
      </w:r>
      <w:r w:rsidR="240B0747">
        <w:t xml:space="preserve"> </w:t>
      </w:r>
      <w:r w:rsidR="7293E640">
        <w:t>related to medical device safety or supply disruption</w:t>
      </w:r>
      <w:r w:rsidR="2351C72D">
        <w:t xml:space="preserve"> issues</w:t>
      </w:r>
      <w:r w:rsidR="7293E640">
        <w:t>.</w:t>
      </w:r>
    </w:p>
    <w:p w14:paraId="04814F21" w14:textId="1C486DFF" w:rsidR="00B127E5" w:rsidRPr="00F46256" w:rsidRDefault="3405E633" w:rsidP="00F6008B">
      <w:pPr>
        <w:pStyle w:val="Heading2"/>
      </w:pPr>
      <w:bookmarkStart w:id="82" w:name="_Toc153550441"/>
      <w:r>
        <w:t xml:space="preserve">Consolidated </w:t>
      </w:r>
      <w:r w:rsidR="0085E420">
        <w:t xml:space="preserve">view of </w:t>
      </w:r>
      <w:r>
        <w:t xml:space="preserve">data </w:t>
      </w:r>
      <w:r w:rsidR="0085E420">
        <w:t>to improve data analytics capabilities</w:t>
      </w:r>
      <w:bookmarkEnd w:id="82"/>
      <w:r w:rsidR="0085E420">
        <w:t xml:space="preserve"> </w:t>
      </w:r>
    </w:p>
    <w:p w14:paraId="19AAA041" w14:textId="724BAF78" w:rsidR="00D86C51" w:rsidRPr="00632A89" w:rsidRDefault="00F21061" w:rsidP="00182E1F">
      <w:pPr>
        <w:pStyle w:val="NoSpacing"/>
        <w:spacing w:before="120" w:after="120"/>
        <w:rPr>
          <w:rFonts w:ascii="Arial" w:hAnsi="Arial" w:cs="Arial"/>
          <w:b/>
          <w:bCs/>
          <w:sz w:val="22"/>
          <w:szCs w:val="22"/>
        </w:rPr>
      </w:pPr>
      <w:r w:rsidRPr="40EB8B97">
        <w:rPr>
          <w:rFonts w:ascii="Arial" w:hAnsi="Arial" w:cs="Arial"/>
          <w:b/>
          <w:bCs/>
          <w:sz w:val="22"/>
          <w:szCs w:val="22"/>
        </w:rPr>
        <w:t xml:space="preserve">We create and propagate </w:t>
      </w:r>
      <w:r w:rsidR="6A9D7EB2" w:rsidRPr="40EB8B97">
        <w:rPr>
          <w:rFonts w:ascii="Arial" w:hAnsi="Arial" w:cs="Arial"/>
          <w:b/>
          <w:bCs/>
          <w:sz w:val="22"/>
          <w:szCs w:val="22"/>
        </w:rPr>
        <w:t xml:space="preserve">data products across the TGA which combine key data sources into a single, consolidated view and increase data analytics capabilities. </w:t>
      </w:r>
    </w:p>
    <w:p w14:paraId="4A3F610C" w14:textId="452EA3C2" w:rsidR="00D86C51" w:rsidRDefault="00AE3D51" w:rsidP="001515DB">
      <w:r>
        <w:t xml:space="preserve">Through the </w:t>
      </w:r>
      <w:r w:rsidR="003632DB">
        <w:t>digital t</w:t>
      </w:r>
      <w:r w:rsidR="000D403F">
        <w:t>ransformation program</w:t>
      </w:r>
      <w:r>
        <w:t>, we</w:t>
      </w:r>
      <w:r w:rsidR="0013733C">
        <w:t xml:space="preserve"> </w:t>
      </w:r>
      <w:r w:rsidR="000D403F">
        <w:t>work</w:t>
      </w:r>
      <w:r w:rsidR="6CAB12F6">
        <w:t>ed</w:t>
      </w:r>
      <w:r w:rsidR="000D403F">
        <w:t xml:space="preserve"> with our </w:t>
      </w:r>
      <w:r w:rsidR="00674B1F">
        <w:t>d</w:t>
      </w:r>
      <w:r w:rsidR="000D403F">
        <w:t>elivery partners to support a consolidated view of key TGA data sources through the Master Data Store (MDS) data solution. The MDS offers secure and governed data analytics functionalities</w:t>
      </w:r>
      <w:r>
        <w:t>,</w:t>
      </w:r>
      <w:r w:rsidR="000D403F">
        <w:t xml:space="preserve"> enabling management of data through a centralised platform. This centralised platform will provide the foundations to support evolving and new data product initiatives from within the program and broader group.</w:t>
      </w:r>
      <w:r w:rsidR="00D852BA">
        <w:t xml:space="preserve"> </w:t>
      </w:r>
    </w:p>
    <w:p w14:paraId="63945C22" w14:textId="65CE28FA" w:rsidR="00B50D96" w:rsidRPr="003E39BC" w:rsidRDefault="44908375" w:rsidP="00277CFC">
      <w:pPr>
        <w:pStyle w:val="Heading2"/>
      </w:pPr>
      <w:bookmarkStart w:id="83" w:name="_Toc153550442"/>
      <w:r>
        <w:t>Preventing medicine shortages through data integration</w:t>
      </w:r>
      <w:bookmarkEnd w:id="83"/>
    </w:p>
    <w:p w14:paraId="33D3EF26" w14:textId="5C977EE9" w:rsidR="006F1636" w:rsidRPr="00632A89" w:rsidRDefault="00631C37" w:rsidP="006E7CED">
      <w:pPr>
        <w:pStyle w:val="NoSpacing"/>
        <w:spacing w:before="120" w:after="120"/>
        <w:rPr>
          <w:rFonts w:ascii="Arial" w:hAnsi="Arial" w:cs="Arial"/>
          <w:sz w:val="22"/>
          <w:szCs w:val="22"/>
        </w:rPr>
      </w:pPr>
      <w:r w:rsidRPr="40EB8B97">
        <w:rPr>
          <w:rFonts w:ascii="Arial" w:hAnsi="Arial" w:cs="Arial"/>
          <w:b/>
          <w:bCs/>
          <w:sz w:val="22"/>
          <w:szCs w:val="22"/>
        </w:rPr>
        <w:t>We improved</w:t>
      </w:r>
      <w:r w:rsidR="6A9D7EB2" w:rsidRPr="40EB8B97">
        <w:rPr>
          <w:rFonts w:ascii="Arial" w:hAnsi="Arial" w:cs="Arial"/>
          <w:b/>
          <w:bCs/>
          <w:sz w:val="22"/>
          <w:szCs w:val="22"/>
        </w:rPr>
        <w:t xml:space="preserve"> use and integration of data to better manage and prevent medicine shortages through earlier detection and analysis of shortage signals.</w:t>
      </w:r>
    </w:p>
    <w:p w14:paraId="63462F3E" w14:textId="4ECDCC02" w:rsidR="00F26718" w:rsidRDefault="2EA10E0D" w:rsidP="00DE607F">
      <w:r>
        <w:t xml:space="preserve">In August 2022, </w:t>
      </w:r>
      <w:r w:rsidR="00AE3D51">
        <w:t>we</w:t>
      </w:r>
      <w:r>
        <w:t xml:space="preserve"> </w:t>
      </w:r>
      <w:r w:rsidR="00E70419">
        <w:t xml:space="preserve">held a virtual workshop for </w:t>
      </w:r>
      <w:r>
        <w:t xml:space="preserve">stakeholder organisations </w:t>
      </w:r>
      <w:r w:rsidR="00E70419">
        <w:t xml:space="preserve">that </w:t>
      </w:r>
      <w:r w:rsidR="000B5574">
        <w:t>hold</w:t>
      </w:r>
      <w:r>
        <w:t xml:space="preserve"> or use medicine data. The workshop was intended to help stakeholders gain a common understanding of the information needed to predict and manage shortages and how such information could be more readily accessed and shared. </w:t>
      </w:r>
      <w:r w:rsidR="003609AD">
        <w:t xml:space="preserve">A key </w:t>
      </w:r>
      <w:r>
        <w:t>aim was to reach agreement on opportunities for improved data sharing to better predict and respond to medicine shortages.</w:t>
      </w:r>
    </w:p>
    <w:p w14:paraId="3146EAFC" w14:textId="7CBB1594" w:rsidR="00BB682C" w:rsidRDefault="003609AD" w:rsidP="00DE607F">
      <w:pPr>
        <w:rPr>
          <w:rFonts w:asciiTheme="minorHAnsi" w:hAnsiTheme="minorHAnsi" w:cstheme="minorBidi"/>
        </w:rPr>
      </w:pPr>
      <w:r>
        <w:t>We</w:t>
      </w:r>
      <w:r w:rsidR="2EA10E0D" w:rsidRPr="556540D0">
        <w:t xml:space="preserve"> will </w:t>
      </w:r>
      <w:r>
        <w:t>use the</w:t>
      </w:r>
      <w:r w:rsidRPr="556540D0">
        <w:t xml:space="preserve"> </w:t>
      </w:r>
      <w:r w:rsidR="2EA10E0D" w:rsidRPr="556540D0">
        <w:t xml:space="preserve">workshop outcomes to inform a new model of medicine availability that will allow us to forecast national medicine availability of any medicine using requested data from </w:t>
      </w:r>
      <w:r w:rsidR="2EA10E0D" w:rsidRPr="556540D0">
        <w:lastRenderedPageBreak/>
        <w:t>key stakeholders. A data-sharing pilot is planned to test the model and gain experience with potential processes to improve continuity of medicine supply in Australia.</w:t>
      </w:r>
    </w:p>
    <w:p w14:paraId="703E3267" w14:textId="40FC373B" w:rsidR="00F229A0" w:rsidRDefault="651BEE4A" w:rsidP="006C2997">
      <w:pPr>
        <w:pStyle w:val="Heading2"/>
      </w:pPr>
      <w:bookmarkStart w:id="84" w:name="_Toc153550443"/>
      <w:r>
        <w:t>Post-market monitoring systems for medical devices</w:t>
      </w:r>
      <w:bookmarkEnd w:id="84"/>
    </w:p>
    <w:p w14:paraId="06CB243E" w14:textId="1002BA5F" w:rsidR="00D86C51" w:rsidRPr="00632A89" w:rsidRDefault="003F53A0" w:rsidP="006E7CED">
      <w:pPr>
        <w:pStyle w:val="NoSpacing"/>
        <w:spacing w:before="120" w:after="120"/>
        <w:rPr>
          <w:rFonts w:ascii="Arial" w:hAnsi="Arial" w:cs="Arial"/>
          <w:b/>
          <w:bCs/>
          <w:sz w:val="22"/>
          <w:szCs w:val="22"/>
        </w:rPr>
      </w:pPr>
      <w:r w:rsidRPr="40EB8B97">
        <w:rPr>
          <w:rFonts w:ascii="Arial" w:hAnsi="Arial" w:cs="Arial"/>
          <w:b/>
          <w:bCs/>
          <w:sz w:val="22"/>
          <w:szCs w:val="22"/>
        </w:rPr>
        <w:t xml:space="preserve">We </w:t>
      </w:r>
      <w:r w:rsidR="00516032" w:rsidRPr="40EB8B97">
        <w:rPr>
          <w:rFonts w:ascii="Arial" w:hAnsi="Arial" w:cs="Arial"/>
          <w:b/>
          <w:bCs/>
          <w:sz w:val="22"/>
          <w:szCs w:val="22"/>
        </w:rPr>
        <w:t>are improving</w:t>
      </w:r>
      <w:r w:rsidR="6A9D7EB2" w:rsidRPr="40EB8B97">
        <w:rPr>
          <w:rFonts w:ascii="Arial" w:hAnsi="Arial" w:cs="Arial"/>
          <w:b/>
          <w:bCs/>
          <w:sz w:val="22"/>
          <w:szCs w:val="22"/>
        </w:rPr>
        <w:t xml:space="preserve"> post-market monitoring systems for medical devices including early detection and action on emerging safety issues, allowing us to notify consumers earlier.</w:t>
      </w:r>
    </w:p>
    <w:p w14:paraId="3D8CC5D9" w14:textId="2BF1749D" w:rsidR="00F715C5" w:rsidRDefault="00477FCF" w:rsidP="00F715C5">
      <w:r>
        <w:t>We use</w:t>
      </w:r>
      <w:r w:rsidR="00E13668">
        <w:t>d</w:t>
      </w:r>
      <w:r w:rsidR="14020D66">
        <w:t xml:space="preserve"> several strategies to </w:t>
      </w:r>
      <w:r w:rsidR="227CE7C2">
        <w:t>receive and monitor medical device</w:t>
      </w:r>
      <w:r w:rsidR="00E73041">
        <w:t xml:space="preserve"> signals</w:t>
      </w:r>
      <w:r w:rsidR="009800DF">
        <w:t xml:space="preserve">, including </w:t>
      </w:r>
      <w:r w:rsidR="227CE7C2">
        <w:t>review</w:t>
      </w:r>
      <w:r w:rsidR="009800DF">
        <w:t>ing</w:t>
      </w:r>
      <w:r w:rsidR="227CE7C2">
        <w:t xml:space="preserve"> annual reports of high</w:t>
      </w:r>
      <w:r w:rsidR="0AD1820A">
        <w:t>-</w:t>
      </w:r>
      <w:r w:rsidR="227CE7C2">
        <w:t xml:space="preserve">risk medical devices, </w:t>
      </w:r>
      <w:r w:rsidR="005C7EDE">
        <w:t>and mon</w:t>
      </w:r>
      <w:r w:rsidR="00073509">
        <w:t>itor</w:t>
      </w:r>
      <w:r w:rsidR="009800DF">
        <w:t>ing</w:t>
      </w:r>
      <w:r w:rsidR="00073509">
        <w:t xml:space="preserve"> </w:t>
      </w:r>
      <w:r w:rsidR="26AA4A4D">
        <w:t>risk factors</w:t>
      </w:r>
      <w:r w:rsidR="227CE7C2">
        <w:t xml:space="preserve"> </w:t>
      </w:r>
      <w:r w:rsidR="4EE34000">
        <w:t xml:space="preserve">identified with specific devices. </w:t>
      </w:r>
      <w:r w:rsidR="28BDD282">
        <w:t xml:space="preserve">We also </w:t>
      </w:r>
      <w:r w:rsidR="009969CF">
        <w:t xml:space="preserve">worked with </w:t>
      </w:r>
      <w:r w:rsidR="008C22D5">
        <w:t>key industry stakeholders to improve monitoring</w:t>
      </w:r>
      <w:r w:rsidR="28BDD282">
        <w:t xml:space="preserve"> and receive</w:t>
      </w:r>
      <w:r w:rsidR="00DD5AEE">
        <w:t>d</w:t>
      </w:r>
      <w:r w:rsidR="28BDD282">
        <w:t xml:space="preserve"> information from several Australian medical device registries, including the</w:t>
      </w:r>
      <w:r w:rsidR="00951ECB">
        <w:t>:</w:t>
      </w:r>
    </w:p>
    <w:p w14:paraId="4DA9B685" w14:textId="0621141F" w:rsidR="00F715C5" w:rsidRPr="00AC4B4B" w:rsidRDefault="00F715C5" w:rsidP="00ED1A1F">
      <w:pPr>
        <w:pStyle w:val="ListParagraph"/>
        <w:numPr>
          <w:ilvl w:val="0"/>
          <w:numId w:val="4"/>
        </w:numPr>
      </w:pPr>
      <w:r>
        <w:t>Australian Orthopaedic Association National Joint Replacement Registry</w:t>
      </w:r>
    </w:p>
    <w:p w14:paraId="6692937F" w14:textId="53FEF1F9" w:rsidR="00F715C5" w:rsidRPr="00AC4B4B" w:rsidRDefault="03BC8F5E" w:rsidP="00ED1A1F">
      <w:pPr>
        <w:pStyle w:val="ListParagraph"/>
        <w:numPr>
          <w:ilvl w:val="0"/>
          <w:numId w:val="4"/>
        </w:numPr>
      </w:pPr>
      <w:r>
        <w:t>Australian Breast Devices Re</w:t>
      </w:r>
      <w:r w:rsidR="5321EEEF">
        <w:t>gistry</w:t>
      </w:r>
    </w:p>
    <w:p w14:paraId="0029EC66" w14:textId="77777777" w:rsidR="00951ECB" w:rsidRPr="00AC4B4B" w:rsidRDefault="5321EEEF" w:rsidP="00ED1A1F">
      <w:pPr>
        <w:pStyle w:val="ListParagraph"/>
        <w:numPr>
          <w:ilvl w:val="0"/>
          <w:numId w:val="4"/>
        </w:numPr>
      </w:pPr>
      <w:r>
        <w:t xml:space="preserve">Australasian Pelvic Floor Procedure Registry. </w:t>
      </w:r>
    </w:p>
    <w:p w14:paraId="0B08DCE4" w14:textId="4DAC300A" w:rsidR="00AC5996" w:rsidRPr="00DC673B" w:rsidRDefault="361F7398" w:rsidP="00DE607F">
      <w:r>
        <w:t>Registry data forms an important part of</w:t>
      </w:r>
      <w:r w:rsidR="00DD5AEE">
        <w:t xml:space="preserve"> our approach</w:t>
      </w:r>
      <w:r>
        <w:t xml:space="preserve"> monitoring medical device performance and emerging risks</w:t>
      </w:r>
      <w:r w:rsidR="123EAED0">
        <w:t xml:space="preserve">. Registry findings and information have assisted </w:t>
      </w:r>
      <w:r w:rsidR="00951ECB">
        <w:t>our</w:t>
      </w:r>
      <w:r w:rsidR="03468749">
        <w:t xml:space="preserve"> investigations </w:t>
      </w:r>
      <w:r w:rsidR="00951ECB">
        <w:t xml:space="preserve">to </w:t>
      </w:r>
      <w:r w:rsidR="0C5C4A8E">
        <w:t>determin</w:t>
      </w:r>
      <w:r w:rsidR="0013733C">
        <w:t>e</w:t>
      </w:r>
      <w:r w:rsidR="0C5C4A8E">
        <w:t xml:space="preserve"> </w:t>
      </w:r>
      <w:r w:rsidR="03468749">
        <w:t>the risk/benefit balance of device</w:t>
      </w:r>
      <w:r w:rsidR="002C7B16">
        <w:t xml:space="preserve">s, enabling the TGA to </w:t>
      </w:r>
      <w:r w:rsidR="00DA1574">
        <w:t>take action to</w:t>
      </w:r>
      <w:r w:rsidR="6CD67929">
        <w:t xml:space="preserve"> reduce risk or communicate them to </w:t>
      </w:r>
      <w:r w:rsidR="177033EA">
        <w:t>users and patients</w:t>
      </w:r>
      <w:r w:rsidR="03468749">
        <w:t>.</w:t>
      </w:r>
    </w:p>
    <w:p w14:paraId="4720B345" w14:textId="57A4ACC3" w:rsidR="00AC5996" w:rsidRDefault="00AC5996" w:rsidP="001515DB">
      <w:r>
        <w:t xml:space="preserve">We </w:t>
      </w:r>
      <w:r w:rsidR="00470CB4">
        <w:t>will continue to build the capability of our systems and approach. In 2023-24 we will be</w:t>
      </w:r>
      <w:r>
        <w:t xml:space="preserve"> undertaking internal data mapping and coordination of data fields between multiple systems to enable better data connectivity currently</w:t>
      </w:r>
      <w:r w:rsidR="007D2B37">
        <w:t>, with</w:t>
      </w:r>
      <w:r>
        <w:t xml:space="preserve"> future data analytical capabilities to be established.</w:t>
      </w:r>
    </w:p>
    <w:p w14:paraId="63849259" w14:textId="3CF9B709" w:rsidR="00470CB4" w:rsidRPr="00DC673B" w:rsidRDefault="13B7968A" w:rsidP="00470CB4">
      <w:pPr>
        <w:pStyle w:val="Heading2"/>
      </w:pPr>
      <w:bookmarkStart w:id="85" w:name="_Toc153550444"/>
      <w:r>
        <w:t>Management of complaints and feedback</w:t>
      </w:r>
      <w:bookmarkEnd w:id="85"/>
    </w:p>
    <w:p w14:paraId="784A6F9B" w14:textId="47764F65" w:rsidR="00CB74E2" w:rsidRPr="00632A89" w:rsidRDefault="00543D21" w:rsidP="006E7CED">
      <w:pPr>
        <w:pStyle w:val="NoSpacing"/>
        <w:spacing w:before="120" w:after="120"/>
        <w:rPr>
          <w:rFonts w:ascii="Arial" w:hAnsi="Arial" w:cs="Arial"/>
          <w:b/>
          <w:bCs/>
          <w:sz w:val="22"/>
          <w:szCs w:val="22"/>
        </w:rPr>
      </w:pPr>
      <w:r w:rsidRPr="40EB8B97">
        <w:rPr>
          <w:rFonts w:ascii="Arial" w:hAnsi="Arial" w:cs="Arial"/>
          <w:b/>
          <w:bCs/>
          <w:sz w:val="22"/>
          <w:szCs w:val="22"/>
        </w:rPr>
        <w:t>We developed an</w:t>
      </w:r>
      <w:r w:rsidR="6A9D7EB2" w:rsidRPr="40EB8B97">
        <w:rPr>
          <w:rFonts w:ascii="Arial" w:hAnsi="Arial" w:cs="Arial"/>
          <w:b/>
          <w:bCs/>
          <w:sz w:val="22"/>
          <w:szCs w:val="22"/>
        </w:rPr>
        <w:t xml:space="preserve"> updated complaints and feedback handling processes to be accountable and foster continuous improvement.</w:t>
      </w:r>
    </w:p>
    <w:p w14:paraId="7F154495" w14:textId="5AD783FC" w:rsidR="00F2350B" w:rsidRDefault="00AB7F12" w:rsidP="4F3B871F">
      <w:r>
        <w:t xml:space="preserve">Following an audit in 2022-23 of our complaints handling processes, we </w:t>
      </w:r>
      <w:r w:rsidR="00470CB4">
        <w:t xml:space="preserve">commenced </w:t>
      </w:r>
      <w:r>
        <w:t xml:space="preserve">reviewing and </w:t>
      </w:r>
      <w:r w:rsidR="00F43E1B">
        <w:t>implement</w:t>
      </w:r>
      <w:r w:rsidR="00470CB4">
        <w:t>ing</w:t>
      </w:r>
      <w:r w:rsidR="0059763A">
        <w:t xml:space="preserve"> an </w:t>
      </w:r>
      <w:r w:rsidR="008A734E">
        <w:t>internal complaint</w:t>
      </w:r>
      <w:r w:rsidR="00D95779">
        <w:t xml:space="preserve"> </w:t>
      </w:r>
      <w:r w:rsidR="00470CB4">
        <w:t xml:space="preserve">and feedback </w:t>
      </w:r>
      <w:r w:rsidR="00D95779">
        <w:t xml:space="preserve">handling procedure that outlines clear lines of reporting and </w:t>
      </w:r>
      <w:r w:rsidR="00812731">
        <w:t>escalation points</w:t>
      </w:r>
      <w:r w:rsidR="005257E2">
        <w:t>,</w:t>
      </w:r>
      <w:r w:rsidR="00080212">
        <w:t xml:space="preserve"> in line with the Department of Health and Aged Care </w:t>
      </w:r>
      <w:r w:rsidR="005D13B7">
        <w:t xml:space="preserve">Complaints Management Policy. </w:t>
      </w:r>
      <w:r w:rsidR="002F3FF0">
        <w:t xml:space="preserve">Following finalisation and publishing of the </w:t>
      </w:r>
      <w:r w:rsidR="00247978" w:rsidRPr="007E7468">
        <w:t>department’s complaints management policy</w:t>
      </w:r>
      <w:r w:rsidR="00F1519B">
        <w:t xml:space="preserve"> in 2023-2, </w:t>
      </w:r>
      <w:r w:rsidR="005B4139">
        <w:t xml:space="preserve">we will </w:t>
      </w:r>
      <w:r w:rsidR="00470CB4">
        <w:t>develop enhanced processes incor</w:t>
      </w:r>
      <w:r w:rsidR="00C55464">
        <w:t>por</w:t>
      </w:r>
      <w:r w:rsidR="00470CB4">
        <w:t>at</w:t>
      </w:r>
      <w:r w:rsidR="00814FE4">
        <w:t>ing</w:t>
      </w:r>
      <w:r w:rsidR="00470CB4">
        <w:t xml:space="preserve"> the new policy and recommendations from the audit.</w:t>
      </w:r>
      <w:bookmarkStart w:id="86" w:name="Table1"/>
      <w:bookmarkEnd w:id="86"/>
    </w:p>
    <w:p w14:paraId="18EF3EE1" w14:textId="77777777" w:rsidR="00F2350B" w:rsidRDefault="00F2350B">
      <w:pPr>
        <w:spacing w:before="0" w:after="160" w:line="259" w:lineRule="auto"/>
      </w:pPr>
      <w:r>
        <w:br w:type="page"/>
      </w:r>
    </w:p>
    <w:p w14:paraId="56B0AE4C" w14:textId="77777777" w:rsidR="00F2350B" w:rsidRPr="00373DCC" w:rsidRDefault="00F2350B" w:rsidP="00F2350B">
      <w:pPr>
        <w:pStyle w:val="Heading1"/>
        <w:spacing w:after="0" w:line="240" w:lineRule="auto"/>
        <w:rPr>
          <w:rFonts w:cs="Arial"/>
          <w:color w:val="00348C" w:themeColor="accent1" w:themeShade="BF"/>
        </w:rPr>
      </w:pPr>
      <w:bookmarkStart w:id="87" w:name="_Toc153550445"/>
      <w:r w:rsidRPr="5010FC51">
        <w:rPr>
          <w:rFonts w:cs="Arial"/>
          <w:color w:val="00348C" w:themeColor="accent1" w:themeShade="BF"/>
        </w:rPr>
        <w:lastRenderedPageBreak/>
        <w:t>Appendices</w:t>
      </w:r>
      <w:bookmarkEnd w:id="87"/>
    </w:p>
    <w:p w14:paraId="531B75EC" w14:textId="77777777" w:rsidR="00F2350B" w:rsidRPr="00373DCC" w:rsidRDefault="00F2350B" w:rsidP="00F2350B">
      <w:pPr>
        <w:keepNext/>
        <w:spacing w:after="180" w:line="240" w:lineRule="atLeast"/>
        <w:rPr>
          <w:rFonts w:eastAsia="Cambria" w:cs="Arial"/>
          <w:sz w:val="21"/>
          <w:szCs w:val="20"/>
        </w:rPr>
      </w:pPr>
      <w:r w:rsidRPr="00373DCC">
        <w:rPr>
          <w:rFonts w:eastAsia="Cambria" w:cs="Arial"/>
          <w:sz w:val="21"/>
          <w:szCs w:val="20"/>
        </w:rPr>
        <w:t xml:space="preserve">The appendices provide detailed statistical information on our performance during 2022-23. </w:t>
      </w:r>
    </w:p>
    <w:p w14:paraId="5F87B02E"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t xml:space="preserve"> </w:t>
      </w:r>
      <w:bookmarkStart w:id="88" w:name="_Toc153550446"/>
      <w:r w:rsidRPr="00373DCC">
        <w:rPr>
          <w:rFonts w:ascii="Arial" w:hAnsi="Arial" w:cs="Arial"/>
          <w:b/>
          <w:color w:val="00348C" w:themeColor="accent1" w:themeShade="BF"/>
          <w:sz w:val="32"/>
        </w:rPr>
        <w:t>Prescription Medicines</w:t>
      </w:r>
      <w:bookmarkEnd w:id="88"/>
      <w:r w:rsidRPr="00373DCC">
        <w:rPr>
          <w:rFonts w:ascii="Arial" w:hAnsi="Arial" w:cs="Arial"/>
          <w:b/>
          <w:color w:val="00348C" w:themeColor="accent1" w:themeShade="BF"/>
          <w:sz w:val="32"/>
        </w:rPr>
        <w:tab/>
      </w:r>
    </w:p>
    <w:p w14:paraId="737EBF8E" w14:textId="77777777" w:rsidR="00F2350B" w:rsidRPr="00373DCC" w:rsidRDefault="00F2350B" w:rsidP="00F2350B">
      <w:pPr>
        <w:keepNext/>
        <w:spacing w:after="180" w:line="240" w:lineRule="atLeast"/>
        <w:rPr>
          <w:rFonts w:eastAsia="Cambria" w:cs="Arial"/>
          <w:sz w:val="21"/>
          <w:szCs w:val="20"/>
        </w:rPr>
      </w:pPr>
      <w:r w:rsidRPr="00373DCC">
        <w:rPr>
          <w:rFonts w:eastAsia="Cambria" w:cs="Arial"/>
          <w:sz w:val="21"/>
          <w:szCs w:val="20"/>
        </w:rPr>
        <w:t xml:space="preserve">Applications for new or variations in prescription medicines is supported by scientific evidence, within legislated time frames and associated business rules. </w:t>
      </w:r>
    </w:p>
    <w:p w14:paraId="6087AB89" w14:textId="77777777" w:rsidR="00F2350B" w:rsidRPr="00373DCC" w:rsidRDefault="00F2350B" w:rsidP="00F2350B">
      <w:pPr>
        <w:keepNext/>
        <w:spacing w:after="180" w:line="240" w:lineRule="atLeast"/>
        <w:rPr>
          <w:rFonts w:eastAsia="Cambria" w:cs="Arial"/>
          <w:sz w:val="21"/>
          <w:szCs w:val="20"/>
        </w:rPr>
      </w:pPr>
      <w:r w:rsidRPr="00373DCC">
        <w:rPr>
          <w:rFonts w:eastAsia="Cambria" w:cs="Arial"/>
          <w:sz w:val="21"/>
          <w:szCs w:val="20"/>
        </w:rPr>
        <w:t>The framework for prescription medicines includes the following categories which are subject to legislated and/or target timeframes:</w:t>
      </w:r>
    </w:p>
    <w:tbl>
      <w:tblPr>
        <w:tblStyle w:val="TableTGAblue"/>
        <w:tblW w:w="9322" w:type="dxa"/>
        <w:tblLook w:val="04A0" w:firstRow="1" w:lastRow="0" w:firstColumn="1" w:lastColumn="0" w:noHBand="0" w:noVBand="1"/>
      </w:tblPr>
      <w:tblGrid>
        <w:gridCol w:w="2321"/>
        <w:gridCol w:w="3741"/>
        <w:gridCol w:w="3260"/>
      </w:tblGrid>
      <w:tr w:rsidR="00F2350B" w:rsidRPr="00373DCC" w14:paraId="78A2BD94" w14:textId="77777777" w:rsidTr="00710B91">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shd w:val="clear" w:color="auto" w:fill="29527F"/>
          </w:tcPr>
          <w:p w14:paraId="4FCC97D6" w14:textId="77777777" w:rsidR="00F2350B" w:rsidRPr="00373DCC" w:rsidRDefault="00F2350B" w:rsidP="00710B91">
            <w:pPr>
              <w:keepLines/>
              <w:widowControl w:val="0"/>
              <w:spacing w:after="180" w:line="240" w:lineRule="atLeast"/>
              <w:jc w:val="center"/>
              <w:rPr>
                <w:rFonts w:cs="Arial"/>
                <w:color w:val="FFFFFF" w:themeColor="background1"/>
                <w:sz w:val="21"/>
              </w:rPr>
            </w:pPr>
            <w:r w:rsidRPr="00373DCC">
              <w:rPr>
                <w:rFonts w:cs="Arial"/>
                <w:color w:val="FFFFFF" w:themeColor="background1"/>
                <w:sz w:val="21"/>
              </w:rPr>
              <w:t>Application category</w:t>
            </w:r>
          </w:p>
        </w:tc>
        <w:tc>
          <w:tcPr>
            <w:tcW w:w="0" w:type="dxa"/>
            <w:tcBorders>
              <w:top w:val="single" w:sz="4" w:space="0" w:color="000000"/>
              <w:left w:val="single" w:sz="4" w:space="0" w:color="000000"/>
              <w:bottom w:val="single" w:sz="4" w:space="0" w:color="000000"/>
              <w:right w:val="single" w:sz="4" w:space="0" w:color="000000"/>
            </w:tcBorders>
            <w:shd w:val="clear" w:color="auto" w:fill="29527F"/>
          </w:tcPr>
          <w:p w14:paraId="76E9CA40" w14:textId="77777777" w:rsidR="00F2350B" w:rsidRPr="00373DCC" w:rsidRDefault="00F2350B" w:rsidP="00710B91">
            <w:pPr>
              <w:keepLines/>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Description</w:t>
            </w:r>
          </w:p>
        </w:tc>
        <w:tc>
          <w:tcPr>
            <w:tcW w:w="0" w:type="dxa"/>
            <w:tcBorders>
              <w:top w:val="single" w:sz="4" w:space="0" w:color="000000"/>
              <w:left w:val="single" w:sz="4" w:space="0" w:color="000000"/>
              <w:bottom w:val="single" w:sz="4" w:space="0" w:color="000000"/>
              <w:right w:val="single" w:sz="4" w:space="0" w:color="000000"/>
            </w:tcBorders>
            <w:shd w:val="clear" w:color="auto" w:fill="29527F"/>
          </w:tcPr>
          <w:p w14:paraId="0200ED78" w14:textId="77777777" w:rsidR="00F2350B" w:rsidRPr="00373DCC" w:rsidRDefault="00F2350B" w:rsidP="00710B91">
            <w:pPr>
              <w:keepLines/>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Timeframe in working days</w:t>
            </w:r>
          </w:p>
        </w:tc>
      </w:tr>
      <w:tr w:rsidR="00F2350B" w:rsidRPr="00373DCC" w14:paraId="051C4D3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cBorders>
          </w:tcPr>
          <w:p w14:paraId="164FBE52"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Category 1</w:t>
            </w:r>
          </w:p>
        </w:tc>
        <w:tc>
          <w:tcPr>
            <w:tcW w:w="0" w:type="dxa"/>
            <w:tcBorders>
              <w:top w:val="single" w:sz="4" w:space="0" w:color="000000"/>
            </w:tcBorders>
          </w:tcPr>
          <w:p w14:paraId="0C451B65"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register a new prescription medicine (other than an additional trade name) or to make a variation to an existing medicine that involves the evaluation of clinical, pre</w:t>
            </w:r>
            <w:r w:rsidRPr="00373DCC">
              <w:rPr>
                <w:rFonts w:cs="Arial"/>
                <w:sz w:val="21"/>
              </w:rPr>
              <w:noBreakHyphen/>
              <w:t>clinical or bio-equivalence data. For example, new chemical entities, extensions of indication and new routes of administration.</w:t>
            </w:r>
          </w:p>
        </w:tc>
        <w:tc>
          <w:tcPr>
            <w:tcW w:w="0" w:type="dxa"/>
            <w:tcBorders>
              <w:top w:val="single" w:sz="4" w:space="0" w:color="000000"/>
            </w:tcBorders>
          </w:tcPr>
          <w:p w14:paraId="5238AFBB"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Legislated timeframe: 40 working days for notification of whether the application has passed preliminary assessment and 255 working days for the completion of the evaluation and notification of the decision.</w:t>
            </w:r>
          </w:p>
          <w:p w14:paraId="63BA820E"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For the priority review pathway, the target timeframe is 150 working days.</w:t>
            </w:r>
          </w:p>
        </w:tc>
      </w:tr>
      <w:tr w:rsidR="00F2350B" w:rsidRPr="00373DCC" w14:paraId="696AE7D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29CB3A08" w14:textId="77777777" w:rsidR="00F2350B" w:rsidRPr="00373DCC" w:rsidRDefault="00F2350B" w:rsidP="00710B91">
            <w:pPr>
              <w:keepLines/>
              <w:widowControl w:val="0"/>
              <w:spacing w:before="180" w:after="180" w:line="240" w:lineRule="atLeast"/>
              <w:contextualSpacing/>
              <w:rPr>
                <w:rFonts w:cs="Arial"/>
                <w:i/>
                <w:sz w:val="21"/>
              </w:rPr>
            </w:pPr>
            <w:r w:rsidRPr="00373DCC">
              <w:rPr>
                <w:rFonts w:cs="Arial"/>
                <w:sz w:val="21"/>
              </w:rPr>
              <w:t>Comparable Overseas Regulator (COR) report-based process</w:t>
            </w:r>
          </w:p>
        </w:tc>
        <w:tc>
          <w:tcPr>
            <w:tcW w:w="3741" w:type="dxa"/>
          </w:tcPr>
          <w:p w14:paraId="747E12D4"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accompanied by an un-redacted assessment report package from a comparable overseas regulator.</w:t>
            </w:r>
          </w:p>
        </w:tc>
        <w:tc>
          <w:tcPr>
            <w:tcW w:w="3260" w:type="dxa"/>
          </w:tcPr>
          <w:p w14:paraId="23A54BA0"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Legislated timeframe: 40 working days for notification of whether the application has passed preliminary assessment. The timeframe for completion of the evaluation and notification of the decision depends on the COR pathway:</w:t>
            </w:r>
          </w:p>
          <w:p w14:paraId="1752EF4D" w14:textId="77777777" w:rsidR="00F2350B" w:rsidRPr="00373DCC" w:rsidRDefault="00F2350B" w:rsidP="00710B91">
            <w:pPr>
              <w:keepNext/>
              <w:spacing w:before="30" w:after="30" w:line="240" w:lineRule="atLeast"/>
              <w:ind w:left="360" w:hanging="360"/>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COR-A</w:t>
            </w:r>
            <w:r w:rsidRPr="00373DCC">
              <w:rPr>
                <w:rFonts w:cs="Arial"/>
                <w:sz w:val="21"/>
                <w:vertAlign w:val="superscript"/>
              </w:rPr>
              <w:t>a</w:t>
            </w:r>
            <w:r w:rsidRPr="00373DCC">
              <w:rPr>
                <w:rFonts w:cs="Arial"/>
                <w:sz w:val="21"/>
              </w:rPr>
              <w:t>: 120 working days</w:t>
            </w:r>
          </w:p>
          <w:p w14:paraId="63B31CF6" w14:textId="77777777" w:rsidR="00F2350B" w:rsidRPr="00373DCC" w:rsidRDefault="00F2350B" w:rsidP="00710B91">
            <w:pPr>
              <w:keepNext/>
              <w:spacing w:before="30" w:after="30" w:line="240" w:lineRule="atLeast"/>
              <w:ind w:left="360" w:hanging="360"/>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COR-B</w:t>
            </w:r>
            <w:r w:rsidRPr="00373DCC">
              <w:rPr>
                <w:rFonts w:cs="Arial"/>
                <w:sz w:val="21"/>
                <w:vertAlign w:val="superscript"/>
              </w:rPr>
              <w:t>a</w:t>
            </w:r>
            <w:r w:rsidRPr="00373DCC">
              <w:rPr>
                <w:rFonts w:cs="Arial"/>
                <w:sz w:val="21"/>
              </w:rPr>
              <w:t xml:space="preserve">: 175 working days </w:t>
            </w:r>
          </w:p>
        </w:tc>
      </w:tr>
      <w:tr w:rsidR="00F2350B" w:rsidRPr="00373DCC" w14:paraId="5FF56D5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454D71E8"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Category 3</w:t>
            </w:r>
          </w:p>
        </w:tc>
        <w:tc>
          <w:tcPr>
            <w:tcW w:w="3741" w:type="dxa"/>
          </w:tcPr>
          <w:p w14:paraId="4717B7B5"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register or to vary the registration of a prescription medicine where the application does not require the support of clinical, pre</w:t>
            </w:r>
            <w:r w:rsidRPr="00373DCC">
              <w:rPr>
                <w:rFonts w:cs="Arial"/>
                <w:sz w:val="21"/>
              </w:rPr>
              <w:noBreakHyphen/>
              <w:t>clinical or bio-equivalence data.</w:t>
            </w:r>
          </w:p>
          <w:p w14:paraId="73EF8034"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For example, broader changes to the product specifications, manufacturing and labelling or a change in trade name.</w:t>
            </w:r>
          </w:p>
        </w:tc>
        <w:tc>
          <w:tcPr>
            <w:tcW w:w="3260" w:type="dxa"/>
          </w:tcPr>
          <w:p w14:paraId="461648D8"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Legislated timeframe: 45 working days to notify the applicant of the decision.</w:t>
            </w:r>
          </w:p>
        </w:tc>
      </w:tr>
    </w:tbl>
    <w:p w14:paraId="6570B1DE" w14:textId="77777777" w:rsidR="00F2350B" w:rsidRPr="00373DCC" w:rsidRDefault="00F2350B" w:rsidP="00F2350B">
      <w:pPr>
        <w:spacing w:after="0" w:line="240" w:lineRule="atLeast"/>
        <w:rPr>
          <w:rFonts w:eastAsia="Cambria" w:cs="Arial"/>
          <w:sz w:val="16"/>
          <w:szCs w:val="16"/>
        </w:rPr>
      </w:pPr>
      <w:r w:rsidRPr="00373DCC">
        <w:rPr>
          <w:rFonts w:eastAsia="Times New Roman" w:cs="Arial"/>
          <w:sz w:val="16"/>
          <w:szCs w:val="16"/>
          <w:vertAlign w:val="superscript"/>
          <w:lang w:eastAsia="en-AU"/>
        </w:rPr>
        <w:t xml:space="preserve">a </w:t>
      </w:r>
      <w:r w:rsidRPr="00373DCC">
        <w:rPr>
          <w:rFonts w:eastAsia="Cambria" w:cs="Arial"/>
          <w:sz w:val="16"/>
          <w:szCs w:val="16"/>
        </w:rPr>
        <w:t xml:space="preserve">Under COR-A, the TGA regulatory decision will be based on a critical review of the COR assessment reports and an evaluation of the Australian label, Product Information (PI) and where required, the Risk Management Plan (RMP). Under the COR-B approach, the TGA regulatory decision will still be mostly based on a critical review of the COR assessment reports, and where required, the RMP. </w:t>
      </w:r>
    </w:p>
    <w:p w14:paraId="2F6476E1" w14:textId="77777777" w:rsidR="00F2350B" w:rsidRPr="00373DCC" w:rsidRDefault="00F2350B" w:rsidP="00F2350B">
      <w:pPr>
        <w:rPr>
          <w:rFonts w:eastAsia="Cambria" w:cs="Arial"/>
          <w:szCs w:val="22"/>
        </w:rPr>
      </w:pPr>
      <w:r w:rsidRPr="00373DCC">
        <w:rPr>
          <w:rFonts w:eastAsia="Cambria" w:cs="Arial"/>
          <w:szCs w:val="22"/>
        </w:rPr>
        <w:br w:type="page"/>
      </w:r>
    </w:p>
    <w:tbl>
      <w:tblPr>
        <w:tblStyle w:val="TableTGAblue"/>
        <w:tblW w:w="9322" w:type="dxa"/>
        <w:tblLook w:val="04A0" w:firstRow="1" w:lastRow="0" w:firstColumn="1" w:lastColumn="0" w:noHBand="0" w:noVBand="1"/>
      </w:tblPr>
      <w:tblGrid>
        <w:gridCol w:w="2321"/>
        <w:gridCol w:w="3741"/>
        <w:gridCol w:w="3260"/>
      </w:tblGrid>
      <w:tr w:rsidR="00F2350B" w:rsidRPr="00373DCC" w14:paraId="0E2F3AD7" w14:textId="77777777" w:rsidTr="0069779B">
        <w:trPr>
          <w:cnfStyle w:val="100000000000" w:firstRow="1" w:lastRow="0" w:firstColumn="0" w:lastColumn="0" w:oddVBand="0" w:evenVBand="0" w:oddHBand="0" w:evenHBand="0" w:firstRowFirstColumn="0" w:firstRowLastColumn="0" w:lastRowFirstColumn="0" w:lastRowLastColumn="0"/>
          <w:cantSplit w:val="0"/>
          <w:trHeight w:val="558"/>
        </w:trPr>
        <w:tc>
          <w:tcPr>
            <w:cnfStyle w:val="001000000000" w:firstRow="0" w:lastRow="0" w:firstColumn="1" w:lastColumn="0" w:oddVBand="0" w:evenVBand="0" w:oddHBand="0" w:evenHBand="0" w:firstRowFirstColumn="0" w:firstRowLastColumn="0" w:lastRowFirstColumn="0" w:lastRowLastColumn="0"/>
            <w:tcW w:w="2321"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3C31586D" w14:textId="77777777" w:rsidR="00F2350B" w:rsidRPr="00373DCC" w:rsidRDefault="00F2350B" w:rsidP="00710B91">
            <w:pPr>
              <w:keepLines/>
              <w:widowControl w:val="0"/>
              <w:spacing w:after="180" w:line="240" w:lineRule="atLeast"/>
              <w:contextualSpacing/>
              <w:jc w:val="center"/>
              <w:rPr>
                <w:rFonts w:cs="Arial"/>
                <w:color w:val="FFFFFF" w:themeColor="background1"/>
                <w:sz w:val="21"/>
              </w:rPr>
            </w:pPr>
            <w:r w:rsidRPr="00373DCC">
              <w:rPr>
                <w:rFonts w:cs="Arial"/>
                <w:color w:val="FFFFFF" w:themeColor="background1"/>
                <w:sz w:val="21"/>
              </w:rPr>
              <w:lastRenderedPageBreak/>
              <w:t>Application category</w:t>
            </w:r>
          </w:p>
        </w:tc>
        <w:tc>
          <w:tcPr>
            <w:tcW w:w="3741"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4C1A1A66" w14:textId="77777777" w:rsidR="00F2350B" w:rsidRPr="00373DCC" w:rsidRDefault="00F2350B" w:rsidP="00710B91">
            <w:pPr>
              <w:keepLines/>
              <w:widowControl w:val="0"/>
              <w:spacing w:after="18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Description</w:t>
            </w:r>
          </w:p>
        </w:tc>
        <w:tc>
          <w:tcPr>
            <w:tcW w:w="3260" w:type="dxa"/>
            <w:tcBorders>
              <w:top w:val="single" w:sz="4" w:space="0" w:color="000000"/>
              <w:left w:val="single" w:sz="4" w:space="0" w:color="000000"/>
              <w:bottom w:val="single" w:sz="4" w:space="0" w:color="000000"/>
              <w:right w:val="single" w:sz="4" w:space="0" w:color="000000"/>
            </w:tcBorders>
            <w:shd w:val="clear" w:color="auto" w:fill="29527F"/>
            <w:vAlign w:val="center"/>
          </w:tcPr>
          <w:p w14:paraId="20739BDD" w14:textId="77777777" w:rsidR="00F2350B" w:rsidRPr="00373DCC" w:rsidRDefault="00F2350B" w:rsidP="00710B91">
            <w:pPr>
              <w:keepLines/>
              <w:widowControl w:val="0"/>
              <w:spacing w:after="18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Timeframe in working days</w:t>
            </w:r>
          </w:p>
        </w:tc>
      </w:tr>
      <w:tr w:rsidR="00F2350B" w:rsidRPr="00373DCC" w14:paraId="4D9970F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Borders>
              <w:top w:val="single" w:sz="4" w:space="0" w:color="000000"/>
            </w:tcBorders>
          </w:tcPr>
          <w:p w14:paraId="44F0FD82"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Correction to, or completion of, a Register entry</w:t>
            </w:r>
          </w:p>
        </w:tc>
        <w:tc>
          <w:tcPr>
            <w:tcW w:w="3741" w:type="dxa"/>
            <w:tcBorders>
              <w:top w:val="single" w:sz="4" w:space="0" w:color="000000"/>
            </w:tcBorders>
          </w:tcPr>
          <w:p w14:paraId="6C3A2EED"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vary the registration of a prescription medicine to correct or complete information that was inadvertently recorded incorrectly or omitted from the Register entry.</w:t>
            </w:r>
          </w:p>
          <w:p w14:paraId="0F273DFA"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For example, errors to product information, or quality-related documentation.</w:t>
            </w:r>
          </w:p>
        </w:tc>
        <w:tc>
          <w:tcPr>
            <w:tcW w:w="3260" w:type="dxa"/>
            <w:tcBorders>
              <w:top w:val="single" w:sz="4" w:space="0" w:color="000000"/>
            </w:tcBorders>
          </w:tcPr>
          <w:p w14:paraId="6F81474E"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No legislated timeframe: TGA processes as soon as possible.</w:t>
            </w:r>
          </w:p>
        </w:tc>
      </w:tr>
      <w:tr w:rsidR="00F2350B" w:rsidRPr="00373DCC" w14:paraId="19E780B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128FE131"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Safety-related request</w:t>
            </w:r>
          </w:p>
        </w:tc>
        <w:tc>
          <w:tcPr>
            <w:tcW w:w="3741" w:type="dxa"/>
          </w:tcPr>
          <w:p w14:paraId="34BEDB62"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vary the registration of a prescription medicine to either:</w:t>
            </w:r>
          </w:p>
          <w:p w14:paraId="18F31C7D"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reduce the patient population that can receive the medicine or add a warning or precaution.</w:t>
            </w:r>
          </w:p>
        </w:tc>
        <w:tc>
          <w:tcPr>
            <w:tcW w:w="3260" w:type="dxa"/>
          </w:tcPr>
          <w:p w14:paraId="4198B1BD"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No legislated timeframe: TGA processes as soon as possible.</w:t>
            </w:r>
          </w:p>
        </w:tc>
      </w:tr>
      <w:tr w:rsidR="00F2350B" w:rsidRPr="00373DCC" w14:paraId="113A878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6140E8C1"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Notification request to vary an ARTG entry</w:t>
            </w:r>
          </w:p>
        </w:tc>
        <w:tc>
          <w:tcPr>
            <w:tcW w:w="3741" w:type="dxa"/>
          </w:tcPr>
          <w:p w14:paraId="122E27E1"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vary the registration of a prescription medicine, where the application has been determined to pose a very low risk under certain conditions.</w:t>
            </w:r>
          </w:p>
          <w:p w14:paraId="0FBCAE92"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For example, the removal of a redundant manufacture site.</w:t>
            </w:r>
          </w:p>
        </w:tc>
        <w:tc>
          <w:tcPr>
            <w:tcW w:w="3260" w:type="dxa"/>
          </w:tcPr>
          <w:p w14:paraId="5481C39F"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No legislated timeframe: automatic approval on submission of e-form and full payment of fee.</w:t>
            </w:r>
          </w:p>
        </w:tc>
      </w:tr>
      <w:tr w:rsidR="00F2350B" w:rsidRPr="00373DCC" w14:paraId="4272614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0D6DF494"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Self-assessable request</w:t>
            </w:r>
          </w:p>
        </w:tc>
        <w:tc>
          <w:tcPr>
            <w:tcW w:w="3741" w:type="dxa"/>
          </w:tcPr>
          <w:p w14:paraId="4E4C7D86"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to register or to vary the registration of a prescription medicine where the application:</w:t>
            </w:r>
          </w:p>
          <w:p w14:paraId="67785A84"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does not require the support of clinical, pre</w:t>
            </w:r>
            <w:r w:rsidRPr="00373DCC">
              <w:rPr>
                <w:rFonts w:cs="Arial"/>
                <w:sz w:val="21"/>
              </w:rPr>
              <w:noBreakHyphen/>
              <w:t>clinical or bio-equivalence data and where no data are necessary or where the data can be self-assessed by the applicant.</w:t>
            </w:r>
          </w:p>
          <w:p w14:paraId="0F3555D2"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For example, certain changes to the pack size or approved product label.</w:t>
            </w:r>
          </w:p>
        </w:tc>
        <w:tc>
          <w:tcPr>
            <w:tcW w:w="3260" w:type="dxa"/>
          </w:tcPr>
          <w:p w14:paraId="0C2A00EE"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2E6D346C">
              <w:rPr>
                <w:rFonts w:cs="Arial"/>
                <w:sz w:val="21"/>
              </w:rPr>
              <w:t>Legislated timeframe: 45 working days for notification of acceptance or rejection of an application, completion of evaluation and notification of the decisio</w:t>
            </w:r>
            <w:r>
              <w:rPr>
                <w:rFonts w:cs="Arial"/>
                <w:sz w:val="21"/>
              </w:rPr>
              <w:t>n</w:t>
            </w:r>
            <w:r w:rsidRPr="2E6D346C">
              <w:rPr>
                <w:rFonts w:cs="Arial"/>
                <w:sz w:val="21"/>
              </w:rPr>
              <w:t>.</w:t>
            </w:r>
          </w:p>
        </w:tc>
      </w:tr>
      <w:tr w:rsidR="00F2350B" w:rsidRPr="00373DCC" w14:paraId="43C46B3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321" w:type="dxa"/>
          </w:tcPr>
          <w:p w14:paraId="390BEC0A" w14:textId="77777777" w:rsidR="00F2350B" w:rsidRPr="00373DCC" w:rsidRDefault="00F2350B" w:rsidP="00710B91">
            <w:pPr>
              <w:keepLines/>
              <w:widowControl w:val="0"/>
              <w:spacing w:before="180" w:after="180" w:line="240" w:lineRule="atLeast"/>
              <w:contextualSpacing/>
              <w:rPr>
                <w:rFonts w:cs="Arial"/>
                <w:sz w:val="21"/>
              </w:rPr>
            </w:pPr>
            <w:r w:rsidRPr="00373DCC">
              <w:rPr>
                <w:rFonts w:cs="Arial"/>
                <w:sz w:val="21"/>
              </w:rPr>
              <w:t>Additional trade name</w:t>
            </w:r>
          </w:p>
        </w:tc>
        <w:tc>
          <w:tcPr>
            <w:tcW w:w="3741" w:type="dxa"/>
          </w:tcPr>
          <w:p w14:paraId="196B1B65"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for an additional trade name for a registered prescription medicine.</w:t>
            </w:r>
          </w:p>
        </w:tc>
        <w:tc>
          <w:tcPr>
            <w:tcW w:w="3260" w:type="dxa"/>
          </w:tcPr>
          <w:p w14:paraId="3D06AA6A" w14:textId="77777777" w:rsidR="00F2350B" w:rsidRPr="00373DCC" w:rsidRDefault="00F2350B" w:rsidP="00710B91">
            <w:pPr>
              <w:keepLines/>
              <w:widowControl w:val="0"/>
              <w:spacing w:before="180" w:after="180" w:line="240" w:lineRule="atLeast"/>
              <w:contextualSpacing/>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Legislated timeframe: 45 working days.</w:t>
            </w:r>
          </w:p>
        </w:tc>
      </w:tr>
    </w:tbl>
    <w:p w14:paraId="6152EEFB" w14:textId="77777777" w:rsidR="00F2350B" w:rsidRPr="00373DCC" w:rsidRDefault="00F2350B" w:rsidP="00F2350B">
      <w:pPr>
        <w:pStyle w:val="NoSpacing"/>
        <w:rPr>
          <w:rFonts w:ascii="Arial" w:hAnsi="Arial" w:cs="Arial"/>
          <w:sz w:val="22"/>
          <w:szCs w:val="22"/>
        </w:rPr>
      </w:pPr>
    </w:p>
    <w:p w14:paraId="45A6FBA2" w14:textId="77777777" w:rsidR="00F2350B" w:rsidRPr="00373DCC" w:rsidRDefault="00F2350B" w:rsidP="00F2350B">
      <w:pPr>
        <w:rPr>
          <w:rFonts w:cs="Arial"/>
          <w:szCs w:val="22"/>
        </w:rPr>
      </w:pPr>
      <w:r w:rsidRPr="00373DCC">
        <w:rPr>
          <w:rFonts w:cs="Arial"/>
          <w:szCs w:val="22"/>
        </w:rPr>
        <w:br w:type="page"/>
      </w:r>
    </w:p>
    <w:p w14:paraId="321057A2" w14:textId="77777777" w:rsidR="00F2350B" w:rsidRPr="00373DCC" w:rsidRDefault="00F2350B" w:rsidP="00ED1A1F">
      <w:pPr>
        <w:pStyle w:val="Heading3-numbered"/>
        <w:numPr>
          <w:ilvl w:val="1"/>
          <w:numId w:val="21"/>
        </w:numPr>
        <w:rPr>
          <w:rFonts w:ascii="Arial" w:hAnsi="Arial" w:cs="Arial"/>
        </w:rPr>
      </w:pPr>
      <w:bookmarkStart w:id="89" w:name="_Toc153550447"/>
      <w:r w:rsidRPr="00373DCC">
        <w:rPr>
          <w:rFonts w:ascii="Arial" w:hAnsi="Arial" w:cs="Arial"/>
        </w:rPr>
        <w:lastRenderedPageBreak/>
        <w:t>Submission outcomes</w:t>
      </w:r>
      <w:bookmarkEnd w:id="89"/>
    </w:p>
    <w:p w14:paraId="37FEBD44" w14:textId="77777777" w:rsidR="00F2350B" w:rsidRPr="00373DCC" w:rsidRDefault="00F2350B" w:rsidP="00F2350B">
      <w:pPr>
        <w:pStyle w:val="Caption"/>
        <w:keepNext/>
        <w:spacing w:after="120"/>
        <w:rPr>
          <w:rFonts w:eastAsia="Cambria" w:cs="Arial"/>
          <w:bCs/>
          <w:i w:val="0"/>
          <w:iCs w:val="0"/>
          <w:color w:val="auto"/>
          <w:sz w:val="21"/>
        </w:rPr>
      </w:pPr>
      <w:r w:rsidRPr="00373DCC">
        <w:rPr>
          <w:rFonts w:eastAsia="Cambria" w:cs="Arial"/>
          <w:bCs/>
          <w:i w:val="0"/>
          <w:iCs w:val="0"/>
          <w:color w:val="auto"/>
          <w:sz w:val="21"/>
        </w:rPr>
        <w:t xml:space="preserve">Table </w:t>
      </w:r>
      <w:r w:rsidRPr="00373DCC">
        <w:rPr>
          <w:rFonts w:eastAsia="Cambria" w:cs="Arial"/>
          <w:bCs/>
          <w:i w:val="0"/>
          <w:iCs w:val="0"/>
          <w:color w:val="auto"/>
          <w:sz w:val="21"/>
        </w:rPr>
        <w:fldChar w:fldCharType="begin"/>
      </w:r>
      <w:r w:rsidRPr="00373DCC">
        <w:rPr>
          <w:rFonts w:eastAsia="Cambria" w:cs="Arial"/>
          <w:bCs/>
          <w:i w:val="0"/>
          <w:iCs w:val="0"/>
          <w:color w:val="auto"/>
          <w:sz w:val="21"/>
        </w:rPr>
        <w:instrText xml:space="preserve"> SEQ Table \* ARABIC </w:instrText>
      </w:r>
      <w:r w:rsidRPr="00373DCC">
        <w:rPr>
          <w:rFonts w:eastAsia="Cambria" w:cs="Arial"/>
          <w:bCs/>
          <w:i w:val="0"/>
          <w:iCs w:val="0"/>
          <w:color w:val="auto"/>
          <w:sz w:val="21"/>
        </w:rPr>
        <w:fldChar w:fldCharType="separate"/>
      </w:r>
      <w:r w:rsidRPr="00373DCC">
        <w:rPr>
          <w:rFonts w:eastAsia="Cambria" w:cs="Arial"/>
          <w:bCs/>
          <w:i w:val="0"/>
          <w:iCs w:val="0"/>
          <w:color w:val="auto"/>
          <w:sz w:val="21"/>
        </w:rPr>
        <w:t>1</w:t>
      </w:r>
      <w:r w:rsidRPr="00373DCC">
        <w:rPr>
          <w:rFonts w:eastAsia="Cambria" w:cs="Arial"/>
          <w:bCs/>
          <w:i w:val="0"/>
          <w:iCs w:val="0"/>
          <w:color w:val="auto"/>
          <w:sz w:val="21"/>
        </w:rPr>
        <w:fldChar w:fldCharType="end"/>
      </w:r>
      <w:r w:rsidRPr="00373DCC">
        <w:rPr>
          <w:rFonts w:eastAsia="Cambria" w:cs="Arial"/>
          <w:bCs/>
          <w:i w:val="0"/>
          <w:iCs w:val="0"/>
          <w:color w:val="auto"/>
          <w:sz w:val="21"/>
        </w:rPr>
        <w:t>: Number of completed prescription medicine submissions by type and outcome for July 2022 to June 2023</w:t>
      </w:r>
    </w:p>
    <w:tbl>
      <w:tblPr>
        <w:tblStyle w:val="TableGrid1"/>
        <w:tblW w:w="5193" w:type="pct"/>
        <w:tblInd w:w="-5" w:type="dxa"/>
        <w:tblLook w:val="04A0" w:firstRow="1" w:lastRow="0" w:firstColumn="1" w:lastColumn="0" w:noHBand="0" w:noVBand="1"/>
      </w:tblPr>
      <w:tblGrid>
        <w:gridCol w:w="3901"/>
        <w:gridCol w:w="1362"/>
        <w:gridCol w:w="1365"/>
        <w:gridCol w:w="1365"/>
        <w:gridCol w:w="1371"/>
      </w:tblGrid>
      <w:tr w:rsidR="0069779B" w:rsidRPr="00373DCC" w14:paraId="7453D815" w14:textId="77777777" w:rsidTr="0069779B">
        <w:trPr>
          <w:trHeight w:val="606"/>
          <w:tblHeader/>
        </w:trPr>
        <w:tc>
          <w:tcPr>
            <w:tcW w:w="2083"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6A16BF3" w14:textId="77777777" w:rsidR="00F2350B" w:rsidRPr="00373DCC" w:rsidRDefault="00F2350B" w:rsidP="0069779B">
            <w:pPr>
              <w:keepLines/>
              <w:spacing w:before="0" w:after="0" w:line="240" w:lineRule="atLeast"/>
              <w:jc w:val="center"/>
              <w:rPr>
                <w:rFonts w:cs="Arial"/>
                <w:b/>
                <w:color w:val="FFFFFF" w:themeColor="background1"/>
                <w:sz w:val="21"/>
                <w:lang w:eastAsia="en-US"/>
              </w:rPr>
            </w:pPr>
            <w:r w:rsidRPr="00373DCC">
              <w:rPr>
                <w:rFonts w:cs="Arial"/>
                <w:b/>
                <w:color w:val="FFFFFF" w:themeColor="background1"/>
                <w:sz w:val="21"/>
                <w:lang w:eastAsia="en-US"/>
              </w:rPr>
              <w:t>Application Type</w:t>
            </w:r>
          </w:p>
        </w:tc>
        <w:tc>
          <w:tcPr>
            <w:tcW w:w="727"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39B730E7" w14:textId="4FBA422A" w:rsidR="00F2350B" w:rsidRPr="00373DCC" w:rsidRDefault="0069779B" w:rsidP="0069779B">
            <w:pPr>
              <w:keepLines/>
              <w:spacing w:before="0" w:after="0" w:line="240" w:lineRule="atLeast"/>
              <w:jc w:val="center"/>
              <w:rPr>
                <w:rFonts w:cs="Arial"/>
                <w:b/>
                <w:color w:val="FFFFFF" w:themeColor="background1"/>
                <w:sz w:val="21"/>
                <w:lang w:eastAsia="en-US"/>
              </w:rPr>
            </w:pPr>
            <w:r>
              <w:rPr>
                <w:rFonts w:cs="Arial"/>
                <w:b/>
                <w:color w:val="FFFFFF" w:themeColor="background1"/>
                <w:sz w:val="21"/>
                <w:lang w:eastAsia="en-US"/>
              </w:rPr>
              <w:t>Number</w:t>
            </w:r>
            <w:r>
              <w:rPr>
                <w:rFonts w:cs="Arial"/>
                <w:b/>
                <w:color w:val="FFFFFF" w:themeColor="background1"/>
                <w:sz w:val="21"/>
                <w:lang w:eastAsia="en-US"/>
              </w:rPr>
              <w:br/>
            </w:r>
            <w:r w:rsidR="00F2350B" w:rsidRPr="00373DCC">
              <w:rPr>
                <w:rFonts w:cs="Arial"/>
                <w:b/>
                <w:color w:val="FFFFFF" w:themeColor="background1"/>
                <w:sz w:val="21"/>
                <w:lang w:eastAsia="en-US"/>
              </w:rPr>
              <w:t>Approved</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3DBEFC6" w14:textId="321F3361" w:rsidR="00F2350B" w:rsidRPr="00373DCC" w:rsidRDefault="0069779B" w:rsidP="0069779B">
            <w:pPr>
              <w:keepLines/>
              <w:spacing w:before="0" w:after="0" w:line="240" w:lineRule="atLeast"/>
              <w:jc w:val="center"/>
              <w:rPr>
                <w:rFonts w:cs="Arial"/>
                <w:b/>
                <w:color w:val="FFFFFF" w:themeColor="background1"/>
                <w:sz w:val="21"/>
                <w:lang w:eastAsia="en-US"/>
              </w:rPr>
            </w:pPr>
            <w:r>
              <w:rPr>
                <w:rFonts w:cs="Arial"/>
                <w:b/>
                <w:color w:val="FFFFFF" w:themeColor="background1"/>
                <w:sz w:val="21"/>
                <w:lang w:eastAsia="en-US"/>
              </w:rPr>
              <w:t xml:space="preserve">Number </w:t>
            </w:r>
            <w:r w:rsidR="00F2350B" w:rsidRPr="00373DCC">
              <w:rPr>
                <w:rFonts w:cs="Arial"/>
                <w:b/>
                <w:color w:val="FFFFFF" w:themeColor="background1"/>
                <w:sz w:val="21"/>
                <w:lang w:eastAsia="en-US"/>
              </w:rPr>
              <w:t>Withdrawn</w:t>
            </w:r>
          </w:p>
        </w:tc>
        <w:tc>
          <w:tcPr>
            <w:tcW w:w="72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75AF41EE" w14:textId="77777777" w:rsidR="0069779B" w:rsidRDefault="0069779B" w:rsidP="0069779B">
            <w:pPr>
              <w:keepLines/>
              <w:spacing w:before="0" w:after="0" w:line="240" w:lineRule="atLeast"/>
              <w:jc w:val="center"/>
              <w:rPr>
                <w:rFonts w:cs="Arial"/>
                <w:b/>
                <w:color w:val="FFFFFF" w:themeColor="background1"/>
                <w:sz w:val="21"/>
                <w:lang w:eastAsia="en-US"/>
              </w:rPr>
            </w:pPr>
            <w:r>
              <w:rPr>
                <w:rFonts w:cs="Arial"/>
                <w:b/>
                <w:color w:val="FFFFFF" w:themeColor="background1"/>
                <w:sz w:val="21"/>
                <w:lang w:eastAsia="en-US"/>
              </w:rPr>
              <w:t>Number</w:t>
            </w:r>
          </w:p>
          <w:p w14:paraId="678A614F" w14:textId="1FF784D2" w:rsidR="00F2350B" w:rsidRPr="00373DCC" w:rsidRDefault="00F2350B" w:rsidP="0069779B">
            <w:pPr>
              <w:keepLines/>
              <w:spacing w:before="0" w:after="0" w:line="240" w:lineRule="atLeast"/>
              <w:jc w:val="center"/>
              <w:rPr>
                <w:rFonts w:cs="Arial"/>
                <w:b/>
                <w:color w:val="FFFFFF" w:themeColor="background1"/>
                <w:sz w:val="21"/>
                <w:lang w:eastAsia="en-US"/>
              </w:rPr>
            </w:pPr>
            <w:r w:rsidRPr="00373DCC">
              <w:rPr>
                <w:rFonts w:cs="Arial"/>
                <w:b/>
                <w:color w:val="FFFFFF" w:themeColor="background1"/>
                <w:sz w:val="21"/>
                <w:lang w:eastAsia="en-US"/>
              </w:rPr>
              <w:t>Rejected</w:t>
            </w:r>
          </w:p>
        </w:tc>
        <w:tc>
          <w:tcPr>
            <w:tcW w:w="732"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2C4007F" w14:textId="77777777" w:rsidR="00F2350B" w:rsidRPr="00373DCC" w:rsidRDefault="00F2350B" w:rsidP="0069779B">
            <w:pPr>
              <w:keepLines/>
              <w:spacing w:before="0" w:after="0" w:line="240" w:lineRule="atLeast"/>
              <w:jc w:val="center"/>
              <w:rPr>
                <w:rFonts w:cs="Arial"/>
                <w:b/>
                <w:color w:val="FFFFFF" w:themeColor="background1"/>
                <w:sz w:val="21"/>
                <w:lang w:eastAsia="en-US"/>
              </w:rPr>
            </w:pPr>
            <w:r w:rsidRPr="00373DCC">
              <w:rPr>
                <w:rFonts w:cs="Arial"/>
                <w:b/>
                <w:color w:val="FFFFFF" w:themeColor="background1"/>
                <w:sz w:val="21"/>
                <w:lang w:eastAsia="en-US"/>
              </w:rPr>
              <w:t>Total (% Approved)</w:t>
            </w:r>
          </w:p>
        </w:tc>
      </w:tr>
      <w:tr w:rsidR="00F2350B" w:rsidRPr="00373DCC" w14:paraId="38BDF2BF" w14:textId="77777777" w:rsidTr="0069779B">
        <w:trPr>
          <w:trHeight w:val="340"/>
        </w:trPr>
        <w:tc>
          <w:tcPr>
            <w:tcW w:w="5000" w:type="pct"/>
            <w:gridSpan w:val="5"/>
            <w:tcBorders>
              <w:top w:val="single" w:sz="4" w:space="0" w:color="000000"/>
              <w:left w:val="single" w:sz="4" w:space="0" w:color="auto"/>
              <w:bottom w:val="single" w:sz="4" w:space="0" w:color="auto"/>
              <w:right w:val="single" w:sz="4" w:space="0" w:color="auto"/>
            </w:tcBorders>
            <w:shd w:val="clear" w:color="auto" w:fill="C6D4E9"/>
            <w:vAlign w:val="center"/>
          </w:tcPr>
          <w:p w14:paraId="4F959690"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Category 1</w:t>
            </w:r>
          </w:p>
        </w:tc>
      </w:tr>
      <w:tr w:rsidR="00F2350B" w:rsidRPr="00373DCC" w14:paraId="19A6B585" w14:textId="77777777" w:rsidTr="0069779B">
        <w:trPr>
          <w:trHeight w:val="340"/>
        </w:trPr>
        <w:tc>
          <w:tcPr>
            <w:tcW w:w="2083" w:type="pct"/>
            <w:vAlign w:val="center"/>
          </w:tcPr>
          <w:p w14:paraId="6A165A75" w14:textId="77777777" w:rsidR="00F2350B" w:rsidRPr="00373DCC" w:rsidRDefault="00F2350B" w:rsidP="00710B91">
            <w:pPr>
              <w:keepLines/>
              <w:spacing w:line="240" w:lineRule="atLeast"/>
              <w:contextualSpacing/>
              <w:rPr>
                <w:rFonts w:cs="Arial"/>
                <w:sz w:val="21"/>
              </w:rPr>
            </w:pPr>
            <w:r w:rsidRPr="00373DCC">
              <w:rPr>
                <w:rFonts w:cs="Arial"/>
                <w:sz w:val="21"/>
              </w:rPr>
              <w:t>A: New chemical entity/New biological entity/Biosimilar</w:t>
            </w:r>
            <w:r w:rsidRPr="00373DCC">
              <w:rPr>
                <w:rFonts w:cs="Arial"/>
                <w:sz w:val="21"/>
                <w:vertAlign w:val="superscript"/>
              </w:rPr>
              <w:t xml:space="preserve"> a</w:t>
            </w:r>
          </w:p>
        </w:tc>
        <w:tc>
          <w:tcPr>
            <w:tcW w:w="727" w:type="pct"/>
            <w:vAlign w:val="center"/>
          </w:tcPr>
          <w:p w14:paraId="769928DF" w14:textId="77777777" w:rsidR="00F2350B" w:rsidRPr="00373DCC" w:rsidRDefault="00F2350B" w:rsidP="00710B91">
            <w:pPr>
              <w:keepLines/>
              <w:spacing w:line="240" w:lineRule="atLeast"/>
              <w:contextualSpacing/>
              <w:jc w:val="right"/>
              <w:rPr>
                <w:rFonts w:cs="Arial"/>
                <w:sz w:val="21"/>
              </w:rPr>
            </w:pPr>
            <w:r w:rsidRPr="00373DCC">
              <w:rPr>
                <w:rFonts w:cs="Arial"/>
                <w:sz w:val="21"/>
              </w:rPr>
              <w:t>37</w:t>
            </w:r>
          </w:p>
        </w:tc>
        <w:tc>
          <w:tcPr>
            <w:tcW w:w="729" w:type="pct"/>
            <w:vAlign w:val="center"/>
          </w:tcPr>
          <w:p w14:paraId="6CC1E234" w14:textId="77777777" w:rsidR="00F2350B" w:rsidRPr="00373DCC" w:rsidRDefault="00F2350B" w:rsidP="00710B91">
            <w:pPr>
              <w:keepLines/>
              <w:spacing w:line="240" w:lineRule="atLeast"/>
              <w:contextualSpacing/>
              <w:jc w:val="right"/>
              <w:rPr>
                <w:rFonts w:cs="Arial"/>
                <w:sz w:val="21"/>
              </w:rPr>
            </w:pPr>
            <w:r w:rsidRPr="00373DCC">
              <w:rPr>
                <w:rFonts w:cs="Arial"/>
                <w:sz w:val="21"/>
              </w:rPr>
              <w:t>5</w:t>
            </w:r>
          </w:p>
        </w:tc>
        <w:tc>
          <w:tcPr>
            <w:tcW w:w="729" w:type="pct"/>
            <w:shd w:val="clear" w:color="auto" w:fill="auto"/>
            <w:vAlign w:val="center"/>
          </w:tcPr>
          <w:p w14:paraId="650FD402"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32" w:type="pct"/>
            <w:shd w:val="clear" w:color="auto" w:fill="auto"/>
            <w:vAlign w:val="center"/>
          </w:tcPr>
          <w:p w14:paraId="2B4538F4" w14:textId="77777777" w:rsidR="00F2350B" w:rsidRPr="00373DCC" w:rsidRDefault="00F2350B" w:rsidP="00710B91">
            <w:pPr>
              <w:keepLines/>
              <w:spacing w:line="240" w:lineRule="atLeast"/>
              <w:contextualSpacing/>
              <w:jc w:val="right"/>
              <w:rPr>
                <w:rFonts w:cs="Arial"/>
                <w:sz w:val="21"/>
              </w:rPr>
            </w:pPr>
            <w:r w:rsidRPr="00373DCC">
              <w:rPr>
                <w:rFonts w:cs="Arial"/>
                <w:sz w:val="21"/>
              </w:rPr>
              <w:t>43 (86%)</w:t>
            </w:r>
          </w:p>
        </w:tc>
      </w:tr>
      <w:tr w:rsidR="00F2350B" w:rsidRPr="00373DCC" w14:paraId="0C06DB48" w14:textId="77777777" w:rsidTr="0069779B">
        <w:trPr>
          <w:trHeight w:val="340"/>
        </w:trPr>
        <w:tc>
          <w:tcPr>
            <w:tcW w:w="2083" w:type="pct"/>
            <w:vAlign w:val="center"/>
          </w:tcPr>
          <w:p w14:paraId="2B8E70BB" w14:textId="77777777" w:rsidR="00F2350B" w:rsidRPr="00373DCC" w:rsidRDefault="00F2350B" w:rsidP="00710B91">
            <w:pPr>
              <w:keepLines/>
              <w:spacing w:line="240" w:lineRule="atLeast"/>
              <w:contextualSpacing/>
              <w:rPr>
                <w:rFonts w:cs="Arial"/>
                <w:sz w:val="21"/>
              </w:rPr>
            </w:pPr>
            <w:r w:rsidRPr="00373DCC">
              <w:rPr>
                <w:rFonts w:cs="Arial"/>
                <w:sz w:val="21"/>
              </w:rPr>
              <w:t xml:space="preserve">B: New fixed-dose combination </w:t>
            </w:r>
          </w:p>
        </w:tc>
        <w:tc>
          <w:tcPr>
            <w:tcW w:w="727" w:type="pct"/>
            <w:vAlign w:val="center"/>
          </w:tcPr>
          <w:p w14:paraId="12877F5E"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vAlign w:val="center"/>
          </w:tcPr>
          <w:p w14:paraId="732DECEC"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43E70748"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10F1E37" w14:textId="77777777" w:rsidR="00F2350B" w:rsidRPr="00373DCC" w:rsidRDefault="00F2350B" w:rsidP="00710B91">
            <w:pPr>
              <w:keepLines/>
              <w:spacing w:line="240" w:lineRule="atLeast"/>
              <w:contextualSpacing/>
              <w:jc w:val="right"/>
              <w:rPr>
                <w:rFonts w:cs="Arial"/>
                <w:sz w:val="21"/>
              </w:rPr>
            </w:pPr>
            <w:r w:rsidRPr="00373DCC">
              <w:rPr>
                <w:rFonts w:cs="Arial"/>
                <w:sz w:val="21"/>
              </w:rPr>
              <w:t>1 (100%)</w:t>
            </w:r>
          </w:p>
        </w:tc>
      </w:tr>
      <w:tr w:rsidR="00F2350B" w:rsidRPr="00373DCC" w14:paraId="18786A8D" w14:textId="77777777" w:rsidTr="0069779B">
        <w:trPr>
          <w:trHeight w:val="340"/>
        </w:trPr>
        <w:tc>
          <w:tcPr>
            <w:tcW w:w="2083" w:type="pct"/>
            <w:vAlign w:val="center"/>
          </w:tcPr>
          <w:p w14:paraId="7E170E94" w14:textId="77777777" w:rsidR="00F2350B" w:rsidRPr="00373DCC" w:rsidRDefault="00F2350B" w:rsidP="00710B91">
            <w:pPr>
              <w:keepLines/>
              <w:spacing w:line="240" w:lineRule="atLeast"/>
              <w:contextualSpacing/>
              <w:rPr>
                <w:rFonts w:cs="Arial"/>
                <w:sz w:val="21"/>
              </w:rPr>
            </w:pPr>
            <w:r w:rsidRPr="00373DCC">
              <w:rPr>
                <w:rFonts w:cs="Arial"/>
                <w:sz w:val="21"/>
              </w:rPr>
              <w:t>C: Extension of indication</w:t>
            </w:r>
          </w:p>
        </w:tc>
        <w:tc>
          <w:tcPr>
            <w:tcW w:w="727" w:type="pct"/>
            <w:vAlign w:val="center"/>
          </w:tcPr>
          <w:p w14:paraId="55973129" w14:textId="77777777" w:rsidR="00F2350B" w:rsidRPr="00373DCC" w:rsidRDefault="00F2350B" w:rsidP="00710B91">
            <w:pPr>
              <w:keepLines/>
              <w:spacing w:line="240" w:lineRule="atLeast"/>
              <w:contextualSpacing/>
              <w:jc w:val="right"/>
              <w:rPr>
                <w:rFonts w:cs="Arial"/>
                <w:sz w:val="21"/>
              </w:rPr>
            </w:pPr>
            <w:r w:rsidRPr="00373DCC">
              <w:rPr>
                <w:rFonts w:cs="Arial"/>
                <w:sz w:val="21"/>
              </w:rPr>
              <w:t>47</w:t>
            </w:r>
          </w:p>
        </w:tc>
        <w:tc>
          <w:tcPr>
            <w:tcW w:w="729" w:type="pct"/>
            <w:vAlign w:val="center"/>
          </w:tcPr>
          <w:p w14:paraId="2445D33A" w14:textId="77777777" w:rsidR="00F2350B" w:rsidRPr="00373DCC" w:rsidRDefault="00F2350B" w:rsidP="00710B91">
            <w:pPr>
              <w:keepLines/>
              <w:spacing w:line="240" w:lineRule="atLeast"/>
              <w:contextualSpacing/>
              <w:jc w:val="right"/>
              <w:rPr>
                <w:rFonts w:cs="Arial"/>
                <w:sz w:val="21"/>
              </w:rPr>
            </w:pPr>
            <w:r w:rsidRPr="00373DCC">
              <w:rPr>
                <w:rFonts w:cs="Arial"/>
                <w:sz w:val="21"/>
              </w:rPr>
              <w:t>4</w:t>
            </w:r>
          </w:p>
        </w:tc>
        <w:tc>
          <w:tcPr>
            <w:tcW w:w="729" w:type="pct"/>
            <w:shd w:val="clear" w:color="auto" w:fill="auto"/>
            <w:vAlign w:val="center"/>
          </w:tcPr>
          <w:p w14:paraId="25C5300A"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8D0AC8D" w14:textId="77777777" w:rsidR="00F2350B" w:rsidRPr="00373DCC" w:rsidRDefault="00F2350B" w:rsidP="00710B91">
            <w:pPr>
              <w:keepLines/>
              <w:spacing w:line="240" w:lineRule="atLeast"/>
              <w:contextualSpacing/>
              <w:jc w:val="right"/>
              <w:rPr>
                <w:rFonts w:cs="Arial"/>
                <w:sz w:val="21"/>
              </w:rPr>
            </w:pPr>
            <w:r w:rsidRPr="00373DCC">
              <w:rPr>
                <w:rFonts w:cs="Arial"/>
                <w:sz w:val="21"/>
              </w:rPr>
              <w:t>51 (92%)</w:t>
            </w:r>
          </w:p>
        </w:tc>
      </w:tr>
      <w:tr w:rsidR="00F2350B" w:rsidRPr="00373DCC" w14:paraId="411A4F04" w14:textId="77777777" w:rsidTr="0069779B">
        <w:trPr>
          <w:trHeight w:val="340"/>
        </w:trPr>
        <w:tc>
          <w:tcPr>
            <w:tcW w:w="2083" w:type="pct"/>
            <w:vAlign w:val="center"/>
          </w:tcPr>
          <w:p w14:paraId="5E9C6815" w14:textId="77777777" w:rsidR="00F2350B" w:rsidRPr="00373DCC" w:rsidRDefault="00F2350B" w:rsidP="00710B91">
            <w:pPr>
              <w:keepLines/>
              <w:spacing w:line="240" w:lineRule="atLeast"/>
              <w:contextualSpacing/>
              <w:rPr>
                <w:rFonts w:cs="Arial"/>
                <w:sz w:val="21"/>
              </w:rPr>
            </w:pPr>
            <w:r w:rsidRPr="00373DCC">
              <w:rPr>
                <w:rFonts w:cs="Arial"/>
                <w:sz w:val="21"/>
              </w:rPr>
              <w:t>D: New generic medicine</w:t>
            </w:r>
          </w:p>
        </w:tc>
        <w:tc>
          <w:tcPr>
            <w:tcW w:w="727" w:type="pct"/>
            <w:vAlign w:val="center"/>
          </w:tcPr>
          <w:p w14:paraId="3151C4B2" w14:textId="77777777" w:rsidR="00F2350B" w:rsidRPr="00373DCC" w:rsidRDefault="00F2350B" w:rsidP="00710B91">
            <w:pPr>
              <w:keepLines/>
              <w:spacing w:line="240" w:lineRule="atLeast"/>
              <w:contextualSpacing/>
              <w:jc w:val="right"/>
              <w:rPr>
                <w:rFonts w:cs="Arial"/>
                <w:sz w:val="21"/>
              </w:rPr>
            </w:pPr>
            <w:r w:rsidRPr="00373DCC">
              <w:rPr>
                <w:rFonts w:cs="Arial"/>
                <w:sz w:val="21"/>
              </w:rPr>
              <w:t>95</w:t>
            </w:r>
          </w:p>
        </w:tc>
        <w:tc>
          <w:tcPr>
            <w:tcW w:w="729" w:type="pct"/>
            <w:vAlign w:val="center"/>
          </w:tcPr>
          <w:p w14:paraId="28F3BD0D" w14:textId="77777777" w:rsidR="00F2350B" w:rsidRPr="00373DCC" w:rsidRDefault="00F2350B" w:rsidP="00710B91">
            <w:pPr>
              <w:keepLines/>
              <w:spacing w:line="240" w:lineRule="atLeast"/>
              <w:contextualSpacing/>
              <w:jc w:val="right"/>
              <w:rPr>
                <w:rFonts w:cs="Arial"/>
                <w:sz w:val="21"/>
              </w:rPr>
            </w:pPr>
            <w:r w:rsidRPr="00373DCC">
              <w:rPr>
                <w:rFonts w:cs="Arial"/>
                <w:sz w:val="21"/>
              </w:rPr>
              <w:t>9</w:t>
            </w:r>
          </w:p>
        </w:tc>
        <w:tc>
          <w:tcPr>
            <w:tcW w:w="729" w:type="pct"/>
            <w:shd w:val="clear" w:color="auto" w:fill="auto"/>
            <w:vAlign w:val="center"/>
          </w:tcPr>
          <w:p w14:paraId="29A87424"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E7C4971" w14:textId="77777777" w:rsidR="00F2350B" w:rsidRPr="00373DCC" w:rsidRDefault="00F2350B" w:rsidP="00710B91">
            <w:pPr>
              <w:keepLines/>
              <w:spacing w:line="240" w:lineRule="atLeast"/>
              <w:contextualSpacing/>
              <w:jc w:val="right"/>
              <w:rPr>
                <w:rFonts w:cs="Arial"/>
                <w:sz w:val="21"/>
              </w:rPr>
            </w:pPr>
            <w:r w:rsidRPr="00373DCC">
              <w:rPr>
                <w:rFonts w:cs="Arial"/>
                <w:sz w:val="21"/>
              </w:rPr>
              <w:t>104 (91%)</w:t>
            </w:r>
          </w:p>
        </w:tc>
      </w:tr>
      <w:tr w:rsidR="00F2350B" w:rsidRPr="00373DCC" w14:paraId="445925D4" w14:textId="77777777" w:rsidTr="0069779B">
        <w:trPr>
          <w:trHeight w:val="340"/>
        </w:trPr>
        <w:tc>
          <w:tcPr>
            <w:tcW w:w="2083" w:type="pct"/>
            <w:vAlign w:val="center"/>
          </w:tcPr>
          <w:p w14:paraId="29561390" w14:textId="77777777" w:rsidR="00F2350B" w:rsidRPr="00373DCC" w:rsidRDefault="00F2350B" w:rsidP="00710B91">
            <w:pPr>
              <w:keepLines/>
              <w:spacing w:line="240" w:lineRule="atLeast"/>
              <w:contextualSpacing/>
              <w:rPr>
                <w:rFonts w:cs="Arial"/>
                <w:sz w:val="21"/>
              </w:rPr>
            </w:pPr>
            <w:r w:rsidRPr="00373DCC">
              <w:rPr>
                <w:rFonts w:cs="Arial"/>
                <w:sz w:val="21"/>
              </w:rPr>
              <w:t>F: Major variation</w:t>
            </w:r>
          </w:p>
        </w:tc>
        <w:tc>
          <w:tcPr>
            <w:tcW w:w="727" w:type="pct"/>
            <w:vAlign w:val="center"/>
          </w:tcPr>
          <w:p w14:paraId="66393D3F" w14:textId="77777777" w:rsidR="00F2350B" w:rsidRPr="00373DCC" w:rsidRDefault="00F2350B" w:rsidP="00710B91">
            <w:pPr>
              <w:keepLines/>
              <w:spacing w:line="240" w:lineRule="atLeast"/>
              <w:contextualSpacing/>
              <w:jc w:val="right"/>
              <w:rPr>
                <w:rFonts w:cs="Arial"/>
                <w:sz w:val="21"/>
              </w:rPr>
            </w:pPr>
            <w:r w:rsidRPr="00373DCC">
              <w:rPr>
                <w:rFonts w:cs="Arial"/>
                <w:sz w:val="21"/>
              </w:rPr>
              <w:t>36</w:t>
            </w:r>
          </w:p>
        </w:tc>
        <w:tc>
          <w:tcPr>
            <w:tcW w:w="729" w:type="pct"/>
            <w:vAlign w:val="center"/>
          </w:tcPr>
          <w:p w14:paraId="3CEF9418" w14:textId="77777777" w:rsidR="00F2350B" w:rsidRPr="00373DCC" w:rsidRDefault="00F2350B" w:rsidP="00710B91">
            <w:pPr>
              <w:keepLines/>
              <w:spacing w:line="240" w:lineRule="atLeast"/>
              <w:contextualSpacing/>
              <w:jc w:val="right"/>
              <w:rPr>
                <w:rFonts w:cs="Arial"/>
                <w:sz w:val="21"/>
              </w:rPr>
            </w:pPr>
            <w:r w:rsidRPr="00373DCC">
              <w:rPr>
                <w:rFonts w:cs="Arial"/>
                <w:sz w:val="21"/>
              </w:rPr>
              <w:t>3</w:t>
            </w:r>
          </w:p>
        </w:tc>
        <w:tc>
          <w:tcPr>
            <w:tcW w:w="729" w:type="pct"/>
            <w:shd w:val="clear" w:color="auto" w:fill="auto"/>
            <w:vAlign w:val="center"/>
          </w:tcPr>
          <w:p w14:paraId="4E11405F"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06DF6CAF" w14:textId="77777777" w:rsidR="00F2350B" w:rsidRPr="00373DCC" w:rsidRDefault="00F2350B" w:rsidP="00710B91">
            <w:pPr>
              <w:keepLines/>
              <w:spacing w:line="240" w:lineRule="atLeast"/>
              <w:contextualSpacing/>
              <w:jc w:val="right"/>
              <w:rPr>
                <w:rFonts w:cs="Arial"/>
                <w:sz w:val="21"/>
              </w:rPr>
            </w:pPr>
            <w:r w:rsidRPr="00373DCC">
              <w:rPr>
                <w:rFonts w:cs="Arial"/>
                <w:sz w:val="21"/>
              </w:rPr>
              <w:t>39 (92%)</w:t>
            </w:r>
          </w:p>
        </w:tc>
      </w:tr>
      <w:tr w:rsidR="00F2350B" w:rsidRPr="00373DCC" w14:paraId="4D2753DF" w14:textId="77777777" w:rsidTr="0069779B">
        <w:trPr>
          <w:trHeight w:val="340"/>
        </w:trPr>
        <w:tc>
          <w:tcPr>
            <w:tcW w:w="2083" w:type="pct"/>
            <w:vAlign w:val="center"/>
          </w:tcPr>
          <w:p w14:paraId="2B0D0EF5" w14:textId="77777777" w:rsidR="00F2350B" w:rsidRPr="00373DCC" w:rsidRDefault="00F2350B" w:rsidP="00710B91">
            <w:pPr>
              <w:keepLines/>
              <w:spacing w:line="240" w:lineRule="atLeast"/>
              <w:contextualSpacing/>
              <w:rPr>
                <w:rFonts w:cs="Arial"/>
                <w:sz w:val="21"/>
              </w:rPr>
            </w:pPr>
            <w:r w:rsidRPr="00373DCC">
              <w:rPr>
                <w:rFonts w:cs="Arial"/>
                <w:sz w:val="21"/>
              </w:rPr>
              <w:t>G: Minor variation</w:t>
            </w:r>
            <w:r w:rsidRPr="00373DCC">
              <w:rPr>
                <w:rFonts w:cs="Arial"/>
                <w:sz w:val="21"/>
                <w:vertAlign w:val="superscript"/>
              </w:rPr>
              <w:t xml:space="preserve"> b</w:t>
            </w:r>
          </w:p>
        </w:tc>
        <w:tc>
          <w:tcPr>
            <w:tcW w:w="727" w:type="pct"/>
            <w:vAlign w:val="center"/>
          </w:tcPr>
          <w:p w14:paraId="2F0397C9" w14:textId="77777777" w:rsidR="00F2350B" w:rsidRPr="00373DCC" w:rsidRDefault="00F2350B" w:rsidP="00710B91">
            <w:pPr>
              <w:keepLines/>
              <w:spacing w:line="240" w:lineRule="atLeast"/>
              <w:contextualSpacing/>
              <w:jc w:val="right"/>
              <w:rPr>
                <w:rFonts w:cs="Arial"/>
                <w:sz w:val="21"/>
              </w:rPr>
            </w:pPr>
            <w:r w:rsidRPr="00373DCC">
              <w:rPr>
                <w:rFonts w:cs="Arial"/>
                <w:sz w:val="21"/>
              </w:rPr>
              <w:t>4</w:t>
            </w:r>
          </w:p>
        </w:tc>
        <w:tc>
          <w:tcPr>
            <w:tcW w:w="729" w:type="pct"/>
            <w:vAlign w:val="center"/>
          </w:tcPr>
          <w:p w14:paraId="37E2B823"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0FBEE073"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28B54511" w14:textId="77777777" w:rsidR="00F2350B" w:rsidRPr="00373DCC" w:rsidRDefault="00F2350B" w:rsidP="00710B91">
            <w:pPr>
              <w:keepLines/>
              <w:spacing w:line="240" w:lineRule="atLeast"/>
              <w:contextualSpacing/>
              <w:jc w:val="right"/>
              <w:rPr>
                <w:rFonts w:cs="Arial"/>
                <w:sz w:val="21"/>
              </w:rPr>
            </w:pPr>
            <w:r w:rsidRPr="00373DCC">
              <w:rPr>
                <w:rFonts w:cs="Arial"/>
                <w:sz w:val="21"/>
              </w:rPr>
              <w:t>4 (100%)</w:t>
            </w:r>
          </w:p>
        </w:tc>
      </w:tr>
      <w:tr w:rsidR="00F2350B" w:rsidRPr="00373DCC" w14:paraId="4D70DF32" w14:textId="77777777" w:rsidTr="0069779B">
        <w:trPr>
          <w:trHeight w:val="340"/>
        </w:trPr>
        <w:tc>
          <w:tcPr>
            <w:tcW w:w="2083" w:type="pct"/>
            <w:vAlign w:val="center"/>
          </w:tcPr>
          <w:p w14:paraId="78C982C7" w14:textId="77777777" w:rsidR="00F2350B" w:rsidRPr="00373DCC" w:rsidRDefault="00F2350B" w:rsidP="00710B91">
            <w:pPr>
              <w:keepLines/>
              <w:spacing w:line="240" w:lineRule="atLeast"/>
              <w:contextualSpacing/>
              <w:rPr>
                <w:rFonts w:cs="Arial"/>
                <w:sz w:val="21"/>
              </w:rPr>
            </w:pPr>
            <w:r w:rsidRPr="00373DCC">
              <w:rPr>
                <w:rFonts w:cs="Arial"/>
                <w:sz w:val="21"/>
              </w:rPr>
              <w:t>H: Minor variation</w:t>
            </w:r>
            <w:r w:rsidRPr="00373DCC">
              <w:rPr>
                <w:rFonts w:cs="Arial"/>
                <w:sz w:val="21"/>
                <w:vertAlign w:val="superscript"/>
              </w:rPr>
              <w:t xml:space="preserve"> c</w:t>
            </w:r>
          </w:p>
        </w:tc>
        <w:tc>
          <w:tcPr>
            <w:tcW w:w="727" w:type="pct"/>
            <w:vAlign w:val="center"/>
          </w:tcPr>
          <w:p w14:paraId="65AAF44B" w14:textId="77777777" w:rsidR="00F2350B" w:rsidRPr="00373DCC" w:rsidRDefault="00F2350B" w:rsidP="00710B91">
            <w:pPr>
              <w:keepLines/>
              <w:spacing w:line="240" w:lineRule="atLeast"/>
              <w:contextualSpacing/>
              <w:jc w:val="right"/>
              <w:rPr>
                <w:rFonts w:cs="Arial"/>
                <w:sz w:val="21"/>
              </w:rPr>
            </w:pPr>
            <w:r w:rsidRPr="00373DCC">
              <w:rPr>
                <w:rFonts w:cs="Arial"/>
                <w:sz w:val="21"/>
              </w:rPr>
              <w:t>9</w:t>
            </w:r>
          </w:p>
        </w:tc>
        <w:tc>
          <w:tcPr>
            <w:tcW w:w="729" w:type="pct"/>
            <w:vAlign w:val="center"/>
          </w:tcPr>
          <w:p w14:paraId="6A6ABF94"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1C4484E8"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0BAB8097" w14:textId="77777777" w:rsidR="00F2350B" w:rsidRPr="00373DCC" w:rsidRDefault="00F2350B" w:rsidP="00710B91">
            <w:pPr>
              <w:keepLines/>
              <w:spacing w:line="240" w:lineRule="atLeast"/>
              <w:contextualSpacing/>
              <w:jc w:val="right"/>
              <w:rPr>
                <w:rFonts w:cs="Arial"/>
                <w:sz w:val="21"/>
              </w:rPr>
            </w:pPr>
            <w:r w:rsidRPr="00373DCC">
              <w:rPr>
                <w:rFonts w:cs="Arial"/>
                <w:sz w:val="21"/>
              </w:rPr>
              <w:t>9 (100%)</w:t>
            </w:r>
          </w:p>
        </w:tc>
      </w:tr>
      <w:tr w:rsidR="00F2350B" w:rsidRPr="00373DCC" w14:paraId="2025B53E" w14:textId="77777777" w:rsidTr="0069779B">
        <w:trPr>
          <w:trHeight w:val="340"/>
        </w:trPr>
        <w:tc>
          <w:tcPr>
            <w:tcW w:w="2083" w:type="pct"/>
            <w:vAlign w:val="center"/>
          </w:tcPr>
          <w:p w14:paraId="7E2F5FCC" w14:textId="77777777" w:rsidR="00F2350B" w:rsidRPr="00373DCC" w:rsidRDefault="00F2350B" w:rsidP="00710B91">
            <w:pPr>
              <w:keepLines/>
              <w:spacing w:line="240" w:lineRule="atLeast"/>
              <w:contextualSpacing/>
              <w:rPr>
                <w:rFonts w:cs="Arial"/>
                <w:sz w:val="21"/>
              </w:rPr>
            </w:pPr>
            <w:r w:rsidRPr="00373DCC">
              <w:rPr>
                <w:rFonts w:cs="Arial"/>
                <w:sz w:val="21"/>
              </w:rPr>
              <w:t xml:space="preserve">J: Changes to Product Information </w:t>
            </w:r>
          </w:p>
        </w:tc>
        <w:tc>
          <w:tcPr>
            <w:tcW w:w="727" w:type="pct"/>
            <w:vAlign w:val="center"/>
          </w:tcPr>
          <w:p w14:paraId="7A7AFEC1" w14:textId="77777777" w:rsidR="00F2350B" w:rsidRPr="00373DCC" w:rsidRDefault="00F2350B" w:rsidP="00710B91">
            <w:pPr>
              <w:keepLines/>
              <w:spacing w:line="240" w:lineRule="atLeast"/>
              <w:contextualSpacing/>
              <w:jc w:val="right"/>
              <w:rPr>
                <w:rFonts w:cs="Arial"/>
                <w:sz w:val="21"/>
              </w:rPr>
            </w:pPr>
            <w:r w:rsidRPr="00373DCC">
              <w:rPr>
                <w:rFonts w:cs="Arial"/>
                <w:sz w:val="21"/>
              </w:rPr>
              <w:t>126</w:t>
            </w:r>
          </w:p>
        </w:tc>
        <w:tc>
          <w:tcPr>
            <w:tcW w:w="729" w:type="pct"/>
            <w:vAlign w:val="center"/>
          </w:tcPr>
          <w:p w14:paraId="5B8C36CF" w14:textId="77777777" w:rsidR="00F2350B" w:rsidRPr="00373DCC" w:rsidRDefault="00F2350B" w:rsidP="00710B91">
            <w:pPr>
              <w:keepLines/>
              <w:spacing w:line="240" w:lineRule="atLeast"/>
              <w:contextualSpacing/>
              <w:jc w:val="right"/>
              <w:rPr>
                <w:rFonts w:cs="Arial"/>
                <w:sz w:val="21"/>
              </w:rPr>
            </w:pPr>
            <w:r w:rsidRPr="00373DCC">
              <w:rPr>
                <w:rFonts w:cs="Arial"/>
                <w:sz w:val="21"/>
              </w:rPr>
              <w:t>3</w:t>
            </w:r>
          </w:p>
        </w:tc>
        <w:tc>
          <w:tcPr>
            <w:tcW w:w="729" w:type="pct"/>
            <w:shd w:val="clear" w:color="auto" w:fill="auto"/>
            <w:vAlign w:val="center"/>
          </w:tcPr>
          <w:p w14:paraId="2D1F976A"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0008CC9" w14:textId="77777777" w:rsidR="00F2350B" w:rsidRPr="00373DCC" w:rsidRDefault="00F2350B" w:rsidP="00710B91">
            <w:pPr>
              <w:keepLines/>
              <w:spacing w:line="240" w:lineRule="atLeast"/>
              <w:contextualSpacing/>
              <w:jc w:val="right"/>
              <w:rPr>
                <w:rFonts w:cs="Arial"/>
                <w:sz w:val="21"/>
              </w:rPr>
            </w:pPr>
            <w:r w:rsidRPr="00373DCC">
              <w:rPr>
                <w:rFonts w:cs="Arial"/>
                <w:sz w:val="21"/>
              </w:rPr>
              <w:t>129 (98%)</w:t>
            </w:r>
          </w:p>
        </w:tc>
      </w:tr>
      <w:tr w:rsidR="00F2350B" w:rsidRPr="00373DCC" w14:paraId="0E8ED08D" w14:textId="77777777" w:rsidTr="0069779B">
        <w:trPr>
          <w:trHeight w:val="340"/>
        </w:trPr>
        <w:tc>
          <w:tcPr>
            <w:tcW w:w="2083" w:type="pct"/>
            <w:vAlign w:val="center"/>
          </w:tcPr>
          <w:p w14:paraId="61A6C42B" w14:textId="77777777" w:rsidR="00F2350B" w:rsidRPr="00373DCC" w:rsidRDefault="00F2350B" w:rsidP="00710B91">
            <w:pPr>
              <w:keepLines/>
              <w:spacing w:line="240" w:lineRule="atLeast"/>
              <w:contextualSpacing/>
              <w:rPr>
                <w:rFonts w:cs="Arial"/>
                <w:sz w:val="21"/>
              </w:rPr>
            </w:pPr>
            <w:r w:rsidRPr="00373DCC">
              <w:rPr>
                <w:rFonts w:cs="Arial"/>
                <w:sz w:val="21"/>
              </w:rPr>
              <w:t>S: Provisional registration to full registration</w:t>
            </w:r>
          </w:p>
        </w:tc>
        <w:tc>
          <w:tcPr>
            <w:tcW w:w="727" w:type="pct"/>
            <w:vAlign w:val="center"/>
          </w:tcPr>
          <w:p w14:paraId="55C08BBF"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vAlign w:val="center"/>
          </w:tcPr>
          <w:p w14:paraId="56BE0E54"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shd w:val="clear" w:color="auto" w:fill="auto"/>
            <w:vAlign w:val="center"/>
          </w:tcPr>
          <w:p w14:paraId="54389497"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9A94A29" w14:textId="77777777" w:rsidR="00F2350B" w:rsidRPr="00373DCC" w:rsidRDefault="00F2350B" w:rsidP="00710B91">
            <w:pPr>
              <w:keepLines/>
              <w:spacing w:line="240" w:lineRule="atLeast"/>
              <w:contextualSpacing/>
              <w:jc w:val="right"/>
              <w:rPr>
                <w:rFonts w:cs="Arial"/>
                <w:sz w:val="21"/>
              </w:rPr>
            </w:pPr>
            <w:r w:rsidRPr="00373DCC">
              <w:rPr>
                <w:rFonts w:cs="Arial"/>
                <w:sz w:val="21"/>
              </w:rPr>
              <w:t>2 (50%)</w:t>
            </w:r>
          </w:p>
        </w:tc>
      </w:tr>
      <w:tr w:rsidR="00F2350B" w:rsidRPr="00373DCC" w14:paraId="6689A4C7" w14:textId="77777777" w:rsidTr="0069779B">
        <w:trPr>
          <w:trHeight w:val="340"/>
        </w:trPr>
        <w:tc>
          <w:tcPr>
            <w:tcW w:w="2083" w:type="pct"/>
            <w:vAlign w:val="center"/>
          </w:tcPr>
          <w:p w14:paraId="17E379E8" w14:textId="77777777" w:rsidR="00F2350B" w:rsidRPr="00373DCC" w:rsidRDefault="00F2350B" w:rsidP="00710B91">
            <w:pPr>
              <w:keepLines/>
              <w:spacing w:line="240" w:lineRule="atLeast"/>
              <w:contextualSpacing/>
              <w:rPr>
                <w:rFonts w:cs="Arial"/>
                <w:sz w:val="21"/>
              </w:rPr>
            </w:pPr>
            <w:r w:rsidRPr="00373DCC">
              <w:rPr>
                <w:rFonts w:cs="Arial"/>
                <w:sz w:val="21"/>
              </w:rPr>
              <w:t>T: Provisional registration extension [T]</w:t>
            </w:r>
          </w:p>
        </w:tc>
        <w:tc>
          <w:tcPr>
            <w:tcW w:w="727" w:type="pct"/>
            <w:vAlign w:val="center"/>
          </w:tcPr>
          <w:p w14:paraId="0CC8741A" w14:textId="77777777" w:rsidR="00F2350B" w:rsidRPr="00373DCC" w:rsidRDefault="00F2350B" w:rsidP="00710B91">
            <w:pPr>
              <w:keepLines/>
              <w:spacing w:line="240" w:lineRule="atLeast"/>
              <w:contextualSpacing/>
              <w:jc w:val="right"/>
              <w:rPr>
                <w:rFonts w:cs="Arial"/>
                <w:sz w:val="21"/>
              </w:rPr>
            </w:pPr>
            <w:r w:rsidRPr="00373DCC">
              <w:rPr>
                <w:rFonts w:cs="Arial"/>
                <w:sz w:val="21"/>
              </w:rPr>
              <w:t>11</w:t>
            </w:r>
          </w:p>
        </w:tc>
        <w:tc>
          <w:tcPr>
            <w:tcW w:w="729" w:type="pct"/>
            <w:vAlign w:val="center"/>
          </w:tcPr>
          <w:p w14:paraId="011AD37B"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7D2FB47A"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2A2B9F43" w14:textId="77777777" w:rsidR="00F2350B" w:rsidRPr="00373DCC" w:rsidRDefault="00F2350B" w:rsidP="00710B91">
            <w:pPr>
              <w:keepLines/>
              <w:spacing w:line="240" w:lineRule="atLeast"/>
              <w:contextualSpacing/>
              <w:jc w:val="right"/>
              <w:rPr>
                <w:rFonts w:cs="Arial"/>
                <w:sz w:val="21"/>
              </w:rPr>
            </w:pPr>
            <w:r w:rsidRPr="00373DCC">
              <w:rPr>
                <w:rFonts w:cs="Arial"/>
                <w:sz w:val="21"/>
              </w:rPr>
              <w:t>11 (100%)</w:t>
            </w:r>
          </w:p>
        </w:tc>
      </w:tr>
      <w:tr w:rsidR="00F2350B" w:rsidRPr="00373DCC" w14:paraId="50DA897D" w14:textId="77777777" w:rsidTr="0069779B">
        <w:trPr>
          <w:trHeight w:val="340"/>
        </w:trPr>
        <w:tc>
          <w:tcPr>
            <w:tcW w:w="5000" w:type="pct"/>
            <w:gridSpan w:val="5"/>
            <w:tcBorders>
              <w:left w:val="single" w:sz="4" w:space="0" w:color="auto"/>
              <w:bottom w:val="single" w:sz="4" w:space="0" w:color="auto"/>
              <w:right w:val="single" w:sz="4" w:space="0" w:color="auto"/>
            </w:tcBorders>
            <w:shd w:val="clear" w:color="auto" w:fill="C6D4E9"/>
            <w:vAlign w:val="center"/>
          </w:tcPr>
          <w:p w14:paraId="49836585"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Comparable Overseas Regulator (COR) – A</w:t>
            </w:r>
          </w:p>
        </w:tc>
      </w:tr>
      <w:tr w:rsidR="00F2350B" w:rsidRPr="00373DCC" w14:paraId="38594F07" w14:textId="77777777" w:rsidTr="0069779B">
        <w:trPr>
          <w:trHeight w:val="340"/>
        </w:trPr>
        <w:tc>
          <w:tcPr>
            <w:tcW w:w="2083" w:type="pct"/>
            <w:vAlign w:val="center"/>
          </w:tcPr>
          <w:p w14:paraId="6AD96902" w14:textId="77777777" w:rsidR="00F2350B" w:rsidRPr="00373DCC" w:rsidRDefault="00F2350B" w:rsidP="00710B91">
            <w:pPr>
              <w:keepLines/>
              <w:spacing w:line="240" w:lineRule="atLeast"/>
              <w:contextualSpacing/>
              <w:rPr>
                <w:rFonts w:cs="Arial"/>
                <w:sz w:val="21"/>
              </w:rPr>
            </w:pPr>
            <w:r w:rsidRPr="00373DCC">
              <w:rPr>
                <w:rFonts w:cs="Arial"/>
                <w:sz w:val="21"/>
              </w:rPr>
              <w:t>C: Extension of indication</w:t>
            </w:r>
          </w:p>
        </w:tc>
        <w:tc>
          <w:tcPr>
            <w:tcW w:w="727" w:type="pct"/>
            <w:vAlign w:val="center"/>
          </w:tcPr>
          <w:p w14:paraId="319E6172" w14:textId="77777777" w:rsidR="00F2350B" w:rsidRPr="00373DCC" w:rsidRDefault="00F2350B" w:rsidP="00710B91">
            <w:pPr>
              <w:keepLines/>
              <w:spacing w:line="240" w:lineRule="atLeast"/>
              <w:contextualSpacing/>
              <w:jc w:val="right"/>
              <w:rPr>
                <w:rFonts w:cs="Arial"/>
                <w:sz w:val="21"/>
              </w:rPr>
            </w:pPr>
            <w:r w:rsidRPr="00373DCC">
              <w:rPr>
                <w:rFonts w:cs="Arial"/>
                <w:sz w:val="21"/>
              </w:rPr>
              <w:t>3</w:t>
            </w:r>
          </w:p>
        </w:tc>
        <w:tc>
          <w:tcPr>
            <w:tcW w:w="729" w:type="pct"/>
            <w:vAlign w:val="center"/>
          </w:tcPr>
          <w:p w14:paraId="240D25A9"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276A96AB"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F22E288" w14:textId="77777777" w:rsidR="00F2350B" w:rsidRPr="00373DCC" w:rsidRDefault="00F2350B" w:rsidP="00710B91">
            <w:pPr>
              <w:keepLines/>
              <w:spacing w:line="240" w:lineRule="atLeast"/>
              <w:contextualSpacing/>
              <w:jc w:val="right"/>
              <w:rPr>
                <w:rFonts w:cs="Arial"/>
                <w:sz w:val="21"/>
              </w:rPr>
            </w:pPr>
            <w:r w:rsidRPr="00373DCC">
              <w:rPr>
                <w:rFonts w:cs="Arial"/>
                <w:sz w:val="21"/>
              </w:rPr>
              <w:t>3 (100%)</w:t>
            </w:r>
          </w:p>
        </w:tc>
      </w:tr>
      <w:tr w:rsidR="00F2350B" w:rsidRPr="00373DCC" w14:paraId="57D03E94" w14:textId="77777777" w:rsidTr="0069779B">
        <w:trPr>
          <w:trHeight w:val="340"/>
        </w:trPr>
        <w:tc>
          <w:tcPr>
            <w:tcW w:w="2083" w:type="pct"/>
            <w:vAlign w:val="center"/>
          </w:tcPr>
          <w:p w14:paraId="55398E4B" w14:textId="77777777" w:rsidR="00F2350B" w:rsidRPr="00373DCC" w:rsidRDefault="00F2350B" w:rsidP="00710B91">
            <w:pPr>
              <w:keepLines/>
              <w:spacing w:line="240" w:lineRule="atLeast"/>
              <w:contextualSpacing/>
              <w:rPr>
                <w:rFonts w:cs="Arial"/>
                <w:sz w:val="21"/>
              </w:rPr>
            </w:pPr>
            <w:r w:rsidRPr="00373DCC">
              <w:rPr>
                <w:rFonts w:cs="Arial"/>
                <w:sz w:val="21"/>
              </w:rPr>
              <w:t>D: New generic medicine</w:t>
            </w:r>
          </w:p>
        </w:tc>
        <w:tc>
          <w:tcPr>
            <w:tcW w:w="727" w:type="pct"/>
            <w:vAlign w:val="center"/>
          </w:tcPr>
          <w:p w14:paraId="1C14A96B" w14:textId="77777777" w:rsidR="00F2350B" w:rsidRPr="00373DCC" w:rsidRDefault="00F2350B" w:rsidP="00710B91">
            <w:pPr>
              <w:keepLines/>
              <w:spacing w:line="240" w:lineRule="atLeast"/>
              <w:contextualSpacing/>
              <w:jc w:val="right"/>
              <w:rPr>
                <w:rFonts w:cs="Arial"/>
                <w:sz w:val="21"/>
              </w:rPr>
            </w:pPr>
            <w:r w:rsidRPr="00373DCC">
              <w:rPr>
                <w:rFonts w:cs="Arial"/>
                <w:sz w:val="21"/>
              </w:rPr>
              <w:t>2</w:t>
            </w:r>
          </w:p>
        </w:tc>
        <w:tc>
          <w:tcPr>
            <w:tcW w:w="729" w:type="pct"/>
            <w:vAlign w:val="center"/>
          </w:tcPr>
          <w:p w14:paraId="5FB41D00"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1BC96C82"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9547319" w14:textId="77777777" w:rsidR="00F2350B" w:rsidRPr="00373DCC" w:rsidRDefault="00F2350B" w:rsidP="00710B91">
            <w:pPr>
              <w:keepLines/>
              <w:spacing w:line="240" w:lineRule="atLeast"/>
              <w:contextualSpacing/>
              <w:jc w:val="right"/>
              <w:rPr>
                <w:rFonts w:cs="Arial"/>
                <w:sz w:val="21"/>
              </w:rPr>
            </w:pPr>
            <w:r w:rsidRPr="00373DCC">
              <w:rPr>
                <w:rFonts w:cs="Arial"/>
                <w:sz w:val="21"/>
              </w:rPr>
              <w:t>2 (100%)</w:t>
            </w:r>
          </w:p>
        </w:tc>
      </w:tr>
      <w:tr w:rsidR="00F2350B" w:rsidRPr="00373DCC" w14:paraId="7FA6218E" w14:textId="77777777" w:rsidTr="0069779B">
        <w:trPr>
          <w:trHeight w:val="340"/>
        </w:trPr>
        <w:tc>
          <w:tcPr>
            <w:tcW w:w="2083" w:type="pct"/>
            <w:vAlign w:val="center"/>
          </w:tcPr>
          <w:p w14:paraId="6AFD8BF4" w14:textId="77777777" w:rsidR="00F2350B" w:rsidRPr="00373DCC" w:rsidRDefault="00F2350B" w:rsidP="00710B91">
            <w:pPr>
              <w:keepLines/>
              <w:spacing w:line="240" w:lineRule="atLeast"/>
              <w:contextualSpacing/>
              <w:rPr>
                <w:rFonts w:cs="Arial"/>
                <w:sz w:val="21"/>
              </w:rPr>
            </w:pPr>
            <w:r w:rsidRPr="00373DCC">
              <w:rPr>
                <w:rFonts w:cs="Arial"/>
                <w:sz w:val="21"/>
              </w:rPr>
              <w:t>F: Major variation</w:t>
            </w:r>
          </w:p>
        </w:tc>
        <w:tc>
          <w:tcPr>
            <w:tcW w:w="727" w:type="pct"/>
            <w:vAlign w:val="center"/>
          </w:tcPr>
          <w:p w14:paraId="1BEF07D4" w14:textId="77777777" w:rsidR="00F2350B" w:rsidRPr="00373DCC" w:rsidRDefault="00F2350B" w:rsidP="00710B91">
            <w:pPr>
              <w:keepLines/>
              <w:spacing w:line="240" w:lineRule="atLeast"/>
              <w:contextualSpacing/>
              <w:jc w:val="right"/>
              <w:rPr>
                <w:rFonts w:cs="Arial"/>
                <w:sz w:val="21"/>
              </w:rPr>
            </w:pPr>
            <w:r w:rsidRPr="00373DCC">
              <w:rPr>
                <w:rFonts w:cs="Arial"/>
                <w:sz w:val="21"/>
              </w:rPr>
              <w:t>2</w:t>
            </w:r>
          </w:p>
        </w:tc>
        <w:tc>
          <w:tcPr>
            <w:tcW w:w="729" w:type="pct"/>
            <w:vAlign w:val="center"/>
          </w:tcPr>
          <w:p w14:paraId="3C0C10FB"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35F4332B"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745BC51F" w14:textId="77777777" w:rsidR="00F2350B" w:rsidRPr="00373DCC" w:rsidRDefault="00F2350B" w:rsidP="00710B91">
            <w:pPr>
              <w:keepLines/>
              <w:spacing w:line="240" w:lineRule="atLeast"/>
              <w:contextualSpacing/>
              <w:jc w:val="right"/>
              <w:rPr>
                <w:rFonts w:cs="Arial"/>
                <w:sz w:val="21"/>
              </w:rPr>
            </w:pPr>
            <w:r w:rsidRPr="00373DCC">
              <w:rPr>
                <w:rFonts w:cs="Arial"/>
                <w:sz w:val="21"/>
              </w:rPr>
              <w:t>2 (100%)</w:t>
            </w:r>
          </w:p>
        </w:tc>
      </w:tr>
      <w:tr w:rsidR="00F2350B" w:rsidRPr="00373DCC" w14:paraId="32257625" w14:textId="77777777" w:rsidTr="0069779B">
        <w:trPr>
          <w:trHeight w:val="340"/>
        </w:trPr>
        <w:tc>
          <w:tcPr>
            <w:tcW w:w="2083" w:type="pct"/>
            <w:vAlign w:val="center"/>
          </w:tcPr>
          <w:p w14:paraId="236248FC" w14:textId="77777777" w:rsidR="00F2350B" w:rsidRPr="00373DCC" w:rsidRDefault="00F2350B" w:rsidP="00710B91">
            <w:pPr>
              <w:keepLines/>
              <w:spacing w:line="240" w:lineRule="atLeast"/>
              <w:contextualSpacing/>
              <w:rPr>
                <w:rFonts w:cs="Arial"/>
                <w:sz w:val="21"/>
              </w:rPr>
            </w:pPr>
            <w:r w:rsidRPr="00373DCC">
              <w:rPr>
                <w:rFonts w:cs="Arial"/>
                <w:sz w:val="21"/>
              </w:rPr>
              <w:t>J: Changes to Product Information</w:t>
            </w:r>
          </w:p>
        </w:tc>
        <w:tc>
          <w:tcPr>
            <w:tcW w:w="727" w:type="pct"/>
            <w:vAlign w:val="center"/>
          </w:tcPr>
          <w:p w14:paraId="0C96C3E4"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vAlign w:val="center"/>
          </w:tcPr>
          <w:p w14:paraId="0EE5BB3A"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1E4C58CB"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71F72A7A" w14:textId="77777777" w:rsidR="00F2350B" w:rsidRPr="00373DCC" w:rsidRDefault="00F2350B" w:rsidP="00710B91">
            <w:pPr>
              <w:keepLines/>
              <w:spacing w:line="240" w:lineRule="atLeast"/>
              <w:contextualSpacing/>
              <w:jc w:val="right"/>
              <w:rPr>
                <w:rFonts w:cs="Arial"/>
                <w:sz w:val="21"/>
              </w:rPr>
            </w:pPr>
            <w:r w:rsidRPr="00373DCC">
              <w:rPr>
                <w:rFonts w:cs="Arial"/>
                <w:sz w:val="21"/>
              </w:rPr>
              <w:t>1 (100%)</w:t>
            </w:r>
          </w:p>
        </w:tc>
      </w:tr>
      <w:tr w:rsidR="00F2350B" w:rsidRPr="00373DCC" w14:paraId="39BF9BB2" w14:textId="77777777" w:rsidTr="0069779B">
        <w:trPr>
          <w:trHeight w:val="340"/>
        </w:trPr>
        <w:tc>
          <w:tcPr>
            <w:tcW w:w="5000" w:type="pct"/>
            <w:gridSpan w:val="5"/>
            <w:tcBorders>
              <w:left w:val="single" w:sz="4" w:space="0" w:color="auto"/>
              <w:bottom w:val="single" w:sz="4" w:space="0" w:color="auto"/>
              <w:right w:val="single" w:sz="4" w:space="0" w:color="auto"/>
            </w:tcBorders>
            <w:shd w:val="clear" w:color="auto" w:fill="C6D4E9"/>
            <w:vAlign w:val="center"/>
          </w:tcPr>
          <w:p w14:paraId="62322B9A"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Comparable Overseas Regulator (COR) – B</w:t>
            </w:r>
          </w:p>
        </w:tc>
      </w:tr>
      <w:tr w:rsidR="00F2350B" w:rsidRPr="00373DCC" w14:paraId="6F79769C" w14:textId="77777777" w:rsidTr="0069779B">
        <w:trPr>
          <w:trHeight w:val="340"/>
        </w:trPr>
        <w:tc>
          <w:tcPr>
            <w:tcW w:w="2083" w:type="pct"/>
            <w:shd w:val="clear" w:color="auto" w:fill="auto"/>
            <w:vAlign w:val="center"/>
          </w:tcPr>
          <w:p w14:paraId="06C4D2F6" w14:textId="77777777" w:rsidR="00F2350B" w:rsidRPr="00373DCC" w:rsidRDefault="00F2350B" w:rsidP="00710B91">
            <w:pPr>
              <w:keepLines/>
              <w:spacing w:line="240" w:lineRule="atLeast"/>
              <w:contextualSpacing/>
              <w:rPr>
                <w:rFonts w:cs="Arial"/>
                <w:sz w:val="21"/>
              </w:rPr>
            </w:pPr>
            <w:r w:rsidRPr="00373DCC">
              <w:rPr>
                <w:rFonts w:cs="Arial"/>
                <w:sz w:val="21"/>
              </w:rPr>
              <w:t>A: New chemical entity/New biological entity/Biosimilar</w:t>
            </w:r>
          </w:p>
        </w:tc>
        <w:tc>
          <w:tcPr>
            <w:tcW w:w="727" w:type="pct"/>
            <w:shd w:val="clear" w:color="auto" w:fill="auto"/>
            <w:vAlign w:val="center"/>
          </w:tcPr>
          <w:p w14:paraId="47DDCBEF" w14:textId="77777777" w:rsidR="00F2350B" w:rsidRPr="00373DCC" w:rsidRDefault="00F2350B" w:rsidP="00710B91">
            <w:pPr>
              <w:keepLines/>
              <w:spacing w:line="240" w:lineRule="atLeast"/>
              <w:contextualSpacing/>
              <w:jc w:val="right"/>
              <w:rPr>
                <w:rFonts w:cs="Arial"/>
                <w:sz w:val="21"/>
              </w:rPr>
            </w:pPr>
            <w:r w:rsidRPr="00373DCC">
              <w:rPr>
                <w:rFonts w:cs="Arial"/>
                <w:sz w:val="21"/>
              </w:rPr>
              <w:t>7</w:t>
            </w:r>
          </w:p>
        </w:tc>
        <w:tc>
          <w:tcPr>
            <w:tcW w:w="729" w:type="pct"/>
            <w:shd w:val="clear" w:color="auto" w:fill="auto"/>
            <w:vAlign w:val="center"/>
          </w:tcPr>
          <w:p w14:paraId="22E55BE1"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5402883A"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0030E979" w14:textId="77777777" w:rsidR="00F2350B" w:rsidRPr="00373DCC" w:rsidRDefault="00F2350B" w:rsidP="00710B91">
            <w:pPr>
              <w:keepLines/>
              <w:spacing w:line="240" w:lineRule="atLeast"/>
              <w:contextualSpacing/>
              <w:jc w:val="right"/>
              <w:rPr>
                <w:rFonts w:cs="Arial"/>
                <w:sz w:val="21"/>
              </w:rPr>
            </w:pPr>
            <w:r w:rsidRPr="00373DCC">
              <w:rPr>
                <w:rFonts w:cs="Arial"/>
                <w:sz w:val="21"/>
              </w:rPr>
              <w:t>7 (100%)</w:t>
            </w:r>
          </w:p>
        </w:tc>
      </w:tr>
      <w:tr w:rsidR="00F2350B" w:rsidRPr="00373DCC" w14:paraId="4BF5436D" w14:textId="77777777" w:rsidTr="0069779B">
        <w:trPr>
          <w:trHeight w:val="340"/>
        </w:trPr>
        <w:tc>
          <w:tcPr>
            <w:tcW w:w="2083" w:type="pct"/>
            <w:shd w:val="clear" w:color="auto" w:fill="auto"/>
            <w:vAlign w:val="center"/>
          </w:tcPr>
          <w:p w14:paraId="21C82C98" w14:textId="77777777" w:rsidR="00F2350B" w:rsidRPr="00373DCC" w:rsidRDefault="00F2350B" w:rsidP="00710B91">
            <w:pPr>
              <w:keepLines/>
              <w:spacing w:line="240" w:lineRule="atLeast"/>
              <w:contextualSpacing/>
              <w:rPr>
                <w:rFonts w:cs="Arial"/>
                <w:sz w:val="21"/>
              </w:rPr>
            </w:pPr>
            <w:r w:rsidRPr="00373DCC">
              <w:rPr>
                <w:rFonts w:cs="Arial"/>
                <w:sz w:val="21"/>
              </w:rPr>
              <w:t>B: New fixed-dose combination</w:t>
            </w:r>
          </w:p>
        </w:tc>
        <w:tc>
          <w:tcPr>
            <w:tcW w:w="727" w:type="pct"/>
            <w:shd w:val="clear" w:color="auto" w:fill="auto"/>
            <w:vAlign w:val="center"/>
          </w:tcPr>
          <w:p w14:paraId="17639711"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shd w:val="clear" w:color="auto" w:fill="auto"/>
            <w:vAlign w:val="center"/>
          </w:tcPr>
          <w:p w14:paraId="62A72477"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412ED966"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D56F4AC" w14:textId="77777777" w:rsidR="00F2350B" w:rsidRPr="00373DCC" w:rsidRDefault="00F2350B" w:rsidP="00710B91">
            <w:pPr>
              <w:keepLines/>
              <w:spacing w:line="240" w:lineRule="atLeast"/>
              <w:contextualSpacing/>
              <w:jc w:val="right"/>
              <w:rPr>
                <w:rFonts w:cs="Arial"/>
                <w:sz w:val="21"/>
              </w:rPr>
            </w:pPr>
            <w:r w:rsidRPr="00373DCC">
              <w:rPr>
                <w:rFonts w:cs="Arial"/>
                <w:sz w:val="21"/>
              </w:rPr>
              <w:t>1 (100%)</w:t>
            </w:r>
          </w:p>
        </w:tc>
      </w:tr>
      <w:tr w:rsidR="00F2350B" w:rsidRPr="00373DCC" w14:paraId="3C730272" w14:textId="77777777" w:rsidTr="0069779B">
        <w:trPr>
          <w:trHeight w:val="340"/>
        </w:trPr>
        <w:tc>
          <w:tcPr>
            <w:tcW w:w="2083" w:type="pct"/>
            <w:shd w:val="clear" w:color="auto" w:fill="auto"/>
            <w:vAlign w:val="center"/>
          </w:tcPr>
          <w:p w14:paraId="1B287761" w14:textId="77777777" w:rsidR="00F2350B" w:rsidRPr="00373DCC" w:rsidRDefault="00F2350B" w:rsidP="00710B91">
            <w:pPr>
              <w:keepLines/>
              <w:spacing w:line="240" w:lineRule="atLeast"/>
              <w:contextualSpacing/>
              <w:rPr>
                <w:rFonts w:cs="Arial"/>
                <w:sz w:val="21"/>
              </w:rPr>
            </w:pPr>
            <w:r w:rsidRPr="00373DCC">
              <w:rPr>
                <w:rFonts w:cs="Arial"/>
                <w:sz w:val="21"/>
              </w:rPr>
              <w:t>D: New generic medicine</w:t>
            </w:r>
          </w:p>
        </w:tc>
        <w:tc>
          <w:tcPr>
            <w:tcW w:w="727" w:type="pct"/>
            <w:shd w:val="clear" w:color="auto" w:fill="auto"/>
            <w:vAlign w:val="center"/>
          </w:tcPr>
          <w:p w14:paraId="7A78825A" w14:textId="77777777" w:rsidR="00F2350B" w:rsidRPr="00373DCC" w:rsidRDefault="00F2350B" w:rsidP="00710B91">
            <w:pPr>
              <w:keepLines/>
              <w:spacing w:line="240" w:lineRule="atLeast"/>
              <w:contextualSpacing/>
              <w:jc w:val="right"/>
              <w:rPr>
                <w:rFonts w:cs="Arial"/>
                <w:sz w:val="21"/>
              </w:rPr>
            </w:pPr>
            <w:r w:rsidRPr="00373DCC">
              <w:rPr>
                <w:rFonts w:cs="Arial"/>
                <w:sz w:val="21"/>
              </w:rPr>
              <w:t>5</w:t>
            </w:r>
          </w:p>
        </w:tc>
        <w:tc>
          <w:tcPr>
            <w:tcW w:w="729" w:type="pct"/>
            <w:shd w:val="clear" w:color="auto" w:fill="auto"/>
            <w:vAlign w:val="center"/>
          </w:tcPr>
          <w:p w14:paraId="7C2DA6C9"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7E646307"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6C38070A" w14:textId="77777777" w:rsidR="00F2350B" w:rsidRPr="00373DCC" w:rsidRDefault="00F2350B" w:rsidP="00710B91">
            <w:pPr>
              <w:keepLines/>
              <w:spacing w:line="240" w:lineRule="atLeast"/>
              <w:contextualSpacing/>
              <w:jc w:val="right"/>
              <w:rPr>
                <w:rFonts w:cs="Arial"/>
                <w:sz w:val="21"/>
              </w:rPr>
            </w:pPr>
            <w:r w:rsidRPr="00373DCC">
              <w:rPr>
                <w:rFonts w:cs="Arial"/>
                <w:sz w:val="21"/>
              </w:rPr>
              <w:t>5 (100%)</w:t>
            </w:r>
          </w:p>
        </w:tc>
      </w:tr>
      <w:tr w:rsidR="00F2350B" w:rsidRPr="00373DCC" w14:paraId="245D28C1" w14:textId="77777777" w:rsidTr="0069779B">
        <w:trPr>
          <w:trHeight w:val="340"/>
        </w:trPr>
        <w:tc>
          <w:tcPr>
            <w:tcW w:w="2083" w:type="pct"/>
            <w:shd w:val="clear" w:color="auto" w:fill="auto"/>
            <w:vAlign w:val="center"/>
          </w:tcPr>
          <w:p w14:paraId="233193FA" w14:textId="77777777" w:rsidR="00F2350B" w:rsidRPr="00373DCC" w:rsidRDefault="00F2350B" w:rsidP="00710B91">
            <w:pPr>
              <w:keepLines/>
              <w:spacing w:line="240" w:lineRule="atLeast"/>
              <w:contextualSpacing/>
              <w:rPr>
                <w:rFonts w:cs="Arial"/>
                <w:sz w:val="21"/>
              </w:rPr>
            </w:pPr>
            <w:r w:rsidRPr="00373DCC">
              <w:rPr>
                <w:rFonts w:cs="Arial"/>
                <w:sz w:val="21"/>
              </w:rPr>
              <w:t>F: Major variation</w:t>
            </w:r>
          </w:p>
        </w:tc>
        <w:tc>
          <w:tcPr>
            <w:tcW w:w="727" w:type="pct"/>
            <w:shd w:val="clear" w:color="auto" w:fill="auto"/>
            <w:vAlign w:val="center"/>
          </w:tcPr>
          <w:p w14:paraId="40069904" w14:textId="77777777" w:rsidR="00F2350B" w:rsidRPr="00373DCC" w:rsidRDefault="00F2350B" w:rsidP="00710B91">
            <w:pPr>
              <w:keepLines/>
              <w:spacing w:line="240" w:lineRule="atLeast"/>
              <w:contextualSpacing/>
              <w:jc w:val="right"/>
              <w:rPr>
                <w:rFonts w:cs="Arial"/>
                <w:sz w:val="21"/>
              </w:rPr>
            </w:pPr>
            <w:r w:rsidRPr="00373DCC">
              <w:rPr>
                <w:rFonts w:cs="Arial"/>
                <w:sz w:val="21"/>
              </w:rPr>
              <w:t>4</w:t>
            </w:r>
          </w:p>
        </w:tc>
        <w:tc>
          <w:tcPr>
            <w:tcW w:w="729" w:type="pct"/>
            <w:shd w:val="clear" w:color="auto" w:fill="auto"/>
            <w:vAlign w:val="center"/>
          </w:tcPr>
          <w:p w14:paraId="5828F4F6"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364A5849"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5D29B6F8" w14:textId="77777777" w:rsidR="00F2350B" w:rsidRPr="00373DCC" w:rsidRDefault="00F2350B" w:rsidP="00710B91">
            <w:pPr>
              <w:keepLines/>
              <w:spacing w:line="240" w:lineRule="atLeast"/>
              <w:contextualSpacing/>
              <w:jc w:val="right"/>
              <w:rPr>
                <w:rFonts w:cs="Arial"/>
                <w:sz w:val="21"/>
              </w:rPr>
            </w:pPr>
            <w:r w:rsidRPr="00373DCC">
              <w:rPr>
                <w:rFonts w:cs="Arial"/>
                <w:sz w:val="21"/>
              </w:rPr>
              <w:t>4 (100%)</w:t>
            </w:r>
          </w:p>
        </w:tc>
      </w:tr>
      <w:tr w:rsidR="00F2350B" w:rsidRPr="00373DCC" w14:paraId="545A4893" w14:textId="77777777" w:rsidTr="0069779B">
        <w:trPr>
          <w:trHeight w:val="340"/>
        </w:trPr>
        <w:tc>
          <w:tcPr>
            <w:tcW w:w="5000" w:type="pct"/>
            <w:gridSpan w:val="5"/>
            <w:tcBorders>
              <w:left w:val="single" w:sz="4" w:space="0" w:color="auto"/>
              <w:bottom w:val="single" w:sz="4" w:space="0" w:color="auto"/>
              <w:right w:val="single" w:sz="4" w:space="0" w:color="auto"/>
            </w:tcBorders>
            <w:shd w:val="clear" w:color="auto" w:fill="C6D4E9"/>
            <w:vAlign w:val="center"/>
          </w:tcPr>
          <w:p w14:paraId="24F133BB"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Minor Variations</w:t>
            </w:r>
          </w:p>
        </w:tc>
      </w:tr>
      <w:tr w:rsidR="00F2350B" w:rsidRPr="00373DCC" w14:paraId="4190BA66" w14:textId="77777777" w:rsidTr="0069779B">
        <w:trPr>
          <w:trHeight w:val="340"/>
        </w:trPr>
        <w:tc>
          <w:tcPr>
            <w:tcW w:w="5000" w:type="pct"/>
            <w:gridSpan w:val="5"/>
            <w:shd w:val="clear" w:color="auto" w:fill="auto"/>
            <w:vAlign w:val="center"/>
          </w:tcPr>
          <w:p w14:paraId="269F1FB9" w14:textId="77777777" w:rsidR="00F2350B" w:rsidRPr="00373DCC" w:rsidRDefault="00F2350B" w:rsidP="00710B91">
            <w:pPr>
              <w:keepLines/>
              <w:spacing w:line="240" w:lineRule="atLeast"/>
              <w:contextualSpacing/>
              <w:rPr>
                <w:rFonts w:cs="Arial"/>
                <w:sz w:val="21"/>
              </w:rPr>
            </w:pPr>
            <w:r w:rsidRPr="00373DCC">
              <w:rPr>
                <w:rFonts w:cs="Arial"/>
                <w:sz w:val="21"/>
              </w:rPr>
              <w:t>Category 3</w:t>
            </w:r>
          </w:p>
        </w:tc>
      </w:tr>
      <w:tr w:rsidR="00F2350B" w:rsidRPr="00373DCC" w14:paraId="1C34C4D0" w14:textId="77777777" w:rsidTr="0069779B">
        <w:trPr>
          <w:trHeight w:val="340"/>
        </w:trPr>
        <w:tc>
          <w:tcPr>
            <w:tcW w:w="2083" w:type="pct"/>
            <w:shd w:val="clear" w:color="auto" w:fill="auto"/>
            <w:vAlign w:val="center"/>
          </w:tcPr>
          <w:p w14:paraId="684BABC0" w14:textId="77777777" w:rsidR="00F2350B" w:rsidRPr="00373DCC" w:rsidRDefault="00F2350B" w:rsidP="00710B91">
            <w:pPr>
              <w:keepLines/>
              <w:spacing w:line="240" w:lineRule="atLeast"/>
              <w:contextualSpacing/>
              <w:rPr>
                <w:rFonts w:cs="Arial"/>
                <w:sz w:val="21"/>
              </w:rPr>
            </w:pPr>
            <w:r w:rsidRPr="00373DCC">
              <w:rPr>
                <w:rFonts w:cs="Arial"/>
                <w:sz w:val="21"/>
              </w:rPr>
              <w:t xml:space="preserve">   G: Minor variation</w:t>
            </w:r>
            <w:r w:rsidRPr="00373DCC">
              <w:rPr>
                <w:rFonts w:cs="Arial"/>
                <w:sz w:val="21"/>
                <w:vertAlign w:val="superscript"/>
              </w:rPr>
              <w:t xml:space="preserve"> b</w:t>
            </w:r>
          </w:p>
        </w:tc>
        <w:tc>
          <w:tcPr>
            <w:tcW w:w="727" w:type="pct"/>
            <w:shd w:val="clear" w:color="auto" w:fill="auto"/>
            <w:vAlign w:val="center"/>
          </w:tcPr>
          <w:p w14:paraId="3A08D6A4" w14:textId="77777777" w:rsidR="00F2350B" w:rsidRPr="00373DCC" w:rsidRDefault="00F2350B" w:rsidP="00710B91">
            <w:pPr>
              <w:keepLines/>
              <w:spacing w:line="240" w:lineRule="atLeast"/>
              <w:contextualSpacing/>
              <w:jc w:val="right"/>
              <w:rPr>
                <w:rFonts w:cs="Arial"/>
                <w:sz w:val="21"/>
              </w:rPr>
            </w:pPr>
            <w:r w:rsidRPr="00373DCC">
              <w:rPr>
                <w:rFonts w:cs="Arial"/>
                <w:sz w:val="21"/>
              </w:rPr>
              <w:t>120</w:t>
            </w:r>
          </w:p>
        </w:tc>
        <w:tc>
          <w:tcPr>
            <w:tcW w:w="729" w:type="pct"/>
            <w:shd w:val="clear" w:color="auto" w:fill="auto"/>
            <w:vAlign w:val="center"/>
          </w:tcPr>
          <w:p w14:paraId="001F2F05" w14:textId="77777777" w:rsidR="00F2350B" w:rsidRPr="00373DCC" w:rsidRDefault="00F2350B" w:rsidP="00710B91">
            <w:pPr>
              <w:keepLines/>
              <w:spacing w:line="240" w:lineRule="atLeast"/>
              <w:contextualSpacing/>
              <w:jc w:val="right"/>
              <w:rPr>
                <w:rFonts w:cs="Arial"/>
                <w:sz w:val="21"/>
              </w:rPr>
            </w:pPr>
            <w:r w:rsidRPr="00373DCC">
              <w:rPr>
                <w:rFonts w:cs="Arial"/>
                <w:sz w:val="21"/>
              </w:rPr>
              <w:t>8</w:t>
            </w:r>
          </w:p>
        </w:tc>
        <w:tc>
          <w:tcPr>
            <w:tcW w:w="729" w:type="pct"/>
            <w:shd w:val="clear" w:color="auto" w:fill="auto"/>
            <w:vAlign w:val="center"/>
          </w:tcPr>
          <w:p w14:paraId="475B7356"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A647DA4" w14:textId="77777777" w:rsidR="00F2350B" w:rsidRPr="00373DCC" w:rsidRDefault="00F2350B" w:rsidP="00710B91">
            <w:pPr>
              <w:keepLines/>
              <w:spacing w:line="240" w:lineRule="atLeast"/>
              <w:contextualSpacing/>
              <w:jc w:val="right"/>
              <w:rPr>
                <w:rFonts w:cs="Arial"/>
                <w:sz w:val="21"/>
              </w:rPr>
            </w:pPr>
            <w:r w:rsidRPr="00373DCC">
              <w:rPr>
                <w:rFonts w:cs="Arial"/>
                <w:sz w:val="21"/>
              </w:rPr>
              <w:t>128 (94%)</w:t>
            </w:r>
          </w:p>
        </w:tc>
      </w:tr>
      <w:tr w:rsidR="00F2350B" w:rsidRPr="00373DCC" w14:paraId="08BD8467" w14:textId="77777777" w:rsidTr="0069779B">
        <w:trPr>
          <w:trHeight w:val="340"/>
        </w:trPr>
        <w:tc>
          <w:tcPr>
            <w:tcW w:w="2083" w:type="pct"/>
            <w:shd w:val="clear" w:color="auto" w:fill="auto"/>
            <w:vAlign w:val="center"/>
          </w:tcPr>
          <w:p w14:paraId="2F6F16F0" w14:textId="77777777" w:rsidR="00F2350B" w:rsidRPr="00373DCC" w:rsidRDefault="00F2350B" w:rsidP="00710B91">
            <w:pPr>
              <w:keepLines/>
              <w:spacing w:line="240" w:lineRule="atLeast"/>
              <w:contextualSpacing/>
              <w:rPr>
                <w:rFonts w:cs="Arial"/>
                <w:sz w:val="21"/>
              </w:rPr>
            </w:pPr>
            <w:r w:rsidRPr="00373DCC">
              <w:rPr>
                <w:rFonts w:cs="Arial"/>
                <w:sz w:val="21"/>
              </w:rPr>
              <w:t xml:space="preserve">   H: Minor variation</w:t>
            </w:r>
            <w:r w:rsidRPr="00373DCC">
              <w:rPr>
                <w:rFonts w:cs="Arial"/>
                <w:sz w:val="21"/>
                <w:vertAlign w:val="superscript"/>
              </w:rPr>
              <w:t xml:space="preserve"> c</w:t>
            </w:r>
          </w:p>
        </w:tc>
        <w:tc>
          <w:tcPr>
            <w:tcW w:w="727" w:type="pct"/>
            <w:shd w:val="clear" w:color="auto" w:fill="auto"/>
            <w:vAlign w:val="center"/>
          </w:tcPr>
          <w:p w14:paraId="53CFB194" w14:textId="77777777" w:rsidR="00F2350B" w:rsidRPr="00373DCC" w:rsidRDefault="00F2350B" w:rsidP="00710B91">
            <w:pPr>
              <w:keepLines/>
              <w:spacing w:line="240" w:lineRule="atLeast"/>
              <w:contextualSpacing/>
              <w:jc w:val="right"/>
              <w:rPr>
                <w:rFonts w:cs="Arial"/>
                <w:sz w:val="21"/>
              </w:rPr>
            </w:pPr>
            <w:r w:rsidRPr="00373DCC">
              <w:rPr>
                <w:rFonts w:cs="Arial"/>
                <w:sz w:val="21"/>
              </w:rPr>
              <w:t>1422</w:t>
            </w:r>
          </w:p>
        </w:tc>
        <w:tc>
          <w:tcPr>
            <w:tcW w:w="729" w:type="pct"/>
            <w:shd w:val="clear" w:color="auto" w:fill="auto"/>
            <w:vAlign w:val="center"/>
          </w:tcPr>
          <w:p w14:paraId="61DC640A" w14:textId="77777777" w:rsidR="00F2350B" w:rsidRPr="00373DCC" w:rsidRDefault="00F2350B" w:rsidP="00710B91">
            <w:pPr>
              <w:keepLines/>
              <w:spacing w:line="240" w:lineRule="atLeast"/>
              <w:contextualSpacing/>
              <w:jc w:val="right"/>
              <w:rPr>
                <w:rFonts w:cs="Arial"/>
                <w:sz w:val="21"/>
              </w:rPr>
            </w:pPr>
            <w:r w:rsidRPr="00373DCC">
              <w:rPr>
                <w:rFonts w:cs="Arial"/>
                <w:sz w:val="21"/>
              </w:rPr>
              <w:t>31</w:t>
            </w:r>
          </w:p>
        </w:tc>
        <w:tc>
          <w:tcPr>
            <w:tcW w:w="729" w:type="pct"/>
            <w:shd w:val="clear" w:color="auto" w:fill="auto"/>
            <w:vAlign w:val="center"/>
          </w:tcPr>
          <w:p w14:paraId="5EF6B556"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9979F0D" w14:textId="77777777" w:rsidR="00F2350B" w:rsidRPr="00373DCC" w:rsidRDefault="00F2350B" w:rsidP="00710B91">
            <w:pPr>
              <w:keepLines/>
              <w:spacing w:line="240" w:lineRule="atLeast"/>
              <w:contextualSpacing/>
              <w:jc w:val="right"/>
              <w:rPr>
                <w:rFonts w:cs="Arial"/>
                <w:sz w:val="21"/>
              </w:rPr>
            </w:pPr>
            <w:r w:rsidRPr="00373DCC">
              <w:rPr>
                <w:rFonts w:cs="Arial"/>
                <w:sz w:val="21"/>
              </w:rPr>
              <w:t>1453 (98%)</w:t>
            </w:r>
          </w:p>
        </w:tc>
      </w:tr>
      <w:tr w:rsidR="00F2350B" w:rsidRPr="00373DCC" w14:paraId="3DB7364B" w14:textId="77777777" w:rsidTr="0069779B">
        <w:trPr>
          <w:trHeight w:val="340"/>
        </w:trPr>
        <w:tc>
          <w:tcPr>
            <w:tcW w:w="2083" w:type="pct"/>
            <w:shd w:val="clear" w:color="auto" w:fill="auto"/>
            <w:vAlign w:val="center"/>
          </w:tcPr>
          <w:p w14:paraId="698D0C40" w14:textId="77777777" w:rsidR="00F2350B" w:rsidRPr="00373DCC" w:rsidRDefault="00F2350B" w:rsidP="00710B91">
            <w:pPr>
              <w:keepLines/>
              <w:spacing w:line="240" w:lineRule="atLeast"/>
              <w:contextualSpacing/>
              <w:rPr>
                <w:rFonts w:cs="Arial"/>
                <w:sz w:val="21"/>
              </w:rPr>
            </w:pPr>
            <w:r w:rsidRPr="00373DCC">
              <w:rPr>
                <w:rFonts w:cs="Arial"/>
                <w:sz w:val="21"/>
              </w:rPr>
              <w:t>Correction [9D(1)]</w:t>
            </w:r>
          </w:p>
        </w:tc>
        <w:tc>
          <w:tcPr>
            <w:tcW w:w="727" w:type="pct"/>
            <w:shd w:val="clear" w:color="auto" w:fill="auto"/>
            <w:vAlign w:val="center"/>
          </w:tcPr>
          <w:p w14:paraId="631BF33A" w14:textId="77777777" w:rsidR="00F2350B" w:rsidRPr="00373DCC" w:rsidRDefault="00F2350B" w:rsidP="00710B91">
            <w:pPr>
              <w:keepLines/>
              <w:spacing w:line="240" w:lineRule="atLeast"/>
              <w:contextualSpacing/>
              <w:jc w:val="right"/>
              <w:rPr>
                <w:rFonts w:cs="Arial"/>
                <w:sz w:val="21"/>
              </w:rPr>
            </w:pPr>
            <w:r w:rsidRPr="00373DCC">
              <w:rPr>
                <w:rFonts w:cs="Arial"/>
                <w:sz w:val="21"/>
              </w:rPr>
              <w:t>182</w:t>
            </w:r>
          </w:p>
        </w:tc>
        <w:tc>
          <w:tcPr>
            <w:tcW w:w="729" w:type="pct"/>
            <w:shd w:val="clear" w:color="auto" w:fill="auto"/>
            <w:vAlign w:val="center"/>
          </w:tcPr>
          <w:p w14:paraId="424EDB33" w14:textId="77777777" w:rsidR="00F2350B" w:rsidRPr="00373DCC" w:rsidRDefault="00F2350B" w:rsidP="00710B91">
            <w:pPr>
              <w:keepLines/>
              <w:spacing w:line="240" w:lineRule="atLeast"/>
              <w:contextualSpacing/>
              <w:jc w:val="right"/>
              <w:rPr>
                <w:rFonts w:cs="Arial"/>
                <w:sz w:val="21"/>
              </w:rPr>
            </w:pPr>
            <w:r w:rsidRPr="00373DCC">
              <w:rPr>
                <w:rFonts w:cs="Arial"/>
                <w:sz w:val="21"/>
              </w:rPr>
              <w:t>14</w:t>
            </w:r>
          </w:p>
        </w:tc>
        <w:tc>
          <w:tcPr>
            <w:tcW w:w="729" w:type="pct"/>
            <w:shd w:val="clear" w:color="auto" w:fill="auto"/>
            <w:vAlign w:val="center"/>
          </w:tcPr>
          <w:p w14:paraId="663C1947"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2AA2AC42" w14:textId="77777777" w:rsidR="00F2350B" w:rsidRPr="00373DCC" w:rsidRDefault="00F2350B" w:rsidP="00710B91">
            <w:pPr>
              <w:keepLines/>
              <w:spacing w:line="240" w:lineRule="atLeast"/>
              <w:contextualSpacing/>
              <w:jc w:val="right"/>
              <w:rPr>
                <w:rFonts w:cs="Arial"/>
                <w:sz w:val="21"/>
              </w:rPr>
            </w:pPr>
            <w:r w:rsidRPr="00373DCC">
              <w:rPr>
                <w:rFonts w:cs="Arial"/>
                <w:sz w:val="21"/>
              </w:rPr>
              <w:t>196 (93%)</w:t>
            </w:r>
          </w:p>
        </w:tc>
      </w:tr>
      <w:tr w:rsidR="00F2350B" w:rsidRPr="00373DCC" w14:paraId="0E773666" w14:textId="77777777" w:rsidTr="0069779B">
        <w:trPr>
          <w:trHeight w:val="340"/>
        </w:trPr>
        <w:tc>
          <w:tcPr>
            <w:tcW w:w="2083" w:type="pct"/>
            <w:shd w:val="clear" w:color="auto" w:fill="auto"/>
            <w:vAlign w:val="center"/>
          </w:tcPr>
          <w:p w14:paraId="38AABEAD" w14:textId="77777777" w:rsidR="00F2350B" w:rsidRPr="00373DCC" w:rsidRDefault="00F2350B" w:rsidP="00710B91">
            <w:pPr>
              <w:keepLines/>
              <w:spacing w:line="240" w:lineRule="atLeast"/>
              <w:contextualSpacing/>
              <w:rPr>
                <w:rFonts w:cs="Arial"/>
                <w:sz w:val="21"/>
              </w:rPr>
            </w:pPr>
            <w:r w:rsidRPr="00373DCC">
              <w:rPr>
                <w:rFonts w:cs="Arial"/>
                <w:sz w:val="21"/>
              </w:rPr>
              <w:t>Additional trade name [ATN]</w:t>
            </w:r>
          </w:p>
        </w:tc>
        <w:tc>
          <w:tcPr>
            <w:tcW w:w="727" w:type="pct"/>
            <w:shd w:val="clear" w:color="auto" w:fill="auto"/>
            <w:vAlign w:val="center"/>
          </w:tcPr>
          <w:p w14:paraId="0961CE1D" w14:textId="77777777" w:rsidR="00F2350B" w:rsidRPr="00373DCC" w:rsidRDefault="00F2350B" w:rsidP="00710B91">
            <w:pPr>
              <w:keepLines/>
              <w:spacing w:line="240" w:lineRule="atLeast"/>
              <w:contextualSpacing/>
              <w:jc w:val="right"/>
              <w:rPr>
                <w:rFonts w:cs="Arial"/>
                <w:sz w:val="21"/>
              </w:rPr>
            </w:pPr>
            <w:r w:rsidRPr="00373DCC">
              <w:rPr>
                <w:rFonts w:cs="Arial"/>
                <w:sz w:val="21"/>
              </w:rPr>
              <w:t>38</w:t>
            </w:r>
          </w:p>
        </w:tc>
        <w:tc>
          <w:tcPr>
            <w:tcW w:w="729" w:type="pct"/>
            <w:shd w:val="clear" w:color="auto" w:fill="auto"/>
            <w:vAlign w:val="center"/>
          </w:tcPr>
          <w:p w14:paraId="082CEB28" w14:textId="77777777" w:rsidR="00F2350B" w:rsidRPr="00373DCC" w:rsidRDefault="00F2350B" w:rsidP="00710B91">
            <w:pPr>
              <w:keepLines/>
              <w:spacing w:line="240" w:lineRule="atLeast"/>
              <w:contextualSpacing/>
              <w:jc w:val="right"/>
              <w:rPr>
                <w:rFonts w:cs="Arial"/>
                <w:sz w:val="21"/>
              </w:rPr>
            </w:pPr>
            <w:r w:rsidRPr="00373DCC">
              <w:rPr>
                <w:rFonts w:cs="Arial"/>
                <w:sz w:val="21"/>
              </w:rPr>
              <w:t>1</w:t>
            </w:r>
          </w:p>
        </w:tc>
        <w:tc>
          <w:tcPr>
            <w:tcW w:w="729" w:type="pct"/>
            <w:shd w:val="clear" w:color="auto" w:fill="auto"/>
            <w:vAlign w:val="center"/>
          </w:tcPr>
          <w:p w14:paraId="3E460EFC"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20B9AEE4" w14:textId="77777777" w:rsidR="00F2350B" w:rsidRPr="00373DCC" w:rsidRDefault="00F2350B" w:rsidP="00710B91">
            <w:pPr>
              <w:keepLines/>
              <w:spacing w:line="240" w:lineRule="atLeast"/>
              <w:contextualSpacing/>
              <w:jc w:val="right"/>
              <w:rPr>
                <w:rFonts w:cs="Arial"/>
                <w:sz w:val="21"/>
              </w:rPr>
            </w:pPr>
            <w:r w:rsidRPr="00373DCC">
              <w:rPr>
                <w:rFonts w:cs="Arial"/>
                <w:sz w:val="21"/>
              </w:rPr>
              <w:t>39 (97%)</w:t>
            </w:r>
          </w:p>
        </w:tc>
      </w:tr>
      <w:tr w:rsidR="00F2350B" w:rsidRPr="00373DCC" w14:paraId="4C5AEA24" w14:textId="77777777" w:rsidTr="0069779B">
        <w:trPr>
          <w:trHeight w:val="340"/>
        </w:trPr>
        <w:tc>
          <w:tcPr>
            <w:tcW w:w="2083" w:type="pct"/>
            <w:shd w:val="clear" w:color="auto" w:fill="auto"/>
            <w:vAlign w:val="center"/>
          </w:tcPr>
          <w:p w14:paraId="0E6EAB2B" w14:textId="77777777" w:rsidR="00F2350B" w:rsidRPr="00373DCC" w:rsidRDefault="00F2350B" w:rsidP="00710B91">
            <w:pPr>
              <w:keepLines/>
              <w:spacing w:line="240" w:lineRule="atLeast"/>
              <w:contextualSpacing/>
              <w:rPr>
                <w:rFonts w:cs="Arial"/>
                <w:sz w:val="21"/>
              </w:rPr>
            </w:pPr>
            <w:r w:rsidRPr="00373DCC">
              <w:rPr>
                <w:rFonts w:cs="Arial"/>
                <w:sz w:val="21"/>
              </w:rPr>
              <w:t>Extension of Indications - Generic</w:t>
            </w:r>
          </w:p>
        </w:tc>
        <w:tc>
          <w:tcPr>
            <w:tcW w:w="727" w:type="pct"/>
            <w:shd w:val="clear" w:color="auto" w:fill="auto"/>
            <w:vAlign w:val="center"/>
          </w:tcPr>
          <w:p w14:paraId="46A9485E" w14:textId="77777777" w:rsidR="00F2350B" w:rsidRPr="00373DCC" w:rsidRDefault="00F2350B" w:rsidP="00710B91">
            <w:pPr>
              <w:keepLines/>
              <w:spacing w:line="240" w:lineRule="atLeast"/>
              <w:contextualSpacing/>
              <w:jc w:val="right"/>
              <w:rPr>
                <w:rFonts w:cs="Arial"/>
                <w:sz w:val="21"/>
              </w:rPr>
            </w:pPr>
            <w:r w:rsidRPr="00373DCC">
              <w:rPr>
                <w:rFonts w:cs="Arial"/>
                <w:sz w:val="21"/>
              </w:rPr>
              <w:t>10</w:t>
            </w:r>
          </w:p>
        </w:tc>
        <w:tc>
          <w:tcPr>
            <w:tcW w:w="729" w:type="pct"/>
            <w:shd w:val="clear" w:color="auto" w:fill="auto"/>
            <w:vAlign w:val="center"/>
          </w:tcPr>
          <w:p w14:paraId="674A1D61"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21560D46"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7D47F3A5" w14:textId="77777777" w:rsidR="00F2350B" w:rsidRPr="00373DCC" w:rsidRDefault="00F2350B" w:rsidP="00710B91">
            <w:pPr>
              <w:keepLines/>
              <w:spacing w:line="240" w:lineRule="atLeast"/>
              <w:contextualSpacing/>
              <w:jc w:val="right"/>
              <w:rPr>
                <w:rFonts w:cs="Arial"/>
                <w:sz w:val="21"/>
              </w:rPr>
            </w:pPr>
            <w:r w:rsidRPr="00373DCC">
              <w:rPr>
                <w:rFonts w:cs="Arial"/>
                <w:sz w:val="21"/>
              </w:rPr>
              <w:t>10 (100%)</w:t>
            </w:r>
          </w:p>
        </w:tc>
      </w:tr>
      <w:tr w:rsidR="00F2350B" w:rsidRPr="00373DCC" w14:paraId="0BFAC572" w14:textId="77777777" w:rsidTr="0069779B">
        <w:trPr>
          <w:trHeight w:val="420"/>
        </w:trPr>
        <w:tc>
          <w:tcPr>
            <w:tcW w:w="2083" w:type="pct"/>
            <w:shd w:val="clear" w:color="auto" w:fill="auto"/>
            <w:vAlign w:val="center"/>
          </w:tcPr>
          <w:p w14:paraId="56D541D1" w14:textId="77777777" w:rsidR="00F2350B" w:rsidRPr="00373DCC" w:rsidRDefault="00F2350B" w:rsidP="00710B91">
            <w:pPr>
              <w:keepLines/>
              <w:spacing w:line="240" w:lineRule="atLeast"/>
              <w:contextualSpacing/>
              <w:rPr>
                <w:rFonts w:cs="Arial"/>
                <w:sz w:val="21"/>
              </w:rPr>
            </w:pPr>
            <w:r w:rsidRPr="00373DCC">
              <w:rPr>
                <w:rFonts w:cs="Arial"/>
                <w:sz w:val="21"/>
              </w:rPr>
              <w:t>Internal Review</w:t>
            </w:r>
          </w:p>
        </w:tc>
        <w:tc>
          <w:tcPr>
            <w:tcW w:w="727" w:type="pct"/>
            <w:shd w:val="clear" w:color="auto" w:fill="auto"/>
            <w:vAlign w:val="center"/>
          </w:tcPr>
          <w:p w14:paraId="4E4AC77E" w14:textId="77777777" w:rsidR="00F2350B" w:rsidRPr="00373DCC" w:rsidRDefault="00F2350B" w:rsidP="00710B91">
            <w:pPr>
              <w:keepLines/>
              <w:spacing w:line="240" w:lineRule="atLeast"/>
              <w:contextualSpacing/>
              <w:jc w:val="right"/>
              <w:rPr>
                <w:rFonts w:cs="Arial"/>
                <w:sz w:val="21"/>
              </w:rPr>
            </w:pPr>
            <w:r w:rsidRPr="00373DCC">
              <w:rPr>
                <w:rFonts w:cs="Arial"/>
                <w:sz w:val="21"/>
              </w:rPr>
              <w:t>2</w:t>
            </w:r>
          </w:p>
        </w:tc>
        <w:tc>
          <w:tcPr>
            <w:tcW w:w="729" w:type="pct"/>
            <w:shd w:val="clear" w:color="auto" w:fill="auto"/>
            <w:vAlign w:val="center"/>
          </w:tcPr>
          <w:p w14:paraId="25D3FB13"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29" w:type="pct"/>
            <w:shd w:val="clear" w:color="auto" w:fill="auto"/>
            <w:vAlign w:val="center"/>
          </w:tcPr>
          <w:p w14:paraId="5053DA9F"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BF6F3FB" w14:textId="77777777" w:rsidR="00F2350B" w:rsidRPr="00373DCC" w:rsidRDefault="00F2350B" w:rsidP="00710B91">
            <w:pPr>
              <w:keepLines/>
              <w:spacing w:line="240" w:lineRule="atLeast"/>
              <w:contextualSpacing/>
              <w:jc w:val="right"/>
              <w:rPr>
                <w:rFonts w:cs="Arial"/>
                <w:sz w:val="21"/>
              </w:rPr>
            </w:pPr>
            <w:r w:rsidRPr="00373DCC">
              <w:rPr>
                <w:rFonts w:cs="Arial"/>
                <w:sz w:val="21"/>
              </w:rPr>
              <w:t>2 (100%)</w:t>
            </w:r>
          </w:p>
        </w:tc>
      </w:tr>
      <w:tr w:rsidR="00F2350B" w:rsidRPr="00373DCC" w14:paraId="2BD8C620" w14:textId="77777777" w:rsidTr="0069779B">
        <w:trPr>
          <w:trHeight w:val="340"/>
        </w:trPr>
        <w:tc>
          <w:tcPr>
            <w:tcW w:w="2083" w:type="pct"/>
            <w:shd w:val="clear" w:color="auto" w:fill="auto"/>
            <w:vAlign w:val="center"/>
          </w:tcPr>
          <w:p w14:paraId="2E75510D" w14:textId="77777777" w:rsidR="00F2350B" w:rsidRPr="00373DCC" w:rsidRDefault="00F2350B" w:rsidP="00710B91">
            <w:pPr>
              <w:keepLines/>
              <w:spacing w:line="240" w:lineRule="atLeast"/>
              <w:contextualSpacing/>
              <w:rPr>
                <w:rFonts w:cs="Arial"/>
                <w:sz w:val="21"/>
              </w:rPr>
            </w:pPr>
            <w:r w:rsidRPr="00373DCC">
              <w:rPr>
                <w:rFonts w:cs="Arial"/>
                <w:sz w:val="21"/>
              </w:rPr>
              <w:t>Minor editorial change [MEC]</w:t>
            </w:r>
          </w:p>
        </w:tc>
        <w:tc>
          <w:tcPr>
            <w:tcW w:w="727" w:type="pct"/>
            <w:shd w:val="clear" w:color="auto" w:fill="auto"/>
            <w:vAlign w:val="center"/>
          </w:tcPr>
          <w:p w14:paraId="65B320C2" w14:textId="77777777" w:rsidR="00F2350B" w:rsidRPr="00373DCC" w:rsidRDefault="00F2350B" w:rsidP="00710B91">
            <w:pPr>
              <w:keepLines/>
              <w:spacing w:line="240" w:lineRule="atLeast"/>
              <w:contextualSpacing/>
              <w:jc w:val="right"/>
              <w:rPr>
                <w:rFonts w:cs="Arial"/>
                <w:sz w:val="21"/>
              </w:rPr>
            </w:pPr>
            <w:r w:rsidRPr="00373DCC">
              <w:rPr>
                <w:rFonts w:cs="Arial"/>
                <w:sz w:val="21"/>
              </w:rPr>
              <w:t>195</w:t>
            </w:r>
          </w:p>
        </w:tc>
        <w:tc>
          <w:tcPr>
            <w:tcW w:w="729" w:type="pct"/>
            <w:shd w:val="clear" w:color="auto" w:fill="auto"/>
            <w:vAlign w:val="center"/>
          </w:tcPr>
          <w:p w14:paraId="23FCA5CB" w14:textId="77777777" w:rsidR="00F2350B" w:rsidRPr="00373DCC" w:rsidRDefault="00F2350B" w:rsidP="00710B91">
            <w:pPr>
              <w:keepLines/>
              <w:spacing w:line="240" w:lineRule="atLeast"/>
              <w:contextualSpacing/>
              <w:jc w:val="right"/>
              <w:rPr>
                <w:rFonts w:cs="Arial"/>
                <w:sz w:val="21"/>
              </w:rPr>
            </w:pPr>
            <w:r w:rsidRPr="00373DCC">
              <w:rPr>
                <w:rFonts w:cs="Arial"/>
                <w:sz w:val="21"/>
              </w:rPr>
              <w:t>2</w:t>
            </w:r>
          </w:p>
        </w:tc>
        <w:tc>
          <w:tcPr>
            <w:tcW w:w="729" w:type="pct"/>
            <w:shd w:val="clear" w:color="auto" w:fill="auto"/>
            <w:vAlign w:val="center"/>
          </w:tcPr>
          <w:p w14:paraId="2E712521"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45AA284C" w14:textId="77777777" w:rsidR="00F2350B" w:rsidRPr="00373DCC" w:rsidRDefault="00F2350B" w:rsidP="00710B91">
            <w:pPr>
              <w:keepLines/>
              <w:spacing w:line="240" w:lineRule="atLeast"/>
              <w:contextualSpacing/>
              <w:jc w:val="right"/>
              <w:rPr>
                <w:rFonts w:cs="Arial"/>
                <w:sz w:val="21"/>
              </w:rPr>
            </w:pPr>
            <w:r w:rsidRPr="00373DCC">
              <w:rPr>
                <w:rFonts w:cs="Arial"/>
                <w:sz w:val="21"/>
              </w:rPr>
              <w:t>197 (99%)</w:t>
            </w:r>
          </w:p>
        </w:tc>
      </w:tr>
      <w:tr w:rsidR="00F2350B" w:rsidRPr="00373DCC" w14:paraId="20E581DE" w14:textId="77777777" w:rsidTr="0069779B">
        <w:trPr>
          <w:trHeight w:val="340"/>
        </w:trPr>
        <w:tc>
          <w:tcPr>
            <w:tcW w:w="2083" w:type="pct"/>
            <w:shd w:val="clear" w:color="auto" w:fill="auto"/>
            <w:vAlign w:val="center"/>
          </w:tcPr>
          <w:p w14:paraId="36357D49" w14:textId="77777777" w:rsidR="00F2350B" w:rsidRPr="00373DCC" w:rsidRDefault="00F2350B" w:rsidP="00710B91">
            <w:pPr>
              <w:keepLines/>
              <w:spacing w:line="240" w:lineRule="atLeast"/>
              <w:contextualSpacing/>
              <w:rPr>
                <w:rFonts w:cs="Arial"/>
                <w:sz w:val="21"/>
              </w:rPr>
            </w:pPr>
            <w:r w:rsidRPr="00373DCC">
              <w:rPr>
                <w:rFonts w:cs="Arial"/>
                <w:sz w:val="21"/>
              </w:rPr>
              <w:t>Self-assessable request [SAR]</w:t>
            </w:r>
          </w:p>
        </w:tc>
        <w:tc>
          <w:tcPr>
            <w:tcW w:w="727" w:type="pct"/>
            <w:tcBorders>
              <w:bottom w:val="single" w:sz="4" w:space="0" w:color="auto"/>
            </w:tcBorders>
            <w:shd w:val="clear" w:color="auto" w:fill="auto"/>
            <w:vAlign w:val="center"/>
          </w:tcPr>
          <w:p w14:paraId="3D14342F" w14:textId="77777777" w:rsidR="00F2350B" w:rsidRPr="00373DCC" w:rsidRDefault="00F2350B" w:rsidP="00710B91">
            <w:pPr>
              <w:keepLines/>
              <w:spacing w:line="240" w:lineRule="atLeast"/>
              <w:contextualSpacing/>
              <w:jc w:val="right"/>
              <w:rPr>
                <w:rFonts w:cs="Arial"/>
                <w:sz w:val="21"/>
              </w:rPr>
            </w:pPr>
            <w:r w:rsidRPr="00373DCC">
              <w:rPr>
                <w:rFonts w:cs="Arial"/>
                <w:sz w:val="21"/>
              </w:rPr>
              <w:t>564</w:t>
            </w:r>
          </w:p>
        </w:tc>
        <w:tc>
          <w:tcPr>
            <w:tcW w:w="729" w:type="pct"/>
            <w:tcBorders>
              <w:bottom w:val="single" w:sz="4" w:space="0" w:color="auto"/>
            </w:tcBorders>
            <w:shd w:val="clear" w:color="auto" w:fill="auto"/>
            <w:vAlign w:val="center"/>
          </w:tcPr>
          <w:p w14:paraId="4B22C0AC" w14:textId="77777777" w:rsidR="00F2350B" w:rsidRPr="00373DCC" w:rsidRDefault="00F2350B" w:rsidP="00710B91">
            <w:pPr>
              <w:keepLines/>
              <w:spacing w:line="240" w:lineRule="atLeast"/>
              <w:contextualSpacing/>
              <w:jc w:val="right"/>
              <w:rPr>
                <w:rFonts w:cs="Arial"/>
                <w:sz w:val="21"/>
              </w:rPr>
            </w:pPr>
            <w:r w:rsidRPr="00373DCC">
              <w:rPr>
                <w:rFonts w:cs="Arial"/>
                <w:sz w:val="21"/>
              </w:rPr>
              <w:t>15</w:t>
            </w:r>
          </w:p>
        </w:tc>
        <w:tc>
          <w:tcPr>
            <w:tcW w:w="729" w:type="pct"/>
            <w:shd w:val="clear" w:color="auto" w:fill="auto"/>
            <w:vAlign w:val="center"/>
          </w:tcPr>
          <w:p w14:paraId="0F4658E9"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18CD8EA1" w14:textId="77777777" w:rsidR="00F2350B" w:rsidRPr="00373DCC" w:rsidRDefault="00F2350B" w:rsidP="00710B91">
            <w:pPr>
              <w:keepLines/>
              <w:spacing w:line="240" w:lineRule="atLeast"/>
              <w:contextualSpacing/>
              <w:jc w:val="right"/>
              <w:rPr>
                <w:rFonts w:cs="Arial"/>
                <w:sz w:val="21"/>
              </w:rPr>
            </w:pPr>
            <w:r w:rsidRPr="00373DCC">
              <w:rPr>
                <w:rFonts w:cs="Arial"/>
                <w:sz w:val="21"/>
              </w:rPr>
              <w:t>579 (97%)</w:t>
            </w:r>
          </w:p>
        </w:tc>
      </w:tr>
      <w:tr w:rsidR="00F2350B" w:rsidRPr="00373DCC" w14:paraId="088182B8" w14:textId="77777777" w:rsidTr="0069779B">
        <w:trPr>
          <w:trHeight w:val="340"/>
        </w:trPr>
        <w:tc>
          <w:tcPr>
            <w:tcW w:w="2083" w:type="pct"/>
            <w:shd w:val="clear" w:color="auto" w:fill="auto"/>
            <w:vAlign w:val="center"/>
          </w:tcPr>
          <w:p w14:paraId="1FB3F126" w14:textId="77777777" w:rsidR="00F2350B" w:rsidRPr="00373DCC" w:rsidRDefault="00F2350B" w:rsidP="00710B91">
            <w:pPr>
              <w:keepLines/>
              <w:spacing w:line="240" w:lineRule="atLeast"/>
              <w:contextualSpacing/>
              <w:rPr>
                <w:rFonts w:cs="Arial"/>
                <w:sz w:val="21"/>
              </w:rPr>
            </w:pPr>
            <w:r w:rsidRPr="00373DCC">
              <w:rPr>
                <w:rFonts w:cs="Arial"/>
                <w:sz w:val="21"/>
              </w:rPr>
              <w:t>Safety-related request [SRR]</w:t>
            </w:r>
          </w:p>
        </w:tc>
        <w:tc>
          <w:tcPr>
            <w:tcW w:w="727" w:type="pct"/>
            <w:tcBorders>
              <w:bottom w:val="single" w:sz="4" w:space="0" w:color="auto"/>
            </w:tcBorders>
            <w:shd w:val="clear" w:color="auto" w:fill="auto"/>
            <w:vAlign w:val="center"/>
          </w:tcPr>
          <w:p w14:paraId="55370DEE" w14:textId="77777777" w:rsidR="00F2350B" w:rsidRPr="00373DCC" w:rsidRDefault="00F2350B" w:rsidP="00710B91">
            <w:pPr>
              <w:keepLines/>
              <w:spacing w:line="240" w:lineRule="atLeast"/>
              <w:contextualSpacing/>
              <w:jc w:val="right"/>
              <w:rPr>
                <w:rFonts w:cs="Arial"/>
                <w:sz w:val="21"/>
              </w:rPr>
            </w:pPr>
            <w:r w:rsidRPr="00373DCC">
              <w:rPr>
                <w:rFonts w:cs="Arial"/>
                <w:sz w:val="21"/>
              </w:rPr>
              <w:t>934</w:t>
            </w:r>
          </w:p>
        </w:tc>
        <w:tc>
          <w:tcPr>
            <w:tcW w:w="729" w:type="pct"/>
            <w:tcBorders>
              <w:bottom w:val="single" w:sz="4" w:space="0" w:color="auto"/>
            </w:tcBorders>
            <w:shd w:val="clear" w:color="auto" w:fill="auto"/>
            <w:vAlign w:val="center"/>
          </w:tcPr>
          <w:p w14:paraId="3C1E361B" w14:textId="77777777" w:rsidR="00F2350B" w:rsidRPr="00373DCC" w:rsidRDefault="00F2350B" w:rsidP="00710B91">
            <w:pPr>
              <w:keepLines/>
              <w:spacing w:line="240" w:lineRule="atLeast"/>
              <w:contextualSpacing/>
              <w:jc w:val="right"/>
              <w:rPr>
                <w:rFonts w:cs="Arial"/>
                <w:sz w:val="21"/>
              </w:rPr>
            </w:pPr>
            <w:r w:rsidRPr="00373DCC">
              <w:rPr>
                <w:rFonts w:cs="Arial"/>
                <w:sz w:val="21"/>
              </w:rPr>
              <w:t>10</w:t>
            </w:r>
          </w:p>
        </w:tc>
        <w:tc>
          <w:tcPr>
            <w:tcW w:w="729" w:type="pct"/>
            <w:shd w:val="clear" w:color="auto" w:fill="auto"/>
            <w:vAlign w:val="center"/>
          </w:tcPr>
          <w:p w14:paraId="6E0E910F" w14:textId="77777777" w:rsidR="00F2350B" w:rsidRPr="00373DCC" w:rsidRDefault="00F2350B" w:rsidP="00710B91">
            <w:pPr>
              <w:keepLines/>
              <w:spacing w:line="240" w:lineRule="atLeast"/>
              <w:contextualSpacing/>
              <w:jc w:val="right"/>
              <w:rPr>
                <w:rFonts w:cs="Arial"/>
                <w:sz w:val="21"/>
              </w:rPr>
            </w:pPr>
            <w:r w:rsidRPr="00373DCC">
              <w:rPr>
                <w:rFonts w:cs="Arial"/>
                <w:sz w:val="21"/>
              </w:rPr>
              <w:t>0</w:t>
            </w:r>
          </w:p>
        </w:tc>
        <w:tc>
          <w:tcPr>
            <w:tcW w:w="732" w:type="pct"/>
            <w:shd w:val="clear" w:color="auto" w:fill="auto"/>
            <w:vAlign w:val="center"/>
          </w:tcPr>
          <w:p w14:paraId="3FDFD1D4" w14:textId="77777777" w:rsidR="00F2350B" w:rsidRPr="00373DCC" w:rsidRDefault="00F2350B" w:rsidP="00710B91">
            <w:pPr>
              <w:keepLines/>
              <w:spacing w:line="240" w:lineRule="atLeast"/>
              <w:contextualSpacing/>
              <w:jc w:val="right"/>
              <w:rPr>
                <w:rFonts w:cs="Arial"/>
                <w:sz w:val="21"/>
              </w:rPr>
            </w:pPr>
            <w:r w:rsidRPr="00373DCC">
              <w:rPr>
                <w:rFonts w:cs="Arial"/>
                <w:sz w:val="21"/>
              </w:rPr>
              <w:t>944 (99%)</w:t>
            </w:r>
          </w:p>
        </w:tc>
      </w:tr>
      <w:tr w:rsidR="0069779B" w:rsidRPr="00373DCC" w14:paraId="4A4B5E11" w14:textId="77777777" w:rsidTr="0069779B">
        <w:trPr>
          <w:trHeight w:val="340"/>
        </w:trPr>
        <w:tc>
          <w:tcPr>
            <w:tcW w:w="2083" w:type="pct"/>
            <w:shd w:val="clear" w:color="auto" w:fill="C6D4E9"/>
            <w:vAlign w:val="center"/>
          </w:tcPr>
          <w:p w14:paraId="6B807201" w14:textId="77777777" w:rsidR="00F2350B" w:rsidRPr="00373DCC" w:rsidRDefault="00F2350B" w:rsidP="00710B91">
            <w:pPr>
              <w:keepLines/>
              <w:spacing w:line="240" w:lineRule="atLeast"/>
              <w:contextualSpacing/>
              <w:rPr>
                <w:rFonts w:cs="Arial"/>
                <w:sz w:val="21"/>
              </w:rPr>
            </w:pPr>
            <w:r w:rsidRPr="00373DCC">
              <w:rPr>
                <w:rFonts w:cs="Arial"/>
                <w:sz w:val="21"/>
              </w:rPr>
              <w:t>Total</w:t>
            </w:r>
          </w:p>
        </w:tc>
        <w:tc>
          <w:tcPr>
            <w:tcW w:w="727" w:type="pct"/>
            <w:shd w:val="clear" w:color="auto" w:fill="C6D4E9"/>
            <w:vAlign w:val="center"/>
          </w:tcPr>
          <w:p w14:paraId="39A2942A" w14:textId="5DA38BC7" w:rsidR="00F2350B" w:rsidRPr="00373DCC" w:rsidRDefault="00AD6673" w:rsidP="00710B91">
            <w:pPr>
              <w:keepLines/>
              <w:spacing w:line="240" w:lineRule="atLeast"/>
              <w:contextualSpacing/>
              <w:jc w:val="right"/>
              <w:rPr>
                <w:rFonts w:cs="Arial"/>
                <w:sz w:val="21"/>
              </w:rPr>
            </w:pPr>
            <w:r>
              <w:rPr>
                <w:rFonts w:cs="Arial"/>
                <w:sz w:val="21"/>
              </w:rPr>
              <w:t>3859</w:t>
            </w:r>
          </w:p>
        </w:tc>
        <w:tc>
          <w:tcPr>
            <w:tcW w:w="729" w:type="pct"/>
            <w:shd w:val="clear" w:color="auto" w:fill="C6D4E9"/>
            <w:vAlign w:val="center"/>
          </w:tcPr>
          <w:p w14:paraId="2D1AD637" w14:textId="637FD3ED" w:rsidR="00F2350B" w:rsidRPr="00373DCC" w:rsidRDefault="00AD6673" w:rsidP="00710B91">
            <w:pPr>
              <w:keepLines/>
              <w:spacing w:line="240" w:lineRule="atLeast"/>
              <w:contextualSpacing/>
              <w:jc w:val="right"/>
              <w:rPr>
                <w:rFonts w:cs="Arial"/>
                <w:sz w:val="21"/>
              </w:rPr>
            </w:pPr>
            <w:r>
              <w:rPr>
                <w:rFonts w:cs="Arial"/>
                <w:sz w:val="21"/>
              </w:rPr>
              <w:t>106</w:t>
            </w:r>
          </w:p>
        </w:tc>
        <w:tc>
          <w:tcPr>
            <w:tcW w:w="729" w:type="pct"/>
            <w:shd w:val="clear" w:color="auto" w:fill="C6D4E9"/>
            <w:vAlign w:val="center"/>
          </w:tcPr>
          <w:p w14:paraId="7998D657" w14:textId="18299508" w:rsidR="00F2350B" w:rsidRPr="00373DCC" w:rsidRDefault="00AD6673" w:rsidP="00710B91">
            <w:pPr>
              <w:keepLines/>
              <w:spacing w:line="240" w:lineRule="atLeast"/>
              <w:contextualSpacing/>
              <w:jc w:val="right"/>
              <w:rPr>
                <w:rFonts w:cs="Arial"/>
                <w:sz w:val="21"/>
              </w:rPr>
            </w:pPr>
            <w:r>
              <w:rPr>
                <w:rFonts w:cs="Arial"/>
                <w:sz w:val="21"/>
              </w:rPr>
              <w:t>1</w:t>
            </w:r>
          </w:p>
        </w:tc>
        <w:tc>
          <w:tcPr>
            <w:tcW w:w="732" w:type="pct"/>
            <w:shd w:val="clear" w:color="auto" w:fill="C6D4E9"/>
            <w:vAlign w:val="center"/>
          </w:tcPr>
          <w:p w14:paraId="7763CA0D" w14:textId="2AFB404B" w:rsidR="00F2350B" w:rsidRPr="00373DCC" w:rsidRDefault="00AD6673" w:rsidP="00710B91">
            <w:pPr>
              <w:keepLines/>
              <w:spacing w:line="240" w:lineRule="atLeast"/>
              <w:contextualSpacing/>
              <w:jc w:val="right"/>
              <w:rPr>
                <w:rFonts w:cs="Arial"/>
                <w:sz w:val="21"/>
              </w:rPr>
            </w:pPr>
            <w:r>
              <w:rPr>
                <w:rFonts w:cs="Arial"/>
                <w:sz w:val="21"/>
              </w:rPr>
              <w:t>3966</w:t>
            </w:r>
            <w:r w:rsidR="00F2350B" w:rsidRPr="00373DCC">
              <w:rPr>
                <w:rFonts w:cs="Arial"/>
                <w:sz w:val="21"/>
              </w:rPr>
              <w:t xml:space="preserve"> (</w:t>
            </w:r>
            <w:r>
              <w:rPr>
                <w:rFonts w:cs="Arial"/>
                <w:sz w:val="21"/>
              </w:rPr>
              <w:t>97</w:t>
            </w:r>
            <w:r w:rsidR="00F2350B" w:rsidRPr="00373DCC">
              <w:rPr>
                <w:rFonts w:cs="Arial"/>
                <w:sz w:val="21"/>
              </w:rPr>
              <w:t>%)</w:t>
            </w:r>
          </w:p>
        </w:tc>
      </w:tr>
    </w:tbl>
    <w:p w14:paraId="48648A11" w14:textId="77777777" w:rsidR="00F2350B" w:rsidRPr="00373DCC" w:rsidRDefault="00F2350B" w:rsidP="00F2350B">
      <w:pPr>
        <w:tabs>
          <w:tab w:val="left" w:pos="284"/>
        </w:tabs>
        <w:spacing w:after="0" w:line="180" w:lineRule="atLeast"/>
        <w:ind w:left="142" w:hanging="142"/>
        <w:rPr>
          <w:rFonts w:eastAsia="Cambria" w:cs="Arial"/>
          <w:sz w:val="16"/>
          <w:szCs w:val="16"/>
        </w:rPr>
      </w:pPr>
      <w:r w:rsidRPr="00373DCC">
        <w:rPr>
          <w:rFonts w:eastAsia="Cambria" w:cs="Arial"/>
          <w:sz w:val="16"/>
          <w:szCs w:val="16"/>
          <w:vertAlign w:val="superscript"/>
        </w:rPr>
        <w:tab/>
        <w:t>a</w:t>
      </w:r>
      <w:r w:rsidRPr="00373DCC">
        <w:rPr>
          <w:rFonts w:eastAsia="Cambria" w:cs="Arial"/>
          <w:sz w:val="16"/>
          <w:szCs w:val="16"/>
          <w:vertAlign w:val="superscript"/>
        </w:rPr>
        <w:tab/>
      </w:r>
      <w:r w:rsidRPr="00373DCC">
        <w:rPr>
          <w:rFonts w:eastAsia="Cambria" w:cs="Arial"/>
          <w:sz w:val="16"/>
          <w:szCs w:val="16"/>
        </w:rPr>
        <w:t>Includes submissions processed via the priority review.</w:t>
      </w:r>
      <w:r w:rsidRPr="00373DCC">
        <w:rPr>
          <w:rFonts w:eastAsia="Cambria" w:cs="Arial"/>
          <w:sz w:val="16"/>
          <w:szCs w:val="16"/>
        </w:rPr>
        <w:br/>
      </w:r>
      <w:r w:rsidRPr="00373DCC">
        <w:rPr>
          <w:rFonts w:eastAsia="Cambria" w:cs="Arial"/>
          <w:sz w:val="16"/>
          <w:szCs w:val="16"/>
          <w:vertAlign w:val="superscript"/>
        </w:rPr>
        <w:t>b</w:t>
      </w:r>
      <w:r w:rsidRPr="00373DCC">
        <w:rPr>
          <w:rFonts w:eastAsia="Cambria" w:cs="Arial"/>
          <w:sz w:val="16"/>
          <w:szCs w:val="16"/>
          <w:vertAlign w:val="superscript"/>
        </w:rPr>
        <w:tab/>
      </w:r>
      <w:r w:rsidRPr="00373DCC">
        <w:rPr>
          <w:rFonts w:eastAsia="Cambria" w:cs="Arial"/>
          <w:sz w:val="16"/>
          <w:szCs w:val="16"/>
        </w:rPr>
        <w:t xml:space="preserve">The type G minor variations differ from type H minor variations in that they result in a new ARTG entry, which may or may </w:t>
      </w:r>
      <w:r w:rsidRPr="00373DCC">
        <w:rPr>
          <w:rFonts w:eastAsia="Cambria" w:cs="Arial"/>
          <w:sz w:val="16"/>
          <w:szCs w:val="16"/>
        </w:rPr>
        <w:lastRenderedPageBreak/>
        <w:t>not result in a new AUST R number. Type G applications are typically ‘Category 3’ changes unless the supporting scientific package contains non-clinical or clinical data in which case the application is a ‘Category 1’ application.</w:t>
      </w:r>
      <w:r w:rsidRPr="00373DCC">
        <w:rPr>
          <w:rFonts w:eastAsia="Cambria" w:cs="Arial"/>
          <w:sz w:val="16"/>
          <w:szCs w:val="16"/>
        </w:rPr>
        <w:br/>
      </w:r>
      <w:r w:rsidRPr="00373DCC">
        <w:rPr>
          <w:rFonts w:eastAsia="Cambria" w:cs="Arial"/>
          <w:sz w:val="16"/>
          <w:szCs w:val="16"/>
          <w:vertAlign w:val="superscript"/>
        </w:rPr>
        <w:t>c</w:t>
      </w:r>
      <w:r w:rsidRPr="00373DCC">
        <w:rPr>
          <w:rFonts w:eastAsia="Cambria" w:cs="Arial"/>
          <w:sz w:val="16"/>
          <w:szCs w:val="16"/>
          <w:vertAlign w:val="superscript"/>
        </w:rPr>
        <w:tab/>
      </w:r>
      <w:r w:rsidRPr="00373DCC">
        <w:rPr>
          <w:rFonts w:eastAsia="Cambria" w:cs="Arial"/>
          <w:sz w:val="16"/>
          <w:szCs w:val="16"/>
        </w:rPr>
        <w:t>The type H minor variations refer to applications that vary the existing good. As with type G applications, type H applications are typically ‘Category 3’ changes unless the supporting scientific package contains non-clinical or clinical data in which case the application is a ‘Category 1’ application.</w:t>
      </w:r>
    </w:p>
    <w:p w14:paraId="54118A7D" w14:textId="77777777" w:rsidR="00F2350B" w:rsidRPr="00373DCC" w:rsidRDefault="00F2350B" w:rsidP="00F2350B">
      <w:pPr>
        <w:rPr>
          <w:rFonts w:cs="Arial"/>
          <w:sz w:val="21"/>
          <w:szCs w:val="21"/>
        </w:rPr>
      </w:pPr>
      <w:r w:rsidRPr="00373DCC">
        <w:rPr>
          <w:rFonts w:cs="Arial"/>
          <w:sz w:val="21"/>
          <w:szCs w:val="21"/>
        </w:rPr>
        <w:t>In accordance with the legislation, registered medicines must comply with numerous standards at the time they are registered and throughout their lifecycle. Following an appropriate application and review of the scientific data and safety considerations, approval may be sought to supply a product when it does not meet a particular standard.</w:t>
      </w:r>
    </w:p>
    <w:p w14:paraId="3FFAAEDC" w14:textId="77777777" w:rsidR="00F2350B" w:rsidRPr="00373DCC" w:rsidRDefault="00F2350B" w:rsidP="00F2350B">
      <w:pPr>
        <w:rPr>
          <w:rFonts w:cs="Arial"/>
          <w:sz w:val="21"/>
          <w:szCs w:val="21"/>
        </w:rPr>
      </w:pPr>
    </w:p>
    <w:p w14:paraId="0F12F269" w14:textId="77777777" w:rsidR="00F2350B" w:rsidRPr="00373DCC" w:rsidRDefault="00F2350B" w:rsidP="00F2350B">
      <w:pPr>
        <w:keepNext/>
        <w:spacing w:before="240" w:after="120" w:line="240" w:lineRule="auto"/>
        <w:rPr>
          <w:rFonts w:eastAsia="Cambria" w:cs="Arial"/>
          <w:b/>
          <w:bCs/>
          <w:sz w:val="21"/>
          <w:szCs w:val="21"/>
        </w:rPr>
      </w:pPr>
      <w:bookmarkStart w:id="90" w:name="Table2"/>
      <w:r w:rsidRPr="00373DCC">
        <w:rPr>
          <w:rFonts w:eastAsia="Cambria" w:cs="Arial"/>
          <w:b/>
          <w:bCs/>
          <w:sz w:val="21"/>
          <w:szCs w:val="21"/>
        </w:rPr>
        <w:t xml:space="preserve">Table </w:t>
      </w:r>
      <w:r w:rsidRPr="00373DCC">
        <w:rPr>
          <w:rFonts w:eastAsia="Cambria" w:cs="Arial"/>
          <w:b/>
          <w:bCs/>
          <w:sz w:val="21"/>
          <w:szCs w:val="21"/>
        </w:rPr>
        <w:fldChar w:fldCharType="begin"/>
      </w:r>
      <w:r w:rsidRPr="00373DCC">
        <w:rPr>
          <w:rFonts w:eastAsia="Cambria" w:cs="Arial"/>
          <w:b/>
          <w:bCs/>
          <w:sz w:val="21"/>
          <w:szCs w:val="21"/>
        </w:rPr>
        <w:instrText xml:space="preserve"> SEQ Table \* ARABIC </w:instrText>
      </w:r>
      <w:r w:rsidRPr="00373DCC">
        <w:rPr>
          <w:rFonts w:eastAsia="Cambria" w:cs="Arial"/>
          <w:b/>
          <w:bCs/>
          <w:sz w:val="21"/>
          <w:szCs w:val="21"/>
        </w:rPr>
        <w:fldChar w:fldCharType="separate"/>
      </w:r>
      <w:r w:rsidRPr="00373DCC">
        <w:rPr>
          <w:rFonts w:eastAsia="Cambria" w:cs="Arial"/>
          <w:b/>
          <w:bCs/>
          <w:sz w:val="21"/>
          <w:szCs w:val="21"/>
        </w:rPr>
        <w:t>2</w:t>
      </w:r>
      <w:r w:rsidRPr="00373DCC">
        <w:rPr>
          <w:rFonts w:eastAsia="Cambria" w:cs="Arial"/>
          <w:b/>
          <w:bCs/>
          <w:sz w:val="21"/>
          <w:szCs w:val="21"/>
        </w:rPr>
        <w:fldChar w:fldCharType="end"/>
      </w:r>
      <w:r w:rsidRPr="00373DCC">
        <w:rPr>
          <w:rFonts w:eastAsia="Cambria" w:cs="Arial"/>
          <w:b/>
          <w:bCs/>
          <w:sz w:val="21"/>
          <w:szCs w:val="21"/>
        </w:rPr>
        <w:t>: Number of other prescription medicine applications – Consent to supply/import/export when not conforming to a standard (s.14 and s.14A)</w:t>
      </w:r>
    </w:p>
    <w:tbl>
      <w:tblPr>
        <w:tblStyle w:val="TableTGAblue"/>
        <w:tblW w:w="5107"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29"/>
        <w:gridCol w:w="1611"/>
        <w:gridCol w:w="1974"/>
      </w:tblGrid>
      <w:tr w:rsidR="00F2350B" w:rsidRPr="00373DCC" w14:paraId="7B5EDC31" w14:textId="77777777" w:rsidTr="009B6A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55" w:type="pct"/>
            <w:tcBorders>
              <w:top w:val="nil"/>
              <w:left w:val="nil"/>
              <w:bottom w:val="nil"/>
              <w:right w:val="single" w:sz="4" w:space="0" w:color="000000"/>
            </w:tcBorders>
            <w:shd w:val="clear" w:color="auto" w:fill="29527F"/>
            <w:vAlign w:val="center"/>
          </w:tcPr>
          <w:bookmarkEnd w:id="90"/>
          <w:p w14:paraId="0D99B925" w14:textId="3681EA6F" w:rsidR="00F2350B" w:rsidRPr="009B6A61" w:rsidRDefault="009B6A61" w:rsidP="009B6A61">
            <w:pPr>
              <w:rPr>
                <w:rFonts w:cs="Arial"/>
                <w:color w:val="FFFFFF" w:themeColor="background1"/>
                <w:sz w:val="21"/>
              </w:rPr>
            </w:pPr>
            <w:r w:rsidRPr="009B6A61">
              <w:rPr>
                <w:rFonts w:cs="Arial"/>
                <w:color w:val="FFFFFF" w:themeColor="background1"/>
                <w:sz w:val="21"/>
              </w:rPr>
              <w:t>Consent to supply/import/export when not conforming to a standard [S.14 and S.14A]</w:t>
            </w:r>
          </w:p>
        </w:tc>
        <w:tc>
          <w:tcPr>
            <w:tcW w:w="874"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5D60709E" w14:textId="262B67A1" w:rsidR="00F2350B" w:rsidRPr="00373DCC" w:rsidRDefault="009B6A61" w:rsidP="009B6A61">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r>
              <w:rPr>
                <w:rFonts w:eastAsiaTheme="minorHAnsi" w:cs="Arial"/>
                <w:color w:val="FFFFFF" w:themeColor="background1"/>
                <w:sz w:val="21"/>
              </w:rPr>
              <w:t xml:space="preserve"> Number </w:t>
            </w:r>
            <w:r>
              <w:rPr>
                <w:rFonts w:eastAsiaTheme="minorHAnsi" w:cs="Arial"/>
                <w:color w:val="FFFFFF" w:themeColor="background1"/>
                <w:sz w:val="21"/>
              </w:rPr>
              <w:br/>
            </w:r>
            <w:r w:rsidRPr="00F07150">
              <w:rPr>
                <w:rFonts w:eastAsiaTheme="minorHAnsi" w:cs="Arial"/>
                <w:color w:val="FFFFFF" w:themeColor="background1"/>
                <w:sz w:val="21"/>
              </w:rPr>
              <w:t>(% of total)</w:t>
            </w:r>
          </w:p>
        </w:tc>
        <w:tc>
          <w:tcPr>
            <w:tcW w:w="1071"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57CD55BB" w14:textId="4B8A7553" w:rsidR="00F2350B" w:rsidRPr="00373DCC" w:rsidRDefault="009B6A61" w:rsidP="009B6A61">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r>
              <w:rPr>
                <w:rFonts w:eastAsiaTheme="minorHAnsi" w:cs="Arial"/>
                <w:color w:val="FFFFFF" w:themeColor="background1"/>
                <w:sz w:val="21"/>
              </w:rPr>
              <w:t xml:space="preserve"> Number </w:t>
            </w:r>
            <w:r>
              <w:rPr>
                <w:rFonts w:eastAsiaTheme="minorHAnsi" w:cs="Arial"/>
                <w:color w:val="FFFFFF" w:themeColor="background1"/>
                <w:sz w:val="21"/>
              </w:rPr>
              <w:br/>
            </w:r>
            <w:r w:rsidRPr="00F07150">
              <w:rPr>
                <w:rFonts w:eastAsiaTheme="minorHAnsi" w:cs="Arial"/>
                <w:color w:val="FFFFFF" w:themeColor="background1"/>
                <w:sz w:val="21"/>
              </w:rPr>
              <w:t>(% of total)</w:t>
            </w:r>
          </w:p>
        </w:tc>
      </w:tr>
      <w:tr w:rsidR="00F2350B" w:rsidRPr="00373DCC" w14:paraId="3E219FF7"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3055" w:type="pct"/>
            <w:tcBorders>
              <w:top w:val="single" w:sz="4" w:space="0" w:color="auto"/>
              <w:left w:val="single" w:sz="4" w:space="0" w:color="auto"/>
              <w:bottom w:val="single" w:sz="4" w:space="0" w:color="auto"/>
              <w:right w:val="single" w:sz="4" w:space="0" w:color="auto"/>
            </w:tcBorders>
            <w:vAlign w:val="center"/>
          </w:tcPr>
          <w:p w14:paraId="75490E8C" w14:textId="77777777" w:rsidR="00F2350B" w:rsidRPr="00373DCC" w:rsidRDefault="00F2350B" w:rsidP="00710B91">
            <w:pPr>
              <w:keepLines/>
              <w:widowControl w:val="0"/>
              <w:spacing w:before="0" w:after="0" w:line="240" w:lineRule="atLeast"/>
              <w:contextualSpacing/>
              <w:rPr>
                <w:rFonts w:cs="Arial"/>
                <w:sz w:val="21"/>
              </w:rPr>
            </w:pPr>
            <w:r w:rsidRPr="00373DCC">
              <w:rPr>
                <w:rFonts w:cs="Arial"/>
                <w:sz w:val="21"/>
              </w:rPr>
              <w:t>Approved</w:t>
            </w:r>
          </w:p>
        </w:tc>
        <w:tc>
          <w:tcPr>
            <w:tcW w:w="874" w:type="pct"/>
            <w:tcBorders>
              <w:top w:val="single" w:sz="4" w:space="0" w:color="auto"/>
              <w:left w:val="single" w:sz="4" w:space="0" w:color="auto"/>
              <w:bottom w:val="single" w:sz="4" w:space="0" w:color="auto"/>
              <w:right w:val="single" w:sz="4" w:space="0" w:color="auto"/>
            </w:tcBorders>
            <w:vAlign w:val="center"/>
          </w:tcPr>
          <w:p w14:paraId="0EC01569" w14:textId="77777777" w:rsidR="00F2350B" w:rsidRPr="00373DCC" w:rsidRDefault="00F2350B" w:rsidP="00710B91">
            <w:pPr>
              <w:keepLines/>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94 (99%)</w:t>
            </w:r>
          </w:p>
        </w:tc>
        <w:tc>
          <w:tcPr>
            <w:tcW w:w="1071" w:type="pct"/>
            <w:tcBorders>
              <w:top w:val="single" w:sz="4" w:space="0" w:color="auto"/>
              <w:left w:val="single" w:sz="4" w:space="0" w:color="auto"/>
              <w:bottom w:val="single" w:sz="4" w:space="0" w:color="auto"/>
              <w:right w:val="single" w:sz="4" w:space="0" w:color="auto"/>
            </w:tcBorders>
            <w:vAlign w:val="center"/>
          </w:tcPr>
          <w:p w14:paraId="7A021D0E" w14:textId="77777777" w:rsidR="00F2350B" w:rsidRPr="00373DCC" w:rsidRDefault="00F2350B" w:rsidP="00710B91">
            <w:pPr>
              <w:keepLines/>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72 (100%)</w:t>
            </w:r>
          </w:p>
        </w:tc>
      </w:tr>
      <w:tr w:rsidR="00F2350B" w:rsidRPr="00373DCC" w14:paraId="72DB7EAC"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3055" w:type="pct"/>
            <w:tcBorders>
              <w:top w:val="single" w:sz="4" w:space="0" w:color="auto"/>
              <w:left w:val="single" w:sz="4" w:space="0" w:color="auto"/>
              <w:bottom w:val="single" w:sz="4" w:space="0" w:color="auto"/>
              <w:right w:val="single" w:sz="4" w:space="0" w:color="auto"/>
            </w:tcBorders>
            <w:vAlign w:val="center"/>
          </w:tcPr>
          <w:p w14:paraId="2B02A691" w14:textId="77777777" w:rsidR="00F2350B" w:rsidRPr="00373DCC" w:rsidRDefault="00F2350B" w:rsidP="00710B91">
            <w:pPr>
              <w:keepLines/>
              <w:widowControl w:val="0"/>
              <w:spacing w:before="0" w:after="0" w:line="240" w:lineRule="atLeast"/>
              <w:contextualSpacing/>
              <w:rPr>
                <w:rFonts w:cs="Arial"/>
                <w:sz w:val="21"/>
              </w:rPr>
            </w:pPr>
            <w:r w:rsidRPr="00373DCC">
              <w:rPr>
                <w:rFonts w:cs="Arial"/>
                <w:sz w:val="21"/>
              </w:rPr>
              <w:t>Rejected</w:t>
            </w:r>
          </w:p>
        </w:tc>
        <w:tc>
          <w:tcPr>
            <w:tcW w:w="874" w:type="pct"/>
            <w:tcBorders>
              <w:top w:val="single" w:sz="4" w:space="0" w:color="auto"/>
              <w:left w:val="single" w:sz="4" w:space="0" w:color="auto"/>
              <w:bottom w:val="single" w:sz="4" w:space="0" w:color="auto"/>
              <w:right w:val="single" w:sz="4" w:space="0" w:color="auto"/>
            </w:tcBorders>
            <w:vAlign w:val="center"/>
          </w:tcPr>
          <w:p w14:paraId="1FBCC85E" w14:textId="77777777" w:rsidR="00F2350B" w:rsidRPr="00373DCC" w:rsidRDefault="00F2350B" w:rsidP="00710B91">
            <w:pPr>
              <w:keepLines/>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w:t>
            </w:r>
          </w:p>
        </w:tc>
        <w:tc>
          <w:tcPr>
            <w:tcW w:w="1071" w:type="pct"/>
            <w:tcBorders>
              <w:top w:val="single" w:sz="4" w:space="0" w:color="auto"/>
              <w:left w:val="single" w:sz="4" w:space="0" w:color="auto"/>
              <w:bottom w:val="single" w:sz="4" w:space="0" w:color="auto"/>
              <w:right w:val="single" w:sz="4" w:space="0" w:color="auto"/>
            </w:tcBorders>
            <w:vAlign w:val="center"/>
          </w:tcPr>
          <w:p w14:paraId="285F80C3" w14:textId="77777777" w:rsidR="00F2350B" w:rsidRPr="00373DCC" w:rsidRDefault="00F2350B" w:rsidP="00710B91">
            <w:pPr>
              <w:keepLines/>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EE0DB46"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3055" w:type="pct"/>
            <w:tcBorders>
              <w:right w:val="single" w:sz="4" w:space="0" w:color="auto"/>
            </w:tcBorders>
            <w:shd w:val="clear" w:color="auto" w:fill="C6D4E9"/>
            <w:vAlign w:val="center"/>
          </w:tcPr>
          <w:p w14:paraId="69977169" w14:textId="77777777" w:rsidR="00F2350B" w:rsidRPr="00373DCC" w:rsidRDefault="00F2350B" w:rsidP="00710B91">
            <w:pPr>
              <w:keepLines/>
              <w:widowControl w:val="0"/>
              <w:tabs>
                <w:tab w:val="left" w:pos="4905"/>
              </w:tabs>
              <w:spacing w:before="0" w:after="0" w:line="240" w:lineRule="atLeast"/>
              <w:contextualSpacing/>
              <w:rPr>
                <w:rFonts w:cs="Arial"/>
                <w:sz w:val="21"/>
              </w:rPr>
            </w:pPr>
            <w:r w:rsidRPr="00373DCC">
              <w:rPr>
                <w:rFonts w:cs="Arial"/>
                <w:sz w:val="21"/>
              </w:rPr>
              <w:t>Total (excluding withdrawals)</w:t>
            </w:r>
            <w:r w:rsidRPr="00373DCC">
              <w:rPr>
                <w:rFonts w:cs="Arial"/>
                <w:sz w:val="21"/>
              </w:rPr>
              <w:tab/>
            </w:r>
          </w:p>
        </w:tc>
        <w:tc>
          <w:tcPr>
            <w:tcW w:w="874" w:type="pct"/>
            <w:shd w:val="clear" w:color="auto" w:fill="C6D4E9"/>
            <w:vAlign w:val="center"/>
          </w:tcPr>
          <w:p w14:paraId="71E6BCC2" w14:textId="77777777" w:rsidR="00F2350B" w:rsidRPr="00373DCC" w:rsidRDefault="00F2350B" w:rsidP="00710B91">
            <w:pPr>
              <w:keepLines/>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95 (100%)</w:t>
            </w:r>
          </w:p>
        </w:tc>
        <w:tc>
          <w:tcPr>
            <w:tcW w:w="1071" w:type="pct"/>
            <w:shd w:val="clear" w:color="auto" w:fill="C6D4E9"/>
            <w:vAlign w:val="center"/>
          </w:tcPr>
          <w:p w14:paraId="3BE442BB" w14:textId="77777777" w:rsidR="00F2350B" w:rsidRPr="00373DCC" w:rsidRDefault="00F2350B" w:rsidP="00ED1A1F">
            <w:pPr>
              <w:pStyle w:val="ListParagraph"/>
              <w:numPr>
                <w:ilvl w:val="1"/>
                <w:numId w:val="20"/>
              </w:numPr>
              <w:spacing w:before="0" w:after="0"/>
              <w:cnfStyle w:val="000000000000" w:firstRow="0" w:lastRow="0" w:firstColumn="0" w:lastColumn="0" w:oddVBand="0" w:evenVBand="0" w:oddHBand="0" w:evenHBand="0" w:firstRowFirstColumn="0" w:firstRowLastColumn="0" w:lastRowFirstColumn="0" w:lastRowLastColumn="0"/>
              <w:rPr>
                <w:sz w:val="21"/>
                <w:szCs w:val="21"/>
              </w:rPr>
            </w:pPr>
            <w:r w:rsidRPr="00373DCC">
              <w:rPr>
                <w:sz w:val="21"/>
                <w:szCs w:val="21"/>
              </w:rPr>
              <w:t>(100%)</w:t>
            </w:r>
          </w:p>
        </w:tc>
      </w:tr>
    </w:tbl>
    <w:p w14:paraId="5348D004" w14:textId="77777777" w:rsidR="00F2350B" w:rsidRPr="00373DCC" w:rsidRDefault="00F2350B" w:rsidP="00F2350B">
      <w:pPr>
        <w:pStyle w:val="NoSpacing"/>
        <w:rPr>
          <w:rFonts w:ascii="Arial" w:hAnsi="Arial" w:cs="Arial"/>
          <w:sz w:val="22"/>
          <w:szCs w:val="22"/>
        </w:rPr>
      </w:pPr>
    </w:p>
    <w:p w14:paraId="2B60FD26" w14:textId="77777777" w:rsidR="00F2350B" w:rsidRPr="00373DCC" w:rsidRDefault="00F2350B" w:rsidP="00F2350B">
      <w:pPr>
        <w:rPr>
          <w:rFonts w:cs="Arial"/>
          <w:szCs w:val="22"/>
        </w:rPr>
      </w:pPr>
      <w:r w:rsidRPr="00373DCC">
        <w:rPr>
          <w:rFonts w:cs="Arial"/>
          <w:szCs w:val="22"/>
        </w:rPr>
        <w:br w:type="page"/>
      </w:r>
    </w:p>
    <w:p w14:paraId="42DC7086" w14:textId="77777777" w:rsidR="00F2350B" w:rsidRPr="00373DCC" w:rsidRDefault="00F2350B" w:rsidP="00ED1A1F">
      <w:pPr>
        <w:pStyle w:val="Heading3-numbered"/>
        <w:numPr>
          <w:ilvl w:val="1"/>
          <w:numId w:val="21"/>
        </w:numPr>
        <w:rPr>
          <w:rFonts w:ascii="Arial" w:hAnsi="Arial" w:cs="Arial"/>
        </w:rPr>
      </w:pPr>
      <w:r w:rsidRPr="00373DCC">
        <w:rPr>
          <w:rFonts w:ascii="Arial" w:hAnsi="Arial" w:cs="Arial"/>
        </w:rPr>
        <w:lastRenderedPageBreak/>
        <w:t xml:space="preserve"> </w:t>
      </w:r>
      <w:bookmarkStart w:id="91" w:name="_Toc153550448"/>
      <w:r w:rsidRPr="00373DCC">
        <w:rPr>
          <w:rFonts w:ascii="Arial" w:hAnsi="Arial" w:cs="Arial"/>
        </w:rPr>
        <w:t>Approval times</w:t>
      </w:r>
      <w:bookmarkEnd w:id="91"/>
    </w:p>
    <w:p w14:paraId="1DD596BB" w14:textId="77777777" w:rsidR="00F2350B" w:rsidRPr="00373DCC" w:rsidRDefault="00F2350B" w:rsidP="00F2350B">
      <w:pPr>
        <w:keepNext/>
        <w:spacing w:before="240" w:after="120" w:line="240" w:lineRule="auto"/>
        <w:rPr>
          <w:rFonts w:eastAsia="Cambria" w:cs="Arial"/>
          <w:b/>
          <w:bCs/>
          <w:sz w:val="21"/>
          <w:szCs w:val="21"/>
        </w:rPr>
      </w:pPr>
      <w:bookmarkStart w:id="92" w:name="Table3"/>
      <w:r w:rsidRPr="00373DCC">
        <w:rPr>
          <w:rFonts w:eastAsia="Cambria" w:cs="Arial"/>
          <w:b/>
          <w:bCs/>
          <w:sz w:val="21"/>
          <w:szCs w:val="21"/>
        </w:rPr>
        <w:t xml:space="preserve">Table </w:t>
      </w:r>
      <w:r w:rsidRPr="00373DCC">
        <w:rPr>
          <w:rFonts w:eastAsia="Cambria" w:cs="Arial"/>
          <w:b/>
          <w:bCs/>
          <w:sz w:val="21"/>
          <w:szCs w:val="21"/>
        </w:rPr>
        <w:fldChar w:fldCharType="begin"/>
      </w:r>
      <w:r w:rsidRPr="00373DCC">
        <w:rPr>
          <w:rFonts w:eastAsia="Cambria" w:cs="Arial"/>
          <w:b/>
          <w:bCs/>
          <w:sz w:val="21"/>
          <w:szCs w:val="21"/>
        </w:rPr>
        <w:instrText>SEQ Table \* ARABIC</w:instrText>
      </w:r>
      <w:r w:rsidRPr="00373DCC">
        <w:rPr>
          <w:rFonts w:eastAsia="Cambria" w:cs="Arial"/>
          <w:b/>
          <w:bCs/>
          <w:sz w:val="21"/>
          <w:szCs w:val="21"/>
        </w:rPr>
        <w:fldChar w:fldCharType="separate"/>
      </w:r>
      <w:r w:rsidRPr="00373DCC">
        <w:rPr>
          <w:rFonts w:eastAsia="Cambria" w:cs="Arial"/>
          <w:b/>
          <w:bCs/>
          <w:sz w:val="21"/>
          <w:szCs w:val="21"/>
        </w:rPr>
        <w:t>3</w:t>
      </w:r>
      <w:r w:rsidRPr="00373DCC">
        <w:rPr>
          <w:rFonts w:eastAsia="Cambria" w:cs="Arial"/>
          <w:b/>
          <w:bCs/>
          <w:sz w:val="21"/>
          <w:szCs w:val="21"/>
        </w:rPr>
        <w:fldChar w:fldCharType="end"/>
      </w:r>
      <w:r w:rsidRPr="00373DCC">
        <w:rPr>
          <w:rFonts w:eastAsia="Cambria" w:cs="Arial"/>
          <w:b/>
          <w:bCs/>
          <w:sz w:val="21"/>
          <w:szCs w:val="21"/>
        </w:rPr>
        <w:t>: Prescription medicine application approval time for July 2022 to June 2023</w:t>
      </w:r>
      <w:bookmarkEnd w:id="92"/>
    </w:p>
    <w:tbl>
      <w:tblPr>
        <w:tblW w:w="9580" w:type="dxa"/>
        <w:tblLook w:val="04A0" w:firstRow="1" w:lastRow="0" w:firstColumn="1" w:lastColumn="0" w:noHBand="0" w:noVBand="1"/>
      </w:tblPr>
      <w:tblGrid>
        <w:gridCol w:w="2835"/>
        <w:gridCol w:w="1560"/>
        <w:gridCol w:w="1417"/>
        <w:gridCol w:w="1134"/>
        <w:gridCol w:w="1276"/>
        <w:gridCol w:w="1358"/>
      </w:tblGrid>
      <w:tr w:rsidR="00F2350B" w:rsidRPr="00373DCC" w14:paraId="7D26832B" w14:textId="77777777" w:rsidTr="009B6A61">
        <w:trPr>
          <w:trHeight w:val="644"/>
        </w:trPr>
        <w:tc>
          <w:tcPr>
            <w:tcW w:w="2835" w:type="dxa"/>
            <w:tcBorders>
              <w:top w:val="nil"/>
              <w:left w:val="nil"/>
              <w:bottom w:val="nil"/>
              <w:right w:val="nil"/>
            </w:tcBorders>
            <w:shd w:val="clear" w:color="auto" w:fill="FFFFFF" w:themeFill="background1"/>
            <w:vAlign w:val="center"/>
            <w:hideMark/>
          </w:tcPr>
          <w:p w14:paraId="26043371" w14:textId="77777777" w:rsidR="00F2350B" w:rsidRPr="00373DCC" w:rsidRDefault="00F2350B" w:rsidP="00710B91">
            <w:pPr>
              <w:spacing w:before="0" w:after="0" w:line="240" w:lineRule="auto"/>
              <w:ind w:firstLineChars="400" w:firstLine="843"/>
              <w:rPr>
                <w:rFonts w:eastAsia="Times New Roman" w:cs="Arial"/>
                <w:b/>
                <w:bCs/>
                <w:color w:val="FFFFFF"/>
                <w:sz w:val="21"/>
                <w:szCs w:val="21"/>
                <w:lang w:eastAsia="en-AU"/>
              </w:rPr>
            </w:pPr>
            <w:r w:rsidRPr="00373DCC">
              <w:rPr>
                <w:rFonts w:eastAsia="Times New Roman" w:cs="Arial"/>
                <w:b/>
                <w:bCs/>
                <w:color w:val="FFFFFF"/>
                <w:sz w:val="21"/>
                <w:szCs w:val="21"/>
                <w:lang w:eastAsia="en-AU"/>
              </w:rPr>
              <w:t>hac</w:t>
            </w:r>
          </w:p>
        </w:tc>
        <w:tc>
          <w:tcPr>
            <w:tcW w:w="1560" w:type="dxa"/>
            <w:tcBorders>
              <w:top w:val="nil"/>
              <w:left w:val="nil"/>
              <w:bottom w:val="nil"/>
              <w:right w:val="nil"/>
            </w:tcBorders>
            <w:shd w:val="clear" w:color="auto" w:fill="FFFFFF" w:themeFill="background1"/>
            <w:vAlign w:val="center"/>
            <w:hideMark/>
          </w:tcPr>
          <w:p w14:paraId="0A362FAD" w14:textId="77777777" w:rsidR="00F2350B" w:rsidRPr="00373DCC" w:rsidRDefault="00F2350B" w:rsidP="00710B91">
            <w:pPr>
              <w:spacing w:before="0" w:after="0" w:line="240" w:lineRule="auto"/>
              <w:ind w:firstLineChars="400" w:firstLine="843"/>
              <w:rPr>
                <w:rFonts w:eastAsia="Times New Roman" w:cs="Arial"/>
                <w:b/>
                <w:bCs/>
                <w:color w:val="FFFFFF"/>
                <w:sz w:val="21"/>
                <w:szCs w:val="21"/>
                <w:lang w:eastAsia="en-AU"/>
              </w:rPr>
            </w:pPr>
            <w:r w:rsidRPr="00373DCC">
              <w:rPr>
                <w:rFonts w:eastAsia="Times New Roman" w:cs="Arial"/>
                <w:b/>
                <w:bCs/>
                <w:color w:val="FFFFFF"/>
                <w:sz w:val="21"/>
                <w:szCs w:val="21"/>
                <w:lang w:eastAsia="en-AU"/>
              </w:rPr>
              <w:t> </w:t>
            </w:r>
          </w:p>
        </w:tc>
        <w:tc>
          <w:tcPr>
            <w:tcW w:w="1417" w:type="dxa"/>
            <w:tcBorders>
              <w:top w:val="nil"/>
              <w:left w:val="nil"/>
              <w:bottom w:val="nil"/>
              <w:right w:val="nil"/>
            </w:tcBorders>
            <w:shd w:val="clear" w:color="auto" w:fill="FFFFFF" w:themeFill="background1"/>
            <w:vAlign w:val="center"/>
            <w:hideMark/>
          </w:tcPr>
          <w:p w14:paraId="5BCFA71C" w14:textId="77777777" w:rsidR="00F2350B" w:rsidRPr="00373DCC" w:rsidRDefault="00F2350B" w:rsidP="00710B91">
            <w:pPr>
              <w:spacing w:before="0" w:after="0" w:line="240" w:lineRule="auto"/>
              <w:ind w:firstLineChars="400" w:firstLine="843"/>
              <w:rPr>
                <w:rFonts w:eastAsia="Times New Roman" w:cs="Arial"/>
                <w:b/>
                <w:bCs/>
                <w:color w:val="FFFFFF"/>
                <w:sz w:val="21"/>
                <w:szCs w:val="21"/>
                <w:lang w:eastAsia="en-AU"/>
              </w:rPr>
            </w:pPr>
            <w:r w:rsidRPr="00373DCC">
              <w:rPr>
                <w:rFonts w:eastAsia="Times New Roman" w:cs="Arial"/>
                <w:b/>
                <w:bCs/>
                <w:color w:val="FFFFFF"/>
                <w:sz w:val="21"/>
                <w:szCs w:val="21"/>
                <w:lang w:eastAsia="en-AU"/>
              </w:rPr>
              <w:t> </w:t>
            </w:r>
          </w:p>
        </w:tc>
        <w:tc>
          <w:tcPr>
            <w:tcW w:w="1134" w:type="dxa"/>
            <w:tcBorders>
              <w:top w:val="nil"/>
              <w:left w:val="nil"/>
              <w:bottom w:val="nil"/>
              <w:right w:val="nil"/>
            </w:tcBorders>
            <w:shd w:val="clear" w:color="auto" w:fill="FFFFFF" w:themeFill="background1"/>
            <w:vAlign w:val="center"/>
            <w:hideMark/>
          </w:tcPr>
          <w:p w14:paraId="484ABDE7" w14:textId="77777777" w:rsidR="00F2350B" w:rsidRPr="00373DCC" w:rsidRDefault="00F2350B" w:rsidP="00710B91">
            <w:pPr>
              <w:spacing w:before="0" w:after="0" w:line="240" w:lineRule="auto"/>
              <w:ind w:firstLineChars="400" w:firstLine="843"/>
              <w:rPr>
                <w:rFonts w:eastAsia="Times New Roman" w:cs="Arial"/>
                <w:b/>
                <w:bCs/>
                <w:color w:val="FFFFFF"/>
                <w:sz w:val="21"/>
                <w:szCs w:val="21"/>
                <w:lang w:eastAsia="en-AU"/>
              </w:rPr>
            </w:pPr>
            <w:r w:rsidRPr="00373DCC">
              <w:rPr>
                <w:rFonts w:eastAsia="Times New Roman" w:cs="Arial"/>
                <w:b/>
                <w:bCs/>
                <w:color w:val="FFFFFF"/>
                <w:sz w:val="21"/>
                <w:szCs w:val="21"/>
                <w:lang w:eastAsia="en-AU"/>
              </w:rPr>
              <w:t> </w:t>
            </w:r>
          </w:p>
        </w:tc>
        <w:tc>
          <w:tcPr>
            <w:tcW w:w="2634" w:type="dxa"/>
            <w:gridSpan w:val="2"/>
            <w:tcBorders>
              <w:top w:val="single" w:sz="8" w:space="0" w:color="auto"/>
              <w:left w:val="nil"/>
              <w:bottom w:val="single" w:sz="4" w:space="0" w:color="auto"/>
              <w:right w:val="single" w:sz="8" w:space="0" w:color="000000"/>
            </w:tcBorders>
            <w:shd w:val="clear" w:color="auto" w:fill="29527F"/>
            <w:vAlign w:val="center"/>
            <w:hideMark/>
          </w:tcPr>
          <w:p w14:paraId="766433DC"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Approval time (TGA working days)</w:t>
            </w:r>
          </w:p>
        </w:tc>
      </w:tr>
      <w:tr w:rsidR="00F2350B" w:rsidRPr="00373DCC" w14:paraId="481CF7F0" w14:textId="77777777" w:rsidTr="009B6A61">
        <w:trPr>
          <w:trHeight w:val="717"/>
        </w:trPr>
        <w:tc>
          <w:tcPr>
            <w:tcW w:w="2835" w:type="dxa"/>
            <w:tcBorders>
              <w:top w:val="nil"/>
              <w:left w:val="single" w:sz="8" w:space="0" w:color="auto"/>
              <w:bottom w:val="single" w:sz="4" w:space="0" w:color="auto"/>
              <w:right w:val="single" w:sz="4" w:space="0" w:color="auto"/>
            </w:tcBorders>
            <w:shd w:val="clear" w:color="auto" w:fill="29527F"/>
            <w:vAlign w:val="center"/>
            <w:hideMark/>
          </w:tcPr>
          <w:p w14:paraId="4982F963"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Application type</w:t>
            </w:r>
          </w:p>
        </w:tc>
        <w:tc>
          <w:tcPr>
            <w:tcW w:w="1560" w:type="dxa"/>
            <w:tcBorders>
              <w:top w:val="nil"/>
              <w:left w:val="nil"/>
              <w:bottom w:val="single" w:sz="4" w:space="0" w:color="auto"/>
              <w:right w:val="single" w:sz="4" w:space="0" w:color="auto"/>
            </w:tcBorders>
            <w:shd w:val="clear" w:color="auto" w:fill="29527F"/>
            <w:vAlign w:val="center"/>
            <w:hideMark/>
          </w:tcPr>
          <w:p w14:paraId="40A6330A"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Submissions Approved</w:t>
            </w:r>
          </w:p>
        </w:tc>
        <w:tc>
          <w:tcPr>
            <w:tcW w:w="1417" w:type="dxa"/>
            <w:tcBorders>
              <w:top w:val="nil"/>
              <w:left w:val="nil"/>
              <w:bottom w:val="single" w:sz="4" w:space="0" w:color="auto"/>
              <w:right w:val="single" w:sz="4" w:space="0" w:color="auto"/>
            </w:tcBorders>
            <w:shd w:val="clear" w:color="auto" w:fill="29527F"/>
            <w:vAlign w:val="center"/>
            <w:hideMark/>
          </w:tcPr>
          <w:p w14:paraId="4300EBF0"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Legislated timeframe</w:t>
            </w:r>
          </w:p>
        </w:tc>
        <w:tc>
          <w:tcPr>
            <w:tcW w:w="1134" w:type="dxa"/>
            <w:tcBorders>
              <w:top w:val="nil"/>
              <w:left w:val="nil"/>
              <w:bottom w:val="single" w:sz="4" w:space="0" w:color="auto"/>
              <w:right w:val="single" w:sz="4" w:space="0" w:color="auto"/>
            </w:tcBorders>
            <w:shd w:val="clear" w:color="auto" w:fill="29527F"/>
            <w:vAlign w:val="center"/>
            <w:hideMark/>
          </w:tcPr>
          <w:p w14:paraId="15681FD8"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Mean</w:t>
            </w:r>
          </w:p>
        </w:tc>
        <w:tc>
          <w:tcPr>
            <w:tcW w:w="1276" w:type="dxa"/>
            <w:tcBorders>
              <w:top w:val="nil"/>
              <w:left w:val="nil"/>
              <w:bottom w:val="single" w:sz="4" w:space="0" w:color="auto"/>
              <w:right w:val="single" w:sz="4" w:space="0" w:color="auto"/>
            </w:tcBorders>
            <w:shd w:val="clear" w:color="auto" w:fill="29527F"/>
            <w:vAlign w:val="center"/>
            <w:hideMark/>
          </w:tcPr>
          <w:p w14:paraId="569A6A26"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Median</w:t>
            </w:r>
          </w:p>
        </w:tc>
        <w:tc>
          <w:tcPr>
            <w:tcW w:w="1358" w:type="dxa"/>
            <w:tcBorders>
              <w:top w:val="nil"/>
              <w:left w:val="nil"/>
              <w:bottom w:val="single" w:sz="4" w:space="0" w:color="auto"/>
              <w:right w:val="single" w:sz="8" w:space="0" w:color="auto"/>
            </w:tcBorders>
            <w:shd w:val="clear" w:color="auto" w:fill="29527F"/>
            <w:vAlign w:val="center"/>
            <w:hideMark/>
          </w:tcPr>
          <w:p w14:paraId="7CE714FC" w14:textId="77777777" w:rsidR="00F2350B" w:rsidRPr="00373DCC" w:rsidRDefault="00F2350B" w:rsidP="00710B91">
            <w:pPr>
              <w:spacing w:before="0" w:after="0" w:line="240" w:lineRule="auto"/>
              <w:jc w:val="center"/>
              <w:rPr>
                <w:rFonts w:eastAsia="Times New Roman" w:cs="Arial"/>
                <w:b/>
                <w:bCs/>
                <w:color w:val="FFFFFF"/>
                <w:sz w:val="21"/>
                <w:szCs w:val="21"/>
                <w:lang w:eastAsia="en-AU"/>
              </w:rPr>
            </w:pPr>
            <w:r w:rsidRPr="00373DCC">
              <w:rPr>
                <w:rFonts w:eastAsia="Times New Roman" w:cs="Arial"/>
                <w:b/>
                <w:bCs/>
                <w:color w:val="FFFFFF"/>
                <w:sz w:val="21"/>
                <w:szCs w:val="21"/>
                <w:lang w:eastAsia="en-AU"/>
              </w:rPr>
              <w:t>Range</w:t>
            </w:r>
          </w:p>
        </w:tc>
      </w:tr>
      <w:tr w:rsidR="00F2350B" w:rsidRPr="00373DCC" w14:paraId="078F1BB3" w14:textId="77777777" w:rsidTr="009B6A61">
        <w:trPr>
          <w:trHeight w:val="340"/>
        </w:trPr>
        <w:tc>
          <w:tcPr>
            <w:tcW w:w="9580" w:type="dxa"/>
            <w:gridSpan w:val="6"/>
            <w:tcBorders>
              <w:top w:val="single" w:sz="4" w:space="0" w:color="auto"/>
              <w:left w:val="single" w:sz="8" w:space="0" w:color="auto"/>
              <w:bottom w:val="single" w:sz="4" w:space="0" w:color="auto"/>
              <w:right w:val="single" w:sz="8" w:space="0" w:color="000000"/>
            </w:tcBorders>
            <w:shd w:val="clear" w:color="auto" w:fill="C6D4E9"/>
            <w:vAlign w:val="center"/>
            <w:hideMark/>
          </w:tcPr>
          <w:p w14:paraId="1A609DB6"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Category 1</w:t>
            </w:r>
          </w:p>
        </w:tc>
      </w:tr>
      <w:tr w:rsidR="00F2350B" w:rsidRPr="00373DCC" w14:paraId="77FB951C"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8264792"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A: New chemical entity/New biological entity/Biosimilar</w:t>
            </w:r>
            <w:r w:rsidRPr="00373DCC">
              <w:rPr>
                <w:rFonts w:eastAsia="Times New Roman" w:cs="Arial"/>
                <w:color w:val="000000"/>
                <w:sz w:val="21"/>
                <w:szCs w:val="21"/>
                <w:vertAlign w:val="superscript"/>
                <w:lang w:eastAsia="en-AU"/>
              </w:rPr>
              <w:t xml:space="preserve"> 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945F9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34</w:t>
            </w:r>
          </w:p>
        </w:tc>
        <w:tc>
          <w:tcPr>
            <w:tcW w:w="1417" w:type="dxa"/>
            <w:tcBorders>
              <w:top w:val="nil"/>
              <w:left w:val="nil"/>
              <w:bottom w:val="single" w:sz="4" w:space="0" w:color="auto"/>
              <w:right w:val="single" w:sz="4" w:space="0" w:color="auto"/>
            </w:tcBorders>
            <w:shd w:val="clear" w:color="auto" w:fill="auto"/>
            <w:vAlign w:val="center"/>
            <w:hideMark/>
          </w:tcPr>
          <w:p w14:paraId="4A23FC7F"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A6967"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187</w:t>
            </w:r>
          </w:p>
        </w:tc>
        <w:tc>
          <w:tcPr>
            <w:tcW w:w="1276" w:type="dxa"/>
            <w:tcBorders>
              <w:top w:val="nil"/>
              <w:left w:val="nil"/>
              <w:bottom w:val="single" w:sz="4" w:space="0" w:color="auto"/>
              <w:right w:val="single" w:sz="4" w:space="0" w:color="auto"/>
            </w:tcBorders>
            <w:shd w:val="clear" w:color="auto" w:fill="auto"/>
            <w:vAlign w:val="center"/>
            <w:hideMark/>
          </w:tcPr>
          <w:p w14:paraId="7BCA8961"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201</w:t>
            </w:r>
          </w:p>
        </w:tc>
        <w:tc>
          <w:tcPr>
            <w:tcW w:w="1358" w:type="dxa"/>
            <w:tcBorders>
              <w:top w:val="nil"/>
              <w:left w:val="nil"/>
              <w:bottom w:val="single" w:sz="4" w:space="0" w:color="auto"/>
              <w:right w:val="single" w:sz="8" w:space="0" w:color="auto"/>
            </w:tcBorders>
            <w:shd w:val="clear" w:color="auto" w:fill="auto"/>
            <w:vAlign w:val="center"/>
            <w:hideMark/>
          </w:tcPr>
          <w:p w14:paraId="24053CD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23-247</w:t>
            </w:r>
          </w:p>
        </w:tc>
      </w:tr>
      <w:tr w:rsidR="00F2350B" w:rsidRPr="00373DCC" w14:paraId="375F04D1"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9945C4B"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B: New fixed-dose combination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BA56C4F"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w:t>
            </w:r>
          </w:p>
        </w:tc>
        <w:tc>
          <w:tcPr>
            <w:tcW w:w="1417" w:type="dxa"/>
            <w:tcBorders>
              <w:top w:val="nil"/>
              <w:left w:val="nil"/>
              <w:bottom w:val="single" w:sz="4" w:space="0" w:color="auto"/>
              <w:right w:val="single" w:sz="4" w:space="0" w:color="auto"/>
            </w:tcBorders>
            <w:shd w:val="clear" w:color="auto" w:fill="auto"/>
            <w:vAlign w:val="center"/>
            <w:hideMark/>
          </w:tcPr>
          <w:p w14:paraId="3438DBFB"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5BF86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221</w:t>
            </w:r>
          </w:p>
        </w:tc>
        <w:tc>
          <w:tcPr>
            <w:tcW w:w="1276" w:type="dxa"/>
            <w:tcBorders>
              <w:top w:val="nil"/>
              <w:left w:val="nil"/>
              <w:bottom w:val="single" w:sz="4" w:space="0" w:color="auto"/>
              <w:right w:val="single" w:sz="4" w:space="0" w:color="auto"/>
            </w:tcBorders>
            <w:shd w:val="clear" w:color="auto" w:fill="auto"/>
            <w:vAlign w:val="center"/>
            <w:hideMark/>
          </w:tcPr>
          <w:p w14:paraId="5754BD6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221</w:t>
            </w:r>
          </w:p>
        </w:tc>
        <w:tc>
          <w:tcPr>
            <w:tcW w:w="1358" w:type="dxa"/>
            <w:tcBorders>
              <w:top w:val="nil"/>
              <w:left w:val="nil"/>
              <w:bottom w:val="single" w:sz="4" w:space="0" w:color="auto"/>
              <w:right w:val="single" w:sz="8" w:space="0" w:color="auto"/>
            </w:tcBorders>
            <w:shd w:val="clear" w:color="auto" w:fill="auto"/>
            <w:vAlign w:val="center"/>
            <w:hideMark/>
          </w:tcPr>
          <w:p w14:paraId="68F26D7B"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221-221</w:t>
            </w:r>
          </w:p>
        </w:tc>
      </w:tr>
      <w:tr w:rsidR="00F2350B" w:rsidRPr="00373DCC" w14:paraId="7F282E2D"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3488670"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 Extension of indication</w:t>
            </w:r>
            <w:r w:rsidRPr="00373DCC">
              <w:rPr>
                <w:rFonts w:eastAsia="Times New Roman" w:cs="Arial"/>
                <w:color w:val="000000"/>
                <w:sz w:val="21"/>
                <w:szCs w:val="21"/>
                <w:vertAlign w:val="superscript"/>
                <w:lang w:eastAsia="en-AU"/>
              </w:rPr>
              <w:t xml:space="preserve"> b</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5A5F97"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42</w:t>
            </w:r>
          </w:p>
        </w:tc>
        <w:tc>
          <w:tcPr>
            <w:tcW w:w="1417" w:type="dxa"/>
            <w:tcBorders>
              <w:top w:val="nil"/>
              <w:left w:val="nil"/>
              <w:bottom w:val="single" w:sz="4" w:space="0" w:color="auto"/>
              <w:right w:val="single" w:sz="4" w:space="0" w:color="auto"/>
            </w:tcBorders>
            <w:shd w:val="clear" w:color="auto" w:fill="auto"/>
            <w:vAlign w:val="center"/>
            <w:hideMark/>
          </w:tcPr>
          <w:p w14:paraId="4611E2B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3395E5"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192</w:t>
            </w:r>
          </w:p>
        </w:tc>
        <w:tc>
          <w:tcPr>
            <w:tcW w:w="1276" w:type="dxa"/>
            <w:tcBorders>
              <w:top w:val="nil"/>
              <w:left w:val="nil"/>
              <w:bottom w:val="single" w:sz="4" w:space="0" w:color="auto"/>
              <w:right w:val="single" w:sz="4" w:space="0" w:color="auto"/>
            </w:tcBorders>
            <w:shd w:val="clear" w:color="auto" w:fill="auto"/>
            <w:vAlign w:val="center"/>
            <w:hideMark/>
          </w:tcPr>
          <w:p w14:paraId="510A3EF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197</w:t>
            </w:r>
          </w:p>
        </w:tc>
        <w:tc>
          <w:tcPr>
            <w:tcW w:w="1358" w:type="dxa"/>
            <w:tcBorders>
              <w:top w:val="nil"/>
              <w:left w:val="nil"/>
              <w:bottom w:val="single" w:sz="4" w:space="0" w:color="auto"/>
              <w:right w:val="single" w:sz="8" w:space="0" w:color="auto"/>
            </w:tcBorders>
            <w:shd w:val="clear" w:color="auto" w:fill="auto"/>
            <w:vAlign w:val="center"/>
            <w:hideMark/>
          </w:tcPr>
          <w:p w14:paraId="111F7715"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42-240</w:t>
            </w:r>
          </w:p>
        </w:tc>
      </w:tr>
      <w:tr w:rsidR="00F2350B" w:rsidRPr="00373DCC" w14:paraId="0F502991"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380747A"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D: New generic medicine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01372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95</w:t>
            </w:r>
          </w:p>
        </w:tc>
        <w:tc>
          <w:tcPr>
            <w:tcW w:w="1417" w:type="dxa"/>
            <w:tcBorders>
              <w:top w:val="nil"/>
              <w:left w:val="nil"/>
              <w:bottom w:val="single" w:sz="4" w:space="0" w:color="auto"/>
              <w:right w:val="single" w:sz="4" w:space="0" w:color="auto"/>
            </w:tcBorders>
            <w:shd w:val="clear" w:color="auto" w:fill="auto"/>
            <w:vAlign w:val="center"/>
            <w:hideMark/>
          </w:tcPr>
          <w:p w14:paraId="73AE7E6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352DF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136</w:t>
            </w:r>
          </w:p>
        </w:tc>
        <w:tc>
          <w:tcPr>
            <w:tcW w:w="1276" w:type="dxa"/>
            <w:tcBorders>
              <w:top w:val="nil"/>
              <w:left w:val="nil"/>
              <w:bottom w:val="single" w:sz="4" w:space="0" w:color="auto"/>
              <w:right w:val="single" w:sz="4" w:space="0" w:color="auto"/>
            </w:tcBorders>
            <w:shd w:val="clear" w:color="auto" w:fill="auto"/>
            <w:vAlign w:val="center"/>
            <w:hideMark/>
          </w:tcPr>
          <w:p w14:paraId="7B2FF9EB"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133</w:t>
            </w:r>
          </w:p>
        </w:tc>
        <w:tc>
          <w:tcPr>
            <w:tcW w:w="1358" w:type="dxa"/>
            <w:tcBorders>
              <w:top w:val="nil"/>
              <w:left w:val="nil"/>
              <w:bottom w:val="single" w:sz="4" w:space="0" w:color="auto"/>
              <w:right w:val="single" w:sz="8" w:space="0" w:color="auto"/>
            </w:tcBorders>
            <w:shd w:val="clear" w:color="auto" w:fill="auto"/>
            <w:vAlign w:val="center"/>
            <w:hideMark/>
          </w:tcPr>
          <w:p w14:paraId="7A93B33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75-231</w:t>
            </w:r>
          </w:p>
        </w:tc>
      </w:tr>
      <w:tr w:rsidR="00F2350B" w:rsidRPr="00373DCC" w14:paraId="5E01F909"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15763A4"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F: Major variation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96346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36</w:t>
            </w:r>
          </w:p>
        </w:tc>
        <w:tc>
          <w:tcPr>
            <w:tcW w:w="1417" w:type="dxa"/>
            <w:tcBorders>
              <w:top w:val="nil"/>
              <w:left w:val="nil"/>
              <w:bottom w:val="single" w:sz="4" w:space="0" w:color="auto"/>
              <w:right w:val="single" w:sz="4" w:space="0" w:color="auto"/>
            </w:tcBorders>
            <w:shd w:val="clear" w:color="auto" w:fill="auto"/>
            <w:vAlign w:val="center"/>
            <w:hideMark/>
          </w:tcPr>
          <w:p w14:paraId="7D64A17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923FF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175</w:t>
            </w:r>
          </w:p>
        </w:tc>
        <w:tc>
          <w:tcPr>
            <w:tcW w:w="1276" w:type="dxa"/>
            <w:tcBorders>
              <w:top w:val="nil"/>
              <w:left w:val="nil"/>
              <w:bottom w:val="single" w:sz="4" w:space="0" w:color="auto"/>
              <w:right w:val="single" w:sz="4" w:space="0" w:color="auto"/>
            </w:tcBorders>
            <w:shd w:val="clear" w:color="auto" w:fill="auto"/>
            <w:vAlign w:val="center"/>
            <w:hideMark/>
          </w:tcPr>
          <w:p w14:paraId="3DACF7B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184</w:t>
            </w:r>
          </w:p>
        </w:tc>
        <w:tc>
          <w:tcPr>
            <w:tcW w:w="1358" w:type="dxa"/>
            <w:tcBorders>
              <w:top w:val="nil"/>
              <w:left w:val="nil"/>
              <w:bottom w:val="single" w:sz="4" w:space="0" w:color="auto"/>
              <w:right w:val="single" w:sz="8" w:space="0" w:color="auto"/>
            </w:tcBorders>
            <w:shd w:val="clear" w:color="auto" w:fill="auto"/>
            <w:vAlign w:val="center"/>
            <w:hideMark/>
          </w:tcPr>
          <w:p w14:paraId="2FA81387"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45-236</w:t>
            </w:r>
          </w:p>
        </w:tc>
      </w:tr>
      <w:tr w:rsidR="00F2350B" w:rsidRPr="00373DCC" w14:paraId="19C753C3"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CBBA3B1"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G: Minor variation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583737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w:t>
            </w:r>
          </w:p>
        </w:tc>
        <w:tc>
          <w:tcPr>
            <w:tcW w:w="1417" w:type="dxa"/>
            <w:tcBorders>
              <w:top w:val="nil"/>
              <w:left w:val="nil"/>
              <w:bottom w:val="single" w:sz="4" w:space="0" w:color="auto"/>
              <w:right w:val="single" w:sz="4" w:space="0" w:color="auto"/>
            </w:tcBorders>
            <w:shd w:val="clear" w:color="auto" w:fill="auto"/>
            <w:vAlign w:val="center"/>
            <w:hideMark/>
          </w:tcPr>
          <w:p w14:paraId="6EF1CF4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AAE82F"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192</w:t>
            </w:r>
          </w:p>
        </w:tc>
        <w:tc>
          <w:tcPr>
            <w:tcW w:w="1276" w:type="dxa"/>
            <w:tcBorders>
              <w:top w:val="nil"/>
              <w:left w:val="nil"/>
              <w:bottom w:val="single" w:sz="4" w:space="0" w:color="auto"/>
              <w:right w:val="single" w:sz="4" w:space="0" w:color="auto"/>
            </w:tcBorders>
            <w:shd w:val="clear" w:color="auto" w:fill="auto"/>
            <w:vAlign w:val="center"/>
            <w:hideMark/>
          </w:tcPr>
          <w:p w14:paraId="309A2ED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188</w:t>
            </w:r>
          </w:p>
        </w:tc>
        <w:tc>
          <w:tcPr>
            <w:tcW w:w="1358" w:type="dxa"/>
            <w:tcBorders>
              <w:top w:val="nil"/>
              <w:left w:val="nil"/>
              <w:bottom w:val="single" w:sz="4" w:space="0" w:color="auto"/>
              <w:right w:val="single" w:sz="8" w:space="0" w:color="auto"/>
            </w:tcBorders>
            <w:shd w:val="clear" w:color="auto" w:fill="auto"/>
            <w:vAlign w:val="center"/>
            <w:hideMark/>
          </w:tcPr>
          <w:p w14:paraId="26049B52"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140-250</w:t>
            </w:r>
          </w:p>
        </w:tc>
      </w:tr>
      <w:tr w:rsidR="00F2350B" w:rsidRPr="00373DCC" w14:paraId="4FF7B71C"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EE51172"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 xml:space="preserve">H: Minor variation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DAFF5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9</w:t>
            </w:r>
          </w:p>
        </w:tc>
        <w:tc>
          <w:tcPr>
            <w:tcW w:w="1417" w:type="dxa"/>
            <w:tcBorders>
              <w:top w:val="nil"/>
              <w:left w:val="nil"/>
              <w:bottom w:val="single" w:sz="4" w:space="0" w:color="auto"/>
              <w:right w:val="single" w:sz="4" w:space="0" w:color="auto"/>
            </w:tcBorders>
            <w:shd w:val="clear" w:color="auto" w:fill="auto"/>
            <w:vAlign w:val="center"/>
            <w:hideMark/>
          </w:tcPr>
          <w:p w14:paraId="60822D3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0D0F1C"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173</w:t>
            </w:r>
          </w:p>
        </w:tc>
        <w:tc>
          <w:tcPr>
            <w:tcW w:w="1276" w:type="dxa"/>
            <w:tcBorders>
              <w:top w:val="nil"/>
              <w:left w:val="nil"/>
              <w:bottom w:val="single" w:sz="4" w:space="0" w:color="auto"/>
              <w:right w:val="single" w:sz="4" w:space="0" w:color="auto"/>
            </w:tcBorders>
            <w:shd w:val="clear" w:color="auto" w:fill="auto"/>
            <w:vAlign w:val="center"/>
            <w:hideMark/>
          </w:tcPr>
          <w:p w14:paraId="7909A29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171</w:t>
            </w:r>
          </w:p>
        </w:tc>
        <w:tc>
          <w:tcPr>
            <w:tcW w:w="1358" w:type="dxa"/>
            <w:tcBorders>
              <w:top w:val="nil"/>
              <w:left w:val="nil"/>
              <w:bottom w:val="single" w:sz="4" w:space="0" w:color="auto"/>
              <w:right w:val="single" w:sz="8" w:space="0" w:color="auto"/>
            </w:tcBorders>
            <w:shd w:val="clear" w:color="auto" w:fill="auto"/>
            <w:vAlign w:val="center"/>
            <w:hideMark/>
          </w:tcPr>
          <w:p w14:paraId="01AFCA7C"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119-239</w:t>
            </w:r>
          </w:p>
        </w:tc>
      </w:tr>
      <w:tr w:rsidR="00F2350B" w:rsidRPr="00373DCC" w14:paraId="24CC3BC2"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D3892A0"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J: Changes to Product Information requiring the evaluation of data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E5DF2B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126</w:t>
            </w:r>
          </w:p>
        </w:tc>
        <w:tc>
          <w:tcPr>
            <w:tcW w:w="1417" w:type="dxa"/>
            <w:tcBorders>
              <w:top w:val="nil"/>
              <w:left w:val="nil"/>
              <w:bottom w:val="single" w:sz="4" w:space="0" w:color="auto"/>
              <w:right w:val="single" w:sz="4" w:space="0" w:color="auto"/>
            </w:tcBorders>
            <w:shd w:val="clear" w:color="auto" w:fill="auto"/>
            <w:vAlign w:val="center"/>
            <w:hideMark/>
          </w:tcPr>
          <w:p w14:paraId="65355A9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E0C285"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147</w:t>
            </w:r>
          </w:p>
        </w:tc>
        <w:tc>
          <w:tcPr>
            <w:tcW w:w="1276" w:type="dxa"/>
            <w:tcBorders>
              <w:top w:val="nil"/>
              <w:left w:val="nil"/>
              <w:bottom w:val="single" w:sz="4" w:space="0" w:color="auto"/>
              <w:right w:val="single" w:sz="4" w:space="0" w:color="auto"/>
            </w:tcBorders>
            <w:shd w:val="clear" w:color="auto" w:fill="auto"/>
            <w:vAlign w:val="center"/>
            <w:hideMark/>
          </w:tcPr>
          <w:p w14:paraId="2B93519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173</w:t>
            </w:r>
          </w:p>
        </w:tc>
        <w:tc>
          <w:tcPr>
            <w:tcW w:w="1358" w:type="dxa"/>
            <w:tcBorders>
              <w:top w:val="nil"/>
              <w:left w:val="nil"/>
              <w:bottom w:val="single" w:sz="4" w:space="0" w:color="auto"/>
              <w:right w:val="single" w:sz="8" w:space="0" w:color="auto"/>
            </w:tcBorders>
            <w:shd w:val="clear" w:color="auto" w:fill="auto"/>
            <w:vAlign w:val="center"/>
            <w:hideMark/>
          </w:tcPr>
          <w:p w14:paraId="4DADEF9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6-249</w:t>
            </w:r>
          </w:p>
        </w:tc>
      </w:tr>
      <w:tr w:rsidR="00F2350B" w:rsidRPr="00373DCC" w14:paraId="1CE3EC25"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A1D5027"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S: Provisional registration to full registration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98B75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w:t>
            </w:r>
          </w:p>
        </w:tc>
        <w:tc>
          <w:tcPr>
            <w:tcW w:w="1417" w:type="dxa"/>
            <w:tcBorders>
              <w:top w:val="nil"/>
              <w:left w:val="nil"/>
              <w:bottom w:val="single" w:sz="4" w:space="0" w:color="auto"/>
              <w:right w:val="single" w:sz="4" w:space="0" w:color="auto"/>
            </w:tcBorders>
            <w:shd w:val="clear" w:color="auto" w:fill="auto"/>
            <w:vAlign w:val="center"/>
            <w:hideMark/>
          </w:tcPr>
          <w:p w14:paraId="3ABF6AC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6F9DF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63</w:t>
            </w:r>
          </w:p>
        </w:tc>
        <w:tc>
          <w:tcPr>
            <w:tcW w:w="1276" w:type="dxa"/>
            <w:tcBorders>
              <w:top w:val="nil"/>
              <w:left w:val="nil"/>
              <w:bottom w:val="single" w:sz="4" w:space="0" w:color="auto"/>
              <w:right w:val="single" w:sz="4" w:space="0" w:color="auto"/>
            </w:tcBorders>
            <w:shd w:val="clear" w:color="auto" w:fill="auto"/>
            <w:vAlign w:val="center"/>
            <w:hideMark/>
          </w:tcPr>
          <w:p w14:paraId="410C18D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63</w:t>
            </w:r>
          </w:p>
        </w:tc>
        <w:tc>
          <w:tcPr>
            <w:tcW w:w="1358" w:type="dxa"/>
            <w:tcBorders>
              <w:top w:val="nil"/>
              <w:left w:val="nil"/>
              <w:bottom w:val="single" w:sz="4" w:space="0" w:color="auto"/>
              <w:right w:val="single" w:sz="8" w:space="0" w:color="auto"/>
            </w:tcBorders>
            <w:shd w:val="clear" w:color="auto" w:fill="auto"/>
            <w:vAlign w:val="center"/>
            <w:hideMark/>
          </w:tcPr>
          <w:p w14:paraId="082209F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63-63</w:t>
            </w:r>
          </w:p>
        </w:tc>
      </w:tr>
      <w:tr w:rsidR="00F2350B" w:rsidRPr="00373DCC" w14:paraId="63FC1B92"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EE70481"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T: Provisional registration extension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FA4CA7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11</w:t>
            </w:r>
          </w:p>
        </w:tc>
        <w:tc>
          <w:tcPr>
            <w:tcW w:w="1417" w:type="dxa"/>
            <w:tcBorders>
              <w:top w:val="nil"/>
              <w:left w:val="nil"/>
              <w:bottom w:val="single" w:sz="4" w:space="0" w:color="auto"/>
              <w:right w:val="single" w:sz="4" w:space="0" w:color="auto"/>
            </w:tcBorders>
            <w:shd w:val="clear" w:color="auto" w:fill="auto"/>
            <w:vAlign w:val="center"/>
            <w:hideMark/>
          </w:tcPr>
          <w:p w14:paraId="5FF9008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9693E2"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25</w:t>
            </w:r>
          </w:p>
        </w:tc>
        <w:tc>
          <w:tcPr>
            <w:tcW w:w="1276" w:type="dxa"/>
            <w:tcBorders>
              <w:top w:val="nil"/>
              <w:left w:val="nil"/>
              <w:bottom w:val="single" w:sz="4" w:space="0" w:color="auto"/>
              <w:right w:val="single" w:sz="4" w:space="0" w:color="auto"/>
            </w:tcBorders>
            <w:shd w:val="clear" w:color="auto" w:fill="auto"/>
            <w:vAlign w:val="center"/>
            <w:hideMark/>
          </w:tcPr>
          <w:p w14:paraId="21B43891"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26</w:t>
            </w:r>
          </w:p>
        </w:tc>
        <w:tc>
          <w:tcPr>
            <w:tcW w:w="1358" w:type="dxa"/>
            <w:tcBorders>
              <w:top w:val="nil"/>
              <w:left w:val="nil"/>
              <w:bottom w:val="single" w:sz="4" w:space="0" w:color="auto"/>
              <w:right w:val="single" w:sz="8" w:space="0" w:color="auto"/>
            </w:tcBorders>
            <w:shd w:val="clear" w:color="auto" w:fill="auto"/>
            <w:vAlign w:val="center"/>
            <w:hideMark/>
          </w:tcPr>
          <w:p w14:paraId="19EAE912"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Pr>
                <w:rFonts w:eastAsia="Times New Roman" w:cs="Arial"/>
                <w:color w:val="000000"/>
                <w:sz w:val="21"/>
                <w:szCs w:val="21"/>
                <w:lang w:eastAsia="en-AU"/>
              </w:rPr>
              <w:t>4</w:t>
            </w:r>
            <w:r w:rsidRPr="48ECC65F">
              <w:rPr>
                <w:rFonts w:eastAsia="Times New Roman" w:cs="Arial"/>
                <w:color w:val="000000"/>
                <w:sz w:val="21"/>
                <w:szCs w:val="21"/>
                <w:lang w:eastAsia="en-AU"/>
              </w:rPr>
              <w:t>-45</w:t>
            </w:r>
          </w:p>
        </w:tc>
      </w:tr>
      <w:tr w:rsidR="00F2350B" w:rsidRPr="00373DCC" w14:paraId="69A090D9" w14:textId="77777777" w:rsidTr="009B6A61">
        <w:trPr>
          <w:trHeight w:val="340"/>
        </w:trPr>
        <w:tc>
          <w:tcPr>
            <w:tcW w:w="9580" w:type="dxa"/>
            <w:gridSpan w:val="6"/>
            <w:tcBorders>
              <w:top w:val="single" w:sz="4" w:space="0" w:color="auto"/>
              <w:left w:val="single" w:sz="8" w:space="0" w:color="auto"/>
              <w:bottom w:val="single" w:sz="4" w:space="0" w:color="auto"/>
              <w:right w:val="single" w:sz="8" w:space="0" w:color="000000"/>
            </w:tcBorders>
            <w:shd w:val="clear" w:color="auto" w:fill="C6D4E9"/>
            <w:vAlign w:val="center"/>
            <w:hideMark/>
          </w:tcPr>
          <w:p w14:paraId="59BAAD8B"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Comparable Overseas Regulator (COR-A)</w:t>
            </w:r>
            <w:r w:rsidRPr="00373DCC">
              <w:rPr>
                <w:rFonts w:eastAsia="Times New Roman" w:cs="Arial"/>
                <w:color w:val="262626"/>
                <w:sz w:val="21"/>
                <w:szCs w:val="21"/>
                <w:lang w:eastAsia="en-AU"/>
              </w:rPr>
              <w:t> </w:t>
            </w:r>
          </w:p>
        </w:tc>
      </w:tr>
      <w:tr w:rsidR="00F2350B" w:rsidRPr="00373DCC" w14:paraId="3BA59AB2"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FE1CF7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 Extension of indication b</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E1D58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3</w:t>
            </w:r>
          </w:p>
        </w:tc>
        <w:tc>
          <w:tcPr>
            <w:tcW w:w="1417" w:type="dxa"/>
            <w:tcBorders>
              <w:top w:val="nil"/>
              <w:left w:val="nil"/>
              <w:bottom w:val="single" w:sz="4" w:space="0" w:color="auto"/>
              <w:right w:val="single" w:sz="4" w:space="0" w:color="auto"/>
            </w:tcBorders>
            <w:shd w:val="clear" w:color="auto" w:fill="auto"/>
            <w:vAlign w:val="center"/>
            <w:hideMark/>
          </w:tcPr>
          <w:p w14:paraId="06C8DA0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2613DC5"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86</w:t>
            </w:r>
          </w:p>
        </w:tc>
        <w:tc>
          <w:tcPr>
            <w:tcW w:w="1276" w:type="dxa"/>
            <w:tcBorders>
              <w:top w:val="nil"/>
              <w:left w:val="nil"/>
              <w:bottom w:val="single" w:sz="4" w:space="0" w:color="auto"/>
              <w:right w:val="single" w:sz="4" w:space="0" w:color="auto"/>
            </w:tcBorders>
            <w:shd w:val="clear" w:color="auto" w:fill="auto"/>
            <w:vAlign w:val="center"/>
            <w:hideMark/>
          </w:tcPr>
          <w:p w14:paraId="478B98B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87</w:t>
            </w:r>
          </w:p>
        </w:tc>
        <w:tc>
          <w:tcPr>
            <w:tcW w:w="1358" w:type="dxa"/>
            <w:tcBorders>
              <w:top w:val="nil"/>
              <w:left w:val="nil"/>
              <w:bottom w:val="single" w:sz="4" w:space="0" w:color="auto"/>
              <w:right w:val="single" w:sz="8" w:space="0" w:color="auto"/>
            </w:tcBorders>
            <w:shd w:val="clear" w:color="auto" w:fill="auto"/>
            <w:vAlign w:val="center"/>
            <w:hideMark/>
          </w:tcPr>
          <w:p w14:paraId="516F7342"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80-90</w:t>
            </w:r>
          </w:p>
        </w:tc>
      </w:tr>
      <w:tr w:rsidR="00F2350B" w:rsidRPr="00373DCC" w14:paraId="51E1CF19"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B2C71D5"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D: New generic medicine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317EA0B"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w:t>
            </w:r>
          </w:p>
        </w:tc>
        <w:tc>
          <w:tcPr>
            <w:tcW w:w="1417" w:type="dxa"/>
            <w:tcBorders>
              <w:top w:val="nil"/>
              <w:left w:val="nil"/>
              <w:bottom w:val="single" w:sz="4" w:space="0" w:color="auto"/>
              <w:right w:val="single" w:sz="4" w:space="0" w:color="auto"/>
            </w:tcBorders>
            <w:shd w:val="clear" w:color="auto" w:fill="auto"/>
            <w:vAlign w:val="center"/>
            <w:hideMark/>
          </w:tcPr>
          <w:p w14:paraId="577A96E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FB7C1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99</w:t>
            </w:r>
          </w:p>
        </w:tc>
        <w:tc>
          <w:tcPr>
            <w:tcW w:w="1276" w:type="dxa"/>
            <w:tcBorders>
              <w:top w:val="nil"/>
              <w:left w:val="nil"/>
              <w:bottom w:val="single" w:sz="4" w:space="0" w:color="auto"/>
              <w:right w:val="single" w:sz="4" w:space="0" w:color="auto"/>
            </w:tcBorders>
            <w:shd w:val="clear" w:color="auto" w:fill="auto"/>
            <w:vAlign w:val="center"/>
            <w:hideMark/>
          </w:tcPr>
          <w:p w14:paraId="0ED3B72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99</w:t>
            </w:r>
          </w:p>
        </w:tc>
        <w:tc>
          <w:tcPr>
            <w:tcW w:w="1358" w:type="dxa"/>
            <w:tcBorders>
              <w:top w:val="nil"/>
              <w:left w:val="nil"/>
              <w:bottom w:val="single" w:sz="4" w:space="0" w:color="auto"/>
              <w:right w:val="single" w:sz="8" w:space="0" w:color="auto"/>
            </w:tcBorders>
            <w:shd w:val="clear" w:color="auto" w:fill="auto"/>
            <w:vAlign w:val="center"/>
            <w:hideMark/>
          </w:tcPr>
          <w:p w14:paraId="6B26FDC1"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97-100</w:t>
            </w:r>
          </w:p>
        </w:tc>
      </w:tr>
      <w:tr w:rsidR="00F2350B" w:rsidRPr="00373DCC" w14:paraId="0DB59B70"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ED2C0D5"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F: Major variation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63C818C"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w:t>
            </w:r>
          </w:p>
        </w:tc>
        <w:tc>
          <w:tcPr>
            <w:tcW w:w="1417" w:type="dxa"/>
            <w:tcBorders>
              <w:top w:val="nil"/>
              <w:left w:val="nil"/>
              <w:bottom w:val="single" w:sz="4" w:space="0" w:color="auto"/>
              <w:right w:val="single" w:sz="4" w:space="0" w:color="auto"/>
            </w:tcBorders>
            <w:shd w:val="clear" w:color="auto" w:fill="auto"/>
            <w:vAlign w:val="center"/>
            <w:hideMark/>
          </w:tcPr>
          <w:p w14:paraId="6A42AD5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01393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108</w:t>
            </w:r>
          </w:p>
        </w:tc>
        <w:tc>
          <w:tcPr>
            <w:tcW w:w="1276" w:type="dxa"/>
            <w:tcBorders>
              <w:top w:val="nil"/>
              <w:left w:val="nil"/>
              <w:bottom w:val="single" w:sz="4" w:space="0" w:color="auto"/>
              <w:right w:val="single" w:sz="4" w:space="0" w:color="auto"/>
            </w:tcBorders>
            <w:shd w:val="clear" w:color="auto" w:fill="auto"/>
            <w:vAlign w:val="center"/>
            <w:hideMark/>
          </w:tcPr>
          <w:p w14:paraId="18FC3BC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108</w:t>
            </w:r>
          </w:p>
        </w:tc>
        <w:tc>
          <w:tcPr>
            <w:tcW w:w="1358" w:type="dxa"/>
            <w:tcBorders>
              <w:top w:val="nil"/>
              <w:left w:val="nil"/>
              <w:bottom w:val="single" w:sz="4" w:space="0" w:color="auto"/>
              <w:right w:val="single" w:sz="8" w:space="0" w:color="auto"/>
            </w:tcBorders>
            <w:shd w:val="clear" w:color="auto" w:fill="auto"/>
            <w:vAlign w:val="center"/>
            <w:hideMark/>
          </w:tcPr>
          <w:p w14:paraId="1F8D6057"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108-108</w:t>
            </w:r>
          </w:p>
        </w:tc>
      </w:tr>
      <w:tr w:rsidR="00F2350B" w:rsidRPr="00373DCC" w14:paraId="7976AED1"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B18C326"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J: Changes to Product Information requiring the evaluation of data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00349C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w:t>
            </w:r>
          </w:p>
        </w:tc>
        <w:tc>
          <w:tcPr>
            <w:tcW w:w="1417" w:type="dxa"/>
            <w:tcBorders>
              <w:top w:val="nil"/>
              <w:left w:val="nil"/>
              <w:bottom w:val="single" w:sz="4" w:space="0" w:color="auto"/>
              <w:right w:val="single" w:sz="4" w:space="0" w:color="auto"/>
            </w:tcBorders>
            <w:shd w:val="clear" w:color="auto" w:fill="auto"/>
            <w:vAlign w:val="center"/>
            <w:hideMark/>
          </w:tcPr>
          <w:p w14:paraId="2931D08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1A7DB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104</w:t>
            </w:r>
          </w:p>
        </w:tc>
        <w:tc>
          <w:tcPr>
            <w:tcW w:w="1276" w:type="dxa"/>
            <w:tcBorders>
              <w:top w:val="nil"/>
              <w:left w:val="nil"/>
              <w:bottom w:val="single" w:sz="4" w:space="0" w:color="auto"/>
              <w:right w:val="single" w:sz="4" w:space="0" w:color="auto"/>
            </w:tcBorders>
            <w:shd w:val="clear" w:color="auto" w:fill="auto"/>
            <w:vAlign w:val="center"/>
            <w:hideMark/>
          </w:tcPr>
          <w:p w14:paraId="4E560D81"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104</w:t>
            </w:r>
          </w:p>
        </w:tc>
        <w:tc>
          <w:tcPr>
            <w:tcW w:w="1358" w:type="dxa"/>
            <w:tcBorders>
              <w:top w:val="nil"/>
              <w:left w:val="nil"/>
              <w:bottom w:val="single" w:sz="4" w:space="0" w:color="auto"/>
              <w:right w:val="single" w:sz="8" w:space="0" w:color="auto"/>
            </w:tcBorders>
            <w:shd w:val="clear" w:color="auto" w:fill="auto"/>
            <w:vAlign w:val="center"/>
            <w:hideMark/>
          </w:tcPr>
          <w:p w14:paraId="5650EBE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104-104</w:t>
            </w:r>
          </w:p>
        </w:tc>
      </w:tr>
      <w:tr w:rsidR="00F2350B" w:rsidRPr="00373DCC" w14:paraId="5CD3ED8B" w14:textId="77777777" w:rsidTr="009B6A61">
        <w:trPr>
          <w:trHeight w:val="340"/>
        </w:trPr>
        <w:tc>
          <w:tcPr>
            <w:tcW w:w="9580" w:type="dxa"/>
            <w:gridSpan w:val="6"/>
            <w:tcBorders>
              <w:top w:val="single" w:sz="4" w:space="0" w:color="auto"/>
              <w:left w:val="single" w:sz="8" w:space="0" w:color="auto"/>
              <w:bottom w:val="single" w:sz="4" w:space="0" w:color="auto"/>
              <w:right w:val="single" w:sz="8" w:space="0" w:color="000000"/>
            </w:tcBorders>
            <w:shd w:val="clear" w:color="auto" w:fill="C6D4E9"/>
            <w:vAlign w:val="center"/>
            <w:hideMark/>
          </w:tcPr>
          <w:p w14:paraId="591D8714"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Comparable Overseas Regulator (COR-B)</w:t>
            </w:r>
          </w:p>
        </w:tc>
      </w:tr>
      <w:tr w:rsidR="00F2350B" w:rsidRPr="00373DCC" w14:paraId="2CED5502"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94CE12F"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A: New chemical entity/New biological entity/Biosimilar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67B34C"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7</w:t>
            </w:r>
          </w:p>
        </w:tc>
        <w:tc>
          <w:tcPr>
            <w:tcW w:w="1417" w:type="dxa"/>
            <w:tcBorders>
              <w:top w:val="nil"/>
              <w:left w:val="nil"/>
              <w:bottom w:val="single" w:sz="4" w:space="0" w:color="auto"/>
              <w:right w:val="single" w:sz="4" w:space="0" w:color="auto"/>
            </w:tcBorders>
            <w:shd w:val="clear" w:color="auto" w:fill="auto"/>
            <w:vAlign w:val="center"/>
            <w:hideMark/>
          </w:tcPr>
          <w:p w14:paraId="165641A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22663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157</w:t>
            </w:r>
          </w:p>
        </w:tc>
        <w:tc>
          <w:tcPr>
            <w:tcW w:w="1276" w:type="dxa"/>
            <w:tcBorders>
              <w:top w:val="nil"/>
              <w:left w:val="nil"/>
              <w:bottom w:val="single" w:sz="4" w:space="0" w:color="auto"/>
              <w:right w:val="single" w:sz="4" w:space="0" w:color="auto"/>
            </w:tcBorders>
            <w:shd w:val="clear" w:color="auto" w:fill="auto"/>
            <w:vAlign w:val="center"/>
            <w:hideMark/>
          </w:tcPr>
          <w:p w14:paraId="70B8E43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157</w:t>
            </w:r>
          </w:p>
        </w:tc>
        <w:tc>
          <w:tcPr>
            <w:tcW w:w="1358" w:type="dxa"/>
            <w:tcBorders>
              <w:top w:val="nil"/>
              <w:left w:val="nil"/>
              <w:bottom w:val="single" w:sz="4" w:space="0" w:color="auto"/>
              <w:right w:val="single" w:sz="8" w:space="0" w:color="auto"/>
            </w:tcBorders>
            <w:shd w:val="clear" w:color="auto" w:fill="auto"/>
            <w:vAlign w:val="center"/>
            <w:hideMark/>
          </w:tcPr>
          <w:p w14:paraId="0017D25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144-171</w:t>
            </w:r>
          </w:p>
        </w:tc>
      </w:tr>
      <w:tr w:rsidR="00F2350B" w:rsidRPr="00373DCC" w14:paraId="7E734E20"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27E2FBCE"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B: New fixed-dose combination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9E2D94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w:t>
            </w:r>
          </w:p>
        </w:tc>
        <w:tc>
          <w:tcPr>
            <w:tcW w:w="1417" w:type="dxa"/>
            <w:tcBorders>
              <w:top w:val="nil"/>
              <w:left w:val="nil"/>
              <w:bottom w:val="single" w:sz="4" w:space="0" w:color="auto"/>
              <w:right w:val="single" w:sz="4" w:space="0" w:color="auto"/>
            </w:tcBorders>
            <w:shd w:val="clear" w:color="auto" w:fill="auto"/>
            <w:vAlign w:val="center"/>
            <w:hideMark/>
          </w:tcPr>
          <w:p w14:paraId="1EB6C25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4AC1B2"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156</w:t>
            </w:r>
          </w:p>
        </w:tc>
        <w:tc>
          <w:tcPr>
            <w:tcW w:w="1276" w:type="dxa"/>
            <w:tcBorders>
              <w:top w:val="nil"/>
              <w:left w:val="nil"/>
              <w:bottom w:val="single" w:sz="4" w:space="0" w:color="auto"/>
              <w:right w:val="single" w:sz="4" w:space="0" w:color="auto"/>
            </w:tcBorders>
            <w:shd w:val="clear" w:color="auto" w:fill="auto"/>
            <w:vAlign w:val="center"/>
            <w:hideMark/>
          </w:tcPr>
          <w:p w14:paraId="22F5C30D"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156</w:t>
            </w:r>
          </w:p>
        </w:tc>
        <w:tc>
          <w:tcPr>
            <w:tcW w:w="1358" w:type="dxa"/>
            <w:tcBorders>
              <w:top w:val="nil"/>
              <w:left w:val="nil"/>
              <w:bottom w:val="single" w:sz="4" w:space="0" w:color="auto"/>
              <w:right w:val="single" w:sz="8" w:space="0" w:color="auto"/>
            </w:tcBorders>
            <w:shd w:val="clear" w:color="auto" w:fill="auto"/>
            <w:vAlign w:val="center"/>
            <w:hideMark/>
          </w:tcPr>
          <w:p w14:paraId="49488717"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156-156</w:t>
            </w:r>
          </w:p>
        </w:tc>
      </w:tr>
      <w:tr w:rsidR="00F2350B" w:rsidRPr="00373DCC" w14:paraId="3A4C49B8" w14:textId="77777777" w:rsidTr="009B6A61">
        <w:trPr>
          <w:trHeight w:val="340"/>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28891A7C"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D: New generic medicine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EC9E07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w:t>
            </w:r>
          </w:p>
        </w:tc>
        <w:tc>
          <w:tcPr>
            <w:tcW w:w="1417" w:type="dxa"/>
            <w:tcBorders>
              <w:top w:val="nil"/>
              <w:left w:val="nil"/>
              <w:bottom w:val="single" w:sz="4" w:space="0" w:color="auto"/>
              <w:right w:val="single" w:sz="4" w:space="0" w:color="auto"/>
            </w:tcBorders>
            <w:shd w:val="clear" w:color="auto" w:fill="auto"/>
            <w:vAlign w:val="center"/>
            <w:hideMark/>
          </w:tcPr>
          <w:p w14:paraId="11B3F6EA"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143AC3"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128</w:t>
            </w:r>
          </w:p>
        </w:tc>
        <w:tc>
          <w:tcPr>
            <w:tcW w:w="1276" w:type="dxa"/>
            <w:tcBorders>
              <w:top w:val="nil"/>
              <w:left w:val="nil"/>
              <w:bottom w:val="single" w:sz="4" w:space="0" w:color="auto"/>
              <w:right w:val="single" w:sz="4" w:space="0" w:color="auto"/>
            </w:tcBorders>
            <w:shd w:val="clear" w:color="auto" w:fill="auto"/>
            <w:vAlign w:val="center"/>
            <w:hideMark/>
          </w:tcPr>
          <w:p w14:paraId="631F16D1"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128</w:t>
            </w:r>
          </w:p>
        </w:tc>
        <w:tc>
          <w:tcPr>
            <w:tcW w:w="1358" w:type="dxa"/>
            <w:tcBorders>
              <w:top w:val="nil"/>
              <w:left w:val="nil"/>
              <w:bottom w:val="single" w:sz="4" w:space="0" w:color="auto"/>
              <w:right w:val="single" w:sz="8" w:space="0" w:color="auto"/>
            </w:tcBorders>
            <w:shd w:val="clear" w:color="auto" w:fill="auto"/>
            <w:vAlign w:val="center"/>
            <w:hideMark/>
          </w:tcPr>
          <w:p w14:paraId="3ABB30CF"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121-133</w:t>
            </w:r>
          </w:p>
        </w:tc>
      </w:tr>
      <w:tr w:rsidR="00F2350B" w:rsidRPr="00373DCC" w14:paraId="7C40A98E" w14:textId="77777777" w:rsidTr="009B6A61">
        <w:trPr>
          <w:trHeight w:val="340"/>
        </w:trPr>
        <w:tc>
          <w:tcPr>
            <w:tcW w:w="2835" w:type="dxa"/>
            <w:tcBorders>
              <w:top w:val="nil"/>
              <w:left w:val="single" w:sz="8" w:space="0" w:color="auto"/>
              <w:bottom w:val="single" w:sz="8" w:space="0" w:color="auto"/>
              <w:right w:val="single" w:sz="4" w:space="0" w:color="auto"/>
            </w:tcBorders>
            <w:shd w:val="clear" w:color="auto" w:fill="auto"/>
            <w:vAlign w:val="center"/>
            <w:hideMark/>
          </w:tcPr>
          <w:p w14:paraId="1BB4ED7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F: Major variation</w:t>
            </w:r>
          </w:p>
        </w:tc>
        <w:tc>
          <w:tcPr>
            <w:tcW w:w="1560" w:type="dxa"/>
            <w:tcBorders>
              <w:top w:val="single" w:sz="4" w:space="0" w:color="auto"/>
              <w:left w:val="nil"/>
              <w:bottom w:val="single" w:sz="8" w:space="0" w:color="auto"/>
              <w:right w:val="single" w:sz="4" w:space="0" w:color="auto"/>
            </w:tcBorders>
            <w:shd w:val="clear" w:color="auto" w:fill="auto"/>
            <w:vAlign w:val="center"/>
            <w:hideMark/>
          </w:tcPr>
          <w:p w14:paraId="07079F7E"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4</w:t>
            </w:r>
          </w:p>
        </w:tc>
        <w:tc>
          <w:tcPr>
            <w:tcW w:w="1417" w:type="dxa"/>
            <w:tcBorders>
              <w:top w:val="nil"/>
              <w:left w:val="nil"/>
              <w:bottom w:val="single" w:sz="8" w:space="0" w:color="auto"/>
              <w:right w:val="single" w:sz="4" w:space="0" w:color="auto"/>
            </w:tcBorders>
            <w:shd w:val="clear" w:color="auto" w:fill="auto"/>
            <w:vAlign w:val="center"/>
            <w:hideMark/>
          </w:tcPr>
          <w:p w14:paraId="4A7E586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175</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6C1220A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143</w:t>
            </w:r>
          </w:p>
        </w:tc>
        <w:tc>
          <w:tcPr>
            <w:tcW w:w="1276" w:type="dxa"/>
            <w:tcBorders>
              <w:top w:val="nil"/>
              <w:left w:val="nil"/>
              <w:bottom w:val="single" w:sz="8" w:space="0" w:color="auto"/>
              <w:right w:val="single" w:sz="4" w:space="0" w:color="auto"/>
            </w:tcBorders>
            <w:shd w:val="clear" w:color="auto" w:fill="auto"/>
            <w:vAlign w:val="center"/>
            <w:hideMark/>
          </w:tcPr>
          <w:p w14:paraId="0E7BEAE9"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139</w:t>
            </w:r>
          </w:p>
        </w:tc>
        <w:tc>
          <w:tcPr>
            <w:tcW w:w="1358" w:type="dxa"/>
            <w:tcBorders>
              <w:top w:val="nil"/>
              <w:left w:val="nil"/>
              <w:bottom w:val="single" w:sz="8" w:space="0" w:color="auto"/>
              <w:right w:val="single" w:sz="8" w:space="0" w:color="auto"/>
            </w:tcBorders>
            <w:shd w:val="clear" w:color="auto" w:fill="auto"/>
            <w:vAlign w:val="center"/>
            <w:hideMark/>
          </w:tcPr>
          <w:p w14:paraId="42EF9555"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132-162</w:t>
            </w:r>
          </w:p>
        </w:tc>
      </w:tr>
    </w:tbl>
    <w:p w14:paraId="57B597F5" w14:textId="77777777" w:rsidR="00F2350B" w:rsidRPr="00373DCC" w:rsidRDefault="00F2350B" w:rsidP="00F2350B">
      <w:pPr>
        <w:widowControl w:val="0"/>
        <w:spacing w:after="0" w:line="240" w:lineRule="auto"/>
        <w:ind w:left="357"/>
        <w:contextualSpacing/>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ab/>
        <w:t>Application type A figures do not include 3 submissions processed via the priority review pathway.</w:t>
      </w:r>
    </w:p>
    <w:p w14:paraId="6C937714" w14:textId="77777777" w:rsidR="00F2350B" w:rsidRPr="00373DCC" w:rsidRDefault="00F2350B" w:rsidP="00F2350B">
      <w:pPr>
        <w:widowControl w:val="0"/>
        <w:spacing w:after="0" w:line="240" w:lineRule="auto"/>
        <w:ind w:left="357"/>
        <w:contextualSpacing/>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ab/>
        <w:t>Application type C figures do not include 5 submissions processed via the priority review pathway.</w:t>
      </w:r>
    </w:p>
    <w:p w14:paraId="704C3BBD" w14:textId="77777777" w:rsidR="00F2350B" w:rsidRPr="00373DCC" w:rsidRDefault="00F2350B" w:rsidP="00F2350B">
      <w:pPr>
        <w:keepNext/>
        <w:spacing w:before="240" w:after="120" w:line="240" w:lineRule="auto"/>
        <w:rPr>
          <w:rFonts w:eastAsia="Cambria" w:cs="Arial"/>
          <w:b/>
          <w:bCs/>
          <w:sz w:val="21"/>
          <w:szCs w:val="21"/>
        </w:rPr>
      </w:pPr>
      <w:bookmarkStart w:id="93" w:name="Table4"/>
      <w:r w:rsidRPr="00373DCC">
        <w:rPr>
          <w:rFonts w:eastAsia="Cambria" w:cs="Arial"/>
          <w:b/>
          <w:bCs/>
          <w:sz w:val="21"/>
          <w:szCs w:val="21"/>
        </w:rPr>
        <w:lastRenderedPageBreak/>
        <w:t xml:space="preserve">Table </w:t>
      </w:r>
      <w:r w:rsidRPr="00373DCC">
        <w:rPr>
          <w:rFonts w:eastAsia="Cambria" w:cs="Arial"/>
          <w:b/>
          <w:bCs/>
          <w:sz w:val="21"/>
          <w:szCs w:val="21"/>
        </w:rPr>
        <w:fldChar w:fldCharType="begin"/>
      </w:r>
      <w:r w:rsidRPr="00373DCC">
        <w:rPr>
          <w:rFonts w:eastAsia="Cambria" w:cs="Arial"/>
          <w:b/>
          <w:bCs/>
          <w:sz w:val="21"/>
          <w:szCs w:val="21"/>
        </w:rPr>
        <w:instrText>SEQ Table \* ARABIC</w:instrText>
      </w:r>
      <w:r w:rsidRPr="00373DCC">
        <w:rPr>
          <w:rFonts w:eastAsia="Cambria" w:cs="Arial"/>
          <w:b/>
          <w:bCs/>
          <w:sz w:val="21"/>
          <w:szCs w:val="21"/>
        </w:rPr>
        <w:fldChar w:fldCharType="separate"/>
      </w:r>
      <w:r w:rsidRPr="00373DCC">
        <w:rPr>
          <w:rFonts w:eastAsia="Cambria" w:cs="Arial"/>
          <w:b/>
          <w:bCs/>
          <w:sz w:val="21"/>
          <w:szCs w:val="21"/>
        </w:rPr>
        <w:t>4</w:t>
      </w:r>
      <w:r w:rsidRPr="00373DCC">
        <w:rPr>
          <w:rFonts w:eastAsia="Cambria" w:cs="Arial"/>
          <w:b/>
          <w:bCs/>
          <w:sz w:val="21"/>
          <w:szCs w:val="21"/>
        </w:rPr>
        <w:fldChar w:fldCharType="end"/>
      </w:r>
      <w:r w:rsidRPr="00373DCC">
        <w:rPr>
          <w:rFonts w:eastAsia="Cambria" w:cs="Arial"/>
          <w:b/>
          <w:bCs/>
          <w:sz w:val="21"/>
          <w:szCs w:val="21"/>
        </w:rPr>
        <w:t>: Prescription medicine median approval time comparisons between 2021-22 and 2022-23</w:t>
      </w:r>
    </w:p>
    <w:bookmarkEnd w:id="93"/>
    <w:tbl>
      <w:tblPr>
        <w:tblStyle w:val="TableGrid1"/>
        <w:tblW w:w="9291" w:type="dxa"/>
        <w:tblInd w:w="-5" w:type="dxa"/>
        <w:tblLayout w:type="fixed"/>
        <w:tblLook w:val="04A0" w:firstRow="1" w:lastRow="0" w:firstColumn="1" w:lastColumn="0" w:noHBand="0" w:noVBand="1"/>
      </w:tblPr>
      <w:tblGrid>
        <w:gridCol w:w="4366"/>
        <w:gridCol w:w="1547"/>
        <w:gridCol w:w="236"/>
        <w:gridCol w:w="1619"/>
        <w:gridCol w:w="1523"/>
      </w:tblGrid>
      <w:tr w:rsidR="00F2350B" w:rsidRPr="00373DCC" w14:paraId="240B09D5" w14:textId="77777777" w:rsidTr="0069779B">
        <w:trPr>
          <w:cantSplit/>
          <w:trHeight w:val="664"/>
          <w:tblHeader/>
        </w:trPr>
        <w:tc>
          <w:tcPr>
            <w:tcW w:w="5913" w:type="dxa"/>
            <w:gridSpan w:val="2"/>
            <w:tcBorders>
              <w:top w:val="single" w:sz="4" w:space="0" w:color="FFFFFF" w:themeColor="background1"/>
              <w:left w:val="single" w:sz="4" w:space="0" w:color="FFFFFF" w:themeColor="background1"/>
              <w:bottom w:val="single" w:sz="4" w:space="0" w:color="002C47" w:themeColor="text1"/>
              <w:right w:val="nil"/>
            </w:tcBorders>
            <w:shd w:val="clear" w:color="auto" w:fill="auto"/>
            <w:vAlign w:val="center"/>
          </w:tcPr>
          <w:p w14:paraId="379CBD11" w14:textId="77777777" w:rsidR="00F2350B" w:rsidRPr="00373DCC" w:rsidRDefault="00F2350B" w:rsidP="0069779B">
            <w:pPr>
              <w:keepLines/>
              <w:widowControl w:val="0"/>
              <w:spacing w:before="0" w:after="0" w:line="240" w:lineRule="atLeast"/>
              <w:ind w:left="720"/>
              <w:contextualSpacing/>
              <w:jc w:val="center"/>
              <w:rPr>
                <w:rFonts w:cs="Arial"/>
                <w:b/>
                <w:bCs/>
                <w:sz w:val="21"/>
              </w:rPr>
            </w:pPr>
          </w:p>
        </w:tc>
        <w:tc>
          <w:tcPr>
            <w:tcW w:w="236" w:type="dxa"/>
            <w:tcBorders>
              <w:top w:val="single" w:sz="4" w:space="0" w:color="FFFFFF" w:themeColor="background1"/>
              <w:left w:val="nil"/>
              <w:bottom w:val="single" w:sz="4" w:space="0" w:color="002C47" w:themeColor="text1"/>
              <w:right w:val="single" w:sz="4" w:space="0" w:color="002C47" w:themeColor="text1"/>
            </w:tcBorders>
            <w:vAlign w:val="center"/>
          </w:tcPr>
          <w:p w14:paraId="130E1550" w14:textId="77777777" w:rsidR="00F2350B" w:rsidRPr="00373DCC" w:rsidRDefault="00F2350B" w:rsidP="0069779B">
            <w:pPr>
              <w:keepLines/>
              <w:widowControl w:val="0"/>
              <w:spacing w:before="0" w:after="0" w:line="240" w:lineRule="atLeast"/>
              <w:ind w:left="720"/>
              <w:contextualSpacing/>
              <w:jc w:val="center"/>
              <w:rPr>
                <w:rFonts w:cs="Arial"/>
                <w:b/>
                <w:bCs/>
                <w:sz w:val="21"/>
              </w:rPr>
            </w:pPr>
          </w:p>
        </w:tc>
        <w:tc>
          <w:tcPr>
            <w:tcW w:w="3142" w:type="dxa"/>
            <w:gridSpan w:val="2"/>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1E545344" w14:textId="77777777" w:rsidR="00F2350B" w:rsidRPr="00373DCC" w:rsidRDefault="00F2350B" w:rsidP="0069779B">
            <w:pPr>
              <w:keepLines/>
              <w:widowControl w:val="0"/>
              <w:spacing w:before="0" w:after="0" w:line="240" w:lineRule="atLeast"/>
              <w:contextualSpacing/>
              <w:jc w:val="center"/>
              <w:rPr>
                <w:rFonts w:cs="Arial"/>
                <w:b/>
                <w:bCs/>
                <w:sz w:val="21"/>
              </w:rPr>
            </w:pPr>
            <w:r w:rsidRPr="00373DCC">
              <w:rPr>
                <w:rFonts w:cs="Arial"/>
                <w:b/>
                <w:bCs/>
                <w:color w:val="FFFFFF" w:themeColor="background1"/>
                <w:sz w:val="21"/>
              </w:rPr>
              <w:t>Median approval time (TGA working days)</w:t>
            </w:r>
          </w:p>
        </w:tc>
      </w:tr>
      <w:tr w:rsidR="00F2350B" w:rsidRPr="00373DCC" w14:paraId="796CFCF4" w14:textId="77777777" w:rsidTr="0069779B">
        <w:trPr>
          <w:cantSplit/>
          <w:trHeight w:val="600"/>
          <w:tblHeader/>
        </w:trPr>
        <w:tc>
          <w:tcPr>
            <w:tcW w:w="4366" w:type="dxa"/>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5684F7B6" w14:textId="77777777" w:rsidR="00F2350B" w:rsidRPr="00373DCC" w:rsidRDefault="00F2350B" w:rsidP="0069779B">
            <w:pPr>
              <w:keepLines/>
              <w:widowControl w:val="0"/>
              <w:spacing w:before="0" w:after="0" w:line="240" w:lineRule="atLeast"/>
              <w:jc w:val="center"/>
              <w:rPr>
                <w:rFonts w:cs="Arial"/>
                <w:b/>
                <w:bCs/>
                <w:color w:val="FFFFFF" w:themeColor="background1"/>
                <w:sz w:val="21"/>
              </w:rPr>
            </w:pPr>
            <w:r w:rsidRPr="00373DCC">
              <w:rPr>
                <w:rFonts w:cs="Arial"/>
                <w:b/>
                <w:bCs/>
                <w:color w:val="FFFFFF" w:themeColor="background1"/>
                <w:sz w:val="21"/>
              </w:rPr>
              <w:t>Application type</w:t>
            </w:r>
          </w:p>
        </w:tc>
        <w:tc>
          <w:tcPr>
            <w:tcW w:w="1783" w:type="dxa"/>
            <w:gridSpan w:val="2"/>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461FD7F6" w14:textId="77777777" w:rsidR="00F2350B" w:rsidRPr="00373DCC" w:rsidRDefault="00F2350B" w:rsidP="0069779B">
            <w:pPr>
              <w:keepLines/>
              <w:widowControl w:val="0"/>
              <w:spacing w:before="0" w:after="0" w:line="240" w:lineRule="atLeast"/>
              <w:jc w:val="center"/>
              <w:rPr>
                <w:rFonts w:cs="Arial"/>
                <w:b/>
                <w:bCs/>
                <w:color w:val="FFFFFF" w:themeColor="background1"/>
                <w:sz w:val="21"/>
              </w:rPr>
            </w:pPr>
            <w:r w:rsidRPr="00373DCC">
              <w:rPr>
                <w:rFonts w:cs="Arial"/>
                <w:b/>
                <w:bCs/>
                <w:color w:val="FFFFFF" w:themeColor="background1"/>
                <w:sz w:val="21"/>
              </w:rPr>
              <w:t>Legislated timeframe</w:t>
            </w:r>
          </w:p>
        </w:tc>
        <w:tc>
          <w:tcPr>
            <w:tcW w:w="1619" w:type="dxa"/>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4EACBFD9" w14:textId="77777777" w:rsidR="00F2350B" w:rsidRPr="00373DCC" w:rsidRDefault="00F2350B" w:rsidP="0069779B">
            <w:pPr>
              <w:keepLines/>
              <w:widowControl w:val="0"/>
              <w:spacing w:before="0" w:after="0" w:line="240" w:lineRule="atLeast"/>
              <w:jc w:val="center"/>
              <w:rPr>
                <w:rFonts w:cs="Arial"/>
                <w:b/>
                <w:bCs/>
                <w:color w:val="FFFFFF" w:themeColor="background1"/>
                <w:sz w:val="21"/>
              </w:rPr>
            </w:pPr>
            <w:r w:rsidRPr="00373DCC">
              <w:rPr>
                <w:rFonts w:cs="Arial"/>
                <w:b/>
                <w:bCs/>
                <w:color w:val="FFFFFF" w:themeColor="background1"/>
                <w:sz w:val="21"/>
              </w:rPr>
              <w:t>2021-22</w:t>
            </w:r>
          </w:p>
        </w:tc>
        <w:tc>
          <w:tcPr>
            <w:tcW w:w="1523" w:type="dxa"/>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5448CC9C" w14:textId="77777777" w:rsidR="00F2350B" w:rsidRPr="00373DCC" w:rsidRDefault="00F2350B" w:rsidP="0069779B">
            <w:pPr>
              <w:keepLines/>
              <w:widowControl w:val="0"/>
              <w:spacing w:before="0" w:after="0" w:line="240" w:lineRule="atLeast"/>
              <w:jc w:val="center"/>
              <w:rPr>
                <w:rFonts w:cs="Arial"/>
                <w:b/>
                <w:bCs/>
                <w:color w:val="FFFFFF" w:themeColor="background1"/>
                <w:sz w:val="21"/>
              </w:rPr>
            </w:pPr>
            <w:r w:rsidRPr="00373DCC">
              <w:rPr>
                <w:rFonts w:cs="Arial"/>
                <w:b/>
                <w:bCs/>
                <w:color w:val="FFFFFF" w:themeColor="background1"/>
                <w:sz w:val="21"/>
              </w:rPr>
              <w:t>2022-23</w:t>
            </w:r>
          </w:p>
          <w:p w14:paraId="07DE6247" w14:textId="77777777" w:rsidR="00F2350B" w:rsidRPr="00373DCC" w:rsidRDefault="00F2350B" w:rsidP="0069779B">
            <w:pPr>
              <w:keepLines/>
              <w:widowControl w:val="0"/>
              <w:spacing w:before="0" w:after="0" w:line="240" w:lineRule="atLeast"/>
              <w:jc w:val="center"/>
              <w:rPr>
                <w:rFonts w:cs="Arial"/>
                <w:b/>
                <w:bCs/>
                <w:color w:val="FFFFFF" w:themeColor="background1"/>
                <w:sz w:val="21"/>
              </w:rPr>
            </w:pPr>
            <w:r w:rsidRPr="00373DCC">
              <w:rPr>
                <w:rFonts w:cs="Arial"/>
                <w:b/>
                <w:bCs/>
                <w:color w:val="FFFFFF" w:themeColor="background1"/>
                <w:sz w:val="21"/>
              </w:rPr>
              <w:t>(% Change)</w:t>
            </w:r>
          </w:p>
        </w:tc>
      </w:tr>
      <w:tr w:rsidR="00F2350B" w:rsidRPr="00373DCC" w14:paraId="28E17425" w14:textId="77777777" w:rsidTr="00710B91">
        <w:trPr>
          <w:cantSplit/>
          <w:trHeight w:val="340"/>
          <w:tblHeader/>
        </w:trPr>
        <w:tc>
          <w:tcPr>
            <w:tcW w:w="9291" w:type="dxa"/>
            <w:gridSpan w:val="5"/>
            <w:tcBorders>
              <w:top w:val="nil"/>
              <w:left w:val="single" w:sz="4" w:space="0" w:color="auto"/>
              <w:right w:val="single" w:sz="4" w:space="0" w:color="auto"/>
            </w:tcBorders>
            <w:shd w:val="clear" w:color="auto" w:fill="C6D4E9"/>
          </w:tcPr>
          <w:p w14:paraId="65312190"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Category 1</w:t>
            </w:r>
          </w:p>
        </w:tc>
      </w:tr>
      <w:tr w:rsidR="00F2350B" w:rsidRPr="00373DCC" w14:paraId="5A7492C6" w14:textId="77777777" w:rsidTr="00710B91">
        <w:trPr>
          <w:cantSplit/>
          <w:trHeight w:val="340"/>
          <w:tblHeader/>
        </w:trPr>
        <w:tc>
          <w:tcPr>
            <w:tcW w:w="4366" w:type="dxa"/>
            <w:tcBorders>
              <w:left w:val="single" w:sz="4" w:space="0" w:color="auto"/>
            </w:tcBorders>
            <w:shd w:val="clear" w:color="auto" w:fill="auto"/>
            <w:vAlign w:val="center"/>
          </w:tcPr>
          <w:p w14:paraId="6C317951"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A: New chemical entity/New biological entity/Biosimilar</w:t>
            </w:r>
            <w:r w:rsidRPr="00373DCC">
              <w:rPr>
                <w:rFonts w:cs="Arial"/>
                <w:sz w:val="21"/>
                <w:vertAlign w:val="superscript"/>
              </w:rPr>
              <w:t xml:space="preserve"> a</w:t>
            </w:r>
          </w:p>
        </w:tc>
        <w:tc>
          <w:tcPr>
            <w:tcW w:w="1783" w:type="dxa"/>
            <w:gridSpan w:val="2"/>
            <w:vAlign w:val="center"/>
          </w:tcPr>
          <w:p w14:paraId="41081C60"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6F3563C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191</w:t>
            </w:r>
          </w:p>
        </w:tc>
        <w:tc>
          <w:tcPr>
            <w:tcW w:w="1523" w:type="dxa"/>
            <w:tcBorders>
              <w:right w:val="single" w:sz="4" w:space="0" w:color="auto"/>
            </w:tcBorders>
            <w:shd w:val="clear" w:color="auto" w:fill="auto"/>
            <w:vAlign w:val="center"/>
          </w:tcPr>
          <w:p w14:paraId="6E414EA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199 (▲3%)</w:t>
            </w:r>
          </w:p>
        </w:tc>
      </w:tr>
      <w:tr w:rsidR="00F2350B" w:rsidRPr="00373DCC" w14:paraId="4BB87FDD" w14:textId="77777777" w:rsidTr="00710B91">
        <w:trPr>
          <w:cantSplit/>
          <w:trHeight w:val="340"/>
          <w:tblHeader/>
        </w:trPr>
        <w:tc>
          <w:tcPr>
            <w:tcW w:w="4366" w:type="dxa"/>
            <w:tcBorders>
              <w:left w:val="single" w:sz="4" w:space="0" w:color="auto"/>
            </w:tcBorders>
            <w:vAlign w:val="center"/>
          </w:tcPr>
          <w:p w14:paraId="452F91DE"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B: New fixed-dose combination</w:t>
            </w:r>
          </w:p>
        </w:tc>
        <w:tc>
          <w:tcPr>
            <w:tcW w:w="1783" w:type="dxa"/>
            <w:gridSpan w:val="2"/>
            <w:vAlign w:val="center"/>
          </w:tcPr>
          <w:p w14:paraId="4CFBC69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71FF747C"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196</w:t>
            </w:r>
          </w:p>
        </w:tc>
        <w:tc>
          <w:tcPr>
            <w:tcW w:w="1523" w:type="dxa"/>
            <w:tcBorders>
              <w:right w:val="single" w:sz="4" w:space="0" w:color="auto"/>
            </w:tcBorders>
            <w:vAlign w:val="center"/>
          </w:tcPr>
          <w:p w14:paraId="7024B81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221 (▲13%)</w:t>
            </w:r>
          </w:p>
        </w:tc>
      </w:tr>
      <w:tr w:rsidR="00F2350B" w:rsidRPr="00373DCC" w14:paraId="06A1DD04" w14:textId="77777777" w:rsidTr="00710B91">
        <w:trPr>
          <w:cantSplit/>
          <w:trHeight w:val="340"/>
          <w:tblHeader/>
        </w:trPr>
        <w:tc>
          <w:tcPr>
            <w:tcW w:w="4366" w:type="dxa"/>
            <w:tcBorders>
              <w:left w:val="single" w:sz="4" w:space="0" w:color="auto"/>
            </w:tcBorders>
            <w:vAlign w:val="center"/>
          </w:tcPr>
          <w:p w14:paraId="000E0BD8"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 Extension of indication</w:t>
            </w:r>
            <w:r w:rsidRPr="00373DCC">
              <w:rPr>
                <w:rFonts w:cs="Arial"/>
                <w:sz w:val="21"/>
                <w:vertAlign w:val="superscript"/>
              </w:rPr>
              <w:t xml:space="preserve"> b</w:t>
            </w:r>
          </w:p>
        </w:tc>
        <w:tc>
          <w:tcPr>
            <w:tcW w:w="1783" w:type="dxa"/>
            <w:gridSpan w:val="2"/>
            <w:vAlign w:val="center"/>
          </w:tcPr>
          <w:p w14:paraId="35E906A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47B2174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198</w:t>
            </w:r>
          </w:p>
        </w:tc>
        <w:tc>
          <w:tcPr>
            <w:tcW w:w="1523" w:type="dxa"/>
            <w:tcBorders>
              <w:right w:val="single" w:sz="4" w:space="0" w:color="auto"/>
            </w:tcBorders>
            <w:vAlign w:val="center"/>
          </w:tcPr>
          <w:p w14:paraId="1634E780"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197 (▼1%)</w:t>
            </w:r>
          </w:p>
        </w:tc>
      </w:tr>
      <w:tr w:rsidR="00F2350B" w:rsidRPr="00373DCC" w14:paraId="251BFE2C" w14:textId="77777777" w:rsidTr="00710B91">
        <w:trPr>
          <w:cantSplit/>
          <w:trHeight w:val="340"/>
          <w:tblHeader/>
        </w:trPr>
        <w:tc>
          <w:tcPr>
            <w:tcW w:w="4366" w:type="dxa"/>
            <w:tcBorders>
              <w:left w:val="single" w:sz="4" w:space="0" w:color="auto"/>
            </w:tcBorders>
            <w:vAlign w:val="center"/>
          </w:tcPr>
          <w:p w14:paraId="0AA888D2"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D: New generic medicine</w:t>
            </w:r>
          </w:p>
        </w:tc>
        <w:tc>
          <w:tcPr>
            <w:tcW w:w="1783" w:type="dxa"/>
            <w:gridSpan w:val="2"/>
            <w:vAlign w:val="center"/>
          </w:tcPr>
          <w:p w14:paraId="7E9593C3"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4B5297E0"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139</w:t>
            </w:r>
          </w:p>
        </w:tc>
        <w:tc>
          <w:tcPr>
            <w:tcW w:w="1523" w:type="dxa"/>
            <w:tcBorders>
              <w:right w:val="single" w:sz="4" w:space="0" w:color="auto"/>
            </w:tcBorders>
            <w:vAlign w:val="center"/>
          </w:tcPr>
          <w:p w14:paraId="3A9945EA"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133 (▼4%)</w:t>
            </w:r>
          </w:p>
        </w:tc>
      </w:tr>
      <w:tr w:rsidR="00F2350B" w:rsidRPr="00373DCC" w14:paraId="50179300" w14:textId="77777777" w:rsidTr="00710B91">
        <w:trPr>
          <w:cantSplit/>
          <w:trHeight w:val="340"/>
          <w:tblHeader/>
        </w:trPr>
        <w:tc>
          <w:tcPr>
            <w:tcW w:w="4366" w:type="dxa"/>
            <w:tcBorders>
              <w:left w:val="single" w:sz="4" w:space="0" w:color="auto"/>
            </w:tcBorders>
            <w:vAlign w:val="center"/>
          </w:tcPr>
          <w:p w14:paraId="3DF2A17F"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F: Major variation</w:t>
            </w:r>
          </w:p>
        </w:tc>
        <w:tc>
          <w:tcPr>
            <w:tcW w:w="1783" w:type="dxa"/>
            <w:gridSpan w:val="2"/>
            <w:vAlign w:val="center"/>
          </w:tcPr>
          <w:p w14:paraId="202A51D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12936521"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170</w:t>
            </w:r>
          </w:p>
        </w:tc>
        <w:tc>
          <w:tcPr>
            <w:tcW w:w="1523" w:type="dxa"/>
            <w:tcBorders>
              <w:right w:val="single" w:sz="4" w:space="0" w:color="auto"/>
            </w:tcBorders>
            <w:vAlign w:val="center"/>
          </w:tcPr>
          <w:p w14:paraId="3B9B4E4C"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184 (▲9%)</w:t>
            </w:r>
          </w:p>
        </w:tc>
      </w:tr>
      <w:tr w:rsidR="00F2350B" w:rsidRPr="00373DCC" w14:paraId="0C3C5909" w14:textId="77777777" w:rsidTr="00710B91">
        <w:trPr>
          <w:cantSplit/>
          <w:trHeight w:val="340"/>
          <w:tblHeader/>
        </w:trPr>
        <w:tc>
          <w:tcPr>
            <w:tcW w:w="4366" w:type="dxa"/>
            <w:tcBorders>
              <w:left w:val="single" w:sz="4" w:space="0" w:color="auto"/>
            </w:tcBorders>
            <w:vAlign w:val="center"/>
          </w:tcPr>
          <w:p w14:paraId="336F353A"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G: Minor variation</w:t>
            </w:r>
          </w:p>
        </w:tc>
        <w:tc>
          <w:tcPr>
            <w:tcW w:w="1783" w:type="dxa"/>
            <w:gridSpan w:val="2"/>
            <w:vAlign w:val="center"/>
          </w:tcPr>
          <w:p w14:paraId="4C59BDD3"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29D413A2"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184</w:t>
            </w:r>
          </w:p>
        </w:tc>
        <w:tc>
          <w:tcPr>
            <w:tcW w:w="1523" w:type="dxa"/>
            <w:tcBorders>
              <w:right w:val="single" w:sz="4" w:space="0" w:color="auto"/>
            </w:tcBorders>
            <w:vAlign w:val="center"/>
          </w:tcPr>
          <w:p w14:paraId="4801E85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188 (▲2%)</w:t>
            </w:r>
          </w:p>
        </w:tc>
      </w:tr>
      <w:tr w:rsidR="00F2350B" w:rsidRPr="00373DCC" w14:paraId="70CB5043" w14:textId="77777777" w:rsidTr="00710B91">
        <w:trPr>
          <w:cantSplit/>
          <w:trHeight w:val="340"/>
          <w:tblHeader/>
        </w:trPr>
        <w:tc>
          <w:tcPr>
            <w:tcW w:w="4366" w:type="dxa"/>
            <w:tcBorders>
              <w:left w:val="single" w:sz="4" w:space="0" w:color="auto"/>
            </w:tcBorders>
            <w:vAlign w:val="center"/>
          </w:tcPr>
          <w:p w14:paraId="02305D8E"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H: Minor variation</w:t>
            </w:r>
            <w:r w:rsidRPr="00373DCC" w:rsidDel="00EF58C6">
              <w:rPr>
                <w:rFonts w:cs="Arial"/>
                <w:sz w:val="21"/>
              </w:rPr>
              <w:t xml:space="preserve"> </w:t>
            </w:r>
          </w:p>
        </w:tc>
        <w:tc>
          <w:tcPr>
            <w:tcW w:w="1783" w:type="dxa"/>
            <w:gridSpan w:val="2"/>
            <w:vAlign w:val="center"/>
          </w:tcPr>
          <w:p w14:paraId="1481B54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4F1524F7"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186</w:t>
            </w:r>
          </w:p>
        </w:tc>
        <w:tc>
          <w:tcPr>
            <w:tcW w:w="1523" w:type="dxa"/>
            <w:tcBorders>
              <w:right w:val="single" w:sz="4" w:space="0" w:color="auto"/>
            </w:tcBorders>
            <w:vAlign w:val="center"/>
          </w:tcPr>
          <w:p w14:paraId="7937E7FA"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171 (▼8%)</w:t>
            </w:r>
          </w:p>
        </w:tc>
      </w:tr>
      <w:tr w:rsidR="00F2350B" w:rsidRPr="00373DCC" w14:paraId="55982AAC" w14:textId="77777777" w:rsidTr="00710B91">
        <w:trPr>
          <w:cantSplit/>
          <w:trHeight w:val="340"/>
          <w:tblHeader/>
        </w:trPr>
        <w:tc>
          <w:tcPr>
            <w:tcW w:w="4366" w:type="dxa"/>
            <w:tcBorders>
              <w:left w:val="single" w:sz="4" w:space="0" w:color="auto"/>
            </w:tcBorders>
            <w:vAlign w:val="center"/>
          </w:tcPr>
          <w:p w14:paraId="42D310A7"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J: Changes to Product Information requiring the evaluation of data</w:t>
            </w:r>
          </w:p>
        </w:tc>
        <w:tc>
          <w:tcPr>
            <w:tcW w:w="1783" w:type="dxa"/>
            <w:gridSpan w:val="2"/>
            <w:vAlign w:val="center"/>
          </w:tcPr>
          <w:p w14:paraId="3632A951"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255</w:t>
            </w:r>
          </w:p>
        </w:tc>
        <w:tc>
          <w:tcPr>
            <w:tcW w:w="1619" w:type="dxa"/>
            <w:vAlign w:val="center"/>
          </w:tcPr>
          <w:p w14:paraId="50964950"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183</w:t>
            </w:r>
          </w:p>
        </w:tc>
        <w:tc>
          <w:tcPr>
            <w:tcW w:w="1523" w:type="dxa"/>
            <w:tcBorders>
              <w:right w:val="single" w:sz="4" w:space="0" w:color="auto"/>
            </w:tcBorders>
            <w:vAlign w:val="center"/>
          </w:tcPr>
          <w:p w14:paraId="30876771"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173 (▼3%)</w:t>
            </w:r>
          </w:p>
        </w:tc>
      </w:tr>
      <w:tr w:rsidR="00F2350B" w:rsidRPr="00373DCC" w14:paraId="17EBBE57" w14:textId="77777777" w:rsidTr="00710B91">
        <w:trPr>
          <w:cantSplit/>
          <w:trHeight w:val="340"/>
          <w:tblHeader/>
        </w:trPr>
        <w:tc>
          <w:tcPr>
            <w:tcW w:w="9291" w:type="dxa"/>
            <w:gridSpan w:val="5"/>
            <w:tcBorders>
              <w:left w:val="single" w:sz="4" w:space="0" w:color="auto"/>
              <w:right w:val="single" w:sz="4" w:space="0" w:color="auto"/>
            </w:tcBorders>
            <w:shd w:val="clear" w:color="auto" w:fill="C6D4E9"/>
          </w:tcPr>
          <w:p w14:paraId="49A9F368"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Comparable Overseas Regulator (COR) – A</w:t>
            </w:r>
          </w:p>
        </w:tc>
      </w:tr>
      <w:tr w:rsidR="00F2350B" w:rsidRPr="00373DCC" w14:paraId="3CE7B591" w14:textId="77777777" w:rsidTr="00710B91">
        <w:trPr>
          <w:cantSplit/>
          <w:trHeight w:val="340"/>
          <w:tblHeader/>
        </w:trPr>
        <w:tc>
          <w:tcPr>
            <w:tcW w:w="4366" w:type="dxa"/>
            <w:tcBorders>
              <w:left w:val="single" w:sz="4" w:space="0" w:color="auto"/>
            </w:tcBorders>
          </w:tcPr>
          <w:p w14:paraId="49F1D61D"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 Extension of indication</w:t>
            </w:r>
          </w:p>
        </w:tc>
        <w:tc>
          <w:tcPr>
            <w:tcW w:w="1783" w:type="dxa"/>
            <w:gridSpan w:val="2"/>
            <w:vAlign w:val="center"/>
          </w:tcPr>
          <w:p w14:paraId="5DAFED73"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120</w:t>
            </w:r>
          </w:p>
        </w:tc>
        <w:tc>
          <w:tcPr>
            <w:tcW w:w="1619" w:type="dxa"/>
            <w:vAlign w:val="center"/>
          </w:tcPr>
          <w:p w14:paraId="41354997"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105</w:t>
            </w:r>
          </w:p>
        </w:tc>
        <w:tc>
          <w:tcPr>
            <w:tcW w:w="1523" w:type="dxa"/>
            <w:tcBorders>
              <w:right w:val="single" w:sz="4" w:space="0" w:color="auto"/>
            </w:tcBorders>
            <w:vAlign w:val="center"/>
          </w:tcPr>
          <w:p w14:paraId="3455068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87 (▼17%)</w:t>
            </w:r>
          </w:p>
        </w:tc>
      </w:tr>
      <w:tr w:rsidR="00F2350B" w:rsidRPr="00373DCC" w14:paraId="076FCC88" w14:textId="77777777" w:rsidTr="00710B91">
        <w:trPr>
          <w:cantSplit/>
          <w:trHeight w:val="340"/>
          <w:tblHeader/>
        </w:trPr>
        <w:tc>
          <w:tcPr>
            <w:tcW w:w="9291" w:type="dxa"/>
            <w:gridSpan w:val="5"/>
            <w:tcBorders>
              <w:left w:val="single" w:sz="4" w:space="0" w:color="auto"/>
              <w:right w:val="single" w:sz="4" w:space="0" w:color="auto"/>
            </w:tcBorders>
            <w:shd w:val="clear" w:color="auto" w:fill="C6D4E9"/>
          </w:tcPr>
          <w:p w14:paraId="202D5DAF"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Comparable Overseas Regulator (COR) – B</w:t>
            </w:r>
          </w:p>
        </w:tc>
      </w:tr>
      <w:tr w:rsidR="00F2350B" w:rsidRPr="00373DCC" w14:paraId="2B2572F9" w14:textId="77777777" w:rsidTr="00710B91">
        <w:trPr>
          <w:cantSplit/>
          <w:trHeight w:val="340"/>
          <w:tblHeader/>
        </w:trPr>
        <w:tc>
          <w:tcPr>
            <w:tcW w:w="4366" w:type="dxa"/>
            <w:tcBorders>
              <w:left w:val="single" w:sz="4" w:space="0" w:color="auto"/>
            </w:tcBorders>
          </w:tcPr>
          <w:p w14:paraId="67063B98"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A: New chemical entity/New biological entity/Biosimilar</w:t>
            </w:r>
          </w:p>
        </w:tc>
        <w:tc>
          <w:tcPr>
            <w:tcW w:w="1783" w:type="dxa"/>
            <w:gridSpan w:val="2"/>
            <w:vAlign w:val="center"/>
          </w:tcPr>
          <w:p w14:paraId="75292D47"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175</w:t>
            </w:r>
          </w:p>
        </w:tc>
        <w:tc>
          <w:tcPr>
            <w:tcW w:w="1619" w:type="dxa"/>
            <w:vAlign w:val="center"/>
          </w:tcPr>
          <w:p w14:paraId="47BAEEA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141</w:t>
            </w:r>
          </w:p>
        </w:tc>
        <w:tc>
          <w:tcPr>
            <w:tcW w:w="1523" w:type="dxa"/>
            <w:tcBorders>
              <w:right w:val="single" w:sz="4" w:space="0" w:color="auto"/>
            </w:tcBorders>
            <w:vAlign w:val="center"/>
          </w:tcPr>
          <w:p w14:paraId="69638D02"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0 (▲0%)</w:t>
            </w:r>
          </w:p>
        </w:tc>
      </w:tr>
      <w:tr w:rsidR="00F2350B" w:rsidRPr="00373DCC" w14:paraId="4627A67A" w14:textId="77777777" w:rsidTr="00710B91">
        <w:trPr>
          <w:cantSplit/>
          <w:trHeight w:val="340"/>
          <w:tblHeader/>
        </w:trPr>
        <w:tc>
          <w:tcPr>
            <w:tcW w:w="4366" w:type="dxa"/>
            <w:tcBorders>
              <w:left w:val="single" w:sz="4" w:space="0" w:color="auto"/>
            </w:tcBorders>
          </w:tcPr>
          <w:p w14:paraId="56B88DDA"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D: New generic medicine</w:t>
            </w:r>
          </w:p>
        </w:tc>
        <w:tc>
          <w:tcPr>
            <w:tcW w:w="1783" w:type="dxa"/>
            <w:gridSpan w:val="2"/>
            <w:vAlign w:val="center"/>
          </w:tcPr>
          <w:p w14:paraId="0126C468"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175</w:t>
            </w:r>
          </w:p>
        </w:tc>
        <w:tc>
          <w:tcPr>
            <w:tcW w:w="1619" w:type="dxa"/>
            <w:vAlign w:val="center"/>
          </w:tcPr>
          <w:p w14:paraId="474985F3"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110</w:t>
            </w:r>
          </w:p>
        </w:tc>
        <w:tc>
          <w:tcPr>
            <w:tcW w:w="1523" w:type="dxa"/>
            <w:tcBorders>
              <w:right w:val="single" w:sz="4" w:space="0" w:color="auto"/>
            </w:tcBorders>
            <w:vAlign w:val="center"/>
          </w:tcPr>
          <w:p w14:paraId="6AA48FA5"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128 (▲17%)</w:t>
            </w:r>
          </w:p>
        </w:tc>
      </w:tr>
      <w:tr w:rsidR="00F2350B" w:rsidRPr="00373DCC" w14:paraId="46EFFFA8" w14:textId="77777777" w:rsidTr="00710B91">
        <w:trPr>
          <w:cantSplit/>
          <w:trHeight w:val="340"/>
          <w:tblHeader/>
        </w:trPr>
        <w:tc>
          <w:tcPr>
            <w:tcW w:w="9291" w:type="dxa"/>
            <w:gridSpan w:val="5"/>
            <w:tcBorders>
              <w:left w:val="single" w:sz="4" w:space="0" w:color="auto"/>
              <w:bottom w:val="single" w:sz="4" w:space="0" w:color="auto"/>
              <w:right w:val="single" w:sz="4" w:space="0" w:color="auto"/>
            </w:tcBorders>
            <w:shd w:val="clear" w:color="auto" w:fill="C6D4E9"/>
          </w:tcPr>
          <w:p w14:paraId="7A2A619F"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Minor Variations</w:t>
            </w:r>
          </w:p>
        </w:tc>
      </w:tr>
      <w:tr w:rsidR="00F2350B" w:rsidRPr="00373DCC" w14:paraId="3E97AD11" w14:textId="77777777" w:rsidTr="00710B91">
        <w:trPr>
          <w:cantSplit/>
          <w:trHeight w:val="340"/>
          <w:tblHeader/>
        </w:trPr>
        <w:tc>
          <w:tcPr>
            <w:tcW w:w="9291" w:type="dxa"/>
            <w:gridSpan w:val="5"/>
            <w:tcBorders>
              <w:left w:val="single" w:sz="4" w:space="0" w:color="auto"/>
              <w:right w:val="single" w:sz="4" w:space="0" w:color="auto"/>
            </w:tcBorders>
            <w:shd w:val="clear" w:color="auto" w:fill="auto"/>
          </w:tcPr>
          <w:p w14:paraId="002FA348"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Category 3</w:t>
            </w:r>
          </w:p>
        </w:tc>
      </w:tr>
      <w:tr w:rsidR="00F2350B" w:rsidRPr="00373DCC" w14:paraId="0974E85E" w14:textId="77777777" w:rsidTr="00710B91">
        <w:trPr>
          <w:cantSplit/>
          <w:trHeight w:val="340"/>
          <w:tblHeader/>
        </w:trPr>
        <w:tc>
          <w:tcPr>
            <w:tcW w:w="4366" w:type="dxa"/>
            <w:tcBorders>
              <w:left w:val="single" w:sz="4" w:space="0" w:color="auto"/>
              <w:bottom w:val="single" w:sz="4" w:space="0" w:color="auto"/>
            </w:tcBorders>
            <w:shd w:val="clear" w:color="auto" w:fill="auto"/>
          </w:tcPr>
          <w:p w14:paraId="5BD72996" w14:textId="77777777" w:rsidR="00F2350B" w:rsidRPr="00373DCC" w:rsidRDefault="00F2350B" w:rsidP="00710B91">
            <w:pPr>
              <w:keepLines/>
              <w:widowControl w:val="0"/>
              <w:spacing w:line="240" w:lineRule="atLeast"/>
              <w:ind w:left="284"/>
              <w:contextualSpacing/>
              <w:rPr>
                <w:rFonts w:cs="Arial"/>
                <w:sz w:val="21"/>
              </w:rPr>
            </w:pPr>
            <w:r w:rsidRPr="00373DCC">
              <w:rPr>
                <w:rFonts w:cs="Arial"/>
                <w:sz w:val="21"/>
              </w:rPr>
              <w:t>G: Minor variation</w:t>
            </w:r>
            <w:r w:rsidRPr="00373DCC">
              <w:rPr>
                <w:rFonts w:cs="Arial"/>
                <w:sz w:val="21"/>
                <w:vertAlign w:val="superscript"/>
              </w:rPr>
              <w:t xml:space="preserve"> c</w:t>
            </w:r>
          </w:p>
        </w:tc>
        <w:tc>
          <w:tcPr>
            <w:tcW w:w="1783" w:type="dxa"/>
            <w:gridSpan w:val="2"/>
            <w:tcBorders>
              <w:bottom w:val="single" w:sz="4" w:space="0" w:color="auto"/>
            </w:tcBorders>
            <w:vAlign w:val="center"/>
          </w:tcPr>
          <w:p w14:paraId="6863417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tcBorders>
              <w:bottom w:val="single" w:sz="4" w:space="0" w:color="auto"/>
            </w:tcBorders>
            <w:vAlign w:val="center"/>
          </w:tcPr>
          <w:p w14:paraId="42D4957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39</w:t>
            </w:r>
          </w:p>
        </w:tc>
        <w:tc>
          <w:tcPr>
            <w:tcW w:w="1523" w:type="dxa"/>
            <w:tcBorders>
              <w:bottom w:val="single" w:sz="4" w:space="0" w:color="auto"/>
              <w:right w:val="single" w:sz="4" w:space="0" w:color="auto"/>
            </w:tcBorders>
            <w:vAlign w:val="center"/>
          </w:tcPr>
          <w:p w14:paraId="707667B1"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40 (▲3%)</w:t>
            </w:r>
          </w:p>
        </w:tc>
      </w:tr>
      <w:tr w:rsidR="00F2350B" w:rsidRPr="00373DCC" w14:paraId="6C8D3A36" w14:textId="77777777" w:rsidTr="00710B91">
        <w:trPr>
          <w:cantSplit/>
          <w:trHeight w:val="340"/>
          <w:tblHeader/>
        </w:trPr>
        <w:tc>
          <w:tcPr>
            <w:tcW w:w="4366" w:type="dxa"/>
            <w:tcBorders>
              <w:left w:val="single" w:sz="4" w:space="0" w:color="auto"/>
            </w:tcBorders>
            <w:shd w:val="clear" w:color="auto" w:fill="auto"/>
          </w:tcPr>
          <w:p w14:paraId="65030363" w14:textId="77777777" w:rsidR="00F2350B" w:rsidRPr="00373DCC" w:rsidRDefault="00F2350B" w:rsidP="00710B91">
            <w:pPr>
              <w:keepLines/>
              <w:widowControl w:val="0"/>
              <w:spacing w:line="240" w:lineRule="atLeast"/>
              <w:ind w:left="284"/>
              <w:contextualSpacing/>
              <w:rPr>
                <w:rFonts w:cs="Arial"/>
                <w:sz w:val="21"/>
              </w:rPr>
            </w:pPr>
            <w:r w:rsidRPr="00373DCC">
              <w:rPr>
                <w:rFonts w:cs="Arial"/>
                <w:sz w:val="21"/>
              </w:rPr>
              <w:t>H: Minor variation</w:t>
            </w:r>
            <w:r w:rsidRPr="00373DCC">
              <w:rPr>
                <w:rFonts w:cs="Arial"/>
                <w:sz w:val="21"/>
                <w:vertAlign w:val="superscript"/>
              </w:rPr>
              <w:t xml:space="preserve"> d</w:t>
            </w:r>
          </w:p>
        </w:tc>
        <w:tc>
          <w:tcPr>
            <w:tcW w:w="1783" w:type="dxa"/>
            <w:gridSpan w:val="2"/>
            <w:vAlign w:val="center"/>
          </w:tcPr>
          <w:p w14:paraId="3FA5D15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vAlign w:val="center"/>
          </w:tcPr>
          <w:p w14:paraId="575DEC46"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35</w:t>
            </w:r>
          </w:p>
        </w:tc>
        <w:tc>
          <w:tcPr>
            <w:tcW w:w="1523" w:type="dxa"/>
            <w:tcBorders>
              <w:right w:val="single" w:sz="4" w:space="0" w:color="auto"/>
            </w:tcBorders>
            <w:vAlign w:val="center"/>
          </w:tcPr>
          <w:p w14:paraId="493E0D33"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38 (▲9%)</w:t>
            </w:r>
          </w:p>
        </w:tc>
      </w:tr>
      <w:tr w:rsidR="00F2350B" w:rsidRPr="00373DCC" w14:paraId="518AF9AF" w14:textId="77777777" w:rsidTr="00710B91">
        <w:trPr>
          <w:cantSplit/>
          <w:trHeight w:val="340"/>
          <w:tblHeader/>
        </w:trPr>
        <w:tc>
          <w:tcPr>
            <w:tcW w:w="4366" w:type="dxa"/>
            <w:tcBorders>
              <w:left w:val="single" w:sz="4" w:space="0" w:color="auto"/>
            </w:tcBorders>
            <w:shd w:val="clear" w:color="auto" w:fill="auto"/>
          </w:tcPr>
          <w:p w14:paraId="00FF1DE9"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Additional trade name [ATN]</w:t>
            </w:r>
          </w:p>
        </w:tc>
        <w:tc>
          <w:tcPr>
            <w:tcW w:w="1783" w:type="dxa"/>
            <w:gridSpan w:val="2"/>
            <w:shd w:val="clear" w:color="auto" w:fill="auto"/>
            <w:vAlign w:val="center"/>
          </w:tcPr>
          <w:p w14:paraId="562B2386"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shd w:val="clear" w:color="auto" w:fill="auto"/>
            <w:vAlign w:val="center"/>
          </w:tcPr>
          <w:p w14:paraId="4FFEA82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35</w:t>
            </w:r>
          </w:p>
        </w:tc>
        <w:tc>
          <w:tcPr>
            <w:tcW w:w="1523" w:type="dxa"/>
            <w:tcBorders>
              <w:right w:val="single" w:sz="4" w:space="0" w:color="auto"/>
            </w:tcBorders>
            <w:shd w:val="clear" w:color="auto" w:fill="auto"/>
            <w:vAlign w:val="center"/>
          </w:tcPr>
          <w:p w14:paraId="778557EC"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40 (▲14%)</w:t>
            </w:r>
          </w:p>
        </w:tc>
      </w:tr>
      <w:tr w:rsidR="00F2350B" w:rsidRPr="00373DCC" w14:paraId="67941FC6" w14:textId="77777777" w:rsidTr="00710B91">
        <w:trPr>
          <w:cantSplit/>
          <w:trHeight w:val="340"/>
          <w:tblHeader/>
        </w:trPr>
        <w:tc>
          <w:tcPr>
            <w:tcW w:w="4366" w:type="dxa"/>
            <w:tcBorders>
              <w:left w:val="single" w:sz="4" w:space="0" w:color="auto"/>
            </w:tcBorders>
            <w:shd w:val="clear" w:color="auto" w:fill="auto"/>
            <w:vAlign w:val="center"/>
          </w:tcPr>
          <w:p w14:paraId="5B999FA4"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Extension of Indications - Generic</w:t>
            </w:r>
          </w:p>
        </w:tc>
        <w:tc>
          <w:tcPr>
            <w:tcW w:w="1783" w:type="dxa"/>
            <w:gridSpan w:val="2"/>
            <w:shd w:val="clear" w:color="auto" w:fill="auto"/>
            <w:vAlign w:val="center"/>
          </w:tcPr>
          <w:p w14:paraId="2F8E3417"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shd w:val="clear" w:color="auto" w:fill="auto"/>
            <w:vAlign w:val="center"/>
          </w:tcPr>
          <w:p w14:paraId="7D71243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40</w:t>
            </w:r>
          </w:p>
        </w:tc>
        <w:tc>
          <w:tcPr>
            <w:tcW w:w="1523" w:type="dxa"/>
            <w:tcBorders>
              <w:right w:val="single" w:sz="4" w:space="0" w:color="auto"/>
            </w:tcBorders>
            <w:shd w:val="clear" w:color="auto" w:fill="auto"/>
            <w:vAlign w:val="center"/>
          </w:tcPr>
          <w:p w14:paraId="7886D486"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35 (▼11%)</w:t>
            </w:r>
          </w:p>
        </w:tc>
      </w:tr>
      <w:tr w:rsidR="00F2350B" w:rsidRPr="00373DCC" w14:paraId="5AB9D8FE" w14:textId="77777777" w:rsidTr="00710B91">
        <w:trPr>
          <w:cantSplit/>
          <w:trHeight w:val="340"/>
          <w:tblHeader/>
        </w:trPr>
        <w:tc>
          <w:tcPr>
            <w:tcW w:w="4366" w:type="dxa"/>
            <w:tcBorders>
              <w:left w:val="single" w:sz="4" w:space="0" w:color="auto"/>
            </w:tcBorders>
            <w:shd w:val="clear" w:color="auto" w:fill="auto"/>
          </w:tcPr>
          <w:p w14:paraId="3893DBF3"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Safety-related request [SRR]</w:t>
            </w:r>
          </w:p>
        </w:tc>
        <w:tc>
          <w:tcPr>
            <w:tcW w:w="1783" w:type="dxa"/>
            <w:gridSpan w:val="2"/>
            <w:shd w:val="clear" w:color="auto" w:fill="auto"/>
            <w:vAlign w:val="center"/>
          </w:tcPr>
          <w:p w14:paraId="1B69DE22"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N/A</w:t>
            </w:r>
          </w:p>
        </w:tc>
        <w:tc>
          <w:tcPr>
            <w:tcW w:w="1619" w:type="dxa"/>
            <w:shd w:val="clear" w:color="auto" w:fill="auto"/>
            <w:vAlign w:val="center"/>
          </w:tcPr>
          <w:p w14:paraId="477B848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37</w:t>
            </w:r>
          </w:p>
        </w:tc>
        <w:tc>
          <w:tcPr>
            <w:tcW w:w="1523" w:type="dxa"/>
            <w:tcBorders>
              <w:right w:val="single" w:sz="4" w:space="0" w:color="auto"/>
            </w:tcBorders>
            <w:shd w:val="clear" w:color="auto" w:fill="auto"/>
            <w:vAlign w:val="center"/>
          </w:tcPr>
          <w:p w14:paraId="6899435B"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39 (▲5%)</w:t>
            </w:r>
          </w:p>
        </w:tc>
      </w:tr>
      <w:tr w:rsidR="00F2350B" w:rsidRPr="00373DCC" w14:paraId="7A7FCE92" w14:textId="77777777" w:rsidTr="00710B91">
        <w:trPr>
          <w:cantSplit/>
          <w:trHeight w:val="340"/>
          <w:tblHeader/>
        </w:trPr>
        <w:tc>
          <w:tcPr>
            <w:tcW w:w="4366" w:type="dxa"/>
            <w:tcBorders>
              <w:left w:val="single" w:sz="4" w:space="0" w:color="auto"/>
            </w:tcBorders>
            <w:shd w:val="clear" w:color="auto" w:fill="auto"/>
          </w:tcPr>
          <w:p w14:paraId="26C6676F"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Self-assessable request [SAR]</w:t>
            </w:r>
          </w:p>
        </w:tc>
        <w:tc>
          <w:tcPr>
            <w:tcW w:w="1783" w:type="dxa"/>
            <w:gridSpan w:val="2"/>
            <w:shd w:val="clear" w:color="auto" w:fill="auto"/>
            <w:vAlign w:val="center"/>
          </w:tcPr>
          <w:p w14:paraId="247ADB07"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shd w:val="clear" w:color="auto" w:fill="auto"/>
            <w:vAlign w:val="center"/>
          </w:tcPr>
          <w:p w14:paraId="18315CE2"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32</w:t>
            </w:r>
          </w:p>
        </w:tc>
        <w:tc>
          <w:tcPr>
            <w:tcW w:w="1523" w:type="dxa"/>
            <w:tcBorders>
              <w:right w:val="single" w:sz="4" w:space="0" w:color="auto"/>
            </w:tcBorders>
            <w:shd w:val="clear" w:color="auto" w:fill="auto"/>
            <w:vAlign w:val="center"/>
          </w:tcPr>
          <w:p w14:paraId="38C50C90"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31 (▼5%)</w:t>
            </w:r>
          </w:p>
        </w:tc>
      </w:tr>
      <w:tr w:rsidR="00F2350B" w:rsidRPr="00373DCC" w14:paraId="1E7E7ACC" w14:textId="77777777" w:rsidTr="00710B91">
        <w:trPr>
          <w:cantSplit/>
          <w:trHeight w:val="340"/>
          <w:tblHeader/>
        </w:trPr>
        <w:tc>
          <w:tcPr>
            <w:tcW w:w="4366" w:type="dxa"/>
            <w:tcBorders>
              <w:left w:val="single" w:sz="4" w:space="0" w:color="auto"/>
            </w:tcBorders>
            <w:shd w:val="clear" w:color="auto" w:fill="auto"/>
          </w:tcPr>
          <w:p w14:paraId="1424A436"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Minor editorial change [MEC]</w:t>
            </w:r>
          </w:p>
        </w:tc>
        <w:tc>
          <w:tcPr>
            <w:tcW w:w="1783" w:type="dxa"/>
            <w:gridSpan w:val="2"/>
            <w:shd w:val="clear" w:color="auto" w:fill="auto"/>
            <w:vAlign w:val="center"/>
          </w:tcPr>
          <w:p w14:paraId="5CBC781E"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45</w:t>
            </w:r>
          </w:p>
        </w:tc>
        <w:tc>
          <w:tcPr>
            <w:tcW w:w="1619" w:type="dxa"/>
            <w:shd w:val="clear" w:color="auto" w:fill="auto"/>
            <w:vAlign w:val="center"/>
          </w:tcPr>
          <w:p w14:paraId="45590232"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33</w:t>
            </w:r>
          </w:p>
        </w:tc>
        <w:tc>
          <w:tcPr>
            <w:tcW w:w="1523" w:type="dxa"/>
            <w:tcBorders>
              <w:right w:val="single" w:sz="4" w:space="0" w:color="auto"/>
            </w:tcBorders>
            <w:shd w:val="clear" w:color="auto" w:fill="auto"/>
            <w:vAlign w:val="center"/>
          </w:tcPr>
          <w:p w14:paraId="02B61634"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35 (▲6%)</w:t>
            </w:r>
          </w:p>
        </w:tc>
      </w:tr>
      <w:tr w:rsidR="00F2350B" w:rsidRPr="00373DCC" w14:paraId="54153B22" w14:textId="77777777" w:rsidTr="00710B91">
        <w:trPr>
          <w:cantSplit/>
          <w:trHeight w:val="340"/>
          <w:tblHeader/>
        </w:trPr>
        <w:tc>
          <w:tcPr>
            <w:tcW w:w="4366" w:type="dxa"/>
            <w:tcBorders>
              <w:left w:val="single" w:sz="4" w:space="0" w:color="auto"/>
            </w:tcBorders>
            <w:shd w:val="clear" w:color="auto" w:fill="auto"/>
          </w:tcPr>
          <w:p w14:paraId="75399689" w14:textId="77777777" w:rsidR="00F2350B" w:rsidRPr="00373DCC" w:rsidRDefault="00F2350B" w:rsidP="00710B91">
            <w:pPr>
              <w:keepLines/>
              <w:widowControl w:val="0"/>
              <w:spacing w:line="240" w:lineRule="atLeast"/>
              <w:contextualSpacing/>
              <w:rPr>
                <w:rFonts w:cs="Arial"/>
                <w:sz w:val="21"/>
              </w:rPr>
            </w:pPr>
            <w:r w:rsidRPr="00373DCC">
              <w:rPr>
                <w:rFonts w:cs="Arial"/>
                <w:sz w:val="21"/>
              </w:rPr>
              <w:t>Correction [9D(1)]</w:t>
            </w:r>
          </w:p>
        </w:tc>
        <w:tc>
          <w:tcPr>
            <w:tcW w:w="1783" w:type="dxa"/>
            <w:gridSpan w:val="2"/>
            <w:shd w:val="clear" w:color="auto" w:fill="auto"/>
            <w:vAlign w:val="center"/>
          </w:tcPr>
          <w:p w14:paraId="3D50FFFA"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N/A</w:t>
            </w:r>
          </w:p>
        </w:tc>
        <w:tc>
          <w:tcPr>
            <w:tcW w:w="1619" w:type="dxa"/>
            <w:shd w:val="clear" w:color="auto" w:fill="auto"/>
            <w:vAlign w:val="center"/>
          </w:tcPr>
          <w:p w14:paraId="6778FD8C"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42</w:t>
            </w:r>
          </w:p>
        </w:tc>
        <w:tc>
          <w:tcPr>
            <w:tcW w:w="1523" w:type="dxa"/>
            <w:tcBorders>
              <w:right w:val="single" w:sz="4" w:space="0" w:color="auto"/>
            </w:tcBorders>
            <w:shd w:val="clear" w:color="auto" w:fill="auto"/>
            <w:vAlign w:val="center"/>
          </w:tcPr>
          <w:p w14:paraId="27A3DAFF" w14:textId="77777777" w:rsidR="00F2350B" w:rsidRPr="00373DCC" w:rsidRDefault="00F2350B" w:rsidP="00710B91">
            <w:pPr>
              <w:keepLines/>
              <w:widowControl w:val="0"/>
              <w:spacing w:line="240" w:lineRule="atLeast"/>
              <w:contextualSpacing/>
              <w:jc w:val="right"/>
              <w:rPr>
                <w:rFonts w:cs="Arial"/>
                <w:sz w:val="21"/>
              </w:rPr>
            </w:pPr>
            <w:r w:rsidRPr="00373DCC">
              <w:rPr>
                <w:rFonts w:cs="Arial"/>
                <w:sz w:val="21"/>
              </w:rPr>
              <w:t>41 (▼4%)</w:t>
            </w:r>
          </w:p>
        </w:tc>
      </w:tr>
    </w:tbl>
    <w:p w14:paraId="4D8A60AA" w14:textId="77777777" w:rsidR="00F2350B" w:rsidRPr="00373DCC" w:rsidRDefault="00F2350B" w:rsidP="00F2350B">
      <w:pPr>
        <w:widowControl w:val="0"/>
        <w:spacing w:before="0" w:after="0" w:line="240" w:lineRule="auto"/>
        <w:contextualSpacing/>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Application type A figures do not include submissions processed via the priority review pathway.</w:t>
      </w:r>
      <w:r w:rsidRPr="00E25F33">
        <w:rPr>
          <w:rFonts w:eastAsia="Cambria" w:cs="Arial"/>
          <w:color w:val="000000"/>
          <w:sz w:val="16"/>
          <w:szCs w:val="16"/>
        </w:rPr>
        <w:t xml:space="preserve"> </w:t>
      </w:r>
      <w:r>
        <w:rPr>
          <w:rFonts w:eastAsia="Cambria" w:cs="Arial"/>
          <w:color w:val="000000"/>
          <w:sz w:val="16"/>
          <w:szCs w:val="16"/>
        </w:rPr>
        <w:t>F</w:t>
      </w:r>
      <w:r w:rsidRPr="00373DCC">
        <w:rPr>
          <w:rFonts w:eastAsia="Cambria" w:cs="Arial"/>
          <w:color w:val="000000"/>
          <w:sz w:val="16"/>
          <w:szCs w:val="16"/>
        </w:rPr>
        <w:t>or new chemical entities, new combinations, extension of indications, new generic medicines and major variations. During these periods, volumes of submission approvals for 2021-22 and 2022-23 were: standard - 201 and 197, priority review - 8 and 9, provisional approval - 28 and 28, COR-A - 5 and 7 and COR-B - 12 and 17, respectively.</w:t>
      </w:r>
    </w:p>
    <w:p w14:paraId="50AB4761" w14:textId="77777777" w:rsidR="00F2350B" w:rsidRPr="00373DCC" w:rsidRDefault="00F2350B" w:rsidP="00F2350B">
      <w:pPr>
        <w:widowControl w:val="0"/>
        <w:spacing w:before="0" w:after="0" w:line="240" w:lineRule="auto"/>
        <w:contextualSpacing/>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Application type C figures do not include submissions processed via the priority review pathway.</w:t>
      </w:r>
    </w:p>
    <w:p w14:paraId="55DE241C" w14:textId="77777777" w:rsidR="00F2350B" w:rsidRPr="00373DCC" w:rsidRDefault="00F2350B" w:rsidP="00F2350B">
      <w:pPr>
        <w:widowControl w:val="0"/>
        <w:spacing w:before="0" w:after="0" w:line="240" w:lineRule="auto"/>
        <w:contextualSpacing/>
        <w:rPr>
          <w:rFonts w:eastAsia="Cambria" w:cs="Arial"/>
          <w:sz w:val="16"/>
          <w:szCs w:val="16"/>
        </w:rPr>
      </w:pPr>
      <w:r w:rsidRPr="00373DCC">
        <w:rPr>
          <w:rFonts w:eastAsia="Cambria" w:cs="Arial"/>
          <w:sz w:val="16"/>
          <w:szCs w:val="16"/>
          <w:vertAlign w:val="superscript"/>
        </w:rPr>
        <w:t xml:space="preserve">c </w:t>
      </w:r>
      <w:r w:rsidRPr="00373DCC">
        <w:rPr>
          <w:rFonts w:eastAsia="Cambria" w:cs="Arial"/>
          <w:sz w:val="16"/>
          <w:szCs w:val="16"/>
        </w:rPr>
        <w:t>The type G minor variations differ from type H minor variations in that they result in a new ARTG entry, which may or may not result in a new AUST R number. Type G applications are typically ‘Category 3’ changes unless the supporting scientific package contains non-clinical or clinical data in which case the application is a ‘Category 1’ application.</w:t>
      </w:r>
    </w:p>
    <w:p w14:paraId="461C3823" w14:textId="77777777" w:rsidR="00F2350B" w:rsidRPr="00E25F33" w:rsidRDefault="00F2350B" w:rsidP="00F2350B">
      <w:pPr>
        <w:widowControl w:val="0"/>
        <w:spacing w:before="0" w:after="0" w:line="240" w:lineRule="auto"/>
        <w:contextualSpacing/>
        <w:rPr>
          <w:rFonts w:eastAsia="Cambria" w:cs="Arial"/>
          <w:sz w:val="16"/>
          <w:szCs w:val="16"/>
        </w:rPr>
      </w:pPr>
      <w:r w:rsidRPr="00373DCC">
        <w:rPr>
          <w:rFonts w:eastAsia="Cambria" w:cs="Arial"/>
          <w:sz w:val="16"/>
          <w:szCs w:val="16"/>
          <w:vertAlign w:val="superscript"/>
        </w:rPr>
        <w:t xml:space="preserve">d </w:t>
      </w:r>
      <w:r w:rsidRPr="00373DCC">
        <w:rPr>
          <w:rFonts w:eastAsia="Cambria" w:cs="Arial"/>
          <w:sz w:val="16"/>
          <w:szCs w:val="16"/>
        </w:rPr>
        <w:t>that vary the existing good. As with type G applications, type H applications are typically ‘Category 3’ changes unless the supporting scientific package contains non-clinical or clinical data in which case the application is a ‘Category 1’ application.</w:t>
      </w:r>
    </w:p>
    <w:p w14:paraId="43A27B1E" w14:textId="77777777" w:rsidR="00F2350B" w:rsidRPr="00373DCC" w:rsidRDefault="00F2350B" w:rsidP="00ED1A1F">
      <w:pPr>
        <w:pStyle w:val="Heading3-numbered"/>
        <w:numPr>
          <w:ilvl w:val="1"/>
          <w:numId w:val="21"/>
        </w:numPr>
        <w:rPr>
          <w:rFonts w:ascii="Arial" w:hAnsi="Arial" w:cs="Arial"/>
        </w:rPr>
      </w:pPr>
      <w:r w:rsidRPr="00373DCC">
        <w:rPr>
          <w:rFonts w:ascii="Arial" w:hAnsi="Arial" w:cs="Arial"/>
        </w:rPr>
        <w:lastRenderedPageBreak/>
        <w:t xml:space="preserve"> </w:t>
      </w:r>
      <w:bookmarkStart w:id="94" w:name="_Toc153550449"/>
      <w:r w:rsidRPr="00373DCC">
        <w:rPr>
          <w:rFonts w:ascii="Arial" w:hAnsi="Arial" w:cs="Arial"/>
        </w:rPr>
        <w:t>Orphan drug designations</w:t>
      </w:r>
      <w:bookmarkEnd w:id="94"/>
    </w:p>
    <w:p w14:paraId="4B5A1706" w14:textId="77777777" w:rsidR="00F2350B" w:rsidRPr="00373DCC" w:rsidRDefault="00F2350B" w:rsidP="00F2350B">
      <w:pPr>
        <w:keepNext/>
        <w:spacing w:after="180" w:line="240" w:lineRule="atLeast"/>
        <w:rPr>
          <w:rFonts w:eastAsia="Cambria" w:cs="Arial"/>
          <w:sz w:val="21"/>
          <w:szCs w:val="20"/>
        </w:rPr>
      </w:pPr>
      <w:r w:rsidRPr="00373DCC">
        <w:rPr>
          <w:rFonts w:eastAsia="Cambria" w:cs="Arial"/>
          <w:sz w:val="21"/>
          <w:szCs w:val="20"/>
        </w:rPr>
        <w:t xml:space="preserve">The orphan drug program incentivises sponsors with a 100% waiver of TGA fees for application/registration, to commercialise niche market medication for patients in need. </w:t>
      </w:r>
    </w:p>
    <w:p w14:paraId="5A3214F3" w14:textId="77777777" w:rsidR="00F2350B" w:rsidRPr="00373DCC" w:rsidRDefault="00F2350B" w:rsidP="00F2350B">
      <w:pPr>
        <w:keepNext/>
        <w:spacing w:after="180" w:line="240" w:lineRule="atLeast"/>
        <w:rPr>
          <w:rFonts w:eastAsia="Cambria" w:cs="Arial"/>
          <w:sz w:val="21"/>
          <w:szCs w:val="20"/>
        </w:rPr>
      </w:pPr>
      <w:r w:rsidRPr="00373DCC">
        <w:rPr>
          <w:rFonts w:eastAsia="Cambria" w:cs="Arial"/>
          <w:sz w:val="21"/>
          <w:szCs w:val="20"/>
        </w:rPr>
        <w:t xml:space="preserve">Prior to the registration application process, the Designation process allows us to ascertain if a medicine is eligible for orphan drug classification or possible waiver of fees keeping in mind the criteria of an unmet medicine in the market. </w:t>
      </w:r>
    </w:p>
    <w:p w14:paraId="4E5A8AF7"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 xml:space="preserve">Table 5: Number of orphan drug registrations </w:t>
      </w:r>
    </w:p>
    <w:tbl>
      <w:tblPr>
        <w:tblStyle w:val="TableTGAblue"/>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1802"/>
        <w:gridCol w:w="1379"/>
        <w:gridCol w:w="1808"/>
        <w:gridCol w:w="1288"/>
      </w:tblGrid>
      <w:tr w:rsidR="00F2350B" w:rsidRPr="00373DCC" w14:paraId="63A19037" w14:textId="77777777" w:rsidTr="006977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86" w:type="pct"/>
            <w:tcBorders>
              <w:top w:val="nil"/>
              <w:left w:val="nil"/>
              <w:right w:val="single" w:sz="4" w:space="0" w:color="000000"/>
            </w:tcBorders>
            <w:shd w:val="clear" w:color="auto" w:fill="FFFFFF" w:themeFill="background1"/>
            <w:vAlign w:val="center"/>
          </w:tcPr>
          <w:p w14:paraId="0291F3A9" w14:textId="77777777" w:rsidR="00F2350B" w:rsidRPr="00373DCC" w:rsidRDefault="00F2350B" w:rsidP="0069779B">
            <w:pPr>
              <w:keepLines/>
              <w:spacing w:line="240" w:lineRule="atLeast"/>
              <w:ind w:left="720"/>
              <w:contextualSpacing/>
              <w:jc w:val="center"/>
              <w:rPr>
                <w:rFonts w:cs="Arial"/>
                <w:sz w:val="21"/>
              </w:rPr>
            </w:pPr>
          </w:p>
        </w:tc>
        <w:tc>
          <w:tcPr>
            <w:tcW w:w="1781" w:type="pct"/>
            <w:gridSpan w:val="2"/>
            <w:tcBorders>
              <w:top w:val="single" w:sz="4" w:space="0" w:color="000000"/>
              <w:left w:val="single" w:sz="4" w:space="0" w:color="000000"/>
              <w:bottom w:val="single" w:sz="4" w:space="0" w:color="000000"/>
              <w:right w:val="single" w:sz="4" w:space="0" w:color="000000"/>
            </w:tcBorders>
            <w:shd w:val="clear" w:color="auto" w:fill="29527F"/>
            <w:vAlign w:val="center"/>
          </w:tcPr>
          <w:p w14:paraId="343D4A46" w14:textId="31EA96A2"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1733" w:type="pct"/>
            <w:gridSpan w:val="2"/>
            <w:tcBorders>
              <w:top w:val="single" w:sz="4" w:space="0" w:color="000000"/>
              <w:left w:val="single" w:sz="4" w:space="0" w:color="000000"/>
              <w:bottom w:val="single" w:sz="4" w:space="0" w:color="000000"/>
              <w:right w:val="single" w:sz="4" w:space="0" w:color="000000"/>
            </w:tcBorders>
            <w:shd w:val="clear" w:color="auto" w:fill="29527F"/>
            <w:vAlign w:val="center"/>
          </w:tcPr>
          <w:p w14:paraId="2E573BE5" w14:textId="4B552B56"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tr w:rsidR="00F2350B" w:rsidRPr="00373DCC" w14:paraId="1C17608E" w14:textId="77777777" w:rsidTr="0069779B">
        <w:trPr>
          <w:trHeight w:val="340"/>
        </w:trPr>
        <w:tc>
          <w:tcPr>
            <w:cnfStyle w:val="001000000000" w:firstRow="0" w:lastRow="0" w:firstColumn="1" w:lastColumn="0" w:oddVBand="0" w:evenVBand="0" w:oddHBand="0" w:evenHBand="0" w:firstRowFirstColumn="0" w:firstRowLastColumn="0" w:lastRowFirstColumn="0" w:lastRowLastColumn="0"/>
            <w:tcW w:w="1486" w:type="pct"/>
            <w:tcBorders>
              <w:top w:val="single" w:sz="4" w:space="0" w:color="auto"/>
              <w:left w:val="single" w:sz="4" w:space="0" w:color="auto"/>
              <w:bottom w:val="single" w:sz="4" w:space="0" w:color="auto"/>
              <w:right w:val="single" w:sz="4" w:space="0" w:color="auto"/>
            </w:tcBorders>
            <w:shd w:val="clear" w:color="auto" w:fill="ADBBD0"/>
            <w:vAlign w:val="center"/>
          </w:tcPr>
          <w:p w14:paraId="1CEE11E5" w14:textId="77777777" w:rsidR="00F2350B" w:rsidRPr="00373DCC" w:rsidRDefault="00F2350B" w:rsidP="0069779B">
            <w:pPr>
              <w:keepNext/>
              <w:keepLines/>
              <w:tabs>
                <w:tab w:val="left" w:pos="1021"/>
                <w:tab w:val="left" w:pos="1134"/>
              </w:tabs>
              <w:jc w:val="center"/>
              <w:outlineLvl w:val="4"/>
              <w:rPr>
                <w:rFonts w:cs="Arial"/>
                <w:sz w:val="21"/>
              </w:rPr>
            </w:pPr>
            <w:r w:rsidRPr="00373DCC">
              <w:rPr>
                <w:rFonts w:cs="Arial"/>
                <w:sz w:val="21"/>
              </w:rPr>
              <w:t>Application Type</w:t>
            </w:r>
          </w:p>
        </w:tc>
        <w:tc>
          <w:tcPr>
            <w:tcW w:w="1009" w:type="pct"/>
            <w:tcBorders>
              <w:top w:val="single" w:sz="4" w:space="0" w:color="000000"/>
              <w:left w:val="single" w:sz="4" w:space="0" w:color="auto"/>
              <w:bottom w:val="single" w:sz="4" w:space="0" w:color="auto"/>
              <w:right w:val="single" w:sz="4" w:space="0" w:color="auto"/>
            </w:tcBorders>
            <w:shd w:val="clear" w:color="auto" w:fill="ADBBD0"/>
            <w:vAlign w:val="center"/>
          </w:tcPr>
          <w:p w14:paraId="743131AA"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w:t>
            </w:r>
          </w:p>
          <w:p w14:paraId="1E4B3ECC"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of Total)</w:t>
            </w:r>
          </w:p>
        </w:tc>
        <w:tc>
          <w:tcPr>
            <w:tcW w:w="772" w:type="pct"/>
            <w:tcBorders>
              <w:top w:val="single" w:sz="4" w:space="0" w:color="000000"/>
              <w:left w:val="single" w:sz="4" w:space="0" w:color="auto"/>
              <w:bottom w:val="single" w:sz="4" w:space="0" w:color="auto"/>
              <w:right w:val="single" w:sz="4" w:space="0" w:color="auto"/>
            </w:tcBorders>
            <w:shd w:val="clear" w:color="auto" w:fill="ADBBD0"/>
            <w:vAlign w:val="center"/>
          </w:tcPr>
          <w:p w14:paraId="47B4CB49"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Median approval time (TGA working days)</w:t>
            </w:r>
          </w:p>
        </w:tc>
        <w:tc>
          <w:tcPr>
            <w:tcW w:w="1012" w:type="pct"/>
            <w:tcBorders>
              <w:top w:val="single" w:sz="4" w:space="0" w:color="000000"/>
              <w:left w:val="single" w:sz="4" w:space="0" w:color="auto"/>
              <w:bottom w:val="single" w:sz="4" w:space="0" w:color="auto"/>
              <w:right w:val="single" w:sz="4" w:space="0" w:color="auto"/>
            </w:tcBorders>
            <w:shd w:val="clear" w:color="auto" w:fill="ADBBD0"/>
            <w:vAlign w:val="center"/>
          </w:tcPr>
          <w:p w14:paraId="7DE78BAE"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w:t>
            </w:r>
          </w:p>
          <w:p w14:paraId="36E67C16"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of Total)</w:t>
            </w:r>
          </w:p>
        </w:tc>
        <w:tc>
          <w:tcPr>
            <w:tcW w:w="721" w:type="pct"/>
            <w:tcBorders>
              <w:top w:val="single" w:sz="4" w:space="0" w:color="000000"/>
              <w:left w:val="single" w:sz="4" w:space="0" w:color="auto"/>
              <w:bottom w:val="single" w:sz="4" w:space="0" w:color="auto"/>
              <w:right w:val="single" w:sz="4" w:space="0" w:color="auto"/>
            </w:tcBorders>
            <w:shd w:val="clear" w:color="auto" w:fill="ADBBD0"/>
            <w:vAlign w:val="center"/>
          </w:tcPr>
          <w:p w14:paraId="433324CB"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Median approval time (TGA working days)</w:t>
            </w:r>
          </w:p>
        </w:tc>
      </w:tr>
      <w:tr w:rsidR="00F2350B" w:rsidRPr="00373DCC" w14:paraId="1AA2E02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47DFF523" w14:textId="77777777" w:rsidR="00F2350B" w:rsidRPr="00373DCC" w:rsidRDefault="00F2350B" w:rsidP="00710B91">
            <w:pPr>
              <w:spacing w:before="0" w:after="0" w:line="240" w:lineRule="atLeast"/>
              <w:rPr>
                <w:rFonts w:cs="Arial"/>
                <w:sz w:val="21"/>
              </w:rPr>
            </w:pPr>
            <w:r w:rsidRPr="00373DCC">
              <w:rPr>
                <w:rFonts w:cs="Arial"/>
                <w:sz w:val="21"/>
              </w:rPr>
              <w:t>A: New chemical entity/New biological entity/Biosimilar</w:t>
            </w:r>
          </w:p>
        </w:tc>
        <w:tc>
          <w:tcPr>
            <w:tcW w:w="1009" w:type="pct"/>
            <w:vAlign w:val="center"/>
          </w:tcPr>
          <w:p w14:paraId="75CC197A"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 (70%)</w:t>
            </w:r>
          </w:p>
        </w:tc>
        <w:tc>
          <w:tcPr>
            <w:tcW w:w="772" w:type="pct"/>
            <w:vAlign w:val="center"/>
          </w:tcPr>
          <w:p w14:paraId="31FA4E63"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163</w:t>
            </w:r>
          </w:p>
        </w:tc>
        <w:tc>
          <w:tcPr>
            <w:tcW w:w="1012" w:type="pct"/>
            <w:vAlign w:val="center"/>
          </w:tcPr>
          <w:p w14:paraId="6A9E098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 (48%)</w:t>
            </w:r>
          </w:p>
        </w:tc>
        <w:tc>
          <w:tcPr>
            <w:tcW w:w="721" w:type="pct"/>
            <w:vAlign w:val="center"/>
          </w:tcPr>
          <w:p w14:paraId="4BE13B0B"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191</w:t>
            </w:r>
          </w:p>
        </w:tc>
      </w:tr>
      <w:tr w:rsidR="00F2350B" w:rsidRPr="00373DCC" w14:paraId="7AA7EDF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757DF2C2" w14:textId="77777777" w:rsidR="00F2350B" w:rsidRPr="00373DCC" w:rsidRDefault="00F2350B" w:rsidP="00710B91">
            <w:pPr>
              <w:spacing w:before="0" w:after="0" w:line="240" w:lineRule="atLeast"/>
              <w:rPr>
                <w:rFonts w:cs="Arial"/>
                <w:sz w:val="21"/>
              </w:rPr>
            </w:pPr>
            <w:r w:rsidRPr="00373DCC">
              <w:rPr>
                <w:rFonts w:cs="Arial"/>
                <w:sz w:val="21"/>
              </w:rPr>
              <w:t>C: Extension of indications</w:t>
            </w:r>
          </w:p>
        </w:tc>
        <w:tc>
          <w:tcPr>
            <w:tcW w:w="1009" w:type="pct"/>
            <w:vAlign w:val="center"/>
          </w:tcPr>
          <w:p w14:paraId="7BD6FE53"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(26%)</w:t>
            </w:r>
          </w:p>
        </w:tc>
        <w:tc>
          <w:tcPr>
            <w:tcW w:w="772" w:type="pct"/>
            <w:vAlign w:val="center"/>
          </w:tcPr>
          <w:p w14:paraId="01E7AE1E"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196</w:t>
            </w:r>
          </w:p>
        </w:tc>
        <w:tc>
          <w:tcPr>
            <w:tcW w:w="1012" w:type="pct"/>
            <w:vAlign w:val="center"/>
          </w:tcPr>
          <w:p w14:paraId="300F6108"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(38%)</w:t>
            </w:r>
          </w:p>
        </w:tc>
        <w:tc>
          <w:tcPr>
            <w:tcW w:w="721" w:type="pct"/>
            <w:vAlign w:val="center"/>
          </w:tcPr>
          <w:p w14:paraId="590A4939"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181</w:t>
            </w:r>
          </w:p>
        </w:tc>
      </w:tr>
      <w:tr w:rsidR="00F2350B" w:rsidRPr="00373DCC" w14:paraId="5FD7839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176109E7" w14:textId="77777777" w:rsidR="00F2350B" w:rsidRPr="00373DCC" w:rsidRDefault="00F2350B" w:rsidP="00710B91">
            <w:pPr>
              <w:spacing w:before="0" w:after="0" w:line="240" w:lineRule="atLeast"/>
              <w:rPr>
                <w:rFonts w:cs="Arial"/>
                <w:sz w:val="21"/>
              </w:rPr>
            </w:pPr>
            <w:r w:rsidRPr="00373DCC">
              <w:rPr>
                <w:rFonts w:cs="Arial"/>
                <w:sz w:val="21"/>
              </w:rPr>
              <w:t>D: New generic medicine</w:t>
            </w:r>
          </w:p>
        </w:tc>
        <w:tc>
          <w:tcPr>
            <w:tcW w:w="1009" w:type="pct"/>
            <w:vAlign w:val="center"/>
          </w:tcPr>
          <w:p w14:paraId="00C5AF6D"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(N/A)</w:t>
            </w:r>
          </w:p>
        </w:tc>
        <w:tc>
          <w:tcPr>
            <w:tcW w:w="772" w:type="pct"/>
            <w:vAlign w:val="center"/>
          </w:tcPr>
          <w:p w14:paraId="3AE7872B"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N/A</w:t>
            </w:r>
          </w:p>
        </w:tc>
        <w:tc>
          <w:tcPr>
            <w:tcW w:w="1012" w:type="pct"/>
            <w:vAlign w:val="center"/>
          </w:tcPr>
          <w:p w14:paraId="5F395AA8" w14:textId="77777777" w:rsidR="00F2350B" w:rsidRPr="00373DCC" w:rsidDel="004E3120"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(10%)</w:t>
            </w:r>
          </w:p>
        </w:tc>
        <w:tc>
          <w:tcPr>
            <w:tcW w:w="721" w:type="pct"/>
            <w:vAlign w:val="center"/>
          </w:tcPr>
          <w:p w14:paraId="3657C2C3" w14:textId="77777777" w:rsidR="00F2350B" w:rsidRPr="00373DCC" w:rsidDel="004E3120"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181</w:t>
            </w:r>
          </w:p>
        </w:tc>
      </w:tr>
      <w:tr w:rsidR="00F2350B" w:rsidRPr="00373DCC" w14:paraId="2A0ABC7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9E0F087" w14:textId="77777777" w:rsidR="00F2350B" w:rsidRPr="00373DCC" w:rsidRDefault="00F2350B" w:rsidP="00710B91">
            <w:pPr>
              <w:spacing w:before="0" w:after="0" w:line="240" w:lineRule="atLeast"/>
              <w:rPr>
                <w:rFonts w:cs="Arial"/>
                <w:sz w:val="21"/>
              </w:rPr>
            </w:pPr>
            <w:r w:rsidRPr="00373DCC">
              <w:rPr>
                <w:rFonts w:cs="Arial"/>
                <w:sz w:val="21"/>
              </w:rPr>
              <w:t>F: Major variation</w:t>
            </w:r>
          </w:p>
        </w:tc>
        <w:tc>
          <w:tcPr>
            <w:tcW w:w="1009" w:type="pct"/>
            <w:vAlign w:val="center"/>
          </w:tcPr>
          <w:p w14:paraId="75786AB8"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(4%)</w:t>
            </w:r>
          </w:p>
        </w:tc>
        <w:tc>
          <w:tcPr>
            <w:tcW w:w="772" w:type="pct"/>
            <w:vAlign w:val="center"/>
          </w:tcPr>
          <w:p w14:paraId="27A30277"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174</w:t>
            </w:r>
          </w:p>
        </w:tc>
        <w:tc>
          <w:tcPr>
            <w:tcW w:w="1012" w:type="pct"/>
            <w:vAlign w:val="center"/>
          </w:tcPr>
          <w:p w14:paraId="33A25F2E"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(4%)</w:t>
            </w:r>
          </w:p>
        </w:tc>
        <w:tc>
          <w:tcPr>
            <w:tcW w:w="721" w:type="pct"/>
            <w:vAlign w:val="center"/>
          </w:tcPr>
          <w:p w14:paraId="772A3A47"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172</w:t>
            </w:r>
          </w:p>
        </w:tc>
      </w:tr>
      <w:tr w:rsidR="00F2350B" w:rsidRPr="00373DCC" w14:paraId="5D97CE5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486" w:type="pct"/>
            <w:shd w:val="clear" w:color="auto" w:fill="C6D4E9"/>
            <w:vAlign w:val="center"/>
          </w:tcPr>
          <w:p w14:paraId="78EBFE42" w14:textId="77777777" w:rsidR="00F2350B" w:rsidRPr="00373DCC" w:rsidRDefault="00F2350B" w:rsidP="00710B91">
            <w:pPr>
              <w:spacing w:before="0" w:after="0" w:line="240" w:lineRule="atLeast"/>
              <w:rPr>
                <w:rFonts w:cs="Arial"/>
                <w:sz w:val="21"/>
              </w:rPr>
            </w:pPr>
            <w:r w:rsidRPr="00373DCC">
              <w:rPr>
                <w:rFonts w:cs="Arial"/>
                <w:sz w:val="21"/>
              </w:rPr>
              <w:t>Total</w:t>
            </w:r>
          </w:p>
        </w:tc>
        <w:tc>
          <w:tcPr>
            <w:tcW w:w="1009" w:type="pct"/>
            <w:shd w:val="clear" w:color="auto" w:fill="C6D4E9"/>
            <w:vAlign w:val="center"/>
          </w:tcPr>
          <w:p w14:paraId="1086278F"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23 (100%)</w:t>
            </w:r>
          </w:p>
        </w:tc>
        <w:tc>
          <w:tcPr>
            <w:tcW w:w="772" w:type="pct"/>
            <w:shd w:val="clear" w:color="auto" w:fill="C6D4E9"/>
            <w:vAlign w:val="center"/>
          </w:tcPr>
          <w:p w14:paraId="05A85CEA"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174</w:t>
            </w:r>
          </w:p>
        </w:tc>
        <w:tc>
          <w:tcPr>
            <w:tcW w:w="1012" w:type="pct"/>
            <w:shd w:val="clear" w:color="auto" w:fill="C6D4E9"/>
            <w:vAlign w:val="center"/>
          </w:tcPr>
          <w:p w14:paraId="270126D2"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 (0%)</w:t>
            </w:r>
          </w:p>
        </w:tc>
        <w:tc>
          <w:tcPr>
            <w:tcW w:w="721" w:type="pct"/>
            <w:shd w:val="clear" w:color="auto" w:fill="C6D4E9"/>
            <w:vAlign w:val="center"/>
          </w:tcPr>
          <w:p w14:paraId="723B0766"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181</w:t>
            </w:r>
          </w:p>
        </w:tc>
      </w:tr>
    </w:tbl>
    <w:p w14:paraId="23D3A3DE" w14:textId="77777777" w:rsidR="00F2350B" w:rsidRPr="00501789" w:rsidRDefault="00F2350B" w:rsidP="00F2350B">
      <w:pPr>
        <w:rPr>
          <w:rFonts w:cs="Arial"/>
          <w:sz w:val="16"/>
          <w:szCs w:val="16"/>
        </w:rPr>
      </w:pPr>
      <w:r w:rsidRPr="00501789">
        <w:rPr>
          <w:rFonts w:cs="Arial"/>
          <w:sz w:val="16"/>
          <w:szCs w:val="16"/>
        </w:rPr>
        <w:t>Orphan drug registrations and approval times are also included in the total number of applications reported in each respective application category.</w:t>
      </w:r>
    </w:p>
    <w:p w14:paraId="09424156" w14:textId="77777777" w:rsidR="00F2350B" w:rsidRPr="00373DCC" w:rsidRDefault="00F2350B" w:rsidP="00ED1A1F">
      <w:pPr>
        <w:pStyle w:val="Heading3-numbered"/>
        <w:numPr>
          <w:ilvl w:val="1"/>
          <w:numId w:val="21"/>
        </w:numPr>
        <w:rPr>
          <w:rFonts w:ascii="Arial" w:hAnsi="Arial" w:cs="Arial"/>
        </w:rPr>
      </w:pPr>
      <w:bookmarkStart w:id="95" w:name="_Toc153550450"/>
      <w:r w:rsidRPr="00373DCC">
        <w:rPr>
          <w:rFonts w:ascii="Arial" w:hAnsi="Arial" w:cs="Arial"/>
        </w:rPr>
        <w:t>Priority review pathway</w:t>
      </w:r>
      <w:bookmarkEnd w:id="95"/>
    </w:p>
    <w:p w14:paraId="4DD130DF" w14:textId="77777777" w:rsidR="00F2350B" w:rsidRDefault="00F2350B" w:rsidP="00F2350B">
      <w:pPr>
        <w:rPr>
          <w:rFonts w:cs="Arial"/>
          <w:sz w:val="21"/>
          <w:szCs w:val="21"/>
        </w:rPr>
      </w:pPr>
      <w:r w:rsidRPr="00373DCC">
        <w:rPr>
          <w:rFonts w:cs="Arial"/>
          <w:sz w:val="21"/>
          <w:szCs w:val="21"/>
        </w:rPr>
        <w:t xml:space="preserve">The priority review pathway supports patient access to vital and lifesaving prescription medicines months earlier than through the standard pathway. Priority review involves the same amount and type of evidence as the standard review process. The same standards for quality, safety and efficacy apply as under the standard process. </w:t>
      </w:r>
      <w:r>
        <w:rPr>
          <w:rFonts w:cs="Arial"/>
          <w:sz w:val="21"/>
          <w:szCs w:val="21"/>
        </w:rPr>
        <w:t>W</w:t>
      </w:r>
      <w:r w:rsidRPr="00373DCC">
        <w:rPr>
          <w:rFonts w:cs="Arial"/>
          <w:sz w:val="21"/>
          <w:szCs w:val="21"/>
        </w:rPr>
        <w:t>e</w:t>
      </w:r>
      <w:r>
        <w:rPr>
          <w:rFonts w:cs="Arial"/>
          <w:sz w:val="21"/>
          <w:szCs w:val="21"/>
        </w:rPr>
        <w:t xml:space="preserve"> </w:t>
      </w:r>
      <w:r w:rsidRPr="00373DCC">
        <w:rPr>
          <w:rFonts w:cs="Arial"/>
          <w:sz w:val="21"/>
          <w:szCs w:val="21"/>
        </w:rPr>
        <w:t>take on priority applications is much more resource intensive than the standard pathway. The pathway is reserved only for medicines that represent a major therapeutic advance. The determination process is used to assess whether a medicine is eligible for the priority pathway but does not necessarily mean that the medicine will be approved after evaluation and registered on the ARTG.</w:t>
      </w:r>
    </w:p>
    <w:p w14:paraId="6D4CB06D" w14:textId="77777777" w:rsidR="00F2350B" w:rsidRDefault="00F2350B" w:rsidP="00F2350B">
      <w:pPr>
        <w:spacing w:before="0" w:after="160" w:line="259" w:lineRule="auto"/>
        <w:rPr>
          <w:rFonts w:cs="Arial"/>
          <w:sz w:val="21"/>
          <w:szCs w:val="21"/>
        </w:rPr>
      </w:pPr>
      <w:r>
        <w:rPr>
          <w:rFonts w:cs="Arial"/>
          <w:sz w:val="21"/>
          <w:szCs w:val="21"/>
        </w:rPr>
        <w:br w:type="page"/>
      </w:r>
    </w:p>
    <w:p w14:paraId="32194880" w14:textId="77777777" w:rsidR="00F2350B" w:rsidRPr="00373DCC" w:rsidRDefault="00F2350B" w:rsidP="00F2350B">
      <w:pPr>
        <w:keepNext/>
        <w:spacing w:before="240" w:after="120" w:line="240" w:lineRule="auto"/>
        <w:rPr>
          <w:rFonts w:eastAsia="Cambria" w:cs="Arial"/>
          <w:b/>
          <w:bCs/>
          <w:sz w:val="21"/>
          <w:szCs w:val="21"/>
        </w:rPr>
      </w:pPr>
      <w:bookmarkStart w:id="96" w:name="Table6"/>
      <w:r w:rsidRPr="00373DCC">
        <w:rPr>
          <w:rFonts w:eastAsia="Cambria" w:cs="Arial"/>
          <w:b/>
          <w:bCs/>
          <w:sz w:val="21"/>
          <w:szCs w:val="21"/>
        </w:rPr>
        <w:lastRenderedPageBreak/>
        <w:t>Table 6: Number of medicines approved through the priority review pathway</w:t>
      </w:r>
      <w:r w:rsidRPr="00373DCC">
        <w:rPr>
          <w:rFonts w:eastAsia="Cambria" w:cs="Arial"/>
          <w:b/>
          <w:bCs/>
          <w:sz w:val="21"/>
          <w:szCs w:val="21"/>
          <w:vertAlign w:val="superscript"/>
        </w:rPr>
        <w:t xml:space="preserve"> a</w:t>
      </w:r>
    </w:p>
    <w:bookmarkEnd w:id="96"/>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236"/>
        <w:gridCol w:w="1512"/>
        <w:gridCol w:w="1606"/>
        <w:gridCol w:w="1335"/>
      </w:tblGrid>
      <w:tr w:rsidR="00F2350B" w:rsidRPr="00373DCC" w14:paraId="7C165F9F" w14:textId="77777777" w:rsidTr="006977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7" w:type="pct"/>
            <w:tcBorders>
              <w:top w:val="nil"/>
              <w:left w:val="nil"/>
              <w:bottom w:val="nil"/>
              <w:right w:val="single" w:sz="4" w:space="0" w:color="002C47" w:themeColor="text1"/>
            </w:tcBorders>
            <w:shd w:val="clear" w:color="auto" w:fill="FFFFFF" w:themeFill="background1"/>
            <w:vAlign w:val="center"/>
          </w:tcPr>
          <w:p w14:paraId="0EFF1691" w14:textId="77777777" w:rsidR="00F2350B" w:rsidRPr="00373DCC" w:rsidRDefault="00F2350B" w:rsidP="0069779B">
            <w:pPr>
              <w:keepLines/>
              <w:spacing w:before="0" w:after="0" w:line="240" w:lineRule="atLeast"/>
              <w:ind w:left="720"/>
              <w:contextualSpacing/>
              <w:jc w:val="center"/>
              <w:rPr>
                <w:rFonts w:cs="Arial"/>
                <w:sz w:val="21"/>
              </w:rPr>
            </w:pPr>
          </w:p>
        </w:tc>
        <w:tc>
          <w:tcPr>
            <w:tcW w:w="1523" w:type="pct"/>
            <w:gridSpan w:val="2"/>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6B1177C3" w14:textId="30523A02"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1630" w:type="pct"/>
            <w:gridSpan w:val="2"/>
            <w:tcBorders>
              <w:top w:val="single" w:sz="4" w:space="0" w:color="002C47" w:themeColor="text1"/>
              <w:left w:val="single" w:sz="4" w:space="0" w:color="002C47" w:themeColor="text1"/>
              <w:bottom w:val="single" w:sz="4" w:space="0" w:color="002C47" w:themeColor="text1"/>
              <w:right w:val="single" w:sz="4" w:space="0" w:color="002C47" w:themeColor="text1"/>
            </w:tcBorders>
            <w:shd w:val="clear" w:color="auto" w:fill="29527F"/>
            <w:vAlign w:val="center"/>
          </w:tcPr>
          <w:p w14:paraId="182C71CC" w14:textId="13906881"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tr w:rsidR="00F2350B" w:rsidRPr="00373DCC" w14:paraId="0D858F33" w14:textId="77777777" w:rsidTr="0069779B">
        <w:trPr>
          <w:trHeight w:val="340"/>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left w:val="single" w:sz="4" w:space="0" w:color="auto"/>
              <w:bottom w:val="single" w:sz="4" w:space="0" w:color="auto"/>
              <w:right w:val="single" w:sz="4" w:space="0" w:color="auto"/>
            </w:tcBorders>
            <w:shd w:val="clear" w:color="auto" w:fill="ADBBD0"/>
            <w:vAlign w:val="center"/>
          </w:tcPr>
          <w:p w14:paraId="18DA82D5" w14:textId="77777777" w:rsidR="00F2350B" w:rsidRPr="00373DCC" w:rsidRDefault="00F2350B" w:rsidP="0069779B">
            <w:pPr>
              <w:keepNext/>
              <w:keepLines/>
              <w:tabs>
                <w:tab w:val="left" w:pos="1021"/>
                <w:tab w:val="left" w:pos="1134"/>
              </w:tabs>
              <w:spacing w:before="0" w:after="0"/>
              <w:jc w:val="center"/>
              <w:outlineLvl w:val="4"/>
              <w:rPr>
                <w:rFonts w:cs="Arial"/>
                <w:sz w:val="21"/>
              </w:rPr>
            </w:pPr>
            <w:r w:rsidRPr="00373DCC">
              <w:rPr>
                <w:rFonts w:cs="Arial"/>
                <w:sz w:val="21"/>
              </w:rPr>
              <w:t>Application Type</w:t>
            </w:r>
          </w:p>
        </w:tc>
        <w:tc>
          <w:tcPr>
            <w:tcW w:w="685" w:type="pct"/>
            <w:tcBorders>
              <w:top w:val="single" w:sz="4" w:space="0" w:color="002C47" w:themeColor="text1"/>
              <w:left w:val="single" w:sz="4" w:space="0" w:color="auto"/>
              <w:bottom w:val="single" w:sz="4" w:space="0" w:color="auto"/>
              <w:right w:val="single" w:sz="4" w:space="0" w:color="auto"/>
            </w:tcBorders>
            <w:shd w:val="clear" w:color="auto" w:fill="ADBBD0"/>
            <w:vAlign w:val="center"/>
          </w:tcPr>
          <w:p w14:paraId="11D9D7CF"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 (% of Total)</w:t>
            </w:r>
          </w:p>
        </w:tc>
        <w:tc>
          <w:tcPr>
            <w:tcW w:w="838" w:type="pct"/>
            <w:tcBorders>
              <w:top w:val="single" w:sz="4" w:space="0" w:color="002C47" w:themeColor="text1"/>
              <w:left w:val="single" w:sz="4" w:space="0" w:color="auto"/>
              <w:bottom w:val="single" w:sz="4" w:space="0" w:color="auto"/>
              <w:right w:val="single" w:sz="4" w:space="0" w:color="auto"/>
            </w:tcBorders>
            <w:shd w:val="clear" w:color="auto" w:fill="ADBBD0"/>
            <w:vAlign w:val="center"/>
          </w:tcPr>
          <w:p w14:paraId="6D38DD0A"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Median approval time (TGA working days)</w:t>
            </w:r>
          </w:p>
        </w:tc>
        <w:tc>
          <w:tcPr>
            <w:tcW w:w="890" w:type="pct"/>
            <w:tcBorders>
              <w:top w:val="single" w:sz="4" w:space="0" w:color="002C47" w:themeColor="text1"/>
              <w:left w:val="single" w:sz="4" w:space="0" w:color="auto"/>
              <w:bottom w:val="single" w:sz="4" w:space="0" w:color="auto"/>
              <w:right w:val="single" w:sz="4" w:space="0" w:color="auto"/>
            </w:tcBorders>
            <w:shd w:val="clear" w:color="auto" w:fill="ADBBD0"/>
            <w:vAlign w:val="center"/>
          </w:tcPr>
          <w:p w14:paraId="3984B55B"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 (% of Total)</w:t>
            </w:r>
          </w:p>
        </w:tc>
        <w:tc>
          <w:tcPr>
            <w:tcW w:w="740" w:type="pct"/>
            <w:tcBorders>
              <w:top w:val="single" w:sz="4" w:space="0" w:color="002C47" w:themeColor="text1"/>
              <w:left w:val="single" w:sz="4" w:space="0" w:color="auto"/>
              <w:bottom w:val="single" w:sz="4" w:space="0" w:color="auto"/>
              <w:right w:val="single" w:sz="4" w:space="0" w:color="auto"/>
            </w:tcBorders>
            <w:shd w:val="clear" w:color="auto" w:fill="ADBBD0"/>
            <w:vAlign w:val="center"/>
          </w:tcPr>
          <w:p w14:paraId="332E2D1D"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Median approval time (TGA working days)</w:t>
            </w:r>
          </w:p>
        </w:tc>
      </w:tr>
      <w:tr w:rsidR="00F2350B" w:rsidRPr="00373DCC" w14:paraId="6D23AC3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847" w:type="pct"/>
            <w:vAlign w:val="center"/>
          </w:tcPr>
          <w:p w14:paraId="57D34CF3" w14:textId="77777777" w:rsidR="00F2350B" w:rsidRPr="00373DCC" w:rsidRDefault="00F2350B" w:rsidP="00710B91">
            <w:pPr>
              <w:spacing w:before="0" w:after="0" w:line="240" w:lineRule="atLeast"/>
              <w:rPr>
                <w:rFonts w:cs="Arial"/>
                <w:sz w:val="21"/>
              </w:rPr>
            </w:pPr>
            <w:r w:rsidRPr="00373DCC">
              <w:rPr>
                <w:rFonts w:cs="Arial"/>
                <w:sz w:val="21"/>
              </w:rPr>
              <w:t>A: New chemical entity/New biological entity/Biosimilar</w:t>
            </w:r>
          </w:p>
        </w:tc>
        <w:tc>
          <w:tcPr>
            <w:tcW w:w="685" w:type="pct"/>
            <w:vAlign w:val="center"/>
          </w:tcPr>
          <w:p w14:paraId="603BF3A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(50)</w:t>
            </w:r>
          </w:p>
        </w:tc>
        <w:tc>
          <w:tcPr>
            <w:tcW w:w="838" w:type="pct"/>
            <w:vAlign w:val="center"/>
          </w:tcPr>
          <w:p w14:paraId="76FFEED0"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120</w:t>
            </w:r>
          </w:p>
        </w:tc>
        <w:tc>
          <w:tcPr>
            <w:tcW w:w="890" w:type="pct"/>
            <w:vAlign w:val="center"/>
          </w:tcPr>
          <w:p w14:paraId="53799FE4"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(37%)</w:t>
            </w:r>
          </w:p>
        </w:tc>
        <w:tc>
          <w:tcPr>
            <w:tcW w:w="740" w:type="pct"/>
            <w:vAlign w:val="center"/>
          </w:tcPr>
          <w:p w14:paraId="7BF7D141"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139</w:t>
            </w:r>
          </w:p>
        </w:tc>
      </w:tr>
      <w:tr w:rsidR="00F2350B" w:rsidRPr="00373DCC" w14:paraId="53A526C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847" w:type="pct"/>
            <w:vAlign w:val="center"/>
          </w:tcPr>
          <w:p w14:paraId="0C93834B" w14:textId="77777777" w:rsidR="00F2350B" w:rsidRPr="00373DCC" w:rsidRDefault="00F2350B" w:rsidP="00710B91">
            <w:pPr>
              <w:spacing w:before="0" w:after="0" w:line="240" w:lineRule="atLeast"/>
              <w:rPr>
                <w:rFonts w:cs="Arial"/>
                <w:sz w:val="21"/>
              </w:rPr>
            </w:pPr>
            <w:r w:rsidRPr="00373DCC">
              <w:rPr>
                <w:rFonts w:cs="Arial"/>
                <w:sz w:val="21"/>
              </w:rPr>
              <w:t>C: Extension of indications</w:t>
            </w:r>
          </w:p>
        </w:tc>
        <w:tc>
          <w:tcPr>
            <w:tcW w:w="685" w:type="pct"/>
            <w:vAlign w:val="center"/>
          </w:tcPr>
          <w:p w14:paraId="122093B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(50)</w:t>
            </w:r>
          </w:p>
        </w:tc>
        <w:tc>
          <w:tcPr>
            <w:tcW w:w="838" w:type="pct"/>
            <w:vAlign w:val="center"/>
          </w:tcPr>
          <w:p w14:paraId="06CF8131"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147</w:t>
            </w:r>
          </w:p>
        </w:tc>
        <w:tc>
          <w:tcPr>
            <w:tcW w:w="890" w:type="pct"/>
            <w:vAlign w:val="center"/>
          </w:tcPr>
          <w:p w14:paraId="619BE0A2"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 (63%)</w:t>
            </w:r>
          </w:p>
        </w:tc>
        <w:tc>
          <w:tcPr>
            <w:tcW w:w="740" w:type="pct"/>
            <w:vAlign w:val="center"/>
          </w:tcPr>
          <w:p w14:paraId="34058AA8"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137</w:t>
            </w:r>
          </w:p>
        </w:tc>
      </w:tr>
      <w:tr w:rsidR="00F2350B" w:rsidRPr="00373DCC" w14:paraId="40302E2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847" w:type="pct"/>
            <w:shd w:val="clear" w:color="auto" w:fill="C6D4E9"/>
            <w:vAlign w:val="center"/>
          </w:tcPr>
          <w:p w14:paraId="01CD484F" w14:textId="77777777" w:rsidR="00F2350B" w:rsidRPr="00373DCC" w:rsidRDefault="00F2350B" w:rsidP="00710B91">
            <w:pPr>
              <w:spacing w:before="0" w:after="0" w:line="240" w:lineRule="atLeast"/>
              <w:rPr>
                <w:rFonts w:cs="Arial"/>
                <w:sz w:val="21"/>
              </w:rPr>
            </w:pPr>
            <w:r w:rsidRPr="00373DCC">
              <w:rPr>
                <w:rFonts w:cs="Arial"/>
                <w:sz w:val="21"/>
              </w:rPr>
              <w:t>Total</w:t>
            </w:r>
          </w:p>
        </w:tc>
        <w:tc>
          <w:tcPr>
            <w:tcW w:w="685" w:type="pct"/>
            <w:shd w:val="clear" w:color="auto" w:fill="C6D4E9"/>
            <w:vAlign w:val="center"/>
          </w:tcPr>
          <w:p w14:paraId="3B5BB20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(100%)</w:t>
            </w:r>
          </w:p>
        </w:tc>
        <w:tc>
          <w:tcPr>
            <w:tcW w:w="838" w:type="pct"/>
            <w:shd w:val="clear" w:color="auto" w:fill="C6D4E9"/>
            <w:vAlign w:val="center"/>
          </w:tcPr>
          <w:p w14:paraId="47C97A48"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144</w:t>
            </w:r>
          </w:p>
        </w:tc>
        <w:tc>
          <w:tcPr>
            <w:tcW w:w="890" w:type="pct"/>
            <w:shd w:val="clear" w:color="auto" w:fill="C6D4E9"/>
            <w:vAlign w:val="center"/>
          </w:tcPr>
          <w:p w14:paraId="1764EE6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(100%)</w:t>
            </w:r>
          </w:p>
        </w:tc>
        <w:tc>
          <w:tcPr>
            <w:tcW w:w="740" w:type="pct"/>
            <w:shd w:val="clear" w:color="auto" w:fill="C6D4E9"/>
            <w:vAlign w:val="center"/>
          </w:tcPr>
          <w:p w14:paraId="161BB660"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138</w:t>
            </w:r>
          </w:p>
        </w:tc>
      </w:tr>
    </w:tbl>
    <w:p w14:paraId="13669D1B" w14:textId="77777777" w:rsidR="00F2350B" w:rsidRPr="00373DCC" w:rsidRDefault="00F2350B" w:rsidP="00F2350B">
      <w:pPr>
        <w:widowControl w:val="0"/>
        <w:spacing w:before="60" w:after="60" w:line="180" w:lineRule="atLeast"/>
        <w:ind w:left="284" w:hanging="284"/>
        <w:rPr>
          <w:rFonts w:eastAsia="Times New Roman" w:cs="Arial"/>
          <w:color w:val="29527F"/>
          <w:sz w:val="16"/>
          <w:szCs w:val="16"/>
          <w:lang w:val="en"/>
          <w14:textFill>
            <w14:solidFill>
              <w14:srgbClr w14:val="29527F">
                <w14:lumMod w14:val="90000"/>
                <w14:lumOff w14:val="10000"/>
              </w14:srgbClr>
            </w14:solidFill>
          </w14:textFill>
        </w:rPr>
      </w:pPr>
      <w:r w:rsidRPr="00373DCC">
        <w:rPr>
          <w:rFonts w:eastAsia="Cambria" w:cs="Arial"/>
          <w:sz w:val="16"/>
          <w:szCs w:val="16"/>
          <w:vertAlign w:val="superscript"/>
        </w:rPr>
        <w:t xml:space="preserve">a </w:t>
      </w:r>
      <w:r w:rsidRPr="00373DCC">
        <w:rPr>
          <w:rFonts w:eastAsia="Cambria" w:cs="Arial"/>
          <w:sz w:val="16"/>
          <w:szCs w:val="16"/>
          <w:vertAlign w:val="superscript"/>
        </w:rPr>
        <w:tab/>
      </w:r>
      <w:r w:rsidRPr="00373DCC">
        <w:rPr>
          <w:rFonts w:eastAsia="Cambria" w:cs="Arial"/>
          <w:sz w:val="16"/>
          <w:szCs w:val="16"/>
        </w:rPr>
        <w:t>The target timeframe for the priority review pathway is 150 working days.</w:t>
      </w:r>
    </w:p>
    <w:p w14:paraId="62A5C49C" w14:textId="77777777" w:rsidR="00F2350B" w:rsidRPr="00373DCC" w:rsidRDefault="00F2350B" w:rsidP="00ED1A1F">
      <w:pPr>
        <w:pStyle w:val="Heading3-numbered"/>
        <w:numPr>
          <w:ilvl w:val="1"/>
          <w:numId w:val="21"/>
        </w:numPr>
        <w:rPr>
          <w:rFonts w:ascii="Arial" w:hAnsi="Arial" w:cs="Arial"/>
        </w:rPr>
      </w:pPr>
      <w:bookmarkStart w:id="97" w:name="_Toc153550451"/>
      <w:r w:rsidRPr="00373DCC">
        <w:rPr>
          <w:rFonts w:ascii="Arial" w:hAnsi="Arial" w:cs="Arial"/>
        </w:rPr>
        <w:t>Provisional approval pathway</w:t>
      </w:r>
      <w:bookmarkEnd w:id="97"/>
    </w:p>
    <w:p w14:paraId="0C749088" w14:textId="77777777" w:rsidR="00F2350B" w:rsidRPr="00373DCC" w:rsidRDefault="00F2350B" w:rsidP="00F2350B">
      <w:pPr>
        <w:rPr>
          <w:rFonts w:cs="Arial"/>
          <w:sz w:val="21"/>
          <w:szCs w:val="21"/>
        </w:rPr>
      </w:pPr>
      <w:r w:rsidRPr="00373DCC">
        <w:rPr>
          <w:rFonts w:cs="Arial"/>
          <w:sz w:val="21"/>
          <w:szCs w:val="21"/>
        </w:rPr>
        <w:t>The provisional approval pathway supports patient access to vital and lifesaving prescription medicines earlier than through the standard pathway. Time limited approval through the provisional pathway is based on the evaluation of preliminary clinical data where there is the potential for a substantial benefit to Australian patients. Knowledge of the risks and benefits of these medicines is less certain than for other approved prescription medicines. Provisional approval is granted for promising new medicines where we assess that the benefit of early availability of the medicine outweighs the risk inherent in the fact that additional data are still required.</w:t>
      </w:r>
    </w:p>
    <w:p w14:paraId="6ED96E8C" w14:textId="77777777" w:rsidR="00F2350B" w:rsidRPr="00373DCC" w:rsidRDefault="00F2350B" w:rsidP="00F2350B">
      <w:pPr>
        <w:rPr>
          <w:rFonts w:cs="Arial"/>
          <w:sz w:val="21"/>
          <w:szCs w:val="21"/>
        </w:rPr>
      </w:pPr>
      <w:r w:rsidRPr="00373DCC">
        <w:rPr>
          <w:rFonts w:cs="Arial"/>
          <w:sz w:val="21"/>
          <w:szCs w:val="21"/>
        </w:rPr>
        <w:t>A prescription medicine must have a valid provisional determination before it can be evaluated for registration under the provisional approval pathway. The determination process is used to assess whether a medicine is eligible for the provisional pathway but does not necessarily mean that the medicine will be approved after evaluation and provisionally registered on the ARTG.</w:t>
      </w:r>
    </w:p>
    <w:p w14:paraId="2672D318" w14:textId="77777777" w:rsidR="00F2350B" w:rsidRPr="00373DCC" w:rsidRDefault="00F2350B" w:rsidP="00F2350B">
      <w:pPr>
        <w:keepNext/>
        <w:spacing w:before="240" w:after="120" w:line="240" w:lineRule="auto"/>
        <w:rPr>
          <w:rFonts w:eastAsia="Cambria" w:cs="Arial"/>
          <w:b/>
          <w:bCs/>
          <w:sz w:val="21"/>
          <w:szCs w:val="21"/>
        </w:rPr>
      </w:pPr>
      <w:bookmarkStart w:id="98" w:name="Table7"/>
      <w:r w:rsidRPr="00373DCC">
        <w:rPr>
          <w:rFonts w:eastAsia="Cambria" w:cs="Arial"/>
          <w:b/>
          <w:bCs/>
          <w:sz w:val="21"/>
          <w:szCs w:val="21"/>
        </w:rPr>
        <w:t>Table 7: Number of provisional determinations granted</w:t>
      </w:r>
    </w:p>
    <w:bookmarkEnd w:id="98"/>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1423"/>
        <w:gridCol w:w="1349"/>
        <w:gridCol w:w="1424"/>
        <w:gridCol w:w="1349"/>
      </w:tblGrid>
      <w:tr w:rsidR="00F2350B" w:rsidRPr="00373DCC" w14:paraId="1524595E" w14:textId="77777777" w:rsidTr="0069779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7" w:type="pct"/>
            <w:tcBorders>
              <w:top w:val="nil"/>
              <w:left w:val="nil"/>
              <w:right w:val="single" w:sz="4" w:space="0" w:color="000000"/>
            </w:tcBorders>
            <w:shd w:val="clear" w:color="auto" w:fill="FFFFFF" w:themeFill="background1"/>
            <w:vAlign w:val="center"/>
          </w:tcPr>
          <w:p w14:paraId="1E18F84B" w14:textId="77777777" w:rsidR="00F2350B" w:rsidRPr="00373DCC" w:rsidRDefault="00F2350B" w:rsidP="0069779B">
            <w:pPr>
              <w:keepLines/>
              <w:spacing w:before="0" w:after="0" w:line="240" w:lineRule="atLeast"/>
              <w:ind w:left="720"/>
              <w:contextualSpacing/>
              <w:jc w:val="center"/>
              <w:rPr>
                <w:rFonts w:cs="Arial"/>
                <w:sz w:val="21"/>
              </w:rPr>
            </w:pPr>
          </w:p>
        </w:tc>
        <w:tc>
          <w:tcPr>
            <w:tcW w:w="1536" w:type="pct"/>
            <w:gridSpan w:val="2"/>
            <w:tcBorders>
              <w:top w:val="single" w:sz="4" w:space="0" w:color="000000"/>
              <w:left w:val="single" w:sz="4" w:space="0" w:color="000000"/>
              <w:bottom w:val="single" w:sz="4" w:space="0" w:color="000000"/>
              <w:right w:val="single" w:sz="4" w:space="0" w:color="000000"/>
            </w:tcBorders>
            <w:shd w:val="clear" w:color="auto" w:fill="29527F"/>
            <w:vAlign w:val="center"/>
          </w:tcPr>
          <w:p w14:paraId="3EFA0E0B" w14:textId="51CB0D7C"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1537" w:type="pct"/>
            <w:gridSpan w:val="2"/>
            <w:tcBorders>
              <w:top w:val="single" w:sz="4" w:space="0" w:color="000000"/>
              <w:left w:val="single" w:sz="4" w:space="0" w:color="000000"/>
              <w:bottom w:val="single" w:sz="4" w:space="0" w:color="000000"/>
              <w:right w:val="single" w:sz="4" w:space="0" w:color="000000"/>
            </w:tcBorders>
            <w:shd w:val="clear" w:color="auto" w:fill="29527F"/>
            <w:vAlign w:val="center"/>
          </w:tcPr>
          <w:p w14:paraId="19F989B3" w14:textId="4D6347CA" w:rsidR="00F2350B" w:rsidRPr="00373DCC" w:rsidRDefault="0069779B" w:rsidP="0069779B">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tr w:rsidR="00F2350B" w:rsidRPr="00373DCC" w14:paraId="6C5A628B" w14:textId="77777777" w:rsidTr="00F07150">
        <w:trPr>
          <w:trHeight w:val="553"/>
        </w:trPr>
        <w:tc>
          <w:tcPr>
            <w:cnfStyle w:val="001000000000" w:firstRow="0" w:lastRow="0" w:firstColumn="1" w:lastColumn="0" w:oddVBand="0" w:evenVBand="0" w:oddHBand="0" w:evenHBand="0" w:firstRowFirstColumn="0" w:firstRowLastColumn="0" w:lastRowFirstColumn="0" w:lastRowLastColumn="0"/>
            <w:tcW w:w="1927" w:type="pct"/>
            <w:tcBorders>
              <w:top w:val="single" w:sz="4" w:space="0" w:color="auto"/>
              <w:left w:val="single" w:sz="4" w:space="0" w:color="auto"/>
              <w:bottom w:val="single" w:sz="4" w:space="0" w:color="auto"/>
              <w:right w:val="single" w:sz="4" w:space="0" w:color="auto"/>
            </w:tcBorders>
            <w:shd w:val="clear" w:color="auto" w:fill="ADBBD0"/>
            <w:vAlign w:val="center"/>
          </w:tcPr>
          <w:p w14:paraId="10327D48" w14:textId="77777777" w:rsidR="00F2350B" w:rsidRPr="00373DCC" w:rsidRDefault="00F2350B" w:rsidP="0069779B">
            <w:pPr>
              <w:keepNext/>
              <w:keepLines/>
              <w:tabs>
                <w:tab w:val="left" w:pos="1021"/>
                <w:tab w:val="left" w:pos="1134"/>
              </w:tabs>
              <w:spacing w:before="0" w:after="0"/>
              <w:jc w:val="center"/>
              <w:outlineLvl w:val="4"/>
              <w:rPr>
                <w:rFonts w:cs="Arial"/>
                <w:sz w:val="21"/>
              </w:rPr>
            </w:pPr>
            <w:r w:rsidRPr="00373DCC">
              <w:rPr>
                <w:rFonts w:cs="Arial"/>
                <w:sz w:val="21"/>
              </w:rPr>
              <w:t>Application Type</w:t>
            </w:r>
          </w:p>
        </w:tc>
        <w:tc>
          <w:tcPr>
            <w:tcW w:w="789" w:type="pct"/>
            <w:tcBorders>
              <w:top w:val="single" w:sz="4" w:space="0" w:color="000000"/>
              <w:left w:val="single" w:sz="4" w:space="0" w:color="auto"/>
              <w:bottom w:val="single" w:sz="4" w:space="0" w:color="auto"/>
              <w:right w:val="single" w:sz="4" w:space="0" w:color="auto"/>
            </w:tcBorders>
            <w:shd w:val="clear" w:color="auto" w:fill="ADBBD0"/>
            <w:vAlign w:val="center"/>
          </w:tcPr>
          <w:p w14:paraId="7BFCF11E"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w:t>
            </w:r>
          </w:p>
        </w:tc>
        <w:tc>
          <w:tcPr>
            <w:tcW w:w="748" w:type="pct"/>
            <w:tcBorders>
              <w:top w:val="single" w:sz="4" w:space="0" w:color="000000"/>
              <w:left w:val="single" w:sz="4" w:space="0" w:color="auto"/>
              <w:bottom w:val="single" w:sz="4" w:space="0" w:color="auto"/>
              <w:right w:val="single" w:sz="4" w:space="0" w:color="auto"/>
            </w:tcBorders>
            <w:shd w:val="clear" w:color="auto" w:fill="ADBBD0"/>
            <w:vAlign w:val="center"/>
          </w:tcPr>
          <w:p w14:paraId="31BB146B"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Total Applications</w:t>
            </w:r>
          </w:p>
        </w:tc>
        <w:tc>
          <w:tcPr>
            <w:tcW w:w="789" w:type="pct"/>
            <w:tcBorders>
              <w:top w:val="single" w:sz="4" w:space="0" w:color="000000"/>
              <w:left w:val="single" w:sz="4" w:space="0" w:color="auto"/>
              <w:bottom w:val="single" w:sz="4" w:space="0" w:color="auto"/>
              <w:right w:val="single" w:sz="4" w:space="0" w:color="auto"/>
            </w:tcBorders>
            <w:shd w:val="clear" w:color="auto" w:fill="ADBBD0"/>
            <w:vAlign w:val="center"/>
          </w:tcPr>
          <w:p w14:paraId="710B24E9"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Approved</w:t>
            </w:r>
          </w:p>
        </w:tc>
        <w:tc>
          <w:tcPr>
            <w:tcW w:w="748" w:type="pct"/>
            <w:tcBorders>
              <w:top w:val="single" w:sz="4" w:space="0" w:color="000000"/>
              <w:left w:val="single" w:sz="4" w:space="0" w:color="auto"/>
              <w:bottom w:val="single" w:sz="4" w:space="0" w:color="auto"/>
              <w:right w:val="single" w:sz="4" w:space="0" w:color="auto"/>
            </w:tcBorders>
            <w:shd w:val="clear" w:color="auto" w:fill="ADBBD0"/>
            <w:vAlign w:val="center"/>
          </w:tcPr>
          <w:p w14:paraId="5393E8E4" w14:textId="77777777" w:rsidR="00F2350B" w:rsidRPr="00373DCC" w:rsidRDefault="00F2350B" w:rsidP="0069779B">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Total Applications</w:t>
            </w:r>
          </w:p>
        </w:tc>
      </w:tr>
      <w:tr w:rsidR="00F2350B" w:rsidRPr="00373DCC" w14:paraId="28B630A8" w14:textId="77777777" w:rsidTr="0069779B">
        <w:trPr>
          <w:trHeight w:val="340"/>
        </w:trPr>
        <w:tc>
          <w:tcPr>
            <w:cnfStyle w:val="001000000000" w:firstRow="0" w:lastRow="0" w:firstColumn="1" w:lastColumn="0" w:oddVBand="0" w:evenVBand="0" w:oddHBand="0" w:evenHBand="0" w:firstRowFirstColumn="0" w:firstRowLastColumn="0" w:lastRowFirstColumn="0" w:lastRowLastColumn="0"/>
            <w:tcW w:w="1927" w:type="pct"/>
            <w:vAlign w:val="center"/>
          </w:tcPr>
          <w:p w14:paraId="62836807" w14:textId="77777777" w:rsidR="00F2350B" w:rsidRPr="00373DCC" w:rsidRDefault="00F2350B" w:rsidP="00710B91">
            <w:pPr>
              <w:spacing w:before="0" w:after="0" w:line="240" w:lineRule="atLeast"/>
              <w:contextualSpacing/>
              <w:rPr>
                <w:rFonts w:cs="Arial"/>
                <w:sz w:val="21"/>
              </w:rPr>
            </w:pPr>
            <w:r w:rsidRPr="00373DCC">
              <w:rPr>
                <w:rFonts w:cs="Arial"/>
                <w:sz w:val="21"/>
              </w:rPr>
              <w:t>Provisional Determination</w:t>
            </w:r>
          </w:p>
        </w:tc>
        <w:tc>
          <w:tcPr>
            <w:tcW w:w="789" w:type="pct"/>
            <w:vAlign w:val="center"/>
          </w:tcPr>
          <w:p w14:paraId="663AC65B"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w:t>
            </w:r>
          </w:p>
        </w:tc>
        <w:tc>
          <w:tcPr>
            <w:tcW w:w="748" w:type="pct"/>
            <w:vAlign w:val="center"/>
          </w:tcPr>
          <w:p w14:paraId="77D88DE3"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w:t>
            </w:r>
          </w:p>
        </w:tc>
        <w:tc>
          <w:tcPr>
            <w:tcW w:w="789" w:type="pct"/>
            <w:vAlign w:val="center"/>
          </w:tcPr>
          <w:p w14:paraId="49C82ED5"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w:t>
            </w:r>
          </w:p>
        </w:tc>
        <w:tc>
          <w:tcPr>
            <w:tcW w:w="748" w:type="pct"/>
            <w:vAlign w:val="center"/>
          </w:tcPr>
          <w:p w14:paraId="1FB9747A" w14:textId="77777777" w:rsidR="00F2350B" w:rsidRPr="00373DCC" w:rsidRDefault="00F2350B" w:rsidP="00710B91">
            <w:pPr>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w:t>
            </w:r>
          </w:p>
        </w:tc>
      </w:tr>
    </w:tbl>
    <w:p w14:paraId="707569AE" w14:textId="77777777" w:rsidR="00F2350B" w:rsidRPr="00373DCC" w:rsidRDefault="00F2350B" w:rsidP="00F2350B">
      <w:pPr>
        <w:keepNext/>
        <w:spacing w:before="240" w:after="120" w:line="240" w:lineRule="auto"/>
        <w:ind w:left="1134" w:hanging="1134"/>
        <w:rPr>
          <w:rFonts w:eastAsia="Cambria" w:cs="Arial"/>
          <w:b/>
          <w:bCs/>
          <w:szCs w:val="22"/>
        </w:rPr>
      </w:pPr>
    </w:p>
    <w:p w14:paraId="63643171" w14:textId="77777777" w:rsidR="00F2350B" w:rsidRPr="00373DCC" w:rsidRDefault="00F2350B" w:rsidP="00F2350B">
      <w:pPr>
        <w:spacing w:before="0" w:after="160" w:line="259" w:lineRule="auto"/>
        <w:rPr>
          <w:rFonts w:eastAsia="Cambria" w:cs="Arial"/>
          <w:b/>
          <w:bCs/>
          <w:sz w:val="21"/>
          <w:szCs w:val="21"/>
        </w:rPr>
      </w:pPr>
      <w:bookmarkStart w:id="99" w:name="Table8"/>
      <w:r w:rsidRPr="00373DCC">
        <w:rPr>
          <w:rFonts w:eastAsia="Cambria" w:cs="Arial"/>
          <w:b/>
          <w:bCs/>
          <w:sz w:val="21"/>
          <w:szCs w:val="21"/>
        </w:rPr>
        <w:br w:type="page"/>
      </w:r>
    </w:p>
    <w:p w14:paraId="15C9B85C"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lastRenderedPageBreak/>
        <w:t>Table 8: Provisional registration approvals</w:t>
      </w:r>
    </w:p>
    <w:bookmarkEnd w:id="99"/>
    <w:tbl>
      <w:tblPr>
        <w:tblStyle w:val="TableTGAblue"/>
        <w:tblW w:w="5003" w:type="pct"/>
        <w:tblInd w:w="-5" w:type="dxa"/>
        <w:tblLook w:val="04A0" w:firstRow="1" w:lastRow="0" w:firstColumn="1" w:lastColumn="0" w:noHBand="0" w:noVBand="1"/>
      </w:tblPr>
      <w:tblGrid>
        <w:gridCol w:w="3087"/>
        <w:gridCol w:w="1536"/>
        <w:gridCol w:w="1525"/>
        <w:gridCol w:w="1493"/>
        <w:gridCol w:w="1385"/>
      </w:tblGrid>
      <w:tr w:rsidR="00F2350B" w:rsidRPr="00373DCC" w14:paraId="7CBC4772" w14:textId="77777777" w:rsidTr="00F071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nil"/>
              <w:left w:val="nil"/>
              <w:bottom w:val="nil"/>
              <w:right w:val="single" w:sz="4" w:space="0" w:color="auto"/>
            </w:tcBorders>
            <w:shd w:val="clear" w:color="auto" w:fill="FFFFFF" w:themeFill="background1"/>
            <w:vAlign w:val="center"/>
          </w:tcPr>
          <w:p w14:paraId="76B26202" w14:textId="77777777" w:rsidR="00F2350B" w:rsidRPr="00373DCC" w:rsidRDefault="00F2350B" w:rsidP="00F07150">
            <w:pPr>
              <w:keepLines/>
              <w:spacing w:before="0" w:after="0" w:line="240" w:lineRule="atLeast"/>
              <w:ind w:left="720"/>
              <w:contextualSpacing/>
              <w:jc w:val="center"/>
              <w:rPr>
                <w:rFonts w:cs="Arial"/>
                <w:sz w:val="21"/>
              </w:rPr>
            </w:pPr>
          </w:p>
        </w:tc>
        <w:tc>
          <w:tcPr>
            <w:tcW w:w="1696" w:type="pct"/>
            <w:gridSpan w:val="2"/>
            <w:tcBorders>
              <w:top w:val="single" w:sz="4" w:space="0" w:color="auto"/>
              <w:left w:val="single" w:sz="4" w:space="0" w:color="auto"/>
              <w:bottom w:val="single" w:sz="4" w:space="0" w:color="auto"/>
              <w:right w:val="single" w:sz="4" w:space="0" w:color="auto"/>
            </w:tcBorders>
            <w:shd w:val="clear" w:color="auto" w:fill="29527F"/>
            <w:vAlign w:val="center"/>
          </w:tcPr>
          <w:p w14:paraId="3466D698" w14:textId="2644A0C3" w:rsidR="00F2350B" w:rsidRPr="00373DCC" w:rsidRDefault="00F07150" w:rsidP="00F07150">
            <w:pPr>
              <w:keepLines/>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1594" w:type="pct"/>
            <w:gridSpan w:val="2"/>
            <w:tcBorders>
              <w:top w:val="single" w:sz="4" w:space="0" w:color="auto"/>
              <w:left w:val="single" w:sz="4" w:space="0" w:color="auto"/>
              <w:bottom w:val="single" w:sz="4" w:space="0" w:color="auto"/>
              <w:right w:val="single" w:sz="4" w:space="0" w:color="auto"/>
            </w:tcBorders>
            <w:shd w:val="clear" w:color="auto" w:fill="29527F"/>
            <w:vAlign w:val="center"/>
          </w:tcPr>
          <w:p w14:paraId="68436666" w14:textId="2083D6CE" w:rsidR="00F2350B" w:rsidRPr="00373DCC" w:rsidRDefault="00F07150" w:rsidP="00F07150">
            <w:pPr>
              <w:keepLines/>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tr w:rsidR="00F2350B" w:rsidRPr="00373DCC" w14:paraId="4CDA3C6C" w14:textId="77777777" w:rsidTr="00F07150">
        <w:trPr>
          <w:trHeight w:val="1261"/>
        </w:trPr>
        <w:tc>
          <w:tcPr>
            <w:cnfStyle w:val="001000000000" w:firstRow="0" w:lastRow="0" w:firstColumn="1" w:lastColumn="0" w:oddVBand="0" w:evenVBand="0" w:oddHBand="0" w:evenHBand="0" w:firstRowFirstColumn="0" w:firstRowLastColumn="0" w:lastRowFirstColumn="0" w:lastRowLastColumn="0"/>
            <w:tcW w:w="1710" w:type="pct"/>
            <w:tcBorders>
              <w:top w:val="nil"/>
              <w:left w:val="nil"/>
              <w:bottom w:val="nil"/>
              <w:right w:val="single" w:sz="4" w:space="0" w:color="auto"/>
            </w:tcBorders>
            <w:vAlign w:val="center"/>
          </w:tcPr>
          <w:p w14:paraId="6E28009C" w14:textId="77777777" w:rsidR="00F2350B" w:rsidRPr="00373DCC" w:rsidRDefault="00F2350B" w:rsidP="00F07150">
            <w:pPr>
              <w:keepLines/>
              <w:spacing w:before="0" w:after="0" w:line="240" w:lineRule="atLeast"/>
              <w:ind w:left="720"/>
              <w:contextualSpacing/>
              <w:jc w:val="center"/>
              <w:rPr>
                <w:rFonts w:cs="Arial"/>
                <w:b/>
                <w:sz w:val="21"/>
              </w:rPr>
            </w:pPr>
          </w:p>
        </w:tc>
        <w:tc>
          <w:tcPr>
            <w:tcW w:w="851" w:type="pct"/>
            <w:tcBorders>
              <w:top w:val="single" w:sz="4" w:space="0" w:color="auto"/>
              <w:left w:val="single" w:sz="4" w:space="0" w:color="auto"/>
              <w:bottom w:val="single" w:sz="4" w:space="0" w:color="auto"/>
              <w:right w:val="single" w:sz="4" w:space="0" w:color="auto"/>
            </w:tcBorders>
            <w:shd w:val="clear" w:color="auto" w:fill="C6D4E9"/>
            <w:vAlign w:val="center"/>
          </w:tcPr>
          <w:p w14:paraId="0FAC600E"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Number Approved</w:t>
            </w:r>
          </w:p>
          <w:p w14:paraId="62EDA478"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 of total)</w:t>
            </w:r>
          </w:p>
        </w:tc>
        <w:tc>
          <w:tcPr>
            <w:tcW w:w="845" w:type="pct"/>
            <w:tcBorders>
              <w:top w:val="single" w:sz="4" w:space="0" w:color="auto"/>
              <w:left w:val="single" w:sz="4" w:space="0" w:color="auto"/>
              <w:bottom w:val="single" w:sz="4" w:space="0" w:color="auto"/>
              <w:right w:val="single" w:sz="4" w:space="0" w:color="auto"/>
            </w:tcBorders>
            <w:shd w:val="clear" w:color="auto" w:fill="C6D4E9"/>
            <w:vAlign w:val="center"/>
          </w:tcPr>
          <w:p w14:paraId="51CB6FF3"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Median approval time (TGA working days)</w:t>
            </w:r>
          </w:p>
        </w:tc>
        <w:tc>
          <w:tcPr>
            <w:tcW w:w="827" w:type="pct"/>
            <w:tcBorders>
              <w:top w:val="single" w:sz="4" w:space="0" w:color="auto"/>
              <w:left w:val="single" w:sz="4" w:space="0" w:color="auto"/>
              <w:bottom w:val="single" w:sz="4" w:space="0" w:color="002C47"/>
              <w:right w:val="single" w:sz="4" w:space="0" w:color="002C47"/>
            </w:tcBorders>
            <w:shd w:val="clear" w:color="auto" w:fill="C6D4E9"/>
            <w:vAlign w:val="center"/>
          </w:tcPr>
          <w:p w14:paraId="0492ADC0"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Number Approved</w:t>
            </w:r>
          </w:p>
          <w:p w14:paraId="0A204484"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 of total)</w:t>
            </w:r>
          </w:p>
        </w:tc>
        <w:tc>
          <w:tcPr>
            <w:tcW w:w="767" w:type="pct"/>
            <w:tcBorders>
              <w:top w:val="single" w:sz="4" w:space="0" w:color="auto"/>
              <w:left w:val="single" w:sz="4" w:space="0" w:color="auto"/>
              <w:bottom w:val="single" w:sz="4" w:space="0" w:color="002C47"/>
              <w:right w:val="single" w:sz="4" w:space="0" w:color="002C47"/>
            </w:tcBorders>
            <w:shd w:val="clear" w:color="auto" w:fill="C6D4E9"/>
            <w:vAlign w:val="center"/>
          </w:tcPr>
          <w:p w14:paraId="12F14469" w14:textId="77777777" w:rsidR="00F2350B" w:rsidRPr="00373DCC" w:rsidRDefault="00F2350B" w:rsidP="00F07150">
            <w:pPr>
              <w:keepLines/>
              <w:spacing w:before="0" w:after="0" w:line="240" w:lineRule="atLeast"/>
              <w:jc w:val="center"/>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Median approval time (TGA working days)</w:t>
            </w:r>
          </w:p>
        </w:tc>
      </w:tr>
      <w:tr w:rsidR="00F2350B" w:rsidRPr="00373DCC" w14:paraId="6016D3B8" w14:textId="77777777" w:rsidTr="00710B91">
        <w:tblPrEx>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CellMar>
            <w:left w:w="96" w:type="dxa"/>
            <w:right w:w="96"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2561" w:type="pct"/>
            <w:gridSpan w:val="2"/>
            <w:tcBorders>
              <w:top w:val="single" w:sz="3" w:space="0" w:color="002C47"/>
              <w:left w:val="single" w:sz="3" w:space="0" w:color="002C47"/>
              <w:bottom w:val="single" w:sz="4" w:space="0" w:color="auto"/>
              <w:right w:val="nil"/>
            </w:tcBorders>
            <w:shd w:val="clear" w:color="auto" w:fill="8CADD3"/>
            <w:vAlign w:val="center"/>
          </w:tcPr>
          <w:p w14:paraId="6B4CD1A0"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Application type</w:t>
            </w:r>
          </w:p>
        </w:tc>
        <w:tc>
          <w:tcPr>
            <w:tcW w:w="845" w:type="pct"/>
            <w:tcBorders>
              <w:top w:val="single" w:sz="3" w:space="0" w:color="002C47"/>
              <w:left w:val="nil"/>
              <w:bottom w:val="single" w:sz="4" w:space="0" w:color="auto"/>
              <w:right w:val="nil"/>
            </w:tcBorders>
            <w:shd w:val="clear" w:color="auto" w:fill="8CADD3"/>
            <w:vAlign w:val="center"/>
          </w:tcPr>
          <w:p w14:paraId="7D12D185" w14:textId="77777777" w:rsidR="00F2350B" w:rsidRPr="00373DCC" w:rsidRDefault="00F2350B" w:rsidP="00710B91">
            <w:pPr>
              <w:widowControl w:val="0"/>
              <w:spacing w:before="0" w:after="0" w:line="240" w:lineRule="atLeast"/>
              <w:ind w:left="720"/>
              <w:contextualSpacing/>
              <w:cnfStyle w:val="000000000000" w:firstRow="0" w:lastRow="0" w:firstColumn="0" w:lastColumn="0" w:oddVBand="0" w:evenVBand="0" w:oddHBand="0" w:evenHBand="0" w:firstRowFirstColumn="0" w:firstRowLastColumn="0" w:lastRowFirstColumn="0" w:lastRowLastColumn="0"/>
              <w:rPr>
                <w:rFonts w:cs="Arial"/>
                <w:sz w:val="21"/>
              </w:rPr>
            </w:pPr>
          </w:p>
        </w:tc>
        <w:tc>
          <w:tcPr>
            <w:tcW w:w="1594" w:type="pct"/>
            <w:gridSpan w:val="2"/>
            <w:tcBorders>
              <w:top w:val="single" w:sz="3" w:space="0" w:color="002C47"/>
              <w:left w:val="nil"/>
              <w:bottom w:val="single" w:sz="4" w:space="0" w:color="auto"/>
              <w:right w:val="single" w:sz="3" w:space="0" w:color="002C47"/>
            </w:tcBorders>
            <w:shd w:val="clear" w:color="auto" w:fill="8CADD3"/>
            <w:vAlign w:val="center"/>
          </w:tcPr>
          <w:p w14:paraId="55FCD8D2" w14:textId="77777777" w:rsidR="00F2350B" w:rsidRPr="00373DCC" w:rsidRDefault="00F2350B" w:rsidP="00710B91">
            <w:pPr>
              <w:widowControl w:val="0"/>
              <w:spacing w:before="0" w:after="0" w:line="240" w:lineRule="atLeast"/>
              <w:ind w:left="720"/>
              <w:contextualSpacing/>
              <w:cnfStyle w:val="000000000000" w:firstRow="0" w:lastRow="0" w:firstColumn="0" w:lastColumn="0" w:oddVBand="0" w:evenVBand="0" w:oddHBand="0" w:evenHBand="0" w:firstRowFirstColumn="0" w:firstRowLastColumn="0" w:lastRowFirstColumn="0" w:lastRowLastColumn="0"/>
              <w:rPr>
                <w:rFonts w:cs="Arial"/>
                <w:sz w:val="21"/>
              </w:rPr>
            </w:pPr>
          </w:p>
        </w:tc>
      </w:tr>
      <w:tr w:rsidR="00F2350B" w:rsidRPr="00373DCC" w14:paraId="6BCCA96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vAlign w:val="center"/>
          </w:tcPr>
          <w:p w14:paraId="66C5151B" w14:textId="77777777" w:rsidR="00F2350B" w:rsidRPr="00373DCC" w:rsidRDefault="00F2350B" w:rsidP="00710B91">
            <w:pPr>
              <w:keepLines/>
              <w:spacing w:before="0" w:after="0" w:line="240" w:lineRule="atLeast"/>
              <w:contextualSpacing/>
              <w:rPr>
                <w:rFonts w:cs="Arial"/>
                <w:sz w:val="21"/>
              </w:rPr>
            </w:pPr>
            <w:r w:rsidRPr="00373DCC">
              <w:rPr>
                <w:rFonts w:cs="Arial"/>
                <w:sz w:val="21"/>
              </w:rPr>
              <w:t>A: New chemical entity/New biological entity/Fixed dose combination</w:t>
            </w:r>
          </w:p>
        </w:tc>
        <w:tc>
          <w:tcPr>
            <w:tcW w:w="851" w:type="pct"/>
            <w:tcBorders>
              <w:top w:val="single" w:sz="4" w:space="0" w:color="auto"/>
              <w:left w:val="single" w:sz="4" w:space="0" w:color="auto"/>
              <w:bottom w:val="single" w:sz="4" w:space="0" w:color="auto"/>
              <w:right w:val="single" w:sz="4" w:space="0" w:color="auto"/>
            </w:tcBorders>
            <w:vAlign w:val="center"/>
          </w:tcPr>
          <w:p w14:paraId="31C78FCA"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13 (46%)</w:t>
            </w:r>
          </w:p>
        </w:tc>
        <w:tc>
          <w:tcPr>
            <w:tcW w:w="845" w:type="pct"/>
            <w:tcBorders>
              <w:top w:val="single" w:sz="4" w:space="0" w:color="auto"/>
              <w:left w:val="single" w:sz="4" w:space="0" w:color="auto"/>
              <w:bottom w:val="single" w:sz="4" w:space="0" w:color="auto"/>
              <w:right w:val="single" w:sz="4" w:space="0" w:color="auto"/>
            </w:tcBorders>
            <w:vAlign w:val="center"/>
          </w:tcPr>
          <w:p w14:paraId="4FE41033"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88</w:t>
            </w:r>
          </w:p>
        </w:tc>
        <w:tc>
          <w:tcPr>
            <w:tcW w:w="827" w:type="pct"/>
            <w:tcBorders>
              <w:top w:val="single" w:sz="4" w:space="0" w:color="auto"/>
              <w:left w:val="single" w:sz="4" w:space="0" w:color="auto"/>
              <w:bottom w:val="single" w:sz="4" w:space="0" w:color="auto"/>
              <w:right w:val="single" w:sz="4" w:space="0" w:color="auto"/>
            </w:tcBorders>
            <w:vAlign w:val="center"/>
          </w:tcPr>
          <w:p w14:paraId="7B4E49DE"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14 (47%)</w:t>
            </w:r>
          </w:p>
        </w:tc>
        <w:tc>
          <w:tcPr>
            <w:tcW w:w="767" w:type="pct"/>
            <w:tcBorders>
              <w:top w:val="single" w:sz="4" w:space="0" w:color="auto"/>
              <w:left w:val="single" w:sz="4" w:space="0" w:color="auto"/>
              <w:bottom w:val="single" w:sz="4" w:space="0" w:color="auto"/>
              <w:right w:val="single" w:sz="4" w:space="0" w:color="auto"/>
            </w:tcBorders>
            <w:vAlign w:val="center"/>
          </w:tcPr>
          <w:p w14:paraId="0574C595"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197</w:t>
            </w:r>
          </w:p>
        </w:tc>
      </w:tr>
      <w:tr w:rsidR="00F2350B" w:rsidRPr="00373DCC" w14:paraId="7ABCB0B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vAlign w:val="center"/>
          </w:tcPr>
          <w:p w14:paraId="258B2703" w14:textId="77777777" w:rsidR="00F2350B" w:rsidRPr="00373DCC" w:rsidRDefault="00F2350B" w:rsidP="00710B91">
            <w:pPr>
              <w:keepLines/>
              <w:spacing w:before="0" w:after="0" w:line="240" w:lineRule="atLeast"/>
              <w:contextualSpacing/>
              <w:rPr>
                <w:rFonts w:cs="Arial"/>
                <w:sz w:val="21"/>
              </w:rPr>
            </w:pPr>
            <w:r w:rsidRPr="00373DCC">
              <w:rPr>
                <w:rFonts w:cs="Arial"/>
                <w:sz w:val="21"/>
              </w:rPr>
              <w:t>C: Extension of indications</w:t>
            </w:r>
          </w:p>
        </w:tc>
        <w:tc>
          <w:tcPr>
            <w:tcW w:w="851" w:type="pct"/>
            <w:tcBorders>
              <w:top w:val="single" w:sz="4" w:space="0" w:color="auto"/>
              <w:left w:val="single" w:sz="4" w:space="0" w:color="auto"/>
              <w:bottom w:val="single" w:sz="4" w:space="0" w:color="auto"/>
              <w:right w:val="single" w:sz="4" w:space="0" w:color="auto"/>
            </w:tcBorders>
            <w:vAlign w:val="center"/>
          </w:tcPr>
          <w:p w14:paraId="6664753B"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10 (36%)</w:t>
            </w:r>
          </w:p>
        </w:tc>
        <w:tc>
          <w:tcPr>
            <w:tcW w:w="845" w:type="pct"/>
            <w:tcBorders>
              <w:top w:val="single" w:sz="4" w:space="0" w:color="auto"/>
              <w:left w:val="single" w:sz="4" w:space="0" w:color="auto"/>
              <w:bottom w:val="single" w:sz="4" w:space="0" w:color="auto"/>
              <w:right w:val="single" w:sz="4" w:space="0" w:color="auto"/>
            </w:tcBorders>
            <w:vAlign w:val="center"/>
          </w:tcPr>
          <w:p w14:paraId="36F23BCA"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54</w:t>
            </w:r>
          </w:p>
        </w:tc>
        <w:tc>
          <w:tcPr>
            <w:tcW w:w="827" w:type="pct"/>
            <w:tcBorders>
              <w:top w:val="single" w:sz="4" w:space="0" w:color="auto"/>
              <w:left w:val="single" w:sz="4" w:space="0" w:color="auto"/>
              <w:bottom w:val="single" w:sz="4" w:space="0" w:color="auto"/>
              <w:right w:val="single" w:sz="4" w:space="0" w:color="auto"/>
            </w:tcBorders>
            <w:vAlign w:val="center"/>
          </w:tcPr>
          <w:p w14:paraId="05EC88AE"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6 (20%)</w:t>
            </w:r>
          </w:p>
        </w:tc>
        <w:tc>
          <w:tcPr>
            <w:tcW w:w="767" w:type="pct"/>
            <w:tcBorders>
              <w:top w:val="single" w:sz="4" w:space="0" w:color="auto"/>
              <w:left w:val="single" w:sz="4" w:space="0" w:color="auto"/>
              <w:bottom w:val="single" w:sz="4" w:space="0" w:color="auto"/>
              <w:right w:val="single" w:sz="4" w:space="0" w:color="auto"/>
            </w:tcBorders>
            <w:vAlign w:val="center"/>
          </w:tcPr>
          <w:p w14:paraId="5E443BF3"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127</w:t>
            </w:r>
          </w:p>
        </w:tc>
      </w:tr>
      <w:tr w:rsidR="00F2350B" w:rsidRPr="00373DCC" w14:paraId="779563C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vAlign w:val="center"/>
          </w:tcPr>
          <w:p w14:paraId="33D45BB6" w14:textId="77777777" w:rsidR="00F2350B" w:rsidRPr="00373DCC" w:rsidRDefault="00F2350B" w:rsidP="00710B91">
            <w:pPr>
              <w:keepLines/>
              <w:spacing w:before="0" w:after="0" w:line="240" w:lineRule="atLeast"/>
              <w:contextualSpacing/>
              <w:rPr>
                <w:rFonts w:cs="Arial"/>
                <w:sz w:val="21"/>
              </w:rPr>
            </w:pPr>
            <w:r w:rsidRPr="00373DCC">
              <w:rPr>
                <w:rFonts w:cs="Arial"/>
                <w:sz w:val="21"/>
              </w:rPr>
              <w:t>F: Major variation</w:t>
            </w:r>
          </w:p>
        </w:tc>
        <w:tc>
          <w:tcPr>
            <w:tcW w:w="851" w:type="pct"/>
            <w:tcBorders>
              <w:top w:val="single" w:sz="4" w:space="0" w:color="auto"/>
              <w:left w:val="single" w:sz="4" w:space="0" w:color="auto"/>
              <w:bottom w:val="single" w:sz="4" w:space="0" w:color="auto"/>
              <w:right w:val="single" w:sz="4" w:space="0" w:color="auto"/>
            </w:tcBorders>
            <w:vAlign w:val="center"/>
          </w:tcPr>
          <w:p w14:paraId="74CF1913"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4 (14%)</w:t>
            </w:r>
          </w:p>
        </w:tc>
        <w:tc>
          <w:tcPr>
            <w:tcW w:w="845" w:type="pct"/>
            <w:tcBorders>
              <w:top w:val="single" w:sz="4" w:space="0" w:color="auto"/>
              <w:left w:val="single" w:sz="4" w:space="0" w:color="auto"/>
              <w:bottom w:val="single" w:sz="4" w:space="0" w:color="auto"/>
              <w:right w:val="single" w:sz="4" w:space="0" w:color="auto"/>
            </w:tcBorders>
            <w:vAlign w:val="center"/>
          </w:tcPr>
          <w:p w14:paraId="4801E470"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23</w:t>
            </w:r>
          </w:p>
        </w:tc>
        <w:tc>
          <w:tcPr>
            <w:tcW w:w="827" w:type="pct"/>
            <w:tcBorders>
              <w:top w:val="single" w:sz="4" w:space="0" w:color="auto"/>
              <w:left w:val="single" w:sz="4" w:space="0" w:color="auto"/>
              <w:bottom w:val="single" w:sz="4" w:space="0" w:color="auto"/>
              <w:right w:val="single" w:sz="4" w:space="0" w:color="auto"/>
            </w:tcBorders>
            <w:vAlign w:val="center"/>
          </w:tcPr>
          <w:p w14:paraId="0BA58451"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4 (13%)</w:t>
            </w:r>
          </w:p>
        </w:tc>
        <w:tc>
          <w:tcPr>
            <w:tcW w:w="767" w:type="pct"/>
            <w:tcBorders>
              <w:top w:val="single" w:sz="4" w:space="0" w:color="auto"/>
              <w:left w:val="single" w:sz="4" w:space="0" w:color="auto"/>
              <w:bottom w:val="single" w:sz="4" w:space="0" w:color="auto"/>
              <w:right w:val="single" w:sz="4" w:space="0" w:color="auto"/>
            </w:tcBorders>
            <w:vAlign w:val="center"/>
          </w:tcPr>
          <w:p w14:paraId="67D1D2EB"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81</w:t>
            </w:r>
          </w:p>
        </w:tc>
      </w:tr>
      <w:tr w:rsidR="00F2350B" w:rsidRPr="00373DCC" w14:paraId="6DD0622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vAlign w:val="center"/>
          </w:tcPr>
          <w:p w14:paraId="3920A98C" w14:textId="77777777" w:rsidR="00F2350B" w:rsidRPr="00373DCC" w:rsidRDefault="00F2350B" w:rsidP="00710B91">
            <w:pPr>
              <w:keepLines/>
              <w:spacing w:before="0" w:after="0" w:line="240" w:lineRule="atLeast"/>
              <w:contextualSpacing/>
              <w:rPr>
                <w:rFonts w:cs="Arial"/>
                <w:sz w:val="21"/>
              </w:rPr>
            </w:pPr>
            <w:r w:rsidRPr="00373DCC">
              <w:rPr>
                <w:rFonts w:cs="Arial"/>
                <w:sz w:val="21"/>
              </w:rPr>
              <w:t>H: Minor variation</w:t>
            </w:r>
            <w:r w:rsidRPr="00373DCC" w:rsidDel="00EF58C6">
              <w:rPr>
                <w:rFonts w:cs="Arial"/>
                <w:sz w:val="21"/>
              </w:rPr>
              <w:t xml:space="preserve"> </w:t>
            </w:r>
          </w:p>
        </w:tc>
        <w:tc>
          <w:tcPr>
            <w:tcW w:w="851" w:type="pct"/>
            <w:tcBorders>
              <w:top w:val="single" w:sz="4" w:space="0" w:color="auto"/>
              <w:left w:val="single" w:sz="4" w:space="0" w:color="auto"/>
              <w:bottom w:val="single" w:sz="4" w:space="0" w:color="auto"/>
              <w:right w:val="single" w:sz="4" w:space="0" w:color="auto"/>
            </w:tcBorders>
            <w:vAlign w:val="center"/>
          </w:tcPr>
          <w:p w14:paraId="35152FCF"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 (4%)</w:t>
            </w:r>
          </w:p>
        </w:tc>
        <w:tc>
          <w:tcPr>
            <w:tcW w:w="845" w:type="pct"/>
            <w:tcBorders>
              <w:top w:val="single" w:sz="4" w:space="0" w:color="auto"/>
              <w:left w:val="single" w:sz="4" w:space="0" w:color="auto"/>
              <w:bottom w:val="single" w:sz="4" w:space="0" w:color="auto"/>
              <w:right w:val="single" w:sz="4" w:space="0" w:color="auto"/>
            </w:tcBorders>
            <w:vAlign w:val="center"/>
          </w:tcPr>
          <w:p w14:paraId="08D7EAC6"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183</w:t>
            </w:r>
          </w:p>
        </w:tc>
        <w:tc>
          <w:tcPr>
            <w:tcW w:w="827" w:type="pct"/>
            <w:tcBorders>
              <w:top w:val="single" w:sz="4" w:space="0" w:color="auto"/>
              <w:left w:val="single" w:sz="4" w:space="0" w:color="auto"/>
              <w:bottom w:val="single" w:sz="4" w:space="0" w:color="auto"/>
              <w:right w:val="single" w:sz="4" w:space="0" w:color="auto"/>
            </w:tcBorders>
            <w:vAlign w:val="center"/>
          </w:tcPr>
          <w:p w14:paraId="5E5667D9"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 (3%)</w:t>
            </w:r>
          </w:p>
        </w:tc>
        <w:tc>
          <w:tcPr>
            <w:tcW w:w="767" w:type="pct"/>
            <w:tcBorders>
              <w:top w:val="single" w:sz="4" w:space="0" w:color="auto"/>
              <w:left w:val="single" w:sz="4" w:space="0" w:color="auto"/>
              <w:bottom w:val="single" w:sz="4" w:space="0" w:color="auto"/>
              <w:right w:val="single" w:sz="4" w:space="0" w:color="auto"/>
            </w:tcBorders>
            <w:vAlign w:val="center"/>
          </w:tcPr>
          <w:p w14:paraId="33DAD955"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171</w:t>
            </w:r>
          </w:p>
        </w:tc>
      </w:tr>
      <w:tr w:rsidR="00F2350B" w:rsidRPr="00373DCC" w14:paraId="5978F86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vAlign w:val="center"/>
          </w:tcPr>
          <w:p w14:paraId="6E515411" w14:textId="77777777" w:rsidR="00F2350B" w:rsidRPr="00373DCC" w:rsidRDefault="00F2350B" w:rsidP="00710B91">
            <w:pPr>
              <w:keepLines/>
              <w:spacing w:before="0" w:after="0" w:line="240" w:lineRule="atLeast"/>
              <w:contextualSpacing/>
              <w:rPr>
                <w:rFonts w:cs="Arial"/>
                <w:sz w:val="21"/>
              </w:rPr>
            </w:pPr>
            <w:r w:rsidRPr="00373DCC">
              <w:rPr>
                <w:rFonts w:cs="Arial"/>
                <w:sz w:val="21"/>
              </w:rPr>
              <w:t>J: Changes to Product Information requiring the evaluation of data</w:t>
            </w:r>
          </w:p>
        </w:tc>
        <w:tc>
          <w:tcPr>
            <w:tcW w:w="851" w:type="pct"/>
            <w:tcBorders>
              <w:top w:val="single" w:sz="4" w:space="0" w:color="auto"/>
              <w:left w:val="single" w:sz="4" w:space="0" w:color="auto"/>
              <w:bottom w:val="single" w:sz="4" w:space="0" w:color="auto"/>
              <w:right w:val="single" w:sz="4" w:space="0" w:color="auto"/>
            </w:tcBorders>
            <w:vAlign w:val="center"/>
          </w:tcPr>
          <w:p w14:paraId="4113067D"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0</w:t>
            </w:r>
          </w:p>
        </w:tc>
        <w:tc>
          <w:tcPr>
            <w:tcW w:w="845" w:type="pct"/>
            <w:tcBorders>
              <w:top w:val="single" w:sz="4" w:space="0" w:color="auto"/>
              <w:left w:val="single" w:sz="4" w:space="0" w:color="auto"/>
              <w:bottom w:val="single" w:sz="4" w:space="0" w:color="auto"/>
              <w:right w:val="single" w:sz="4" w:space="0" w:color="auto"/>
            </w:tcBorders>
            <w:vAlign w:val="center"/>
          </w:tcPr>
          <w:p w14:paraId="11ECBC0F"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N/A</w:t>
            </w:r>
          </w:p>
        </w:tc>
        <w:tc>
          <w:tcPr>
            <w:tcW w:w="827" w:type="pct"/>
            <w:tcBorders>
              <w:top w:val="single" w:sz="4" w:space="0" w:color="auto"/>
              <w:left w:val="single" w:sz="4" w:space="0" w:color="auto"/>
              <w:bottom w:val="single" w:sz="4" w:space="0" w:color="auto"/>
              <w:right w:val="single" w:sz="4" w:space="0" w:color="auto"/>
            </w:tcBorders>
            <w:vAlign w:val="center"/>
          </w:tcPr>
          <w:p w14:paraId="41F74C56"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5 (17%)</w:t>
            </w:r>
          </w:p>
        </w:tc>
        <w:tc>
          <w:tcPr>
            <w:tcW w:w="767" w:type="pct"/>
            <w:tcBorders>
              <w:top w:val="single" w:sz="4" w:space="0" w:color="auto"/>
              <w:left w:val="single" w:sz="4" w:space="0" w:color="auto"/>
              <w:bottom w:val="single" w:sz="4" w:space="0" w:color="auto"/>
              <w:right w:val="single" w:sz="4" w:space="0" w:color="auto"/>
            </w:tcBorders>
            <w:vAlign w:val="center"/>
          </w:tcPr>
          <w:p w14:paraId="4738649F" w14:textId="77777777" w:rsidR="00F2350B" w:rsidRPr="00373DCC" w:rsidRDefault="00F2350B" w:rsidP="00710B91">
            <w:pPr>
              <w:spacing w:before="0" w:after="0" w:line="264"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1"/>
              </w:rPr>
            </w:pPr>
            <w:r w:rsidRPr="00373DCC">
              <w:rPr>
                <w:rFonts w:cs="Arial"/>
                <w:color w:val="auto"/>
                <w:sz w:val="21"/>
              </w:rPr>
              <w:t>175</w:t>
            </w:r>
          </w:p>
        </w:tc>
      </w:tr>
      <w:tr w:rsidR="00F2350B" w:rsidRPr="00373DCC" w14:paraId="23FAFD4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710" w:type="pct"/>
            <w:tcBorders>
              <w:top w:val="single" w:sz="4" w:space="0" w:color="auto"/>
              <w:left w:val="single" w:sz="4" w:space="0" w:color="auto"/>
              <w:bottom w:val="single" w:sz="4" w:space="0" w:color="auto"/>
              <w:right w:val="single" w:sz="4" w:space="0" w:color="auto"/>
            </w:tcBorders>
            <w:shd w:val="clear" w:color="auto" w:fill="C6D4E9"/>
            <w:vAlign w:val="center"/>
          </w:tcPr>
          <w:p w14:paraId="10DDB287" w14:textId="77777777" w:rsidR="00F2350B" w:rsidRPr="00373DCC" w:rsidRDefault="00F2350B" w:rsidP="00710B91">
            <w:pPr>
              <w:keepLines/>
              <w:spacing w:before="0" w:after="0" w:line="240" w:lineRule="atLeast"/>
              <w:contextualSpacing/>
              <w:rPr>
                <w:rFonts w:cs="Arial"/>
                <w:b/>
                <w:sz w:val="21"/>
              </w:rPr>
            </w:pPr>
            <w:r w:rsidRPr="00373DCC">
              <w:rPr>
                <w:rFonts w:cs="Arial"/>
                <w:b/>
                <w:sz w:val="21"/>
              </w:rPr>
              <w:t>Total</w:t>
            </w:r>
          </w:p>
        </w:tc>
        <w:tc>
          <w:tcPr>
            <w:tcW w:w="851" w:type="pct"/>
            <w:tcBorders>
              <w:top w:val="single" w:sz="4" w:space="0" w:color="auto"/>
              <w:left w:val="single" w:sz="4" w:space="0" w:color="auto"/>
              <w:bottom w:val="single" w:sz="4" w:space="0" w:color="auto"/>
              <w:right w:val="single" w:sz="4" w:space="0" w:color="auto"/>
            </w:tcBorders>
            <w:shd w:val="clear" w:color="auto" w:fill="C6D4E9"/>
            <w:vAlign w:val="center"/>
          </w:tcPr>
          <w:p w14:paraId="2416A03D"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b/>
                <w:sz w:val="21"/>
              </w:rPr>
            </w:pPr>
            <w:r w:rsidRPr="00373DCC">
              <w:rPr>
                <w:rFonts w:cs="Arial"/>
                <w:sz w:val="21"/>
              </w:rPr>
              <w:t>28 (100%)</w:t>
            </w:r>
          </w:p>
        </w:tc>
        <w:tc>
          <w:tcPr>
            <w:tcW w:w="845" w:type="pct"/>
            <w:tcBorders>
              <w:top w:val="single" w:sz="4" w:space="0" w:color="auto"/>
              <w:left w:val="single" w:sz="4" w:space="0" w:color="auto"/>
              <w:bottom w:val="single" w:sz="4" w:space="0" w:color="auto"/>
              <w:right w:val="single" w:sz="4" w:space="0" w:color="auto"/>
            </w:tcBorders>
            <w:shd w:val="clear" w:color="auto" w:fill="C6D4E9"/>
            <w:vAlign w:val="center"/>
          </w:tcPr>
          <w:p w14:paraId="130E0AAC"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b/>
                <w:sz w:val="21"/>
              </w:rPr>
            </w:pPr>
            <w:r w:rsidRPr="00373DCC">
              <w:rPr>
                <w:rFonts w:cs="Arial"/>
                <w:sz w:val="21"/>
              </w:rPr>
              <w:t>66</w:t>
            </w:r>
          </w:p>
        </w:tc>
        <w:tc>
          <w:tcPr>
            <w:tcW w:w="827" w:type="pct"/>
            <w:tcBorders>
              <w:top w:val="single" w:sz="4" w:space="0" w:color="auto"/>
              <w:left w:val="single" w:sz="4" w:space="0" w:color="auto"/>
              <w:bottom w:val="single" w:sz="4" w:space="0" w:color="auto"/>
              <w:right w:val="single" w:sz="4" w:space="0" w:color="auto"/>
            </w:tcBorders>
            <w:shd w:val="clear" w:color="auto" w:fill="C6D4E9"/>
            <w:vAlign w:val="center"/>
          </w:tcPr>
          <w:p w14:paraId="1CBC190A"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 (0%)</w:t>
            </w:r>
          </w:p>
        </w:tc>
        <w:tc>
          <w:tcPr>
            <w:tcW w:w="767" w:type="pct"/>
            <w:tcBorders>
              <w:top w:val="single" w:sz="4" w:space="0" w:color="auto"/>
              <w:left w:val="single" w:sz="4" w:space="0" w:color="auto"/>
              <w:bottom w:val="single" w:sz="4" w:space="0" w:color="auto"/>
              <w:right w:val="single" w:sz="4" w:space="0" w:color="auto"/>
            </w:tcBorders>
            <w:shd w:val="clear" w:color="auto" w:fill="C6D4E9"/>
            <w:vAlign w:val="center"/>
          </w:tcPr>
          <w:p w14:paraId="77196314"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171</w:t>
            </w:r>
          </w:p>
        </w:tc>
      </w:tr>
    </w:tbl>
    <w:p w14:paraId="6ED3BFA5" w14:textId="77777777" w:rsidR="00F2350B" w:rsidRPr="00373DCC" w:rsidRDefault="00F2350B" w:rsidP="00F2350B">
      <w:pPr>
        <w:spacing w:after="180" w:line="240" w:lineRule="atLeast"/>
        <w:rPr>
          <w:rFonts w:eastAsia="Cambria" w:cs="Arial"/>
          <w:szCs w:val="22"/>
        </w:rPr>
      </w:pPr>
    </w:p>
    <w:p w14:paraId="4C6C0CE2" w14:textId="77777777" w:rsidR="00F2350B" w:rsidRPr="00373DCC" w:rsidRDefault="00F2350B" w:rsidP="00F2350B">
      <w:pPr>
        <w:spacing w:before="0" w:after="160" w:line="259" w:lineRule="auto"/>
        <w:rPr>
          <w:rFonts w:eastAsiaTheme="majorEastAsia" w:cs="Arial"/>
          <w:b/>
          <w:color w:val="00348C" w:themeColor="accent1" w:themeShade="BF"/>
          <w:sz w:val="32"/>
          <w:szCs w:val="32"/>
          <w:lang w:eastAsia="en-AU"/>
        </w:rPr>
      </w:pPr>
      <w:r w:rsidRPr="00373DCC">
        <w:rPr>
          <w:rFonts w:cs="Arial"/>
          <w:b/>
          <w:color w:val="00348C" w:themeColor="accent1" w:themeShade="BF"/>
          <w:sz w:val="32"/>
        </w:rPr>
        <w:br w:type="page"/>
      </w:r>
    </w:p>
    <w:p w14:paraId="68372253"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lastRenderedPageBreak/>
        <w:t xml:space="preserve"> </w:t>
      </w:r>
      <w:bookmarkStart w:id="100" w:name="_Toc153550452"/>
      <w:r w:rsidRPr="00373DCC">
        <w:rPr>
          <w:rFonts w:ascii="Arial" w:hAnsi="Arial" w:cs="Arial"/>
          <w:b/>
          <w:color w:val="00348C" w:themeColor="accent1" w:themeShade="BF"/>
          <w:sz w:val="32"/>
        </w:rPr>
        <w:t>Over-the-Counter Medicines</w:t>
      </w:r>
      <w:bookmarkEnd w:id="100"/>
    </w:p>
    <w:p w14:paraId="262CBD65" w14:textId="77777777" w:rsidR="00F2350B" w:rsidRPr="00373DCC" w:rsidRDefault="00F2350B" w:rsidP="00F2350B">
      <w:pPr>
        <w:rPr>
          <w:rFonts w:cs="Arial"/>
          <w:b/>
          <w:sz w:val="21"/>
          <w:szCs w:val="21"/>
        </w:rPr>
      </w:pPr>
      <w:r w:rsidRPr="00373DCC">
        <w:rPr>
          <w:rFonts w:cs="Arial"/>
          <w:sz w:val="21"/>
          <w:szCs w:val="21"/>
        </w:rPr>
        <w:t>Over-the-Counter (OTC) medicine applications are categorised as new medicine (N) or change (C) applications and are further categorised by risk (N1 and C1 are low risk, N5 and C4 are highest risk). The OTC application categorisation framework outlined on the following page defines the different OTC medicine application levels, the key application criteria and target timeframes to complete evaluation of applications. We aim to 80% of applications evaluated within target timeframes.</w:t>
      </w:r>
    </w:p>
    <w:p w14:paraId="1D6A8D1B" w14:textId="77777777" w:rsidR="00F2350B" w:rsidRPr="00373DCC" w:rsidRDefault="00F2350B" w:rsidP="00F2350B">
      <w:pPr>
        <w:keepNext/>
        <w:spacing w:before="240" w:after="120" w:line="240" w:lineRule="auto"/>
        <w:rPr>
          <w:rFonts w:eastAsia="Cambria" w:cs="Arial"/>
          <w:b/>
          <w:bCs/>
          <w:sz w:val="21"/>
          <w:szCs w:val="21"/>
        </w:rPr>
      </w:pPr>
      <w:bookmarkStart w:id="101" w:name="Table9"/>
      <w:r w:rsidRPr="00373DCC">
        <w:rPr>
          <w:rFonts w:eastAsia="Cambria" w:cs="Arial"/>
          <w:b/>
          <w:bCs/>
          <w:sz w:val="21"/>
          <w:szCs w:val="21"/>
        </w:rPr>
        <w:t>Table 9: Categorisation of OTC medicine applications</w:t>
      </w:r>
    </w:p>
    <w:tbl>
      <w:tblPr>
        <w:tblStyle w:val="TableTGAblue"/>
        <w:tblW w:w="9356" w:type="dxa"/>
        <w:tblInd w:w="-5" w:type="dxa"/>
        <w:tblCellMar>
          <w:left w:w="57" w:type="dxa"/>
          <w:right w:w="57" w:type="dxa"/>
        </w:tblCellMar>
        <w:tblLook w:val="04A0" w:firstRow="1" w:lastRow="0" w:firstColumn="1" w:lastColumn="0" w:noHBand="0" w:noVBand="1"/>
      </w:tblPr>
      <w:tblGrid>
        <w:gridCol w:w="1413"/>
        <w:gridCol w:w="6525"/>
        <w:gridCol w:w="1418"/>
      </w:tblGrid>
      <w:tr w:rsidR="00F2350B" w:rsidRPr="00373DCC" w14:paraId="512CE870" w14:textId="77777777" w:rsidTr="009B6A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29527F"/>
            <w:vAlign w:val="center"/>
          </w:tcPr>
          <w:bookmarkEnd w:id="101"/>
          <w:p w14:paraId="1BB40E3E" w14:textId="77777777" w:rsidR="00F2350B" w:rsidRPr="00373DCC" w:rsidRDefault="00F2350B" w:rsidP="00710B91">
            <w:pPr>
              <w:keepLines/>
              <w:spacing w:line="240" w:lineRule="atLeast"/>
              <w:contextualSpacing/>
              <w:jc w:val="center"/>
              <w:rPr>
                <w:rFonts w:cs="Arial"/>
                <w:color w:val="FFFFFF" w:themeColor="background1"/>
                <w:sz w:val="21"/>
              </w:rPr>
            </w:pPr>
            <w:r w:rsidRPr="00373DCC">
              <w:rPr>
                <w:rFonts w:cs="Arial"/>
                <w:color w:val="FFFFFF" w:themeColor="background1"/>
                <w:sz w:val="21"/>
              </w:rPr>
              <w:t>Application category</w:t>
            </w:r>
          </w:p>
        </w:tc>
        <w:tc>
          <w:tcPr>
            <w:tcW w:w="6525" w:type="dxa"/>
            <w:tcBorders>
              <w:top w:val="single" w:sz="4" w:space="0" w:color="auto"/>
              <w:left w:val="single" w:sz="4" w:space="0" w:color="auto"/>
              <w:bottom w:val="single" w:sz="4" w:space="0" w:color="auto"/>
              <w:right w:val="single" w:sz="4" w:space="0" w:color="auto"/>
            </w:tcBorders>
            <w:shd w:val="clear" w:color="auto" w:fill="29527F"/>
            <w:vAlign w:val="center"/>
          </w:tcPr>
          <w:p w14:paraId="6593144C" w14:textId="77777777" w:rsidR="00F2350B" w:rsidRPr="00373DCC" w:rsidRDefault="00F2350B" w:rsidP="00710B91">
            <w:pPr>
              <w:keepLines/>
              <w:spacing w:before="180" w:after="18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Definition</w:t>
            </w:r>
          </w:p>
        </w:tc>
        <w:tc>
          <w:tcPr>
            <w:tcW w:w="1418" w:type="dxa"/>
            <w:tcBorders>
              <w:top w:val="single" w:sz="4" w:space="0" w:color="auto"/>
              <w:left w:val="single" w:sz="4" w:space="0" w:color="auto"/>
              <w:bottom w:val="single" w:sz="4" w:space="0" w:color="auto"/>
              <w:right w:val="single" w:sz="4" w:space="0" w:color="auto"/>
            </w:tcBorders>
            <w:shd w:val="clear" w:color="auto" w:fill="29527F"/>
            <w:vAlign w:val="center"/>
          </w:tcPr>
          <w:p w14:paraId="567E9527" w14:textId="54BC5A63" w:rsidR="00F2350B" w:rsidRPr="00373DCC" w:rsidRDefault="00F2350B" w:rsidP="00710B91">
            <w:pPr>
              <w:keepLines/>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 xml:space="preserve">Target Timeframe </w:t>
            </w:r>
            <w:r w:rsidR="00F07150">
              <w:rPr>
                <w:rFonts w:cs="Arial"/>
                <w:color w:val="FFFFFF" w:themeColor="background1"/>
                <w:sz w:val="21"/>
              </w:rPr>
              <w:t xml:space="preserve">(working </w:t>
            </w:r>
            <w:r w:rsidRPr="00373DCC">
              <w:rPr>
                <w:rFonts w:cs="Arial"/>
                <w:color w:val="FFFFFF" w:themeColor="background1"/>
                <w:sz w:val="21"/>
              </w:rPr>
              <w:t>days</w:t>
            </w:r>
            <w:r w:rsidR="00F07150">
              <w:rPr>
                <w:rFonts w:cs="Arial"/>
                <w:color w:val="FFFFFF" w:themeColor="background1"/>
                <w:sz w:val="21"/>
              </w:rPr>
              <w:t>)</w:t>
            </w:r>
          </w:p>
        </w:tc>
      </w:tr>
      <w:tr w:rsidR="00F2350B" w:rsidRPr="00373DCC" w14:paraId="67C2FCDC"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vAlign w:val="center"/>
          </w:tcPr>
          <w:p w14:paraId="42DDE069" w14:textId="77777777" w:rsidR="00F2350B" w:rsidRPr="00373DCC" w:rsidRDefault="00F2350B" w:rsidP="00710B91">
            <w:pPr>
              <w:spacing w:line="0" w:lineRule="atLeast"/>
              <w:contextualSpacing/>
              <w:rPr>
                <w:rFonts w:cs="Arial"/>
                <w:sz w:val="21"/>
              </w:rPr>
            </w:pPr>
            <w:r w:rsidRPr="00373DCC">
              <w:rPr>
                <w:rFonts w:cs="Arial"/>
                <w:sz w:val="21"/>
              </w:rPr>
              <w:t>N1</w:t>
            </w:r>
          </w:p>
        </w:tc>
        <w:tc>
          <w:tcPr>
            <w:tcW w:w="6525" w:type="dxa"/>
            <w:tcBorders>
              <w:top w:val="single" w:sz="4" w:space="0" w:color="auto"/>
            </w:tcBorders>
            <w:vAlign w:val="center"/>
          </w:tcPr>
          <w:p w14:paraId="54F7002C"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submitted as a ‘clone’.</w:t>
            </w:r>
          </w:p>
        </w:tc>
        <w:tc>
          <w:tcPr>
            <w:tcW w:w="1418" w:type="dxa"/>
            <w:tcBorders>
              <w:top w:val="single" w:sz="4" w:space="0" w:color="auto"/>
            </w:tcBorders>
            <w:vAlign w:val="center"/>
          </w:tcPr>
          <w:p w14:paraId="22CE84A2" w14:textId="55F32081"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45 </w:t>
            </w:r>
          </w:p>
        </w:tc>
      </w:tr>
      <w:tr w:rsidR="00F2350B" w:rsidRPr="00373DCC" w14:paraId="1EBFE2DD"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E6B8519" w14:textId="77777777" w:rsidR="00F2350B" w:rsidRPr="00373DCC" w:rsidRDefault="00F2350B" w:rsidP="00710B91">
            <w:pPr>
              <w:spacing w:line="0" w:lineRule="atLeast"/>
              <w:contextualSpacing/>
              <w:rPr>
                <w:rFonts w:cs="Arial"/>
                <w:sz w:val="21"/>
              </w:rPr>
            </w:pPr>
            <w:r w:rsidRPr="00373DCC">
              <w:rPr>
                <w:rFonts w:cs="Arial"/>
                <w:sz w:val="21"/>
              </w:rPr>
              <w:t>N2</w:t>
            </w:r>
          </w:p>
        </w:tc>
        <w:tc>
          <w:tcPr>
            <w:tcW w:w="6525" w:type="dxa"/>
            <w:vAlign w:val="center"/>
          </w:tcPr>
          <w:p w14:paraId="3DDDEF9E"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which complies with an OTC medicine monograph.</w:t>
            </w:r>
          </w:p>
        </w:tc>
        <w:tc>
          <w:tcPr>
            <w:tcW w:w="1418" w:type="dxa"/>
            <w:vAlign w:val="center"/>
          </w:tcPr>
          <w:p w14:paraId="063E4A95" w14:textId="6B32E27B"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55 </w:t>
            </w:r>
          </w:p>
        </w:tc>
      </w:tr>
      <w:tr w:rsidR="00F2350B" w:rsidRPr="00373DCC" w14:paraId="2653AC08"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26EFC9F" w14:textId="77777777" w:rsidR="00F2350B" w:rsidRPr="00373DCC" w:rsidRDefault="00F2350B" w:rsidP="00710B91">
            <w:pPr>
              <w:spacing w:line="0" w:lineRule="atLeast"/>
              <w:contextualSpacing/>
              <w:rPr>
                <w:rFonts w:cs="Arial"/>
                <w:sz w:val="21"/>
              </w:rPr>
            </w:pPr>
            <w:r w:rsidRPr="00373DCC">
              <w:rPr>
                <w:rFonts w:cs="Arial"/>
                <w:sz w:val="21"/>
              </w:rPr>
              <w:t>N3</w:t>
            </w:r>
          </w:p>
        </w:tc>
        <w:tc>
          <w:tcPr>
            <w:tcW w:w="6525" w:type="dxa"/>
            <w:vAlign w:val="center"/>
          </w:tcPr>
          <w:p w14:paraId="36DE2C6A"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New application for a ‘generic’ medicine other than those ‘generic’ applications in levels N1, N2 or N4.</w:t>
            </w:r>
          </w:p>
        </w:tc>
        <w:tc>
          <w:tcPr>
            <w:tcW w:w="1418" w:type="dxa"/>
            <w:vAlign w:val="center"/>
          </w:tcPr>
          <w:p w14:paraId="045AB162" w14:textId="1A277EEC"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150 </w:t>
            </w:r>
          </w:p>
        </w:tc>
      </w:tr>
      <w:tr w:rsidR="00F2350B" w:rsidRPr="00373DCC" w14:paraId="1D148CF9"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2FB87EB" w14:textId="77777777" w:rsidR="00F2350B" w:rsidRPr="00373DCC" w:rsidRDefault="00F2350B" w:rsidP="00710B91">
            <w:pPr>
              <w:spacing w:line="0" w:lineRule="atLeast"/>
              <w:contextualSpacing/>
              <w:rPr>
                <w:rFonts w:cs="Arial"/>
                <w:sz w:val="21"/>
              </w:rPr>
            </w:pPr>
            <w:r w:rsidRPr="00373DCC">
              <w:rPr>
                <w:rFonts w:cs="Arial"/>
                <w:sz w:val="21"/>
              </w:rPr>
              <w:t>N4</w:t>
            </w:r>
          </w:p>
        </w:tc>
        <w:tc>
          <w:tcPr>
            <w:tcW w:w="6525" w:type="dxa"/>
            <w:vAlign w:val="center"/>
          </w:tcPr>
          <w:p w14:paraId="369A3A7B"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for a ‘generic’ medicine where the medicine: requires supporting safety and/or efficacy (clinical/toxicological) data or a justification for not providing such data; and/or requires a higher level of assessment due to the umbrella branding segment of the product name; and/or has not been previously registered as an OTC medicine following down-scheduling.</w:t>
            </w:r>
          </w:p>
        </w:tc>
        <w:tc>
          <w:tcPr>
            <w:tcW w:w="1418" w:type="dxa"/>
            <w:vAlign w:val="center"/>
          </w:tcPr>
          <w:p w14:paraId="55C2611E" w14:textId="783CEF7C"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170 </w:t>
            </w:r>
          </w:p>
        </w:tc>
      </w:tr>
      <w:tr w:rsidR="00F2350B" w:rsidRPr="00373DCC" w14:paraId="6CFF2AD3"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870F477" w14:textId="77777777" w:rsidR="00F2350B" w:rsidRPr="00373DCC" w:rsidRDefault="00F2350B" w:rsidP="00710B91">
            <w:pPr>
              <w:spacing w:line="0" w:lineRule="atLeast"/>
              <w:contextualSpacing/>
              <w:rPr>
                <w:rFonts w:cs="Arial"/>
                <w:sz w:val="21"/>
              </w:rPr>
            </w:pPr>
            <w:r w:rsidRPr="00373DCC">
              <w:rPr>
                <w:rFonts w:cs="Arial"/>
                <w:sz w:val="21"/>
              </w:rPr>
              <w:t>N5</w:t>
            </w:r>
          </w:p>
        </w:tc>
        <w:tc>
          <w:tcPr>
            <w:tcW w:w="6525" w:type="dxa"/>
            <w:vAlign w:val="center"/>
          </w:tcPr>
          <w:p w14:paraId="605F420F"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An application for a new product that is an extension to a ‘generic category’ product or an application for a product containing a new chemical entity as an active ingredient.</w:t>
            </w:r>
          </w:p>
        </w:tc>
        <w:tc>
          <w:tcPr>
            <w:tcW w:w="1418" w:type="dxa"/>
            <w:vAlign w:val="center"/>
          </w:tcPr>
          <w:p w14:paraId="41762891" w14:textId="58E468FF"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210 </w:t>
            </w:r>
          </w:p>
        </w:tc>
      </w:tr>
      <w:tr w:rsidR="00F2350B" w:rsidRPr="00373DCC" w14:paraId="0BCA869F"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41ACCED" w14:textId="77777777" w:rsidR="00F2350B" w:rsidRPr="00373DCC" w:rsidRDefault="00F2350B" w:rsidP="00710B91">
            <w:pPr>
              <w:spacing w:line="0" w:lineRule="atLeast"/>
              <w:contextualSpacing/>
              <w:rPr>
                <w:rFonts w:cs="Arial"/>
                <w:sz w:val="21"/>
              </w:rPr>
            </w:pPr>
            <w:r w:rsidRPr="00373DCC">
              <w:rPr>
                <w:rFonts w:cs="Arial"/>
                <w:sz w:val="21"/>
              </w:rPr>
              <w:t>CN</w:t>
            </w:r>
          </w:p>
        </w:tc>
        <w:tc>
          <w:tcPr>
            <w:tcW w:w="6525" w:type="dxa"/>
            <w:vAlign w:val="center"/>
          </w:tcPr>
          <w:p w14:paraId="633465B4"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'Notification' changes, where their implementation would not impact the quality, safety or efficacy of a medicine. Includes quality and non-quality changes classified as 'negligible risk'.</w:t>
            </w:r>
          </w:p>
        </w:tc>
        <w:tc>
          <w:tcPr>
            <w:tcW w:w="1418" w:type="dxa"/>
            <w:vAlign w:val="center"/>
          </w:tcPr>
          <w:p w14:paraId="6C2EA0C6"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N/A</w:t>
            </w:r>
          </w:p>
          <w:p w14:paraId="53DACBD5"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(Automated validation and approval)</w:t>
            </w:r>
          </w:p>
        </w:tc>
      </w:tr>
      <w:tr w:rsidR="00F2350B" w:rsidRPr="00373DCC" w14:paraId="72FA9418"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39B25E0" w14:textId="77777777" w:rsidR="00F2350B" w:rsidRPr="00373DCC" w:rsidRDefault="00F2350B" w:rsidP="00710B91">
            <w:pPr>
              <w:spacing w:line="0" w:lineRule="atLeast"/>
              <w:contextualSpacing/>
              <w:rPr>
                <w:rFonts w:cs="Arial"/>
                <w:sz w:val="21"/>
              </w:rPr>
            </w:pPr>
            <w:r w:rsidRPr="00373DCC">
              <w:rPr>
                <w:rFonts w:cs="Arial"/>
                <w:sz w:val="21"/>
              </w:rPr>
              <w:t>C1</w:t>
            </w:r>
          </w:p>
        </w:tc>
        <w:tc>
          <w:tcPr>
            <w:tcW w:w="6525" w:type="dxa"/>
            <w:vAlign w:val="center"/>
          </w:tcPr>
          <w:p w14:paraId="2208F159"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Quality and non-quality changes classified as ‘negligible risk’.</w:t>
            </w:r>
          </w:p>
        </w:tc>
        <w:tc>
          <w:tcPr>
            <w:tcW w:w="1418" w:type="dxa"/>
            <w:vAlign w:val="center"/>
          </w:tcPr>
          <w:p w14:paraId="4C1F9742" w14:textId="4D9CE118"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20 </w:t>
            </w:r>
          </w:p>
        </w:tc>
      </w:tr>
      <w:tr w:rsidR="00F2350B" w:rsidRPr="00373DCC" w14:paraId="39B891F9"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21043C0" w14:textId="77777777" w:rsidR="00F2350B" w:rsidRPr="00373DCC" w:rsidRDefault="00F2350B" w:rsidP="00710B91">
            <w:pPr>
              <w:spacing w:line="0" w:lineRule="atLeast"/>
              <w:contextualSpacing/>
              <w:rPr>
                <w:rFonts w:cs="Arial"/>
                <w:sz w:val="21"/>
              </w:rPr>
            </w:pPr>
            <w:r w:rsidRPr="00373DCC">
              <w:rPr>
                <w:rFonts w:cs="Arial"/>
                <w:sz w:val="21"/>
              </w:rPr>
              <w:t>C2</w:t>
            </w:r>
          </w:p>
        </w:tc>
        <w:tc>
          <w:tcPr>
            <w:tcW w:w="6525" w:type="dxa"/>
            <w:vAlign w:val="center"/>
          </w:tcPr>
          <w:p w14:paraId="1503C6F0"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Quality and non-quality changes classified as ‘low risk’ – no safety and/or efficacy data required; quality data may be required.</w:t>
            </w:r>
          </w:p>
        </w:tc>
        <w:tc>
          <w:tcPr>
            <w:tcW w:w="1418" w:type="dxa"/>
            <w:vAlign w:val="center"/>
          </w:tcPr>
          <w:p w14:paraId="4CF3A2C7" w14:textId="1674231F"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64 </w:t>
            </w:r>
          </w:p>
        </w:tc>
      </w:tr>
      <w:tr w:rsidR="00F2350B" w:rsidRPr="00373DCC" w14:paraId="1A794AA1"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8C4C396" w14:textId="77777777" w:rsidR="00F2350B" w:rsidRPr="00373DCC" w:rsidRDefault="00F2350B" w:rsidP="00710B91">
            <w:pPr>
              <w:spacing w:line="0" w:lineRule="atLeast"/>
              <w:contextualSpacing/>
              <w:rPr>
                <w:rFonts w:cs="Arial"/>
                <w:sz w:val="21"/>
              </w:rPr>
            </w:pPr>
            <w:r w:rsidRPr="00373DCC">
              <w:rPr>
                <w:rFonts w:cs="Arial"/>
                <w:sz w:val="21"/>
              </w:rPr>
              <w:t>C3</w:t>
            </w:r>
          </w:p>
        </w:tc>
        <w:tc>
          <w:tcPr>
            <w:tcW w:w="6525" w:type="dxa"/>
            <w:vAlign w:val="center"/>
          </w:tcPr>
          <w:p w14:paraId="2F90524C"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Quality and non-quality changes classified as ‘low risk’ – safety and/or efficacy data required unless justified; quality data may be required.</w:t>
            </w:r>
            <w:r w:rsidRPr="00373DCC">
              <w:rPr>
                <w:rFonts w:cs="Arial"/>
                <w:sz w:val="21"/>
              </w:rPr>
              <w:br/>
              <w:t>Umbrella branding segment of new name requires a higher level of assessment.</w:t>
            </w:r>
          </w:p>
        </w:tc>
        <w:tc>
          <w:tcPr>
            <w:tcW w:w="1418" w:type="dxa"/>
            <w:vAlign w:val="center"/>
          </w:tcPr>
          <w:p w14:paraId="4EB1EA60" w14:textId="00742818"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120 </w:t>
            </w:r>
          </w:p>
        </w:tc>
      </w:tr>
      <w:tr w:rsidR="00F2350B" w:rsidRPr="00373DCC" w14:paraId="7DD1E6D8"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A30CF97" w14:textId="77777777" w:rsidR="00F2350B" w:rsidRPr="00373DCC" w:rsidRDefault="00F2350B" w:rsidP="00710B91">
            <w:pPr>
              <w:spacing w:line="0" w:lineRule="atLeast"/>
              <w:contextualSpacing/>
              <w:rPr>
                <w:rFonts w:cs="Arial"/>
                <w:sz w:val="21"/>
              </w:rPr>
            </w:pPr>
            <w:r w:rsidRPr="00373DCC">
              <w:rPr>
                <w:rFonts w:cs="Arial"/>
                <w:sz w:val="21"/>
              </w:rPr>
              <w:t>C4</w:t>
            </w:r>
          </w:p>
        </w:tc>
        <w:tc>
          <w:tcPr>
            <w:tcW w:w="6525" w:type="dxa"/>
            <w:vAlign w:val="center"/>
          </w:tcPr>
          <w:p w14:paraId="7D98AA2B"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Non-quality changes classified as ‘moderate risk’ – safety and/or efficacy data required unless justified.</w:t>
            </w:r>
          </w:p>
        </w:tc>
        <w:tc>
          <w:tcPr>
            <w:tcW w:w="1418" w:type="dxa"/>
            <w:vAlign w:val="center"/>
          </w:tcPr>
          <w:p w14:paraId="64C53D6A" w14:textId="0332CD4E"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170 </w:t>
            </w:r>
          </w:p>
        </w:tc>
      </w:tr>
      <w:tr w:rsidR="00F2350B" w:rsidRPr="00373DCC" w14:paraId="5CB7E263"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891D66A" w14:textId="77777777" w:rsidR="00F2350B" w:rsidRPr="00373DCC" w:rsidRDefault="00F2350B" w:rsidP="00710B91">
            <w:pPr>
              <w:spacing w:line="0" w:lineRule="atLeast"/>
              <w:contextualSpacing/>
              <w:rPr>
                <w:rFonts w:cs="Arial"/>
                <w:sz w:val="21"/>
              </w:rPr>
            </w:pPr>
            <w:r w:rsidRPr="00373DCC">
              <w:rPr>
                <w:rFonts w:cs="Arial"/>
                <w:sz w:val="21"/>
              </w:rPr>
              <w:t>B1</w:t>
            </w:r>
          </w:p>
        </w:tc>
        <w:tc>
          <w:tcPr>
            <w:tcW w:w="6525" w:type="dxa"/>
            <w:vAlign w:val="center"/>
          </w:tcPr>
          <w:p w14:paraId="0DDB9AB8"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Request for advice in relation to a registered OTC medicine for the purpose of listing the medicine as a pharmaceutical benefit that does not contain clinical data.</w:t>
            </w:r>
          </w:p>
        </w:tc>
        <w:tc>
          <w:tcPr>
            <w:tcW w:w="1418" w:type="dxa"/>
            <w:vAlign w:val="center"/>
          </w:tcPr>
          <w:p w14:paraId="3CCB4236" w14:textId="4EFADFBC"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20 </w:t>
            </w:r>
          </w:p>
        </w:tc>
      </w:tr>
      <w:tr w:rsidR="00F2350B" w:rsidRPr="00373DCC" w14:paraId="5151D091"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vAlign w:val="center"/>
          </w:tcPr>
          <w:p w14:paraId="1574E8D4" w14:textId="77777777" w:rsidR="00F2350B" w:rsidRPr="00373DCC" w:rsidRDefault="00F2350B" w:rsidP="00710B91">
            <w:pPr>
              <w:spacing w:line="0" w:lineRule="atLeast"/>
              <w:contextualSpacing/>
              <w:rPr>
                <w:rFonts w:cs="Arial"/>
                <w:sz w:val="21"/>
              </w:rPr>
            </w:pPr>
            <w:r w:rsidRPr="00373DCC">
              <w:rPr>
                <w:rFonts w:cs="Arial"/>
                <w:sz w:val="21"/>
              </w:rPr>
              <w:t>B3</w:t>
            </w:r>
          </w:p>
        </w:tc>
        <w:tc>
          <w:tcPr>
            <w:tcW w:w="6525" w:type="dxa"/>
            <w:tcBorders>
              <w:bottom w:val="single" w:sz="4" w:space="0" w:color="auto"/>
            </w:tcBorders>
            <w:vAlign w:val="center"/>
          </w:tcPr>
          <w:p w14:paraId="4114BFF8"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Request for advice in relation to a registered OTC medicine for the purpose of listing the medicine as a pharmaceutical benefit that contains clinical data or a justification as to why such data is not needed.</w:t>
            </w:r>
          </w:p>
        </w:tc>
        <w:tc>
          <w:tcPr>
            <w:tcW w:w="1418" w:type="dxa"/>
            <w:tcBorders>
              <w:bottom w:val="single" w:sz="4" w:space="0" w:color="auto"/>
            </w:tcBorders>
            <w:vAlign w:val="center"/>
          </w:tcPr>
          <w:p w14:paraId="5415545A" w14:textId="09660FB2"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120 </w:t>
            </w:r>
          </w:p>
        </w:tc>
      </w:tr>
      <w:tr w:rsidR="00F2350B" w:rsidRPr="00373DCC" w14:paraId="6F24F377" w14:textId="77777777" w:rsidTr="009B6A61">
        <w:trPr>
          <w:trHeight w:val="3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vAlign w:val="center"/>
          </w:tcPr>
          <w:p w14:paraId="4ABB3CA4" w14:textId="77777777" w:rsidR="00F2350B" w:rsidRPr="00373DCC" w:rsidRDefault="00F2350B" w:rsidP="00710B91">
            <w:pPr>
              <w:spacing w:line="0" w:lineRule="atLeast"/>
              <w:contextualSpacing/>
              <w:rPr>
                <w:rFonts w:cs="Arial"/>
                <w:sz w:val="21"/>
              </w:rPr>
            </w:pPr>
            <w:r w:rsidRPr="00373DCC">
              <w:rPr>
                <w:rFonts w:cs="Arial"/>
                <w:sz w:val="21"/>
              </w:rPr>
              <w:t xml:space="preserve">Requests for consent under section 14/14A of the Act </w:t>
            </w:r>
          </w:p>
        </w:tc>
        <w:tc>
          <w:tcPr>
            <w:tcW w:w="6525" w:type="dxa"/>
            <w:tcBorders>
              <w:top w:val="single" w:sz="4" w:space="0" w:color="auto"/>
            </w:tcBorders>
            <w:vAlign w:val="center"/>
          </w:tcPr>
          <w:p w14:paraId="0C1243FC"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Request for consent by the Secretary under sections 14 and 14A of the Act to the import, export or supply of therapeutic goods that do not comply with an applicable standard.</w:t>
            </w:r>
          </w:p>
        </w:tc>
        <w:tc>
          <w:tcPr>
            <w:tcW w:w="1418" w:type="dxa"/>
            <w:tcBorders>
              <w:top w:val="single" w:sz="4" w:space="0" w:color="auto"/>
            </w:tcBorders>
            <w:vAlign w:val="center"/>
          </w:tcPr>
          <w:p w14:paraId="33C6DD4F"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N/A</w:t>
            </w:r>
          </w:p>
        </w:tc>
      </w:tr>
    </w:tbl>
    <w:p w14:paraId="779D1F47" w14:textId="77777777" w:rsidR="00F2350B" w:rsidRPr="00373DCC" w:rsidRDefault="00F2350B" w:rsidP="00F2350B">
      <w:pPr>
        <w:pStyle w:val="ListParagraph"/>
        <w:numPr>
          <w:ilvl w:val="0"/>
          <w:numId w:val="0"/>
        </w:numPr>
        <w:ind w:left="527"/>
        <w:rPr>
          <w:lang w:val="en"/>
        </w:rPr>
      </w:pPr>
    </w:p>
    <w:p w14:paraId="61C5DB28" w14:textId="77777777" w:rsidR="00F2350B" w:rsidRPr="00373DCC" w:rsidRDefault="00F2350B" w:rsidP="00F2350B">
      <w:pPr>
        <w:rPr>
          <w:rFonts w:eastAsia="Times New Roman" w:cs="Arial"/>
          <w:bCs/>
          <w:color w:val="29527F"/>
          <w:szCs w:val="22"/>
          <w:lang w:val="en"/>
          <w14:textFill>
            <w14:solidFill>
              <w14:srgbClr w14:val="29527F">
                <w14:lumMod w14:val="90000"/>
                <w14:lumOff w14:val="10000"/>
              </w14:srgbClr>
            </w14:solidFill>
          </w14:textFill>
        </w:rPr>
      </w:pPr>
      <w:r w:rsidRPr="00373DCC">
        <w:rPr>
          <w:rFonts w:eastAsia="Times New Roman" w:cs="Arial"/>
          <w:bCs/>
          <w:color w:val="29527F"/>
          <w:szCs w:val="22"/>
          <w:lang w:val="en"/>
          <w14:textFill>
            <w14:solidFill>
              <w14:srgbClr w14:val="29527F">
                <w14:lumMod w14:val="90000"/>
                <w14:lumOff w14:val="10000"/>
              </w14:srgbClr>
            </w14:solidFill>
          </w14:textFill>
        </w:rPr>
        <w:br w:type="page"/>
      </w:r>
    </w:p>
    <w:p w14:paraId="09E753E3" w14:textId="77777777" w:rsidR="00B633E2" w:rsidRPr="00B633E2" w:rsidRDefault="00B633E2" w:rsidP="00B633E2">
      <w:pPr>
        <w:pStyle w:val="ListParagraph"/>
        <w:keepNext/>
        <w:numPr>
          <w:ilvl w:val="0"/>
          <w:numId w:val="21"/>
        </w:numPr>
        <w:adjustRightInd w:val="0"/>
        <w:spacing w:before="360" w:after="120" w:line="240" w:lineRule="auto"/>
        <w:ind w:left="357" w:hanging="357"/>
        <w:outlineLvl w:val="2"/>
        <w:rPr>
          <w:rFonts w:eastAsia="Times New Roman"/>
          <w:bCs/>
          <w:vanish/>
          <w:color w:val="29527F"/>
          <w:sz w:val="26"/>
          <w:szCs w:val="26"/>
          <w:lang w:val="en"/>
          <w14:textFill>
            <w14:solidFill>
              <w14:srgbClr w14:val="29527F">
                <w14:lumMod w14:val="90000"/>
                <w14:lumOff w14:val="10000"/>
              </w14:srgbClr>
            </w14:solidFill>
          </w14:textFill>
        </w:rPr>
      </w:pPr>
    </w:p>
    <w:p w14:paraId="798FB33B" w14:textId="3B175A13" w:rsidR="00F2350B" w:rsidRPr="00373DCC" w:rsidRDefault="00F2350B" w:rsidP="00B633E2">
      <w:pPr>
        <w:pStyle w:val="Heading3-numbered"/>
        <w:numPr>
          <w:ilvl w:val="1"/>
          <w:numId w:val="21"/>
        </w:numPr>
        <w:rPr>
          <w:rFonts w:ascii="Arial" w:hAnsi="Arial" w:cs="Arial"/>
        </w:rPr>
      </w:pPr>
      <w:bookmarkStart w:id="102" w:name="_Toc153550453"/>
      <w:r w:rsidRPr="00373DCC">
        <w:rPr>
          <w:rFonts w:ascii="Arial" w:hAnsi="Arial" w:cs="Arial"/>
        </w:rPr>
        <w:t>Approval times</w:t>
      </w:r>
      <w:bookmarkEnd w:id="102"/>
    </w:p>
    <w:p w14:paraId="18DBE070" w14:textId="77777777" w:rsidR="00F2350B" w:rsidRPr="00373DCC" w:rsidRDefault="00F2350B" w:rsidP="00F2350B">
      <w:pPr>
        <w:keepNext/>
        <w:spacing w:before="240" w:after="120" w:line="240" w:lineRule="auto"/>
        <w:rPr>
          <w:rFonts w:eastAsia="Cambria" w:cs="Arial"/>
          <w:b/>
          <w:bCs/>
          <w:sz w:val="21"/>
          <w:szCs w:val="21"/>
        </w:rPr>
      </w:pPr>
      <w:bookmarkStart w:id="103" w:name="Table10"/>
      <w:r w:rsidRPr="00373DCC">
        <w:rPr>
          <w:rFonts w:eastAsia="Cambria" w:cs="Arial"/>
          <w:b/>
          <w:bCs/>
          <w:sz w:val="21"/>
          <w:szCs w:val="21"/>
        </w:rPr>
        <w:t>Table 10: Median approval time for OTC medicine applications</w:t>
      </w:r>
    </w:p>
    <w:tbl>
      <w:tblPr>
        <w:tblStyle w:val="TableTGAblue"/>
        <w:tblW w:w="9322"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345"/>
        <w:gridCol w:w="1456"/>
        <w:gridCol w:w="1521"/>
      </w:tblGrid>
      <w:tr w:rsidR="00F2350B" w:rsidRPr="00373DCC" w14:paraId="72A927D4" w14:textId="77777777" w:rsidTr="00F071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3" w:type="pct"/>
            <w:tcBorders>
              <w:top w:val="nil"/>
              <w:left w:val="nil"/>
              <w:bottom w:val="nil"/>
              <w:right w:val="single" w:sz="4" w:space="0" w:color="000000"/>
            </w:tcBorders>
            <w:shd w:val="clear" w:color="auto" w:fill="FFFFFF" w:themeFill="background1"/>
            <w:vAlign w:val="center"/>
          </w:tcPr>
          <w:p w14:paraId="463DE1DC" w14:textId="77777777" w:rsidR="00F2350B" w:rsidRPr="00373DCC" w:rsidRDefault="00F2350B" w:rsidP="00710B91">
            <w:pPr>
              <w:widowControl w:val="0"/>
              <w:spacing w:before="0" w:after="0" w:line="240" w:lineRule="atLeast"/>
              <w:ind w:left="720"/>
              <w:contextualSpacing/>
              <w:rPr>
                <w:rFonts w:cs="Arial"/>
                <w:sz w:val="21"/>
              </w:rPr>
            </w:pPr>
          </w:p>
        </w:tc>
        <w:tc>
          <w:tcPr>
            <w:tcW w:w="781"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F0E7F1A" w14:textId="416F638A" w:rsidR="00F2350B"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816"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7A2EDB8A" w14:textId="048DEF5C" w:rsidR="00F2350B"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bookmarkEnd w:id="103"/>
      <w:tr w:rsidR="00F2350B" w:rsidRPr="00373DCC" w14:paraId="0E93257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left w:val="single" w:sz="4" w:space="0" w:color="002C47"/>
              <w:bottom w:val="single" w:sz="4" w:space="0" w:color="002C47"/>
              <w:right w:val="nil"/>
            </w:tcBorders>
            <w:shd w:val="clear" w:color="auto" w:fill="8CADD3"/>
            <w:vAlign w:val="center"/>
          </w:tcPr>
          <w:p w14:paraId="39E1F2E6" w14:textId="77777777" w:rsidR="00F2350B" w:rsidRPr="00373DCC" w:rsidRDefault="00F2350B" w:rsidP="00710B91">
            <w:pPr>
              <w:keepNext/>
              <w:keepLines/>
              <w:tabs>
                <w:tab w:val="left" w:pos="907"/>
                <w:tab w:val="left" w:pos="1134"/>
                <w:tab w:val="left" w:pos="4540"/>
              </w:tabs>
              <w:spacing w:before="0" w:after="0" w:line="240" w:lineRule="atLeast"/>
              <w:ind w:left="907" w:hanging="907"/>
              <w:outlineLvl w:val="4"/>
              <w:rPr>
                <w:rFonts w:cs="Arial"/>
                <w:sz w:val="21"/>
              </w:rPr>
            </w:pPr>
            <w:r w:rsidRPr="00373DCC">
              <w:rPr>
                <w:rFonts w:cs="Arial"/>
                <w:sz w:val="21"/>
              </w:rPr>
              <w:t>New medicine applications (days)</w:t>
            </w:r>
            <w:r w:rsidRPr="00373DCC">
              <w:rPr>
                <w:rFonts w:cs="Arial"/>
                <w:sz w:val="21"/>
              </w:rPr>
              <w:tab/>
            </w:r>
          </w:p>
        </w:tc>
        <w:tc>
          <w:tcPr>
            <w:tcW w:w="781" w:type="pct"/>
            <w:tcBorders>
              <w:top w:val="single" w:sz="4" w:space="0" w:color="000000"/>
              <w:left w:val="nil"/>
              <w:bottom w:val="single" w:sz="4" w:space="0" w:color="002C47"/>
              <w:right w:val="nil"/>
            </w:tcBorders>
            <w:shd w:val="clear" w:color="auto" w:fill="8CADD3"/>
            <w:vAlign w:val="center"/>
          </w:tcPr>
          <w:p w14:paraId="2C3033AD" w14:textId="77777777" w:rsidR="00F2350B" w:rsidRPr="00373DCC" w:rsidRDefault="00F2350B" w:rsidP="00710B91">
            <w:pPr>
              <w:widowControl w:val="0"/>
              <w:spacing w:before="0" w:after="0" w:line="240" w:lineRule="atLeast"/>
              <w:ind w:left="720"/>
              <w:contextualSpacing/>
              <w:cnfStyle w:val="000000000000" w:firstRow="0" w:lastRow="0" w:firstColumn="0" w:lastColumn="0" w:oddVBand="0" w:evenVBand="0" w:oddHBand="0" w:evenHBand="0" w:firstRowFirstColumn="0" w:firstRowLastColumn="0" w:lastRowFirstColumn="0" w:lastRowLastColumn="0"/>
              <w:rPr>
                <w:rFonts w:cs="Arial"/>
                <w:sz w:val="21"/>
              </w:rPr>
            </w:pPr>
          </w:p>
        </w:tc>
        <w:tc>
          <w:tcPr>
            <w:tcW w:w="816" w:type="pct"/>
            <w:tcBorders>
              <w:top w:val="single" w:sz="4" w:space="0" w:color="000000"/>
              <w:left w:val="nil"/>
              <w:bottom w:val="single" w:sz="4" w:space="0" w:color="002C47"/>
              <w:right w:val="single" w:sz="4" w:space="0" w:color="002C47"/>
            </w:tcBorders>
            <w:shd w:val="clear" w:color="auto" w:fill="8CADD3"/>
            <w:vAlign w:val="center"/>
          </w:tcPr>
          <w:p w14:paraId="503B50AF" w14:textId="77777777" w:rsidR="00F2350B" w:rsidRPr="00373DCC" w:rsidRDefault="00F2350B" w:rsidP="00710B91">
            <w:pPr>
              <w:widowControl w:val="0"/>
              <w:spacing w:before="0" w:after="0" w:line="240" w:lineRule="atLeast"/>
              <w:ind w:left="720"/>
              <w:contextualSpacing/>
              <w:cnfStyle w:val="000000000000" w:firstRow="0" w:lastRow="0" w:firstColumn="0" w:lastColumn="0" w:oddVBand="0" w:evenVBand="0" w:oddHBand="0" w:evenHBand="0" w:firstRowFirstColumn="0" w:firstRowLastColumn="0" w:lastRowFirstColumn="0" w:lastRowLastColumn="0"/>
              <w:rPr>
                <w:rFonts w:cs="Arial"/>
                <w:sz w:val="21"/>
              </w:rPr>
            </w:pPr>
          </w:p>
        </w:tc>
      </w:tr>
      <w:tr w:rsidR="00F2350B" w:rsidRPr="00373DCC" w14:paraId="7EEA953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vAlign w:val="center"/>
          </w:tcPr>
          <w:p w14:paraId="3E1007B0" w14:textId="77777777" w:rsidR="00F2350B" w:rsidRPr="00373DCC" w:rsidRDefault="00F2350B" w:rsidP="00710B91">
            <w:pPr>
              <w:spacing w:before="0" w:after="0" w:line="240" w:lineRule="atLeast"/>
              <w:contextualSpacing/>
              <w:rPr>
                <w:rFonts w:cs="Arial"/>
                <w:sz w:val="21"/>
              </w:rPr>
            </w:pPr>
            <w:r w:rsidRPr="00373DCC">
              <w:rPr>
                <w:rFonts w:cs="Arial"/>
                <w:sz w:val="21"/>
              </w:rPr>
              <w:t>N1</w:t>
            </w:r>
          </w:p>
        </w:tc>
        <w:tc>
          <w:tcPr>
            <w:tcW w:w="781" w:type="pct"/>
            <w:tcBorders>
              <w:top w:val="single" w:sz="4" w:space="0" w:color="002C47"/>
            </w:tcBorders>
            <w:vAlign w:val="center"/>
          </w:tcPr>
          <w:p w14:paraId="0803C827"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36</w:t>
            </w:r>
          </w:p>
        </w:tc>
        <w:tc>
          <w:tcPr>
            <w:tcW w:w="816" w:type="pct"/>
            <w:tcBorders>
              <w:top w:val="single" w:sz="4" w:space="0" w:color="002C47"/>
            </w:tcBorders>
            <w:vAlign w:val="center"/>
          </w:tcPr>
          <w:p w14:paraId="14223226"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w:t>
            </w:r>
          </w:p>
        </w:tc>
      </w:tr>
      <w:tr w:rsidR="00F2350B" w:rsidRPr="00373DCC" w14:paraId="6462208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086AA49D" w14:textId="77777777" w:rsidR="00F2350B" w:rsidRPr="00373DCC" w:rsidRDefault="00F2350B" w:rsidP="00710B91">
            <w:pPr>
              <w:spacing w:before="0" w:after="0" w:line="240" w:lineRule="atLeast"/>
              <w:contextualSpacing/>
              <w:rPr>
                <w:rFonts w:cs="Arial"/>
                <w:sz w:val="21"/>
              </w:rPr>
            </w:pPr>
            <w:r w:rsidRPr="00373DCC">
              <w:rPr>
                <w:rFonts w:cs="Arial"/>
                <w:sz w:val="21"/>
              </w:rPr>
              <w:t>N2</w:t>
            </w:r>
          </w:p>
        </w:tc>
        <w:tc>
          <w:tcPr>
            <w:tcW w:w="781" w:type="pct"/>
            <w:vAlign w:val="center"/>
          </w:tcPr>
          <w:p w14:paraId="7E39E1D7"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w:t>
            </w:r>
          </w:p>
        </w:tc>
        <w:tc>
          <w:tcPr>
            <w:tcW w:w="816" w:type="pct"/>
            <w:vAlign w:val="center"/>
          </w:tcPr>
          <w:p w14:paraId="0D99E7E6"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31</w:t>
            </w:r>
          </w:p>
        </w:tc>
      </w:tr>
      <w:tr w:rsidR="00F2350B" w:rsidRPr="00373DCC" w14:paraId="303B4AE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23867079" w14:textId="77777777" w:rsidR="00F2350B" w:rsidRPr="00373DCC" w:rsidRDefault="00F2350B" w:rsidP="00710B91">
            <w:pPr>
              <w:spacing w:before="0" w:after="0" w:line="240" w:lineRule="atLeast"/>
              <w:contextualSpacing/>
              <w:rPr>
                <w:rFonts w:cs="Arial"/>
                <w:sz w:val="21"/>
              </w:rPr>
            </w:pPr>
            <w:r w:rsidRPr="00373DCC">
              <w:rPr>
                <w:rFonts w:cs="Arial"/>
                <w:sz w:val="21"/>
              </w:rPr>
              <w:t>N3</w:t>
            </w:r>
          </w:p>
        </w:tc>
        <w:tc>
          <w:tcPr>
            <w:tcW w:w="781" w:type="pct"/>
            <w:vAlign w:val="center"/>
          </w:tcPr>
          <w:p w14:paraId="7795A9D8"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120</w:t>
            </w:r>
          </w:p>
        </w:tc>
        <w:tc>
          <w:tcPr>
            <w:tcW w:w="816" w:type="pct"/>
            <w:vAlign w:val="center"/>
          </w:tcPr>
          <w:p w14:paraId="43A1C625"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108</w:t>
            </w:r>
          </w:p>
        </w:tc>
      </w:tr>
      <w:tr w:rsidR="00F2350B" w:rsidRPr="00373DCC" w14:paraId="45E9EB0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6DB4D14F" w14:textId="77777777" w:rsidR="00F2350B" w:rsidRPr="00373DCC" w:rsidRDefault="00F2350B" w:rsidP="00710B91">
            <w:pPr>
              <w:spacing w:before="0" w:after="0" w:line="240" w:lineRule="atLeast"/>
              <w:contextualSpacing/>
              <w:rPr>
                <w:rFonts w:cs="Arial"/>
                <w:sz w:val="21"/>
              </w:rPr>
            </w:pPr>
            <w:r w:rsidRPr="00373DCC">
              <w:rPr>
                <w:rFonts w:cs="Arial"/>
                <w:sz w:val="21"/>
              </w:rPr>
              <w:t>N4</w:t>
            </w:r>
          </w:p>
        </w:tc>
        <w:tc>
          <w:tcPr>
            <w:tcW w:w="781" w:type="pct"/>
            <w:vAlign w:val="center"/>
          </w:tcPr>
          <w:p w14:paraId="4CCEC4A6"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163</w:t>
            </w:r>
          </w:p>
        </w:tc>
        <w:tc>
          <w:tcPr>
            <w:tcW w:w="816" w:type="pct"/>
            <w:vAlign w:val="center"/>
          </w:tcPr>
          <w:p w14:paraId="335B055F"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132</w:t>
            </w:r>
          </w:p>
        </w:tc>
      </w:tr>
      <w:tr w:rsidR="00F2350B" w:rsidRPr="00373DCC" w14:paraId="1D689E4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tcBorders>
              <w:bottom w:val="single" w:sz="4" w:space="0" w:color="002C47"/>
            </w:tcBorders>
            <w:vAlign w:val="center"/>
          </w:tcPr>
          <w:p w14:paraId="39EA1308" w14:textId="77777777" w:rsidR="00F2350B" w:rsidRPr="00373DCC" w:rsidRDefault="00F2350B" w:rsidP="00710B91">
            <w:pPr>
              <w:spacing w:before="0" w:after="0" w:line="240" w:lineRule="atLeast"/>
              <w:contextualSpacing/>
              <w:rPr>
                <w:rFonts w:cs="Arial"/>
                <w:sz w:val="21"/>
              </w:rPr>
            </w:pPr>
            <w:r w:rsidRPr="00373DCC">
              <w:rPr>
                <w:rFonts w:cs="Arial"/>
                <w:sz w:val="21"/>
              </w:rPr>
              <w:t>N5</w:t>
            </w:r>
          </w:p>
        </w:tc>
        <w:tc>
          <w:tcPr>
            <w:tcW w:w="781" w:type="pct"/>
            <w:tcBorders>
              <w:bottom w:val="single" w:sz="4" w:space="0" w:color="002C47"/>
            </w:tcBorders>
            <w:vAlign w:val="center"/>
          </w:tcPr>
          <w:p w14:paraId="63E8E92E"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289</w:t>
            </w:r>
          </w:p>
        </w:tc>
        <w:tc>
          <w:tcPr>
            <w:tcW w:w="816" w:type="pct"/>
            <w:tcBorders>
              <w:bottom w:val="single" w:sz="4" w:space="0" w:color="002C47"/>
            </w:tcBorders>
            <w:vAlign w:val="center"/>
          </w:tcPr>
          <w:p w14:paraId="79466A4A"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186</w:t>
            </w:r>
          </w:p>
        </w:tc>
      </w:tr>
      <w:tr w:rsidR="00F2350B" w:rsidRPr="00373DCC" w14:paraId="3F6B301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left w:val="single" w:sz="4" w:space="0" w:color="002C47"/>
              <w:bottom w:val="single" w:sz="4" w:space="0" w:color="002C47"/>
              <w:right w:val="nil"/>
            </w:tcBorders>
            <w:shd w:val="clear" w:color="auto" w:fill="8CADD3"/>
            <w:vAlign w:val="center"/>
          </w:tcPr>
          <w:p w14:paraId="518C09BD"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Change applications (days)</w:t>
            </w:r>
          </w:p>
        </w:tc>
        <w:tc>
          <w:tcPr>
            <w:tcW w:w="781" w:type="pct"/>
            <w:tcBorders>
              <w:top w:val="single" w:sz="4" w:space="0" w:color="002C47"/>
              <w:left w:val="nil"/>
              <w:bottom w:val="single" w:sz="4" w:space="0" w:color="002C47"/>
              <w:right w:val="nil"/>
            </w:tcBorders>
            <w:shd w:val="clear" w:color="auto" w:fill="8CADD3"/>
            <w:vAlign w:val="center"/>
          </w:tcPr>
          <w:p w14:paraId="045E879B" w14:textId="77777777" w:rsidR="00F2350B" w:rsidRPr="00373DCC" w:rsidRDefault="00F2350B" w:rsidP="00710B91">
            <w:pPr>
              <w:widowControl w:val="0"/>
              <w:spacing w:before="0" w:after="0" w:line="240" w:lineRule="atLeast"/>
              <w:ind w:left="720"/>
              <w:contextualSpacing/>
              <w:jc w:val="center"/>
              <w:cnfStyle w:val="000000000000" w:firstRow="0" w:lastRow="0" w:firstColumn="0" w:lastColumn="0" w:oddVBand="0" w:evenVBand="0" w:oddHBand="0" w:evenHBand="0" w:firstRowFirstColumn="0" w:firstRowLastColumn="0" w:lastRowFirstColumn="0" w:lastRowLastColumn="0"/>
              <w:rPr>
                <w:rFonts w:cs="Arial"/>
                <w:sz w:val="21"/>
              </w:rPr>
            </w:pPr>
          </w:p>
        </w:tc>
        <w:tc>
          <w:tcPr>
            <w:tcW w:w="816" w:type="pct"/>
            <w:tcBorders>
              <w:top w:val="single" w:sz="4" w:space="0" w:color="002C47"/>
              <w:left w:val="nil"/>
              <w:bottom w:val="single" w:sz="4" w:space="0" w:color="002C47"/>
              <w:right w:val="single" w:sz="4" w:space="0" w:color="002C47"/>
            </w:tcBorders>
            <w:shd w:val="clear" w:color="auto" w:fill="8CADD3"/>
            <w:vAlign w:val="center"/>
          </w:tcPr>
          <w:p w14:paraId="39850705" w14:textId="77777777" w:rsidR="00F2350B" w:rsidRPr="00373DCC" w:rsidRDefault="00F2350B" w:rsidP="00710B91">
            <w:pPr>
              <w:widowControl w:val="0"/>
              <w:spacing w:before="0" w:after="0" w:line="240" w:lineRule="atLeast"/>
              <w:ind w:left="720"/>
              <w:contextualSpacing/>
              <w:jc w:val="center"/>
              <w:cnfStyle w:val="000000000000" w:firstRow="0" w:lastRow="0" w:firstColumn="0" w:lastColumn="0" w:oddVBand="0" w:evenVBand="0" w:oddHBand="0" w:evenHBand="0" w:firstRowFirstColumn="0" w:firstRowLastColumn="0" w:lastRowFirstColumn="0" w:lastRowLastColumn="0"/>
              <w:rPr>
                <w:rFonts w:cs="Arial"/>
                <w:sz w:val="21"/>
              </w:rPr>
            </w:pPr>
          </w:p>
        </w:tc>
      </w:tr>
      <w:tr w:rsidR="00F2350B" w:rsidRPr="00373DCC" w14:paraId="21AD8B5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vAlign w:val="center"/>
          </w:tcPr>
          <w:p w14:paraId="0E21DEEB" w14:textId="77777777" w:rsidR="00F2350B" w:rsidRPr="00373DCC" w:rsidRDefault="00F2350B" w:rsidP="00710B91">
            <w:pPr>
              <w:spacing w:before="0" w:after="0" w:line="240" w:lineRule="atLeast"/>
              <w:contextualSpacing/>
              <w:rPr>
                <w:rFonts w:cs="Arial"/>
                <w:sz w:val="21"/>
              </w:rPr>
            </w:pPr>
            <w:r w:rsidRPr="00373DCC">
              <w:rPr>
                <w:rFonts w:cs="Arial"/>
                <w:sz w:val="21"/>
              </w:rPr>
              <w:t>C1</w:t>
            </w:r>
          </w:p>
        </w:tc>
        <w:tc>
          <w:tcPr>
            <w:tcW w:w="781" w:type="pct"/>
            <w:tcBorders>
              <w:top w:val="single" w:sz="4" w:space="0" w:color="002C47"/>
            </w:tcBorders>
            <w:vAlign w:val="center"/>
          </w:tcPr>
          <w:p w14:paraId="4471A60D"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14</w:t>
            </w:r>
          </w:p>
        </w:tc>
        <w:tc>
          <w:tcPr>
            <w:tcW w:w="816" w:type="pct"/>
            <w:tcBorders>
              <w:top w:val="single" w:sz="4" w:space="0" w:color="002C47"/>
            </w:tcBorders>
            <w:vAlign w:val="center"/>
          </w:tcPr>
          <w:p w14:paraId="56FC21E7"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23</w:t>
            </w:r>
          </w:p>
        </w:tc>
      </w:tr>
      <w:tr w:rsidR="00F2350B" w:rsidRPr="00373DCC" w14:paraId="5D47E92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19C64139" w14:textId="77777777" w:rsidR="00F2350B" w:rsidRPr="00373DCC" w:rsidRDefault="00F2350B" w:rsidP="00710B91">
            <w:pPr>
              <w:spacing w:before="0" w:after="0" w:line="240" w:lineRule="atLeast"/>
              <w:contextualSpacing/>
              <w:rPr>
                <w:rFonts w:cs="Arial"/>
                <w:sz w:val="21"/>
              </w:rPr>
            </w:pPr>
            <w:r w:rsidRPr="00373DCC">
              <w:rPr>
                <w:rFonts w:cs="Arial"/>
                <w:sz w:val="21"/>
              </w:rPr>
              <w:t>C2</w:t>
            </w:r>
          </w:p>
        </w:tc>
        <w:tc>
          <w:tcPr>
            <w:tcW w:w="781" w:type="pct"/>
            <w:vAlign w:val="center"/>
          </w:tcPr>
          <w:p w14:paraId="65C0F448"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w:t>
            </w:r>
          </w:p>
        </w:tc>
        <w:tc>
          <w:tcPr>
            <w:tcW w:w="816" w:type="pct"/>
            <w:vAlign w:val="center"/>
          </w:tcPr>
          <w:p w14:paraId="3668606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w:t>
            </w:r>
          </w:p>
        </w:tc>
      </w:tr>
      <w:tr w:rsidR="00F2350B" w:rsidRPr="00373DCC" w14:paraId="3151139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2AC82F72" w14:textId="77777777" w:rsidR="00F2350B" w:rsidRPr="00373DCC" w:rsidRDefault="00F2350B" w:rsidP="00710B91">
            <w:pPr>
              <w:spacing w:before="0" w:after="0" w:line="240" w:lineRule="atLeast"/>
              <w:contextualSpacing/>
              <w:rPr>
                <w:rFonts w:cs="Arial"/>
                <w:sz w:val="21"/>
              </w:rPr>
            </w:pPr>
            <w:r w:rsidRPr="00373DCC">
              <w:rPr>
                <w:rFonts w:cs="Arial"/>
                <w:sz w:val="21"/>
              </w:rPr>
              <w:t>C3</w:t>
            </w:r>
          </w:p>
        </w:tc>
        <w:tc>
          <w:tcPr>
            <w:tcW w:w="781" w:type="pct"/>
            <w:vAlign w:val="center"/>
          </w:tcPr>
          <w:p w14:paraId="5CD0FDAE"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50</w:t>
            </w:r>
          </w:p>
        </w:tc>
        <w:tc>
          <w:tcPr>
            <w:tcW w:w="816" w:type="pct"/>
            <w:vAlign w:val="center"/>
          </w:tcPr>
          <w:p w14:paraId="58A0F12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96</w:t>
            </w:r>
          </w:p>
        </w:tc>
      </w:tr>
      <w:tr w:rsidR="00F2350B" w:rsidRPr="00373DCC" w14:paraId="31E4473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03" w:type="pct"/>
            <w:vAlign w:val="center"/>
          </w:tcPr>
          <w:p w14:paraId="0E68F281" w14:textId="77777777" w:rsidR="00F2350B" w:rsidRPr="00373DCC" w:rsidRDefault="00F2350B" w:rsidP="00710B91">
            <w:pPr>
              <w:spacing w:before="0" w:after="0" w:line="240" w:lineRule="atLeast"/>
              <w:contextualSpacing/>
              <w:rPr>
                <w:rFonts w:cs="Arial"/>
                <w:sz w:val="21"/>
              </w:rPr>
            </w:pPr>
            <w:r w:rsidRPr="00373DCC">
              <w:rPr>
                <w:rFonts w:cs="Arial"/>
                <w:sz w:val="21"/>
              </w:rPr>
              <w:t>C4</w:t>
            </w:r>
          </w:p>
        </w:tc>
        <w:tc>
          <w:tcPr>
            <w:tcW w:w="781" w:type="pct"/>
            <w:vAlign w:val="center"/>
          </w:tcPr>
          <w:p w14:paraId="6B2BFB41"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816" w:type="pct"/>
            <w:vAlign w:val="center"/>
          </w:tcPr>
          <w:p w14:paraId="1152D5E4"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r>
    </w:tbl>
    <w:p w14:paraId="1D8E174D" w14:textId="77777777" w:rsidR="00F2350B" w:rsidRPr="00373DCC" w:rsidRDefault="00F2350B" w:rsidP="00F2350B">
      <w:pPr>
        <w:spacing w:after="180" w:line="240" w:lineRule="atLeast"/>
        <w:rPr>
          <w:rFonts w:eastAsia="Cambria" w:cs="Arial"/>
          <w:szCs w:val="22"/>
        </w:rPr>
      </w:pPr>
    </w:p>
    <w:p w14:paraId="6F20AF86" w14:textId="77777777" w:rsidR="00F2350B" w:rsidRPr="00373DCC" w:rsidRDefault="00F2350B" w:rsidP="00F2350B">
      <w:pPr>
        <w:keepNext/>
        <w:spacing w:before="240" w:after="120" w:line="240" w:lineRule="auto"/>
        <w:rPr>
          <w:rFonts w:eastAsia="Cambria" w:cs="Arial"/>
          <w:b/>
          <w:bCs/>
          <w:sz w:val="21"/>
          <w:szCs w:val="21"/>
        </w:rPr>
      </w:pPr>
      <w:bookmarkStart w:id="104" w:name="Table11"/>
      <w:r w:rsidRPr="00373DCC">
        <w:rPr>
          <w:rFonts w:eastAsia="Cambria" w:cs="Arial"/>
          <w:b/>
          <w:bCs/>
          <w:sz w:val="21"/>
          <w:szCs w:val="21"/>
        </w:rPr>
        <w:t>Table 11:   OTC medicine approval time against target time by application category –    July 2022 to June 2023</w:t>
      </w:r>
    </w:p>
    <w:tbl>
      <w:tblPr>
        <w:tblStyle w:val="TableTGAblue"/>
        <w:tblW w:w="5164"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2229"/>
        <w:gridCol w:w="1605"/>
        <w:gridCol w:w="1438"/>
        <w:gridCol w:w="1354"/>
        <w:gridCol w:w="1358"/>
        <w:gridCol w:w="1328"/>
      </w:tblGrid>
      <w:tr w:rsidR="00F2350B" w:rsidRPr="00373DCC" w14:paraId="791727DB" w14:textId="77777777" w:rsidTr="00710B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left w:val="single" w:sz="4" w:space="0" w:color="auto"/>
              <w:bottom w:val="single" w:sz="4" w:space="0" w:color="auto"/>
              <w:right w:val="single" w:sz="4" w:space="0" w:color="auto"/>
            </w:tcBorders>
            <w:shd w:val="clear" w:color="auto" w:fill="29527F"/>
            <w:vAlign w:val="center"/>
          </w:tcPr>
          <w:bookmarkEnd w:id="104"/>
          <w:p w14:paraId="53FA9D9E" w14:textId="77777777" w:rsidR="00F2350B" w:rsidRPr="00373DCC" w:rsidRDefault="00F2350B" w:rsidP="00710B91">
            <w:pPr>
              <w:widowControl w:val="0"/>
              <w:spacing w:after="180" w:line="240" w:lineRule="atLeast"/>
              <w:jc w:val="center"/>
              <w:rPr>
                <w:rFonts w:cs="Arial"/>
                <w:color w:val="FFFFFF" w:themeColor="background1"/>
                <w:sz w:val="21"/>
              </w:rPr>
            </w:pPr>
            <w:r w:rsidRPr="00373DCC">
              <w:rPr>
                <w:rFonts w:cs="Arial"/>
                <w:color w:val="FFFFFF" w:themeColor="background1"/>
                <w:sz w:val="21"/>
              </w:rPr>
              <w:t>Application type</w:t>
            </w:r>
          </w:p>
        </w:tc>
        <w:tc>
          <w:tcPr>
            <w:tcW w:w="862" w:type="pct"/>
            <w:tcBorders>
              <w:top w:val="single" w:sz="4" w:space="0" w:color="auto"/>
              <w:left w:val="single" w:sz="4" w:space="0" w:color="auto"/>
              <w:bottom w:val="single" w:sz="4" w:space="0" w:color="auto"/>
              <w:right w:val="single" w:sz="4" w:space="0" w:color="auto"/>
            </w:tcBorders>
            <w:shd w:val="clear" w:color="auto" w:fill="29527F"/>
            <w:vAlign w:val="center"/>
          </w:tcPr>
          <w:p w14:paraId="507D8CA4" w14:textId="77777777" w:rsidR="00F2350B" w:rsidRPr="00373DCC" w:rsidRDefault="00F2350B" w:rsidP="00710B91">
            <w:pPr>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Number completed (% of Total)</w:t>
            </w:r>
          </w:p>
        </w:tc>
        <w:tc>
          <w:tcPr>
            <w:tcW w:w="772" w:type="pct"/>
            <w:tcBorders>
              <w:top w:val="single" w:sz="4" w:space="0" w:color="auto"/>
              <w:left w:val="single" w:sz="4" w:space="0" w:color="auto"/>
              <w:bottom w:val="single" w:sz="4" w:space="0" w:color="auto"/>
              <w:right w:val="single" w:sz="4" w:space="0" w:color="auto"/>
            </w:tcBorders>
            <w:shd w:val="clear" w:color="auto" w:fill="29527F"/>
            <w:vAlign w:val="center"/>
          </w:tcPr>
          <w:p w14:paraId="7B894C09" w14:textId="77777777" w:rsidR="00F2350B" w:rsidRPr="00373DCC" w:rsidRDefault="00F2350B" w:rsidP="00710B91">
            <w:pPr>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Range</w:t>
            </w:r>
          </w:p>
        </w:tc>
        <w:tc>
          <w:tcPr>
            <w:tcW w:w="727" w:type="pct"/>
            <w:tcBorders>
              <w:top w:val="single" w:sz="4" w:space="0" w:color="auto"/>
              <w:left w:val="single" w:sz="4" w:space="0" w:color="auto"/>
              <w:bottom w:val="single" w:sz="4" w:space="0" w:color="auto"/>
              <w:right w:val="single" w:sz="4" w:space="0" w:color="auto"/>
            </w:tcBorders>
            <w:shd w:val="clear" w:color="auto" w:fill="29527F"/>
            <w:vAlign w:val="center"/>
          </w:tcPr>
          <w:p w14:paraId="5D36FB04" w14:textId="77777777" w:rsidR="00F2350B" w:rsidRPr="00373DCC" w:rsidRDefault="00F2350B" w:rsidP="00710B91">
            <w:pPr>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Mean</w:t>
            </w:r>
          </w:p>
        </w:tc>
        <w:tc>
          <w:tcPr>
            <w:tcW w:w="729" w:type="pct"/>
            <w:tcBorders>
              <w:top w:val="single" w:sz="4" w:space="0" w:color="auto"/>
              <w:left w:val="single" w:sz="4" w:space="0" w:color="auto"/>
              <w:bottom w:val="single" w:sz="4" w:space="0" w:color="auto"/>
              <w:right w:val="single" w:sz="4" w:space="0" w:color="auto"/>
            </w:tcBorders>
            <w:shd w:val="clear" w:color="auto" w:fill="29527F"/>
            <w:vAlign w:val="center"/>
          </w:tcPr>
          <w:p w14:paraId="2148AB23" w14:textId="77777777" w:rsidR="00F2350B" w:rsidRPr="00373DCC" w:rsidRDefault="00F2350B" w:rsidP="00710B91">
            <w:pPr>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Median</w:t>
            </w:r>
          </w:p>
        </w:tc>
        <w:tc>
          <w:tcPr>
            <w:tcW w:w="713" w:type="pct"/>
            <w:tcBorders>
              <w:top w:val="single" w:sz="4" w:space="0" w:color="auto"/>
              <w:left w:val="single" w:sz="4" w:space="0" w:color="auto"/>
              <w:bottom w:val="single" w:sz="4" w:space="0" w:color="auto"/>
              <w:right w:val="single" w:sz="4" w:space="0" w:color="auto"/>
            </w:tcBorders>
            <w:shd w:val="clear" w:color="auto" w:fill="29527F"/>
            <w:vAlign w:val="center"/>
          </w:tcPr>
          <w:p w14:paraId="7BDA19A7" w14:textId="77777777" w:rsidR="00F2350B" w:rsidRPr="00373DCC" w:rsidRDefault="00F2350B" w:rsidP="00710B91">
            <w:pPr>
              <w:widowControl w:val="0"/>
              <w:spacing w:after="180" w:line="240" w:lineRule="atLeast"/>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 within target</w:t>
            </w:r>
          </w:p>
        </w:tc>
      </w:tr>
      <w:tr w:rsidR="00F2350B" w:rsidRPr="00373DCC" w14:paraId="0AF3206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8CADD3"/>
            <w:vAlign w:val="center"/>
          </w:tcPr>
          <w:p w14:paraId="0860F712" w14:textId="77777777" w:rsidR="00F2350B" w:rsidRPr="00373DCC" w:rsidRDefault="00F2350B" w:rsidP="00710B91">
            <w:pPr>
              <w:keepNext/>
              <w:keepLines/>
              <w:tabs>
                <w:tab w:val="left" w:pos="907"/>
                <w:tab w:val="left" w:pos="1134"/>
              </w:tabs>
              <w:spacing w:before="30" w:after="30" w:line="240" w:lineRule="atLeast"/>
              <w:ind w:left="907" w:hanging="907"/>
              <w:outlineLvl w:val="4"/>
              <w:rPr>
                <w:rFonts w:cs="Arial"/>
                <w:sz w:val="21"/>
              </w:rPr>
            </w:pPr>
            <w:r w:rsidRPr="00373DCC">
              <w:rPr>
                <w:rFonts w:cs="Arial"/>
                <w:sz w:val="21"/>
              </w:rPr>
              <w:t>New medicines</w:t>
            </w:r>
          </w:p>
        </w:tc>
      </w:tr>
      <w:tr w:rsidR="00F2350B" w:rsidRPr="00373DCC" w14:paraId="1494B75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2C2F6929" w14:textId="77777777" w:rsidR="00F2350B" w:rsidRPr="00373DCC" w:rsidRDefault="00F2350B" w:rsidP="00710B91">
            <w:pPr>
              <w:spacing w:line="0" w:lineRule="atLeast"/>
              <w:contextualSpacing/>
              <w:rPr>
                <w:rFonts w:cs="Arial"/>
                <w:sz w:val="21"/>
              </w:rPr>
            </w:pPr>
            <w:r w:rsidRPr="00373DCC">
              <w:rPr>
                <w:rFonts w:cs="Arial"/>
                <w:sz w:val="21"/>
              </w:rPr>
              <w:t xml:space="preserve">N1 </w:t>
            </w:r>
          </w:p>
        </w:tc>
        <w:tc>
          <w:tcPr>
            <w:tcW w:w="862" w:type="pct"/>
            <w:vAlign w:val="center"/>
          </w:tcPr>
          <w:p w14:paraId="31E21DE4"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85 (52%)</w:t>
            </w:r>
          </w:p>
        </w:tc>
        <w:tc>
          <w:tcPr>
            <w:tcW w:w="772" w:type="pct"/>
            <w:vAlign w:val="center"/>
          </w:tcPr>
          <w:p w14:paraId="4AA17F0E"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0-120</w:t>
            </w:r>
          </w:p>
        </w:tc>
        <w:tc>
          <w:tcPr>
            <w:tcW w:w="727" w:type="pct"/>
            <w:vAlign w:val="center"/>
          </w:tcPr>
          <w:p w14:paraId="30942403"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w:t>
            </w:r>
          </w:p>
        </w:tc>
        <w:tc>
          <w:tcPr>
            <w:tcW w:w="729" w:type="pct"/>
            <w:vAlign w:val="center"/>
          </w:tcPr>
          <w:p w14:paraId="3E365E75"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w:t>
            </w:r>
          </w:p>
        </w:tc>
        <w:tc>
          <w:tcPr>
            <w:tcW w:w="713" w:type="pct"/>
            <w:vAlign w:val="center"/>
          </w:tcPr>
          <w:p w14:paraId="46D28067"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79</w:t>
            </w:r>
          </w:p>
        </w:tc>
      </w:tr>
      <w:tr w:rsidR="00F2350B" w:rsidRPr="00373DCC" w14:paraId="139D9D3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284AB98F" w14:textId="77777777" w:rsidR="00F2350B" w:rsidRPr="00373DCC" w:rsidRDefault="00F2350B" w:rsidP="00710B91">
            <w:pPr>
              <w:spacing w:line="0" w:lineRule="atLeast"/>
              <w:contextualSpacing/>
              <w:rPr>
                <w:rFonts w:cs="Arial"/>
                <w:sz w:val="21"/>
              </w:rPr>
            </w:pPr>
            <w:r w:rsidRPr="00373DCC">
              <w:rPr>
                <w:rFonts w:cs="Arial"/>
                <w:sz w:val="21"/>
              </w:rPr>
              <w:t xml:space="preserve">N2 </w:t>
            </w:r>
          </w:p>
        </w:tc>
        <w:tc>
          <w:tcPr>
            <w:tcW w:w="862" w:type="pct"/>
            <w:vAlign w:val="center"/>
          </w:tcPr>
          <w:p w14:paraId="55BD6FD3"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 (15%)</w:t>
            </w:r>
          </w:p>
        </w:tc>
        <w:tc>
          <w:tcPr>
            <w:tcW w:w="772" w:type="pct"/>
            <w:vAlign w:val="center"/>
          </w:tcPr>
          <w:p w14:paraId="5F77D96D"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0-86</w:t>
            </w:r>
          </w:p>
        </w:tc>
        <w:tc>
          <w:tcPr>
            <w:tcW w:w="727" w:type="pct"/>
            <w:vAlign w:val="center"/>
          </w:tcPr>
          <w:p w14:paraId="13DD1A65"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32</w:t>
            </w:r>
          </w:p>
        </w:tc>
        <w:tc>
          <w:tcPr>
            <w:tcW w:w="729" w:type="pct"/>
            <w:vAlign w:val="center"/>
          </w:tcPr>
          <w:p w14:paraId="244A4878"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31</w:t>
            </w:r>
          </w:p>
        </w:tc>
        <w:tc>
          <w:tcPr>
            <w:tcW w:w="713" w:type="pct"/>
            <w:vAlign w:val="center"/>
          </w:tcPr>
          <w:p w14:paraId="50CAEAC6"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88</w:t>
            </w:r>
          </w:p>
        </w:tc>
      </w:tr>
      <w:tr w:rsidR="00F2350B" w:rsidRPr="00373DCC" w14:paraId="5DC54B9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20A47D41" w14:textId="77777777" w:rsidR="00F2350B" w:rsidRPr="00373DCC" w:rsidRDefault="00F2350B" w:rsidP="00710B91">
            <w:pPr>
              <w:spacing w:line="0" w:lineRule="atLeast"/>
              <w:contextualSpacing/>
              <w:rPr>
                <w:rFonts w:cs="Arial"/>
                <w:sz w:val="21"/>
              </w:rPr>
            </w:pPr>
            <w:r w:rsidRPr="00373DCC">
              <w:rPr>
                <w:rFonts w:cs="Arial"/>
                <w:sz w:val="21"/>
              </w:rPr>
              <w:t>N3</w:t>
            </w:r>
          </w:p>
        </w:tc>
        <w:tc>
          <w:tcPr>
            <w:tcW w:w="862" w:type="pct"/>
            <w:vAlign w:val="center"/>
          </w:tcPr>
          <w:p w14:paraId="6165E447"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40 (25%)</w:t>
            </w:r>
          </w:p>
        </w:tc>
        <w:tc>
          <w:tcPr>
            <w:tcW w:w="772" w:type="pct"/>
            <w:vAlign w:val="center"/>
          </w:tcPr>
          <w:p w14:paraId="1CF36471"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42-252</w:t>
            </w:r>
          </w:p>
        </w:tc>
        <w:tc>
          <w:tcPr>
            <w:tcW w:w="727" w:type="pct"/>
            <w:vAlign w:val="center"/>
          </w:tcPr>
          <w:p w14:paraId="4061051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116</w:t>
            </w:r>
          </w:p>
        </w:tc>
        <w:tc>
          <w:tcPr>
            <w:tcW w:w="729" w:type="pct"/>
            <w:vAlign w:val="center"/>
          </w:tcPr>
          <w:p w14:paraId="650C11A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108</w:t>
            </w:r>
          </w:p>
        </w:tc>
        <w:tc>
          <w:tcPr>
            <w:tcW w:w="713" w:type="pct"/>
            <w:vAlign w:val="center"/>
          </w:tcPr>
          <w:p w14:paraId="1B0D06A9"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80</w:t>
            </w:r>
          </w:p>
        </w:tc>
      </w:tr>
      <w:tr w:rsidR="00F2350B" w:rsidRPr="00373DCC" w14:paraId="647C006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74F1197F" w14:textId="77777777" w:rsidR="00F2350B" w:rsidRPr="00373DCC" w:rsidRDefault="00F2350B" w:rsidP="00710B91">
            <w:pPr>
              <w:spacing w:line="0" w:lineRule="atLeast"/>
              <w:contextualSpacing/>
              <w:rPr>
                <w:rFonts w:cs="Arial"/>
                <w:sz w:val="21"/>
              </w:rPr>
            </w:pPr>
            <w:r w:rsidRPr="00373DCC">
              <w:rPr>
                <w:rFonts w:cs="Arial"/>
                <w:sz w:val="21"/>
              </w:rPr>
              <w:t>N4</w:t>
            </w:r>
          </w:p>
        </w:tc>
        <w:tc>
          <w:tcPr>
            <w:tcW w:w="862" w:type="pct"/>
            <w:vAlign w:val="center"/>
          </w:tcPr>
          <w:p w14:paraId="606C07D5"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 (8%)</w:t>
            </w:r>
          </w:p>
        </w:tc>
        <w:tc>
          <w:tcPr>
            <w:tcW w:w="772" w:type="pct"/>
            <w:vAlign w:val="center"/>
          </w:tcPr>
          <w:p w14:paraId="2B756965"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30-196</w:t>
            </w:r>
          </w:p>
        </w:tc>
        <w:tc>
          <w:tcPr>
            <w:tcW w:w="727" w:type="pct"/>
            <w:vAlign w:val="center"/>
          </w:tcPr>
          <w:p w14:paraId="52591A9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114</w:t>
            </w:r>
          </w:p>
        </w:tc>
        <w:tc>
          <w:tcPr>
            <w:tcW w:w="729" w:type="pct"/>
            <w:vAlign w:val="center"/>
          </w:tcPr>
          <w:p w14:paraId="3F5CDC1B"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132</w:t>
            </w:r>
          </w:p>
        </w:tc>
        <w:tc>
          <w:tcPr>
            <w:tcW w:w="713" w:type="pct"/>
            <w:vAlign w:val="center"/>
          </w:tcPr>
          <w:p w14:paraId="6874D0D2"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77</w:t>
            </w:r>
          </w:p>
        </w:tc>
      </w:tr>
      <w:tr w:rsidR="00F2350B" w:rsidRPr="00373DCC" w14:paraId="211ECE0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tcBorders>
              <w:bottom w:val="single" w:sz="4" w:space="0" w:color="002C47"/>
            </w:tcBorders>
            <w:vAlign w:val="center"/>
          </w:tcPr>
          <w:p w14:paraId="0428296B" w14:textId="77777777" w:rsidR="00F2350B" w:rsidRPr="00373DCC" w:rsidRDefault="00F2350B" w:rsidP="00710B91">
            <w:pPr>
              <w:spacing w:line="0" w:lineRule="atLeast"/>
              <w:contextualSpacing/>
              <w:rPr>
                <w:rFonts w:cs="Arial"/>
                <w:sz w:val="21"/>
              </w:rPr>
            </w:pPr>
            <w:r w:rsidRPr="00373DCC">
              <w:rPr>
                <w:rFonts w:cs="Arial"/>
                <w:sz w:val="21"/>
              </w:rPr>
              <w:t>N5</w:t>
            </w:r>
          </w:p>
        </w:tc>
        <w:tc>
          <w:tcPr>
            <w:tcW w:w="862" w:type="pct"/>
            <w:tcBorders>
              <w:bottom w:val="single" w:sz="4" w:space="0" w:color="002C47"/>
            </w:tcBorders>
            <w:vAlign w:val="center"/>
          </w:tcPr>
          <w:p w14:paraId="13C9919D"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(&lt;1%)</w:t>
            </w:r>
          </w:p>
        </w:tc>
        <w:tc>
          <w:tcPr>
            <w:tcW w:w="772" w:type="pct"/>
            <w:tcBorders>
              <w:bottom w:val="single" w:sz="4" w:space="0" w:color="002C47"/>
            </w:tcBorders>
            <w:vAlign w:val="center"/>
          </w:tcPr>
          <w:p w14:paraId="36E4002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186-186</w:t>
            </w:r>
          </w:p>
        </w:tc>
        <w:tc>
          <w:tcPr>
            <w:tcW w:w="727" w:type="pct"/>
            <w:tcBorders>
              <w:bottom w:val="single" w:sz="4" w:space="0" w:color="002C47"/>
            </w:tcBorders>
            <w:vAlign w:val="center"/>
          </w:tcPr>
          <w:p w14:paraId="63E713B6"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186</w:t>
            </w:r>
          </w:p>
        </w:tc>
        <w:tc>
          <w:tcPr>
            <w:tcW w:w="729" w:type="pct"/>
            <w:tcBorders>
              <w:bottom w:val="single" w:sz="4" w:space="0" w:color="002C47"/>
            </w:tcBorders>
            <w:vAlign w:val="center"/>
          </w:tcPr>
          <w:p w14:paraId="32EC1FC2"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186</w:t>
            </w:r>
          </w:p>
        </w:tc>
        <w:tc>
          <w:tcPr>
            <w:tcW w:w="713" w:type="pct"/>
            <w:tcBorders>
              <w:bottom w:val="single" w:sz="4" w:space="0" w:color="002C47"/>
            </w:tcBorders>
            <w:vAlign w:val="center"/>
          </w:tcPr>
          <w:p w14:paraId="278B2BDF"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100</w:t>
            </w:r>
          </w:p>
        </w:tc>
      </w:tr>
      <w:tr w:rsidR="00F2350B" w:rsidRPr="00373DCC" w14:paraId="1DF793A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tcBorders>
              <w:bottom w:val="single" w:sz="4" w:space="0" w:color="002C47"/>
            </w:tcBorders>
            <w:shd w:val="clear" w:color="auto" w:fill="C6D4E9"/>
            <w:vAlign w:val="center"/>
          </w:tcPr>
          <w:p w14:paraId="35D37980" w14:textId="77777777" w:rsidR="00F2350B" w:rsidRPr="00373DCC" w:rsidRDefault="00F2350B" w:rsidP="00710B91">
            <w:pPr>
              <w:spacing w:line="0" w:lineRule="atLeast"/>
              <w:contextualSpacing/>
              <w:rPr>
                <w:rFonts w:cs="Arial"/>
                <w:b/>
                <w:sz w:val="21"/>
              </w:rPr>
            </w:pPr>
            <w:r w:rsidRPr="00373DCC">
              <w:rPr>
                <w:rFonts w:cs="Arial"/>
                <w:b/>
                <w:sz w:val="21"/>
              </w:rPr>
              <w:t xml:space="preserve">Total </w:t>
            </w:r>
          </w:p>
        </w:tc>
        <w:tc>
          <w:tcPr>
            <w:tcW w:w="862" w:type="pct"/>
            <w:tcBorders>
              <w:bottom w:val="single" w:sz="4" w:space="0" w:color="002C47"/>
            </w:tcBorders>
            <w:shd w:val="clear" w:color="auto" w:fill="C6D4E9"/>
            <w:vAlign w:val="center"/>
          </w:tcPr>
          <w:p w14:paraId="0CE906DC"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163 (100%)</w:t>
            </w:r>
          </w:p>
        </w:tc>
        <w:tc>
          <w:tcPr>
            <w:tcW w:w="772" w:type="pct"/>
            <w:tcBorders>
              <w:bottom w:val="single" w:sz="4" w:space="0" w:color="002C47"/>
            </w:tcBorders>
            <w:shd w:val="clear" w:color="auto" w:fill="C6D4E9"/>
            <w:vAlign w:val="center"/>
          </w:tcPr>
          <w:p w14:paraId="62B8D3D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27" w:type="pct"/>
            <w:tcBorders>
              <w:bottom w:val="single" w:sz="4" w:space="0" w:color="002C47"/>
            </w:tcBorders>
            <w:shd w:val="clear" w:color="auto" w:fill="C6D4E9"/>
            <w:vAlign w:val="center"/>
          </w:tcPr>
          <w:p w14:paraId="67A4394B"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29" w:type="pct"/>
            <w:tcBorders>
              <w:bottom w:val="single" w:sz="4" w:space="0" w:color="002C47"/>
            </w:tcBorders>
            <w:shd w:val="clear" w:color="auto" w:fill="C6D4E9"/>
            <w:vAlign w:val="center"/>
          </w:tcPr>
          <w:p w14:paraId="2236F00E"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13" w:type="pct"/>
            <w:tcBorders>
              <w:bottom w:val="single" w:sz="4" w:space="0" w:color="002C47"/>
            </w:tcBorders>
            <w:shd w:val="clear" w:color="auto" w:fill="C6D4E9"/>
            <w:vAlign w:val="center"/>
          </w:tcPr>
          <w:p w14:paraId="30A3FB97"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r>
      <w:tr w:rsidR="00F2350B" w:rsidRPr="00373DCC" w14:paraId="268197C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002C47"/>
            </w:tcBorders>
            <w:shd w:val="clear" w:color="auto" w:fill="8CADD3"/>
            <w:vAlign w:val="center"/>
          </w:tcPr>
          <w:p w14:paraId="3DE8C95C" w14:textId="77777777" w:rsidR="00F2350B" w:rsidRPr="00373DCC" w:rsidRDefault="00F2350B" w:rsidP="00710B91">
            <w:pPr>
              <w:keepNext/>
              <w:keepLines/>
              <w:tabs>
                <w:tab w:val="left" w:pos="907"/>
                <w:tab w:val="left" w:pos="1134"/>
              </w:tabs>
              <w:spacing w:before="30" w:after="30" w:line="240" w:lineRule="atLeast"/>
              <w:ind w:left="907" w:hanging="907"/>
              <w:outlineLvl w:val="4"/>
              <w:rPr>
                <w:rFonts w:cs="Arial"/>
                <w:sz w:val="21"/>
              </w:rPr>
            </w:pPr>
            <w:r w:rsidRPr="00373DCC">
              <w:rPr>
                <w:rFonts w:cs="Arial"/>
                <w:sz w:val="21"/>
              </w:rPr>
              <w:t>Change applications</w:t>
            </w:r>
          </w:p>
        </w:tc>
      </w:tr>
      <w:tr w:rsidR="00F2350B" w:rsidRPr="00373DCC" w14:paraId="608CCC8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54A88076" w14:textId="77777777" w:rsidR="00F2350B" w:rsidRPr="00373DCC" w:rsidRDefault="00F2350B" w:rsidP="00710B91">
            <w:pPr>
              <w:spacing w:line="0" w:lineRule="atLeast"/>
              <w:contextualSpacing/>
              <w:rPr>
                <w:rFonts w:cs="Arial"/>
                <w:sz w:val="21"/>
              </w:rPr>
            </w:pPr>
            <w:r w:rsidRPr="00373DCC">
              <w:rPr>
                <w:rFonts w:cs="Arial"/>
                <w:sz w:val="21"/>
              </w:rPr>
              <w:t xml:space="preserve">C1 </w:t>
            </w:r>
          </w:p>
        </w:tc>
        <w:tc>
          <w:tcPr>
            <w:tcW w:w="862" w:type="pct"/>
            <w:vAlign w:val="center"/>
          </w:tcPr>
          <w:p w14:paraId="5F552088"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288 (54%)</w:t>
            </w:r>
          </w:p>
        </w:tc>
        <w:tc>
          <w:tcPr>
            <w:tcW w:w="772" w:type="pct"/>
            <w:vAlign w:val="center"/>
          </w:tcPr>
          <w:p w14:paraId="5FCDF04C"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0-188</w:t>
            </w:r>
          </w:p>
        </w:tc>
        <w:tc>
          <w:tcPr>
            <w:tcW w:w="727" w:type="pct"/>
            <w:vAlign w:val="center"/>
          </w:tcPr>
          <w:p w14:paraId="7A888D37"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w:t>
            </w:r>
          </w:p>
        </w:tc>
        <w:tc>
          <w:tcPr>
            <w:tcW w:w="729" w:type="pct"/>
            <w:vAlign w:val="center"/>
          </w:tcPr>
          <w:p w14:paraId="639E6F9D"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23</w:t>
            </w:r>
          </w:p>
        </w:tc>
        <w:tc>
          <w:tcPr>
            <w:tcW w:w="713" w:type="pct"/>
            <w:vAlign w:val="center"/>
          </w:tcPr>
          <w:p w14:paraId="502CC4F5"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41</w:t>
            </w:r>
          </w:p>
        </w:tc>
      </w:tr>
      <w:tr w:rsidR="00F2350B" w:rsidRPr="00373DCC" w14:paraId="6D898E3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149076D3" w14:textId="77777777" w:rsidR="00F2350B" w:rsidRPr="00373DCC" w:rsidRDefault="00F2350B" w:rsidP="00710B91">
            <w:pPr>
              <w:spacing w:line="0" w:lineRule="atLeast"/>
              <w:contextualSpacing/>
              <w:rPr>
                <w:rFonts w:cs="Arial"/>
                <w:sz w:val="21"/>
              </w:rPr>
            </w:pPr>
            <w:r w:rsidRPr="00373DCC">
              <w:rPr>
                <w:rFonts w:cs="Arial"/>
                <w:sz w:val="21"/>
              </w:rPr>
              <w:t>C2</w:t>
            </w:r>
          </w:p>
        </w:tc>
        <w:tc>
          <w:tcPr>
            <w:tcW w:w="862" w:type="pct"/>
            <w:vAlign w:val="center"/>
          </w:tcPr>
          <w:p w14:paraId="052B2D36"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237 (44%)</w:t>
            </w:r>
          </w:p>
        </w:tc>
        <w:tc>
          <w:tcPr>
            <w:tcW w:w="772" w:type="pct"/>
            <w:vAlign w:val="center"/>
          </w:tcPr>
          <w:p w14:paraId="647218B4"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0-196</w:t>
            </w:r>
          </w:p>
        </w:tc>
        <w:tc>
          <w:tcPr>
            <w:tcW w:w="727" w:type="pct"/>
            <w:vAlign w:val="center"/>
          </w:tcPr>
          <w:p w14:paraId="082A920D"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w:t>
            </w:r>
          </w:p>
        </w:tc>
        <w:tc>
          <w:tcPr>
            <w:tcW w:w="729" w:type="pct"/>
            <w:vAlign w:val="center"/>
          </w:tcPr>
          <w:p w14:paraId="6431BC56"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w:t>
            </w:r>
          </w:p>
        </w:tc>
        <w:tc>
          <w:tcPr>
            <w:tcW w:w="713" w:type="pct"/>
            <w:vAlign w:val="center"/>
          </w:tcPr>
          <w:p w14:paraId="6313113F"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92</w:t>
            </w:r>
          </w:p>
        </w:tc>
      </w:tr>
      <w:tr w:rsidR="00F2350B" w:rsidRPr="00373DCC" w14:paraId="7054906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51214572" w14:textId="77777777" w:rsidR="00F2350B" w:rsidRPr="00373DCC" w:rsidRDefault="00F2350B" w:rsidP="00710B91">
            <w:pPr>
              <w:spacing w:line="0" w:lineRule="atLeast"/>
              <w:contextualSpacing/>
              <w:rPr>
                <w:rFonts w:cs="Arial"/>
                <w:sz w:val="21"/>
              </w:rPr>
            </w:pPr>
            <w:r w:rsidRPr="00373DCC">
              <w:rPr>
                <w:rFonts w:cs="Arial"/>
                <w:sz w:val="21"/>
              </w:rPr>
              <w:t>C3</w:t>
            </w:r>
          </w:p>
        </w:tc>
        <w:tc>
          <w:tcPr>
            <w:tcW w:w="862" w:type="pct"/>
            <w:vAlign w:val="center"/>
          </w:tcPr>
          <w:p w14:paraId="0471F744"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(2%)</w:t>
            </w:r>
          </w:p>
        </w:tc>
        <w:tc>
          <w:tcPr>
            <w:tcW w:w="772" w:type="pct"/>
            <w:vAlign w:val="center"/>
          </w:tcPr>
          <w:p w14:paraId="23279ECE"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28-302</w:t>
            </w:r>
          </w:p>
        </w:tc>
        <w:tc>
          <w:tcPr>
            <w:tcW w:w="727" w:type="pct"/>
            <w:vAlign w:val="center"/>
          </w:tcPr>
          <w:p w14:paraId="42041A08"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113</w:t>
            </w:r>
          </w:p>
        </w:tc>
        <w:tc>
          <w:tcPr>
            <w:tcW w:w="729" w:type="pct"/>
            <w:vAlign w:val="center"/>
          </w:tcPr>
          <w:p w14:paraId="32676C8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96</w:t>
            </w:r>
          </w:p>
        </w:tc>
        <w:tc>
          <w:tcPr>
            <w:tcW w:w="713" w:type="pct"/>
            <w:vAlign w:val="center"/>
          </w:tcPr>
          <w:p w14:paraId="44BBB67C"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88</w:t>
            </w:r>
          </w:p>
        </w:tc>
      </w:tr>
      <w:tr w:rsidR="00F2350B" w:rsidRPr="00373DCC" w14:paraId="0BC1A2B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7734CC0E" w14:textId="77777777" w:rsidR="00F2350B" w:rsidRPr="00373DCC" w:rsidRDefault="00F2350B" w:rsidP="00710B91">
            <w:pPr>
              <w:spacing w:line="0" w:lineRule="atLeast"/>
              <w:contextualSpacing/>
              <w:rPr>
                <w:rFonts w:cs="Arial"/>
                <w:sz w:val="21"/>
              </w:rPr>
            </w:pPr>
            <w:r w:rsidRPr="00373DCC">
              <w:rPr>
                <w:rFonts w:cs="Arial"/>
                <w:sz w:val="21"/>
              </w:rPr>
              <w:t>C4</w:t>
            </w:r>
          </w:p>
        </w:tc>
        <w:tc>
          <w:tcPr>
            <w:tcW w:w="862" w:type="pct"/>
            <w:vAlign w:val="center"/>
          </w:tcPr>
          <w:p w14:paraId="3F85330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72" w:type="pct"/>
            <w:vAlign w:val="center"/>
          </w:tcPr>
          <w:p w14:paraId="7403ED82"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727" w:type="pct"/>
            <w:vAlign w:val="center"/>
          </w:tcPr>
          <w:p w14:paraId="55BB7D2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729" w:type="pct"/>
            <w:vAlign w:val="center"/>
          </w:tcPr>
          <w:p w14:paraId="14BC19DB"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713" w:type="pct"/>
            <w:vAlign w:val="center"/>
          </w:tcPr>
          <w:p w14:paraId="0F38A94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r>
      <w:tr w:rsidR="00F2350B" w:rsidRPr="00373DCC" w14:paraId="3866751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197" w:type="pct"/>
            <w:shd w:val="clear" w:color="auto" w:fill="C6D4E9"/>
            <w:vAlign w:val="center"/>
          </w:tcPr>
          <w:p w14:paraId="1E8B1ABF" w14:textId="77777777" w:rsidR="00F2350B" w:rsidRPr="00373DCC" w:rsidRDefault="00F2350B" w:rsidP="00710B91">
            <w:pPr>
              <w:spacing w:line="0" w:lineRule="atLeast"/>
              <w:contextualSpacing/>
              <w:rPr>
                <w:rFonts w:cs="Arial"/>
                <w:b/>
                <w:sz w:val="21"/>
              </w:rPr>
            </w:pPr>
            <w:r w:rsidRPr="00373DCC">
              <w:rPr>
                <w:rFonts w:cs="Arial"/>
                <w:b/>
                <w:sz w:val="21"/>
              </w:rPr>
              <w:t>Total</w:t>
            </w:r>
          </w:p>
        </w:tc>
        <w:tc>
          <w:tcPr>
            <w:tcW w:w="862" w:type="pct"/>
            <w:shd w:val="clear" w:color="auto" w:fill="C6D4E9"/>
            <w:vAlign w:val="center"/>
          </w:tcPr>
          <w:p w14:paraId="598DDEF0"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533 (100%)</w:t>
            </w:r>
          </w:p>
        </w:tc>
        <w:tc>
          <w:tcPr>
            <w:tcW w:w="772" w:type="pct"/>
            <w:tcBorders>
              <w:bottom w:val="single" w:sz="4" w:space="0" w:color="002C47"/>
            </w:tcBorders>
            <w:shd w:val="clear" w:color="auto" w:fill="C6D4E9"/>
            <w:vAlign w:val="center"/>
          </w:tcPr>
          <w:p w14:paraId="32AE76F4"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27" w:type="pct"/>
            <w:tcBorders>
              <w:bottom w:val="single" w:sz="4" w:space="0" w:color="002C47"/>
            </w:tcBorders>
            <w:shd w:val="clear" w:color="auto" w:fill="C6D4E9"/>
            <w:vAlign w:val="center"/>
          </w:tcPr>
          <w:p w14:paraId="6A163958"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29" w:type="pct"/>
            <w:tcBorders>
              <w:bottom w:val="single" w:sz="4" w:space="0" w:color="002C47"/>
            </w:tcBorders>
            <w:shd w:val="clear" w:color="auto" w:fill="C6D4E9"/>
            <w:vAlign w:val="center"/>
          </w:tcPr>
          <w:p w14:paraId="71A2C27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c>
          <w:tcPr>
            <w:tcW w:w="713" w:type="pct"/>
            <w:tcBorders>
              <w:bottom w:val="single" w:sz="4" w:space="0" w:color="002C47"/>
            </w:tcBorders>
            <w:shd w:val="clear" w:color="auto" w:fill="C6D4E9"/>
            <w:vAlign w:val="center"/>
          </w:tcPr>
          <w:p w14:paraId="0C0BB68A" w14:textId="77777777" w:rsidR="00F2350B" w:rsidRPr="00373DCC" w:rsidRDefault="00F2350B" w:rsidP="00710B91">
            <w:pPr>
              <w:widowControl w:val="0"/>
              <w:spacing w:line="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p>
        </w:tc>
      </w:tr>
    </w:tbl>
    <w:p w14:paraId="4DA7E773" w14:textId="77777777" w:rsidR="00F2350B" w:rsidRPr="00373DCC" w:rsidRDefault="00F2350B" w:rsidP="00F2350B">
      <w:pPr>
        <w:spacing w:after="180" w:line="240" w:lineRule="atLeast"/>
        <w:rPr>
          <w:rFonts w:eastAsia="Cambria" w:cs="Arial"/>
          <w:szCs w:val="22"/>
        </w:rPr>
      </w:pPr>
    </w:p>
    <w:p w14:paraId="3D6701AA" w14:textId="77777777" w:rsidR="00F2350B" w:rsidRPr="00373DCC" w:rsidRDefault="00F2350B" w:rsidP="00F2350B">
      <w:pPr>
        <w:rPr>
          <w:rFonts w:eastAsia="Times New Roman" w:cs="Arial"/>
          <w:color w:val="29527F"/>
          <w:szCs w:val="22"/>
          <w:highlight w:val="lightGray"/>
          <w:lang w:val="en"/>
          <w14:textFill>
            <w14:solidFill>
              <w14:srgbClr w14:val="29527F">
                <w14:lumMod w14:val="90000"/>
                <w14:lumOff w14:val="10000"/>
              </w14:srgbClr>
            </w14:solidFill>
          </w14:textFill>
        </w:rPr>
      </w:pPr>
      <w:r w:rsidRPr="00373DCC">
        <w:rPr>
          <w:rFonts w:eastAsia="Times New Roman" w:cs="Arial"/>
          <w:color w:val="29527F"/>
          <w:szCs w:val="22"/>
          <w:highlight w:val="lightGray"/>
          <w:lang w:val="en"/>
          <w14:textFill>
            <w14:solidFill>
              <w14:srgbClr w14:val="29527F">
                <w14:lumMod w14:val="90000"/>
                <w14:lumOff w14:val="10000"/>
              </w14:srgbClr>
            </w14:solidFill>
          </w14:textFill>
        </w:rPr>
        <w:br w:type="page"/>
      </w:r>
    </w:p>
    <w:p w14:paraId="33B7BD43" w14:textId="77777777" w:rsidR="00F2350B" w:rsidRPr="00373DCC" w:rsidRDefault="00F2350B" w:rsidP="00ED1A1F">
      <w:pPr>
        <w:pStyle w:val="Heading3-numbered"/>
        <w:numPr>
          <w:ilvl w:val="1"/>
          <w:numId w:val="21"/>
        </w:numPr>
        <w:rPr>
          <w:rFonts w:ascii="Arial" w:hAnsi="Arial" w:cs="Arial"/>
        </w:rPr>
      </w:pPr>
      <w:bookmarkStart w:id="105" w:name="_Toc153550454"/>
      <w:r w:rsidRPr="00373DCC">
        <w:rPr>
          <w:rFonts w:ascii="Arial" w:hAnsi="Arial" w:cs="Arial"/>
        </w:rPr>
        <w:lastRenderedPageBreak/>
        <w:t>Applications</w:t>
      </w:r>
      <w:bookmarkEnd w:id="105"/>
    </w:p>
    <w:p w14:paraId="2AE47966"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2.2.1 New OTC medicine applications</w:t>
      </w:r>
    </w:p>
    <w:p w14:paraId="1A121187" w14:textId="77777777" w:rsidR="00F2350B" w:rsidRPr="00373DCC" w:rsidRDefault="00F2350B" w:rsidP="00F2350B">
      <w:pPr>
        <w:keepNext/>
        <w:spacing w:before="240" w:after="120" w:line="240" w:lineRule="auto"/>
        <w:rPr>
          <w:rFonts w:eastAsia="Cambria" w:cs="Arial"/>
          <w:b/>
          <w:bCs/>
          <w:sz w:val="21"/>
          <w:szCs w:val="21"/>
        </w:rPr>
      </w:pPr>
      <w:bookmarkStart w:id="106" w:name="Table12"/>
      <w:r w:rsidRPr="00373DCC">
        <w:rPr>
          <w:rFonts w:eastAsia="Cambria" w:cs="Arial"/>
          <w:b/>
          <w:bCs/>
          <w:sz w:val="21"/>
          <w:szCs w:val="21"/>
        </w:rPr>
        <w:t>Table 12: Applications received for new OTC medicines and changes to existing medicines</w:t>
      </w:r>
    </w:p>
    <w:bookmarkEnd w:id="106"/>
    <w:tbl>
      <w:tblPr>
        <w:tblStyle w:val="TableTGAblue"/>
        <w:tblW w:w="5003" w:type="pct"/>
        <w:tblLook w:val="04A0" w:firstRow="1" w:lastRow="0" w:firstColumn="1" w:lastColumn="0" w:noHBand="0" w:noVBand="1"/>
      </w:tblPr>
      <w:tblGrid>
        <w:gridCol w:w="5372"/>
        <w:gridCol w:w="1827"/>
        <w:gridCol w:w="1827"/>
      </w:tblGrid>
      <w:tr w:rsidR="00F07150" w:rsidRPr="00373DCC" w14:paraId="646F714A" w14:textId="77777777" w:rsidTr="00CA75E7">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nil"/>
              <w:left w:val="nil"/>
              <w:right w:val="single" w:sz="4" w:space="0" w:color="auto"/>
            </w:tcBorders>
            <w:shd w:val="clear" w:color="auto" w:fill="FFFFFF" w:themeFill="background1"/>
            <w:vAlign w:val="center"/>
          </w:tcPr>
          <w:p w14:paraId="423728DB" w14:textId="77777777" w:rsidR="00F07150" w:rsidRPr="00373DCC" w:rsidRDefault="00F07150" w:rsidP="00710B91">
            <w:pPr>
              <w:widowControl w:val="0"/>
              <w:spacing w:before="0" w:after="0" w:line="240" w:lineRule="atLeast"/>
              <w:ind w:left="720"/>
              <w:contextualSpacing/>
              <w:rPr>
                <w:rFonts w:cs="Arial"/>
                <w:sz w:val="21"/>
              </w:rPr>
            </w:pPr>
          </w:p>
        </w:tc>
        <w:tc>
          <w:tcPr>
            <w:tcW w:w="1012" w:type="pct"/>
            <w:tcBorders>
              <w:top w:val="single" w:sz="4" w:space="0" w:color="auto"/>
              <w:left w:val="single" w:sz="4" w:space="0" w:color="auto"/>
              <w:bottom w:val="single" w:sz="4" w:space="0" w:color="auto"/>
              <w:right w:val="single" w:sz="4" w:space="0" w:color="auto"/>
            </w:tcBorders>
            <w:shd w:val="clear" w:color="auto" w:fill="29527F"/>
            <w:vAlign w:val="center"/>
          </w:tcPr>
          <w:p w14:paraId="592737F8" w14:textId="26154519"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1012" w:type="pct"/>
            <w:tcBorders>
              <w:top w:val="single" w:sz="4" w:space="0" w:color="auto"/>
              <w:left w:val="single" w:sz="4" w:space="0" w:color="auto"/>
              <w:bottom w:val="single" w:sz="4" w:space="0" w:color="auto"/>
              <w:right w:val="single" w:sz="4" w:space="0" w:color="auto"/>
            </w:tcBorders>
            <w:shd w:val="clear" w:color="auto" w:fill="29527F"/>
            <w:vAlign w:val="center"/>
          </w:tcPr>
          <w:p w14:paraId="509AF9D6" w14:textId="7A1B6F0B"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6FEE3E6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themeColor="text2"/>
              <w:left w:val="single" w:sz="4" w:space="0" w:color="002C47" w:themeColor="text2"/>
              <w:bottom w:val="single" w:sz="4" w:space="0" w:color="auto"/>
              <w:right w:val="single" w:sz="4" w:space="0" w:color="002C47" w:themeColor="text2"/>
            </w:tcBorders>
            <w:shd w:val="clear" w:color="auto" w:fill="8CADD3"/>
            <w:vAlign w:val="center"/>
          </w:tcPr>
          <w:p w14:paraId="035506B0"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New medicine applications</w:t>
            </w:r>
          </w:p>
        </w:tc>
      </w:tr>
      <w:tr w:rsidR="00F2350B" w:rsidRPr="00373DCC" w14:paraId="53FF1BC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21DD565B" w14:textId="77777777" w:rsidR="00F2350B" w:rsidRPr="00373DCC" w:rsidRDefault="00F2350B" w:rsidP="00710B91">
            <w:pPr>
              <w:spacing w:before="0" w:after="0" w:line="240" w:lineRule="atLeast"/>
              <w:contextualSpacing/>
              <w:rPr>
                <w:rFonts w:cs="Arial"/>
                <w:sz w:val="21"/>
              </w:rPr>
            </w:pPr>
            <w:r w:rsidRPr="00373DCC">
              <w:rPr>
                <w:rFonts w:cs="Arial"/>
                <w:sz w:val="21"/>
              </w:rPr>
              <w:t>N1</w:t>
            </w:r>
          </w:p>
        </w:tc>
        <w:tc>
          <w:tcPr>
            <w:tcW w:w="1012" w:type="pct"/>
            <w:tcBorders>
              <w:top w:val="single" w:sz="4" w:space="0" w:color="auto"/>
              <w:left w:val="single" w:sz="4" w:space="0" w:color="auto"/>
              <w:bottom w:val="single" w:sz="4" w:space="0" w:color="auto"/>
              <w:right w:val="single" w:sz="4" w:space="0" w:color="auto"/>
            </w:tcBorders>
            <w:vAlign w:val="center"/>
          </w:tcPr>
          <w:p w14:paraId="4346B68D"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90 (46%)</w:t>
            </w:r>
          </w:p>
        </w:tc>
        <w:tc>
          <w:tcPr>
            <w:tcW w:w="1012" w:type="pct"/>
            <w:tcBorders>
              <w:top w:val="single" w:sz="4" w:space="0" w:color="auto"/>
              <w:left w:val="single" w:sz="4" w:space="0" w:color="auto"/>
              <w:bottom w:val="single" w:sz="4" w:space="0" w:color="auto"/>
              <w:right w:val="single" w:sz="4" w:space="0" w:color="auto"/>
            </w:tcBorders>
            <w:vAlign w:val="center"/>
          </w:tcPr>
          <w:p w14:paraId="0AD622B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97 (45%)</w:t>
            </w:r>
          </w:p>
        </w:tc>
      </w:tr>
      <w:tr w:rsidR="00F2350B" w:rsidRPr="00373DCC" w14:paraId="34637F9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7CDA6654" w14:textId="77777777" w:rsidR="00F2350B" w:rsidRPr="00373DCC" w:rsidRDefault="00F2350B" w:rsidP="00710B91">
            <w:pPr>
              <w:spacing w:before="0" w:after="0" w:line="240" w:lineRule="atLeast"/>
              <w:contextualSpacing/>
              <w:rPr>
                <w:rFonts w:cs="Arial"/>
                <w:sz w:val="21"/>
              </w:rPr>
            </w:pPr>
            <w:r w:rsidRPr="00373DCC">
              <w:rPr>
                <w:rFonts w:cs="Arial"/>
                <w:sz w:val="21"/>
              </w:rPr>
              <w:t>N2</w:t>
            </w:r>
          </w:p>
        </w:tc>
        <w:tc>
          <w:tcPr>
            <w:tcW w:w="1012" w:type="pct"/>
            <w:tcBorders>
              <w:top w:val="single" w:sz="4" w:space="0" w:color="auto"/>
              <w:left w:val="single" w:sz="4" w:space="0" w:color="auto"/>
              <w:bottom w:val="single" w:sz="4" w:space="0" w:color="auto"/>
              <w:right w:val="single" w:sz="4" w:space="0" w:color="auto"/>
            </w:tcBorders>
            <w:vAlign w:val="center"/>
          </w:tcPr>
          <w:p w14:paraId="6194A31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 (11%)</w:t>
            </w:r>
          </w:p>
        </w:tc>
        <w:tc>
          <w:tcPr>
            <w:tcW w:w="1012" w:type="pct"/>
            <w:tcBorders>
              <w:top w:val="single" w:sz="4" w:space="0" w:color="auto"/>
              <w:left w:val="single" w:sz="4" w:space="0" w:color="auto"/>
              <w:bottom w:val="single" w:sz="4" w:space="0" w:color="auto"/>
              <w:right w:val="single" w:sz="4" w:space="0" w:color="auto"/>
            </w:tcBorders>
            <w:vAlign w:val="center"/>
          </w:tcPr>
          <w:p w14:paraId="1E40BB7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16 (8%)</w:t>
            </w:r>
          </w:p>
        </w:tc>
      </w:tr>
      <w:tr w:rsidR="00F2350B" w:rsidRPr="00373DCC" w14:paraId="61625DB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6823B89F" w14:textId="77777777" w:rsidR="00F2350B" w:rsidRPr="00373DCC" w:rsidRDefault="00F2350B" w:rsidP="00710B91">
            <w:pPr>
              <w:spacing w:before="0" w:after="0" w:line="240" w:lineRule="atLeast"/>
              <w:contextualSpacing/>
              <w:rPr>
                <w:rFonts w:cs="Arial"/>
                <w:sz w:val="21"/>
              </w:rPr>
            </w:pPr>
            <w:r w:rsidRPr="00373DCC">
              <w:rPr>
                <w:rFonts w:cs="Arial"/>
                <w:sz w:val="21"/>
              </w:rPr>
              <w:t>N3</w:t>
            </w:r>
          </w:p>
        </w:tc>
        <w:tc>
          <w:tcPr>
            <w:tcW w:w="1012" w:type="pct"/>
            <w:tcBorders>
              <w:top w:val="single" w:sz="4" w:space="0" w:color="auto"/>
              <w:left w:val="single" w:sz="4" w:space="0" w:color="auto"/>
              <w:bottom w:val="single" w:sz="4" w:space="0" w:color="auto"/>
              <w:right w:val="single" w:sz="4" w:space="0" w:color="auto"/>
            </w:tcBorders>
            <w:vAlign w:val="center"/>
          </w:tcPr>
          <w:p w14:paraId="3D6E9F0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57 (29%)</w:t>
            </w:r>
          </w:p>
        </w:tc>
        <w:tc>
          <w:tcPr>
            <w:tcW w:w="1012" w:type="pct"/>
            <w:tcBorders>
              <w:top w:val="single" w:sz="4" w:space="0" w:color="auto"/>
              <w:left w:val="single" w:sz="4" w:space="0" w:color="auto"/>
              <w:bottom w:val="single" w:sz="4" w:space="0" w:color="auto"/>
              <w:right w:val="single" w:sz="4" w:space="0" w:color="auto"/>
            </w:tcBorders>
            <w:vAlign w:val="center"/>
          </w:tcPr>
          <w:p w14:paraId="57D6AAC6"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66 (31%)</w:t>
            </w:r>
          </w:p>
        </w:tc>
      </w:tr>
      <w:tr w:rsidR="00F2350B" w:rsidRPr="00373DCC" w14:paraId="15A7A8B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15B25C59" w14:textId="77777777" w:rsidR="00F2350B" w:rsidRPr="00373DCC" w:rsidRDefault="00F2350B" w:rsidP="00710B91">
            <w:pPr>
              <w:spacing w:before="0" w:after="0" w:line="240" w:lineRule="atLeast"/>
              <w:contextualSpacing/>
              <w:rPr>
                <w:rFonts w:cs="Arial"/>
                <w:sz w:val="21"/>
              </w:rPr>
            </w:pPr>
            <w:r w:rsidRPr="00373DCC">
              <w:rPr>
                <w:rFonts w:cs="Arial"/>
                <w:sz w:val="21"/>
              </w:rPr>
              <w:t>N4</w:t>
            </w:r>
          </w:p>
        </w:tc>
        <w:tc>
          <w:tcPr>
            <w:tcW w:w="1012" w:type="pct"/>
            <w:tcBorders>
              <w:top w:val="single" w:sz="4" w:space="0" w:color="auto"/>
              <w:left w:val="single" w:sz="4" w:space="0" w:color="auto"/>
              <w:bottom w:val="single" w:sz="4" w:space="0" w:color="auto"/>
              <w:right w:val="single" w:sz="4" w:space="0" w:color="auto"/>
            </w:tcBorders>
            <w:vAlign w:val="center"/>
          </w:tcPr>
          <w:p w14:paraId="768D898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25 (13%)</w:t>
            </w:r>
          </w:p>
        </w:tc>
        <w:tc>
          <w:tcPr>
            <w:tcW w:w="1012" w:type="pct"/>
            <w:tcBorders>
              <w:top w:val="single" w:sz="4" w:space="0" w:color="auto"/>
              <w:left w:val="single" w:sz="4" w:space="0" w:color="auto"/>
              <w:bottom w:val="single" w:sz="4" w:space="0" w:color="auto"/>
              <w:right w:val="single" w:sz="4" w:space="0" w:color="auto"/>
            </w:tcBorders>
            <w:vAlign w:val="center"/>
          </w:tcPr>
          <w:p w14:paraId="2EE155D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32 (15%)</w:t>
            </w:r>
          </w:p>
        </w:tc>
      </w:tr>
      <w:tr w:rsidR="00F2350B" w:rsidRPr="00373DCC" w14:paraId="50D8F97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5C0085D7" w14:textId="77777777" w:rsidR="00F2350B" w:rsidRPr="00373DCC" w:rsidRDefault="00F2350B" w:rsidP="00710B91">
            <w:pPr>
              <w:spacing w:before="0" w:after="0" w:line="240" w:lineRule="atLeast"/>
              <w:contextualSpacing/>
              <w:rPr>
                <w:rFonts w:cs="Arial"/>
                <w:sz w:val="21"/>
              </w:rPr>
            </w:pPr>
            <w:r w:rsidRPr="00373DCC">
              <w:rPr>
                <w:rFonts w:cs="Arial"/>
                <w:sz w:val="21"/>
              </w:rPr>
              <w:t>N5</w:t>
            </w:r>
          </w:p>
        </w:tc>
        <w:tc>
          <w:tcPr>
            <w:tcW w:w="1012" w:type="pct"/>
            <w:tcBorders>
              <w:top w:val="single" w:sz="4" w:space="0" w:color="auto"/>
              <w:left w:val="single" w:sz="4" w:space="0" w:color="auto"/>
              <w:bottom w:val="single" w:sz="4" w:space="0" w:color="auto"/>
              <w:right w:val="single" w:sz="4" w:space="0" w:color="auto"/>
            </w:tcBorders>
            <w:vAlign w:val="center"/>
          </w:tcPr>
          <w:p w14:paraId="1B1B71A2"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highlight w:val="yellow"/>
              </w:rPr>
            </w:pPr>
            <w:r w:rsidRPr="000339D1">
              <w:rPr>
                <w:rFonts w:cs="Arial"/>
                <w:sz w:val="21"/>
              </w:rPr>
              <w:t>3 (1%)</w:t>
            </w:r>
          </w:p>
        </w:tc>
        <w:tc>
          <w:tcPr>
            <w:tcW w:w="1012" w:type="pct"/>
            <w:tcBorders>
              <w:top w:val="single" w:sz="4" w:space="0" w:color="auto"/>
              <w:left w:val="single" w:sz="4" w:space="0" w:color="auto"/>
              <w:bottom w:val="single" w:sz="4" w:space="0" w:color="auto"/>
              <w:right w:val="single" w:sz="4" w:space="0" w:color="auto"/>
            </w:tcBorders>
            <w:vAlign w:val="center"/>
          </w:tcPr>
          <w:p w14:paraId="06E3163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3 (1%)</w:t>
            </w:r>
          </w:p>
        </w:tc>
      </w:tr>
      <w:tr w:rsidR="00F2350B" w:rsidRPr="00373DCC" w14:paraId="0D81702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shd w:val="clear" w:color="auto" w:fill="C6D4E9"/>
            <w:vAlign w:val="center"/>
          </w:tcPr>
          <w:p w14:paraId="2EE6A212" w14:textId="77777777" w:rsidR="00F2350B" w:rsidRPr="00373DCC" w:rsidRDefault="00F2350B" w:rsidP="00710B91">
            <w:pPr>
              <w:spacing w:before="0" w:after="0" w:line="240" w:lineRule="atLeast"/>
              <w:contextualSpacing/>
              <w:rPr>
                <w:rFonts w:cs="Arial"/>
                <w:sz w:val="21"/>
              </w:rPr>
            </w:pPr>
            <w:r w:rsidRPr="00373DCC">
              <w:rPr>
                <w:rFonts w:cs="Arial"/>
                <w:sz w:val="21"/>
              </w:rPr>
              <w:t>Total</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center"/>
          </w:tcPr>
          <w:p w14:paraId="60E4589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196 (100%)</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center"/>
          </w:tcPr>
          <w:p w14:paraId="332780B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214 (100%)</w:t>
            </w:r>
          </w:p>
        </w:tc>
      </w:tr>
      <w:tr w:rsidR="00F2350B" w:rsidRPr="00373DCC" w14:paraId="71021EF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themeColor="text2"/>
              <w:bottom w:val="single" w:sz="4" w:space="0" w:color="auto"/>
              <w:right w:val="single" w:sz="4" w:space="0" w:color="002C47" w:themeColor="text2"/>
            </w:tcBorders>
            <w:shd w:val="clear" w:color="auto" w:fill="8CADD3"/>
            <w:vAlign w:val="center"/>
          </w:tcPr>
          <w:p w14:paraId="39B85E30"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Change applications</w:t>
            </w:r>
          </w:p>
        </w:tc>
      </w:tr>
      <w:tr w:rsidR="00F2350B" w:rsidRPr="00373DCC" w14:paraId="4494884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796BE204" w14:textId="77777777" w:rsidR="00F2350B" w:rsidRPr="00373DCC" w:rsidRDefault="00F2350B" w:rsidP="00710B91">
            <w:pPr>
              <w:spacing w:before="0" w:after="0" w:line="240" w:lineRule="atLeast"/>
              <w:contextualSpacing/>
              <w:rPr>
                <w:rFonts w:cs="Arial"/>
                <w:sz w:val="21"/>
              </w:rPr>
            </w:pPr>
            <w:r w:rsidRPr="00373DCC">
              <w:rPr>
                <w:rFonts w:cs="Arial"/>
                <w:sz w:val="21"/>
              </w:rPr>
              <w:t>CN</w:t>
            </w:r>
          </w:p>
        </w:tc>
        <w:tc>
          <w:tcPr>
            <w:tcW w:w="1012" w:type="pct"/>
            <w:tcBorders>
              <w:top w:val="single" w:sz="4" w:space="0" w:color="auto"/>
              <w:left w:val="single" w:sz="4" w:space="0" w:color="auto"/>
              <w:bottom w:val="single" w:sz="4" w:space="0" w:color="auto"/>
              <w:right w:val="single" w:sz="4" w:space="0" w:color="auto"/>
            </w:tcBorders>
            <w:vAlign w:val="center"/>
          </w:tcPr>
          <w:p w14:paraId="3ACABB7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184 (23%)</w:t>
            </w:r>
          </w:p>
        </w:tc>
        <w:tc>
          <w:tcPr>
            <w:tcW w:w="1012" w:type="pct"/>
            <w:tcBorders>
              <w:top w:val="single" w:sz="4" w:space="0" w:color="auto"/>
              <w:left w:val="single" w:sz="4" w:space="0" w:color="auto"/>
              <w:bottom w:val="single" w:sz="4" w:space="0" w:color="auto"/>
              <w:right w:val="single" w:sz="4" w:space="0" w:color="auto"/>
            </w:tcBorders>
            <w:vAlign w:val="center"/>
          </w:tcPr>
          <w:p w14:paraId="0E85F85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141 (20%)</w:t>
            </w:r>
          </w:p>
        </w:tc>
      </w:tr>
      <w:tr w:rsidR="00F2350B" w:rsidRPr="00373DCC" w14:paraId="1AB366B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113CFCDD" w14:textId="77777777" w:rsidR="00F2350B" w:rsidRPr="00373DCC" w:rsidRDefault="00F2350B" w:rsidP="00710B91">
            <w:pPr>
              <w:spacing w:before="0" w:after="0" w:line="240" w:lineRule="atLeast"/>
              <w:contextualSpacing/>
              <w:rPr>
                <w:rFonts w:cs="Arial"/>
                <w:sz w:val="21"/>
              </w:rPr>
            </w:pPr>
            <w:r w:rsidRPr="00373DCC">
              <w:rPr>
                <w:rFonts w:cs="Arial"/>
                <w:sz w:val="21"/>
              </w:rPr>
              <w:t>C1</w:t>
            </w:r>
          </w:p>
        </w:tc>
        <w:tc>
          <w:tcPr>
            <w:tcW w:w="1012" w:type="pct"/>
            <w:tcBorders>
              <w:top w:val="single" w:sz="4" w:space="0" w:color="auto"/>
              <w:left w:val="single" w:sz="4" w:space="0" w:color="auto"/>
              <w:bottom w:val="single" w:sz="4" w:space="0" w:color="auto"/>
              <w:right w:val="single" w:sz="4" w:space="0" w:color="auto"/>
            </w:tcBorders>
            <w:vAlign w:val="center"/>
          </w:tcPr>
          <w:p w14:paraId="6BBD616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315 (39%)</w:t>
            </w:r>
          </w:p>
        </w:tc>
        <w:tc>
          <w:tcPr>
            <w:tcW w:w="1012" w:type="pct"/>
            <w:tcBorders>
              <w:top w:val="single" w:sz="4" w:space="0" w:color="auto"/>
              <w:left w:val="single" w:sz="4" w:space="0" w:color="auto"/>
              <w:bottom w:val="single" w:sz="4" w:space="0" w:color="auto"/>
              <w:right w:val="single" w:sz="4" w:space="0" w:color="auto"/>
            </w:tcBorders>
            <w:vAlign w:val="center"/>
          </w:tcPr>
          <w:p w14:paraId="5B4FAD2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293 (41%)</w:t>
            </w:r>
          </w:p>
        </w:tc>
      </w:tr>
      <w:tr w:rsidR="00F2350B" w:rsidRPr="00373DCC" w14:paraId="3D6B1F1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6F77A236" w14:textId="77777777" w:rsidR="00F2350B" w:rsidRPr="00373DCC" w:rsidRDefault="00F2350B" w:rsidP="00710B91">
            <w:pPr>
              <w:spacing w:before="0" w:after="0" w:line="240" w:lineRule="atLeast"/>
              <w:contextualSpacing/>
              <w:rPr>
                <w:rFonts w:cs="Arial"/>
                <w:sz w:val="21"/>
              </w:rPr>
            </w:pPr>
            <w:r w:rsidRPr="00373DCC">
              <w:rPr>
                <w:rFonts w:cs="Arial"/>
                <w:sz w:val="21"/>
              </w:rPr>
              <w:t>C2</w:t>
            </w:r>
          </w:p>
        </w:tc>
        <w:tc>
          <w:tcPr>
            <w:tcW w:w="1012" w:type="pct"/>
            <w:tcBorders>
              <w:top w:val="single" w:sz="4" w:space="0" w:color="auto"/>
              <w:left w:val="single" w:sz="4" w:space="0" w:color="auto"/>
              <w:bottom w:val="single" w:sz="4" w:space="0" w:color="auto"/>
              <w:right w:val="single" w:sz="4" w:space="0" w:color="auto"/>
            </w:tcBorders>
            <w:vAlign w:val="center"/>
          </w:tcPr>
          <w:p w14:paraId="5B96F2D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highlight w:val="yellow"/>
              </w:rPr>
            </w:pPr>
            <w:r w:rsidRPr="000339D1">
              <w:rPr>
                <w:rFonts w:cs="Arial"/>
                <w:sz w:val="21"/>
              </w:rPr>
              <w:t>293 (37%)</w:t>
            </w:r>
          </w:p>
        </w:tc>
        <w:tc>
          <w:tcPr>
            <w:tcW w:w="1012" w:type="pct"/>
            <w:tcBorders>
              <w:top w:val="single" w:sz="4" w:space="0" w:color="auto"/>
              <w:left w:val="single" w:sz="4" w:space="0" w:color="auto"/>
              <w:bottom w:val="single" w:sz="4" w:space="0" w:color="auto"/>
              <w:right w:val="single" w:sz="4" w:space="0" w:color="auto"/>
            </w:tcBorders>
            <w:vAlign w:val="center"/>
          </w:tcPr>
          <w:p w14:paraId="48F0153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270 (38%)</w:t>
            </w:r>
          </w:p>
        </w:tc>
      </w:tr>
      <w:tr w:rsidR="00F2350B" w:rsidRPr="00373DCC" w14:paraId="3FAE0AD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5194D16E" w14:textId="77777777" w:rsidR="00F2350B" w:rsidRPr="00373DCC" w:rsidRDefault="00F2350B" w:rsidP="00710B91">
            <w:pPr>
              <w:spacing w:before="0" w:after="0" w:line="240" w:lineRule="atLeast"/>
              <w:contextualSpacing/>
              <w:rPr>
                <w:rFonts w:cs="Arial"/>
                <w:sz w:val="21"/>
              </w:rPr>
            </w:pPr>
            <w:r w:rsidRPr="00373DCC">
              <w:rPr>
                <w:rFonts w:cs="Arial"/>
                <w:sz w:val="21"/>
              </w:rPr>
              <w:t>C3</w:t>
            </w:r>
          </w:p>
        </w:tc>
        <w:tc>
          <w:tcPr>
            <w:tcW w:w="1012" w:type="pct"/>
            <w:tcBorders>
              <w:top w:val="single" w:sz="4" w:space="0" w:color="auto"/>
              <w:left w:val="single" w:sz="4" w:space="0" w:color="auto"/>
              <w:bottom w:val="single" w:sz="4" w:space="0" w:color="auto"/>
              <w:right w:val="single" w:sz="4" w:space="0" w:color="auto"/>
            </w:tcBorders>
            <w:vAlign w:val="center"/>
          </w:tcPr>
          <w:p w14:paraId="5533508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 (1%)</w:t>
            </w:r>
          </w:p>
        </w:tc>
        <w:tc>
          <w:tcPr>
            <w:tcW w:w="1012" w:type="pct"/>
            <w:tcBorders>
              <w:top w:val="single" w:sz="4" w:space="0" w:color="auto"/>
              <w:left w:val="single" w:sz="4" w:space="0" w:color="auto"/>
              <w:bottom w:val="single" w:sz="4" w:space="0" w:color="auto"/>
              <w:right w:val="single" w:sz="4" w:space="0" w:color="auto"/>
            </w:tcBorders>
            <w:vAlign w:val="center"/>
          </w:tcPr>
          <w:p w14:paraId="2CA48C7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7 (1%)</w:t>
            </w:r>
          </w:p>
        </w:tc>
      </w:tr>
      <w:tr w:rsidR="00F2350B" w:rsidRPr="00373DCC" w14:paraId="30717A8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vAlign w:val="center"/>
          </w:tcPr>
          <w:p w14:paraId="12E206B7" w14:textId="77777777" w:rsidR="00F2350B" w:rsidRPr="00373DCC" w:rsidRDefault="00F2350B" w:rsidP="00710B91">
            <w:pPr>
              <w:spacing w:before="0" w:after="0" w:line="240" w:lineRule="atLeast"/>
              <w:contextualSpacing/>
              <w:rPr>
                <w:rFonts w:cs="Arial"/>
                <w:sz w:val="21"/>
              </w:rPr>
            </w:pPr>
            <w:r w:rsidRPr="00373DCC">
              <w:rPr>
                <w:rFonts w:cs="Arial"/>
                <w:sz w:val="21"/>
              </w:rPr>
              <w:t>C4</w:t>
            </w:r>
          </w:p>
        </w:tc>
        <w:tc>
          <w:tcPr>
            <w:tcW w:w="1012" w:type="pct"/>
            <w:tcBorders>
              <w:top w:val="single" w:sz="4" w:space="0" w:color="auto"/>
              <w:left w:val="single" w:sz="4" w:space="0" w:color="auto"/>
              <w:bottom w:val="single" w:sz="4" w:space="0" w:color="auto"/>
              <w:right w:val="single" w:sz="4" w:space="0" w:color="auto"/>
            </w:tcBorders>
            <w:vAlign w:val="center"/>
          </w:tcPr>
          <w:p w14:paraId="0428479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1012" w:type="pct"/>
            <w:tcBorders>
              <w:top w:val="single" w:sz="4" w:space="0" w:color="auto"/>
              <w:left w:val="single" w:sz="4" w:space="0" w:color="auto"/>
              <w:bottom w:val="single" w:sz="4" w:space="0" w:color="auto"/>
              <w:right w:val="single" w:sz="4" w:space="0" w:color="auto"/>
            </w:tcBorders>
            <w:vAlign w:val="center"/>
          </w:tcPr>
          <w:p w14:paraId="184F2CA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 0 (0%)</w:t>
            </w:r>
          </w:p>
        </w:tc>
      </w:tr>
      <w:tr w:rsidR="00F2350B" w:rsidRPr="00373DCC" w14:paraId="317EE80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976" w:type="pct"/>
            <w:tcBorders>
              <w:top w:val="single" w:sz="4" w:space="0" w:color="auto"/>
              <w:left w:val="single" w:sz="4" w:space="0" w:color="auto"/>
              <w:bottom w:val="single" w:sz="4" w:space="0" w:color="auto"/>
              <w:right w:val="single" w:sz="4" w:space="0" w:color="auto"/>
            </w:tcBorders>
            <w:shd w:val="clear" w:color="auto" w:fill="C6D4E9"/>
            <w:vAlign w:val="center"/>
          </w:tcPr>
          <w:p w14:paraId="0C768827"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center"/>
          </w:tcPr>
          <w:p w14:paraId="3A52045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803 (100%)</w:t>
            </w:r>
          </w:p>
        </w:tc>
        <w:tc>
          <w:tcPr>
            <w:tcW w:w="1012" w:type="pct"/>
            <w:tcBorders>
              <w:top w:val="single" w:sz="4" w:space="0" w:color="auto"/>
              <w:left w:val="single" w:sz="4" w:space="0" w:color="auto"/>
              <w:bottom w:val="single" w:sz="4" w:space="0" w:color="auto"/>
              <w:right w:val="single" w:sz="4" w:space="0" w:color="auto"/>
            </w:tcBorders>
            <w:shd w:val="clear" w:color="auto" w:fill="C6D4E9"/>
            <w:vAlign w:val="center"/>
          </w:tcPr>
          <w:p w14:paraId="777DD5C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711 (100%)</w:t>
            </w:r>
          </w:p>
        </w:tc>
      </w:tr>
    </w:tbl>
    <w:p w14:paraId="6C98C30A" w14:textId="77777777" w:rsidR="00F2350B" w:rsidRPr="00373DCC" w:rsidRDefault="00F2350B" w:rsidP="00F2350B">
      <w:pPr>
        <w:adjustRightInd w:val="0"/>
        <w:spacing w:after="0" w:line="240" w:lineRule="atLeast"/>
        <w:outlineLvl w:val="3"/>
        <w:rPr>
          <w:rFonts w:eastAsia="Cambria" w:cs="Arial"/>
          <w:sz w:val="21"/>
          <w:szCs w:val="21"/>
        </w:rPr>
      </w:pPr>
    </w:p>
    <w:p w14:paraId="3B7F36B1" w14:textId="77777777" w:rsidR="00F2350B" w:rsidRPr="00373DCC" w:rsidRDefault="00F2350B" w:rsidP="00F2350B">
      <w:pPr>
        <w:spacing w:after="160" w:line="259" w:lineRule="auto"/>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br w:type="page"/>
      </w:r>
    </w:p>
    <w:p w14:paraId="1A61F90C"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lastRenderedPageBreak/>
        <w:t>2.2.2 Completed applications</w:t>
      </w:r>
    </w:p>
    <w:p w14:paraId="3B9C058B" w14:textId="77777777" w:rsidR="00F2350B" w:rsidRPr="00373DCC" w:rsidRDefault="00F2350B" w:rsidP="00F2350B">
      <w:pPr>
        <w:keepNext/>
        <w:spacing w:before="240" w:after="120" w:line="240" w:lineRule="auto"/>
        <w:rPr>
          <w:rFonts w:eastAsia="Cambria" w:cs="Arial"/>
          <w:b/>
          <w:bCs/>
          <w:sz w:val="21"/>
          <w:szCs w:val="21"/>
        </w:rPr>
      </w:pPr>
      <w:bookmarkStart w:id="107" w:name="Table13"/>
      <w:r w:rsidRPr="00373DCC">
        <w:rPr>
          <w:rFonts w:eastAsia="Cambria" w:cs="Arial"/>
          <w:b/>
          <w:bCs/>
          <w:sz w:val="21"/>
          <w:szCs w:val="21"/>
        </w:rPr>
        <w:t xml:space="preserve">Table 13: Outcomes of completed new OTC medicine applications </w:t>
      </w:r>
    </w:p>
    <w:bookmarkEnd w:id="107"/>
    <w:tbl>
      <w:tblPr>
        <w:tblStyle w:val="TableTGAblue"/>
        <w:tblW w:w="5009" w:type="pct"/>
        <w:tblLook w:val="04A0" w:firstRow="1" w:lastRow="0" w:firstColumn="1" w:lastColumn="0" w:noHBand="0" w:noVBand="1"/>
      </w:tblPr>
      <w:tblGrid>
        <w:gridCol w:w="5921"/>
        <w:gridCol w:w="1610"/>
        <w:gridCol w:w="1506"/>
      </w:tblGrid>
      <w:tr w:rsidR="00F07150" w:rsidRPr="00373DCC" w14:paraId="6604E6B1" w14:textId="77777777" w:rsidTr="007A69E5">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nil"/>
              <w:left w:val="nil"/>
              <w:right w:val="single" w:sz="4" w:space="0" w:color="000000"/>
            </w:tcBorders>
            <w:shd w:val="clear" w:color="auto" w:fill="FFFFFF" w:themeFill="background1"/>
            <w:vAlign w:val="center"/>
          </w:tcPr>
          <w:p w14:paraId="6B8D8A92" w14:textId="77777777" w:rsidR="00F07150" w:rsidRPr="00373DCC" w:rsidRDefault="00F07150" w:rsidP="00710B91">
            <w:pPr>
              <w:widowControl w:val="0"/>
              <w:spacing w:before="0" w:after="0" w:line="240" w:lineRule="atLeast"/>
              <w:ind w:left="720"/>
              <w:contextualSpacing/>
              <w:rPr>
                <w:rFonts w:cs="Arial"/>
                <w:sz w:val="21"/>
              </w:rPr>
            </w:pPr>
          </w:p>
        </w:tc>
        <w:tc>
          <w:tcPr>
            <w:tcW w:w="891"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300A0484" w14:textId="0A8CCCB2"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833"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0B5C1100" w14:textId="41607063"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71A9C28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333E21F7"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N1</w:t>
            </w:r>
          </w:p>
        </w:tc>
      </w:tr>
      <w:tr w:rsidR="00F2350B" w:rsidRPr="00373DCC" w14:paraId="2CC8DA5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vAlign w:val="center"/>
          </w:tcPr>
          <w:p w14:paraId="18982E3A"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91" w:type="pct"/>
            <w:tcBorders>
              <w:top w:val="single" w:sz="4" w:space="0" w:color="002C47"/>
              <w:left w:val="single" w:sz="4" w:space="0" w:color="auto"/>
              <w:bottom w:val="single" w:sz="4" w:space="0" w:color="auto"/>
              <w:right w:val="single" w:sz="4" w:space="0" w:color="auto"/>
            </w:tcBorders>
            <w:vAlign w:val="center"/>
          </w:tcPr>
          <w:p w14:paraId="21322CA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71 (95%)</w:t>
            </w:r>
          </w:p>
        </w:tc>
        <w:tc>
          <w:tcPr>
            <w:tcW w:w="833" w:type="pct"/>
            <w:tcBorders>
              <w:top w:val="single" w:sz="4" w:space="0" w:color="002C47"/>
              <w:left w:val="single" w:sz="4" w:space="0" w:color="auto"/>
              <w:bottom w:val="single" w:sz="4" w:space="0" w:color="auto"/>
              <w:right w:val="single" w:sz="4" w:space="0" w:color="auto"/>
            </w:tcBorders>
            <w:vAlign w:val="center"/>
          </w:tcPr>
          <w:p w14:paraId="1CE8DF3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85 (89%)</w:t>
            </w:r>
          </w:p>
        </w:tc>
      </w:tr>
      <w:tr w:rsidR="00F2350B" w:rsidRPr="00373DCC" w14:paraId="53A3054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306CF168"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91" w:type="pct"/>
            <w:tcBorders>
              <w:top w:val="single" w:sz="4" w:space="0" w:color="auto"/>
              <w:left w:val="single" w:sz="4" w:space="0" w:color="auto"/>
              <w:bottom w:val="single" w:sz="4" w:space="0" w:color="auto"/>
              <w:right w:val="single" w:sz="4" w:space="0" w:color="auto"/>
            </w:tcBorders>
            <w:vAlign w:val="center"/>
          </w:tcPr>
          <w:p w14:paraId="5E75E64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6C1097F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25985F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300F065C"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91" w:type="pct"/>
            <w:tcBorders>
              <w:top w:val="single" w:sz="4" w:space="0" w:color="auto"/>
              <w:left w:val="single" w:sz="4" w:space="0" w:color="auto"/>
              <w:bottom w:val="single" w:sz="4" w:space="0" w:color="auto"/>
              <w:right w:val="single" w:sz="4" w:space="0" w:color="auto"/>
            </w:tcBorders>
            <w:vAlign w:val="center"/>
          </w:tcPr>
          <w:p w14:paraId="4B73B16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 (5%)</w:t>
            </w:r>
          </w:p>
        </w:tc>
        <w:tc>
          <w:tcPr>
            <w:tcW w:w="833" w:type="pct"/>
            <w:tcBorders>
              <w:top w:val="single" w:sz="4" w:space="0" w:color="auto"/>
              <w:left w:val="single" w:sz="4" w:space="0" w:color="auto"/>
              <w:bottom w:val="single" w:sz="4" w:space="0" w:color="auto"/>
              <w:right w:val="single" w:sz="4" w:space="0" w:color="auto"/>
            </w:tcBorders>
            <w:vAlign w:val="center"/>
          </w:tcPr>
          <w:p w14:paraId="306A1F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 (11%)</w:t>
            </w:r>
          </w:p>
        </w:tc>
      </w:tr>
      <w:tr w:rsidR="00F2350B" w:rsidRPr="00373DCC" w14:paraId="58CE2FE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6F7483BB"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91" w:type="pct"/>
            <w:tcBorders>
              <w:top w:val="single" w:sz="4" w:space="0" w:color="auto"/>
              <w:left w:val="single" w:sz="4" w:space="0" w:color="auto"/>
              <w:bottom w:val="single" w:sz="4" w:space="0" w:color="auto"/>
              <w:right w:val="single" w:sz="4" w:space="0" w:color="auto"/>
            </w:tcBorders>
            <w:vAlign w:val="center"/>
          </w:tcPr>
          <w:p w14:paraId="63EE8FA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5209B0B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12CAF7C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vAlign w:val="center"/>
          </w:tcPr>
          <w:p w14:paraId="7910AAAC"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vAlign w:val="center"/>
          </w:tcPr>
          <w:p w14:paraId="0F708F0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75 (100%)</w:t>
            </w:r>
          </w:p>
        </w:tc>
        <w:tc>
          <w:tcPr>
            <w:tcW w:w="833" w:type="pct"/>
            <w:tcBorders>
              <w:top w:val="single" w:sz="4" w:space="0" w:color="auto"/>
              <w:left w:val="single" w:sz="4" w:space="0" w:color="auto"/>
              <w:bottom w:val="single" w:sz="4" w:space="0" w:color="002C47"/>
              <w:right w:val="single" w:sz="4" w:space="0" w:color="auto"/>
            </w:tcBorders>
            <w:shd w:val="clear" w:color="auto" w:fill="C6D4E9"/>
            <w:vAlign w:val="center"/>
          </w:tcPr>
          <w:p w14:paraId="6C2CEE9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96 (100%)</w:t>
            </w:r>
          </w:p>
        </w:tc>
      </w:tr>
      <w:tr w:rsidR="00F2350B" w:rsidRPr="00373DCC" w14:paraId="239FF87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0F90086D"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N2</w:t>
            </w:r>
          </w:p>
        </w:tc>
      </w:tr>
      <w:tr w:rsidR="00F2350B" w:rsidRPr="00373DCC" w14:paraId="13FA0DB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vAlign w:val="center"/>
          </w:tcPr>
          <w:p w14:paraId="4B0CCAC5"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91" w:type="pct"/>
            <w:tcBorders>
              <w:top w:val="single" w:sz="4" w:space="0" w:color="002C47"/>
              <w:left w:val="single" w:sz="4" w:space="0" w:color="auto"/>
              <w:bottom w:val="single" w:sz="4" w:space="0" w:color="auto"/>
              <w:right w:val="single" w:sz="4" w:space="0" w:color="auto"/>
            </w:tcBorders>
            <w:vAlign w:val="center"/>
          </w:tcPr>
          <w:p w14:paraId="44CBCEF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 (100%)</w:t>
            </w:r>
          </w:p>
        </w:tc>
        <w:tc>
          <w:tcPr>
            <w:tcW w:w="833" w:type="pct"/>
            <w:tcBorders>
              <w:top w:val="single" w:sz="4" w:space="0" w:color="002C47"/>
              <w:left w:val="single" w:sz="4" w:space="0" w:color="auto"/>
              <w:bottom w:val="single" w:sz="4" w:space="0" w:color="auto"/>
              <w:right w:val="single" w:sz="4" w:space="0" w:color="auto"/>
            </w:tcBorders>
            <w:vAlign w:val="center"/>
          </w:tcPr>
          <w:p w14:paraId="59CFCD0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 (89%)</w:t>
            </w:r>
          </w:p>
        </w:tc>
      </w:tr>
      <w:tr w:rsidR="00F2350B" w:rsidRPr="00373DCC" w14:paraId="5191475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7AEDF754"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91" w:type="pct"/>
            <w:tcBorders>
              <w:top w:val="single" w:sz="4" w:space="0" w:color="auto"/>
              <w:left w:val="single" w:sz="4" w:space="0" w:color="auto"/>
              <w:bottom w:val="single" w:sz="4" w:space="0" w:color="auto"/>
              <w:right w:val="single" w:sz="4" w:space="0" w:color="auto"/>
            </w:tcBorders>
            <w:vAlign w:val="center"/>
          </w:tcPr>
          <w:p w14:paraId="1636526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3D03B05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61D9449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4D6B6605"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91" w:type="pct"/>
            <w:tcBorders>
              <w:top w:val="single" w:sz="4" w:space="0" w:color="auto"/>
              <w:left w:val="single" w:sz="4" w:space="0" w:color="auto"/>
              <w:bottom w:val="single" w:sz="4" w:space="0" w:color="auto"/>
              <w:right w:val="single" w:sz="4" w:space="0" w:color="auto"/>
            </w:tcBorders>
            <w:vAlign w:val="center"/>
          </w:tcPr>
          <w:p w14:paraId="2C35A03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2051168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(11%)</w:t>
            </w:r>
          </w:p>
        </w:tc>
      </w:tr>
      <w:tr w:rsidR="00F2350B" w:rsidRPr="00373DCC" w14:paraId="768A985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6729BDCE"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91" w:type="pct"/>
            <w:tcBorders>
              <w:top w:val="single" w:sz="4" w:space="0" w:color="auto"/>
              <w:left w:val="single" w:sz="4" w:space="0" w:color="auto"/>
              <w:bottom w:val="single" w:sz="4" w:space="0" w:color="auto"/>
              <w:right w:val="single" w:sz="4" w:space="0" w:color="auto"/>
            </w:tcBorders>
            <w:vAlign w:val="center"/>
          </w:tcPr>
          <w:p w14:paraId="47637D5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4ECBABC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5F4850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DBE5F1"/>
            <w:vAlign w:val="center"/>
          </w:tcPr>
          <w:p w14:paraId="3E03E6CD"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891" w:type="pct"/>
            <w:tcBorders>
              <w:top w:val="single" w:sz="4" w:space="0" w:color="auto"/>
              <w:left w:val="single" w:sz="4" w:space="0" w:color="auto"/>
              <w:bottom w:val="single" w:sz="4" w:space="0" w:color="002C47"/>
              <w:right w:val="single" w:sz="4" w:space="0" w:color="auto"/>
            </w:tcBorders>
            <w:shd w:val="clear" w:color="auto" w:fill="DBE5F1"/>
            <w:vAlign w:val="center"/>
          </w:tcPr>
          <w:p w14:paraId="36BA172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 (100%)</w:t>
            </w:r>
          </w:p>
        </w:tc>
        <w:tc>
          <w:tcPr>
            <w:tcW w:w="833" w:type="pct"/>
            <w:tcBorders>
              <w:top w:val="single" w:sz="4" w:space="0" w:color="auto"/>
              <w:left w:val="single" w:sz="4" w:space="0" w:color="auto"/>
              <w:bottom w:val="single" w:sz="4" w:space="0" w:color="002C47"/>
              <w:right w:val="single" w:sz="4" w:space="0" w:color="auto"/>
            </w:tcBorders>
            <w:shd w:val="clear" w:color="auto" w:fill="DBE5F1"/>
            <w:vAlign w:val="center"/>
          </w:tcPr>
          <w:p w14:paraId="1C17BE8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27 (100%)</w:t>
            </w:r>
          </w:p>
        </w:tc>
      </w:tr>
      <w:tr w:rsidR="00F2350B" w:rsidRPr="00373DCC" w14:paraId="3AA23CF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20A0246D"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N3</w:t>
            </w:r>
          </w:p>
        </w:tc>
      </w:tr>
      <w:tr w:rsidR="00F2350B" w:rsidRPr="00373DCC" w14:paraId="33E9F34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vAlign w:val="center"/>
          </w:tcPr>
          <w:p w14:paraId="7D0ABC7A"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91" w:type="pct"/>
            <w:tcBorders>
              <w:top w:val="single" w:sz="4" w:space="0" w:color="002C47"/>
              <w:left w:val="single" w:sz="4" w:space="0" w:color="auto"/>
              <w:bottom w:val="single" w:sz="4" w:space="0" w:color="auto"/>
              <w:right w:val="single" w:sz="4" w:space="0" w:color="auto"/>
            </w:tcBorders>
            <w:vAlign w:val="center"/>
          </w:tcPr>
          <w:p w14:paraId="1FED9D3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62 (97%)</w:t>
            </w:r>
          </w:p>
        </w:tc>
        <w:tc>
          <w:tcPr>
            <w:tcW w:w="833" w:type="pct"/>
            <w:tcBorders>
              <w:top w:val="single" w:sz="4" w:space="0" w:color="002C47"/>
              <w:left w:val="single" w:sz="4" w:space="0" w:color="auto"/>
              <w:bottom w:val="single" w:sz="4" w:space="0" w:color="auto"/>
              <w:right w:val="single" w:sz="4" w:space="0" w:color="auto"/>
            </w:tcBorders>
            <w:vAlign w:val="center"/>
          </w:tcPr>
          <w:p w14:paraId="79B51B6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40 (85%)</w:t>
            </w:r>
          </w:p>
        </w:tc>
      </w:tr>
      <w:tr w:rsidR="00F2350B" w:rsidRPr="00373DCC" w14:paraId="58B75E8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312693C8"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91" w:type="pct"/>
            <w:tcBorders>
              <w:top w:val="single" w:sz="4" w:space="0" w:color="auto"/>
              <w:left w:val="single" w:sz="4" w:space="0" w:color="auto"/>
              <w:bottom w:val="single" w:sz="4" w:space="0" w:color="auto"/>
              <w:right w:val="single" w:sz="4" w:space="0" w:color="auto"/>
            </w:tcBorders>
            <w:vAlign w:val="center"/>
          </w:tcPr>
          <w:p w14:paraId="300020D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0FF8D95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6FDFE2D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0DB38060"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91" w:type="pct"/>
            <w:tcBorders>
              <w:top w:val="single" w:sz="4" w:space="0" w:color="auto"/>
              <w:left w:val="single" w:sz="4" w:space="0" w:color="auto"/>
              <w:bottom w:val="single" w:sz="4" w:space="0" w:color="auto"/>
              <w:right w:val="single" w:sz="4" w:space="0" w:color="auto"/>
            </w:tcBorders>
            <w:vAlign w:val="center"/>
          </w:tcPr>
          <w:p w14:paraId="3A508FF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(3%)</w:t>
            </w:r>
          </w:p>
        </w:tc>
        <w:tc>
          <w:tcPr>
            <w:tcW w:w="833" w:type="pct"/>
            <w:tcBorders>
              <w:top w:val="single" w:sz="4" w:space="0" w:color="auto"/>
              <w:left w:val="single" w:sz="4" w:space="0" w:color="auto"/>
              <w:bottom w:val="single" w:sz="4" w:space="0" w:color="auto"/>
              <w:right w:val="single" w:sz="4" w:space="0" w:color="auto"/>
            </w:tcBorders>
            <w:vAlign w:val="center"/>
          </w:tcPr>
          <w:p w14:paraId="3FB0775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(13%)</w:t>
            </w:r>
          </w:p>
        </w:tc>
      </w:tr>
      <w:tr w:rsidR="00F2350B" w:rsidRPr="00373DCC" w14:paraId="3D0253A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7B0DDA1F"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91" w:type="pct"/>
            <w:tcBorders>
              <w:top w:val="single" w:sz="4" w:space="0" w:color="auto"/>
              <w:left w:val="single" w:sz="4" w:space="0" w:color="auto"/>
              <w:bottom w:val="single" w:sz="4" w:space="0" w:color="auto"/>
              <w:right w:val="single" w:sz="4" w:space="0" w:color="auto"/>
            </w:tcBorders>
            <w:vAlign w:val="center"/>
          </w:tcPr>
          <w:p w14:paraId="5D75C1E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3" w:type="pct"/>
            <w:tcBorders>
              <w:top w:val="single" w:sz="4" w:space="0" w:color="auto"/>
              <w:left w:val="single" w:sz="4" w:space="0" w:color="auto"/>
              <w:bottom w:val="single" w:sz="4" w:space="0" w:color="auto"/>
              <w:right w:val="single" w:sz="4" w:space="0" w:color="auto"/>
            </w:tcBorders>
            <w:vAlign w:val="center"/>
          </w:tcPr>
          <w:p w14:paraId="099BE73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(2%)</w:t>
            </w:r>
          </w:p>
        </w:tc>
      </w:tr>
      <w:tr w:rsidR="00F2350B" w:rsidRPr="00373DCC" w:rsidDel="009C5DE1" w14:paraId="2146D94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vAlign w:val="center"/>
          </w:tcPr>
          <w:p w14:paraId="1D50986C" w14:textId="77777777" w:rsidR="00F2350B" w:rsidRPr="00373DCC" w:rsidDel="009C5DE1" w:rsidRDefault="00F2350B" w:rsidP="00710B91">
            <w:pPr>
              <w:widowControl w:val="0"/>
              <w:spacing w:before="0" w:after="0" w:line="240" w:lineRule="atLeast"/>
              <w:rPr>
                <w:rFonts w:cs="Arial"/>
                <w:sz w:val="21"/>
              </w:rPr>
            </w:pPr>
            <w:r w:rsidRPr="00373DCC">
              <w:rPr>
                <w:rFonts w:cs="Arial"/>
                <w:sz w:val="21"/>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vAlign w:val="center"/>
          </w:tcPr>
          <w:p w14:paraId="37F41DC8"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64 (100%)</w:t>
            </w:r>
          </w:p>
        </w:tc>
        <w:tc>
          <w:tcPr>
            <w:tcW w:w="833" w:type="pct"/>
            <w:tcBorders>
              <w:top w:val="single" w:sz="4" w:space="0" w:color="auto"/>
              <w:left w:val="single" w:sz="4" w:space="0" w:color="auto"/>
              <w:bottom w:val="single" w:sz="4" w:space="0" w:color="002C47"/>
              <w:right w:val="single" w:sz="4" w:space="0" w:color="auto"/>
            </w:tcBorders>
            <w:shd w:val="clear" w:color="auto" w:fill="C6D4E9"/>
            <w:vAlign w:val="center"/>
          </w:tcPr>
          <w:p w14:paraId="2B27647D"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47 (100%)</w:t>
            </w:r>
          </w:p>
        </w:tc>
      </w:tr>
      <w:tr w:rsidR="00F2350B" w:rsidRPr="00373DCC" w14:paraId="56DFD56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360AC978"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N4</w:t>
            </w:r>
          </w:p>
        </w:tc>
      </w:tr>
      <w:tr w:rsidR="00F2350B" w:rsidRPr="00373DCC" w14:paraId="4F3FEE9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vAlign w:val="center"/>
          </w:tcPr>
          <w:p w14:paraId="640B0EA9"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91" w:type="pct"/>
            <w:tcBorders>
              <w:top w:val="single" w:sz="4" w:space="0" w:color="002C47"/>
              <w:left w:val="single" w:sz="4" w:space="0" w:color="auto"/>
              <w:bottom w:val="single" w:sz="4" w:space="0" w:color="auto"/>
              <w:right w:val="single" w:sz="4" w:space="0" w:color="auto"/>
            </w:tcBorders>
            <w:vAlign w:val="center"/>
          </w:tcPr>
          <w:p w14:paraId="173E4A5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41 (89%)</w:t>
            </w:r>
          </w:p>
        </w:tc>
        <w:tc>
          <w:tcPr>
            <w:tcW w:w="833" w:type="pct"/>
            <w:tcBorders>
              <w:top w:val="single" w:sz="4" w:space="0" w:color="002C47"/>
              <w:left w:val="single" w:sz="4" w:space="0" w:color="auto"/>
              <w:bottom w:val="single" w:sz="4" w:space="0" w:color="auto"/>
              <w:right w:val="single" w:sz="4" w:space="0" w:color="auto"/>
            </w:tcBorders>
            <w:vAlign w:val="center"/>
          </w:tcPr>
          <w:p w14:paraId="4BB73A2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 (81%)</w:t>
            </w:r>
          </w:p>
        </w:tc>
      </w:tr>
      <w:tr w:rsidR="00F2350B" w:rsidRPr="00373DCC" w14:paraId="7267A7C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62B12F08"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91" w:type="pct"/>
            <w:tcBorders>
              <w:top w:val="single" w:sz="4" w:space="0" w:color="auto"/>
              <w:left w:val="single" w:sz="4" w:space="0" w:color="auto"/>
              <w:bottom w:val="single" w:sz="4" w:space="0" w:color="auto"/>
              <w:right w:val="single" w:sz="4" w:space="0" w:color="auto"/>
            </w:tcBorders>
            <w:vAlign w:val="center"/>
          </w:tcPr>
          <w:p w14:paraId="426642B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(4%)</w:t>
            </w:r>
          </w:p>
        </w:tc>
        <w:tc>
          <w:tcPr>
            <w:tcW w:w="833" w:type="pct"/>
            <w:tcBorders>
              <w:top w:val="single" w:sz="4" w:space="0" w:color="auto"/>
              <w:left w:val="single" w:sz="4" w:space="0" w:color="auto"/>
              <w:bottom w:val="single" w:sz="4" w:space="0" w:color="auto"/>
              <w:right w:val="single" w:sz="4" w:space="0" w:color="auto"/>
            </w:tcBorders>
            <w:vAlign w:val="center"/>
          </w:tcPr>
          <w:p w14:paraId="681B17A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48F343E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0D9C6107"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91" w:type="pct"/>
            <w:tcBorders>
              <w:top w:val="single" w:sz="4" w:space="0" w:color="auto"/>
              <w:left w:val="single" w:sz="4" w:space="0" w:color="auto"/>
              <w:bottom w:val="single" w:sz="4" w:space="0" w:color="auto"/>
              <w:right w:val="single" w:sz="4" w:space="0" w:color="auto"/>
            </w:tcBorders>
            <w:vAlign w:val="center"/>
          </w:tcPr>
          <w:p w14:paraId="4342F40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(4%)</w:t>
            </w:r>
          </w:p>
        </w:tc>
        <w:tc>
          <w:tcPr>
            <w:tcW w:w="833" w:type="pct"/>
            <w:tcBorders>
              <w:top w:val="single" w:sz="4" w:space="0" w:color="auto"/>
              <w:left w:val="single" w:sz="4" w:space="0" w:color="auto"/>
              <w:bottom w:val="single" w:sz="4" w:space="0" w:color="auto"/>
              <w:right w:val="single" w:sz="4" w:space="0" w:color="auto"/>
            </w:tcBorders>
            <w:vAlign w:val="center"/>
          </w:tcPr>
          <w:p w14:paraId="7A988A0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(6%)</w:t>
            </w:r>
          </w:p>
        </w:tc>
      </w:tr>
      <w:tr w:rsidR="00F2350B" w:rsidRPr="00373DCC" w14:paraId="6C1D0B7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37817C71"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91" w:type="pct"/>
            <w:tcBorders>
              <w:top w:val="single" w:sz="4" w:space="0" w:color="auto"/>
              <w:left w:val="single" w:sz="4" w:space="0" w:color="auto"/>
              <w:bottom w:val="single" w:sz="4" w:space="0" w:color="auto"/>
              <w:right w:val="single" w:sz="4" w:space="0" w:color="auto"/>
            </w:tcBorders>
            <w:vAlign w:val="center"/>
          </w:tcPr>
          <w:p w14:paraId="7D8FCE5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(2%)</w:t>
            </w:r>
          </w:p>
        </w:tc>
        <w:tc>
          <w:tcPr>
            <w:tcW w:w="833" w:type="pct"/>
            <w:tcBorders>
              <w:top w:val="single" w:sz="4" w:space="0" w:color="auto"/>
              <w:left w:val="single" w:sz="4" w:space="0" w:color="auto"/>
              <w:bottom w:val="single" w:sz="4" w:space="0" w:color="auto"/>
              <w:right w:val="single" w:sz="4" w:space="0" w:color="auto"/>
            </w:tcBorders>
            <w:vAlign w:val="center"/>
          </w:tcPr>
          <w:p w14:paraId="10ECEBC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(13%)</w:t>
            </w:r>
          </w:p>
        </w:tc>
      </w:tr>
      <w:tr w:rsidR="00F2350B" w:rsidRPr="00373DCC" w:rsidDel="009C5DE1" w14:paraId="256C703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002C47"/>
              <w:right w:val="single" w:sz="4" w:space="0" w:color="auto"/>
            </w:tcBorders>
            <w:shd w:val="clear" w:color="auto" w:fill="C6D4E9"/>
            <w:vAlign w:val="center"/>
          </w:tcPr>
          <w:p w14:paraId="314E2249" w14:textId="77777777" w:rsidR="00F2350B" w:rsidRPr="00373DCC" w:rsidDel="009C5DE1" w:rsidRDefault="00F2350B" w:rsidP="00710B91">
            <w:pPr>
              <w:widowControl w:val="0"/>
              <w:spacing w:before="0" w:after="0" w:line="240" w:lineRule="atLeast"/>
              <w:rPr>
                <w:rFonts w:cs="Arial"/>
                <w:sz w:val="21"/>
              </w:rPr>
            </w:pPr>
            <w:r w:rsidRPr="00373DCC">
              <w:rPr>
                <w:rFonts w:cs="Arial"/>
                <w:sz w:val="21"/>
              </w:rPr>
              <w:t>Total</w:t>
            </w:r>
          </w:p>
        </w:tc>
        <w:tc>
          <w:tcPr>
            <w:tcW w:w="891" w:type="pct"/>
            <w:tcBorders>
              <w:top w:val="single" w:sz="4" w:space="0" w:color="auto"/>
              <w:left w:val="single" w:sz="4" w:space="0" w:color="auto"/>
              <w:bottom w:val="single" w:sz="4" w:space="0" w:color="002C47"/>
              <w:right w:val="single" w:sz="4" w:space="0" w:color="auto"/>
            </w:tcBorders>
            <w:shd w:val="clear" w:color="auto" w:fill="C6D4E9"/>
            <w:vAlign w:val="center"/>
          </w:tcPr>
          <w:p w14:paraId="1D8611C7"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46 (100%)</w:t>
            </w:r>
          </w:p>
        </w:tc>
        <w:tc>
          <w:tcPr>
            <w:tcW w:w="833" w:type="pct"/>
            <w:tcBorders>
              <w:top w:val="single" w:sz="4" w:space="0" w:color="auto"/>
              <w:left w:val="single" w:sz="4" w:space="0" w:color="auto"/>
              <w:bottom w:val="single" w:sz="4" w:space="0" w:color="002C47"/>
              <w:right w:val="single" w:sz="4" w:space="0" w:color="auto"/>
            </w:tcBorders>
            <w:shd w:val="clear" w:color="auto" w:fill="C6D4E9"/>
            <w:vAlign w:val="center"/>
          </w:tcPr>
          <w:p w14:paraId="3B64CF2B"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 (100%)</w:t>
            </w:r>
          </w:p>
        </w:tc>
      </w:tr>
      <w:tr w:rsidR="00F2350B" w:rsidRPr="00373DCC" w14:paraId="21285E4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4C1A1F1C"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N5</w:t>
            </w:r>
          </w:p>
        </w:tc>
      </w:tr>
      <w:tr w:rsidR="00F2350B" w:rsidRPr="00373DCC" w14:paraId="5C12A46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002C47"/>
              <w:left w:val="single" w:sz="4" w:space="0" w:color="auto"/>
              <w:bottom w:val="single" w:sz="4" w:space="0" w:color="auto"/>
              <w:right w:val="single" w:sz="4" w:space="0" w:color="auto"/>
            </w:tcBorders>
            <w:vAlign w:val="center"/>
          </w:tcPr>
          <w:p w14:paraId="24B65D62"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91" w:type="pct"/>
            <w:tcBorders>
              <w:top w:val="single" w:sz="4" w:space="0" w:color="002C47"/>
              <w:left w:val="single" w:sz="4" w:space="0" w:color="auto"/>
              <w:bottom w:val="single" w:sz="4" w:space="0" w:color="auto"/>
              <w:right w:val="single" w:sz="4" w:space="0" w:color="auto"/>
            </w:tcBorders>
            <w:vAlign w:val="center"/>
          </w:tcPr>
          <w:p w14:paraId="03292EE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 (59%)</w:t>
            </w:r>
          </w:p>
        </w:tc>
        <w:tc>
          <w:tcPr>
            <w:tcW w:w="833" w:type="pct"/>
            <w:tcBorders>
              <w:top w:val="single" w:sz="4" w:space="0" w:color="002C47"/>
              <w:left w:val="single" w:sz="4" w:space="0" w:color="auto"/>
              <w:bottom w:val="single" w:sz="4" w:space="0" w:color="auto"/>
              <w:right w:val="single" w:sz="4" w:space="0" w:color="auto"/>
            </w:tcBorders>
            <w:vAlign w:val="center"/>
          </w:tcPr>
          <w:p w14:paraId="5DFA080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r>
      <w:tr w:rsidR="00F2350B" w:rsidRPr="00373DCC" w14:paraId="7EA54A5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523AB6B3"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91" w:type="pct"/>
            <w:tcBorders>
              <w:top w:val="single" w:sz="4" w:space="0" w:color="auto"/>
              <w:left w:val="single" w:sz="4" w:space="0" w:color="auto"/>
              <w:bottom w:val="single" w:sz="4" w:space="0" w:color="auto"/>
              <w:right w:val="single" w:sz="4" w:space="0" w:color="auto"/>
            </w:tcBorders>
            <w:vAlign w:val="center"/>
          </w:tcPr>
          <w:p w14:paraId="317FC75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(6%)</w:t>
            </w:r>
          </w:p>
        </w:tc>
        <w:tc>
          <w:tcPr>
            <w:tcW w:w="833" w:type="pct"/>
            <w:tcBorders>
              <w:top w:val="single" w:sz="4" w:space="0" w:color="auto"/>
              <w:left w:val="single" w:sz="4" w:space="0" w:color="auto"/>
              <w:bottom w:val="single" w:sz="4" w:space="0" w:color="auto"/>
              <w:right w:val="single" w:sz="4" w:space="0" w:color="auto"/>
            </w:tcBorders>
            <w:vAlign w:val="center"/>
          </w:tcPr>
          <w:p w14:paraId="0E0F5E6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8EF5A8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2620E868"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91" w:type="pct"/>
            <w:tcBorders>
              <w:top w:val="single" w:sz="4" w:space="0" w:color="auto"/>
              <w:left w:val="single" w:sz="4" w:space="0" w:color="auto"/>
              <w:bottom w:val="single" w:sz="4" w:space="0" w:color="auto"/>
              <w:right w:val="single" w:sz="4" w:space="0" w:color="auto"/>
            </w:tcBorders>
            <w:vAlign w:val="center"/>
          </w:tcPr>
          <w:p w14:paraId="5780B5A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(18%)</w:t>
            </w:r>
          </w:p>
        </w:tc>
        <w:tc>
          <w:tcPr>
            <w:tcW w:w="833" w:type="pct"/>
            <w:tcBorders>
              <w:top w:val="single" w:sz="4" w:space="0" w:color="auto"/>
              <w:left w:val="single" w:sz="4" w:space="0" w:color="auto"/>
              <w:bottom w:val="single" w:sz="4" w:space="0" w:color="auto"/>
              <w:right w:val="single" w:sz="4" w:space="0" w:color="auto"/>
            </w:tcBorders>
            <w:vAlign w:val="center"/>
          </w:tcPr>
          <w:p w14:paraId="7FC663C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7A85CD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vAlign w:val="center"/>
          </w:tcPr>
          <w:p w14:paraId="1171E483"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91" w:type="pct"/>
            <w:tcBorders>
              <w:top w:val="single" w:sz="4" w:space="0" w:color="auto"/>
              <w:left w:val="single" w:sz="4" w:space="0" w:color="auto"/>
              <w:bottom w:val="single" w:sz="4" w:space="0" w:color="auto"/>
              <w:right w:val="single" w:sz="4" w:space="0" w:color="auto"/>
            </w:tcBorders>
            <w:vAlign w:val="center"/>
          </w:tcPr>
          <w:p w14:paraId="595830D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(18%)</w:t>
            </w:r>
          </w:p>
        </w:tc>
        <w:tc>
          <w:tcPr>
            <w:tcW w:w="833" w:type="pct"/>
            <w:tcBorders>
              <w:top w:val="single" w:sz="4" w:space="0" w:color="auto"/>
              <w:left w:val="single" w:sz="4" w:space="0" w:color="auto"/>
              <w:bottom w:val="single" w:sz="4" w:space="0" w:color="auto"/>
              <w:right w:val="single" w:sz="4" w:space="0" w:color="auto"/>
            </w:tcBorders>
            <w:vAlign w:val="center"/>
          </w:tcPr>
          <w:p w14:paraId="2757356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6912CAE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276" w:type="pct"/>
            <w:tcBorders>
              <w:top w:val="single" w:sz="4" w:space="0" w:color="auto"/>
              <w:left w:val="single" w:sz="4" w:space="0" w:color="auto"/>
              <w:bottom w:val="single" w:sz="4" w:space="0" w:color="auto"/>
              <w:right w:val="single" w:sz="4" w:space="0" w:color="auto"/>
            </w:tcBorders>
            <w:shd w:val="clear" w:color="auto" w:fill="C6D4E9"/>
            <w:vAlign w:val="center"/>
          </w:tcPr>
          <w:p w14:paraId="70FEE604"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891" w:type="pct"/>
            <w:tcBorders>
              <w:top w:val="single" w:sz="4" w:space="0" w:color="auto"/>
              <w:left w:val="single" w:sz="4" w:space="0" w:color="auto"/>
              <w:bottom w:val="single" w:sz="4" w:space="0" w:color="auto"/>
              <w:right w:val="single" w:sz="4" w:space="0" w:color="auto"/>
            </w:tcBorders>
            <w:shd w:val="clear" w:color="auto" w:fill="C6D4E9"/>
            <w:vAlign w:val="center"/>
          </w:tcPr>
          <w:p w14:paraId="7DCB2AF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 (100%)</w:t>
            </w:r>
          </w:p>
        </w:tc>
        <w:tc>
          <w:tcPr>
            <w:tcW w:w="833" w:type="pct"/>
            <w:tcBorders>
              <w:top w:val="single" w:sz="4" w:space="0" w:color="auto"/>
              <w:left w:val="single" w:sz="4" w:space="0" w:color="auto"/>
              <w:bottom w:val="single" w:sz="4" w:space="0" w:color="auto"/>
              <w:right w:val="single" w:sz="4" w:space="0" w:color="auto"/>
            </w:tcBorders>
            <w:shd w:val="clear" w:color="auto" w:fill="C6D4E9"/>
            <w:vAlign w:val="center"/>
          </w:tcPr>
          <w:p w14:paraId="763BA41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r>
    </w:tbl>
    <w:p w14:paraId="10FF54A4" w14:textId="217E0ECC" w:rsidR="00F07150" w:rsidRDefault="00F07150" w:rsidP="00F2350B">
      <w:pPr>
        <w:spacing w:after="180" w:line="240" w:lineRule="atLeast"/>
        <w:rPr>
          <w:rFonts w:eastAsia="Cambria" w:cs="Arial"/>
          <w:szCs w:val="22"/>
        </w:rPr>
      </w:pPr>
    </w:p>
    <w:p w14:paraId="7C0A6CF7" w14:textId="77777777" w:rsidR="00F07150" w:rsidRDefault="00F07150">
      <w:pPr>
        <w:spacing w:before="0" w:after="160" w:line="259" w:lineRule="auto"/>
        <w:rPr>
          <w:rFonts w:eastAsia="Cambria" w:cs="Arial"/>
          <w:szCs w:val="22"/>
        </w:rPr>
      </w:pPr>
      <w:r>
        <w:rPr>
          <w:rFonts w:eastAsia="Cambria" w:cs="Arial"/>
          <w:szCs w:val="22"/>
        </w:rPr>
        <w:br w:type="page"/>
      </w:r>
    </w:p>
    <w:p w14:paraId="62603FD7" w14:textId="77777777" w:rsidR="00F2350B" w:rsidRPr="00373DCC" w:rsidRDefault="00F2350B" w:rsidP="00F2350B">
      <w:pPr>
        <w:spacing w:after="180" w:line="240" w:lineRule="atLeast"/>
        <w:rPr>
          <w:rFonts w:eastAsia="Cambria" w:cs="Arial"/>
          <w:szCs w:val="22"/>
        </w:rPr>
      </w:pPr>
    </w:p>
    <w:p w14:paraId="2E5EE50E" w14:textId="77777777" w:rsidR="00F2350B" w:rsidRPr="00373DCC" w:rsidRDefault="00F2350B" w:rsidP="00F2350B">
      <w:pPr>
        <w:keepNext/>
        <w:spacing w:before="240" w:after="120" w:line="240" w:lineRule="auto"/>
        <w:rPr>
          <w:rFonts w:eastAsia="Cambria" w:cs="Arial"/>
          <w:b/>
          <w:bCs/>
          <w:sz w:val="21"/>
          <w:szCs w:val="21"/>
        </w:rPr>
      </w:pPr>
      <w:bookmarkStart w:id="108" w:name="Table14"/>
      <w:r w:rsidRPr="00373DCC">
        <w:rPr>
          <w:rFonts w:eastAsia="Cambria" w:cs="Arial"/>
          <w:b/>
          <w:bCs/>
          <w:sz w:val="21"/>
          <w:szCs w:val="21"/>
        </w:rPr>
        <w:t xml:space="preserve">Table 14: Outcomes of completed OTC change applications </w:t>
      </w:r>
    </w:p>
    <w:bookmarkEnd w:id="108"/>
    <w:tbl>
      <w:tblPr>
        <w:tblStyle w:val="TableTGAblue"/>
        <w:tblW w:w="5002" w:type="pct"/>
        <w:tblLook w:val="04A0" w:firstRow="1" w:lastRow="0" w:firstColumn="1" w:lastColumn="0" w:noHBand="0" w:noVBand="1"/>
      </w:tblPr>
      <w:tblGrid>
        <w:gridCol w:w="5971"/>
        <w:gridCol w:w="1449"/>
        <w:gridCol w:w="1605"/>
      </w:tblGrid>
      <w:tr w:rsidR="00F07150" w:rsidRPr="00373DCC" w14:paraId="542EA43E" w14:textId="77777777" w:rsidTr="00D534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right w:val="single" w:sz="4" w:space="0" w:color="000000"/>
            </w:tcBorders>
            <w:shd w:val="clear" w:color="auto" w:fill="FFFFFF" w:themeFill="background1"/>
            <w:vAlign w:val="center"/>
          </w:tcPr>
          <w:p w14:paraId="09861CE3" w14:textId="77777777" w:rsidR="00F07150" w:rsidRPr="00373DCC" w:rsidRDefault="00F07150" w:rsidP="00710B91">
            <w:pPr>
              <w:widowControl w:val="0"/>
              <w:spacing w:before="0" w:after="0" w:line="240" w:lineRule="atLeast"/>
              <w:ind w:left="720"/>
              <w:contextualSpacing/>
              <w:rPr>
                <w:rFonts w:cs="Arial"/>
                <w:sz w:val="21"/>
              </w:rPr>
            </w:pPr>
          </w:p>
        </w:tc>
        <w:tc>
          <w:tcPr>
            <w:tcW w:w="803"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790ED8EC" w14:textId="44CD19F9"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889"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49A4D93C" w14:textId="03A3F3F6"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5D61A5C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vAlign w:val="center"/>
          </w:tcPr>
          <w:p w14:paraId="2CF56648"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C1</w:t>
            </w:r>
          </w:p>
        </w:tc>
      </w:tr>
      <w:tr w:rsidR="00F2350B" w:rsidRPr="00373DCC" w14:paraId="1AAB17B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0621CA64"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03" w:type="pct"/>
            <w:tcBorders>
              <w:top w:val="single" w:sz="4" w:space="0" w:color="auto"/>
              <w:left w:val="single" w:sz="4" w:space="0" w:color="auto"/>
              <w:bottom w:val="single" w:sz="4" w:space="0" w:color="auto"/>
              <w:right w:val="single" w:sz="4" w:space="0" w:color="auto"/>
            </w:tcBorders>
            <w:vAlign w:val="center"/>
          </w:tcPr>
          <w:p w14:paraId="595E24E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278 (98%)</w:t>
            </w:r>
          </w:p>
        </w:tc>
        <w:tc>
          <w:tcPr>
            <w:tcW w:w="889" w:type="pct"/>
            <w:tcBorders>
              <w:top w:val="single" w:sz="4" w:space="0" w:color="auto"/>
              <w:left w:val="single" w:sz="4" w:space="0" w:color="auto"/>
              <w:bottom w:val="single" w:sz="4" w:space="0" w:color="auto"/>
              <w:right w:val="single" w:sz="4" w:space="0" w:color="auto"/>
            </w:tcBorders>
            <w:vAlign w:val="center"/>
          </w:tcPr>
          <w:p w14:paraId="0BBADC8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288 (97%)</w:t>
            </w:r>
          </w:p>
        </w:tc>
      </w:tr>
      <w:tr w:rsidR="00F2350B" w:rsidRPr="00373DCC" w14:paraId="562B8CD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30BA6855"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03" w:type="pct"/>
            <w:tcBorders>
              <w:top w:val="single" w:sz="4" w:space="0" w:color="auto"/>
              <w:left w:val="single" w:sz="4" w:space="0" w:color="auto"/>
              <w:bottom w:val="single" w:sz="4" w:space="0" w:color="auto"/>
              <w:right w:val="single" w:sz="4" w:space="0" w:color="auto"/>
            </w:tcBorders>
            <w:vAlign w:val="center"/>
          </w:tcPr>
          <w:p w14:paraId="7A4140F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34665DD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635A24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5FC65491"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03" w:type="pct"/>
            <w:tcBorders>
              <w:top w:val="single" w:sz="4" w:space="0" w:color="auto"/>
              <w:left w:val="single" w:sz="4" w:space="0" w:color="auto"/>
              <w:bottom w:val="single" w:sz="4" w:space="0" w:color="auto"/>
              <w:right w:val="single" w:sz="4" w:space="0" w:color="auto"/>
            </w:tcBorders>
            <w:vAlign w:val="center"/>
          </w:tcPr>
          <w:p w14:paraId="56A7175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(2%)</w:t>
            </w:r>
          </w:p>
        </w:tc>
        <w:tc>
          <w:tcPr>
            <w:tcW w:w="889" w:type="pct"/>
            <w:tcBorders>
              <w:top w:val="single" w:sz="4" w:space="0" w:color="auto"/>
              <w:left w:val="single" w:sz="4" w:space="0" w:color="auto"/>
              <w:bottom w:val="single" w:sz="4" w:space="0" w:color="auto"/>
              <w:right w:val="single" w:sz="4" w:space="0" w:color="auto"/>
            </w:tcBorders>
            <w:vAlign w:val="center"/>
          </w:tcPr>
          <w:p w14:paraId="633653B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(3%)</w:t>
            </w:r>
          </w:p>
        </w:tc>
      </w:tr>
      <w:tr w:rsidR="00F2350B" w:rsidRPr="00373DCC" w14:paraId="2157AAA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429ED2EF"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03" w:type="pct"/>
            <w:tcBorders>
              <w:top w:val="single" w:sz="4" w:space="0" w:color="auto"/>
              <w:left w:val="single" w:sz="4" w:space="0" w:color="auto"/>
              <w:bottom w:val="single" w:sz="4" w:space="0" w:color="auto"/>
              <w:right w:val="single" w:sz="4" w:space="0" w:color="auto"/>
            </w:tcBorders>
            <w:vAlign w:val="center"/>
          </w:tcPr>
          <w:p w14:paraId="620EF88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736268B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DE865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vAlign w:val="center"/>
          </w:tcPr>
          <w:p w14:paraId="3B3B1D8A"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vAlign w:val="center"/>
          </w:tcPr>
          <w:p w14:paraId="65E9128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284 (100%)</w:t>
            </w:r>
          </w:p>
        </w:tc>
        <w:tc>
          <w:tcPr>
            <w:tcW w:w="889" w:type="pct"/>
            <w:tcBorders>
              <w:top w:val="single" w:sz="4" w:space="0" w:color="auto"/>
              <w:left w:val="single" w:sz="4" w:space="0" w:color="auto"/>
              <w:bottom w:val="single" w:sz="4" w:space="0" w:color="auto"/>
              <w:right w:val="single" w:sz="4" w:space="0" w:color="auto"/>
            </w:tcBorders>
            <w:shd w:val="clear" w:color="auto" w:fill="C6D4E9"/>
            <w:vAlign w:val="center"/>
          </w:tcPr>
          <w:p w14:paraId="39794F6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296 (100%)</w:t>
            </w:r>
          </w:p>
        </w:tc>
      </w:tr>
      <w:tr w:rsidR="00F2350B" w:rsidRPr="00373DCC" w14:paraId="184103C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vAlign w:val="center"/>
          </w:tcPr>
          <w:p w14:paraId="577AACB8"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C2</w:t>
            </w:r>
          </w:p>
        </w:tc>
      </w:tr>
      <w:tr w:rsidR="00F2350B" w:rsidRPr="00373DCC" w14:paraId="3FC13A2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113BE46F"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03" w:type="pct"/>
            <w:tcBorders>
              <w:top w:val="single" w:sz="4" w:space="0" w:color="auto"/>
              <w:left w:val="single" w:sz="4" w:space="0" w:color="auto"/>
              <w:bottom w:val="single" w:sz="4" w:space="0" w:color="auto"/>
              <w:right w:val="single" w:sz="4" w:space="0" w:color="auto"/>
            </w:tcBorders>
            <w:vAlign w:val="center"/>
          </w:tcPr>
          <w:p w14:paraId="41B72DB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300 (93%)</w:t>
            </w:r>
          </w:p>
        </w:tc>
        <w:tc>
          <w:tcPr>
            <w:tcW w:w="889" w:type="pct"/>
            <w:tcBorders>
              <w:top w:val="single" w:sz="4" w:space="0" w:color="auto"/>
              <w:left w:val="single" w:sz="4" w:space="0" w:color="auto"/>
              <w:bottom w:val="single" w:sz="4" w:space="0" w:color="auto"/>
              <w:right w:val="single" w:sz="4" w:space="0" w:color="auto"/>
            </w:tcBorders>
            <w:vAlign w:val="center"/>
          </w:tcPr>
          <w:p w14:paraId="2B60E86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237 (96%)</w:t>
            </w:r>
          </w:p>
        </w:tc>
      </w:tr>
      <w:tr w:rsidR="00F2350B" w:rsidRPr="00373DCC" w14:paraId="7C67952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72E07F25"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03" w:type="pct"/>
            <w:tcBorders>
              <w:top w:val="single" w:sz="4" w:space="0" w:color="auto"/>
              <w:left w:val="single" w:sz="4" w:space="0" w:color="auto"/>
              <w:bottom w:val="single" w:sz="4" w:space="0" w:color="auto"/>
              <w:right w:val="single" w:sz="4" w:space="0" w:color="auto"/>
            </w:tcBorders>
            <w:vAlign w:val="center"/>
          </w:tcPr>
          <w:p w14:paraId="297AA94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61BBCAF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743C80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2CD2681E"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03" w:type="pct"/>
            <w:tcBorders>
              <w:top w:val="single" w:sz="4" w:space="0" w:color="auto"/>
              <w:left w:val="single" w:sz="4" w:space="0" w:color="auto"/>
              <w:bottom w:val="single" w:sz="4" w:space="0" w:color="auto"/>
              <w:right w:val="single" w:sz="4" w:space="0" w:color="auto"/>
            </w:tcBorders>
            <w:vAlign w:val="center"/>
          </w:tcPr>
          <w:p w14:paraId="1EF1041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 (7%)</w:t>
            </w:r>
          </w:p>
        </w:tc>
        <w:tc>
          <w:tcPr>
            <w:tcW w:w="889" w:type="pct"/>
            <w:tcBorders>
              <w:top w:val="single" w:sz="4" w:space="0" w:color="auto"/>
              <w:left w:val="single" w:sz="4" w:space="0" w:color="auto"/>
              <w:bottom w:val="single" w:sz="4" w:space="0" w:color="auto"/>
              <w:right w:val="single" w:sz="4" w:space="0" w:color="auto"/>
            </w:tcBorders>
            <w:vAlign w:val="center"/>
          </w:tcPr>
          <w:p w14:paraId="1F37B5B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 (4%)</w:t>
            </w:r>
          </w:p>
        </w:tc>
      </w:tr>
      <w:tr w:rsidR="00F2350B" w:rsidRPr="00373DCC" w14:paraId="11330FB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3E5DD9D6"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03" w:type="pct"/>
            <w:tcBorders>
              <w:top w:val="single" w:sz="4" w:space="0" w:color="auto"/>
              <w:left w:val="single" w:sz="4" w:space="0" w:color="auto"/>
              <w:bottom w:val="single" w:sz="4" w:space="0" w:color="auto"/>
              <w:right w:val="single" w:sz="4" w:space="0" w:color="auto"/>
            </w:tcBorders>
            <w:vAlign w:val="center"/>
          </w:tcPr>
          <w:p w14:paraId="317AB50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4B8039B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C392EE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vAlign w:val="center"/>
          </w:tcPr>
          <w:p w14:paraId="6EEE2748" w14:textId="77777777" w:rsidR="00F2350B" w:rsidRPr="00373DCC" w:rsidRDefault="00F2350B" w:rsidP="00710B91">
            <w:pPr>
              <w:widowControl w:val="0"/>
              <w:spacing w:before="0" w:after="0" w:line="240" w:lineRule="atLeast"/>
              <w:rPr>
                <w:rFonts w:cs="Arial"/>
                <w:sz w:val="21"/>
              </w:rPr>
            </w:pPr>
            <w:r w:rsidRPr="00373DCC">
              <w:rPr>
                <w:rFonts w:cs="Arial"/>
                <w:sz w:val="21"/>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vAlign w:val="center"/>
          </w:tcPr>
          <w:p w14:paraId="4165EC8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321 (100%)</w:t>
            </w:r>
          </w:p>
        </w:tc>
        <w:tc>
          <w:tcPr>
            <w:tcW w:w="889" w:type="pct"/>
            <w:tcBorders>
              <w:top w:val="single" w:sz="4" w:space="0" w:color="auto"/>
              <w:left w:val="single" w:sz="4" w:space="0" w:color="auto"/>
              <w:bottom w:val="single" w:sz="4" w:space="0" w:color="auto"/>
              <w:right w:val="single" w:sz="4" w:space="0" w:color="auto"/>
            </w:tcBorders>
            <w:shd w:val="clear" w:color="auto" w:fill="C6D4E9"/>
            <w:vAlign w:val="center"/>
          </w:tcPr>
          <w:p w14:paraId="7E2F6B6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248 (100%)</w:t>
            </w:r>
          </w:p>
        </w:tc>
      </w:tr>
      <w:tr w:rsidR="00F2350B" w:rsidRPr="00373DCC" w14:paraId="78F2AD8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vAlign w:val="center"/>
          </w:tcPr>
          <w:p w14:paraId="38C8585D"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C3</w:t>
            </w:r>
          </w:p>
        </w:tc>
      </w:tr>
      <w:tr w:rsidR="00F2350B" w:rsidRPr="00373DCC" w14:paraId="7A971F3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10F88B76"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03" w:type="pct"/>
            <w:tcBorders>
              <w:top w:val="single" w:sz="4" w:space="0" w:color="auto"/>
              <w:left w:val="single" w:sz="4" w:space="0" w:color="auto"/>
              <w:bottom w:val="single" w:sz="4" w:space="0" w:color="auto"/>
              <w:right w:val="single" w:sz="4" w:space="0" w:color="auto"/>
            </w:tcBorders>
            <w:vAlign w:val="center"/>
          </w:tcPr>
          <w:p w14:paraId="2A0AD8F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20 (95%)</w:t>
            </w:r>
          </w:p>
        </w:tc>
        <w:tc>
          <w:tcPr>
            <w:tcW w:w="889" w:type="pct"/>
            <w:tcBorders>
              <w:top w:val="single" w:sz="4" w:space="0" w:color="auto"/>
              <w:left w:val="single" w:sz="4" w:space="0" w:color="auto"/>
              <w:bottom w:val="single" w:sz="4" w:space="0" w:color="auto"/>
              <w:right w:val="single" w:sz="4" w:space="0" w:color="auto"/>
            </w:tcBorders>
            <w:vAlign w:val="center"/>
          </w:tcPr>
          <w:p w14:paraId="7D31CD1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(80%)</w:t>
            </w:r>
          </w:p>
        </w:tc>
      </w:tr>
      <w:tr w:rsidR="00F2350B" w:rsidRPr="00373DCC" w14:paraId="693132A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12954BB0"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03" w:type="pct"/>
            <w:tcBorders>
              <w:top w:val="single" w:sz="4" w:space="0" w:color="auto"/>
              <w:left w:val="single" w:sz="4" w:space="0" w:color="auto"/>
              <w:bottom w:val="single" w:sz="4" w:space="0" w:color="auto"/>
              <w:right w:val="single" w:sz="4" w:space="0" w:color="auto"/>
            </w:tcBorders>
            <w:vAlign w:val="center"/>
          </w:tcPr>
          <w:p w14:paraId="0485562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0A4737B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42EDBC5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1F7051D0"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03" w:type="pct"/>
            <w:tcBorders>
              <w:top w:val="single" w:sz="4" w:space="0" w:color="auto"/>
              <w:left w:val="single" w:sz="4" w:space="0" w:color="auto"/>
              <w:bottom w:val="single" w:sz="4" w:space="0" w:color="auto"/>
              <w:right w:val="single" w:sz="4" w:space="0" w:color="auto"/>
            </w:tcBorders>
            <w:vAlign w:val="center"/>
          </w:tcPr>
          <w:p w14:paraId="32FF4DB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(5%)</w:t>
            </w:r>
          </w:p>
        </w:tc>
        <w:tc>
          <w:tcPr>
            <w:tcW w:w="889" w:type="pct"/>
            <w:tcBorders>
              <w:top w:val="single" w:sz="4" w:space="0" w:color="auto"/>
              <w:left w:val="single" w:sz="4" w:space="0" w:color="auto"/>
              <w:bottom w:val="single" w:sz="4" w:space="0" w:color="auto"/>
              <w:right w:val="single" w:sz="4" w:space="0" w:color="auto"/>
            </w:tcBorders>
            <w:vAlign w:val="center"/>
          </w:tcPr>
          <w:p w14:paraId="07542A7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(20%)</w:t>
            </w:r>
          </w:p>
        </w:tc>
      </w:tr>
      <w:tr w:rsidR="00F2350B" w:rsidRPr="00373DCC" w14:paraId="218418A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355E6C42"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03" w:type="pct"/>
            <w:tcBorders>
              <w:top w:val="single" w:sz="4" w:space="0" w:color="auto"/>
              <w:left w:val="single" w:sz="4" w:space="0" w:color="auto"/>
              <w:bottom w:val="single" w:sz="4" w:space="0" w:color="auto"/>
              <w:right w:val="single" w:sz="4" w:space="0" w:color="auto"/>
            </w:tcBorders>
            <w:vAlign w:val="center"/>
          </w:tcPr>
          <w:p w14:paraId="026BEAF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0122723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rsidDel="009C5DE1" w14:paraId="1F4BC62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vAlign w:val="center"/>
          </w:tcPr>
          <w:p w14:paraId="63B17388" w14:textId="77777777" w:rsidR="00F2350B" w:rsidRPr="00373DCC" w:rsidDel="009C5DE1" w:rsidRDefault="00F2350B" w:rsidP="00710B91">
            <w:pPr>
              <w:widowControl w:val="0"/>
              <w:spacing w:before="0" w:after="0" w:line="240" w:lineRule="atLeast"/>
              <w:rPr>
                <w:rFonts w:cs="Arial"/>
                <w:sz w:val="21"/>
              </w:rPr>
            </w:pPr>
            <w:r w:rsidRPr="00373DCC">
              <w:rPr>
                <w:rFonts w:cs="Arial"/>
                <w:sz w:val="21"/>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vAlign w:val="center"/>
          </w:tcPr>
          <w:p w14:paraId="29AA050F"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 (100%)</w:t>
            </w:r>
          </w:p>
        </w:tc>
        <w:tc>
          <w:tcPr>
            <w:tcW w:w="889" w:type="pct"/>
            <w:tcBorders>
              <w:top w:val="single" w:sz="4" w:space="0" w:color="auto"/>
              <w:left w:val="single" w:sz="4" w:space="0" w:color="auto"/>
              <w:bottom w:val="single" w:sz="4" w:space="0" w:color="auto"/>
              <w:right w:val="single" w:sz="4" w:space="0" w:color="auto"/>
            </w:tcBorders>
            <w:shd w:val="clear" w:color="auto" w:fill="C6D4E9"/>
            <w:vAlign w:val="center"/>
          </w:tcPr>
          <w:p w14:paraId="7A90C7BE"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 (100%)</w:t>
            </w:r>
          </w:p>
        </w:tc>
      </w:tr>
      <w:tr w:rsidR="00F2350B" w:rsidRPr="00373DCC" w14:paraId="14A0117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vAlign w:val="center"/>
          </w:tcPr>
          <w:p w14:paraId="38FE7375"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C4</w:t>
            </w:r>
          </w:p>
        </w:tc>
      </w:tr>
      <w:tr w:rsidR="00F2350B" w:rsidRPr="00373DCC" w14:paraId="3C4C18E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5BC9EFE5"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03" w:type="pct"/>
            <w:tcBorders>
              <w:top w:val="single" w:sz="4" w:space="0" w:color="auto"/>
              <w:left w:val="single" w:sz="4" w:space="0" w:color="auto"/>
              <w:bottom w:val="single" w:sz="4" w:space="0" w:color="auto"/>
              <w:right w:val="single" w:sz="4" w:space="0" w:color="auto"/>
            </w:tcBorders>
            <w:vAlign w:val="center"/>
          </w:tcPr>
          <w:p w14:paraId="6D0507D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750AD9A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F69D2E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4E645C44"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03" w:type="pct"/>
            <w:tcBorders>
              <w:top w:val="single" w:sz="4" w:space="0" w:color="auto"/>
              <w:left w:val="single" w:sz="4" w:space="0" w:color="auto"/>
              <w:bottom w:val="single" w:sz="4" w:space="0" w:color="auto"/>
              <w:right w:val="single" w:sz="4" w:space="0" w:color="auto"/>
            </w:tcBorders>
            <w:vAlign w:val="center"/>
          </w:tcPr>
          <w:p w14:paraId="7B346A5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24DFF94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6E50A0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59CCF322" w14:textId="77777777" w:rsidR="00F2350B" w:rsidRPr="00373DCC" w:rsidRDefault="00F2350B" w:rsidP="00710B91">
            <w:pPr>
              <w:widowControl w:val="0"/>
              <w:spacing w:before="0" w:after="0" w:line="240" w:lineRule="atLeast"/>
              <w:rPr>
                <w:rFonts w:cs="Arial"/>
                <w:sz w:val="21"/>
              </w:rPr>
            </w:pPr>
            <w:r w:rsidRPr="00373DCC">
              <w:rPr>
                <w:rFonts w:cs="Arial"/>
                <w:sz w:val="21"/>
              </w:rPr>
              <w:t>Withdrawn by sponsor</w:t>
            </w:r>
          </w:p>
        </w:tc>
        <w:tc>
          <w:tcPr>
            <w:tcW w:w="803" w:type="pct"/>
            <w:tcBorders>
              <w:top w:val="single" w:sz="4" w:space="0" w:color="auto"/>
              <w:left w:val="single" w:sz="4" w:space="0" w:color="auto"/>
              <w:bottom w:val="single" w:sz="4" w:space="0" w:color="auto"/>
              <w:right w:val="single" w:sz="4" w:space="0" w:color="auto"/>
            </w:tcBorders>
            <w:vAlign w:val="center"/>
          </w:tcPr>
          <w:p w14:paraId="26984BE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889" w:type="pct"/>
            <w:tcBorders>
              <w:top w:val="single" w:sz="4" w:space="0" w:color="auto"/>
              <w:left w:val="single" w:sz="4" w:space="0" w:color="auto"/>
              <w:bottom w:val="single" w:sz="4" w:space="0" w:color="auto"/>
              <w:right w:val="single" w:sz="4" w:space="0" w:color="auto"/>
            </w:tcBorders>
            <w:vAlign w:val="center"/>
          </w:tcPr>
          <w:p w14:paraId="3BA57E2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13E114A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vAlign w:val="center"/>
          </w:tcPr>
          <w:p w14:paraId="2BBDF440"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03" w:type="pct"/>
            <w:tcBorders>
              <w:top w:val="single" w:sz="4" w:space="0" w:color="auto"/>
              <w:left w:val="single" w:sz="4" w:space="0" w:color="auto"/>
              <w:bottom w:val="single" w:sz="4" w:space="0" w:color="auto"/>
              <w:right w:val="single" w:sz="4" w:space="0" w:color="auto"/>
            </w:tcBorders>
            <w:vAlign w:val="center"/>
          </w:tcPr>
          <w:p w14:paraId="315008F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89" w:type="pct"/>
            <w:tcBorders>
              <w:top w:val="single" w:sz="4" w:space="0" w:color="auto"/>
              <w:left w:val="single" w:sz="4" w:space="0" w:color="auto"/>
              <w:bottom w:val="single" w:sz="4" w:space="0" w:color="auto"/>
              <w:right w:val="single" w:sz="4" w:space="0" w:color="auto"/>
            </w:tcBorders>
            <w:vAlign w:val="center"/>
          </w:tcPr>
          <w:p w14:paraId="667439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rsidDel="009C5DE1" w14:paraId="73992E7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08" w:type="pct"/>
            <w:tcBorders>
              <w:top w:val="single" w:sz="4" w:space="0" w:color="auto"/>
              <w:left w:val="single" w:sz="4" w:space="0" w:color="auto"/>
              <w:bottom w:val="single" w:sz="4" w:space="0" w:color="auto"/>
              <w:right w:val="single" w:sz="4" w:space="0" w:color="auto"/>
            </w:tcBorders>
            <w:shd w:val="clear" w:color="auto" w:fill="C6D4E9"/>
            <w:vAlign w:val="center"/>
          </w:tcPr>
          <w:p w14:paraId="3CE1DC34" w14:textId="77777777" w:rsidR="00F2350B" w:rsidRPr="00373DCC" w:rsidDel="009C5DE1" w:rsidRDefault="00F2350B" w:rsidP="00710B91">
            <w:pPr>
              <w:widowControl w:val="0"/>
              <w:spacing w:before="0" w:after="0" w:line="240" w:lineRule="atLeast"/>
              <w:rPr>
                <w:rFonts w:cs="Arial"/>
                <w:sz w:val="21"/>
              </w:rPr>
            </w:pPr>
            <w:r w:rsidRPr="00373DCC">
              <w:rPr>
                <w:rFonts w:cs="Arial"/>
                <w:sz w:val="21"/>
              </w:rPr>
              <w:t>Total</w:t>
            </w:r>
          </w:p>
        </w:tc>
        <w:tc>
          <w:tcPr>
            <w:tcW w:w="803" w:type="pct"/>
            <w:tcBorders>
              <w:top w:val="single" w:sz="4" w:space="0" w:color="auto"/>
              <w:left w:val="single" w:sz="4" w:space="0" w:color="auto"/>
              <w:bottom w:val="single" w:sz="4" w:space="0" w:color="auto"/>
              <w:right w:val="single" w:sz="4" w:space="0" w:color="auto"/>
            </w:tcBorders>
            <w:shd w:val="clear" w:color="auto" w:fill="C6D4E9"/>
            <w:vAlign w:val="center"/>
          </w:tcPr>
          <w:p w14:paraId="3FC97DB3"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889" w:type="pct"/>
            <w:tcBorders>
              <w:top w:val="single" w:sz="4" w:space="0" w:color="auto"/>
              <w:left w:val="single" w:sz="4" w:space="0" w:color="auto"/>
              <w:bottom w:val="single" w:sz="4" w:space="0" w:color="auto"/>
              <w:right w:val="single" w:sz="4" w:space="0" w:color="auto"/>
            </w:tcBorders>
            <w:shd w:val="clear" w:color="auto" w:fill="C6D4E9"/>
            <w:vAlign w:val="center"/>
          </w:tcPr>
          <w:p w14:paraId="2FE80875" w14:textId="77777777" w:rsidR="00F2350B" w:rsidRPr="00373DCC" w:rsidDel="009C5DE1"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bl>
    <w:p w14:paraId="569893C0" w14:textId="77777777" w:rsidR="00F2350B" w:rsidRPr="00373DCC" w:rsidRDefault="00F2350B" w:rsidP="00F2350B">
      <w:pPr>
        <w:adjustRightInd w:val="0"/>
        <w:spacing w:after="0" w:line="240" w:lineRule="atLeast"/>
        <w:outlineLvl w:val="3"/>
        <w:rPr>
          <w:rFonts w:eastAsiaTheme="majorEastAsia" w:cs="Arial"/>
          <w:color w:val="00348C" w:themeColor="accent1" w:themeShade="BF"/>
          <w:szCs w:val="22"/>
        </w:rPr>
      </w:pPr>
    </w:p>
    <w:p w14:paraId="366904CB" w14:textId="77777777" w:rsidR="00F2350B" w:rsidRPr="00373DCC" w:rsidRDefault="00F2350B" w:rsidP="00F2350B">
      <w:pPr>
        <w:rPr>
          <w:rFonts w:cs="Arial"/>
          <w:szCs w:val="22"/>
        </w:rPr>
      </w:pPr>
      <w:r w:rsidRPr="00373DCC">
        <w:rPr>
          <w:rFonts w:cs="Arial"/>
          <w:szCs w:val="22"/>
        </w:rPr>
        <w:br w:type="page"/>
      </w:r>
    </w:p>
    <w:p w14:paraId="75E9A3A1"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lastRenderedPageBreak/>
        <w:t>2.2.3 Other applications</w:t>
      </w:r>
    </w:p>
    <w:p w14:paraId="1F37470F" w14:textId="77777777" w:rsidR="00F2350B" w:rsidRPr="00373DCC" w:rsidRDefault="00F2350B" w:rsidP="00F2350B">
      <w:pPr>
        <w:rPr>
          <w:rFonts w:cs="Arial"/>
          <w:sz w:val="21"/>
          <w:szCs w:val="21"/>
        </w:rPr>
      </w:pPr>
      <w:r w:rsidRPr="00373DCC">
        <w:rPr>
          <w:rFonts w:cs="Arial"/>
          <w:sz w:val="21"/>
          <w:szCs w:val="21"/>
        </w:rPr>
        <w:t>Other application types that we process include requests for advice for the purpose of listing a medicine as a pharmaceutical benefit. In accordance with the legislation, registered goods must comply with numerous standards at the time they are registered and throughout their lifecycle. Following an appropriate application and review of the scientific data and safety considerations, we may grant an exemption from a particular standard for a product.</w:t>
      </w:r>
    </w:p>
    <w:p w14:paraId="26ADCFC2" w14:textId="77777777" w:rsidR="00F2350B" w:rsidRPr="00373DCC" w:rsidRDefault="00F2350B" w:rsidP="00F2350B">
      <w:pPr>
        <w:keepNext/>
        <w:spacing w:before="240" w:after="120" w:line="240" w:lineRule="auto"/>
        <w:rPr>
          <w:rFonts w:eastAsia="Cambria" w:cs="Arial"/>
          <w:b/>
          <w:bCs/>
          <w:sz w:val="21"/>
          <w:szCs w:val="21"/>
        </w:rPr>
      </w:pPr>
      <w:bookmarkStart w:id="109" w:name="Table15"/>
      <w:r w:rsidRPr="00373DCC">
        <w:rPr>
          <w:rFonts w:eastAsia="Cambria" w:cs="Arial"/>
          <w:b/>
          <w:bCs/>
          <w:sz w:val="21"/>
          <w:szCs w:val="21"/>
        </w:rPr>
        <w:t>Table 15: Number of other OTC medicine applications</w:t>
      </w:r>
    </w:p>
    <w:bookmarkEnd w:id="109"/>
    <w:tbl>
      <w:tblPr>
        <w:tblStyle w:val="TableTGAblue"/>
        <w:tblW w:w="5001" w:type="pct"/>
        <w:tblLook w:val="04A0" w:firstRow="1" w:lastRow="0" w:firstColumn="1" w:lastColumn="0" w:noHBand="0" w:noVBand="1"/>
      </w:tblPr>
      <w:tblGrid>
        <w:gridCol w:w="6022"/>
        <w:gridCol w:w="1500"/>
        <w:gridCol w:w="1501"/>
      </w:tblGrid>
      <w:tr w:rsidR="00F07150" w:rsidRPr="00373DCC" w14:paraId="3141D1E1" w14:textId="77777777" w:rsidTr="00F07150">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3337" w:type="pct"/>
            <w:tcBorders>
              <w:top w:val="nil"/>
              <w:left w:val="nil"/>
              <w:right w:val="single" w:sz="4" w:space="0" w:color="000000"/>
            </w:tcBorders>
            <w:shd w:val="clear" w:color="auto" w:fill="FFFFFF" w:themeFill="background1"/>
            <w:vAlign w:val="center"/>
          </w:tcPr>
          <w:p w14:paraId="75081FFD" w14:textId="77777777" w:rsidR="00F07150" w:rsidRPr="00373DCC" w:rsidRDefault="00F07150" w:rsidP="00710B91">
            <w:pPr>
              <w:widowControl w:val="0"/>
              <w:spacing w:before="0" w:after="0" w:line="240" w:lineRule="atLeast"/>
              <w:ind w:left="142"/>
              <w:contextualSpacing/>
              <w:rPr>
                <w:rFonts w:cs="Arial"/>
                <w:sz w:val="21"/>
              </w:rPr>
            </w:pPr>
          </w:p>
        </w:tc>
        <w:tc>
          <w:tcPr>
            <w:tcW w:w="831"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53C016EF" w14:textId="10B35E4D"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832"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0B3CA991" w14:textId="3A262291" w:rsidR="00F07150" w:rsidRPr="00373DCC"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79728D8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0AF523FE"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Requests for advice for the purpose of listing a medicine as a pharmaceutical benefit</w:t>
            </w:r>
          </w:p>
        </w:tc>
      </w:tr>
      <w:tr w:rsidR="00F2350B" w:rsidRPr="00373DCC" w14:paraId="7C2758F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shd w:val="clear" w:color="auto" w:fill="C6D4E9"/>
            <w:vAlign w:val="center"/>
          </w:tcPr>
          <w:p w14:paraId="3AAD68F6" w14:textId="77777777" w:rsidR="00F2350B" w:rsidRPr="00373DCC" w:rsidRDefault="00F2350B" w:rsidP="00710B91">
            <w:pPr>
              <w:widowControl w:val="0"/>
              <w:spacing w:before="0" w:after="0" w:line="240" w:lineRule="atLeast"/>
              <w:contextualSpacing/>
              <w:rPr>
                <w:rFonts w:cs="Arial"/>
                <w:sz w:val="21"/>
              </w:rPr>
            </w:pPr>
            <w:r w:rsidRPr="00373DCC">
              <w:rPr>
                <w:rFonts w:cs="Arial"/>
                <w:sz w:val="21"/>
              </w:rPr>
              <w:t>Total</w:t>
            </w:r>
          </w:p>
        </w:tc>
        <w:tc>
          <w:tcPr>
            <w:tcW w:w="831" w:type="pct"/>
            <w:tcBorders>
              <w:top w:val="single" w:sz="4" w:space="0" w:color="auto"/>
              <w:left w:val="single" w:sz="4" w:space="0" w:color="auto"/>
              <w:bottom w:val="single" w:sz="4" w:space="0" w:color="auto"/>
              <w:right w:val="single" w:sz="4" w:space="0" w:color="auto"/>
            </w:tcBorders>
            <w:shd w:val="clear" w:color="auto" w:fill="C6D4E9"/>
            <w:vAlign w:val="center"/>
          </w:tcPr>
          <w:p w14:paraId="29A08042"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832" w:type="pct"/>
            <w:tcBorders>
              <w:top w:val="single" w:sz="4" w:space="0" w:color="auto"/>
              <w:left w:val="single" w:sz="4" w:space="0" w:color="auto"/>
              <w:bottom w:val="single" w:sz="4" w:space="0" w:color="auto"/>
              <w:right w:val="single" w:sz="4" w:space="0" w:color="auto"/>
            </w:tcBorders>
            <w:shd w:val="clear" w:color="auto" w:fill="C6D4E9"/>
            <w:vAlign w:val="center"/>
          </w:tcPr>
          <w:p w14:paraId="0D65241E"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r>
      <w:tr w:rsidR="00F2350B" w:rsidRPr="00373DCC" w14:paraId="25000D8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0C8C827A" w14:textId="77777777" w:rsidR="00F2350B" w:rsidRPr="00373DCC" w:rsidRDefault="00F2350B" w:rsidP="00710B91">
            <w:pPr>
              <w:keepNext/>
              <w:keepLines/>
              <w:tabs>
                <w:tab w:val="left" w:pos="1134"/>
              </w:tabs>
              <w:spacing w:before="0" w:after="0" w:line="240" w:lineRule="atLeast"/>
              <w:ind w:left="907" w:hanging="907"/>
              <w:outlineLvl w:val="4"/>
              <w:rPr>
                <w:rFonts w:cs="Arial"/>
                <w:sz w:val="21"/>
              </w:rPr>
            </w:pPr>
            <w:r w:rsidRPr="00373DCC">
              <w:rPr>
                <w:rFonts w:cs="Arial"/>
                <w:sz w:val="21"/>
              </w:rPr>
              <w:t>Requests for consent under section 14/14A of the Act to import, export or supply therapeutic</w:t>
            </w:r>
          </w:p>
          <w:p w14:paraId="05764349" w14:textId="77777777" w:rsidR="00F2350B" w:rsidRPr="00373DCC" w:rsidRDefault="00F2350B" w:rsidP="00710B91">
            <w:pPr>
              <w:keepNext/>
              <w:keepLines/>
              <w:tabs>
                <w:tab w:val="left" w:pos="1134"/>
              </w:tabs>
              <w:spacing w:before="0" w:after="0" w:line="240" w:lineRule="atLeast"/>
              <w:ind w:left="907" w:hanging="907"/>
              <w:outlineLvl w:val="4"/>
              <w:rPr>
                <w:rFonts w:cs="Arial"/>
                <w:sz w:val="21"/>
              </w:rPr>
            </w:pPr>
            <w:r w:rsidRPr="00373DCC">
              <w:rPr>
                <w:rFonts w:cs="Arial"/>
                <w:sz w:val="21"/>
              </w:rPr>
              <w:t>goods not complying with an applicable standard</w:t>
            </w:r>
          </w:p>
        </w:tc>
      </w:tr>
      <w:tr w:rsidR="00F2350B" w:rsidRPr="00373DCC" w14:paraId="7FDC9E0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vAlign w:val="center"/>
          </w:tcPr>
          <w:p w14:paraId="0E12DA5E" w14:textId="77777777" w:rsidR="00F2350B" w:rsidRPr="00373DCC" w:rsidRDefault="00F2350B" w:rsidP="00710B91">
            <w:pPr>
              <w:widowControl w:val="0"/>
              <w:spacing w:before="0" w:after="0" w:line="240" w:lineRule="atLeast"/>
              <w:contextualSpacing/>
              <w:rPr>
                <w:rFonts w:cs="Arial"/>
                <w:sz w:val="21"/>
              </w:rPr>
            </w:pPr>
            <w:r w:rsidRPr="00373DCC">
              <w:rPr>
                <w:rFonts w:cs="Arial"/>
                <w:sz w:val="21"/>
              </w:rPr>
              <w:t>Approved</w:t>
            </w:r>
            <w:r w:rsidRPr="00373DCC">
              <w:rPr>
                <w:rFonts w:cs="Arial"/>
                <w:sz w:val="21"/>
                <w:vertAlign w:val="superscript"/>
              </w:rPr>
              <w:t xml:space="preserve"> a</w:t>
            </w:r>
          </w:p>
        </w:tc>
        <w:tc>
          <w:tcPr>
            <w:tcW w:w="831" w:type="pct"/>
            <w:tcBorders>
              <w:top w:val="single" w:sz="4" w:space="0" w:color="auto"/>
              <w:left w:val="single" w:sz="4" w:space="0" w:color="auto"/>
              <w:bottom w:val="single" w:sz="4" w:space="0" w:color="auto"/>
              <w:right w:val="single" w:sz="4" w:space="0" w:color="auto"/>
            </w:tcBorders>
            <w:vAlign w:val="center"/>
          </w:tcPr>
          <w:p w14:paraId="04500D1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 (100%)</w:t>
            </w:r>
          </w:p>
        </w:tc>
        <w:tc>
          <w:tcPr>
            <w:tcW w:w="832" w:type="pct"/>
            <w:tcBorders>
              <w:top w:val="single" w:sz="4" w:space="0" w:color="auto"/>
              <w:left w:val="single" w:sz="4" w:space="0" w:color="auto"/>
              <w:bottom w:val="single" w:sz="4" w:space="0" w:color="auto"/>
              <w:right w:val="single" w:sz="4" w:space="0" w:color="auto"/>
            </w:tcBorders>
            <w:vAlign w:val="center"/>
          </w:tcPr>
          <w:p w14:paraId="0E12BCA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 (100%)</w:t>
            </w:r>
          </w:p>
        </w:tc>
      </w:tr>
      <w:tr w:rsidR="00F2350B" w:rsidRPr="00373DCC" w14:paraId="425DE8C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vAlign w:val="center"/>
          </w:tcPr>
          <w:p w14:paraId="4DA724F8" w14:textId="77777777" w:rsidR="00F2350B" w:rsidRPr="00373DCC" w:rsidRDefault="00F2350B" w:rsidP="00710B91">
            <w:pPr>
              <w:widowControl w:val="0"/>
              <w:spacing w:before="0" w:after="0" w:line="240" w:lineRule="atLeast"/>
              <w:contextualSpacing/>
              <w:rPr>
                <w:rFonts w:cs="Arial"/>
                <w:sz w:val="21"/>
              </w:rPr>
            </w:pPr>
            <w:r w:rsidRPr="00373DCC">
              <w:rPr>
                <w:rFonts w:cs="Arial"/>
                <w:sz w:val="21"/>
              </w:rPr>
              <w:t>Rejected</w:t>
            </w:r>
          </w:p>
        </w:tc>
        <w:tc>
          <w:tcPr>
            <w:tcW w:w="831" w:type="pct"/>
            <w:tcBorders>
              <w:top w:val="single" w:sz="4" w:space="0" w:color="auto"/>
              <w:left w:val="single" w:sz="4" w:space="0" w:color="auto"/>
              <w:bottom w:val="single" w:sz="4" w:space="0" w:color="auto"/>
              <w:right w:val="single" w:sz="4" w:space="0" w:color="auto"/>
            </w:tcBorders>
            <w:vAlign w:val="center"/>
          </w:tcPr>
          <w:p w14:paraId="2042216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32" w:type="pct"/>
            <w:tcBorders>
              <w:top w:val="single" w:sz="4" w:space="0" w:color="auto"/>
              <w:left w:val="single" w:sz="4" w:space="0" w:color="auto"/>
              <w:bottom w:val="single" w:sz="4" w:space="0" w:color="auto"/>
              <w:right w:val="single" w:sz="4" w:space="0" w:color="auto"/>
            </w:tcBorders>
            <w:vAlign w:val="center"/>
          </w:tcPr>
          <w:p w14:paraId="24072D3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D1B220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7" w:type="pct"/>
            <w:tcBorders>
              <w:top w:val="single" w:sz="4" w:space="0" w:color="auto"/>
              <w:left w:val="single" w:sz="4" w:space="0" w:color="auto"/>
              <w:bottom w:val="single" w:sz="4" w:space="0" w:color="auto"/>
              <w:right w:val="single" w:sz="4" w:space="0" w:color="auto"/>
            </w:tcBorders>
            <w:shd w:val="clear" w:color="auto" w:fill="C6D4E9"/>
            <w:vAlign w:val="center"/>
          </w:tcPr>
          <w:p w14:paraId="27B6E4D2" w14:textId="77777777" w:rsidR="00F2350B" w:rsidRPr="00373DCC" w:rsidRDefault="00F2350B" w:rsidP="00710B91">
            <w:pPr>
              <w:widowControl w:val="0"/>
              <w:spacing w:before="0" w:after="0" w:line="240" w:lineRule="atLeast"/>
              <w:contextualSpacing/>
              <w:rPr>
                <w:rFonts w:cs="Arial"/>
                <w:sz w:val="21"/>
              </w:rPr>
            </w:pPr>
            <w:r w:rsidRPr="00373DCC">
              <w:rPr>
                <w:rFonts w:cs="Arial"/>
                <w:sz w:val="21"/>
              </w:rPr>
              <w:t>Total</w:t>
            </w:r>
          </w:p>
        </w:tc>
        <w:tc>
          <w:tcPr>
            <w:tcW w:w="831" w:type="pct"/>
            <w:tcBorders>
              <w:top w:val="single" w:sz="4" w:space="0" w:color="auto"/>
              <w:left w:val="single" w:sz="4" w:space="0" w:color="auto"/>
              <w:bottom w:val="single" w:sz="4" w:space="0" w:color="auto"/>
              <w:right w:val="single" w:sz="4" w:space="0" w:color="auto"/>
            </w:tcBorders>
            <w:shd w:val="clear" w:color="auto" w:fill="C6D4E9"/>
            <w:vAlign w:val="center"/>
          </w:tcPr>
          <w:p w14:paraId="2E75025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 (100%)</w:t>
            </w:r>
          </w:p>
        </w:tc>
        <w:tc>
          <w:tcPr>
            <w:tcW w:w="832" w:type="pct"/>
            <w:tcBorders>
              <w:top w:val="single" w:sz="4" w:space="0" w:color="auto"/>
              <w:left w:val="single" w:sz="4" w:space="0" w:color="auto"/>
              <w:bottom w:val="single" w:sz="4" w:space="0" w:color="auto"/>
              <w:right w:val="single" w:sz="4" w:space="0" w:color="auto"/>
            </w:tcBorders>
            <w:shd w:val="clear" w:color="auto" w:fill="C6D4E9"/>
            <w:vAlign w:val="center"/>
          </w:tcPr>
          <w:p w14:paraId="59E68F7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 (100%)</w:t>
            </w:r>
          </w:p>
        </w:tc>
      </w:tr>
    </w:tbl>
    <w:p w14:paraId="14F60153" w14:textId="77777777" w:rsidR="00F2350B" w:rsidRPr="00373DCC" w:rsidRDefault="00F2350B" w:rsidP="00F2350B">
      <w:pPr>
        <w:widowControl w:val="0"/>
        <w:spacing w:before="60" w:after="60" w:line="18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This includes 49 requests for consent to supply products that do not comply with TGO92 only that was established as a temporary expedited process for sponsors adversely impacted by the COVID-19 pandemic.</w:t>
      </w:r>
    </w:p>
    <w:p w14:paraId="3C9D9469" w14:textId="77777777" w:rsidR="00F2350B" w:rsidRPr="00373DCC" w:rsidRDefault="00F2350B" w:rsidP="00F2350B">
      <w:pPr>
        <w:rPr>
          <w:rFonts w:eastAsia="Cambria" w:cs="Arial"/>
          <w:sz w:val="16"/>
          <w:szCs w:val="16"/>
        </w:rPr>
      </w:pPr>
    </w:p>
    <w:p w14:paraId="04535006" w14:textId="77777777" w:rsidR="00F2350B" w:rsidRPr="00373DCC" w:rsidRDefault="00F2350B" w:rsidP="00F2350B">
      <w:pPr>
        <w:spacing w:before="0" w:after="160" w:line="259" w:lineRule="auto"/>
        <w:rPr>
          <w:rFonts w:eastAsiaTheme="majorEastAsia" w:cs="Arial"/>
          <w:b/>
          <w:color w:val="00348C" w:themeColor="accent1" w:themeShade="BF"/>
          <w:sz w:val="32"/>
          <w:szCs w:val="32"/>
          <w:lang w:eastAsia="en-AU"/>
        </w:rPr>
      </w:pPr>
      <w:r w:rsidRPr="00373DCC">
        <w:rPr>
          <w:rFonts w:cs="Arial"/>
          <w:b/>
          <w:color w:val="00348C" w:themeColor="accent1" w:themeShade="BF"/>
          <w:sz w:val="32"/>
        </w:rPr>
        <w:br w:type="page"/>
      </w:r>
    </w:p>
    <w:p w14:paraId="0B319B6C"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lastRenderedPageBreak/>
        <w:t xml:space="preserve"> </w:t>
      </w:r>
      <w:bookmarkStart w:id="110" w:name="_Toc153550455"/>
      <w:r w:rsidRPr="00373DCC">
        <w:rPr>
          <w:rFonts w:ascii="Arial" w:hAnsi="Arial" w:cs="Arial"/>
          <w:b/>
          <w:color w:val="00348C" w:themeColor="accent1" w:themeShade="BF"/>
          <w:sz w:val="32"/>
        </w:rPr>
        <w:t>Registered Complementary Medicines</w:t>
      </w:r>
      <w:bookmarkEnd w:id="110"/>
    </w:p>
    <w:p w14:paraId="09243C47" w14:textId="77777777" w:rsidR="00F2350B" w:rsidRPr="00373DCC" w:rsidRDefault="00F2350B" w:rsidP="00F2350B">
      <w:pPr>
        <w:spacing w:after="120"/>
        <w:rPr>
          <w:rFonts w:cs="Arial"/>
          <w:sz w:val="21"/>
          <w:szCs w:val="21"/>
        </w:rPr>
      </w:pPr>
      <w:r w:rsidRPr="00373DCC">
        <w:rPr>
          <w:rFonts w:cs="Arial"/>
          <w:sz w:val="21"/>
          <w:szCs w:val="21"/>
        </w:rPr>
        <w:t>Registered complementary medicines are of relatively higher risk than listed medicines based on their ingredients or the indications for the medicine. These medicines are fully evaluated by us for safety, efficacy, performance, and quality prior to being registered on the ARTG.</w:t>
      </w:r>
    </w:p>
    <w:p w14:paraId="4E29328E" w14:textId="77777777" w:rsidR="00F2350B" w:rsidRPr="00373DCC" w:rsidRDefault="00F2350B" w:rsidP="00F2350B">
      <w:pPr>
        <w:keepNext/>
        <w:spacing w:before="240" w:after="120" w:line="240" w:lineRule="auto"/>
        <w:rPr>
          <w:rFonts w:eastAsia="Cambria" w:cs="Arial"/>
          <w:b/>
          <w:bCs/>
          <w:sz w:val="21"/>
          <w:szCs w:val="21"/>
        </w:rPr>
      </w:pPr>
      <w:bookmarkStart w:id="111" w:name="Table16"/>
      <w:r w:rsidRPr="00373DCC">
        <w:rPr>
          <w:rFonts w:eastAsia="Cambria" w:cs="Arial"/>
          <w:b/>
          <w:bCs/>
          <w:sz w:val="21"/>
          <w:szCs w:val="21"/>
        </w:rPr>
        <w:t>Table 16: Registered complementary medicine applications by outcome</w:t>
      </w:r>
    </w:p>
    <w:bookmarkEnd w:id="111"/>
    <w:tbl>
      <w:tblPr>
        <w:tblStyle w:val="TableTGAblue"/>
        <w:tblW w:w="5002" w:type="pct"/>
        <w:tblLook w:val="04A0" w:firstRow="1" w:lastRow="0" w:firstColumn="1" w:lastColumn="0" w:noHBand="0" w:noVBand="1"/>
      </w:tblPr>
      <w:tblGrid>
        <w:gridCol w:w="5920"/>
        <w:gridCol w:w="1497"/>
        <w:gridCol w:w="1608"/>
      </w:tblGrid>
      <w:tr w:rsidR="00F07150" w:rsidRPr="00373DCC" w14:paraId="48667C4E" w14:textId="77777777" w:rsidTr="00F071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nil"/>
              <w:left w:val="nil"/>
              <w:right w:val="single" w:sz="4" w:space="0" w:color="auto"/>
            </w:tcBorders>
            <w:shd w:val="clear" w:color="auto" w:fill="FFFFFF" w:themeFill="background1"/>
            <w:vAlign w:val="center"/>
          </w:tcPr>
          <w:p w14:paraId="1D85455C" w14:textId="77777777" w:rsidR="00F07150" w:rsidRPr="00373DCC" w:rsidRDefault="00F07150" w:rsidP="00710B91">
            <w:pPr>
              <w:widowControl w:val="0"/>
              <w:spacing w:before="0" w:after="0" w:line="240" w:lineRule="atLeast"/>
              <w:ind w:left="720"/>
              <w:contextualSpacing/>
              <w:rPr>
                <w:rFonts w:cs="Arial"/>
                <w:sz w:val="21"/>
              </w:rPr>
            </w:pPr>
          </w:p>
        </w:tc>
        <w:tc>
          <w:tcPr>
            <w:tcW w:w="829" w:type="pct"/>
            <w:tcBorders>
              <w:top w:val="single" w:sz="4" w:space="0" w:color="000000"/>
              <w:left w:val="single" w:sz="4" w:space="0" w:color="auto"/>
              <w:bottom w:val="single" w:sz="4" w:space="0" w:color="000000"/>
              <w:right w:val="single" w:sz="4" w:space="0" w:color="000000"/>
            </w:tcBorders>
            <w:shd w:val="clear" w:color="auto" w:fill="29527F"/>
            <w:vAlign w:val="center"/>
          </w:tcPr>
          <w:p w14:paraId="1CC290BF" w14:textId="1BDBC93E" w:rsidR="00F07150" w:rsidRPr="00373DCC" w:rsidRDefault="009B6A61" w:rsidP="00710B91">
            <w:pPr>
              <w:widowControl w:val="0"/>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sz w:val="21"/>
              </w:rPr>
              <w:t xml:space="preserve">FY </w:t>
            </w:r>
            <w:r w:rsidRPr="00373DCC">
              <w:rPr>
                <w:rFonts w:cs="Arial"/>
                <w:sz w:val="21"/>
              </w:rPr>
              <w:t>2021-22</w:t>
            </w:r>
            <w:r>
              <w:rPr>
                <w:rFonts w:eastAsiaTheme="minorHAnsi" w:cs="Arial"/>
                <w:color w:val="FFFFFF" w:themeColor="background1"/>
                <w:sz w:val="21"/>
              </w:rPr>
              <w:t xml:space="preserve"> Number </w:t>
            </w:r>
            <w:r>
              <w:rPr>
                <w:rFonts w:eastAsiaTheme="minorHAnsi" w:cs="Arial"/>
                <w:color w:val="FFFFFF" w:themeColor="background1"/>
                <w:sz w:val="21"/>
              </w:rPr>
              <w:br/>
            </w:r>
            <w:r w:rsidRPr="00F07150">
              <w:rPr>
                <w:rFonts w:eastAsiaTheme="minorHAnsi" w:cs="Arial"/>
                <w:color w:val="FFFFFF" w:themeColor="background1"/>
                <w:sz w:val="21"/>
              </w:rPr>
              <w:t>(% of total)</w:t>
            </w:r>
          </w:p>
        </w:tc>
        <w:tc>
          <w:tcPr>
            <w:tcW w:w="891" w:type="pct"/>
            <w:tcBorders>
              <w:top w:val="single" w:sz="4" w:space="0" w:color="000000"/>
              <w:left w:val="single" w:sz="4" w:space="0" w:color="000000"/>
              <w:bottom w:val="single" w:sz="4" w:space="0" w:color="000000"/>
              <w:right w:val="single" w:sz="4" w:space="0" w:color="000000"/>
            </w:tcBorders>
            <w:shd w:val="clear" w:color="auto" w:fill="29527F"/>
            <w:vAlign w:val="center"/>
          </w:tcPr>
          <w:p w14:paraId="6F37BD4F" w14:textId="2F81F9A5" w:rsidR="00F07150" w:rsidRPr="00373DCC" w:rsidRDefault="00F07150" w:rsidP="00710B91">
            <w:pPr>
              <w:widowControl w:val="0"/>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1C5FB35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46754833"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New medicines</w:t>
            </w:r>
          </w:p>
        </w:tc>
      </w:tr>
      <w:tr w:rsidR="00F2350B" w:rsidRPr="00373DCC" w14:paraId="0BCC7E48"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1E6F7F73"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29" w:type="pct"/>
            <w:tcBorders>
              <w:top w:val="single" w:sz="4" w:space="0" w:color="002C47"/>
              <w:left w:val="single" w:sz="4" w:space="0" w:color="002C47"/>
              <w:bottom w:val="single" w:sz="4" w:space="0" w:color="002C47"/>
              <w:right w:val="single" w:sz="4" w:space="0" w:color="002C47"/>
            </w:tcBorders>
            <w:vAlign w:val="center"/>
          </w:tcPr>
          <w:p w14:paraId="367921C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 (50%)</w:t>
            </w:r>
          </w:p>
        </w:tc>
        <w:tc>
          <w:tcPr>
            <w:tcW w:w="891" w:type="pct"/>
            <w:tcBorders>
              <w:top w:val="single" w:sz="4" w:space="0" w:color="002C47"/>
              <w:left w:val="single" w:sz="4" w:space="0" w:color="002C47"/>
              <w:bottom w:val="single" w:sz="4" w:space="0" w:color="002C47"/>
              <w:right w:val="single" w:sz="4" w:space="0" w:color="002C47"/>
            </w:tcBorders>
            <w:vAlign w:val="center"/>
          </w:tcPr>
          <w:p w14:paraId="60111E8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(28.6%)</w:t>
            </w:r>
          </w:p>
        </w:tc>
      </w:tr>
      <w:tr w:rsidR="00F2350B" w:rsidRPr="00373DCC" w14:paraId="2A070091"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3F1538D8"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29" w:type="pct"/>
            <w:tcBorders>
              <w:top w:val="single" w:sz="4" w:space="0" w:color="002C47"/>
              <w:left w:val="single" w:sz="4" w:space="0" w:color="002C47"/>
              <w:bottom w:val="single" w:sz="4" w:space="0" w:color="002C47"/>
              <w:right w:val="single" w:sz="4" w:space="0" w:color="002C47"/>
            </w:tcBorders>
            <w:vAlign w:val="center"/>
          </w:tcPr>
          <w:p w14:paraId="2C32822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(20%)</w:t>
            </w:r>
          </w:p>
        </w:tc>
        <w:tc>
          <w:tcPr>
            <w:tcW w:w="891" w:type="pct"/>
            <w:tcBorders>
              <w:top w:val="single" w:sz="4" w:space="0" w:color="002C47"/>
              <w:left w:val="single" w:sz="4" w:space="0" w:color="002C47"/>
              <w:bottom w:val="single" w:sz="4" w:space="0" w:color="002C47"/>
              <w:right w:val="single" w:sz="4" w:space="0" w:color="002C47"/>
            </w:tcBorders>
            <w:vAlign w:val="center"/>
          </w:tcPr>
          <w:p w14:paraId="28B7B0D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 (57.1%)</w:t>
            </w:r>
          </w:p>
        </w:tc>
      </w:tr>
      <w:tr w:rsidR="00F2350B" w:rsidRPr="00373DCC" w14:paraId="20BC72C5"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69AD8ED1"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Withdrawn </w:t>
            </w:r>
          </w:p>
        </w:tc>
        <w:tc>
          <w:tcPr>
            <w:tcW w:w="829" w:type="pct"/>
            <w:tcBorders>
              <w:top w:val="single" w:sz="4" w:space="0" w:color="002C47"/>
              <w:left w:val="single" w:sz="4" w:space="0" w:color="002C47"/>
              <w:bottom w:val="single" w:sz="4" w:space="0" w:color="002C47"/>
              <w:right w:val="single" w:sz="4" w:space="0" w:color="002C47"/>
            </w:tcBorders>
            <w:vAlign w:val="center"/>
          </w:tcPr>
          <w:p w14:paraId="424CE77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(30%)</w:t>
            </w:r>
          </w:p>
        </w:tc>
        <w:tc>
          <w:tcPr>
            <w:tcW w:w="891" w:type="pct"/>
            <w:tcBorders>
              <w:top w:val="single" w:sz="4" w:space="0" w:color="002C47"/>
              <w:left w:val="single" w:sz="4" w:space="0" w:color="002C47"/>
              <w:bottom w:val="single" w:sz="4" w:space="0" w:color="002C47"/>
              <w:right w:val="single" w:sz="4" w:space="0" w:color="002C47"/>
            </w:tcBorders>
            <w:vAlign w:val="center"/>
          </w:tcPr>
          <w:p w14:paraId="1B582CD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(14.3%)</w:t>
            </w:r>
          </w:p>
        </w:tc>
      </w:tr>
      <w:tr w:rsidR="00F2350B" w:rsidRPr="00373DCC" w14:paraId="336081D2"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788BBA6B"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29" w:type="pct"/>
            <w:tcBorders>
              <w:top w:val="single" w:sz="4" w:space="0" w:color="002C47"/>
              <w:left w:val="single" w:sz="4" w:space="0" w:color="002C47"/>
              <w:bottom w:val="single" w:sz="4" w:space="0" w:color="002C47"/>
              <w:right w:val="single" w:sz="4" w:space="0" w:color="002C47"/>
            </w:tcBorders>
            <w:vAlign w:val="center"/>
          </w:tcPr>
          <w:p w14:paraId="237B865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91" w:type="pct"/>
            <w:tcBorders>
              <w:top w:val="single" w:sz="4" w:space="0" w:color="002C47"/>
              <w:left w:val="single" w:sz="4" w:space="0" w:color="002C47"/>
              <w:bottom w:val="single" w:sz="4" w:space="0" w:color="002C47"/>
              <w:right w:val="single" w:sz="4" w:space="0" w:color="002C47"/>
            </w:tcBorders>
            <w:vAlign w:val="center"/>
          </w:tcPr>
          <w:p w14:paraId="54DCBD8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291C3822"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8612697"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Total </w:t>
            </w:r>
          </w:p>
        </w:tc>
        <w:tc>
          <w:tcPr>
            <w:tcW w:w="82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212256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 (100%)</w:t>
            </w:r>
          </w:p>
        </w:tc>
        <w:tc>
          <w:tcPr>
            <w:tcW w:w="891"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D31C33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 (100%)</w:t>
            </w:r>
          </w:p>
        </w:tc>
      </w:tr>
      <w:tr w:rsidR="00F2350B" w:rsidRPr="00373DCC" w14:paraId="79DAC6F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3AA227B9" w14:textId="77777777" w:rsidR="00F2350B" w:rsidRPr="00373DCC" w:rsidRDefault="00F2350B" w:rsidP="00710B91">
            <w:pPr>
              <w:keepNext/>
              <w:keepLines/>
              <w:tabs>
                <w:tab w:val="left" w:pos="907"/>
                <w:tab w:val="left" w:pos="1134"/>
              </w:tabs>
              <w:spacing w:before="0" w:after="0" w:line="240" w:lineRule="atLeast"/>
              <w:ind w:left="907" w:hanging="907"/>
              <w:outlineLvl w:val="4"/>
              <w:rPr>
                <w:rFonts w:cs="Arial"/>
                <w:sz w:val="21"/>
              </w:rPr>
            </w:pPr>
            <w:r w:rsidRPr="00373DCC">
              <w:rPr>
                <w:rFonts w:cs="Arial"/>
                <w:sz w:val="21"/>
              </w:rPr>
              <w:t>Variations</w:t>
            </w:r>
          </w:p>
        </w:tc>
      </w:tr>
      <w:tr w:rsidR="00F2350B" w:rsidRPr="00373DCC" w14:paraId="08EAD14D"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590FB4A4"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29" w:type="pct"/>
            <w:tcBorders>
              <w:top w:val="single" w:sz="4" w:space="0" w:color="002C47"/>
              <w:left w:val="single" w:sz="4" w:space="0" w:color="002C47"/>
              <w:bottom w:val="single" w:sz="4" w:space="0" w:color="002C47"/>
              <w:right w:val="single" w:sz="4" w:space="0" w:color="002C47"/>
            </w:tcBorders>
            <w:vAlign w:val="center"/>
          </w:tcPr>
          <w:p w14:paraId="4A91D95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 (75%)</w:t>
            </w:r>
          </w:p>
        </w:tc>
        <w:tc>
          <w:tcPr>
            <w:tcW w:w="891" w:type="pct"/>
            <w:tcBorders>
              <w:top w:val="single" w:sz="4" w:space="0" w:color="002C47"/>
              <w:left w:val="single" w:sz="4" w:space="0" w:color="002C47"/>
              <w:bottom w:val="single" w:sz="4" w:space="0" w:color="002C47"/>
              <w:right w:val="single" w:sz="4" w:space="0" w:color="002C47"/>
            </w:tcBorders>
            <w:vAlign w:val="center"/>
          </w:tcPr>
          <w:p w14:paraId="584C79D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25 (100%)</w:t>
            </w:r>
          </w:p>
        </w:tc>
      </w:tr>
      <w:tr w:rsidR="00F2350B" w:rsidRPr="00373DCC" w14:paraId="7565FC10"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336C202F"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29" w:type="pct"/>
            <w:tcBorders>
              <w:top w:val="single" w:sz="4" w:space="0" w:color="002C47"/>
              <w:left w:val="single" w:sz="4" w:space="0" w:color="002C47"/>
              <w:bottom w:val="single" w:sz="4" w:space="0" w:color="002C47"/>
              <w:right w:val="single" w:sz="4" w:space="0" w:color="002C47"/>
            </w:tcBorders>
            <w:vAlign w:val="center"/>
          </w:tcPr>
          <w:p w14:paraId="561B812A"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(4%)</w:t>
            </w:r>
          </w:p>
        </w:tc>
        <w:tc>
          <w:tcPr>
            <w:tcW w:w="891" w:type="pct"/>
            <w:tcBorders>
              <w:top w:val="single" w:sz="4" w:space="0" w:color="002C47"/>
              <w:left w:val="single" w:sz="4" w:space="0" w:color="002C47"/>
              <w:bottom w:val="single" w:sz="4" w:space="0" w:color="002C47"/>
              <w:right w:val="single" w:sz="4" w:space="0" w:color="002C47"/>
            </w:tcBorders>
            <w:vAlign w:val="center"/>
          </w:tcPr>
          <w:p w14:paraId="78371D25"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D985577"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6483FA1B"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Withdrawn </w:t>
            </w:r>
          </w:p>
        </w:tc>
        <w:tc>
          <w:tcPr>
            <w:tcW w:w="829" w:type="pct"/>
            <w:tcBorders>
              <w:top w:val="single" w:sz="4" w:space="0" w:color="002C47"/>
              <w:left w:val="single" w:sz="4" w:space="0" w:color="002C47"/>
              <w:bottom w:val="single" w:sz="4" w:space="0" w:color="002C47"/>
              <w:right w:val="single" w:sz="4" w:space="0" w:color="002C47"/>
            </w:tcBorders>
            <w:vAlign w:val="center"/>
          </w:tcPr>
          <w:p w14:paraId="361EC73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(21%)</w:t>
            </w:r>
          </w:p>
        </w:tc>
        <w:tc>
          <w:tcPr>
            <w:tcW w:w="891" w:type="pct"/>
            <w:tcBorders>
              <w:top w:val="single" w:sz="4" w:space="0" w:color="002C47"/>
              <w:left w:val="single" w:sz="4" w:space="0" w:color="002C47"/>
              <w:bottom w:val="single" w:sz="4" w:space="0" w:color="002C47"/>
              <w:right w:val="single" w:sz="4" w:space="0" w:color="002C47"/>
            </w:tcBorders>
            <w:vAlign w:val="center"/>
          </w:tcPr>
          <w:p w14:paraId="55CE1213"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1C23F796"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3813AC05" w14:textId="77777777" w:rsidR="00F2350B" w:rsidRPr="00373DCC" w:rsidRDefault="00F2350B" w:rsidP="00710B91">
            <w:pPr>
              <w:widowControl w:val="0"/>
              <w:spacing w:before="0" w:after="0" w:line="240" w:lineRule="atLeast"/>
              <w:rPr>
                <w:rFonts w:cs="Arial"/>
                <w:sz w:val="21"/>
              </w:rPr>
            </w:pPr>
            <w:r w:rsidRPr="00373DCC">
              <w:rPr>
                <w:rFonts w:cs="Arial"/>
                <w:sz w:val="21"/>
              </w:rPr>
              <w:t>Returned/failed screening</w:t>
            </w:r>
          </w:p>
        </w:tc>
        <w:tc>
          <w:tcPr>
            <w:tcW w:w="829" w:type="pct"/>
            <w:tcBorders>
              <w:top w:val="single" w:sz="4" w:space="0" w:color="002C47"/>
              <w:left w:val="single" w:sz="4" w:space="0" w:color="002C47"/>
              <w:bottom w:val="single" w:sz="4" w:space="0" w:color="002C47"/>
              <w:right w:val="single" w:sz="4" w:space="0" w:color="002C47"/>
            </w:tcBorders>
            <w:vAlign w:val="center"/>
          </w:tcPr>
          <w:p w14:paraId="65BB03F8"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91" w:type="pct"/>
            <w:tcBorders>
              <w:top w:val="single" w:sz="4" w:space="0" w:color="002C47"/>
              <w:left w:val="single" w:sz="4" w:space="0" w:color="002C47"/>
              <w:bottom w:val="single" w:sz="4" w:space="0" w:color="002C47"/>
              <w:right w:val="single" w:sz="4" w:space="0" w:color="002C47"/>
            </w:tcBorders>
            <w:vAlign w:val="center"/>
          </w:tcPr>
          <w:p w14:paraId="52943E39"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45D78133"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DDF808" w14:textId="77777777" w:rsidR="00F2350B" w:rsidRPr="00373DCC" w:rsidRDefault="00F2350B" w:rsidP="00710B91">
            <w:pPr>
              <w:widowControl w:val="0"/>
              <w:spacing w:before="0" w:after="0" w:line="240" w:lineRule="atLeast"/>
              <w:rPr>
                <w:rFonts w:cs="Arial"/>
                <w:sz w:val="21"/>
              </w:rPr>
            </w:pPr>
            <w:r w:rsidRPr="00373DCC">
              <w:rPr>
                <w:rFonts w:cs="Arial"/>
                <w:sz w:val="21"/>
              </w:rPr>
              <w:t>Total variations completed</w:t>
            </w:r>
          </w:p>
        </w:tc>
        <w:tc>
          <w:tcPr>
            <w:tcW w:w="82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08109C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 (100%)</w:t>
            </w:r>
          </w:p>
        </w:tc>
        <w:tc>
          <w:tcPr>
            <w:tcW w:w="891"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160B39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25 (100%)</w:t>
            </w:r>
          </w:p>
        </w:tc>
      </w:tr>
      <w:tr w:rsidR="00F2350B" w:rsidRPr="00373DCC" w14:paraId="74EB2795" w14:textId="77777777" w:rsidTr="00F07150">
        <w:trPr>
          <w:trHeight w:val="73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77846255" w14:textId="77777777" w:rsidR="00F2350B" w:rsidRPr="00373DCC" w:rsidRDefault="00F2350B" w:rsidP="00710B91">
            <w:pPr>
              <w:widowControl w:val="0"/>
              <w:spacing w:before="0" w:after="0" w:line="240" w:lineRule="atLeast"/>
              <w:contextualSpacing/>
              <w:rPr>
                <w:rFonts w:cs="Arial"/>
                <w:sz w:val="21"/>
              </w:rPr>
            </w:pPr>
            <w:r w:rsidRPr="00373DCC">
              <w:rPr>
                <w:rFonts w:cs="Arial"/>
                <w:sz w:val="21"/>
              </w:rPr>
              <w:t>Application for consent under section 14/14A of the Act to import, export or supply therapeutic</w:t>
            </w:r>
          </w:p>
          <w:p w14:paraId="2CBD4ACB" w14:textId="77777777" w:rsidR="00F2350B" w:rsidRPr="00373DCC" w:rsidRDefault="00F2350B" w:rsidP="00710B91">
            <w:pPr>
              <w:widowControl w:val="0"/>
              <w:spacing w:before="0" w:after="0" w:line="240" w:lineRule="atLeast"/>
              <w:contextualSpacing/>
              <w:rPr>
                <w:rFonts w:cs="Arial"/>
                <w:sz w:val="21"/>
                <w:vertAlign w:val="superscript"/>
              </w:rPr>
            </w:pPr>
            <w:r w:rsidRPr="00373DCC">
              <w:rPr>
                <w:rFonts w:cs="Arial"/>
                <w:sz w:val="21"/>
              </w:rPr>
              <w:t>goods not complying with an applicable standard</w:t>
            </w:r>
          </w:p>
        </w:tc>
      </w:tr>
      <w:tr w:rsidR="00F2350B" w:rsidRPr="00373DCC" w14:paraId="5B8CADCF"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7C5A7729"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829" w:type="pct"/>
            <w:tcBorders>
              <w:top w:val="single" w:sz="4" w:space="0" w:color="002C47"/>
              <w:left w:val="single" w:sz="4" w:space="0" w:color="002C47"/>
              <w:bottom w:val="single" w:sz="4" w:space="0" w:color="002C47"/>
              <w:right w:val="single" w:sz="4" w:space="0" w:color="002C47"/>
            </w:tcBorders>
            <w:vAlign w:val="center"/>
          </w:tcPr>
          <w:p w14:paraId="359A5FC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(67%)</w:t>
            </w:r>
          </w:p>
        </w:tc>
        <w:tc>
          <w:tcPr>
            <w:tcW w:w="891" w:type="pct"/>
            <w:tcBorders>
              <w:top w:val="single" w:sz="4" w:space="0" w:color="002C47"/>
              <w:left w:val="single" w:sz="4" w:space="0" w:color="002C47"/>
              <w:bottom w:val="single" w:sz="4" w:space="0" w:color="002C47"/>
              <w:right w:val="single" w:sz="4" w:space="0" w:color="002C47"/>
            </w:tcBorders>
            <w:vAlign w:val="center"/>
          </w:tcPr>
          <w:p w14:paraId="7E59F15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(100%)</w:t>
            </w:r>
          </w:p>
        </w:tc>
      </w:tr>
      <w:tr w:rsidR="00F2350B" w:rsidRPr="00373DCC" w14:paraId="11A39D62"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3EF4CD51" w14:textId="77777777" w:rsidR="00F2350B" w:rsidRPr="00373DCC" w:rsidRDefault="00F2350B" w:rsidP="00710B91">
            <w:pPr>
              <w:widowControl w:val="0"/>
              <w:spacing w:before="0" w:after="0" w:line="240" w:lineRule="atLeast"/>
              <w:rPr>
                <w:rFonts w:cs="Arial"/>
                <w:sz w:val="21"/>
              </w:rPr>
            </w:pPr>
            <w:r w:rsidRPr="00373DCC">
              <w:rPr>
                <w:rFonts w:cs="Arial"/>
                <w:sz w:val="21"/>
              </w:rPr>
              <w:t>Rejected</w:t>
            </w:r>
          </w:p>
        </w:tc>
        <w:tc>
          <w:tcPr>
            <w:tcW w:w="829" w:type="pct"/>
            <w:tcBorders>
              <w:top w:val="single" w:sz="4" w:space="0" w:color="002C47"/>
              <w:left w:val="single" w:sz="4" w:space="0" w:color="002C47"/>
              <w:bottom w:val="single" w:sz="4" w:space="0" w:color="002C47"/>
              <w:right w:val="single" w:sz="4" w:space="0" w:color="002C47"/>
            </w:tcBorders>
            <w:vAlign w:val="center"/>
          </w:tcPr>
          <w:p w14:paraId="50758493"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891" w:type="pct"/>
            <w:tcBorders>
              <w:top w:val="single" w:sz="4" w:space="0" w:color="002C47"/>
              <w:left w:val="single" w:sz="4" w:space="0" w:color="002C47"/>
              <w:bottom w:val="single" w:sz="4" w:space="0" w:color="002C47"/>
              <w:right w:val="single" w:sz="4" w:space="0" w:color="002C47"/>
            </w:tcBorders>
            <w:vAlign w:val="center"/>
          </w:tcPr>
          <w:p w14:paraId="476BE7AC"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6D323263"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vAlign w:val="center"/>
          </w:tcPr>
          <w:p w14:paraId="4CD981A8"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Withdrawn </w:t>
            </w:r>
          </w:p>
        </w:tc>
        <w:tc>
          <w:tcPr>
            <w:tcW w:w="829" w:type="pct"/>
            <w:tcBorders>
              <w:top w:val="single" w:sz="4" w:space="0" w:color="002C47"/>
              <w:left w:val="single" w:sz="4" w:space="0" w:color="002C47"/>
              <w:bottom w:val="single" w:sz="4" w:space="0" w:color="002C47"/>
              <w:right w:val="single" w:sz="4" w:space="0" w:color="002C47"/>
            </w:tcBorders>
            <w:vAlign w:val="center"/>
          </w:tcPr>
          <w:p w14:paraId="4F4FE7B1"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(33%)</w:t>
            </w:r>
          </w:p>
        </w:tc>
        <w:tc>
          <w:tcPr>
            <w:tcW w:w="891" w:type="pct"/>
            <w:tcBorders>
              <w:top w:val="single" w:sz="4" w:space="0" w:color="002C47"/>
              <w:left w:val="single" w:sz="4" w:space="0" w:color="002C47"/>
              <w:bottom w:val="single" w:sz="4" w:space="0" w:color="002C47"/>
              <w:right w:val="single" w:sz="4" w:space="0" w:color="002C47"/>
            </w:tcBorders>
            <w:vAlign w:val="center"/>
          </w:tcPr>
          <w:p w14:paraId="47784D16" w14:textId="77777777" w:rsidR="00F2350B" w:rsidRPr="00373DCC" w:rsidRDefault="00F2350B" w:rsidP="00710B91">
            <w:pPr>
              <w:widowControl w:val="0"/>
              <w:spacing w:before="0" w:after="0" w:line="240" w:lineRule="atLeast"/>
              <w:ind w:left="720"/>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E092ACA" w14:textId="77777777" w:rsidTr="00F07150">
        <w:trPr>
          <w:trHeight w:val="340"/>
        </w:trPr>
        <w:tc>
          <w:tcPr>
            <w:cnfStyle w:val="001000000000" w:firstRow="0" w:lastRow="0" w:firstColumn="1" w:lastColumn="0" w:oddVBand="0" w:evenVBand="0" w:oddHBand="0" w:evenHBand="0" w:firstRowFirstColumn="0" w:firstRowLastColumn="0" w:lastRowFirstColumn="0" w:lastRowLastColumn="0"/>
            <w:tcW w:w="328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9C3E14C"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Total </w:t>
            </w:r>
          </w:p>
        </w:tc>
        <w:tc>
          <w:tcPr>
            <w:tcW w:w="82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A6F8A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(100%)</w:t>
            </w:r>
          </w:p>
        </w:tc>
        <w:tc>
          <w:tcPr>
            <w:tcW w:w="891"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29DE28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(100%)</w:t>
            </w:r>
          </w:p>
        </w:tc>
      </w:tr>
    </w:tbl>
    <w:p w14:paraId="20BB72FB" w14:textId="77777777" w:rsidR="00F2350B" w:rsidRPr="00373DCC" w:rsidRDefault="00F2350B" w:rsidP="00F2350B">
      <w:pPr>
        <w:spacing w:after="120" w:line="264" w:lineRule="auto"/>
        <w:rPr>
          <w:rFonts w:cs="Arial"/>
          <w:color w:val="005488" w:themeColor="text1" w:themeTint="D9"/>
          <w:szCs w:val="22"/>
          <w:lang w:eastAsia="en-AU"/>
        </w:rPr>
      </w:pPr>
    </w:p>
    <w:p w14:paraId="5236DABA" w14:textId="77777777" w:rsidR="00F2350B" w:rsidRPr="00373DCC" w:rsidRDefault="00F2350B" w:rsidP="00F2350B">
      <w:pPr>
        <w:spacing w:before="0" w:after="160" w:line="259" w:lineRule="auto"/>
        <w:rPr>
          <w:rFonts w:eastAsiaTheme="majorEastAsia" w:cs="Arial"/>
          <w:b/>
          <w:color w:val="00348C" w:themeColor="accent1" w:themeShade="BF"/>
          <w:sz w:val="32"/>
          <w:szCs w:val="32"/>
          <w:lang w:eastAsia="en-AU"/>
        </w:rPr>
      </w:pPr>
      <w:r w:rsidRPr="00373DCC">
        <w:rPr>
          <w:rFonts w:cs="Arial"/>
          <w:b/>
          <w:color w:val="00348C" w:themeColor="accent1" w:themeShade="BF"/>
          <w:sz w:val="32"/>
        </w:rPr>
        <w:br w:type="page"/>
      </w:r>
    </w:p>
    <w:p w14:paraId="1D71FFB8"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lastRenderedPageBreak/>
        <w:t xml:space="preserve"> </w:t>
      </w:r>
      <w:bookmarkStart w:id="112" w:name="_Toc153550456"/>
      <w:r w:rsidRPr="00373DCC">
        <w:rPr>
          <w:rFonts w:ascii="Arial" w:hAnsi="Arial" w:cs="Arial"/>
          <w:b/>
          <w:color w:val="00348C" w:themeColor="accent1" w:themeShade="BF"/>
          <w:sz w:val="32"/>
        </w:rPr>
        <w:t>Assessed Listed Medicines</w:t>
      </w:r>
      <w:bookmarkEnd w:id="112"/>
    </w:p>
    <w:p w14:paraId="396BE9C5" w14:textId="77777777" w:rsidR="00F2350B" w:rsidRPr="00373DCC" w:rsidRDefault="00F2350B" w:rsidP="00F2350B">
      <w:pPr>
        <w:spacing w:after="120"/>
        <w:rPr>
          <w:rFonts w:cs="Arial"/>
          <w:sz w:val="21"/>
          <w:szCs w:val="21"/>
        </w:rPr>
      </w:pPr>
      <w:r w:rsidRPr="00373DCC">
        <w:rPr>
          <w:rFonts w:cs="Arial"/>
          <w:sz w:val="21"/>
          <w:szCs w:val="21"/>
        </w:rPr>
        <w:t>Assessed listed medicines are of slightly higher risk than listed medicines based on their indications, but not as high risk as registered medicines. Because assessed listed medicines carry intermediate risk indications, they are fully evaluated by us for efficacy before listing in the ARTG.</w:t>
      </w:r>
    </w:p>
    <w:p w14:paraId="7BF3FFAE" w14:textId="77777777" w:rsidR="00F2350B" w:rsidRPr="00373DCC" w:rsidRDefault="00F2350B" w:rsidP="00F2350B">
      <w:pPr>
        <w:spacing w:after="120"/>
        <w:rPr>
          <w:rFonts w:cs="Arial"/>
          <w:b/>
          <w:sz w:val="21"/>
          <w:szCs w:val="21"/>
        </w:rPr>
      </w:pPr>
      <w:r w:rsidRPr="00373DCC">
        <w:rPr>
          <w:rFonts w:cs="Arial"/>
          <w:sz w:val="21"/>
          <w:szCs w:val="21"/>
        </w:rPr>
        <w:t>Assessed listed medicine applications are categorised as new medicine (‘L(A)’) or change (C) applications. The application levels are outlined in Table 19.</w:t>
      </w:r>
    </w:p>
    <w:p w14:paraId="5AA4C399" w14:textId="77777777" w:rsidR="00F2350B" w:rsidRPr="00373DCC" w:rsidRDefault="00F2350B" w:rsidP="00F2350B">
      <w:pPr>
        <w:keepNext/>
        <w:spacing w:before="240" w:after="120" w:line="240" w:lineRule="auto"/>
        <w:rPr>
          <w:rFonts w:eastAsia="Cambria" w:cs="Arial"/>
          <w:b/>
          <w:bCs/>
          <w:sz w:val="21"/>
          <w:szCs w:val="21"/>
        </w:rPr>
      </w:pPr>
      <w:bookmarkStart w:id="113" w:name="Table17"/>
      <w:r w:rsidRPr="00373DCC">
        <w:rPr>
          <w:rFonts w:eastAsia="Cambria" w:cs="Arial"/>
          <w:b/>
          <w:bCs/>
          <w:sz w:val="21"/>
          <w:szCs w:val="21"/>
        </w:rPr>
        <w:t>Table 17: Categorisation of assessed listed medicine applications</w:t>
      </w:r>
    </w:p>
    <w:tbl>
      <w:tblPr>
        <w:tblStyle w:val="TableTGAblue"/>
        <w:tblW w:w="9493" w:type="dxa"/>
        <w:tblCellMar>
          <w:left w:w="57" w:type="dxa"/>
          <w:right w:w="57" w:type="dxa"/>
        </w:tblCellMar>
        <w:tblLook w:val="04A0" w:firstRow="1" w:lastRow="0" w:firstColumn="1" w:lastColumn="0" w:noHBand="0" w:noVBand="1"/>
      </w:tblPr>
      <w:tblGrid>
        <w:gridCol w:w="2263"/>
        <w:gridCol w:w="4469"/>
        <w:gridCol w:w="2761"/>
      </w:tblGrid>
      <w:tr w:rsidR="00F2350B" w:rsidRPr="00373DCC" w14:paraId="4D5657D2" w14:textId="77777777" w:rsidTr="00F07150">
        <w:trPr>
          <w:cnfStyle w:val="100000000000" w:firstRow="1" w:lastRow="0" w:firstColumn="0" w:lastColumn="0" w:oddVBand="0" w:evenVBand="0" w:oddHBand="0" w:evenHBand="0" w:firstRowFirstColumn="0" w:firstRowLastColumn="0" w:lastRowFirstColumn="0" w:lastRowLastColumn="0"/>
          <w:cantSplit w:val="0"/>
          <w:trHeight w:val="65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4672" w:themeFill="text2" w:themeFillTint="E6"/>
            <w:vAlign w:val="center"/>
          </w:tcPr>
          <w:bookmarkEnd w:id="113"/>
          <w:p w14:paraId="7DF0BB7D" w14:textId="77777777" w:rsidR="00F2350B" w:rsidRPr="00373DCC" w:rsidRDefault="00F2350B" w:rsidP="00F07150">
            <w:pPr>
              <w:keepLines/>
              <w:spacing w:line="0" w:lineRule="atLeast"/>
              <w:contextualSpacing/>
              <w:jc w:val="center"/>
              <w:rPr>
                <w:rFonts w:cs="Arial"/>
                <w:color w:val="FFFFFF" w:themeColor="background1"/>
                <w:sz w:val="21"/>
              </w:rPr>
            </w:pPr>
            <w:r w:rsidRPr="00373DCC">
              <w:rPr>
                <w:rFonts w:cs="Arial"/>
                <w:color w:val="FFFFFF" w:themeColor="background1"/>
                <w:sz w:val="21"/>
              </w:rPr>
              <w:t>Application category</w:t>
            </w:r>
          </w:p>
        </w:tc>
        <w:tc>
          <w:tcPr>
            <w:tcW w:w="4469" w:type="dxa"/>
            <w:tcBorders>
              <w:top w:val="single" w:sz="4" w:space="0" w:color="auto"/>
              <w:left w:val="single" w:sz="4" w:space="0" w:color="auto"/>
              <w:bottom w:val="single" w:sz="4" w:space="0" w:color="auto"/>
              <w:right w:val="single" w:sz="4" w:space="0" w:color="auto"/>
            </w:tcBorders>
            <w:shd w:val="clear" w:color="auto" w:fill="004672" w:themeFill="text2" w:themeFillTint="E6"/>
            <w:vAlign w:val="center"/>
          </w:tcPr>
          <w:p w14:paraId="1755B4BB" w14:textId="77777777" w:rsidR="00F2350B" w:rsidRPr="00373DCC" w:rsidRDefault="00F2350B" w:rsidP="00F07150">
            <w:pPr>
              <w:keepLine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Definition</w:t>
            </w:r>
          </w:p>
        </w:tc>
        <w:tc>
          <w:tcPr>
            <w:tcW w:w="2761" w:type="dxa"/>
            <w:tcBorders>
              <w:top w:val="single" w:sz="4" w:space="0" w:color="auto"/>
              <w:left w:val="single" w:sz="4" w:space="0" w:color="auto"/>
              <w:bottom w:val="single" w:sz="4" w:space="0" w:color="auto"/>
              <w:right w:val="single" w:sz="4" w:space="0" w:color="auto"/>
            </w:tcBorders>
            <w:shd w:val="clear" w:color="auto" w:fill="004672" w:themeFill="text2" w:themeFillTint="E6"/>
            <w:vAlign w:val="center"/>
          </w:tcPr>
          <w:p w14:paraId="4E032966" w14:textId="77777777" w:rsidR="00F2350B" w:rsidRPr="00373DCC" w:rsidRDefault="00F2350B" w:rsidP="00F07150">
            <w:pPr>
              <w:keepLine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Evaluation timeframe</w:t>
            </w:r>
          </w:p>
          <w:p w14:paraId="6A58021F" w14:textId="77777777" w:rsidR="00F2350B" w:rsidRPr="00373DCC" w:rsidRDefault="00F2350B" w:rsidP="00F07150">
            <w:pPr>
              <w:keepLine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sidRPr="00373DCC">
              <w:rPr>
                <w:rFonts w:cs="Arial"/>
                <w:color w:val="FFFFFF" w:themeColor="background1"/>
                <w:sz w:val="21"/>
              </w:rPr>
              <w:t>(legislated)</w:t>
            </w:r>
          </w:p>
        </w:tc>
      </w:tr>
      <w:tr w:rsidR="00F2350B" w:rsidRPr="00373DCC" w14:paraId="328B505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vAlign w:val="center"/>
          </w:tcPr>
          <w:p w14:paraId="0473F719" w14:textId="77777777" w:rsidR="00F2350B" w:rsidRPr="00373DCC" w:rsidRDefault="00F2350B" w:rsidP="00710B91">
            <w:pPr>
              <w:spacing w:line="0" w:lineRule="atLeast"/>
              <w:contextualSpacing/>
              <w:rPr>
                <w:rFonts w:cs="Arial"/>
                <w:sz w:val="21"/>
              </w:rPr>
            </w:pPr>
            <w:r w:rsidRPr="00373DCC">
              <w:rPr>
                <w:rFonts w:cs="Arial"/>
                <w:sz w:val="21"/>
              </w:rPr>
              <w:t>L(A)1</w:t>
            </w:r>
          </w:p>
        </w:tc>
        <w:tc>
          <w:tcPr>
            <w:tcW w:w="4469" w:type="dxa"/>
            <w:tcBorders>
              <w:top w:val="single" w:sz="4" w:space="0" w:color="auto"/>
            </w:tcBorders>
            <w:vAlign w:val="center"/>
          </w:tcPr>
          <w:p w14:paraId="6FDB2B75"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Medicines that are identical to an existing assessed listed medicine other than permitted differences, such as its name, colour, printing ink, flavour and/or fragrance.</w:t>
            </w:r>
          </w:p>
        </w:tc>
        <w:tc>
          <w:tcPr>
            <w:tcW w:w="2761" w:type="dxa"/>
            <w:tcBorders>
              <w:top w:val="single" w:sz="4" w:space="0" w:color="auto"/>
            </w:tcBorders>
            <w:vAlign w:val="center"/>
          </w:tcPr>
          <w:p w14:paraId="461F1C3E"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45 working days</w:t>
            </w:r>
          </w:p>
        </w:tc>
      </w:tr>
      <w:tr w:rsidR="00F2350B" w:rsidRPr="00373DCC" w14:paraId="6386559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596D175" w14:textId="77777777" w:rsidR="00F2350B" w:rsidRPr="00373DCC" w:rsidRDefault="00F2350B" w:rsidP="00710B91">
            <w:pPr>
              <w:spacing w:line="0" w:lineRule="atLeast"/>
              <w:contextualSpacing/>
              <w:rPr>
                <w:rFonts w:cs="Arial"/>
                <w:sz w:val="21"/>
              </w:rPr>
            </w:pPr>
            <w:r w:rsidRPr="00373DCC">
              <w:rPr>
                <w:rFonts w:cs="Arial"/>
                <w:sz w:val="21"/>
              </w:rPr>
              <w:t>L(A)2</w:t>
            </w:r>
          </w:p>
        </w:tc>
        <w:tc>
          <w:tcPr>
            <w:tcW w:w="4469" w:type="dxa"/>
            <w:vAlign w:val="center"/>
          </w:tcPr>
          <w:p w14:paraId="25EE4EE5"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Generic medicines or medicines where a Comparable Overseas Body (COB) has demonstrated their efficacy.</w:t>
            </w:r>
          </w:p>
        </w:tc>
        <w:tc>
          <w:tcPr>
            <w:tcW w:w="2761" w:type="dxa"/>
            <w:vAlign w:val="center"/>
          </w:tcPr>
          <w:p w14:paraId="4255756B"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60 working days</w:t>
            </w:r>
          </w:p>
        </w:tc>
      </w:tr>
      <w:tr w:rsidR="00F2350B" w:rsidRPr="00373DCC" w14:paraId="76CBC6E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38FA71A" w14:textId="77777777" w:rsidR="00F2350B" w:rsidRPr="00373DCC" w:rsidRDefault="00F2350B" w:rsidP="00710B91">
            <w:pPr>
              <w:spacing w:line="0" w:lineRule="atLeast"/>
              <w:contextualSpacing/>
              <w:rPr>
                <w:rFonts w:cs="Arial"/>
                <w:sz w:val="21"/>
              </w:rPr>
            </w:pPr>
            <w:r w:rsidRPr="00373DCC">
              <w:rPr>
                <w:rFonts w:cs="Arial"/>
                <w:sz w:val="21"/>
              </w:rPr>
              <w:t>L(A)3</w:t>
            </w:r>
          </w:p>
        </w:tc>
        <w:tc>
          <w:tcPr>
            <w:tcW w:w="4469" w:type="dxa"/>
            <w:vAlign w:val="center"/>
          </w:tcPr>
          <w:p w14:paraId="290A7154"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Medicines that are not covered by L(A)1 or L(A)2; and require an independent evaluation of their efficacy; or for an existing assessed listed medicine, contain a different active ingredient, indication, dosage form, strength, or excipient. </w:t>
            </w:r>
          </w:p>
        </w:tc>
        <w:tc>
          <w:tcPr>
            <w:tcW w:w="2761" w:type="dxa"/>
            <w:vAlign w:val="center"/>
          </w:tcPr>
          <w:p w14:paraId="10AA780A"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150 working days</w:t>
            </w:r>
          </w:p>
        </w:tc>
      </w:tr>
      <w:tr w:rsidR="00F2350B" w:rsidRPr="00373DCC" w14:paraId="164B32A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29ACA17" w14:textId="77777777" w:rsidR="00F2350B" w:rsidRPr="00373DCC" w:rsidRDefault="00F2350B" w:rsidP="00710B91">
            <w:pPr>
              <w:spacing w:line="0" w:lineRule="atLeast"/>
              <w:contextualSpacing/>
              <w:rPr>
                <w:rFonts w:cs="Arial"/>
                <w:sz w:val="21"/>
              </w:rPr>
            </w:pPr>
            <w:r w:rsidRPr="00373DCC">
              <w:rPr>
                <w:rFonts w:cs="Arial"/>
                <w:sz w:val="21"/>
              </w:rPr>
              <w:t>L(A)CN</w:t>
            </w:r>
          </w:p>
        </w:tc>
        <w:tc>
          <w:tcPr>
            <w:tcW w:w="4469" w:type="dxa"/>
            <w:vAlign w:val="center"/>
          </w:tcPr>
          <w:p w14:paraId="07478822"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'Notification' changes, where their implementation would not affect the established efficacy of the medicine.</w:t>
            </w:r>
          </w:p>
        </w:tc>
        <w:tc>
          <w:tcPr>
            <w:tcW w:w="2761" w:type="dxa"/>
            <w:vAlign w:val="center"/>
          </w:tcPr>
          <w:p w14:paraId="5E3E4789"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N/A</w:t>
            </w:r>
          </w:p>
        </w:tc>
      </w:tr>
      <w:tr w:rsidR="00F2350B" w:rsidRPr="00373DCC" w14:paraId="5AF9E9F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DE3A7DB" w14:textId="77777777" w:rsidR="00F2350B" w:rsidRPr="00373DCC" w:rsidRDefault="00F2350B" w:rsidP="00710B91">
            <w:pPr>
              <w:spacing w:line="0" w:lineRule="atLeast"/>
              <w:contextualSpacing/>
              <w:rPr>
                <w:rFonts w:cs="Arial"/>
                <w:sz w:val="21"/>
              </w:rPr>
            </w:pPr>
            <w:r w:rsidRPr="00373DCC">
              <w:rPr>
                <w:rFonts w:cs="Arial"/>
                <w:sz w:val="21"/>
              </w:rPr>
              <w:t>L(A)C1</w:t>
            </w:r>
          </w:p>
        </w:tc>
        <w:tc>
          <w:tcPr>
            <w:tcW w:w="4469" w:type="dxa"/>
            <w:vAlign w:val="center"/>
          </w:tcPr>
          <w:p w14:paraId="01AB5F51"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Changes to the medicine label and ARTG entry that do not affect the efficacy of the medicine. </w:t>
            </w:r>
          </w:p>
        </w:tc>
        <w:tc>
          <w:tcPr>
            <w:tcW w:w="2761" w:type="dxa"/>
            <w:vAlign w:val="center"/>
          </w:tcPr>
          <w:p w14:paraId="26746957"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 working days</w:t>
            </w:r>
          </w:p>
        </w:tc>
      </w:tr>
      <w:tr w:rsidR="00F2350B" w:rsidRPr="00373DCC" w14:paraId="61E8D8D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090FABA" w14:textId="77777777" w:rsidR="00F2350B" w:rsidRPr="00373DCC" w:rsidRDefault="00F2350B" w:rsidP="00710B91">
            <w:pPr>
              <w:spacing w:line="0" w:lineRule="atLeast"/>
              <w:contextualSpacing/>
              <w:rPr>
                <w:rFonts w:cs="Arial"/>
                <w:sz w:val="21"/>
              </w:rPr>
            </w:pPr>
            <w:r w:rsidRPr="00373DCC">
              <w:rPr>
                <w:rFonts w:cs="Arial"/>
                <w:sz w:val="21"/>
              </w:rPr>
              <w:t>L(A)C2</w:t>
            </w:r>
          </w:p>
        </w:tc>
        <w:tc>
          <w:tcPr>
            <w:tcW w:w="4469" w:type="dxa"/>
            <w:vAlign w:val="center"/>
          </w:tcPr>
          <w:p w14:paraId="14EF772F"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Changes that may affect the efficacy of the medicine.</w:t>
            </w:r>
          </w:p>
        </w:tc>
        <w:tc>
          <w:tcPr>
            <w:tcW w:w="2761" w:type="dxa"/>
            <w:vAlign w:val="center"/>
          </w:tcPr>
          <w:p w14:paraId="41BBEFBC" w14:textId="77777777" w:rsidR="00F2350B" w:rsidRPr="00373DCC" w:rsidRDefault="00F2350B" w:rsidP="00710B91">
            <w:pPr>
              <w:spacing w:line="0" w:lineRule="atLeast"/>
              <w:contextualSpacing/>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120 working days</w:t>
            </w:r>
          </w:p>
        </w:tc>
      </w:tr>
    </w:tbl>
    <w:p w14:paraId="3CD365E8" w14:textId="77777777" w:rsidR="00F2350B" w:rsidRPr="00373DCC" w:rsidRDefault="00F2350B" w:rsidP="00F2350B">
      <w:pPr>
        <w:rPr>
          <w:rFonts w:eastAsia="Cambria" w:cs="Arial"/>
          <w:b/>
          <w:bCs/>
          <w:szCs w:val="22"/>
        </w:rPr>
      </w:pPr>
    </w:p>
    <w:p w14:paraId="14F938CB" w14:textId="77777777" w:rsidR="00F2350B" w:rsidRPr="00373DCC" w:rsidRDefault="00F2350B" w:rsidP="00F2350B">
      <w:pPr>
        <w:keepNext/>
        <w:spacing w:before="240" w:after="120" w:line="240" w:lineRule="auto"/>
        <w:rPr>
          <w:rFonts w:eastAsia="Cambria" w:cs="Arial"/>
          <w:b/>
          <w:bCs/>
          <w:sz w:val="21"/>
          <w:szCs w:val="21"/>
        </w:rPr>
      </w:pPr>
      <w:bookmarkStart w:id="114" w:name="Table18"/>
      <w:r w:rsidRPr="00373DCC">
        <w:rPr>
          <w:rFonts w:eastAsia="Cambria" w:cs="Arial"/>
          <w:b/>
          <w:bCs/>
          <w:sz w:val="21"/>
          <w:szCs w:val="21"/>
        </w:rPr>
        <w:t>Table 18: Assessed listed medicine applications by outcome.</w:t>
      </w:r>
    </w:p>
    <w:tbl>
      <w:tblPr>
        <w:tblStyle w:val="TableTGAblue"/>
        <w:tblW w:w="5002" w:type="pct"/>
        <w:tblLook w:val="04A0" w:firstRow="1" w:lastRow="0" w:firstColumn="1" w:lastColumn="0" w:noHBand="0" w:noVBand="1"/>
      </w:tblPr>
      <w:tblGrid>
        <w:gridCol w:w="6171"/>
        <w:gridCol w:w="1421"/>
        <w:gridCol w:w="1433"/>
      </w:tblGrid>
      <w:tr w:rsidR="00F07150" w:rsidRPr="00373DCC" w14:paraId="3D4D1696" w14:textId="77777777" w:rsidTr="009B6A61">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right w:val="single" w:sz="4" w:space="0" w:color="auto"/>
            </w:tcBorders>
            <w:shd w:val="clear" w:color="auto" w:fill="29527F"/>
            <w:vAlign w:val="center"/>
          </w:tcPr>
          <w:bookmarkEnd w:id="114"/>
          <w:p w14:paraId="22274BCC" w14:textId="39A5520A" w:rsidR="00F07150" w:rsidRPr="00373DCC" w:rsidRDefault="009B6A61" w:rsidP="00710B91">
            <w:pPr>
              <w:widowControl w:val="0"/>
              <w:spacing w:before="0" w:after="0" w:line="240" w:lineRule="atLeast"/>
              <w:ind w:left="113"/>
              <w:rPr>
                <w:rFonts w:cs="Arial"/>
                <w:color w:val="000000"/>
                <w:sz w:val="21"/>
              </w:rPr>
            </w:pPr>
            <w:r w:rsidRPr="00373DCC">
              <w:rPr>
                <w:rFonts w:cs="Arial"/>
                <w:sz w:val="21"/>
              </w:rPr>
              <w:t>New medicines</w:t>
            </w:r>
          </w:p>
        </w:tc>
        <w:tc>
          <w:tcPr>
            <w:tcW w:w="787" w:type="pct"/>
            <w:tcBorders>
              <w:top w:val="single" w:sz="4" w:space="0" w:color="auto"/>
              <w:left w:val="single" w:sz="4" w:space="0" w:color="auto"/>
              <w:bottom w:val="single" w:sz="4" w:space="0" w:color="auto"/>
              <w:right w:val="single" w:sz="4" w:space="0" w:color="auto"/>
            </w:tcBorders>
            <w:shd w:val="clear" w:color="auto" w:fill="29527F"/>
            <w:vAlign w:val="center"/>
          </w:tcPr>
          <w:p w14:paraId="5893A2C8" w14:textId="5A70EA52" w:rsidR="00F07150" w:rsidRPr="00373DCC" w:rsidRDefault="00F07150" w:rsidP="00710B91">
            <w:pPr>
              <w:widowControl w:val="0"/>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cs="Arial"/>
                <w:sz w:val="21"/>
              </w:rPr>
              <w:t xml:space="preserve">FY </w:t>
            </w:r>
            <w:r w:rsidRPr="00373DCC">
              <w:rPr>
                <w:rFonts w:cs="Arial"/>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794" w:type="pct"/>
            <w:tcBorders>
              <w:top w:val="single" w:sz="4" w:space="0" w:color="auto"/>
              <w:left w:val="single" w:sz="4" w:space="0" w:color="auto"/>
              <w:bottom w:val="single" w:sz="4" w:space="0" w:color="auto"/>
              <w:right w:val="single" w:sz="4" w:space="0" w:color="auto"/>
            </w:tcBorders>
            <w:shd w:val="clear" w:color="auto" w:fill="29527F"/>
            <w:vAlign w:val="center"/>
          </w:tcPr>
          <w:p w14:paraId="32D8AC0C" w14:textId="26A58359" w:rsidR="00F07150" w:rsidRPr="00373DCC" w:rsidRDefault="00F07150" w:rsidP="00710B91">
            <w:pPr>
              <w:widowControl w:val="0"/>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cs="Arial"/>
                <w:sz w:val="21"/>
              </w:rPr>
              <w:t xml:space="preserve">FY </w:t>
            </w:r>
            <w:r w:rsidRPr="00373DCC">
              <w:rPr>
                <w:rFonts w:cs="Arial"/>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4EFE4A4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vAlign w:val="center"/>
          </w:tcPr>
          <w:p w14:paraId="2C7281E4" w14:textId="77777777" w:rsidR="00F2350B" w:rsidRPr="00373DCC" w:rsidRDefault="00F2350B" w:rsidP="00710B91">
            <w:pPr>
              <w:widowControl w:val="0"/>
              <w:spacing w:before="0" w:after="0" w:line="240" w:lineRule="atLeast"/>
              <w:rPr>
                <w:rFonts w:cs="Arial"/>
                <w:sz w:val="21"/>
              </w:rPr>
            </w:pPr>
            <w:r w:rsidRPr="00373DCC">
              <w:rPr>
                <w:rFonts w:cs="Arial"/>
                <w:sz w:val="21"/>
              </w:rPr>
              <w:t>Approved</w:t>
            </w:r>
          </w:p>
        </w:tc>
        <w:tc>
          <w:tcPr>
            <w:tcW w:w="787" w:type="pct"/>
            <w:tcBorders>
              <w:top w:val="single" w:sz="4" w:space="0" w:color="002C47"/>
              <w:left w:val="single" w:sz="4" w:space="0" w:color="002C47"/>
              <w:bottom w:val="single" w:sz="4" w:space="0" w:color="002C47"/>
              <w:right w:val="single" w:sz="4" w:space="0" w:color="002C47"/>
            </w:tcBorders>
            <w:vAlign w:val="center"/>
          </w:tcPr>
          <w:p w14:paraId="3FEDE244"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0 (0%) </w:t>
            </w:r>
          </w:p>
        </w:tc>
        <w:tc>
          <w:tcPr>
            <w:tcW w:w="794" w:type="pct"/>
            <w:tcBorders>
              <w:top w:val="single" w:sz="4" w:space="0" w:color="002C47"/>
              <w:left w:val="single" w:sz="4" w:space="0" w:color="002C47"/>
              <w:bottom w:val="single" w:sz="4" w:space="0" w:color="002C47"/>
              <w:right w:val="single" w:sz="4" w:space="0" w:color="002C47"/>
            </w:tcBorders>
            <w:vAlign w:val="center"/>
          </w:tcPr>
          <w:p w14:paraId="240E2DC3"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0 (0%) </w:t>
            </w:r>
          </w:p>
        </w:tc>
      </w:tr>
      <w:tr w:rsidR="00F2350B" w:rsidRPr="00373DCC" w14:paraId="0BE6032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vAlign w:val="center"/>
          </w:tcPr>
          <w:p w14:paraId="0C73BD91" w14:textId="77777777" w:rsidR="00F2350B" w:rsidRPr="00373DCC" w:rsidRDefault="00F2350B" w:rsidP="00710B91">
            <w:pPr>
              <w:widowControl w:val="0"/>
              <w:spacing w:before="0" w:after="0" w:line="240" w:lineRule="atLeast"/>
              <w:rPr>
                <w:rFonts w:cs="Arial"/>
                <w:sz w:val="21"/>
              </w:rPr>
            </w:pPr>
            <w:r w:rsidRPr="00373DCC">
              <w:rPr>
                <w:rFonts w:cs="Arial"/>
                <w:sz w:val="21"/>
              </w:rPr>
              <w:t>Refused</w:t>
            </w:r>
          </w:p>
        </w:tc>
        <w:tc>
          <w:tcPr>
            <w:tcW w:w="787" w:type="pct"/>
            <w:tcBorders>
              <w:top w:val="single" w:sz="4" w:space="0" w:color="002C47"/>
              <w:left w:val="single" w:sz="4" w:space="0" w:color="002C47"/>
              <w:bottom w:val="single" w:sz="4" w:space="0" w:color="002C47"/>
              <w:right w:val="single" w:sz="4" w:space="0" w:color="002C47"/>
            </w:tcBorders>
            <w:vAlign w:val="center"/>
          </w:tcPr>
          <w:p w14:paraId="4F3C1341"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794" w:type="pct"/>
            <w:tcBorders>
              <w:top w:val="single" w:sz="4" w:space="0" w:color="002C47"/>
              <w:left w:val="single" w:sz="4" w:space="0" w:color="002C47"/>
              <w:bottom w:val="single" w:sz="4" w:space="0" w:color="002C47"/>
              <w:right w:val="single" w:sz="4" w:space="0" w:color="002C47"/>
            </w:tcBorders>
            <w:vAlign w:val="center"/>
          </w:tcPr>
          <w:p w14:paraId="4EBB8B90"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 (100%) </w:t>
            </w:r>
          </w:p>
        </w:tc>
      </w:tr>
      <w:tr w:rsidR="00F2350B" w:rsidRPr="00373DCC" w14:paraId="568CF30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vAlign w:val="center"/>
          </w:tcPr>
          <w:p w14:paraId="1214DCD2"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Withdrawn </w:t>
            </w:r>
          </w:p>
        </w:tc>
        <w:tc>
          <w:tcPr>
            <w:tcW w:w="787" w:type="pct"/>
            <w:tcBorders>
              <w:top w:val="single" w:sz="4" w:space="0" w:color="002C47"/>
              <w:left w:val="single" w:sz="4" w:space="0" w:color="002C47"/>
              <w:bottom w:val="single" w:sz="4" w:space="0" w:color="002C47"/>
              <w:right w:val="single" w:sz="4" w:space="0" w:color="002C47"/>
            </w:tcBorders>
            <w:vAlign w:val="center"/>
          </w:tcPr>
          <w:p w14:paraId="4568275A"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94" w:type="pct"/>
            <w:tcBorders>
              <w:top w:val="single" w:sz="4" w:space="0" w:color="002C47"/>
              <w:left w:val="single" w:sz="4" w:space="0" w:color="002C47"/>
              <w:bottom w:val="single" w:sz="4" w:space="0" w:color="002C47"/>
              <w:right w:val="single" w:sz="4" w:space="0" w:color="002C47"/>
            </w:tcBorders>
            <w:vAlign w:val="center"/>
          </w:tcPr>
          <w:p w14:paraId="47BA70FA"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0 (0%) </w:t>
            </w:r>
          </w:p>
        </w:tc>
      </w:tr>
      <w:tr w:rsidR="00F2350B" w:rsidRPr="00373DCC" w14:paraId="0FFF9A6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vAlign w:val="center"/>
          </w:tcPr>
          <w:p w14:paraId="7853FC9A" w14:textId="77777777" w:rsidR="00F2350B" w:rsidRPr="00373DCC" w:rsidRDefault="00F2350B" w:rsidP="00710B91">
            <w:pPr>
              <w:widowControl w:val="0"/>
              <w:spacing w:before="0" w:after="0" w:line="240" w:lineRule="atLeast"/>
              <w:rPr>
                <w:rFonts w:cs="Arial"/>
                <w:sz w:val="21"/>
              </w:rPr>
            </w:pPr>
            <w:r w:rsidRPr="00373DCC">
              <w:rPr>
                <w:rFonts w:cs="Arial"/>
                <w:sz w:val="21"/>
              </w:rPr>
              <w:t>Failed screening</w:t>
            </w:r>
          </w:p>
        </w:tc>
        <w:tc>
          <w:tcPr>
            <w:tcW w:w="787" w:type="pct"/>
            <w:tcBorders>
              <w:top w:val="single" w:sz="4" w:space="0" w:color="002C47"/>
              <w:left w:val="single" w:sz="4" w:space="0" w:color="002C47"/>
              <w:bottom w:val="single" w:sz="4" w:space="0" w:color="002C47"/>
              <w:right w:val="single" w:sz="4" w:space="0" w:color="002C47"/>
            </w:tcBorders>
            <w:vAlign w:val="center"/>
          </w:tcPr>
          <w:p w14:paraId="490E8E77"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94" w:type="pct"/>
            <w:tcBorders>
              <w:top w:val="single" w:sz="4" w:space="0" w:color="002C47"/>
              <w:left w:val="single" w:sz="4" w:space="0" w:color="002C47"/>
              <w:bottom w:val="single" w:sz="4" w:space="0" w:color="002C47"/>
              <w:right w:val="single" w:sz="4" w:space="0" w:color="002C47"/>
            </w:tcBorders>
            <w:vAlign w:val="center"/>
          </w:tcPr>
          <w:p w14:paraId="4E7C4212"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0 (0%) </w:t>
            </w:r>
          </w:p>
        </w:tc>
      </w:tr>
      <w:tr w:rsidR="00F2350B" w:rsidRPr="00373DCC" w14:paraId="7D62AA6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BD28661" w14:textId="77777777" w:rsidR="00F2350B" w:rsidRPr="00373DCC" w:rsidRDefault="00F2350B" w:rsidP="00710B91">
            <w:pPr>
              <w:widowControl w:val="0"/>
              <w:spacing w:before="0" w:after="0" w:line="240" w:lineRule="atLeast"/>
              <w:rPr>
                <w:rFonts w:cs="Arial"/>
                <w:sz w:val="21"/>
              </w:rPr>
            </w:pPr>
            <w:r w:rsidRPr="00373DCC">
              <w:rPr>
                <w:rFonts w:cs="Arial"/>
                <w:sz w:val="21"/>
              </w:rPr>
              <w:t xml:space="preserve">Total </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67A1CD8"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79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5B149A3" w14:textId="77777777" w:rsidR="00F2350B" w:rsidRPr="00373DCC" w:rsidRDefault="00F2350B" w:rsidP="00710B91">
            <w:pPr>
              <w:widowControl w:val="0"/>
              <w:spacing w:before="0" w:after="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 xml:space="preserve">1 (100%) </w:t>
            </w:r>
          </w:p>
        </w:tc>
      </w:tr>
    </w:tbl>
    <w:p w14:paraId="4D3060D3" w14:textId="77777777" w:rsidR="00F2350B" w:rsidRPr="00373DCC" w:rsidRDefault="00F2350B" w:rsidP="00F2350B">
      <w:pPr>
        <w:keepNext/>
        <w:spacing w:before="240" w:after="120" w:line="240" w:lineRule="auto"/>
        <w:rPr>
          <w:rFonts w:eastAsia="Cambria" w:cs="Arial"/>
          <w:b/>
          <w:bCs/>
          <w:sz w:val="21"/>
          <w:szCs w:val="21"/>
        </w:rPr>
      </w:pPr>
      <w:bookmarkStart w:id="115" w:name="Table19"/>
      <w:r w:rsidRPr="00373DCC">
        <w:rPr>
          <w:rFonts w:eastAsia="Cambria" w:cs="Arial"/>
          <w:b/>
          <w:bCs/>
          <w:sz w:val="21"/>
          <w:szCs w:val="21"/>
        </w:rPr>
        <w:lastRenderedPageBreak/>
        <w:t>Table 19:  Applications received for new Assessed listed medicines and changes to existing medicines.</w:t>
      </w:r>
    </w:p>
    <w:bookmarkEnd w:id="115"/>
    <w:tbl>
      <w:tblPr>
        <w:tblStyle w:val="TableTGAblue5"/>
        <w:tblW w:w="5003" w:type="pct"/>
        <w:tblLook w:val="04A0" w:firstRow="1" w:lastRow="0" w:firstColumn="1" w:lastColumn="0" w:noHBand="0" w:noVBand="1"/>
      </w:tblPr>
      <w:tblGrid>
        <w:gridCol w:w="6222"/>
        <w:gridCol w:w="1403"/>
        <w:gridCol w:w="1401"/>
      </w:tblGrid>
      <w:tr w:rsidR="00F07150" w:rsidRPr="00373DCC" w14:paraId="47221D2D" w14:textId="77777777" w:rsidTr="009D233D">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nil"/>
              <w:left w:val="nil"/>
              <w:right w:val="single" w:sz="4" w:space="0" w:color="auto"/>
            </w:tcBorders>
            <w:shd w:val="clear" w:color="auto" w:fill="FFFFFF"/>
            <w:vAlign w:val="center"/>
          </w:tcPr>
          <w:p w14:paraId="53FF6108" w14:textId="77777777" w:rsidR="00F07150" w:rsidRPr="00373DCC" w:rsidRDefault="00F07150" w:rsidP="00710B91">
            <w:pPr>
              <w:widowControl w:val="0"/>
              <w:spacing w:before="30" w:after="30" w:line="240" w:lineRule="atLeast"/>
              <w:ind w:left="113"/>
              <w:rPr>
                <w:rFonts w:cs="Arial"/>
                <w:color w:val="000000"/>
                <w:sz w:val="21"/>
              </w:rPr>
            </w:pPr>
          </w:p>
        </w:tc>
        <w:tc>
          <w:tcPr>
            <w:tcW w:w="777" w:type="pct"/>
            <w:tcBorders>
              <w:top w:val="single" w:sz="4" w:space="0" w:color="auto"/>
              <w:left w:val="single" w:sz="4" w:space="0" w:color="auto"/>
              <w:bottom w:val="single" w:sz="4" w:space="0" w:color="auto"/>
              <w:right w:val="single" w:sz="4" w:space="0" w:color="auto"/>
            </w:tcBorders>
            <w:shd w:val="clear" w:color="auto" w:fill="29527F"/>
            <w:vAlign w:val="center"/>
          </w:tcPr>
          <w:p w14:paraId="073A5CB5" w14:textId="4AEE6347" w:rsidR="00F07150" w:rsidRPr="00373DCC" w:rsidRDefault="00F07150" w:rsidP="00710B91">
            <w:pPr>
              <w:widowControl w:val="0"/>
              <w:spacing w:before="30" w:after="3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cs="Arial"/>
                <w:sz w:val="21"/>
              </w:rPr>
              <w:t xml:space="preserve">FY </w:t>
            </w:r>
            <w:r w:rsidRPr="00373DCC">
              <w:rPr>
                <w:rFonts w:cs="Arial"/>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776" w:type="pct"/>
            <w:tcBorders>
              <w:top w:val="single" w:sz="4" w:space="0" w:color="auto"/>
              <w:left w:val="single" w:sz="4" w:space="0" w:color="auto"/>
              <w:bottom w:val="single" w:sz="4" w:space="0" w:color="auto"/>
              <w:right w:val="single" w:sz="4" w:space="0" w:color="auto"/>
            </w:tcBorders>
            <w:shd w:val="clear" w:color="auto" w:fill="29527F"/>
            <w:vAlign w:val="center"/>
          </w:tcPr>
          <w:p w14:paraId="65033556" w14:textId="2391D917" w:rsidR="00F07150" w:rsidRPr="00373DCC" w:rsidRDefault="00F07150" w:rsidP="00710B91">
            <w:pPr>
              <w:widowControl w:val="0"/>
              <w:spacing w:before="30" w:after="3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cs="Arial"/>
                <w:sz w:val="21"/>
              </w:rPr>
              <w:t xml:space="preserve">FY </w:t>
            </w:r>
            <w:r w:rsidRPr="00373DCC">
              <w:rPr>
                <w:rFonts w:cs="Arial"/>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5789C65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vAlign w:val="center"/>
          </w:tcPr>
          <w:p w14:paraId="6726D36C" w14:textId="77777777" w:rsidR="00F2350B" w:rsidRPr="00373DCC" w:rsidRDefault="00F2350B" w:rsidP="00710B91">
            <w:pPr>
              <w:keepNext/>
              <w:keepLines/>
              <w:tabs>
                <w:tab w:val="left" w:pos="907"/>
                <w:tab w:val="left" w:pos="1134"/>
              </w:tabs>
              <w:spacing w:line="240" w:lineRule="atLeast"/>
              <w:ind w:left="907" w:hanging="907"/>
              <w:outlineLvl w:val="4"/>
              <w:rPr>
                <w:rFonts w:cs="Arial"/>
                <w:sz w:val="21"/>
              </w:rPr>
            </w:pPr>
            <w:r w:rsidRPr="00373DCC">
              <w:rPr>
                <w:rFonts w:cs="Arial"/>
                <w:sz w:val="21"/>
              </w:rPr>
              <w:t>New medicine applications</w:t>
            </w:r>
          </w:p>
        </w:tc>
      </w:tr>
      <w:tr w:rsidR="00F2350B" w:rsidRPr="00373DCC" w14:paraId="020E8FC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5B8A542A" w14:textId="77777777" w:rsidR="00F2350B" w:rsidRPr="00373DCC" w:rsidRDefault="00F2350B" w:rsidP="00710B91">
            <w:pPr>
              <w:keepNext/>
              <w:spacing w:before="30" w:after="30" w:line="240" w:lineRule="atLeast"/>
              <w:rPr>
                <w:rFonts w:cs="Arial"/>
                <w:sz w:val="21"/>
              </w:rPr>
            </w:pPr>
            <w:r w:rsidRPr="00373DCC">
              <w:rPr>
                <w:rFonts w:cs="Arial"/>
                <w:sz w:val="21"/>
              </w:rPr>
              <w:t>L(A)1</w:t>
            </w:r>
          </w:p>
        </w:tc>
        <w:tc>
          <w:tcPr>
            <w:tcW w:w="777" w:type="pct"/>
            <w:tcBorders>
              <w:top w:val="single" w:sz="4" w:space="0" w:color="auto"/>
              <w:left w:val="single" w:sz="4" w:space="0" w:color="auto"/>
              <w:bottom w:val="single" w:sz="4" w:space="0" w:color="auto"/>
              <w:right w:val="single" w:sz="4" w:space="0" w:color="auto"/>
            </w:tcBorders>
            <w:vAlign w:val="center"/>
          </w:tcPr>
          <w:p w14:paraId="64CBAC51"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76" w:type="pct"/>
            <w:tcBorders>
              <w:top w:val="single" w:sz="4" w:space="0" w:color="auto"/>
              <w:left w:val="single" w:sz="4" w:space="0" w:color="auto"/>
              <w:bottom w:val="single" w:sz="4" w:space="0" w:color="auto"/>
              <w:right w:val="single" w:sz="4" w:space="0" w:color="auto"/>
            </w:tcBorders>
            <w:vAlign w:val="center"/>
          </w:tcPr>
          <w:p w14:paraId="749E9031"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3063EA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03AF89D0" w14:textId="77777777" w:rsidR="00F2350B" w:rsidRPr="00373DCC" w:rsidRDefault="00F2350B" w:rsidP="00710B91">
            <w:pPr>
              <w:keepNext/>
              <w:spacing w:before="30" w:after="30" w:line="240" w:lineRule="atLeast"/>
              <w:rPr>
                <w:rFonts w:cs="Arial"/>
                <w:sz w:val="21"/>
              </w:rPr>
            </w:pPr>
            <w:r w:rsidRPr="00373DCC">
              <w:rPr>
                <w:rFonts w:cs="Arial"/>
                <w:sz w:val="21"/>
              </w:rPr>
              <w:t>L(A)2</w:t>
            </w:r>
          </w:p>
        </w:tc>
        <w:tc>
          <w:tcPr>
            <w:tcW w:w="777" w:type="pct"/>
            <w:tcBorders>
              <w:top w:val="single" w:sz="4" w:space="0" w:color="auto"/>
              <w:left w:val="single" w:sz="4" w:space="0" w:color="auto"/>
              <w:bottom w:val="single" w:sz="4" w:space="0" w:color="auto"/>
              <w:right w:val="single" w:sz="4" w:space="0" w:color="auto"/>
            </w:tcBorders>
            <w:vAlign w:val="center"/>
          </w:tcPr>
          <w:p w14:paraId="004697FB"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76" w:type="pct"/>
            <w:tcBorders>
              <w:top w:val="single" w:sz="4" w:space="0" w:color="auto"/>
              <w:left w:val="single" w:sz="4" w:space="0" w:color="auto"/>
              <w:bottom w:val="single" w:sz="4" w:space="0" w:color="auto"/>
              <w:right w:val="single" w:sz="4" w:space="0" w:color="auto"/>
            </w:tcBorders>
            <w:vAlign w:val="center"/>
          </w:tcPr>
          <w:p w14:paraId="2F41311F"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824EFF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519E0CB4" w14:textId="77777777" w:rsidR="00F2350B" w:rsidRPr="00373DCC" w:rsidRDefault="00F2350B" w:rsidP="00710B91">
            <w:pPr>
              <w:keepNext/>
              <w:spacing w:before="30" w:after="30" w:line="240" w:lineRule="atLeast"/>
              <w:rPr>
                <w:rFonts w:cs="Arial"/>
                <w:sz w:val="21"/>
              </w:rPr>
            </w:pPr>
            <w:r w:rsidRPr="00373DCC">
              <w:rPr>
                <w:rFonts w:cs="Arial"/>
                <w:sz w:val="21"/>
              </w:rPr>
              <w:t>L(A)3</w:t>
            </w:r>
          </w:p>
        </w:tc>
        <w:tc>
          <w:tcPr>
            <w:tcW w:w="777" w:type="pct"/>
            <w:tcBorders>
              <w:top w:val="single" w:sz="4" w:space="0" w:color="auto"/>
              <w:left w:val="single" w:sz="4" w:space="0" w:color="auto"/>
              <w:bottom w:val="single" w:sz="4" w:space="0" w:color="auto"/>
              <w:right w:val="single" w:sz="4" w:space="0" w:color="auto"/>
            </w:tcBorders>
            <w:vAlign w:val="center"/>
          </w:tcPr>
          <w:p w14:paraId="375A4602"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(100%)</w:t>
            </w:r>
          </w:p>
        </w:tc>
        <w:tc>
          <w:tcPr>
            <w:tcW w:w="776" w:type="pct"/>
            <w:tcBorders>
              <w:top w:val="single" w:sz="4" w:space="0" w:color="auto"/>
              <w:left w:val="single" w:sz="4" w:space="0" w:color="auto"/>
              <w:bottom w:val="single" w:sz="4" w:space="0" w:color="auto"/>
              <w:right w:val="single" w:sz="4" w:space="0" w:color="auto"/>
            </w:tcBorders>
            <w:vAlign w:val="center"/>
          </w:tcPr>
          <w:p w14:paraId="1D3C94CB"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104FA3D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vAlign w:val="center"/>
          </w:tcPr>
          <w:p w14:paraId="7C167D64" w14:textId="77777777" w:rsidR="00F2350B" w:rsidRPr="00373DCC" w:rsidRDefault="00F2350B" w:rsidP="00710B91">
            <w:pPr>
              <w:keepNext/>
              <w:spacing w:before="30" w:after="30" w:line="240" w:lineRule="atLeast"/>
              <w:rPr>
                <w:rFonts w:cs="Arial"/>
                <w:sz w:val="21"/>
              </w:rPr>
            </w:pPr>
            <w:r w:rsidRPr="00373DCC">
              <w:rPr>
                <w:rFonts w:cs="Arial"/>
                <w:sz w:val="21"/>
              </w:rPr>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center"/>
          </w:tcPr>
          <w:p w14:paraId="05D55B0B"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(100%)</w:t>
            </w:r>
          </w:p>
        </w:tc>
        <w:tc>
          <w:tcPr>
            <w:tcW w:w="776" w:type="pct"/>
            <w:tcBorders>
              <w:top w:val="single" w:sz="4" w:space="0" w:color="auto"/>
              <w:left w:val="single" w:sz="4" w:space="0" w:color="auto"/>
              <w:bottom w:val="single" w:sz="4" w:space="0" w:color="auto"/>
              <w:right w:val="single" w:sz="4" w:space="0" w:color="auto"/>
            </w:tcBorders>
            <w:shd w:val="clear" w:color="auto" w:fill="C6D4E9"/>
            <w:vAlign w:val="center"/>
          </w:tcPr>
          <w:p w14:paraId="65127642"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57BC734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vAlign w:val="center"/>
          </w:tcPr>
          <w:p w14:paraId="5A4D04C2" w14:textId="77777777" w:rsidR="00F2350B" w:rsidRPr="00373DCC" w:rsidRDefault="00F2350B" w:rsidP="00710B91">
            <w:pPr>
              <w:keepNext/>
              <w:keepLines/>
              <w:tabs>
                <w:tab w:val="left" w:pos="907"/>
                <w:tab w:val="left" w:pos="1134"/>
              </w:tabs>
              <w:spacing w:line="240" w:lineRule="atLeast"/>
              <w:ind w:left="907" w:hanging="907"/>
              <w:outlineLvl w:val="4"/>
              <w:rPr>
                <w:rFonts w:cs="Arial"/>
                <w:sz w:val="21"/>
              </w:rPr>
            </w:pPr>
            <w:r w:rsidRPr="00373DCC">
              <w:rPr>
                <w:rFonts w:cs="Arial"/>
                <w:sz w:val="21"/>
              </w:rPr>
              <w:t>Change applications</w:t>
            </w:r>
          </w:p>
        </w:tc>
      </w:tr>
      <w:tr w:rsidR="00F2350B" w:rsidRPr="00373DCC" w14:paraId="637A1FE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739F1460" w14:textId="77777777" w:rsidR="00F2350B" w:rsidRPr="00373DCC" w:rsidRDefault="00F2350B" w:rsidP="00710B91">
            <w:pPr>
              <w:keepNext/>
              <w:spacing w:before="30" w:after="30" w:line="240" w:lineRule="atLeast"/>
              <w:rPr>
                <w:rFonts w:cs="Arial"/>
                <w:sz w:val="21"/>
              </w:rPr>
            </w:pPr>
            <w:r w:rsidRPr="00373DCC">
              <w:rPr>
                <w:rFonts w:cs="Arial"/>
                <w:sz w:val="21"/>
              </w:rPr>
              <w:t>CN</w:t>
            </w:r>
          </w:p>
        </w:tc>
        <w:tc>
          <w:tcPr>
            <w:tcW w:w="777" w:type="pct"/>
            <w:tcBorders>
              <w:top w:val="single" w:sz="4" w:space="0" w:color="auto"/>
              <w:left w:val="single" w:sz="4" w:space="0" w:color="auto"/>
              <w:bottom w:val="single" w:sz="4" w:space="0" w:color="auto"/>
              <w:right w:val="single" w:sz="4" w:space="0" w:color="auto"/>
            </w:tcBorders>
            <w:vAlign w:val="center"/>
          </w:tcPr>
          <w:p w14:paraId="38DD9FCF"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76" w:type="pct"/>
            <w:tcBorders>
              <w:top w:val="single" w:sz="4" w:space="0" w:color="auto"/>
              <w:left w:val="single" w:sz="4" w:space="0" w:color="auto"/>
              <w:bottom w:val="single" w:sz="4" w:space="0" w:color="auto"/>
              <w:right w:val="single" w:sz="4" w:space="0" w:color="auto"/>
            </w:tcBorders>
            <w:vAlign w:val="center"/>
          </w:tcPr>
          <w:p w14:paraId="2948A8A2"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7C8C500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5F278F1A" w14:textId="77777777" w:rsidR="00F2350B" w:rsidRPr="00373DCC" w:rsidRDefault="00F2350B" w:rsidP="00710B91">
            <w:pPr>
              <w:keepNext/>
              <w:spacing w:before="30" w:after="30" w:line="240" w:lineRule="atLeast"/>
              <w:rPr>
                <w:rFonts w:cs="Arial"/>
                <w:sz w:val="21"/>
              </w:rPr>
            </w:pPr>
            <w:r w:rsidRPr="00373DCC">
              <w:rPr>
                <w:rFonts w:cs="Arial"/>
                <w:sz w:val="21"/>
              </w:rPr>
              <w:t>C1</w:t>
            </w:r>
          </w:p>
        </w:tc>
        <w:tc>
          <w:tcPr>
            <w:tcW w:w="777" w:type="pct"/>
            <w:tcBorders>
              <w:top w:val="single" w:sz="4" w:space="0" w:color="auto"/>
              <w:left w:val="single" w:sz="4" w:space="0" w:color="auto"/>
              <w:bottom w:val="single" w:sz="4" w:space="0" w:color="auto"/>
              <w:right w:val="single" w:sz="4" w:space="0" w:color="auto"/>
            </w:tcBorders>
            <w:vAlign w:val="center"/>
          </w:tcPr>
          <w:p w14:paraId="0BA9C7A4"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776" w:type="pct"/>
            <w:tcBorders>
              <w:top w:val="single" w:sz="4" w:space="0" w:color="auto"/>
              <w:left w:val="single" w:sz="4" w:space="0" w:color="auto"/>
              <w:bottom w:val="single" w:sz="4" w:space="0" w:color="auto"/>
              <w:right w:val="single" w:sz="4" w:space="0" w:color="auto"/>
            </w:tcBorders>
            <w:vAlign w:val="center"/>
          </w:tcPr>
          <w:p w14:paraId="0B5CA756"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r>
      <w:tr w:rsidR="00F2350B" w:rsidRPr="00373DCC" w14:paraId="708E174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vAlign w:val="center"/>
          </w:tcPr>
          <w:p w14:paraId="2DE708D1" w14:textId="77777777" w:rsidR="00F2350B" w:rsidRPr="00373DCC" w:rsidRDefault="00F2350B" w:rsidP="00710B91">
            <w:pPr>
              <w:keepNext/>
              <w:spacing w:before="30" w:after="30" w:line="240" w:lineRule="atLeast"/>
              <w:rPr>
                <w:rFonts w:cs="Arial"/>
                <w:sz w:val="21"/>
              </w:rPr>
            </w:pPr>
            <w:r w:rsidRPr="00373DCC">
              <w:rPr>
                <w:rFonts w:cs="Arial"/>
                <w:sz w:val="21"/>
              </w:rPr>
              <w:t>C2</w:t>
            </w:r>
          </w:p>
        </w:tc>
        <w:tc>
          <w:tcPr>
            <w:tcW w:w="777" w:type="pct"/>
            <w:tcBorders>
              <w:top w:val="single" w:sz="4" w:space="0" w:color="auto"/>
              <w:left w:val="single" w:sz="4" w:space="0" w:color="auto"/>
              <w:bottom w:val="single" w:sz="4" w:space="0" w:color="auto"/>
              <w:right w:val="single" w:sz="4" w:space="0" w:color="auto"/>
            </w:tcBorders>
            <w:vAlign w:val="center"/>
          </w:tcPr>
          <w:p w14:paraId="1349FF8A"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c>
          <w:tcPr>
            <w:tcW w:w="776" w:type="pct"/>
            <w:tcBorders>
              <w:top w:val="single" w:sz="4" w:space="0" w:color="auto"/>
              <w:left w:val="single" w:sz="4" w:space="0" w:color="auto"/>
              <w:bottom w:val="single" w:sz="4" w:space="0" w:color="auto"/>
              <w:right w:val="single" w:sz="4" w:space="0" w:color="auto"/>
            </w:tcBorders>
            <w:vAlign w:val="center"/>
          </w:tcPr>
          <w:p w14:paraId="18DCFACC"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3F9C607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vAlign w:val="center"/>
          </w:tcPr>
          <w:p w14:paraId="162027AF" w14:textId="77777777" w:rsidR="00F2350B" w:rsidRPr="00373DCC" w:rsidRDefault="00F2350B" w:rsidP="00710B91">
            <w:pPr>
              <w:widowControl w:val="0"/>
              <w:spacing w:before="30" w:after="30" w:line="240" w:lineRule="atLeast"/>
              <w:rPr>
                <w:rFonts w:cs="Arial"/>
                <w:sz w:val="21"/>
              </w:rPr>
            </w:pPr>
            <w:r w:rsidRPr="00373DCC">
              <w:rPr>
                <w:rFonts w:cs="Arial"/>
                <w:sz w:val="21"/>
              </w:rPr>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center"/>
          </w:tcPr>
          <w:p w14:paraId="6A9F283B"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c>
          <w:tcPr>
            <w:tcW w:w="776" w:type="pct"/>
            <w:tcBorders>
              <w:top w:val="single" w:sz="4" w:space="0" w:color="auto"/>
              <w:left w:val="single" w:sz="4" w:space="0" w:color="auto"/>
              <w:bottom w:val="single" w:sz="4" w:space="0" w:color="auto"/>
              <w:right w:val="single" w:sz="4" w:space="0" w:color="auto"/>
            </w:tcBorders>
            <w:shd w:val="clear" w:color="auto" w:fill="C6D4E9"/>
            <w:vAlign w:val="center"/>
          </w:tcPr>
          <w:p w14:paraId="76D76075" w14:textId="77777777" w:rsidR="00F2350B" w:rsidRPr="00373DCC" w:rsidRDefault="00F2350B" w:rsidP="00710B91">
            <w:pPr>
              <w:keepNext/>
              <w:spacing w:before="30" w:after="30" w:line="240" w:lineRule="atLeast"/>
              <w:ind w:left="113"/>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 (100%)</w:t>
            </w:r>
          </w:p>
        </w:tc>
      </w:tr>
    </w:tbl>
    <w:p w14:paraId="6D2D87B9" w14:textId="77777777" w:rsidR="00F2350B" w:rsidRPr="00373DCC" w:rsidRDefault="00F2350B" w:rsidP="00F2350B">
      <w:pPr>
        <w:pStyle w:val="Heading2-numbered"/>
        <w:spacing w:after="0"/>
        <w:rPr>
          <w:rFonts w:ascii="Arial" w:hAnsi="Arial" w:cs="Arial"/>
          <w:b/>
          <w:color w:val="00348C" w:themeColor="accent1" w:themeShade="BF"/>
          <w:sz w:val="32"/>
        </w:rPr>
      </w:pPr>
    </w:p>
    <w:p w14:paraId="06BCC3E3" w14:textId="77777777" w:rsidR="00F2350B" w:rsidRPr="00373DCC" w:rsidRDefault="00F2350B" w:rsidP="00F2350B">
      <w:pPr>
        <w:spacing w:before="0" w:after="160" w:line="259" w:lineRule="auto"/>
        <w:rPr>
          <w:rFonts w:eastAsiaTheme="majorEastAsia" w:cs="Arial"/>
          <w:b/>
          <w:color w:val="00348C" w:themeColor="accent1" w:themeShade="BF"/>
          <w:sz w:val="32"/>
          <w:szCs w:val="32"/>
          <w:lang w:eastAsia="en-AU"/>
        </w:rPr>
      </w:pPr>
      <w:r w:rsidRPr="00373DCC">
        <w:rPr>
          <w:rFonts w:cs="Arial"/>
          <w:b/>
          <w:color w:val="00348C" w:themeColor="accent1" w:themeShade="BF"/>
          <w:sz w:val="32"/>
        </w:rPr>
        <w:br w:type="page"/>
      </w:r>
    </w:p>
    <w:p w14:paraId="12B3A2BA"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lastRenderedPageBreak/>
        <w:t xml:space="preserve"> </w:t>
      </w:r>
      <w:bookmarkStart w:id="116" w:name="_Toc153550457"/>
      <w:r w:rsidRPr="00373DCC">
        <w:rPr>
          <w:rFonts w:ascii="Arial" w:hAnsi="Arial" w:cs="Arial"/>
          <w:b/>
          <w:color w:val="00348C" w:themeColor="accent1" w:themeShade="BF"/>
          <w:sz w:val="32"/>
        </w:rPr>
        <w:t>Listed Medicines</w:t>
      </w:r>
      <w:bookmarkEnd w:id="116"/>
    </w:p>
    <w:p w14:paraId="10766315" w14:textId="77777777" w:rsidR="00F2350B" w:rsidRPr="00373DCC" w:rsidRDefault="00F2350B" w:rsidP="00F2350B">
      <w:pPr>
        <w:spacing w:after="120"/>
        <w:rPr>
          <w:rFonts w:cs="Arial"/>
          <w:sz w:val="21"/>
          <w:szCs w:val="21"/>
        </w:rPr>
      </w:pPr>
      <w:r w:rsidRPr="00373DCC">
        <w:rPr>
          <w:rFonts w:cs="Arial"/>
          <w:sz w:val="21"/>
          <w:szCs w:val="21"/>
        </w:rPr>
        <w:t>In comparison to registered medicines, listed medicines pose a lower risk and do not get a</w:t>
      </w:r>
      <w:r>
        <w:rPr>
          <w:rFonts w:cs="Arial"/>
          <w:sz w:val="21"/>
          <w:szCs w:val="21"/>
        </w:rPr>
        <w:t>ss</w:t>
      </w:r>
      <w:r w:rsidRPr="00373DCC">
        <w:rPr>
          <w:rFonts w:cs="Arial"/>
          <w:sz w:val="21"/>
          <w:szCs w:val="21"/>
        </w:rPr>
        <w:t xml:space="preserve">essed prior to market launch., </w:t>
      </w:r>
      <w:r>
        <w:rPr>
          <w:rFonts w:cs="Arial"/>
          <w:sz w:val="21"/>
          <w:szCs w:val="21"/>
        </w:rPr>
        <w:t>T</w:t>
      </w:r>
      <w:r w:rsidRPr="00373DCC">
        <w:rPr>
          <w:rFonts w:cs="Arial"/>
          <w:sz w:val="21"/>
          <w:szCs w:val="21"/>
        </w:rPr>
        <w:t xml:space="preserve">he ingredients and indications are preapproved, and the sponsor certifies that </w:t>
      </w:r>
      <w:r>
        <w:rPr>
          <w:rFonts w:cs="Arial"/>
          <w:sz w:val="21"/>
          <w:szCs w:val="21"/>
        </w:rPr>
        <w:t xml:space="preserve">their </w:t>
      </w:r>
      <w:r w:rsidRPr="00373DCC">
        <w:rPr>
          <w:rFonts w:cs="Arial"/>
          <w:sz w:val="21"/>
          <w:szCs w:val="21"/>
        </w:rPr>
        <w:t xml:space="preserve">medicine complies with all relevant legislation and holds evidence that it will be fit for purpose. </w:t>
      </w:r>
    </w:p>
    <w:p w14:paraId="28C3E83C" w14:textId="77777777" w:rsidR="00F2350B" w:rsidRPr="00373DCC" w:rsidRDefault="00F2350B" w:rsidP="00F2350B">
      <w:pPr>
        <w:spacing w:after="120"/>
        <w:rPr>
          <w:rFonts w:cs="Arial"/>
          <w:sz w:val="21"/>
          <w:szCs w:val="21"/>
        </w:rPr>
      </w:pPr>
      <w:r w:rsidRPr="00373DCC">
        <w:rPr>
          <w:rFonts w:cs="Arial"/>
          <w:sz w:val="21"/>
          <w:szCs w:val="21"/>
        </w:rPr>
        <w:t xml:space="preserve">A post market review is conducted on medicines randomly selected. We expect the sponsor to provide evidence of compliance with regulatory requirements, including the assessment of compliance with standards, efficacy, labelling and advertising. A listing can be suspended or cancelled if medicine does not comply with regulatory requirements. </w:t>
      </w:r>
    </w:p>
    <w:p w14:paraId="33B803C4" w14:textId="77777777" w:rsidR="00F2350B" w:rsidRPr="00B633E2"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117" w:name="_Toc153441475"/>
      <w:bookmarkStart w:id="118" w:name="_Toc153441626"/>
      <w:bookmarkStart w:id="119" w:name="_Toc153441476"/>
      <w:bookmarkStart w:id="120" w:name="_Toc153441627"/>
      <w:bookmarkStart w:id="121" w:name="_Toc153441477"/>
      <w:bookmarkStart w:id="122" w:name="_Toc153441628"/>
      <w:bookmarkStart w:id="123" w:name="_Toc153441478"/>
      <w:bookmarkStart w:id="124" w:name="_Toc153441629"/>
      <w:bookmarkStart w:id="125" w:name="_Toc153441479"/>
      <w:bookmarkStart w:id="126" w:name="_Toc153441630"/>
      <w:bookmarkStart w:id="127" w:name="_Toc153550145"/>
      <w:bookmarkStart w:id="128" w:name="_Toc153550309"/>
      <w:bookmarkStart w:id="129" w:name="_Toc153550458"/>
      <w:bookmarkEnd w:id="117"/>
      <w:bookmarkEnd w:id="118"/>
      <w:bookmarkEnd w:id="119"/>
      <w:bookmarkEnd w:id="120"/>
      <w:bookmarkEnd w:id="121"/>
      <w:bookmarkEnd w:id="122"/>
      <w:bookmarkEnd w:id="123"/>
      <w:bookmarkEnd w:id="124"/>
      <w:bookmarkEnd w:id="125"/>
      <w:bookmarkEnd w:id="126"/>
      <w:bookmarkEnd w:id="127"/>
      <w:bookmarkEnd w:id="128"/>
      <w:bookmarkEnd w:id="129"/>
    </w:p>
    <w:p w14:paraId="35754CD2" w14:textId="212F4A4F" w:rsidR="00F2350B" w:rsidRPr="00373DCC" w:rsidRDefault="00F2350B" w:rsidP="00B633E2">
      <w:pPr>
        <w:pStyle w:val="Heading3-numbered"/>
        <w:numPr>
          <w:ilvl w:val="1"/>
          <w:numId w:val="32"/>
        </w:numPr>
        <w:rPr>
          <w:rFonts w:ascii="Arial" w:hAnsi="Arial" w:cs="Arial"/>
        </w:rPr>
      </w:pPr>
      <w:bookmarkStart w:id="130" w:name="_Toc153550459"/>
      <w:r w:rsidRPr="00373DCC">
        <w:rPr>
          <w:rFonts w:ascii="Arial" w:hAnsi="Arial" w:cs="Arial"/>
        </w:rPr>
        <w:t>New ingredients permitted for use in listed medicines</w:t>
      </w:r>
      <w:bookmarkEnd w:id="130"/>
    </w:p>
    <w:p w14:paraId="7010ED3A" w14:textId="77777777" w:rsidR="00F2350B" w:rsidRPr="00373DCC" w:rsidRDefault="00F2350B" w:rsidP="00F2350B">
      <w:pPr>
        <w:keepNext/>
        <w:spacing w:before="240" w:after="120" w:line="240" w:lineRule="auto"/>
        <w:rPr>
          <w:rFonts w:eastAsia="Cambria" w:cs="Arial"/>
          <w:b/>
          <w:bCs/>
          <w:sz w:val="21"/>
          <w:szCs w:val="21"/>
        </w:rPr>
      </w:pPr>
      <w:bookmarkStart w:id="131" w:name="Table20"/>
      <w:r w:rsidRPr="00373DCC">
        <w:rPr>
          <w:rFonts w:eastAsia="Cambria" w:cs="Arial"/>
          <w:b/>
          <w:bCs/>
          <w:sz w:val="21"/>
          <w:szCs w:val="21"/>
        </w:rPr>
        <w:t>Table 20: New listed medicine ingredient applications by outcome</w:t>
      </w:r>
    </w:p>
    <w:tbl>
      <w:tblPr>
        <w:tblStyle w:val="TableTGAblue"/>
        <w:tblW w:w="5000" w:type="pct"/>
        <w:tblLook w:val="04A0" w:firstRow="1" w:lastRow="0" w:firstColumn="1" w:lastColumn="0" w:noHBand="0" w:noVBand="1"/>
      </w:tblPr>
      <w:tblGrid>
        <w:gridCol w:w="5811"/>
        <w:gridCol w:w="1559"/>
        <w:gridCol w:w="1651"/>
      </w:tblGrid>
      <w:tr w:rsidR="00F2350B" w:rsidRPr="00373DCC" w14:paraId="6798BA24" w14:textId="77777777" w:rsidTr="009B6A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29527F"/>
            <w:vAlign w:val="center"/>
          </w:tcPr>
          <w:bookmarkEnd w:id="131"/>
          <w:p w14:paraId="5469BB36" w14:textId="05E1DE10" w:rsidR="00F2350B" w:rsidRPr="00373DCC" w:rsidRDefault="009B6A61" w:rsidP="009B6A61">
            <w:pPr>
              <w:keepLines/>
              <w:widowControl w:val="0"/>
              <w:spacing w:before="0" w:after="0" w:line="240" w:lineRule="atLeast"/>
              <w:contextualSpacing/>
              <w:rPr>
                <w:rFonts w:eastAsiaTheme="minorHAnsi" w:cs="Arial"/>
                <w:sz w:val="21"/>
              </w:rPr>
            </w:pPr>
            <w:r w:rsidRPr="00373DCC">
              <w:rPr>
                <w:rFonts w:cs="Arial"/>
                <w:sz w:val="21"/>
              </w:rPr>
              <w:t>Application outcome</w:t>
            </w:r>
          </w:p>
        </w:tc>
        <w:tc>
          <w:tcPr>
            <w:tcW w:w="864" w:type="pct"/>
            <w:tcBorders>
              <w:top w:val="single" w:sz="4" w:space="0" w:color="auto"/>
              <w:left w:val="single" w:sz="4" w:space="0" w:color="auto"/>
              <w:bottom w:val="single" w:sz="4" w:space="0" w:color="auto"/>
              <w:right w:val="single" w:sz="4" w:space="0" w:color="auto"/>
            </w:tcBorders>
            <w:shd w:val="clear" w:color="auto" w:fill="29527F"/>
            <w:vAlign w:val="center"/>
          </w:tcPr>
          <w:p w14:paraId="773FEB3E" w14:textId="44253D9D" w:rsidR="00F2350B" w:rsidRPr="00F07150" w:rsidRDefault="00F07150" w:rsidP="00710B91">
            <w:pPr>
              <w:keepLines/>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2021-22</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c>
          <w:tcPr>
            <w:tcW w:w="915" w:type="pct"/>
            <w:tcBorders>
              <w:top w:val="single" w:sz="4" w:space="0" w:color="auto"/>
              <w:left w:val="single" w:sz="4" w:space="0" w:color="auto"/>
              <w:bottom w:val="single" w:sz="4" w:space="0" w:color="auto"/>
              <w:right w:val="single" w:sz="4" w:space="0" w:color="auto"/>
            </w:tcBorders>
            <w:shd w:val="clear" w:color="auto" w:fill="29527F"/>
            <w:vAlign w:val="center"/>
          </w:tcPr>
          <w:p w14:paraId="6A30A78D" w14:textId="612759D2" w:rsidR="00F2350B" w:rsidRPr="00F07150" w:rsidRDefault="00F07150" w:rsidP="00710B91">
            <w:pPr>
              <w:keepLines/>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2022-23</w:t>
            </w:r>
            <w:r w:rsidR="009B6A61">
              <w:rPr>
                <w:rFonts w:eastAsiaTheme="minorHAnsi" w:cs="Arial"/>
                <w:color w:val="FFFFFF" w:themeColor="background1"/>
                <w:sz w:val="21"/>
              </w:rPr>
              <w:t xml:space="preserve"> Number </w:t>
            </w:r>
            <w:r w:rsidR="009B6A61">
              <w:rPr>
                <w:rFonts w:eastAsiaTheme="minorHAnsi" w:cs="Arial"/>
                <w:color w:val="FFFFFF" w:themeColor="background1"/>
                <w:sz w:val="21"/>
              </w:rPr>
              <w:br/>
            </w:r>
            <w:r w:rsidR="009B6A61" w:rsidRPr="00F07150">
              <w:rPr>
                <w:rFonts w:eastAsiaTheme="minorHAnsi" w:cs="Arial"/>
                <w:color w:val="FFFFFF" w:themeColor="background1"/>
                <w:sz w:val="21"/>
              </w:rPr>
              <w:t>(% of total)</w:t>
            </w:r>
          </w:p>
        </w:tc>
      </w:tr>
      <w:tr w:rsidR="00F2350B" w:rsidRPr="00373DCC" w14:paraId="2F0AF9E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30B16934" w14:textId="77777777" w:rsidR="00F2350B" w:rsidRPr="00373DCC" w:rsidRDefault="00F2350B" w:rsidP="00710B91">
            <w:pPr>
              <w:keepLines/>
              <w:widowControl w:val="0"/>
              <w:spacing w:before="0" w:after="0" w:line="240" w:lineRule="atLeast"/>
              <w:contextualSpacing/>
              <w:rPr>
                <w:rFonts w:eastAsiaTheme="minorHAnsi" w:cs="Arial"/>
                <w:sz w:val="21"/>
              </w:rPr>
            </w:pPr>
            <w:r w:rsidRPr="00373DCC">
              <w:rPr>
                <w:rFonts w:eastAsiaTheme="minorHAnsi" w:cs="Arial"/>
                <w:sz w:val="21"/>
              </w:rPr>
              <w:t xml:space="preserve">Approved </w:t>
            </w:r>
          </w:p>
        </w:tc>
        <w:tc>
          <w:tcPr>
            <w:tcW w:w="864" w:type="pct"/>
            <w:tcBorders>
              <w:top w:val="single" w:sz="4" w:space="0" w:color="auto"/>
              <w:left w:val="single" w:sz="4" w:space="0" w:color="auto"/>
              <w:bottom w:val="single" w:sz="4" w:space="0" w:color="auto"/>
              <w:right w:val="single" w:sz="4" w:space="0" w:color="auto"/>
            </w:tcBorders>
            <w:vAlign w:val="center"/>
          </w:tcPr>
          <w:p w14:paraId="211DC41D" w14:textId="77777777" w:rsidR="00F2350B" w:rsidRPr="00373DCC" w:rsidRDefault="00F2350B" w:rsidP="00710B91">
            <w:pPr>
              <w:keepLines/>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vertAlign w:val="superscript"/>
              </w:rPr>
            </w:pPr>
            <w:r w:rsidRPr="00373DCC">
              <w:rPr>
                <w:rFonts w:cs="Arial"/>
                <w:sz w:val="21"/>
              </w:rPr>
              <w:t>14 (56%)</w:t>
            </w:r>
          </w:p>
        </w:tc>
        <w:tc>
          <w:tcPr>
            <w:tcW w:w="915" w:type="pct"/>
            <w:tcBorders>
              <w:top w:val="single" w:sz="4" w:space="0" w:color="auto"/>
              <w:left w:val="single" w:sz="4" w:space="0" w:color="auto"/>
              <w:bottom w:val="single" w:sz="4" w:space="0" w:color="auto"/>
              <w:right w:val="single" w:sz="4" w:space="0" w:color="auto"/>
            </w:tcBorders>
            <w:vAlign w:val="center"/>
          </w:tcPr>
          <w:p w14:paraId="0DF9464F"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 (50%)</w:t>
            </w:r>
          </w:p>
        </w:tc>
      </w:tr>
      <w:tr w:rsidR="00F2350B" w:rsidRPr="00373DCC" w14:paraId="5EB65FE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5321C50B" w14:textId="77777777" w:rsidR="00F2350B" w:rsidRPr="00373DCC" w:rsidRDefault="00F2350B" w:rsidP="00710B91">
            <w:pPr>
              <w:keepLines/>
              <w:widowControl w:val="0"/>
              <w:spacing w:before="0" w:after="0" w:line="240" w:lineRule="atLeast"/>
              <w:contextualSpacing/>
              <w:rPr>
                <w:rFonts w:eastAsiaTheme="minorHAnsi" w:cs="Arial"/>
                <w:sz w:val="21"/>
              </w:rPr>
            </w:pPr>
            <w:r w:rsidRPr="00373DCC">
              <w:rPr>
                <w:rFonts w:eastAsiaTheme="minorHAnsi" w:cs="Arial"/>
                <w:sz w:val="21"/>
              </w:rPr>
              <w:t>Rejected</w:t>
            </w:r>
          </w:p>
        </w:tc>
        <w:tc>
          <w:tcPr>
            <w:tcW w:w="864" w:type="pct"/>
            <w:tcBorders>
              <w:top w:val="single" w:sz="4" w:space="0" w:color="auto"/>
              <w:left w:val="single" w:sz="4" w:space="0" w:color="auto"/>
              <w:bottom w:val="single" w:sz="4" w:space="0" w:color="auto"/>
              <w:right w:val="single" w:sz="4" w:space="0" w:color="auto"/>
            </w:tcBorders>
            <w:vAlign w:val="center"/>
          </w:tcPr>
          <w:p w14:paraId="519124B1"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(16%)</w:t>
            </w:r>
          </w:p>
        </w:tc>
        <w:tc>
          <w:tcPr>
            <w:tcW w:w="915" w:type="pct"/>
            <w:tcBorders>
              <w:top w:val="single" w:sz="4" w:space="0" w:color="auto"/>
              <w:left w:val="single" w:sz="4" w:space="0" w:color="auto"/>
              <w:bottom w:val="single" w:sz="4" w:space="0" w:color="auto"/>
              <w:right w:val="single" w:sz="4" w:space="0" w:color="auto"/>
            </w:tcBorders>
            <w:vAlign w:val="center"/>
          </w:tcPr>
          <w:p w14:paraId="48397124"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305476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158AC584" w14:textId="77777777" w:rsidR="00F2350B" w:rsidRPr="00373DCC" w:rsidRDefault="00F2350B" w:rsidP="00710B91">
            <w:pPr>
              <w:keepLines/>
              <w:widowControl w:val="0"/>
              <w:spacing w:before="0" w:after="0" w:line="240" w:lineRule="atLeast"/>
              <w:contextualSpacing/>
              <w:rPr>
                <w:rFonts w:eastAsiaTheme="minorHAnsi" w:cs="Arial"/>
                <w:sz w:val="21"/>
              </w:rPr>
            </w:pPr>
            <w:r w:rsidRPr="00373DCC">
              <w:rPr>
                <w:rFonts w:eastAsiaTheme="minorHAnsi" w:cs="Arial"/>
                <w:sz w:val="21"/>
              </w:rPr>
              <w:t xml:space="preserve">Withdrawn </w:t>
            </w:r>
          </w:p>
        </w:tc>
        <w:tc>
          <w:tcPr>
            <w:tcW w:w="864" w:type="pct"/>
            <w:tcBorders>
              <w:top w:val="single" w:sz="4" w:space="0" w:color="auto"/>
              <w:left w:val="single" w:sz="4" w:space="0" w:color="auto"/>
              <w:bottom w:val="single" w:sz="4" w:space="0" w:color="auto"/>
              <w:right w:val="single" w:sz="4" w:space="0" w:color="auto"/>
            </w:tcBorders>
            <w:vAlign w:val="center"/>
          </w:tcPr>
          <w:p w14:paraId="07C81832"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 (28%)</w:t>
            </w:r>
          </w:p>
        </w:tc>
        <w:tc>
          <w:tcPr>
            <w:tcW w:w="915" w:type="pct"/>
            <w:tcBorders>
              <w:top w:val="single" w:sz="4" w:space="0" w:color="auto"/>
              <w:left w:val="single" w:sz="4" w:space="0" w:color="auto"/>
              <w:bottom w:val="single" w:sz="4" w:space="0" w:color="auto"/>
              <w:right w:val="single" w:sz="4" w:space="0" w:color="auto"/>
            </w:tcBorders>
            <w:vAlign w:val="center"/>
          </w:tcPr>
          <w:p w14:paraId="2254F555"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 (50%)</w:t>
            </w:r>
          </w:p>
        </w:tc>
      </w:tr>
      <w:tr w:rsidR="00F2350B" w:rsidRPr="00373DCC" w14:paraId="1155773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29996"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Returned/failed screening</w:t>
            </w:r>
          </w:p>
        </w:tc>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ACB70"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B4727"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F4A63E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shd w:val="clear" w:color="auto" w:fill="C6D4E9"/>
            <w:vAlign w:val="center"/>
          </w:tcPr>
          <w:p w14:paraId="16CC315C" w14:textId="77777777" w:rsidR="00F2350B" w:rsidRPr="00373DCC" w:rsidRDefault="00F2350B" w:rsidP="00710B91">
            <w:pPr>
              <w:keepLines/>
              <w:widowControl w:val="0"/>
              <w:spacing w:before="0" w:after="0" w:line="240" w:lineRule="atLeast"/>
              <w:contextualSpacing/>
              <w:rPr>
                <w:rFonts w:eastAsiaTheme="minorHAnsi" w:cs="Arial"/>
                <w:sz w:val="21"/>
              </w:rPr>
            </w:pPr>
            <w:r w:rsidRPr="00373DCC">
              <w:rPr>
                <w:rFonts w:eastAsiaTheme="minorHAnsi" w:cs="Arial"/>
                <w:sz w:val="21"/>
              </w:rPr>
              <w:t>Total completed</w:t>
            </w:r>
          </w:p>
        </w:tc>
        <w:tc>
          <w:tcPr>
            <w:tcW w:w="864" w:type="pct"/>
            <w:tcBorders>
              <w:top w:val="single" w:sz="4" w:space="0" w:color="auto"/>
              <w:left w:val="single" w:sz="4" w:space="0" w:color="auto"/>
              <w:bottom w:val="single" w:sz="4" w:space="0" w:color="auto"/>
              <w:right w:val="single" w:sz="4" w:space="0" w:color="auto"/>
            </w:tcBorders>
            <w:shd w:val="clear" w:color="auto" w:fill="C6D4E9"/>
            <w:vAlign w:val="center"/>
          </w:tcPr>
          <w:p w14:paraId="328E53DD"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25 (100%)</w:t>
            </w:r>
          </w:p>
        </w:tc>
        <w:tc>
          <w:tcPr>
            <w:tcW w:w="915" w:type="pct"/>
            <w:tcBorders>
              <w:top w:val="single" w:sz="4" w:space="0" w:color="auto"/>
              <w:left w:val="single" w:sz="4" w:space="0" w:color="auto"/>
              <w:bottom w:val="single" w:sz="4" w:space="0" w:color="auto"/>
              <w:right w:val="single" w:sz="4" w:space="0" w:color="auto"/>
            </w:tcBorders>
            <w:shd w:val="clear" w:color="auto" w:fill="C6D4E9"/>
            <w:vAlign w:val="center"/>
          </w:tcPr>
          <w:p w14:paraId="19341D07"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16 (100%)</w:t>
            </w:r>
          </w:p>
        </w:tc>
      </w:tr>
    </w:tbl>
    <w:p w14:paraId="63E8080F" w14:textId="77777777" w:rsidR="00F2350B" w:rsidRPr="00373DCC" w:rsidRDefault="00F2350B" w:rsidP="00B633E2">
      <w:pPr>
        <w:pStyle w:val="Heading3-numbered"/>
        <w:numPr>
          <w:ilvl w:val="1"/>
          <w:numId w:val="32"/>
        </w:numPr>
        <w:rPr>
          <w:rFonts w:ascii="Arial" w:hAnsi="Arial" w:cs="Arial"/>
        </w:rPr>
      </w:pPr>
      <w:bookmarkStart w:id="132" w:name="_Toc153550460"/>
      <w:r w:rsidRPr="00373DCC">
        <w:rPr>
          <w:rFonts w:ascii="Arial" w:hAnsi="Arial" w:cs="Arial"/>
        </w:rPr>
        <w:t>Indications permitted for use in listed medicines</w:t>
      </w:r>
      <w:bookmarkEnd w:id="132"/>
    </w:p>
    <w:p w14:paraId="578A119F" w14:textId="77777777" w:rsidR="00F2350B" w:rsidRPr="00373DCC" w:rsidRDefault="00F2350B" w:rsidP="00F2350B">
      <w:pPr>
        <w:keepNext/>
        <w:spacing w:before="240" w:after="120" w:line="240" w:lineRule="auto"/>
        <w:rPr>
          <w:rFonts w:eastAsia="Cambria" w:cs="Arial"/>
          <w:b/>
          <w:bCs/>
          <w:sz w:val="21"/>
          <w:szCs w:val="21"/>
        </w:rPr>
      </w:pPr>
      <w:bookmarkStart w:id="133" w:name="Table21"/>
      <w:r w:rsidRPr="00373DCC">
        <w:rPr>
          <w:rFonts w:eastAsia="Cambria" w:cs="Arial"/>
          <w:b/>
          <w:bCs/>
          <w:sz w:val="21"/>
          <w:szCs w:val="21"/>
        </w:rPr>
        <w:t>Table 21: Permitted indication applications by outcome</w:t>
      </w:r>
    </w:p>
    <w:tbl>
      <w:tblPr>
        <w:tblStyle w:val="TableTGAblue"/>
        <w:tblW w:w="5000" w:type="pct"/>
        <w:tblLook w:val="04A0" w:firstRow="1" w:lastRow="0" w:firstColumn="1" w:lastColumn="0" w:noHBand="0" w:noVBand="1"/>
      </w:tblPr>
      <w:tblGrid>
        <w:gridCol w:w="5811"/>
        <w:gridCol w:w="1604"/>
        <w:gridCol w:w="1606"/>
      </w:tblGrid>
      <w:tr w:rsidR="00F2350B" w:rsidRPr="00373DCC" w14:paraId="01BB888F" w14:textId="77777777" w:rsidTr="009B6A61">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29527F"/>
            <w:vAlign w:val="center"/>
          </w:tcPr>
          <w:bookmarkEnd w:id="133"/>
          <w:p w14:paraId="66D2E95C" w14:textId="45BF635B" w:rsidR="00F2350B" w:rsidRPr="00373DCC" w:rsidRDefault="009B6A61" w:rsidP="00710B91">
            <w:pPr>
              <w:widowControl w:val="0"/>
              <w:spacing w:line="240" w:lineRule="atLeast"/>
              <w:contextualSpacing/>
              <w:rPr>
                <w:rFonts w:eastAsiaTheme="minorHAnsi" w:cs="Arial"/>
                <w:sz w:val="21"/>
              </w:rPr>
            </w:pPr>
            <w:r w:rsidRPr="00373DCC">
              <w:rPr>
                <w:rFonts w:cs="Arial"/>
                <w:sz w:val="21"/>
              </w:rPr>
              <w:t>Application outcome</w:t>
            </w:r>
          </w:p>
        </w:tc>
        <w:tc>
          <w:tcPr>
            <w:tcW w:w="889" w:type="pct"/>
            <w:tcBorders>
              <w:top w:val="single" w:sz="4" w:space="0" w:color="auto"/>
              <w:left w:val="single" w:sz="4" w:space="0" w:color="auto"/>
              <w:bottom w:val="single" w:sz="4" w:space="0" w:color="auto"/>
              <w:right w:val="single" w:sz="4" w:space="0" w:color="auto"/>
            </w:tcBorders>
            <w:shd w:val="clear" w:color="auto" w:fill="29527F"/>
            <w:vAlign w:val="center"/>
          </w:tcPr>
          <w:p w14:paraId="4C65CBBF" w14:textId="77777777" w:rsidR="00F2350B" w:rsidRPr="00F07150" w:rsidRDefault="00F0715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2021-22</w:t>
            </w:r>
          </w:p>
          <w:p w14:paraId="444F5E24" w14:textId="6708A934" w:rsidR="00F07150" w:rsidRPr="00F07150" w:rsidRDefault="009B6A61"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Number </w:t>
            </w:r>
            <w:r>
              <w:rPr>
                <w:rFonts w:eastAsiaTheme="minorHAnsi" w:cs="Arial"/>
                <w:color w:val="FFFFFF" w:themeColor="background1"/>
                <w:sz w:val="21"/>
              </w:rPr>
              <w:br/>
            </w:r>
            <w:r w:rsidR="00F07150" w:rsidRPr="00F07150">
              <w:rPr>
                <w:rFonts w:eastAsiaTheme="minorHAnsi" w:cs="Arial"/>
                <w:color w:val="FFFFFF" w:themeColor="background1"/>
                <w:sz w:val="21"/>
              </w:rPr>
              <w:t>(% of total)</w:t>
            </w:r>
          </w:p>
        </w:tc>
        <w:tc>
          <w:tcPr>
            <w:tcW w:w="890" w:type="pct"/>
            <w:tcBorders>
              <w:top w:val="single" w:sz="4" w:space="0" w:color="auto"/>
              <w:left w:val="single" w:sz="4" w:space="0" w:color="auto"/>
              <w:bottom w:val="single" w:sz="4" w:space="0" w:color="auto"/>
              <w:right w:val="single" w:sz="4" w:space="0" w:color="auto"/>
            </w:tcBorders>
            <w:shd w:val="clear" w:color="auto" w:fill="29527F"/>
            <w:vAlign w:val="center"/>
          </w:tcPr>
          <w:p w14:paraId="20F146B8" w14:textId="77777777" w:rsidR="00F2350B" w:rsidRPr="00F07150" w:rsidRDefault="00F0715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2022-23</w:t>
            </w:r>
          </w:p>
          <w:p w14:paraId="33DB5E40" w14:textId="1D05A09C" w:rsidR="00F07150" w:rsidRPr="00F07150" w:rsidRDefault="009B6A61"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Number</w:t>
            </w:r>
            <w:r>
              <w:rPr>
                <w:rFonts w:eastAsiaTheme="minorHAnsi" w:cs="Arial"/>
                <w:color w:val="FFFFFF" w:themeColor="background1"/>
                <w:sz w:val="21"/>
              </w:rPr>
              <w:br/>
            </w:r>
            <w:r w:rsidR="00F07150" w:rsidRPr="00F07150">
              <w:rPr>
                <w:rFonts w:eastAsiaTheme="minorHAnsi" w:cs="Arial"/>
                <w:color w:val="FFFFFF" w:themeColor="background1"/>
                <w:sz w:val="21"/>
              </w:rPr>
              <w:t>(% of total)</w:t>
            </w:r>
          </w:p>
        </w:tc>
      </w:tr>
      <w:tr w:rsidR="00F2350B" w:rsidRPr="00373DCC" w14:paraId="43FB3E1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43A509C7" w14:textId="77777777" w:rsidR="00F2350B" w:rsidRPr="00373DCC" w:rsidRDefault="00F2350B" w:rsidP="00710B91">
            <w:pPr>
              <w:keepLines/>
              <w:widowControl w:val="0"/>
              <w:spacing w:line="240" w:lineRule="atLeast"/>
              <w:contextualSpacing/>
              <w:rPr>
                <w:rFonts w:eastAsiaTheme="minorHAnsi" w:cs="Arial"/>
                <w:sz w:val="21"/>
              </w:rPr>
            </w:pPr>
            <w:r w:rsidRPr="00373DCC">
              <w:rPr>
                <w:rFonts w:eastAsiaTheme="minorHAnsi" w:cs="Arial"/>
                <w:sz w:val="21"/>
              </w:rPr>
              <w:t xml:space="preserve">Approved </w:t>
            </w:r>
          </w:p>
        </w:tc>
        <w:tc>
          <w:tcPr>
            <w:tcW w:w="889" w:type="pct"/>
            <w:tcBorders>
              <w:top w:val="single" w:sz="4" w:space="0" w:color="auto"/>
              <w:left w:val="single" w:sz="4" w:space="0" w:color="auto"/>
              <w:bottom w:val="single" w:sz="4" w:space="0" w:color="auto"/>
              <w:right w:val="single" w:sz="4" w:space="0" w:color="auto"/>
            </w:tcBorders>
            <w:vAlign w:val="center"/>
          </w:tcPr>
          <w:p w14:paraId="2D74E67E"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vertAlign w:val="superscript"/>
              </w:rPr>
            </w:pPr>
            <w:r w:rsidRPr="00373DCC">
              <w:rPr>
                <w:rFonts w:eastAsiaTheme="minorHAnsi" w:cs="Arial"/>
                <w:sz w:val="21"/>
              </w:rPr>
              <w:t>0 (0%)</w:t>
            </w:r>
          </w:p>
        </w:tc>
        <w:tc>
          <w:tcPr>
            <w:tcW w:w="890" w:type="pct"/>
            <w:tcBorders>
              <w:top w:val="single" w:sz="4" w:space="0" w:color="auto"/>
              <w:left w:val="single" w:sz="4" w:space="0" w:color="auto"/>
              <w:bottom w:val="single" w:sz="4" w:space="0" w:color="auto"/>
              <w:right w:val="single" w:sz="4" w:space="0" w:color="auto"/>
            </w:tcBorders>
            <w:vAlign w:val="center"/>
          </w:tcPr>
          <w:p w14:paraId="78BB4962"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3C9DEED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188A048D" w14:textId="77777777" w:rsidR="00F2350B" w:rsidRPr="00373DCC" w:rsidRDefault="00F2350B" w:rsidP="00710B91">
            <w:pPr>
              <w:keepLines/>
              <w:widowControl w:val="0"/>
              <w:spacing w:line="240" w:lineRule="atLeast"/>
              <w:contextualSpacing/>
              <w:rPr>
                <w:rFonts w:eastAsiaTheme="minorHAnsi" w:cs="Arial"/>
                <w:sz w:val="21"/>
              </w:rPr>
            </w:pPr>
            <w:r w:rsidRPr="00373DCC">
              <w:rPr>
                <w:rFonts w:eastAsiaTheme="minorHAnsi" w:cs="Arial"/>
                <w:sz w:val="21"/>
              </w:rPr>
              <w:t>Rejected</w:t>
            </w:r>
          </w:p>
        </w:tc>
        <w:tc>
          <w:tcPr>
            <w:tcW w:w="889" w:type="pct"/>
            <w:tcBorders>
              <w:top w:val="single" w:sz="4" w:space="0" w:color="auto"/>
              <w:left w:val="single" w:sz="4" w:space="0" w:color="auto"/>
              <w:bottom w:val="single" w:sz="4" w:space="0" w:color="auto"/>
              <w:right w:val="single" w:sz="4" w:space="0" w:color="auto"/>
            </w:tcBorders>
            <w:vAlign w:val="center"/>
          </w:tcPr>
          <w:p w14:paraId="01DD42EF"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(75%)</w:t>
            </w:r>
          </w:p>
        </w:tc>
        <w:tc>
          <w:tcPr>
            <w:tcW w:w="890" w:type="pct"/>
            <w:tcBorders>
              <w:top w:val="single" w:sz="4" w:space="0" w:color="auto"/>
              <w:left w:val="single" w:sz="4" w:space="0" w:color="auto"/>
              <w:bottom w:val="single" w:sz="4" w:space="0" w:color="auto"/>
              <w:right w:val="single" w:sz="4" w:space="0" w:color="auto"/>
            </w:tcBorders>
            <w:vAlign w:val="center"/>
          </w:tcPr>
          <w:p w14:paraId="205D76A9"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(100%)</w:t>
            </w:r>
          </w:p>
        </w:tc>
      </w:tr>
      <w:tr w:rsidR="00F2350B" w:rsidRPr="00373DCC" w14:paraId="7DC5F4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vAlign w:val="center"/>
          </w:tcPr>
          <w:p w14:paraId="11E0767D" w14:textId="77777777" w:rsidR="00F2350B" w:rsidRPr="00373DCC" w:rsidRDefault="00F2350B" w:rsidP="00710B91">
            <w:pPr>
              <w:keepLines/>
              <w:widowControl w:val="0"/>
              <w:spacing w:line="240" w:lineRule="atLeast"/>
              <w:contextualSpacing/>
              <w:rPr>
                <w:rFonts w:eastAsiaTheme="minorHAnsi" w:cs="Arial"/>
                <w:sz w:val="21"/>
              </w:rPr>
            </w:pPr>
            <w:r w:rsidRPr="00373DCC">
              <w:rPr>
                <w:rFonts w:eastAsiaTheme="minorHAnsi" w:cs="Arial"/>
                <w:sz w:val="21"/>
              </w:rPr>
              <w:t xml:space="preserve">Withdrawn </w:t>
            </w:r>
          </w:p>
        </w:tc>
        <w:tc>
          <w:tcPr>
            <w:tcW w:w="889" w:type="pct"/>
            <w:tcBorders>
              <w:top w:val="single" w:sz="4" w:space="0" w:color="auto"/>
              <w:left w:val="single" w:sz="4" w:space="0" w:color="auto"/>
              <w:bottom w:val="single" w:sz="4" w:space="0" w:color="auto"/>
              <w:right w:val="single" w:sz="4" w:space="0" w:color="auto"/>
            </w:tcBorders>
            <w:vAlign w:val="center"/>
          </w:tcPr>
          <w:p w14:paraId="6B2E5EB7"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(25%)</w:t>
            </w:r>
          </w:p>
        </w:tc>
        <w:tc>
          <w:tcPr>
            <w:tcW w:w="890" w:type="pct"/>
            <w:tcBorders>
              <w:top w:val="single" w:sz="4" w:space="0" w:color="auto"/>
              <w:left w:val="single" w:sz="4" w:space="0" w:color="auto"/>
              <w:bottom w:val="single" w:sz="4" w:space="0" w:color="auto"/>
              <w:right w:val="single" w:sz="4" w:space="0" w:color="auto"/>
            </w:tcBorders>
            <w:vAlign w:val="center"/>
          </w:tcPr>
          <w:p w14:paraId="6CF4935B"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69D594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auto"/>
              <w:left w:val="single" w:sz="4" w:space="0" w:color="auto"/>
              <w:bottom w:val="single" w:sz="4" w:space="0" w:color="auto"/>
              <w:right w:val="single" w:sz="4" w:space="0" w:color="auto"/>
            </w:tcBorders>
            <w:shd w:val="clear" w:color="auto" w:fill="C6D4E9"/>
            <w:vAlign w:val="center"/>
          </w:tcPr>
          <w:p w14:paraId="2E31A45E" w14:textId="77777777" w:rsidR="00F2350B" w:rsidRPr="00373DCC" w:rsidRDefault="00F2350B" w:rsidP="00710B91">
            <w:pPr>
              <w:keepLines/>
              <w:widowControl w:val="0"/>
              <w:spacing w:line="240" w:lineRule="atLeast"/>
              <w:contextualSpacing/>
              <w:rPr>
                <w:rFonts w:eastAsiaTheme="minorHAnsi" w:cs="Arial"/>
                <w:sz w:val="21"/>
              </w:rPr>
            </w:pPr>
            <w:r w:rsidRPr="00373DCC">
              <w:rPr>
                <w:rFonts w:eastAsiaTheme="minorHAnsi" w:cs="Arial"/>
                <w:sz w:val="21"/>
              </w:rPr>
              <w:t>Total completed</w:t>
            </w:r>
          </w:p>
        </w:tc>
        <w:tc>
          <w:tcPr>
            <w:tcW w:w="889" w:type="pct"/>
            <w:tcBorders>
              <w:top w:val="single" w:sz="4" w:space="0" w:color="auto"/>
              <w:left w:val="single" w:sz="4" w:space="0" w:color="auto"/>
              <w:bottom w:val="single" w:sz="4" w:space="0" w:color="auto"/>
              <w:right w:val="single" w:sz="4" w:space="0" w:color="auto"/>
            </w:tcBorders>
            <w:shd w:val="clear" w:color="auto" w:fill="C6D4E9"/>
            <w:vAlign w:val="center"/>
          </w:tcPr>
          <w:p w14:paraId="417B82CA"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(100%)</w:t>
            </w:r>
          </w:p>
        </w:tc>
        <w:tc>
          <w:tcPr>
            <w:tcW w:w="890" w:type="pct"/>
            <w:tcBorders>
              <w:top w:val="single" w:sz="4" w:space="0" w:color="auto"/>
              <w:left w:val="single" w:sz="4" w:space="0" w:color="auto"/>
              <w:bottom w:val="single" w:sz="4" w:space="0" w:color="auto"/>
              <w:right w:val="single" w:sz="4" w:space="0" w:color="auto"/>
            </w:tcBorders>
            <w:shd w:val="clear" w:color="auto" w:fill="C6D4E9"/>
            <w:vAlign w:val="center"/>
          </w:tcPr>
          <w:p w14:paraId="3A5554A7"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(100%)</w:t>
            </w:r>
          </w:p>
        </w:tc>
      </w:tr>
    </w:tbl>
    <w:p w14:paraId="0D76744D" w14:textId="77777777" w:rsidR="00F2350B" w:rsidRPr="00373DCC" w:rsidRDefault="00F2350B" w:rsidP="00B633E2">
      <w:pPr>
        <w:pStyle w:val="Heading3-numbered"/>
        <w:numPr>
          <w:ilvl w:val="1"/>
          <w:numId w:val="32"/>
        </w:numPr>
        <w:rPr>
          <w:rFonts w:ascii="Arial" w:hAnsi="Arial" w:cs="Arial"/>
        </w:rPr>
      </w:pPr>
      <w:bookmarkStart w:id="134" w:name="_Toc153550461"/>
      <w:r w:rsidRPr="00373DCC">
        <w:rPr>
          <w:rFonts w:ascii="Arial" w:hAnsi="Arial" w:cs="Arial"/>
        </w:rPr>
        <w:t>New listed medicines</w:t>
      </w:r>
      <w:bookmarkEnd w:id="134"/>
    </w:p>
    <w:p w14:paraId="14586559" w14:textId="77777777" w:rsidR="00F2350B" w:rsidRPr="00373DCC" w:rsidRDefault="00F2350B" w:rsidP="00F2350B">
      <w:pPr>
        <w:keepNext/>
        <w:spacing w:before="240" w:after="120" w:line="240" w:lineRule="auto"/>
        <w:rPr>
          <w:rFonts w:eastAsia="Cambria" w:cs="Arial"/>
          <w:b/>
          <w:bCs/>
          <w:sz w:val="21"/>
          <w:szCs w:val="21"/>
        </w:rPr>
      </w:pPr>
      <w:bookmarkStart w:id="135" w:name="Table22"/>
      <w:r w:rsidRPr="00373DCC">
        <w:rPr>
          <w:rFonts w:eastAsia="Cambria" w:cs="Arial"/>
          <w:b/>
          <w:bCs/>
          <w:sz w:val="21"/>
          <w:szCs w:val="21"/>
        </w:rPr>
        <w:t>Table 22: New listed medicines</w:t>
      </w:r>
    </w:p>
    <w:bookmarkEnd w:id="135"/>
    <w:tbl>
      <w:tblPr>
        <w:tblStyle w:val="TableTGAblue"/>
        <w:tblW w:w="5000" w:type="pct"/>
        <w:tblLook w:val="04A0" w:firstRow="1" w:lastRow="0" w:firstColumn="1" w:lastColumn="0" w:noHBand="0" w:noVBand="1"/>
      </w:tblPr>
      <w:tblGrid>
        <w:gridCol w:w="5811"/>
        <w:gridCol w:w="1559"/>
        <w:gridCol w:w="1651"/>
      </w:tblGrid>
      <w:tr w:rsidR="00F2350B" w:rsidRPr="00373DCC" w14:paraId="543CE1C5" w14:textId="77777777" w:rsidTr="00F07150">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21" w:type="pct"/>
            <w:tcBorders>
              <w:top w:val="nil"/>
              <w:left w:val="nil"/>
              <w:bottom w:val="nil"/>
              <w:right w:val="single" w:sz="4" w:space="0" w:color="auto"/>
            </w:tcBorders>
            <w:shd w:val="clear" w:color="auto" w:fill="FFFFFF" w:themeFill="background1"/>
            <w:vAlign w:val="center"/>
          </w:tcPr>
          <w:p w14:paraId="1E34C3BA" w14:textId="77777777" w:rsidR="00F2350B" w:rsidRPr="00373DCC" w:rsidRDefault="00F2350B" w:rsidP="00710B91">
            <w:pPr>
              <w:widowControl w:val="0"/>
              <w:spacing w:line="240" w:lineRule="atLeast"/>
              <w:contextualSpacing/>
              <w:rPr>
                <w:rFonts w:eastAsiaTheme="minorHAnsi" w:cs="Arial"/>
                <w:szCs w:val="22"/>
              </w:rPr>
            </w:pPr>
          </w:p>
        </w:tc>
        <w:tc>
          <w:tcPr>
            <w:tcW w:w="864" w:type="pct"/>
            <w:tcBorders>
              <w:top w:val="single" w:sz="4" w:space="0" w:color="auto"/>
              <w:left w:val="single" w:sz="4" w:space="0" w:color="auto"/>
              <w:bottom w:val="single" w:sz="4" w:space="0" w:color="auto"/>
              <w:right w:val="single" w:sz="4" w:space="0" w:color="auto"/>
            </w:tcBorders>
            <w:shd w:val="clear" w:color="auto" w:fill="29527F"/>
            <w:vAlign w:val="center"/>
          </w:tcPr>
          <w:p w14:paraId="6945797B" w14:textId="4001085F" w:rsidR="00F2350B" w:rsidRPr="00F07150" w:rsidRDefault="00F0715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2021-22</w:t>
            </w:r>
          </w:p>
        </w:tc>
        <w:tc>
          <w:tcPr>
            <w:tcW w:w="915" w:type="pct"/>
            <w:tcBorders>
              <w:top w:val="single" w:sz="4" w:space="0" w:color="auto"/>
              <w:left w:val="single" w:sz="4" w:space="0" w:color="auto"/>
              <w:bottom w:val="single" w:sz="4" w:space="0" w:color="auto"/>
              <w:right w:val="single" w:sz="4" w:space="0" w:color="auto"/>
            </w:tcBorders>
            <w:shd w:val="clear" w:color="auto" w:fill="29527F"/>
            <w:vAlign w:val="center"/>
          </w:tcPr>
          <w:p w14:paraId="29524564" w14:textId="139D89AB" w:rsidR="00F2350B" w:rsidRPr="00F07150" w:rsidRDefault="00F0715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2022-23</w:t>
            </w:r>
          </w:p>
        </w:tc>
      </w:tr>
      <w:tr w:rsidR="00F2350B" w:rsidRPr="00373DCC" w14:paraId="6A5CC67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21" w:type="pct"/>
            <w:tcBorders>
              <w:top w:val="single" w:sz="4" w:space="0" w:color="002C47"/>
              <w:left w:val="single" w:sz="4" w:space="0" w:color="002C47"/>
              <w:bottom w:val="single" w:sz="4" w:space="0" w:color="002C47"/>
              <w:right w:val="single" w:sz="4" w:space="0" w:color="002C47"/>
            </w:tcBorders>
            <w:vAlign w:val="center"/>
          </w:tcPr>
          <w:p w14:paraId="0CB2C33D" w14:textId="77777777" w:rsidR="00F2350B" w:rsidRPr="00373DCC" w:rsidRDefault="00F2350B" w:rsidP="00710B91">
            <w:pPr>
              <w:keepLines/>
              <w:widowControl w:val="0"/>
              <w:spacing w:line="240" w:lineRule="atLeast"/>
              <w:contextualSpacing/>
              <w:rPr>
                <w:rFonts w:eastAsiaTheme="minorHAnsi" w:cs="Arial"/>
                <w:sz w:val="21"/>
              </w:rPr>
            </w:pPr>
            <w:r w:rsidRPr="00373DCC">
              <w:rPr>
                <w:rFonts w:eastAsiaTheme="minorHAnsi" w:cs="Arial"/>
                <w:sz w:val="21"/>
              </w:rPr>
              <w:t>New listed medicines</w:t>
            </w:r>
          </w:p>
        </w:tc>
        <w:tc>
          <w:tcPr>
            <w:tcW w:w="864" w:type="pct"/>
            <w:tcBorders>
              <w:top w:val="single" w:sz="4" w:space="0" w:color="002C47"/>
              <w:left w:val="single" w:sz="4" w:space="0" w:color="002C47"/>
              <w:bottom w:val="single" w:sz="4" w:space="0" w:color="002C47"/>
              <w:right w:val="single" w:sz="4" w:space="0" w:color="002C47"/>
            </w:tcBorders>
            <w:vAlign w:val="center"/>
          </w:tcPr>
          <w:p w14:paraId="40F8BA8D"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1,929</w:t>
            </w:r>
          </w:p>
        </w:tc>
        <w:tc>
          <w:tcPr>
            <w:tcW w:w="915" w:type="pct"/>
            <w:tcBorders>
              <w:top w:val="single" w:sz="4" w:space="0" w:color="002C47"/>
              <w:left w:val="single" w:sz="4" w:space="0" w:color="002C47"/>
              <w:bottom w:val="single" w:sz="4" w:space="0" w:color="002C47"/>
              <w:right w:val="single" w:sz="4" w:space="0" w:color="002C47"/>
            </w:tcBorders>
            <w:vAlign w:val="center"/>
          </w:tcPr>
          <w:p w14:paraId="21198053" w14:textId="77777777" w:rsidR="00F2350B" w:rsidRPr="00373DCC" w:rsidRDefault="00F2350B" w:rsidP="00710B91">
            <w:pPr>
              <w:keepLines/>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w:t>
            </w:r>
            <w:r>
              <w:rPr>
                <w:rFonts w:eastAsiaTheme="minorHAnsi" w:cs="Arial"/>
                <w:sz w:val="21"/>
              </w:rPr>
              <w:t>,</w:t>
            </w:r>
            <w:r w:rsidRPr="00373DCC">
              <w:rPr>
                <w:rFonts w:eastAsiaTheme="minorHAnsi" w:cs="Arial"/>
                <w:sz w:val="21"/>
              </w:rPr>
              <w:t>722</w:t>
            </w:r>
          </w:p>
        </w:tc>
      </w:tr>
    </w:tbl>
    <w:p w14:paraId="0436CD07" w14:textId="77777777" w:rsidR="00F2350B" w:rsidRPr="00373DCC" w:rsidRDefault="00F2350B" w:rsidP="00B633E2">
      <w:pPr>
        <w:pStyle w:val="Heading3-numbered"/>
        <w:numPr>
          <w:ilvl w:val="1"/>
          <w:numId w:val="32"/>
        </w:numPr>
        <w:rPr>
          <w:rFonts w:ascii="Arial" w:hAnsi="Arial" w:cs="Arial"/>
        </w:rPr>
      </w:pPr>
      <w:bookmarkStart w:id="136" w:name="_Toc153550462"/>
      <w:r w:rsidRPr="00373DCC">
        <w:rPr>
          <w:rFonts w:ascii="Arial" w:hAnsi="Arial" w:cs="Arial"/>
        </w:rPr>
        <w:t>Variations</w:t>
      </w:r>
      <w:bookmarkEnd w:id="136"/>
    </w:p>
    <w:p w14:paraId="45643A71" w14:textId="77777777" w:rsidR="00F2350B" w:rsidRPr="00373DCC" w:rsidRDefault="00F2350B" w:rsidP="00F2350B">
      <w:pPr>
        <w:keepNext/>
        <w:spacing w:before="240" w:after="120" w:line="240" w:lineRule="auto"/>
        <w:rPr>
          <w:rFonts w:eastAsia="Cambria" w:cs="Arial"/>
          <w:b/>
          <w:bCs/>
          <w:sz w:val="21"/>
          <w:szCs w:val="21"/>
        </w:rPr>
      </w:pPr>
      <w:bookmarkStart w:id="137" w:name="Table23"/>
      <w:r w:rsidRPr="00373DCC">
        <w:rPr>
          <w:rFonts w:eastAsia="Cambria" w:cs="Arial"/>
          <w:b/>
          <w:bCs/>
          <w:sz w:val="21"/>
          <w:szCs w:val="21"/>
        </w:rPr>
        <w:t>Table 23: Listed medicine variations under subsection 9D(1) of the Act</w:t>
      </w:r>
    </w:p>
    <w:bookmarkEnd w:id="137"/>
    <w:p w14:paraId="3122E408" w14:textId="77777777" w:rsidR="00F2350B" w:rsidRPr="00373DCC" w:rsidRDefault="00F2350B" w:rsidP="00F2350B">
      <w:pPr>
        <w:rPr>
          <w:rFonts w:cs="Arial"/>
          <w:sz w:val="21"/>
          <w:szCs w:val="21"/>
        </w:rPr>
      </w:pPr>
      <w:r w:rsidRPr="00373DCC">
        <w:rPr>
          <w:rFonts w:cs="Arial"/>
          <w:sz w:val="21"/>
          <w:szCs w:val="21"/>
        </w:rPr>
        <w:t xml:space="preserve">Subsection 9D(1) of the </w:t>
      </w:r>
      <w:r w:rsidRPr="00373DCC">
        <w:rPr>
          <w:rFonts w:cs="Arial"/>
          <w:i/>
          <w:sz w:val="21"/>
          <w:szCs w:val="21"/>
        </w:rPr>
        <w:t>Therapeutic Goods Act 1989</w:t>
      </w:r>
      <w:r w:rsidRPr="00373DCC">
        <w:rPr>
          <w:rFonts w:cs="Arial"/>
          <w:sz w:val="21"/>
          <w:szCs w:val="21"/>
        </w:rPr>
        <w:t xml:space="preserve"> provides for variations to be made to an entry on the ARTG where information included on the ARTG is incomplete or incorrect. These </w:t>
      </w:r>
      <w:r w:rsidRPr="00373DCC">
        <w:rPr>
          <w:rFonts w:cs="Arial"/>
          <w:sz w:val="21"/>
          <w:szCs w:val="21"/>
        </w:rPr>
        <w:lastRenderedPageBreak/>
        <w:t>variations are considered by a delegate. Other types of variations to listed medicines are applied for</w:t>
      </w:r>
      <w:r>
        <w:rPr>
          <w:rFonts w:cs="Arial"/>
          <w:sz w:val="21"/>
          <w:szCs w:val="21"/>
        </w:rPr>
        <w:t>,</w:t>
      </w:r>
      <w:r w:rsidRPr="00373DCC">
        <w:rPr>
          <w:rFonts w:cs="Arial"/>
          <w:sz w:val="21"/>
          <w:szCs w:val="21"/>
        </w:rPr>
        <w:t xml:space="preserve"> and processed</w:t>
      </w:r>
      <w:r>
        <w:rPr>
          <w:rFonts w:cs="Arial"/>
          <w:sz w:val="21"/>
          <w:szCs w:val="21"/>
        </w:rPr>
        <w:t>,</w:t>
      </w:r>
      <w:r w:rsidRPr="00373DCC">
        <w:rPr>
          <w:rFonts w:cs="Arial"/>
          <w:sz w:val="21"/>
          <w:szCs w:val="21"/>
        </w:rPr>
        <w:t xml:space="preserve"> automatically by the online application system.</w:t>
      </w:r>
    </w:p>
    <w:tbl>
      <w:tblPr>
        <w:tblStyle w:val="TableTGAblue"/>
        <w:tblW w:w="5000" w:type="pct"/>
        <w:tblLook w:val="04A0" w:firstRow="1" w:lastRow="0" w:firstColumn="1" w:lastColumn="0" w:noHBand="0" w:noVBand="1"/>
      </w:tblPr>
      <w:tblGrid>
        <w:gridCol w:w="6195"/>
        <w:gridCol w:w="1413"/>
        <w:gridCol w:w="1413"/>
      </w:tblGrid>
      <w:tr w:rsidR="00F2350B" w:rsidRPr="00373DCC" w14:paraId="1B016202" w14:textId="77777777" w:rsidTr="009B6A61">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29527F"/>
            <w:vAlign w:val="center"/>
          </w:tcPr>
          <w:p w14:paraId="2292DEB9" w14:textId="5332C203" w:rsidR="00F2350B" w:rsidRPr="00373DCC" w:rsidRDefault="009B6A61" w:rsidP="009B6A61">
            <w:pPr>
              <w:widowControl w:val="0"/>
              <w:spacing w:before="0" w:after="0" w:line="240" w:lineRule="auto"/>
              <w:contextualSpacing/>
              <w:rPr>
                <w:rFonts w:eastAsiaTheme="minorHAnsi" w:cs="Arial"/>
                <w:sz w:val="21"/>
              </w:rPr>
            </w:pPr>
            <w:r w:rsidRPr="00373DCC">
              <w:rPr>
                <w:rFonts w:cs="Arial"/>
                <w:sz w:val="21"/>
              </w:rPr>
              <w:t>Medicine variation</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752FB1D5" w14:textId="77777777" w:rsidR="00F2350B" w:rsidRDefault="00F2350B" w:rsidP="00710B91">
            <w:pPr>
              <w:widowControl w:val="0"/>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sidRPr="00373DCC">
              <w:rPr>
                <w:rFonts w:eastAsiaTheme="minorHAnsi" w:cs="Arial"/>
                <w:color w:val="FFFFFF" w:themeColor="background1"/>
                <w:sz w:val="21"/>
              </w:rPr>
              <w:t>2021-22</w:t>
            </w:r>
          </w:p>
          <w:p w14:paraId="7777348C" w14:textId="45D08D6D" w:rsidR="00F07150" w:rsidRPr="00373DCC" w:rsidRDefault="00F07150" w:rsidP="00710B91">
            <w:pPr>
              <w:widowControl w:val="0"/>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of total)</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4A49EA40" w14:textId="77777777" w:rsidR="00F2350B" w:rsidRDefault="00F2350B" w:rsidP="00710B91">
            <w:pPr>
              <w:widowControl w:val="0"/>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sidRPr="00373DCC">
              <w:rPr>
                <w:rFonts w:eastAsiaTheme="minorHAnsi" w:cs="Arial"/>
                <w:color w:val="FFFFFF" w:themeColor="background1"/>
                <w:sz w:val="21"/>
              </w:rPr>
              <w:t>2022-23</w:t>
            </w:r>
          </w:p>
          <w:p w14:paraId="3327DACB" w14:textId="10AC65AE" w:rsidR="00F07150" w:rsidRPr="00373DCC" w:rsidRDefault="00F07150" w:rsidP="00710B91">
            <w:pPr>
              <w:widowControl w:val="0"/>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of total)</w:t>
            </w:r>
          </w:p>
        </w:tc>
      </w:tr>
      <w:tr w:rsidR="00F2350B" w:rsidRPr="00373DCC" w14:paraId="1F82C001" w14:textId="77777777" w:rsidTr="00710B91">
        <w:trPr>
          <w:trHeight w:val="341"/>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31B76969" w14:textId="77777777" w:rsidR="00F2350B" w:rsidRPr="00373DCC" w:rsidRDefault="00F2350B" w:rsidP="00710B91">
            <w:pPr>
              <w:widowControl w:val="0"/>
              <w:spacing w:before="0" w:after="0" w:line="240" w:lineRule="auto"/>
              <w:rPr>
                <w:rFonts w:cs="Arial"/>
                <w:sz w:val="21"/>
              </w:rPr>
            </w:pPr>
            <w:r w:rsidRPr="00373DCC">
              <w:rPr>
                <w:rFonts w:cs="Arial"/>
                <w:sz w:val="21"/>
              </w:rPr>
              <w:t>Approved</w:t>
            </w:r>
          </w:p>
        </w:tc>
        <w:tc>
          <w:tcPr>
            <w:tcW w:w="783" w:type="pct"/>
            <w:tcBorders>
              <w:top w:val="single" w:sz="4" w:space="0" w:color="002C47"/>
              <w:left w:val="single" w:sz="4" w:space="0" w:color="002C47"/>
              <w:bottom w:val="single" w:sz="4" w:space="0" w:color="002C47"/>
              <w:right w:val="single" w:sz="4" w:space="0" w:color="002C47"/>
            </w:tcBorders>
            <w:vAlign w:val="center"/>
          </w:tcPr>
          <w:p w14:paraId="6453BCDB"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178 (88%)</w:t>
            </w:r>
          </w:p>
        </w:tc>
        <w:tc>
          <w:tcPr>
            <w:tcW w:w="783" w:type="pct"/>
            <w:tcBorders>
              <w:top w:val="single" w:sz="4" w:space="0" w:color="002C47"/>
              <w:left w:val="single" w:sz="4" w:space="0" w:color="002C47"/>
              <w:bottom w:val="single" w:sz="4" w:space="0" w:color="002C47"/>
              <w:right w:val="single" w:sz="4" w:space="0" w:color="002C47"/>
            </w:tcBorders>
            <w:vAlign w:val="center"/>
          </w:tcPr>
          <w:p w14:paraId="7B8103FB"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101 (85%)</w:t>
            </w:r>
          </w:p>
        </w:tc>
      </w:tr>
      <w:tr w:rsidR="00F2350B" w:rsidRPr="00373DCC" w14:paraId="007E2ED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60C97BD" w14:textId="77777777" w:rsidR="00F2350B" w:rsidRPr="00373DCC" w:rsidRDefault="00F2350B" w:rsidP="00710B91">
            <w:pPr>
              <w:widowControl w:val="0"/>
              <w:spacing w:before="0" w:after="0" w:line="240" w:lineRule="auto"/>
              <w:rPr>
                <w:rFonts w:cs="Arial"/>
                <w:sz w:val="21"/>
              </w:rPr>
            </w:pPr>
            <w:r w:rsidRPr="00373DCC">
              <w:rPr>
                <w:rFonts w:cs="Arial"/>
                <w:sz w:val="21"/>
              </w:rPr>
              <w:t>Rejected</w:t>
            </w:r>
          </w:p>
        </w:tc>
        <w:tc>
          <w:tcPr>
            <w:tcW w:w="783" w:type="pct"/>
            <w:tcBorders>
              <w:top w:val="single" w:sz="4" w:space="0" w:color="002C47"/>
              <w:left w:val="single" w:sz="4" w:space="0" w:color="002C47"/>
              <w:bottom w:val="single" w:sz="4" w:space="0" w:color="002C47"/>
              <w:right w:val="single" w:sz="4" w:space="0" w:color="002C47"/>
            </w:tcBorders>
            <w:vAlign w:val="center"/>
          </w:tcPr>
          <w:p w14:paraId="5C262266"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783" w:type="pct"/>
            <w:tcBorders>
              <w:top w:val="single" w:sz="4" w:space="0" w:color="002C47"/>
              <w:left w:val="single" w:sz="4" w:space="0" w:color="002C47"/>
              <w:bottom w:val="single" w:sz="4" w:space="0" w:color="002C47"/>
              <w:right w:val="single" w:sz="4" w:space="0" w:color="002C47"/>
            </w:tcBorders>
            <w:vAlign w:val="center"/>
          </w:tcPr>
          <w:p w14:paraId="3E027CE5"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23C0CF2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03D8ADAE" w14:textId="77777777" w:rsidR="00F2350B" w:rsidRPr="00373DCC" w:rsidRDefault="00F2350B" w:rsidP="00710B91">
            <w:pPr>
              <w:widowControl w:val="0"/>
              <w:spacing w:before="0" w:after="0" w:line="240" w:lineRule="auto"/>
              <w:rPr>
                <w:rFonts w:cs="Arial"/>
                <w:sz w:val="21"/>
              </w:rPr>
            </w:pPr>
            <w:r w:rsidRPr="00373DCC">
              <w:rPr>
                <w:rFonts w:cs="Arial"/>
                <w:sz w:val="21"/>
              </w:rPr>
              <w:t>Withdrawn</w:t>
            </w:r>
          </w:p>
        </w:tc>
        <w:tc>
          <w:tcPr>
            <w:tcW w:w="783" w:type="pct"/>
            <w:tcBorders>
              <w:top w:val="single" w:sz="4" w:space="0" w:color="002C47"/>
              <w:left w:val="single" w:sz="4" w:space="0" w:color="002C47"/>
              <w:bottom w:val="single" w:sz="4" w:space="0" w:color="002C47"/>
              <w:right w:val="single" w:sz="4" w:space="0" w:color="002C47"/>
            </w:tcBorders>
            <w:vAlign w:val="center"/>
          </w:tcPr>
          <w:p w14:paraId="2A8B9413"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24 (12%)</w:t>
            </w:r>
          </w:p>
        </w:tc>
        <w:tc>
          <w:tcPr>
            <w:tcW w:w="783" w:type="pct"/>
            <w:tcBorders>
              <w:top w:val="single" w:sz="4" w:space="0" w:color="002C47"/>
              <w:left w:val="single" w:sz="4" w:space="0" w:color="002C47"/>
              <w:bottom w:val="single" w:sz="4" w:space="0" w:color="002C47"/>
              <w:right w:val="single" w:sz="4" w:space="0" w:color="002C47"/>
            </w:tcBorders>
            <w:vAlign w:val="center"/>
          </w:tcPr>
          <w:p w14:paraId="47BC7427"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 (15%)</w:t>
            </w:r>
          </w:p>
        </w:tc>
      </w:tr>
      <w:tr w:rsidR="00F2350B" w:rsidRPr="00373DCC" w14:paraId="37FAB1F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36D7D832" w14:textId="77777777" w:rsidR="00F2350B" w:rsidRPr="00373DCC" w:rsidRDefault="00F2350B" w:rsidP="00710B91">
            <w:pPr>
              <w:widowControl w:val="0"/>
              <w:spacing w:before="0" w:after="0" w:line="240" w:lineRule="auto"/>
              <w:rPr>
                <w:rFonts w:cs="Arial"/>
                <w:sz w:val="21"/>
              </w:rPr>
            </w:pPr>
            <w:r w:rsidRPr="00373DCC">
              <w:rPr>
                <w:rFonts w:cs="Arial"/>
                <w:sz w:val="21"/>
              </w:rPr>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18DC584"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202 (100%)</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6DF1A25" w14:textId="77777777" w:rsidR="00F2350B" w:rsidRPr="00373DCC" w:rsidRDefault="00F2350B" w:rsidP="00710B91">
            <w:pPr>
              <w:widowControl w:val="0"/>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118 (100%)</w:t>
            </w:r>
          </w:p>
        </w:tc>
      </w:tr>
    </w:tbl>
    <w:p w14:paraId="278A373C" w14:textId="77777777" w:rsidR="00F2350B" w:rsidRPr="00373DCC" w:rsidRDefault="00F2350B" w:rsidP="00B633E2">
      <w:pPr>
        <w:pStyle w:val="Heading3-numbered"/>
        <w:numPr>
          <w:ilvl w:val="1"/>
          <w:numId w:val="32"/>
        </w:numPr>
        <w:rPr>
          <w:rFonts w:ascii="Arial" w:hAnsi="Arial" w:cs="Arial"/>
        </w:rPr>
      </w:pPr>
      <w:bookmarkStart w:id="138" w:name="_Toc153550463"/>
      <w:r w:rsidRPr="00373DCC">
        <w:rPr>
          <w:rFonts w:ascii="Arial" w:hAnsi="Arial" w:cs="Arial"/>
        </w:rPr>
        <w:t>Post-market applications</w:t>
      </w:r>
      <w:bookmarkEnd w:id="138"/>
    </w:p>
    <w:p w14:paraId="7C75BEDA"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Listed medicine post-market applications</w:t>
      </w:r>
    </w:p>
    <w:p w14:paraId="4C27AB07" w14:textId="77777777" w:rsidR="00F2350B" w:rsidRPr="00373DCC" w:rsidRDefault="00F2350B" w:rsidP="00F2350B">
      <w:pPr>
        <w:rPr>
          <w:rFonts w:cs="Arial"/>
          <w:sz w:val="21"/>
          <w:szCs w:val="21"/>
        </w:rPr>
      </w:pPr>
      <w:r w:rsidRPr="00373DCC">
        <w:rPr>
          <w:rFonts w:cs="Arial"/>
          <w:sz w:val="21"/>
          <w:szCs w:val="21"/>
        </w:rPr>
        <w:t>After listing, it may be necessary for us to consider an application to support compliance with various requirements. We receive applications for consents under sections 14 and 14A of the Act (which provides consent to import, supply or export therapeutic goods that do not comply with applicable standards). Additionally, some listed medicines require pre-clearance, to supply a batch of medicine that contains ingredients that are at risk of containing aristolochic acids (which is a toxic substance). W</w:t>
      </w:r>
      <w:r>
        <w:rPr>
          <w:rFonts w:cs="Arial"/>
          <w:sz w:val="21"/>
          <w:szCs w:val="21"/>
        </w:rPr>
        <w:t>e</w:t>
      </w:r>
      <w:r w:rsidRPr="00373DCC">
        <w:rPr>
          <w:rFonts w:cs="Arial"/>
          <w:sz w:val="21"/>
          <w:szCs w:val="21"/>
        </w:rPr>
        <w:t xml:space="preserve"> also receive applications under subsection 7(2) of the Act, to declare whether a type of product is/is not a therapeutic good under section 7 of the Act.</w:t>
      </w:r>
    </w:p>
    <w:p w14:paraId="28D912DF" w14:textId="77777777" w:rsidR="00F2350B" w:rsidRPr="00373DCC" w:rsidRDefault="00F2350B" w:rsidP="00F2350B">
      <w:pPr>
        <w:keepNext/>
        <w:spacing w:before="240" w:after="120" w:line="240" w:lineRule="auto"/>
        <w:rPr>
          <w:rFonts w:eastAsia="Cambria" w:cs="Arial"/>
          <w:b/>
          <w:bCs/>
          <w:sz w:val="21"/>
          <w:szCs w:val="21"/>
        </w:rPr>
      </w:pPr>
      <w:bookmarkStart w:id="139" w:name="Table24"/>
      <w:r w:rsidRPr="00373DCC">
        <w:rPr>
          <w:rFonts w:eastAsia="Cambria" w:cs="Arial"/>
          <w:b/>
          <w:bCs/>
          <w:sz w:val="21"/>
          <w:szCs w:val="21"/>
        </w:rPr>
        <w:t xml:space="preserve">Table 24: Applications assessed </w:t>
      </w:r>
    </w:p>
    <w:bookmarkEnd w:id="139"/>
    <w:tbl>
      <w:tblPr>
        <w:tblStyle w:val="TableTGAblue"/>
        <w:tblW w:w="5000" w:type="pct"/>
        <w:tblLook w:val="04A0" w:firstRow="1" w:lastRow="0" w:firstColumn="1" w:lastColumn="0" w:noHBand="0" w:noVBand="1"/>
      </w:tblPr>
      <w:tblGrid>
        <w:gridCol w:w="6195"/>
        <w:gridCol w:w="1413"/>
        <w:gridCol w:w="1413"/>
      </w:tblGrid>
      <w:tr w:rsidR="00F2350B" w:rsidRPr="00373DCC" w14:paraId="01039021" w14:textId="77777777" w:rsidTr="003A2C7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vAlign w:val="center"/>
          </w:tcPr>
          <w:p w14:paraId="2AB5BAFF" w14:textId="77777777" w:rsidR="00F2350B" w:rsidRPr="00373DCC" w:rsidRDefault="00F2350B" w:rsidP="00710B91">
            <w:pPr>
              <w:widowControl w:val="0"/>
              <w:spacing w:before="0" w:after="0" w:line="240" w:lineRule="atLeast"/>
              <w:ind w:left="720"/>
              <w:contextualSpacing/>
              <w:rPr>
                <w:rFonts w:eastAsiaTheme="minorHAnsi" w:cs="Arial"/>
                <w:szCs w:val="22"/>
              </w:rPr>
            </w:pP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18D39524" w14:textId="54D8930E" w:rsidR="00F2350B" w:rsidRPr="00F07150"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2021-22</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080D4B04" w14:textId="6617A219" w:rsidR="00F2350B" w:rsidRPr="00F07150" w:rsidRDefault="00F0715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F07150">
              <w:rPr>
                <w:rFonts w:eastAsiaTheme="minorHAnsi" w:cs="Arial"/>
                <w:color w:val="FFFFFF" w:themeColor="background1"/>
                <w:sz w:val="21"/>
              </w:rPr>
              <w:t xml:space="preserve">FY </w:t>
            </w:r>
            <w:r w:rsidR="00F2350B" w:rsidRPr="00F07150">
              <w:rPr>
                <w:rFonts w:eastAsiaTheme="minorHAnsi" w:cs="Arial"/>
                <w:color w:val="FFFFFF" w:themeColor="background1"/>
                <w:sz w:val="21"/>
              </w:rPr>
              <w:t>2022-23</w:t>
            </w:r>
          </w:p>
        </w:tc>
      </w:tr>
      <w:tr w:rsidR="00F2350B" w:rsidRPr="00373DCC" w14:paraId="645440D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vAlign w:val="center"/>
          </w:tcPr>
          <w:p w14:paraId="1B2E8FED"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Applications Assessed</w:t>
            </w:r>
          </w:p>
        </w:tc>
      </w:tr>
      <w:tr w:rsidR="00F2350B" w:rsidRPr="00373DCC" w14:paraId="51B65AD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002C47"/>
              <w:right w:val="single" w:sz="4" w:space="0" w:color="002C47"/>
            </w:tcBorders>
            <w:shd w:val="clear" w:color="auto" w:fill="C6D4E9"/>
            <w:vAlign w:val="center"/>
          </w:tcPr>
          <w:p w14:paraId="0F47D4AB" w14:textId="77777777" w:rsidR="00F2350B" w:rsidRPr="00373DCC" w:rsidRDefault="00F2350B" w:rsidP="00710B91">
            <w:pPr>
              <w:widowControl w:val="0"/>
              <w:spacing w:before="0" w:after="0" w:line="240" w:lineRule="atLeast"/>
              <w:contextualSpacing/>
              <w:rPr>
                <w:rFonts w:cs="Arial"/>
                <w:szCs w:val="22"/>
              </w:rPr>
            </w:pPr>
            <w:r w:rsidRPr="00373DCC">
              <w:rPr>
                <w:rFonts w:cs="Arial"/>
                <w:szCs w:val="22"/>
              </w:rPr>
              <w:t xml:space="preserve">Aristolochic Acid clearances </w:t>
            </w:r>
          </w:p>
        </w:tc>
      </w:tr>
      <w:tr w:rsidR="00F2350B" w:rsidRPr="00373DCC" w14:paraId="68148E8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5BC6F4B1"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Approved</w:t>
            </w:r>
          </w:p>
        </w:tc>
        <w:tc>
          <w:tcPr>
            <w:tcW w:w="783" w:type="pct"/>
            <w:tcBorders>
              <w:top w:val="single" w:sz="4" w:space="0" w:color="002C47"/>
              <w:left w:val="single" w:sz="4" w:space="0" w:color="002C47"/>
              <w:bottom w:val="single" w:sz="4" w:space="0" w:color="002C47"/>
              <w:right w:val="single" w:sz="4" w:space="0" w:color="002C47"/>
            </w:tcBorders>
            <w:vAlign w:val="center"/>
          </w:tcPr>
          <w:p w14:paraId="7AA6124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45</w:t>
            </w:r>
          </w:p>
        </w:tc>
        <w:tc>
          <w:tcPr>
            <w:tcW w:w="783" w:type="pct"/>
            <w:tcBorders>
              <w:top w:val="single" w:sz="4" w:space="0" w:color="002C47"/>
              <w:left w:val="single" w:sz="4" w:space="0" w:color="002C47"/>
              <w:bottom w:val="single" w:sz="4" w:space="0" w:color="002C47"/>
              <w:right w:val="single" w:sz="4" w:space="0" w:color="002C47"/>
            </w:tcBorders>
            <w:vAlign w:val="center"/>
          </w:tcPr>
          <w:p w14:paraId="5018F24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28</w:t>
            </w:r>
          </w:p>
        </w:tc>
      </w:tr>
      <w:tr w:rsidR="00F2350B" w:rsidRPr="00373DCC" w14:paraId="4510443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77AD867E"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Rejected</w:t>
            </w:r>
          </w:p>
        </w:tc>
        <w:tc>
          <w:tcPr>
            <w:tcW w:w="783" w:type="pct"/>
            <w:tcBorders>
              <w:top w:val="single" w:sz="4" w:space="0" w:color="002C47"/>
              <w:left w:val="single" w:sz="4" w:space="0" w:color="002C47"/>
              <w:bottom w:val="single" w:sz="4" w:space="0" w:color="002C47"/>
              <w:right w:val="single" w:sz="4" w:space="0" w:color="002C47"/>
            </w:tcBorders>
            <w:vAlign w:val="center"/>
          </w:tcPr>
          <w:p w14:paraId="570D96B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w:t>
            </w:r>
          </w:p>
        </w:tc>
        <w:tc>
          <w:tcPr>
            <w:tcW w:w="783" w:type="pct"/>
            <w:tcBorders>
              <w:top w:val="single" w:sz="4" w:space="0" w:color="002C47"/>
              <w:left w:val="single" w:sz="4" w:space="0" w:color="002C47"/>
              <w:bottom w:val="single" w:sz="4" w:space="0" w:color="002C47"/>
              <w:right w:val="single" w:sz="4" w:space="0" w:color="002C47"/>
            </w:tcBorders>
            <w:vAlign w:val="center"/>
          </w:tcPr>
          <w:p w14:paraId="3F5BEFE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w:t>
            </w:r>
          </w:p>
        </w:tc>
      </w:tr>
      <w:tr w:rsidR="00F2350B" w:rsidRPr="00373DCC" w14:paraId="43B5088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8" w:space="0" w:color="auto"/>
              <w:right w:val="single" w:sz="4" w:space="0" w:color="002C47"/>
            </w:tcBorders>
            <w:shd w:val="clear" w:color="auto" w:fill="C6D4E9"/>
            <w:vAlign w:val="center"/>
          </w:tcPr>
          <w:p w14:paraId="1C14F7A0"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Total number of clearances</w:t>
            </w:r>
          </w:p>
        </w:tc>
        <w:tc>
          <w:tcPr>
            <w:tcW w:w="783" w:type="pct"/>
            <w:tcBorders>
              <w:top w:val="single" w:sz="4" w:space="0" w:color="002C47"/>
              <w:left w:val="single" w:sz="4" w:space="0" w:color="002C47"/>
              <w:bottom w:val="single" w:sz="8" w:space="0" w:color="auto"/>
              <w:right w:val="single" w:sz="4" w:space="0" w:color="002C47"/>
            </w:tcBorders>
            <w:shd w:val="clear" w:color="auto" w:fill="C6D4E9"/>
            <w:vAlign w:val="center"/>
          </w:tcPr>
          <w:p w14:paraId="6B6C773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47</w:t>
            </w:r>
          </w:p>
        </w:tc>
        <w:tc>
          <w:tcPr>
            <w:tcW w:w="783" w:type="pct"/>
            <w:tcBorders>
              <w:top w:val="single" w:sz="4" w:space="0" w:color="002C47"/>
              <w:left w:val="single" w:sz="4" w:space="0" w:color="002C47"/>
              <w:bottom w:val="single" w:sz="8" w:space="0" w:color="auto"/>
              <w:right w:val="single" w:sz="4" w:space="0" w:color="002C47"/>
            </w:tcBorders>
            <w:shd w:val="clear" w:color="auto" w:fill="C6D4E9"/>
            <w:vAlign w:val="center"/>
          </w:tcPr>
          <w:p w14:paraId="3B26346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30</w:t>
            </w:r>
          </w:p>
        </w:tc>
      </w:tr>
      <w:tr w:rsidR="00F2350B" w:rsidRPr="00373DCC" w14:paraId="3CF6214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auto"/>
              <w:left w:val="single" w:sz="4" w:space="0" w:color="002C47"/>
              <w:bottom w:val="single" w:sz="4" w:space="0" w:color="002C47"/>
              <w:right w:val="single" w:sz="4" w:space="0" w:color="002C47"/>
            </w:tcBorders>
            <w:shd w:val="clear" w:color="auto" w:fill="C6D4E9"/>
            <w:vAlign w:val="center"/>
          </w:tcPr>
          <w:p w14:paraId="13158E05" w14:textId="77777777" w:rsidR="00F2350B" w:rsidRPr="00373DCC" w:rsidRDefault="00F2350B" w:rsidP="00710B91">
            <w:pPr>
              <w:widowControl w:val="0"/>
              <w:spacing w:before="0" w:after="0" w:line="240" w:lineRule="atLeast"/>
              <w:rPr>
                <w:rFonts w:cs="Arial"/>
                <w:szCs w:val="22"/>
              </w:rPr>
            </w:pPr>
            <w:r w:rsidRPr="00373DCC">
              <w:rPr>
                <w:rFonts w:cs="Arial"/>
                <w:szCs w:val="22"/>
              </w:rPr>
              <w:t>Consents under section 14/14A of the Act</w:t>
            </w:r>
          </w:p>
        </w:tc>
      </w:tr>
      <w:tr w:rsidR="00F2350B" w:rsidRPr="00373DCC" w14:paraId="02DC480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49672A89"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Approved</w:t>
            </w:r>
          </w:p>
        </w:tc>
        <w:tc>
          <w:tcPr>
            <w:tcW w:w="783" w:type="pct"/>
            <w:tcBorders>
              <w:top w:val="single" w:sz="4" w:space="0" w:color="002C47"/>
              <w:left w:val="single" w:sz="4" w:space="0" w:color="002C47"/>
              <w:bottom w:val="single" w:sz="4" w:space="0" w:color="002C47"/>
              <w:right w:val="single" w:sz="4" w:space="0" w:color="002C47"/>
            </w:tcBorders>
            <w:vAlign w:val="center"/>
          </w:tcPr>
          <w:p w14:paraId="15D794C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w:t>
            </w:r>
          </w:p>
        </w:tc>
        <w:tc>
          <w:tcPr>
            <w:tcW w:w="783" w:type="pct"/>
            <w:tcBorders>
              <w:top w:val="single" w:sz="4" w:space="0" w:color="002C47"/>
              <w:left w:val="single" w:sz="4" w:space="0" w:color="002C47"/>
              <w:bottom w:val="single" w:sz="4" w:space="0" w:color="002C47"/>
              <w:right w:val="single" w:sz="4" w:space="0" w:color="002C47"/>
            </w:tcBorders>
            <w:vAlign w:val="center"/>
          </w:tcPr>
          <w:p w14:paraId="0A7342F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8</w:t>
            </w:r>
          </w:p>
        </w:tc>
      </w:tr>
      <w:tr w:rsidR="00F2350B" w:rsidRPr="00373DCC" w14:paraId="24429C4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57C34580"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Extensions</w:t>
            </w:r>
            <w:r w:rsidRPr="00373DCC">
              <w:rPr>
                <w:rFonts w:cs="Arial"/>
                <w:szCs w:val="22"/>
                <w:vertAlign w:val="superscript"/>
              </w:rPr>
              <w:t xml:space="preserve"> a</w:t>
            </w:r>
          </w:p>
        </w:tc>
        <w:tc>
          <w:tcPr>
            <w:tcW w:w="783" w:type="pct"/>
            <w:tcBorders>
              <w:top w:val="single" w:sz="4" w:space="0" w:color="002C47"/>
              <w:left w:val="single" w:sz="4" w:space="0" w:color="002C47"/>
              <w:bottom w:val="single" w:sz="4" w:space="0" w:color="002C47"/>
              <w:right w:val="single" w:sz="4" w:space="0" w:color="002C47"/>
            </w:tcBorders>
            <w:vAlign w:val="center"/>
          </w:tcPr>
          <w:p w14:paraId="794E11F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582</w:t>
            </w:r>
          </w:p>
        </w:tc>
        <w:tc>
          <w:tcPr>
            <w:tcW w:w="783" w:type="pct"/>
            <w:tcBorders>
              <w:top w:val="single" w:sz="4" w:space="0" w:color="002C47"/>
              <w:left w:val="single" w:sz="4" w:space="0" w:color="002C47"/>
              <w:bottom w:val="single" w:sz="4" w:space="0" w:color="002C47"/>
              <w:right w:val="single" w:sz="4" w:space="0" w:color="002C47"/>
            </w:tcBorders>
            <w:vAlign w:val="center"/>
          </w:tcPr>
          <w:p w14:paraId="431553F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w:t>
            </w:r>
          </w:p>
        </w:tc>
      </w:tr>
      <w:tr w:rsidR="00F2350B" w:rsidRPr="00373DCC" w14:paraId="328EB64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2A71DABC"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Rejected</w:t>
            </w:r>
          </w:p>
        </w:tc>
        <w:tc>
          <w:tcPr>
            <w:tcW w:w="783" w:type="pct"/>
            <w:tcBorders>
              <w:top w:val="single" w:sz="4" w:space="0" w:color="002C47"/>
              <w:left w:val="single" w:sz="4" w:space="0" w:color="002C47"/>
              <w:bottom w:val="single" w:sz="4" w:space="0" w:color="002C47"/>
              <w:right w:val="single" w:sz="4" w:space="0" w:color="002C47"/>
            </w:tcBorders>
            <w:vAlign w:val="center"/>
          </w:tcPr>
          <w:p w14:paraId="6CE125B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c>
          <w:tcPr>
            <w:tcW w:w="783" w:type="pct"/>
            <w:tcBorders>
              <w:top w:val="single" w:sz="4" w:space="0" w:color="002C47"/>
              <w:left w:val="single" w:sz="4" w:space="0" w:color="002C47"/>
              <w:bottom w:val="single" w:sz="4" w:space="0" w:color="002C47"/>
              <w:right w:val="single" w:sz="4" w:space="0" w:color="002C47"/>
            </w:tcBorders>
            <w:vAlign w:val="center"/>
          </w:tcPr>
          <w:p w14:paraId="1470483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w:t>
            </w:r>
          </w:p>
        </w:tc>
      </w:tr>
      <w:tr w:rsidR="00F2350B" w:rsidRPr="00373DCC" w14:paraId="13AC4DA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27F29A68"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Withdrawn</w:t>
            </w:r>
          </w:p>
        </w:tc>
        <w:tc>
          <w:tcPr>
            <w:tcW w:w="783" w:type="pct"/>
            <w:tcBorders>
              <w:top w:val="single" w:sz="4" w:space="0" w:color="002C47"/>
              <w:left w:val="single" w:sz="4" w:space="0" w:color="002C47"/>
              <w:bottom w:val="single" w:sz="4" w:space="0" w:color="002C47"/>
              <w:right w:val="single" w:sz="4" w:space="0" w:color="002C47"/>
            </w:tcBorders>
            <w:vAlign w:val="center"/>
          </w:tcPr>
          <w:p w14:paraId="211A438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783" w:type="pct"/>
            <w:tcBorders>
              <w:top w:val="single" w:sz="4" w:space="0" w:color="002C47"/>
              <w:left w:val="single" w:sz="4" w:space="0" w:color="002C47"/>
              <w:bottom w:val="single" w:sz="4" w:space="0" w:color="002C47"/>
              <w:right w:val="single" w:sz="4" w:space="0" w:color="002C47"/>
            </w:tcBorders>
            <w:vAlign w:val="center"/>
          </w:tcPr>
          <w:p w14:paraId="079C566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r>
      <w:tr w:rsidR="00F2350B" w:rsidRPr="00373DCC" w14:paraId="7BBD02A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8" w:space="0" w:color="auto"/>
              <w:right w:val="single" w:sz="4" w:space="0" w:color="002C47"/>
            </w:tcBorders>
            <w:shd w:val="clear" w:color="auto" w:fill="C6D4E9"/>
            <w:vAlign w:val="center"/>
          </w:tcPr>
          <w:p w14:paraId="542C6A31"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Total number of consents</w:t>
            </w:r>
          </w:p>
        </w:tc>
        <w:tc>
          <w:tcPr>
            <w:tcW w:w="783" w:type="pct"/>
            <w:tcBorders>
              <w:top w:val="single" w:sz="4" w:space="0" w:color="002C47"/>
              <w:left w:val="single" w:sz="4" w:space="0" w:color="002C47"/>
              <w:bottom w:val="single" w:sz="8" w:space="0" w:color="auto"/>
              <w:right w:val="single" w:sz="4" w:space="0" w:color="002C47"/>
            </w:tcBorders>
            <w:shd w:val="clear" w:color="auto" w:fill="C6D4E9"/>
            <w:vAlign w:val="center"/>
          </w:tcPr>
          <w:p w14:paraId="46F2C82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588</w:t>
            </w:r>
          </w:p>
        </w:tc>
        <w:tc>
          <w:tcPr>
            <w:tcW w:w="783" w:type="pct"/>
            <w:tcBorders>
              <w:top w:val="single" w:sz="4" w:space="0" w:color="002C47"/>
              <w:left w:val="single" w:sz="4" w:space="0" w:color="002C47"/>
              <w:bottom w:val="single" w:sz="8" w:space="0" w:color="auto"/>
              <w:right w:val="single" w:sz="4" w:space="0" w:color="002C47"/>
            </w:tcBorders>
            <w:shd w:val="clear" w:color="auto" w:fill="C6D4E9"/>
            <w:vAlign w:val="center"/>
          </w:tcPr>
          <w:p w14:paraId="6AF608D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16</w:t>
            </w:r>
          </w:p>
        </w:tc>
      </w:tr>
      <w:tr w:rsidR="00F2350B" w:rsidRPr="00373DCC" w14:paraId="716956A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auto"/>
              <w:left w:val="single" w:sz="4" w:space="0" w:color="002C47"/>
              <w:bottom w:val="single" w:sz="4" w:space="0" w:color="002C47"/>
              <w:right w:val="single" w:sz="4" w:space="0" w:color="002C47"/>
            </w:tcBorders>
            <w:shd w:val="clear" w:color="auto" w:fill="C6D4E9"/>
            <w:vAlign w:val="center"/>
          </w:tcPr>
          <w:p w14:paraId="1D1CB570" w14:textId="77777777" w:rsidR="00F2350B" w:rsidRPr="00373DCC" w:rsidRDefault="00F2350B" w:rsidP="00710B91">
            <w:pPr>
              <w:widowControl w:val="0"/>
              <w:spacing w:before="0" w:after="0" w:line="240" w:lineRule="atLeast"/>
              <w:rPr>
                <w:rFonts w:cs="Arial"/>
                <w:szCs w:val="22"/>
              </w:rPr>
            </w:pPr>
            <w:r w:rsidRPr="00373DCC">
              <w:rPr>
                <w:rFonts w:cs="Arial"/>
                <w:szCs w:val="22"/>
              </w:rPr>
              <w:t>Section 7 declaration</w:t>
            </w:r>
          </w:p>
        </w:tc>
      </w:tr>
      <w:tr w:rsidR="00F2350B" w:rsidRPr="00373DCC" w14:paraId="6348E12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712D99F5"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Approved</w:t>
            </w:r>
          </w:p>
        </w:tc>
        <w:tc>
          <w:tcPr>
            <w:tcW w:w="783" w:type="pct"/>
            <w:tcBorders>
              <w:top w:val="single" w:sz="4" w:space="0" w:color="002C47"/>
              <w:left w:val="single" w:sz="4" w:space="0" w:color="002C47"/>
              <w:bottom w:val="single" w:sz="4" w:space="0" w:color="002C47"/>
              <w:right w:val="single" w:sz="4" w:space="0" w:color="002C47"/>
            </w:tcBorders>
            <w:vAlign w:val="center"/>
          </w:tcPr>
          <w:p w14:paraId="7D7837D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783" w:type="pct"/>
            <w:tcBorders>
              <w:top w:val="single" w:sz="4" w:space="0" w:color="002C47"/>
              <w:left w:val="single" w:sz="4" w:space="0" w:color="002C47"/>
              <w:bottom w:val="single" w:sz="4" w:space="0" w:color="002C47"/>
              <w:right w:val="single" w:sz="4" w:space="0" w:color="002C47"/>
            </w:tcBorders>
            <w:vAlign w:val="center"/>
          </w:tcPr>
          <w:p w14:paraId="0802822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r>
      <w:tr w:rsidR="00F2350B" w:rsidRPr="00373DCC" w14:paraId="070459A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7DF3333E"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Rejected</w:t>
            </w:r>
          </w:p>
        </w:tc>
        <w:tc>
          <w:tcPr>
            <w:tcW w:w="783" w:type="pct"/>
            <w:tcBorders>
              <w:top w:val="single" w:sz="4" w:space="0" w:color="002C47"/>
              <w:left w:val="single" w:sz="4" w:space="0" w:color="002C47"/>
              <w:bottom w:val="single" w:sz="4" w:space="0" w:color="002C47"/>
              <w:right w:val="single" w:sz="4" w:space="0" w:color="002C47"/>
            </w:tcBorders>
            <w:vAlign w:val="center"/>
          </w:tcPr>
          <w:p w14:paraId="7601BEB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c>
          <w:tcPr>
            <w:tcW w:w="783" w:type="pct"/>
            <w:tcBorders>
              <w:top w:val="single" w:sz="4" w:space="0" w:color="002C47"/>
              <w:left w:val="single" w:sz="4" w:space="0" w:color="002C47"/>
              <w:bottom w:val="single" w:sz="4" w:space="0" w:color="002C47"/>
              <w:right w:val="single" w:sz="4" w:space="0" w:color="002C47"/>
            </w:tcBorders>
            <w:vAlign w:val="center"/>
          </w:tcPr>
          <w:p w14:paraId="3BFD7F2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r>
      <w:tr w:rsidR="00F2350B" w:rsidRPr="00373DCC" w14:paraId="0A7A167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vAlign w:val="center"/>
          </w:tcPr>
          <w:p w14:paraId="4CEF5A7E"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Withdrawn</w:t>
            </w:r>
          </w:p>
        </w:tc>
        <w:tc>
          <w:tcPr>
            <w:tcW w:w="783" w:type="pct"/>
            <w:tcBorders>
              <w:top w:val="single" w:sz="4" w:space="0" w:color="002C47"/>
              <w:left w:val="single" w:sz="4" w:space="0" w:color="002C47"/>
              <w:bottom w:val="single" w:sz="4" w:space="0" w:color="002C47"/>
              <w:right w:val="single" w:sz="4" w:space="0" w:color="002C47"/>
            </w:tcBorders>
            <w:vAlign w:val="center"/>
          </w:tcPr>
          <w:p w14:paraId="156F67E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783" w:type="pct"/>
            <w:tcBorders>
              <w:top w:val="single" w:sz="4" w:space="0" w:color="002C47"/>
              <w:left w:val="single" w:sz="4" w:space="0" w:color="002C47"/>
              <w:bottom w:val="single" w:sz="4" w:space="0" w:color="002C47"/>
              <w:right w:val="single" w:sz="4" w:space="0" w:color="002C47"/>
            </w:tcBorders>
            <w:vAlign w:val="center"/>
          </w:tcPr>
          <w:p w14:paraId="6DF27B8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r>
      <w:tr w:rsidR="00F2350B" w:rsidRPr="00373DCC" w14:paraId="5478910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8BC3856" w14:textId="77777777" w:rsidR="00F2350B" w:rsidRPr="00373DCC" w:rsidRDefault="00F2350B" w:rsidP="00710B91">
            <w:pPr>
              <w:widowControl w:val="0"/>
              <w:spacing w:before="0" w:after="0" w:line="240" w:lineRule="atLeast"/>
              <w:ind w:left="284"/>
              <w:rPr>
                <w:rFonts w:cs="Arial"/>
                <w:szCs w:val="22"/>
              </w:rPr>
            </w:pPr>
            <w:r w:rsidRPr="00373DCC">
              <w:rPr>
                <w:rFonts w:cs="Arial"/>
                <w:szCs w:val="22"/>
              </w:rPr>
              <w:t>Total number of declarations</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7C9E6B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7A4485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r>
      <w:tr w:rsidR="00F2350B" w:rsidRPr="00373DCC" w14:paraId="646C87A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0611F80" w14:textId="77777777" w:rsidR="00F2350B" w:rsidRPr="00373DCC" w:rsidRDefault="00F2350B" w:rsidP="00710B91">
            <w:pPr>
              <w:widowControl w:val="0"/>
              <w:spacing w:before="0" w:after="0" w:line="240" w:lineRule="atLeast"/>
              <w:rPr>
                <w:rFonts w:cs="Arial"/>
                <w:szCs w:val="22"/>
              </w:rPr>
            </w:pPr>
            <w:r w:rsidRPr="00373DCC">
              <w:rPr>
                <w:rFonts w:cs="Arial"/>
                <w:szCs w:val="22"/>
              </w:rPr>
              <w:t>Total completed</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902367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636</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4EF1E5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46</w:t>
            </w:r>
          </w:p>
        </w:tc>
      </w:tr>
    </w:tbl>
    <w:p w14:paraId="329E43BB" w14:textId="77777777" w:rsidR="00F2350B" w:rsidRPr="00373DCC" w:rsidRDefault="00F2350B" w:rsidP="00F2350B">
      <w:pPr>
        <w:spacing w:after="60"/>
        <w:rPr>
          <w:rFonts w:eastAsia="Cambria" w:cs="Arial"/>
          <w:b/>
          <w:bCs/>
          <w:szCs w:val="22"/>
        </w:rPr>
      </w:pPr>
      <w:r w:rsidRPr="00373DCC">
        <w:rPr>
          <w:rFonts w:eastAsia="Cambria" w:cs="Arial"/>
          <w:sz w:val="16"/>
          <w:szCs w:val="16"/>
          <w:vertAlign w:val="superscript"/>
        </w:rPr>
        <w:t xml:space="preserve">a </w:t>
      </w:r>
      <w:r w:rsidRPr="00373DCC">
        <w:rPr>
          <w:rFonts w:eastAsia="Cambria" w:cs="Arial"/>
          <w:sz w:val="16"/>
          <w:szCs w:val="16"/>
        </w:rPr>
        <w:t>Section 14 extensions were given to products that already held a consent to supply goods that did not comply with Section 9(2) of the Therapeutic Goods Order 92 – Labelling that was due to expire in September 2021.</w:t>
      </w:r>
      <w:bookmarkStart w:id="140" w:name="Table25"/>
    </w:p>
    <w:bookmarkEnd w:id="140"/>
    <w:p w14:paraId="7C9919C6"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lastRenderedPageBreak/>
        <w:t>Table 25 Conditions of listing</w:t>
      </w:r>
    </w:p>
    <w:p w14:paraId="187EADA7" w14:textId="77777777" w:rsidR="00F2350B" w:rsidRPr="00373DCC" w:rsidRDefault="00F2350B" w:rsidP="00F2350B">
      <w:pPr>
        <w:rPr>
          <w:rFonts w:cs="Arial"/>
          <w:sz w:val="21"/>
          <w:szCs w:val="21"/>
        </w:rPr>
      </w:pPr>
      <w:r w:rsidRPr="00373DCC">
        <w:rPr>
          <w:rFonts w:cs="Arial"/>
          <w:sz w:val="21"/>
          <w:szCs w:val="21"/>
        </w:rPr>
        <w:t>We may impose additional conditions of listing on products after listing. Some of these apply to all listed medicines and are automatically applied at the time of listing, while some only apply to certain products and these sponsors are notified after their products are listed in the ARTG.</w:t>
      </w:r>
    </w:p>
    <w:p w14:paraId="4ED8A8B9" w14:textId="77777777" w:rsidR="00F2350B" w:rsidRPr="00373DCC" w:rsidRDefault="00F2350B" w:rsidP="00F2350B">
      <w:pPr>
        <w:rPr>
          <w:rFonts w:cs="Arial"/>
          <w:sz w:val="21"/>
          <w:szCs w:val="21"/>
        </w:rPr>
      </w:pPr>
      <w:r w:rsidRPr="00373DCC">
        <w:rPr>
          <w:rFonts w:cs="Arial"/>
          <w:sz w:val="21"/>
          <w:szCs w:val="21"/>
        </w:rPr>
        <w:t xml:space="preserve">Up until 12 December 2022 we imposed, in writing, product-specific conditions of listing on listed medicines that contain plant species that look very similar or have a name that sounds very similar to plant species that are likely to contain aristolochic acids, as well as on sunscreen products to ensure they have appropriate SPF testing data following issues with AMA laboratories. On 13 December 2022, we published the Therapeutic Goods (Listed Medicines—Conditions of Listing) Determination 2022, which sets out the standard conditions that will automatically apply to the listing of certain medicines that are listed in the ARTG under section 26A or 26AE of the </w:t>
      </w:r>
      <w:r w:rsidRPr="00373DCC">
        <w:rPr>
          <w:rFonts w:cs="Arial"/>
          <w:i/>
          <w:iCs/>
          <w:sz w:val="21"/>
          <w:szCs w:val="21"/>
        </w:rPr>
        <w:t xml:space="preserve">Therapeutic Goods Act 1989. </w:t>
      </w:r>
      <w:r w:rsidRPr="00373DCC">
        <w:rPr>
          <w:rFonts w:cs="Arial"/>
          <w:sz w:val="21"/>
          <w:szCs w:val="21"/>
        </w:rPr>
        <w:t>The conditions of listing relating to Aristolochic Acids and testing of sunscreens by AMA laboratories are now automatically applied by the Determination. Therefore, from 13 December 2022 we are no longer required to impose these conditions in writing.</w:t>
      </w:r>
    </w:p>
    <w:tbl>
      <w:tblPr>
        <w:tblStyle w:val="TableTGAblue"/>
        <w:tblW w:w="5000" w:type="pct"/>
        <w:tblLook w:val="04A0" w:firstRow="1" w:lastRow="0" w:firstColumn="1" w:lastColumn="0" w:noHBand="0" w:noVBand="1"/>
      </w:tblPr>
      <w:tblGrid>
        <w:gridCol w:w="6195"/>
        <w:gridCol w:w="1413"/>
        <w:gridCol w:w="1413"/>
      </w:tblGrid>
      <w:tr w:rsidR="009B6A61" w:rsidRPr="00373DCC" w14:paraId="066A9D2E" w14:textId="77777777" w:rsidTr="009B6A61">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29527F"/>
            <w:vAlign w:val="center"/>
          </w:tcPr>
          <w:p w14:paraId="68CD9EDD" w14:textId="3517AE30" w:rsidR="009B6A61" w:rsidRPr="00373DCC" w:rsidRDefault="009B6A61" w:rsidP="009B6A61">
            <w:pPr>
              <w:widowControl w:val="0"/>
              <w:spacing w:before="0" w:after="0" w:line="240" w:lineRule="atLeast"/>
              <w:contextualSpacing/>
              <w:rPr>
                <w:rFonts w:cs="Arial"/>
                <w:sz w:val="21"/>
              </w:rPr>
            </w:pPr>
            <w:r w:rsidRPr="00373DCC">
              <w:rPr>
                <w:rFonts w:cs="Arial"/>
                <w:sz w:val="21"/>
              </w:rPr>
              <w:t>Product specific conditions of listing</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33548670" w14:textId="249A4B07" w:rsidR="009B6A61" w:rsidRPr="00373DCC" w:rsidRDefault="009B6A61" w:rsidP="009B6A6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2021-22</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4CB63DB8" w14:textId="73D307D4" w:rsidR="009B6A61" w:rsidRPr="00373DCC" w:rsidRDefault="009B6A61" w:rsidP="009B6A6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Pr="00373DCC">
              <w:rPr>
                <w:rFonts w:cs="Arial"/>
                <w:color w:val="FFFFFF" w:themeColor="background1"/>
                <w:sz w:val="21"/>
              </w:rPr>
              <w:t>2022-23</w:t>
            </w:r>
          </w:p>
        </w:tc>
      </w:tr>
      <w:tr w:rsidR="009B6A61" w:rsidRPr="00373DCC" w14:paraId="43AA32B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vAlign w:val="center"/>
          </w:tcPr>
          <w:p w14:paraId="31DFE5C8" w14:textId="77777777" w:rsidR="009B6A61" w:rsidRPr="00373DCC" w:rsidRDefault="009B6A61" w:rsidP="009B6A61">
            <w:pPr>
              <w:widowControl w:val="0"/>
              <w:spacing w:before="0" w:after="0" w:line="240" w:lineRule="atLeast"/>
              <w:rPr>
                <w:rFonts w:cs="Arial"/>
                <w:b/>
                <w:bCs/>
                <w:sz w:val="21"/>
              </w:rPr>
            </w:pPr>
            <w:r w:rsidRPr="00373DCC">
              <w:rPr>
                <w:rFonts w:cs="Arial"/>
                <w:sz w:val="21"/>
              </w:rPr>
              <w:t>Aristolochic Acid</w:t>
            </w:r>
          </w:p>
        </w:tc>
        <w:tc>
          <w:tcPr>
            <w:tcW w:w="783" w:type="pct"/>
            <w:tcBorders>
              <w:top w:val="single" w:sz="4" w:space="0" w:color="002C47"/>
              <w:left w:val="single" w:sz="4" w:space="0" w:color="002C47"/>
              <w:bottom w:val="single" w:sz="4" w:space="0" w:color="002C47"/>
              <w:right w:val="single" w:sz="4" w:space="0" w:color="002C47"/>
            </w:tcBorders>
            <w:vAlign w:val="center"/>
          </w:tcPr>
          <w:p w14:paraId="757F0212"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b/>
                <w:bCs/>
                <w:sz w:val="21"/>
              </w:rPr>
            </w:pPr>
            <w:r w:rsidRPr="00373DCC">
              <w:rPr>
                <w:rFonts w:cs="Arial"/>
                <w:sz w:val="21"/>
              </w:rPr>
              <w:t>3</w:t>
            </w:r>
          </w:p>
        </w:tc>
        <w:tc>
          <w:tcPr>
            <w:tcW w:w="783" w:type="pct"/>
            <w:tcBorders>
              <w:top w:val="single" w:sz="4" w:space="0" w:color="002C47"/>
              <w:left w:val="single" w:sz="4" w:space="0" w:color="002C47"/>
              <w:bottom w:val="single" w:sz="4" w:space="0" w:color="002C47"/>
              <w:right w:val="single" w:sz="4" w:space="0" w:color="002C47"/>
            </w:tcBorders>
            <w:vAlign w:val="center"/>
          </w:tcPr>
          <w:p w14:paraId="247F5345"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b/>
                <w:sz w:val="21"/>
                <w:vertAlign w:val="superscript"/>
              </w:rPr>
            </w:pPr>
            <w:r w:rsidRPr="00373DCC">
              <w:rPr>
                <w:rFonts w:cs="Arial"/>
                <w:sz w:val="21"/>
              </w:rPr>
              <w:t>0</w:t>
            </w:r>
            <w:r w:rsidRPr="00373DCC">
              <w:rPr>
                <w:rFonts w:cs="Arial"/>
                <w:sz w:val="21"/>
                <w:vertAlign w:val="superscript"/>
              </w:rPr>
              <w:t>a</w:t>
            </w:r>
          </w:p>
        </w:tc>
      </w:tr>
      <w:tr w:rsidR="009B6A61" w:rsidRPr="00373DCC" w14:paraId="412603F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vAlign w:val="center"/>
          </w:tcPr>
          <w:p w14:paraId="73697119" w14:textId="77777777" w:rsidR="009B6A61" w:rsidRPr="00373DCC" w:rsidRDefault="009B6A61" w:rsidP="009B6A61">
            <w:pPr>
              <w:widowControl w:val="0"/>
              <w:spacing w:before="0" w:after="0" w:line="240" w:lineRule="atLeast"/>
              <w:rPr>
                <w:rFonts w:cs="Arial"/>
                <w:sz w:val="21"/>
              </w:rPr>
            </w:pPr>
            <w:r w:rsidRPr="00373DCC">
              <w:rPr>
                <w:rFonts w:cs="Arial"/>
                <w:sz w:val="21"/>
              </w:rPr>
              <w:t>Chewing Gum</w:t>
            </w:r>
          </w:p>
        </w:tc>
        <w:tc>
          <w:tcPr>
            <w:tcW w:w="783" w:type="pct"/>
            <w:tcBorders>
              <w:top w:val="single" w:sz="4" w:space="0" w:color="002C47"/>
              <w:left w:val="single" w:sz="4" w:space="0" w:color="002C47"/>
              <w:bottom w:val="single" w:sz="4" w:space="0" w:color="002C47"/>
              <w:right w:val="single" w:sz="4" w:space="0" w:color="002C47"/>
            </w:tcBorders>
            <w:vAlign w:val="center"/>
          </w:tcPr>
          <w:p w14:paraId="2F24B043"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783" w:type="pct"/>
            <w:tcBorders>
              <w:top w:val="single" w:sz="4" w:space="0" w:color="002C47"/>
              <w:left w:val="single" w:sz="4" w:space="0" w:color="002C47"/>
              <w:bottom w:val="single" w:sz="4" w:space="0" w:color="002C47"/>
              <w:right w:val="single" w:sz="4" w:space="0" w:color="002C47"/>
            </w:tcBorders>
            <w:vAlign w:val="center"/>
          </w:tcPr>
          <w:p w14:paraId="2D8ACEA3"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r>
      <w:tr w:rsidR="009B6A61" w:rsidRPr="00373DCC" w14:paraId="7268D48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vAlign w:val="center"/>
          </w:tcPr>
          <w:p w14:paraId="6A727F14" w14:textId="77777777" w:rsidR="009B6A61" w:rsidRPr="00373DCC" w:rsidRDefault="009B6A61" w:rsidP="009B6A61">
            <w:pPr>
              <w:widowControl w:val="0"/>
              <w:spacing w:before="0" w:after="0" w:line="240" w:lineRule="atLeast"/>
              <w:rPr>
                <w:rFonts w:cs="Arial"/>
                <w:sz w:val="21"/>
              </w:rPr>
            </w:pPr>
            <w:r w:rsidRPr="00373DCC">
              <w:rPr>
                <w:rFonts w:cs="Arial"/>
                <w:sz w:val="21"/>
              </w:rPr>
              <w:t>Sunscreens</w:t>
            </w:r>
            <w:r w:rsidRPr="00373DCC">
              <w:rPr>
                <w:rFonts w:cs="Arial"/>
                <w:sz w:val="21"/>
                <w:vertAlign w:val="superscript"/>
              </w:rPr>
              <w:t xml:space="preserve"> </w:t>
            </w:r>
          </w:p>
        </w:tc>
        <w:tc>
          <w:tcPr>
            <w:tcW w:w="783" w:type="pct"/>
            <w:tcBorders>
              <w:top w:val="single" w:sz="4" w:space="0" w:color="002C47"/>
              <w:left w:val="single" w:sz="4" w:space="0" w:color="002C47"/>
              <w:bottom w:val="single" w:sz="4" w:space="0" w:color="002C47"/>
              <w:right w:val="single" w:sz="4" w:space="0" w:color="002C47"/>
            </w:tcBorders>
            <w:vAlign w:val="center"/>
          </w:tcPr>
          <w:p w14:paraId="4582217E"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296</w:t>
            </w:r>
            <w:r w:rsidRPr="00373DCC">
              <w:rPr>
                <w:rFonts w:cs="Arial"/>
                <w:sz w:val="21"/>
                <w:vertAlign w:val="superscript"/>
              </w:rPr>
              <w:t xml:space="preserve"> </w:t>
            </w:r>
          </w:p>
        </w:tc>
        <w:tc>
          <w:tcPr>
            <w:tcW w:w="783" w:type="pct"/>
            <w:tcBorders>
              <w:top w:val="single" w:sz="4" w:space="0" w:color="002C47"/>
              <w:left w:val="single" w:sz="4" w:space="0" w:color="002C47"/>
              <w:bottom w:val="single" w:sz="4" w:space="0" w:color="002C47"/>
              <w:right w:val="single" w:sz="4" w:space="0" w:color="002C47"/>
            </w:tcBorders>
            <w:vAlign w:val="center"/>
          </w:tcPr>
          <w:p w14:paraId="2C4BC8F3"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85</w:t>
            </w:r>
            <w:r w:rsidRPr="00373DCC">
              <w:rPr>
                <w:rFonts w:cs="Arial"/>
                <w:sz w:val="21"/>
                <w:vertAlign w:val="superscript"/>
              </w:rPr>
              <w:t>a</w:t>
            </w:r>
          </w:p>
        </w:tc>
      </w:tr>
      <w:tr w:rsidR="009B6A61" w:rsidRPr="00373DCC" w14:paraId="681A8DD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shd w:val="clear" w:color="auto" w:fill="C6D4E9"/>
            <w:vAlign w:val="center"/>
          </w:tcPr>
          <w:p w14:paraId="3AAD954F" w14:textId="77777777" w:rsidR="009B6A61" w:rsidRPr="00373DCC" w:rsidRDefault="009B6A61" w:rsidP="009B6A61">
            <w:pPr>
              <w:widowControl w:val="0"/>
              <w:spacing w:before="0" w:after="0" w:line="240" w:lineRule="atLeast"/>
              <w:rPr>
                <w:rFonts w:cs="Arial"/>
                <w:sz w:val="21"/>
              </w:rPr>
            </w:pPr>
            <w:r w:rsidRPr="00373DCC">
              <w:rPr>
                <w:rFonts w:cs="Arial"/>
                <w:sz w:val="21"/>
              </w:rPr>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045CAF2"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highlight w:val="yellow"/>
              </w:rPr>
            </w:pPr>
            <w:r w:rsidRPr="00373DCC">
              <w:rPr>
                <w:rFonts w:cs="Arial"/>
                <w:sz w:val="21"/>
              </w:rPr>
              <w:t>299</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0877831" w14:textId="77777777" w:rsidR="009B6A61" w:rsidRPr="00373DCC" w:rsidRDefault="009B6A61" w:rsidP="009B6A6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86</w:t>
            </w:r>
          </w:p>
        </w:tc>
      </w:tr>
    </w:tbl>
    <w:p w14:paraId="5DC09174" w14:textId="77777777" w:rsidR="00F2350B" w:rsidRPr="00373DCC" w:rsidRDefault="00F2350B" w:rsidP="00F2350B">
      <w:pPr>
        <w:spacing w:after="0" w:line="0" w:lineRule="atLeast"/>
        <w:rPr>
          <w:rFonts w:eastAsia="Times New Roman" w:cs="Arial"/>
          <w:bCs/>
          <w:color w:val="29527F"/>
          <w:szCs w:val="22"/>
          <w:lang w:val="en"/>
          <w14:textFill>
            <w14:solidFill>
              <w14:srgbClr w14:val="29527F">
                <w14:lumMod w14:val="90000"/>
                <w14:lumOff w14:val="10000"/>
              </w14:srgbClr>
            </w14:solidFill>
          </w14:textFill>
        </w:rPr>
      </w:pPr>
      <w:r w:rsidRPr="00373DCC">
        <w:rPr>
          <w:rFonts w:eastAsia="Cambria" w:cs="Arial"/>
          <w:sz w:val="16"/>
          <w:szCs w:val="16"/>
          <w:vertAlign w:val="superscript"/>
        </w:rPr>
        <w:t xml:space="preserve">a </w:t>
      </w:r>
      <w:r w:rsidRPr="00373DCC">
        <w:rPr>
          <w:rFonts w:eastAsia="Cambria" w:cs="Arial"/>
          <w:sz w:val="16"/>
          <w:szCs w:val="16"/>
        </w:rPr>
        <w:t>Conditions no longer manually imposed from 13 December 2022</w:t>
      </w:r>
    </w:p>
    <w:p w14:paraId="683D1635" w14:textId="77777777" w:rsidR="00F2350B" w:rsidRPr="00373DCC" w:rsidRDefault="00F2350B" w:rsidP="00B633E2">
      <w:pPr>
        <w:pStyle w:val="Heading3-numbered"/>
        <w:numPr>
          <w:ilvl w:val="1"/>
          <w:numId w:val="32"/>
        </w:numPr>
        <w:rPr>
          <w:rFonts w:ascii="Arial" w:hAnsi="Arial" w:cs="Arial"/>
        </w:rPr>
      </w:pPr>
      <w:bookmarkStart w:id="141" w:name="_Toc153550464"/>
      <w:r w:rsidRPr="00373DCC">
        <w:rPr>
          <w:rFonts w:ascii="Arial" w:hAnsi="Arial" w:cs="Arial"/>
        </w:rPr>
        <w:t>Enquiries and education activities</w:t>
      </w:r>
      <w:bookmarkEnd w:id="141"/>
    </w:p>
    <w:p w14:paraId="0A89DA68" w14:textId="77777777" w:rsidR="00F2350B" w:rsidRPr="00373DCC" w:rsidRDefault="00F2350B" w:rsidP="00F2350B">
      <w:pPr>
        <w:rPr>
          <w:rFonts w:cs="Arial"/>
          <w:sz w:val="21"/>
          <w:szCs w:val="21"/>
        </w:rPr>
      </w:pPr>
      <w:r w:rsidRPr="00373DCC">
        <w:rPr>
          <w:rFonts w:cs="Arial"/>
          <w:sz w:val="21"/>
          <w:szCs w:val="21"/>
        </w:rPr>
        <w:t xml:space="preserve">We respond to stakeholder enquiries related to the regulation of listed medicines, including Food Medicine Interface (FMI) and Cosmetic Medicine Interface (CMI) enquires. To help address frequently asked questions, or areas where consistent compliance issues are observed in listed medicines, we provide educational presentations for external stakeholders (e.g., at conferences and seminars) and fact sheets for FMI/CMI issues. We also respond to listed medicine-related enquiries related to educational information sent to stakeholders.  </w:t>
      </w:r>
    </w:p>
    <w:p w14:paraId="658C7184"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Table 26: Enquiries and education</w:t>
      </w:r>
    </w:p>
    <w:tbl>
      <w:tblPr>
        <w:tblStyle w:val="TableTGAblue"/>
        <w:tblW w:w="5000" w:type="pct"/>
        <w:tblLook w:val="04A0" w:firstRow="1" w:lastRow="0" w:firstColumn="1" w:lastColumn="0" w:noHBand="0" w:noVBand="1"/>
      </w:tblPr>
      <w:tblGrid>
        <w:gridCol w:w="6096"/>
        <w:gridCol w:w="1559"/>
        <w:gridCol w:w="1366"/>
      </w:tblGrid>
      <w:tr w:rsidR="00F2350B" w:rsidRPr="00373DCC" w14:paraId="4FDC8F45" w14:textId="77777777" w:rsidTr="009B6A6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nil"/>
              <w:left w:val="nil"/>
              <w:bottom w:val="nil"/>
              <w:right w:val="single" w:sz="4" w:space="0" w:color="auto"/>
            </w:tcBorders>
            <w:shd w:val="clear" w:color="auto" w:fill="29527F"/>
            <w:vAlign w:val="center"/>
          </w:tcPr>
          <w:p w14:paraId="089D47E9" w14:textId="005982E8" w:rsidR="00F2350B" w:rsidRPr="00373DCC" w:rsidRDefault="009B6A61" w:rsidP="00710B91">
            <w:pPr>
              <w:widowControl w:val="0"/>
              <w:spacing w:before="0" w:after="0" w:line="240" w:lineRule="atLeast"/>
              <w:contextualSpacing/>
              <w:rPr>
                <w:rFonts w:cs="Arial"/>
                <w:sz w:val="21"/>
              </w:rPr>
            </w:pPr>
            <w:r w:rsidRPr="00373DCC">
              <w:rPr>
                <w:rFonts w:cs="Arial"/>
                <w:sz w:val="21"/>
              </w:rPr>
              <w:t xml:space="preserve">Enquiries and education actions </w:t>
            </w:r>
          </w:p>
        </w:tc>
        <w:tc>
          <w:tcPr>
            <w:tcW w:w="864" w:type="pct"/>
            <w:tcBorders>
              <w:top w:val="single" w:sz="4" w:space="0" w:color="auto"/>
              <w:left w:val="single" w:sz="4" w:space="0" w:color="auto"/>
              <w:bottom w:val="single" w:sz="4" w:space="0" w:color="auto"/>
              <w:right w:val="single" w:sz="4" w:space="0" w:color="auto"/>
            </w:tcBorders>
            <w:shd w:val="clear" w:color="auto" w:fill="29527F"/>
            <w:vAlign w:val="center"/>
          </w:tcPr>
          <w:p w14:paraId="14DC7988" w14:textId="28F2E319" w:rsidR="00F2350B" w:rsidRPr="00373DCC" w:rsidRDefault="003A2C7F"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2021-22</w:t>
            </w:r>
          </w:p>
        </w:tc>
        <w:tc>
          <w:tcPr>
            <w:tcW w:w="757" w:type="pct"/>
            <w:tcBorders>
              <w:top w:val="single" w:sz="4" w:space="0" w:color="auto"/>
              <w:left w:val="single" w:sz="4" w:space="0" w:color="auto"/>
              <w:bottom w:val="single" w:sz="4" w:space="0" w:color="auto"/>
              <w:right w:val="single" w:sz="4" w:space="0" w:color="auto"/>
            </w:tcBorders>
            <w:shd w:val="clear" w:color="auto" w:fill="29527F"/>
            <w:vAlign w:val="center"/>
          </w:tcPr>
          <w:p w14:paraId="692F1F9C" w14:textId="737C4CBC" w:rsidR="00F2350B" w:rsidRPr="00373DCC" w:rsidRDefault="003A2C7F"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1"/>
              </w:rPr>
            </w:pPr>
            <w:r>
              <w:rPr>
                <w:rFonts w:cs="Arial"/>
                <w:color w:val="FFFFFF" w:themeColor="background1"/>
                <w:sz w:val="21"/>
              </w:rPr>
              <w:t xml:space="preserve">FY </w:t>
            </w:r>
            <w:r w:rsidR="00F2350B" w:rsidRPr="00373DCC">
              <w:rPr>
                <w:rFonts w:cs="Arial"/>
                <w:color w:val="FFFFFF" w:themeColor="background1"/>
                <w:sz w:val="21"/>
              </w:rPr>
              <w:t>2022-23</w:t>
            </w:r>
          </w:p>
        </w:tc>
      </w:tr>
      <w:tr w:rsidR="00F2350B" w:rsidRPr="00373DCC" w14:paraId="7BAAB24F" w14:textId="77777777" w:rsidTr="003A2C7F">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299A9EA6" w14:textId="77777777" w:rsidR="00F2350B" w:rsidRPr="00373DCC" w:rsidRDefault="00F2350B" w:rsidP="00710B91">
            <w:pPr>
              <w:widowControl w:val="0"/>
              <w:spacing w:before="0" w:after="0" w:line="240" w:lineRule="atLeast"/>
              <w:rPr>
                <w:rFonts w:cs="Arial"/>
                <w:b/>
                <w:bCs/>
                <w:sz w:val="21"/>
              </w:rPr>
            </w:pPr>
            <w:r w:rsidRPr="00373DCC">
              <w:rPr>
                <w:rFonts w:cs="Arial"/>
                <w:sz w:val="21"/>
              </w:rPr>
              <w:t>General enquiries about non-prescription medicines (OTC, listed medicines, Registered Complementary medicines)- emails</w:t>
            </w:r>
          </w:p>
        </w:tc>
        <w:tc>
          <w:tcPr>
            <w:tcW w:w="864"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BC4FCE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b/>
                <w:bCs/>
                <w:sz w:val="21"/>
              </w:rPr>
            </w:pPr>
            <w:r w:rsidRPr="00373DCC">
              <w:rPr>
                <w:rFonts w:cs="Arial"/>
                <w:sz w:val="21"/>
              </w:rPr>
              <w:t>3648</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F27F9E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3085</w:t>
            </w:r>
          </w:p>
        </w:tc>
      </w:tr>
      <w:tr w:rsidR="00F2350B" w:rsidRPr="00373DCC" w14:paraId="2FDE470C" w14:textId="77777777" w:rsidTr="003A2C7F">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5E878505" w14:textId="77777777" w:rsidR="00F2350B" w:rsidRPr="00373DCC" w:rsidRDefault="00F2350B" w:rsidP="00710B91">
            <w:pPr>
              <w:widowControl w:val="0"/>
              <w:spacing w:before="0" w:after="0" w:line="240" w:lineRule="atLeast"/>
              <w:rPr>
                <w:rFonts w:cs="Arial"/>
                <w:sz w:val="21"/>
              </w:rPr>
            </w:pPr>
            <w:r w:rsidRPr="00373DCC">
              <w:rPr>
                <w:rFonts w:cs="Arial"/>
                <w:sz w:val="21"/>
              </w:rPr>
              <w:t>General enquiries about non-prescription medicines (OTC, listed medicines, Registered Complementary medicines)- emails – phone calls</w:t>
            </w:r>
          </w:p>
        </w:tc>
        <w:tc>
          <w:tcPr>
            <w:tcW w:w="864"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00708A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627</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8E2CCF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429</w:t>
            </w:r>
          </w:p>
        </w:tc>
      </w:tr>
      <w:tr w:rsidR="00F2350B" w:rsidRPr="00373DCC" w14:paraId="782900A2" w14:textId="77777777" w:rsidTr="003A2C7F">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7D58620F" w14:textId="77777777" w:rsidR="00F2350B" w:rsidRPr="00373DCC" w:rsidRDefault="00F2350B" w:rsidP="00710B91">
            <w:pPr>
              <w:widowControl w:val="0"/>
              <w:spacing w:before="0" w:after="0" w:line="240" w:lineRule="atLeast"/>
              <w:rPr>
                <w:rFonts w:cs="Arial"/>
                <w:sz w:val="21"/>
              </w:rPr>
            </w:pPr>
            <w:r w:rsidRPr="00373DCC">
              <w:rPr>
                <w:rFonts w:cs="Arial"/>
                <w:sz w:val="21"/>
              </w:rPr>
              <w:t>FMI/CMI related enquires</w:t>
            </w:r>
          </w:p>
        </w:tc>
        <w:tc>
          <w:tcPr>
            <w:tcW w:w="864"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2B6DD5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33</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C55870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35</w:t>
            </w:r>
          </w:p>
        </w:tc>
      </w:tr>
      <w:tr w:rsidR="00F2350B" w:rsidRPr="00373DCC" w14:paraId="6C20CB6B" w14:textId="77777777" w:rsidTr="003A2C7F">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580A4DF2" w14:textId="77777777" w:rsidR="00F2350B" w:rsidRPr="00373DCC" w:rsidRDefault="00F2350B" w:rsidP="00710B91">
            <w:pPr>
              <w:widowControl w:val="0"/>
              <w:spacing w:before="0" w:after="0" w:line="240" w:lineRule="atLeast"/>
              <w:rPr>
                <w:rFonts w:cs="Arial"/>
                <w:sz w:val="21"/>
              </w:rPr>
            </w:pPr>
            <w:r w:rsidRPr="00373DCC">
              <w:rPr>
                <w:rFonts w:cs="Arial"/>
                <w:sz w:val="21"/>
              </w:rPr>
              <w:t>Guidelines, media releases, factsheets, educational web content, social media posts</w:t>
            </w:r>
            <w:r w:rsidRPr="00373DCC">
              <w:rPr>
                <w:rFonts w:cs="Arial"/>
                <w:sz w:val="21"/>
                <w:vertAlign w:val="superscript"/>
              </w:rPr>
              <w:t xml:space="preserve"> </w:t>
            </w:r>
          </w:p>
        </w:tc>
        <w:tc>
          <w:tcPr>
            <w:tcW w:w="864"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E5D29F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71E9AA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w:t>
            </w:r>
          </w:p>
        </w:tc>
      </w:tr>
      <w:tr w:rsidR="00F2350B" w:rsidRPr="00373DCC" w14:paraId="69FEF2BA" w14:textId="77777777" w:rsidTr="003A2C7F">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4128A95A" w14:textId="77777777" w:rsidR="00F2350B" w:rsidRPr="00373DCC" w:rsidRDefault="00F2350B" w:rsidP="00710B91">
            <w:pPr>
              <w:widowControl w:val="0"/>
              <w:spacing w:before="0" w:after="0" w:line="240" w:lineRule="atLeast"/>
              <w:rPr>
                <w:rFonts w:cs="Arial"/>
                <w:sz w:val="21"/>
              </w:rPr>
            </w:pPr>
            <w:r w:rsidRPr="48ECC65F">
              <w:rPr>
                <w:rFonts w:cs="Arial"/>
                <w:sz w:val="21"/>
              </w:rPr>
              <w:t>FMI/CMI educational correspondences (e.g. follow up on fact-sheet)</w:t>
            </w:r>
            <w:r w:rsidRPr="48ECC65F">
              <w:rPr>
                <w:rFonts w:cs="Arial"/>
                <w:sz w:val="21"/>
                <w:vertAlign w:val="superscript"/>
              </w:rPr>
              <w:t xml:space="preserve"> a</w:t>
            </w:r>
          </w:p>
        </w:tc>
        <w:tc>
          <w:tcPr>
            <w:tcW w:w="864"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FF5C7A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2F9F37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w:t>
            </w:r>
          </w:p>
        </w:tc>
      </w:tr>
    </w:tbl>
    <w:p w14:paraId="74B2AE1F" w14:textId="2004CA46" w:rsidR="00B633E2" w:rsidRDefault="00F2350B" w:rsidP="00F2350B">
      <w:pPr>
        <w:tabs>
          <w:tab w:val="left" w:pos="720"/>
        </w:tabs>
        <w:rPr>
          <w:rFonts w:eastAsia="Arial" w:cs="Arial"/>
          <w:sz w:val="16"/>
          <w:szCs w:val="16"/>
        </w:rPr>
      </w:pPr>
      <w:r w:rsidRPr="6B099BF4">
        <w:rPr>
          <w:rFonts w:eastAsia="Arial" w:cs="Arial"/>
          <w:sz w:val="16"/>
          <w:szCs w:val="16"/>
          <w:vertAlign w:val="superscript"/>
        </w:rPr>
        <w:t>a</w:t>
      </w:r>
      <w:r w:rsidRPr="6B099BF4">
        <w:rPr>
          <w:rFonts w:eastAsia="Arial" w:cs="Arial"/>
          <w:sz w:val="16"/>
          <w:szCs w:val="16"/>
        </w:rPr>
        <w:t xml:space="preserve"> data unavailable or process was not in existence</w:t>
      </w:r>
    </w:p>
    <w:p w14:paraId="05CED254" w14:textId="77777777" w:rsidR="00F2350B" w:rsidRPr="00373DCC" w:rsidRDefault="00F2350B" w:rsidP="00B633E2">
      <w:pPr>
        <w:pStyle w:val="Heading3-numbered"/>
        <w:numPr>
          <w:ilvl w:val="1"/>
          <w:numId w:val="32"/>
        </w:numPr>
        <w:rPr>
          <w:rFonts w:ascii="Arial" w:hAnsi="Arial" w:cs="Arial"/>
        </w:rPr>
      </w:pPr>
      <w:bookmarkStart w:id="142" w:name="_Toc153550465"/>
      <w:r w:rsidRPr="48ECC65F">
        <w:rPr>
          <w:rFonts w:ascii="Arial" w:hAnsi="Arial" w:cs="Arial"/>
        </w:rPr>
        <w:t>Food/Cosmetic-Medicine Interface activities</w:t>
      </w:r>
      <w:bookmarkEnd w:id="142"/>
    </w:p>
    <w:p w14:paraId="6A6785C1" w14:textId="77777777" w:rsidR="00F2350B" w:rsidRPr="00373DCC" w:rsidRDefault="00F2350B" w:rsidP="00F2350B">
      <w:pPr>
        <w:rPr>
          <w:rFonts w:cs="Arial"/>
          <w:sz w:val="21"/>
          <w:szCs w:val="21"/>
        </w:rPr>
      </w:pPr>
      <w:r w:rsidRPr="00373DCC">
        <w:rPr>
          <w:rFonts w:cs="Arial"/>
          <w:sz w:val="21"/>
          <w:szCs w:val="21"/>
        </w:rPr>
        <w:t xml:space="preserve">FMI/CMI referrals may come from internal and external stakeholders. Some externals stakeholders include Food Standards Australia New Zealand and the state and territory food </w:t>
      </w:r>
      <w:r w:rsidRPr="00373DCC">
        <w:rPr>
          <w:rFonts w:cs="Arial"/>
          <w:sz w:val="21"/>
          <w:szCs w:val="21"/>
        </w:rPr>
        <w:lastRenderedPageBreak/>
        <w:t>regulators, the Australian Border Force, and the Australian Federal Police. Referrals are also received through consumers and industry members. All referrals are triaged based on risk to consumers.</w:t>
      </w:r>
    </w:p>
    <w:p w14:paraId="4EF13992" w14:textId="77777777" w:rsidR="00B633E2" w:rsidRDefault="00B633E2">
      <w:pPr>
        <w:spacing w:before="0" w:after="160" w:line="259" w:lineRule="auto"/>
        <w:rPr>
          <w:rFonts w:eastAsia="Cambria" w:cs="Arial"/>
          <w:b/>
          <w:bCs/>
          <w:sz w:val="21"/>
          <w:szCs w:val="21"/>
        </w:rPr>
      </w:pPr>
      <w:r>
        <w:rPr>
          <w:rFonts w:eastAsia="Cambria" w:cs="Arial"/>
          <w:b/>
          <w:bCs/>
          <w:sz w:val="21"/>
          <w:szCs w:val="21"/>
        </w:rPr>
        <w:br w:type="page"/>
      </w:r>
    </w:p>
    <w:p w14:paraId="20832185" w14:textId="3D6B0D7D"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lastRenderedPageBreak/>
        <w:t>Table 27: Food Medicine Interface (FMI) and Cosmetic Medicine Interface (CMI) assessments</w:t>
      </w:r>
    </w:p>
    <w:tbl>
      <w:tblPr>
        <w:tblStyle w:val="TableTGAblue"/>
        <w:tblW w:w="5000" w:type="pct"/>
        <w:tblLook w:val="04A0" w:firstRow="1" w:lastRow="0" w:firstColumn="1" w:lastColumn="0" w:noHBand="0" w:noVBand="1"/>
      </w:tblPr>
      <w:tblGrid>
        <w:gridCol w:w="6195"/>
        <w:gridCol w:w="1413"/>
        <w:gridCol w:w="1413"/>
      </w:tblGrid>
      <w:tr w:rsidR="00F2350B" w:rsidRPr="00373DCC" w14:paraId="29BE3EB5" w14:textId="77777777" w:rsidTr="00A85E7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29527F"/>
            <w:vAlign w:val="center"/>
          </w:tcPr>
          <w:p w14:paraId="45880909" w14:textId="74E26284" w:rsidR="00F2350B" w:rsidRPr="00373DCC" w:rsidRDefault="00A85E73" w:rsidP="00710B91">
            <w:pPr>
              <w:widowControl w:val="0"/>
              <w:spacing w:before="0" w:after="0" w:line="240" w:lineRule="atLeast"/>
              <w:contextualSpacing/>
              <w:rPr>
                <w:rFonts w:eastAsiaTheme="minorHAnsi" w:cs="Arial"/>
                <w:szCs w:val="22"/>
              </w:rPr>
            </w:pPr>
            <w:r w:rsidRPr="00373DCC">
              <w:rPr>
                <w:rFonts w:cs="Arial"/>
                <w:szCs w:val="22"/>
              </w:rPr>
              <w:t>FMI/CMI assessments</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0ECF7AF6" w14:textId="0D49D8FA" w:rsidR="00F2350B" w:rsidRPr="003A2C7F" w:rsidRDefault="003A2C7F"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A2C7F">
              <w:rPr>
                <w:rFonts w:eastAsiaTheme="minorHAnsi" w:cs="Arial"/>
                <w:color w:val="FFFFFF" w:themeColor="background1"/>
                <w:sz w:val="21"/>
              </w:rPr>
              <w:t>2021-22</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48ACD6EE" w14:textId="7426818D" w:rsidR="00F2350B" w:rsidRPr="003A2C7F" w:rsidRDefault="003A2C7F"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A2C7F">
              <w:rPr>
                <w:rFonts w:eastAsiaTheme="minorHAnsi" w:cs="Arial"/>
                <w:color w:val="FFFFFF" w:themeColor="background1"/>
                <w:sz w:val="21"/>
              </w:rPr>
              <w:t>2022-23</w:t>
            </w:r>
          </w:p>
        </w:tc>
      </w:tr>
      <w:tr w:rsidR="00F2350B" w:rsidRPr="00373DCC" w14:paraId="661F007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4DD9C687" w14:textId="77777777" w:rsidR="00F2350B" w:rsidRPr="00373DCC" w:rsidRDefault="00F2350B" w:rsidP="00710B91">
            <w:pPr>
              <w:widowControl w:val="0"/>
              <w:spacing w:before="0" w:after="0" w:line="240" w:lineRule="atLeast"/>
              <w:rPr>
                <w:rFonts w:cs="Arial"/>
                <w:b/>
                <w:bCs/>
                <w:szCs w:val="22"/>
              </w:rPr>
            </w:pPr>
            <w:r w:rsidRPr="00373DCC">
              <w:rPr>
                <w:rFonts w:cs="Arial"/>
                <w:szCs w:val="22"/>
              </w:rPr>
              <w:t>FMI/CMI referrals triaged and queued</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6A1F672"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b/>
                <w:bCs/>
                <w:szCs w:val="22"/>
              </w:rPr>
            </w:pPr>
            <w:r w:rsidRPr="00373DCC">
              <w:rPr>
                <w:rFonts w:eastAsiaTheme="minorHAnsi" w:cs="Arial"/>
                <w:szCs w:val="22"/>
              </w:rPr>
              <w:t>60</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E783F3D"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b/>
                <w:bCs/>
                <w:szCs w:val="22"/>
              </w:rPr>
            </w:pPr>
            <w:r w:rsidRPr="00373DCC">
              <w:rPr>
                <w:rFonts w:eastAsiaTheme="minorHAnsi" w:cs="Arial"/>
                <w:szCs w:val="22"/>
              </w:rPr>
              <w:t>55</w:t>
            </w:r>
          </w:p>
        </w:tc>
      </w:tr>
      <w:tr w:rsidR="00F2350B" w:rsidRPr="00373DCC" w14:paraId="6F3EA6E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4E61D86E" w14:textId="77777777" w:rsidR="00F2350B" w:rsidRPr="00373DCC" w:rsidRDefault="00F2350B" w:rsidP="00710B91">
            <w:pPr>
              <w:widowControl w:val="0"/>
              <w:spacing w:before="0" w:after="0" w:line="240" w:lineRule="atLeast"/>
              <w:rPr>
                <w:rFonts w:cs="Arial"/>
              </w:rPr>
            </w:pPr>
            <w:r w:rsidRPr="48ECC65F">
              <w:rPr>
                <w:rFonts w:cs="Arial"/>
              </w:rPr>
              <w:t>FMI/CMI referrals triaged and closed via factsheet</w:t>
            </w:r>
            <w:r w:rsidRPr="48ECC65F">
              <w:rPr>
                <w:rFonts w:cs="Arial"/>
                <w:vertAlign w:val="superscript"/>
              </w:rPr>
              <w:t xml:space="preserve"> a b</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AB8CFD3"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vertAlign w:val="superscript"/>
              </w:rPr>
            </w:pPr>
            <w:r w:rsidRPr="00373DCC">
              <w:rPr>
                <w:rFonts w:eastAsiaTheme="minorHAnsi" w:cs="Arial"/>
                <w:szCs w:val="22"/>
              </w:rPr>
              <w:t>8</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F099FA7"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9</w:t>
            </w:r>
          </w:p>
        </w:tc>
      </w:tr>
      <w:tr w:rsidR="00F2350B" w:rsidRPr="00373DCC" w14:paraId="200D5F5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5194DE14" w14:textId="77777777" w:rsidR="00F2350B" w:rsidRPr="00373DCC" w:rsidRDefault="00F2350B" w:rsidP="00710B91">
            <w:pPr>
              <w:widowControl w:val="0"/>
              <w:spacing w:before="0" w:after="0" w:line="240" w:lineRule="atLeast"/>
              <w:rPr>
                <w:rFonts w:cs="Arial"/>
                <w:szCs w:val="22"/>
              </w:rPr>
            </w:pPr>
            <w:r w:rsidRPr="00373DCC">
              <w:rPr>
                <w:rFonts w:cs="Arial"/>
                <w:szCs w:val="22"/>
              </w:rPr>
              <w:t>Completed FMI/CMI assessments</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7188519"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38</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2B6F622"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17</w:t>
            </w:r>
          </w:p>
        </w:tc>
      </w:tr>
      <w:tr w:rsidR="00F2350B" w:rsidRPr="00373DCC" w14:paraId="18006E3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themeColor="text2"/>
              <w:bottom w:val="single" w:sz="4" w:space="0" w:color="auto"/>
              <w:right w:val="single" w:sz="4" w:space="0" w:color="002C47" w:themeColor="text2"/>
            </w:tcBorders>
            <w:vAlign w:val="center"/>
          </w:tcPr>
          <w:p w14:paraId="3C0EDF59" w14:textId="77777777" w:rsidR="00F2350B" w:rsidRPr="00373DCC" w:rsidRDefault="00F2350B" w:rsidP="00710B91">
            <w:pPr>
              <w:widowControl w:val="0"/>
              <w:spacing w:before="0" w:after="0" w:line="240" w:lineRule="atLeast"/>
              <w:rPr>
                <w:rFonts w:cs="Arial"/>
                <w:szCs w:val="22"/>
              </w:rPr>
            </w:pPr>
            <w:r w:rsidRPr="00373DCC">
              <w:rPr>
                <w:rFonts w:cs="Arial"/>
                <w:szCs w:val="22"/>
              </w:rPr>
              <w:t>Referral to another TGA area or government organisation</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19B3E43"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32</w:t>
            </w:r>
          </w:p>
        </w:tc>
        <w:tc>
          <w:tcPr>
            <w:tcW w:w="78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BB05D84"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54</w:t>
            </w:r>
          </w:p>
        </w:tc>
      </w:tr>
    </w:tbl>
    <w:p w14:paraId="6391F978" w14:textId="77777777" w:rsidR="00F2350B" w:rsidRPr="00373DCC" w:rsidRDefault="00F2350B" w:rsidP="00F2350B">
      <w:pPr>
        <w:tabs>
          <w:tab w:val="left" w:pos="720"/>
        </w:tabs>
        <w:rPr>
          <w:rFonts w:eastAsia="Arial" w:cs="Arial"/>
          <w:sz w:val="16"/>
          <w:szCs w:val="16"/>
          <w:lang w:val="en"/>
        </w:rPr>
      </w:pPr>
      <w:r w:rsidRPr="6B099BF4">
        <w:rPr>
          <w:rFonts w:eastAsia="Arial" w:cs="Arial"/>
          <w:sz w:val="16"/>
          <w:szCs w:val="16"/>
          <w:vertAlign w:val="superscript"/>
          <w:lang w:val="en"/>
        </w:rPr>
        <w:t>a</w:t>
      </w:r>
      <w:r w:rsidRPr="6B099BF4">
        <w:rPr>
          <w:rFonts w:eastAsia="Arial" w:cs="Arial"/>
          <w:sz w:val="16"/>
          <w:szCs w:val="16"/>
          <w:lang w:val="en"/>
        </w:rPr>
        <w:t xml:space="preserve"> Using factsheet developed in Table 26</w:t>
      </w:r>
    </w:p>
    <w:p w14:paraId="721C4C3A" w14:textId="77777777" w:rsidR="00F2350B" w:rsidRPr="00373DCC" w:rsidRDefault="00F2350B" w:rsidP="00F2350B">
      <w:pPr>
        <w:tabs>
          <w:tab w:val="left" w:pos="720"/>
        </w:tabs>
        <w:rPr>
          <w:rFonts w:eastAsia="Arial" w:cs="Arial"/>
          <w:sz w:val="16"/>
          <w:szCs w:val="16"/>
          <w:lang w:val="en"/>
        </w:rPr>
      </w:pPr>
      <w:r w:rsidRPr="6B099BF4">
        <w:rPr>
          <w:rFonts w:eastAsia="Arial" w:cs="Arial"/>
          <w:sz w:val="16"/>
          <w:szCs w:val="16"/>
          <w:vertAlign w:val="superscript"/>
          <w:lang w:val="en"/>
        </w:rPr>
        <w:t xml:space="preserve">b </w:t>
      </w:r>
      <w:r w:rsidRPr="6B099BF4">
        <w:rPr>
          <w:rFonts w:eastAsia="Arial" w:cs="Arial"/>
          <w:sz w:val="16"/>
          <w:szCs w:val="16"/>
          <w:lang w:val="en"/>
        </w:rPr>
        <w:t>data unavailable or process was not in existence</w:t>
      </w:r>
    </w:p>
    <w:p w14:paraId="5B69DE8D" w14:textId="77777777" w:rsidR="00F2350B" w:rsidRPr="00373DCC" w:rsidRDefault="00F2350B" w:rsidP="00B633E2">
      <w:pPr>
        <w:pStyle w:val="Heading3-numbered"/>
        <w:numPr>
          <w:ilvl w:val="1"/>
          <w:numId w:val="32"/>
        </w:numPr>
        <w:rPr>
          <w:rFonts w:ascii="Arial" w:hAnsi="Arial" w:cs="Arial"/>
        </w:rPr>
      </w:pPr>
      <w:bookmarkStart w:id="143" w:name="_Toc153550466"/>
      <w:r w:rsidRPr="48ECC65F">
        <w:rPr>
          <w:rFonts w:ascii="Arial" w:hAnsi="Arial" w:cs="Arial"/>
        </w:rPr>
        <w:t>Compliance and enforcement</w:t>
      </w:r>
      <w:bookmarkEnd w:id="143"/>
    </w:p>
    <w:p w14:paraId="078BAC61" w14:textId="77777777" w:rsidR="00F2350B" w:rsidRPr="00373DCC" w:rsidRDefault="00F2350B" w:rsidP="00F2350B">
      <w:pPr>
        <w:rPr>
          <w:rFonts w:cs="Arial"/>
          <w:sz w:val="21"/>
          <w:szCs w:val="21"/>
        </w:rPr>
      </w:pPr>
      <w:r w:rsidRPr="00373DCC">
        <w:rPr>
          <w:rFonts w:cs="Arial"/>
          <w:sz w:val="21"/>
          <w:szCs w:val="21"/>
        </w:rPr>
        <w:t xml:space="preserve">The ARTG carries out a weekly scan of recently listed medicines, which captures signals of non-compliance in the form of complaints and referrals from internal and external stakeholders. In addition, the scan proactively captures non compliances prior to sponsor marketing the medicine and facilitates the sponsor to make timely amendments. </w:t>
      </w:r>
    </w:p>
    <w:p w14:paraId="1460C0F6" w14:textId="77777777" w:rsidR="00F2350B" w:rsidRPr="00373DCC" w:rsidRDefault="00F2350B" w:rsidP="00F2350B">
      <w:pPr>
        <w:rPr>
          <w:rFonts w:cs="Arial"/>
          <w:sz w:val="21"/>
          <w:szCs w:val="21"/>
        </w:rPr>
      </w:pPr>
      <w:r w:rsidRPr="00373DCC">
        <w:rPr>
          <w:rFonts w:cs="Arial"/>
          <w:sz w:val="21"/>
          <w:szCs w:val="21"/>
        </w:rPr>
        <w:t>The right actions are meted to non-compliance activities based on potential breaches. A formal risk mitigation process is utilised, namely education correspondence for low level compliance actions and in-depth investigation to medium to high level compliance or enforcement actions such as a warning letter, a compliance review or infringement notices.</w:t>
      </w:r>
    </w:p>
    <w:p w14:paraId="5ED747ED" w14:textId="77777777" w:rsidR="00F2350B" w:rsidRPr="00373DCC" w:rsidRDefault="00F2350B" w:rsidP="00F2350B">
      <w:pPr>
        <w:rPr>
          <w:rFonts w:cs="Arial"/>
          <w:sz w:val="21"/>
          <w:szCs w:val="21"/>
        </w:rPr>
      </w:pPr>
      <w:r w:rsidRPr="00373DCC">
        <w:rPr>
          <w:rFonts w:cs="Arial"/>
          <w:sz w:val="21"/>
          <w:szCs w:val="21"/>
        </w:rPr>
        <w:t>Targeted compliance reviews may be initiated as a result of signals investigations or from intel/data that is available regarding a compliance topic. When issues identified in a signal investigation are found to be of high risk, a compliance review will be triggered to conduct a more in-depth investigation and/or take further enforcement action.</w:t>
      </w:r>
    </w:p>
    <w:p w14:paraId="03EF2F89" w14:textId="77777777" w:rsidR="00F2350B" w:rsidRPr="00373DCC" w:rsidRDefault="00F2350B" w:rsidP="00F2350B">
      <w:pPr>
        <w:rPr>
          <w:rFonts w:cs="Arial"/>
          <w:sz w:val="21"/>
          <w:szCs w:val="21"/>
        </w:rPr>
      </w:pPr>
      <w:r w:rsidRPr="00373DCC">
        <w:rPr>
          <w:rFonts w:cs="Arial"/>
          <w:sz w:val="21"/>
          <w:szCs w:val="21"/>
        </w:rPr>
        <w:t>Targeted compliance reviews may be initiated as a result of signals investigations or from intel/data that is available regarding a compliance topic. When issues identified in a signal investigation are found to be of high risk, a compliance review will be triggered to conduct a more in-depth investigation and/or take further enforcement action.</w:t>
      </w:r>
    </w:p>
    <w:p w14:paraId="09FF457B" w14:textId="77777777" w:rsidR="00F2350B" w:rsidRPr="00373DCC" w:rsidRDefault="00F2350B" w:rsidP="00F2350B">
      <w:pPr>
        <w:rPr>
          <w:rFonts w:cs="Arial"/>
          <w:sz w:val="21"/>
          <w:szCs w:val="21"/>
        </w:rPr>
      </w:pPr>
      <w:r w:rsidRPr="00373DCC">
        <w:rPr>
          <w:rFonts w:cs="Arial"/>
          <w:sz w:val="21"/>
          <w:szCs w:val="21"/>
        </w:rPr>
        <w:t>A compliance review will result in one of the following outcomes:</w:t>
      </w:r>
    </w:p>
    <w:p w14:paraId="211947B1" w14:textId="77777777" w:rsidR="00F2350B" w:rsidRPr="00373DCC" w:rsidRDefault="00F2350B" w:rsidP="00ED1A1F">
      <w:pPr>
        <w:pStyle w:val="ListParagraph"/>
        <w:numPr>
          <w:ilvl w:val="0"/>
          <w:numId w:val="22"/>
        </w:numPr>
        <w:rPr>
          <w:sz w:val="21"/>
          <w:szCs w:val="21"/>
        </w:rPr>
      </w:pPr>
      <w:r w:rsidRPr="00373DCC">
        <w:rPr>
          <w:sz w:val="21"/>
          <w:szCs w:val="21"/>
        </w:rPr>
        <w:t>no compliance breaches are identified against selected listing requirements, the review is concluded, and the medicine remains on the ARTG</w:t>
      </w:r>
    </w:p>
    <w:p w14:paraId="61E01A21" w14:textId="77777777" w:rsidR="00F2350B" w:rsidRPr="00373DCC" w:rsidRDefault="00F2350B" w:rsidP="00ED1A1F">
      <w:pPr>
        <w:pStyle w:val="ListParagraph"/>
        <w:numPr>
          <w:ilvl w:val="0"/>
          <w:numId w:val="22"/>
        </w:numPr>
        <w:rPr>
          <w:sz w:val="21"/>
          <w:szCs w:val="21"/>
        </w:rPr>
      </w:pPr>
      <w:r w:rsidRPr="00373DCC">
        <w:rPr>
          <w:sz w:val="21"/>
          <w:szCs w:val="21"/>
        </w:rPr>
        <w:t>compliance breaches are identified for the selected listing requirements, and may take additional regulatory actions (cancellation, recalls, infringement notice)</w:t>
      </w:r>
    </w:p>
    <w:p w14:paraId="6D57531B" w14:textId="77777777" w:rsidR="00F2350B" w:rsidRPr="00373DCC" w:rsidRDefault="00F2350B" w:rsidP="00ED1A1F">
      <w:pPr>
        <w:pStyle w:val="ListParagraph"/>
        <w:numPr>
          <w:ilvl w:val="0"/>
          <w:numId w:val="22"/>
        </w:numPr>
        <w:rPr>
          <w:sz w:val="21"/>
          <w:szCs w:val="21"/>
        </w:rPr>
      </w:pPr>
      <w:r w:rsidRPr="00373DCC">
        <w:rPr>
          <w:sz w:val="21"/>
          <w:szCs w:val="21"/>
        </w:rPr>
        <w:t>the review is closed due to the unavailability of information in determining its compliance status as the medicine is yet to be manufactured.</w:t>
      </w:r>
    </w:p>
    <w:p w14:paraId="4A1C1AF5" w14:textId="77777777" w:rsidR="00F2350B" w:rsidRPr="00373DCC" w:rsidRDefault="00F2350B" w:rsidP="00ED1A1F">
      <w:pPr>
        <w:pStyle w:val="ListParagraph"/>
        <w:numPr>
          <w:ilvl w:val="0"/>
          <w:numId w:val="22"/>
        </w:numPr>
        <w:rPr>
          <w:sz w:val="21"/>
          <w:szCs w:val="21"/>
        </w:rPr>
      </w:pPr>
      <w:r w:rsidRPr="00373DCC">
        <w:rPr>
          <w:sz w:val="21"/>
          <w:szCs w:val="21"/>
        </w:rPr>
        <w:t>we publish results of listed medicine compliance reviews on the TGA website to assist consumers to make informed choices about whether a listed medicine is appropriate for them.</w:t>
      </w:r>
    </w:p>
    <w:p w14:paraId="3343156D" w14:textId="77777777" w:rsidR="00F2350B" w:rsidRPr="00373DCC" w:rsidRDefault="00F2350B" w:rsidP="00F2350B">
      <w:pPr>
        <w:rPr>
          <w:rFonts w:cs="Arial"/>
          <w:sz w:val="21"/>
          <w:szCs w:val="21"/>
        </w:rPr>
      </w:pPr>
      <w:r w:rsidRPr="00373DCC">
        <w:rPr>
          <w:rFonts w:cs="Arial"/>
          <w:sz w:val="21"/>
          <w:szCs w:val="21"/>
        </w:rPr>
        <w:t>The 2022-23 compliance strategy for listed medicines mainly included targeted compliance activities based on intel</w:t>
      </w:r>
      <w:r>
        <w:rPr>
          <w:rFonts w:cs="Arial"/>
          <w:sz w:val="21"/>
          <w:szCs w:val="21"/>
        </w:rPr>
        <w:t xml:space="preserve">ligence and </w:t>
      </w:r>
      <w:r w:rsidRPr="00373DCC">
        <w:rPr>
          <w:rFonts w:cs="Arial"/>
          <w:sz w:val="21"/>
          <w:szCs w:val="21"/>
        </w:rPr>
        <w:t>data.</w:t>
      </w:r>
    </w:p>
    <w:p w14:paraId="2F99CA12" w14:textId="77777777" w:rsidR="00F2350B" w:rsidRPr="00373DCC" w:rsidRDefault="00F2350B" w:rsidP="00F2350B">
      <w:pPr>
        <w:keepNext/>
        <w:spacing w:before="240" w:after="120" w:line="240" w:lineRule="auto"/>
        <w:rPr>
          <w:rFonts w:eastAsia="Cambria" w:cs="Arial"/>
          <w:b/>
          <w:szCs w:val="22"/>
        </w:rPr>
      </w:pPr>
      <w:bookmarkStart w:id="144" w:name="Table28"/>
    </w:p>
    <w:p w14:paraId="39E9D55A" w14:textId="77777777" w:rsidR="00F2350B" w:rsidRPr="00373DCC" w:rsidRDefault="00F2350B" w:rsidP="00F2350B">
      <w:pPr>
        <w:rPr>
          <w:rFonts w:eastAsia="Cambria" w:cs="Arial"/>
          <w:b/>
          <w:szCs w:val="22"/>
        </w:rPr>
      </w:pPr>
      <w:r w:rsidRPr="00373DCC">
        <w:rPr>
          <w:rFonts w:eastAsia="Cambria" w:cs="Arial"/>
          <w:b/>
          <w:szCs w:val="22"/>
        </w:rPr>
        <w:br w:type="page"/>
      </w:r>
    </w:p>
    <w:p w14:paraId="5AAABC1B"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lastRenderedPageBreak/>
        <w:t>Table 28: Signals triaging and investigations</w:t>
      </w:r>
    </w:p>
    <w:tbl>
      <w:tblPr>
        <w:tblStyle w:val="TableTGAblue"/>
        <w:tblW w:w="5000" w:type="pct"/>
        <w:tblLook w:val="04A0" w:firstRow="1" w:lastRow="0" w:firstColumn="1" w:lastColumn="0" w:noHBand="0" w:noVBand="1"/>
      </w:tblPr>
      <w:tblGrid>
        <w:gridCol w:w="6184"/>
        <w:gridCol w:w="1444"/>
        <w:gridCol w:w="1388"/>
      </w:tblGrid>
      <w:tr w:rsidR="00A85E73" w:rsidRPr="00373DCC" w14:paraId="75FFF5A4" w14:textId="77777777" w:rsidTr="00A85E73">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29527F"/>
            <w:vAlign w:val="center"/>
          </w:tcPr>
          <w:bookmarkEnd w:id="144"/>
          <w:p w14:paraId="3655E962" w14:textId="1D06B3BF" w:rsidR="00A85E73" w:rsidRPr="00373DCC" w:rsidRDefault="00A85E73" w:rsidP="00A85E73">
            <w:pPr>
              <w:widowControl w:val="0"/>
              <w:spacing w:line="240" w:lineRule="atLeast"/>
              <w:contextualSpacing/>
              <w:rPr>
                <w:rFonts w:cs="Arial"/>
                <w:b w:val="0"/>
                <w:color w:val="FFFFFF" w:themeColor="background1"/>
                <w:sz w:val="21"/>
              </w:rPr>
            </w:pPr>
            <w:r w:rsidRPr="00373DCC">
              <w:rPr>
                <w:rFonts w:eastAsiaTheme="minorHAnsi" w:cs="Arial"/>
                <w:sz w:val="21"/>
              </w:rPr>
              <w:t>Signals monitored</w:t>
            </w:r>
          </w:p>
        </w:tc>
        <w:tc>
          <w:tcPr>
            <w:tcW w:w="801" w:type="pct"/>
            <w:tcBorders>
              <w:top w:val="single" w:sz="4" w:space="0" w:color="auto"/>
              <w:left w:val="single" w:sz="4" w:space="0" w:color="auto"/>
              <w:bottom w:val="single" w:sz="4" w:space="0" w:color="auto"/>
              <w:right w:val="single" w:sz="4" w:space="0" w:color="auto"/>
            </w:tcBorders>
            <w:shd w:val="clear" w:color="auto" w:fill="29527F"/>
            <w:vAlign w:val="center"/>
          </w:tcPr>
          <w:p w14:paraId="62FF2C8D" w14:textId="54667718" w:rsidR="00A85E73" w:rsidRPr="00373DCC" w:rsidRDefault="00A85E73"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70" w:type="pct"/>
            <w:tcBorders>
              <w:top w:val="single" w:sz="4" w:space="0" w:color="auto"/>
              <w:left w:val="single" w:sz="4" w:space="0" w:color="auto"/>
              <w:bottom w:val="single" w:sz="4" w:space="0" w:color="auto"/>
              <w:right w:val="single" w:sz="4" w:space="0" w:color="auto"/>
            </w:tcBorders>
            <w:shd w:val="clear" w:color="auto" w:fill="29527F"/>
            <w:vAlign w:val="center"/>
          </w:tcPr>
          <w:p w14:paraId="725D07C5" w14:textId="075A3C6C" w:rsidR="00A85E73" w:rsidRPr="00373DCC" w:rsidRDefault="00A85E73"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2FDBEAFC"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270FD7F2"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Newly listed medicines monitored</w:t>
            </w:r>
          </w:p>
        </w:tc>
        <w:tc>
          <w:tcPr>
            <w:tcW w:w="801" w:type="pct"/>
            <w:tcBorders>
              <w:top w:val="single" w:sz="4" w:space="0" w:color="002C47"/>
              <w:left w:val="single" w:sz="4" w:space="0" w:color="002C47"/>
              <w:bottom w:val="single" w:sz="4" w:space="0" w:color="002C47"/>
              <w:right w:val="single" w:sz="4" w:space="0" w:color="002C47"/>
            </w:tcBorders>
            <w:vAlign w:val="center"/>
          </w:tcPr>
          <w:p w14:paraId="25DC140A"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2,115</w:t>
            </w:r>
          </w:p>
        </w:tc>
        <w:tc>
          <w:tcPr>
            <w:tcW w:w="770" w:type="pct"/>
            <w:tcBorders>
              <w:top w:val="single" w:sz="4" w:space="0" w:color="002C47"/>
              <w:left w:val="single" w:sz="4" w:space="0" w:color="002C47"/>
              <w:bottom w:val="single" w:sz="4" w:space="0" w:color="002C47"/>
              <w:right w:val="single" w:sz="4" w:space="0" w:color="002C47"/>
            </w:tcBorders>
            <w:vAlign w:val="center"/>
          </w:tcPr>
          <w:p w14:paraId="06F99529"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1722</w:t>
            </w:r>
          </w:p>
        </w:tc>
      </w:tr>
      <w:tr w:rsidR="00F2350B" w:rsidRPr="00373DCC" w14:paraId="7EFE9768"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22D29C04" w14:textId="77777777" w:rsidR="00F2350B" w:rsidRPr="00373DCC" w:rsidDel="0056374E" w:rsidRDefault="00F2350B" w:rsidP="00710B91">
            <w:pPr>
              <w:spacing w:line="240" w:lineRule="atLeast"/>
              <w:contextualSpacing/>
              <w:rPr>
                <w:rFonts w:eastAsiaTheme="minorHAnsi" w:cs="Arial"/>
                <w:sz w:val="21"/>
              </w:rPr>
            </w:pPr>
            <w:r w:rsidRPr="00373DCC">
              <w:rPr>
                <w:rFonts w:eastAsiaTheme="minorHAnsi" w:cs="Arial"/>
                <w:sz w:val="21"/>
              </w:rPr>
              <w:t xml:space="preserve">Intel signals of non-compliance (complaints and referrals) </w:t>
            </w:r>
          </w:p>
        </w:tc>
        <w:tc>
          <w:tcPr>
            <w:tcW w:w="801" w:type="pct"/>
            <w:tcBorders>
              <w:top w:val="single" w:sz="4" w:space="0" w:color="002C47"/>
              <w:left w:val="single" w:sz="4" w:space="0" w:color="002C47"/>
              <w:bottom w:val="single" w:sz="4" w:space="0" w:color="002C47"/>
              <w:right w:val="single" w:sz="4" w:space="0" w:color="002C47"/>
            </w:tcBorders>
            <w:vAlign w:val="center"/>
          </w:tcPr>
          <w:p w14:paraId="04B81076"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42</w:t>
            </w:r>
          </w:p>
        </w:tc>
        <w:tc>
          <w:tcPr>
            <w:tcW w:w="770" w:type="pct"/>
            <w:tcBorders>
              <w:top w:val="single" w:sz="4" w:space="0" w:color="002C47"/>
              <w:left w:val="single" w:sz="4" w:space="0" w:color="002C47"/>
              <w:bottom w:val="single" w:sz="4" w:space="0" w:color="002C47"/>
              <w:right w:val="single" w:sz="4" w:space="0" w:color="002C47"/>
            </w:tcBorders>
            <w:vAlign w:val="center"/>
          </w:tcPr>
          <w:p w14:paraId="245C2B87"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110</w:t>
            </w:r>
          </w:p>
        </w:tc>
      </w:tr>
      <w:tr w:rsidR="00F2350B" w:rsidRPr="00373DCC" w14:paraId="6BB23BC4"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080367EC"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ARTG signals of non-compliance (ARTG scanning)</w:t>
            </w:r>
          </w:p>
        </w:tc>
        <w:tc>
          <w:tcPr>
            <w:tcW w:w="801" w:type="pct"/>
            <w:tcBorders>
              <w:top w:val="single" w:sz="4" w:space="0" w:color="002C47"/>
              <w:left w:val="single" w:sz="4" w:space="0" w:color="002C47"/>
              <w:bottom w:val="single" w:sz="4" w:space="0" w:color="002C47"/>
              <w:right w:val="single" w:sz="4" w:space="0" w:color="002C47"/>
            </w:tcBorders>
            <w:vAlign w:val="center"/>
          </w:tcPr>
          <w:p w14:paraId="05B67505"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288</w:t>
            </w:r>
          </w:p>
        </w:tc>
        <w:tc>
          <w:tcPr>
            <w:tcW w:w="770" w:type="pct"/>
            <w:tcBorders>
              <w:top w:val="single" w:sz="4" w:space="0" w:color="002C47"/>
              <w:left w:val="single" w:sz="4" w:space="0" w:color="002C47"/>
              <w:bottom w:val="single" w:sz="4" w:space="0" w:color="002C47"/>
              <w:right w:val="single" w:sz="4" w:space="0" w:color="002C47"/>
            </w:tcBorders>
            <w:vAlign w:val="center"/>
          </w:tcPr>
          <w:p w14:paraId="43B401B4"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294</w:t>
            </w:r>
          </w:p>
        </w:tc>
      </w:tr>
      <w:tr w:rsidR="00F2350B" w:rsidRPr="00373DCC" w14:paraId="67D6FAD7"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2FABC531"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Signals of non-compliance investigated and completed</w:t>
            </w:r>
            <w:r w:rsidRPr="00373DCC">
              <w:rPr>
                <w:rFonts w:eastAsiaTheme="minorHAnsi" w:cs="Arial"/>
                <w:sz w:val="21"/>
                <w:vertAlign w:val="superscript"/>
              </w:rPr>
              <w:t xml:space="preserve"> </w:t>
            </w:r>
          </w:p>
        </w:tc>
        <w:tc>
          <w:tcPr>
            <w:tcW w:w="801" w:type="pct"/>
            <w:tcBorders>
              <w:top w:val="single" w:sz="4" w:space="0" w:color="002C47"/>
              <w:left w:val="single" w:sz="4" w:space="0" w:color="002C47"/>
              <w:bottom w:val="single" w:sz="4" w:space="0" w:color="002C47"/>
              <w:right w:val="single" w:sz="4" w:space="0" w:color="002C47"/>
            </w:tcBorders>
            <w:vAlign w:val="center"/>
          </w:tcPr>
          <w:p w14:paraId="6BB8AD5C"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221</w:t>
            </w:r>
          </w:p>
        </w:tc>
        <w:tc>
          <w:tcPr>
            <w:tcW w:w="770" w:type="pct"/>
            <w:tcBorders>
              <w:top w:val="single" w:sz="4" w:space="0" w:color="002C47"/>
              <w:left w:val="single" w:sz="4" w:space="0" w:color="002C47"/>
              <w:bottom w:val="single" w:sz="4" w:space="0" w:color="002C47"/>
              <w:right w:val="single" w:sz="4" w:space="0" w:color="002C47"/>
            </w:tcBorders>
            <w:vAlign w:val="center"/>
          </w:tcPr>
          <w:p w14:paraId="26DF83FB"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345</w:t>
            </w:r>
          </w:p>
        </w:tc>
      </w:tr>
      <w:tr w:rsidR="00F2350B" w:rsidRPr="00373DCC" w14:paraId="2073CD23"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3D61EEF6"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Signals of non-compliance resolved with low to medium level compliance actions</w:t>
            </w:r>
            <w:r w:rsidRPr="00373DCC">
              <w:rPr>
                <w:rFonts w:eastAsiaTheme="minorHAnsi" w:cs="Arial"/>
                <w:sz w:val="21"/>
                <w:vertAlign w:val="superscript"/>
              </w:rPr>
              <w:t xml:space="preserve"> a</w:t>
            </w:r>
            <w:r w:rsidRPr="00373DCC">
              <w:rPr>
                <w:rFonts w:eastAsiaTheme="minorHAnsi" w:cs="Arial"/>
                <w:sz w:val="21"/>
              </w:rPr>
              <w:t xml:space="preserve"> (% success</w:t>
            </w:r>
            <w:r w:rsidRPr="00373DCC">
              <w:rPr>
                <w:rFonts w:eastAsiaTheme="minorHAnsi" w:cs="Arial"/>
                <w:sz w:val="21"/>
                <w:vertAlign w:val="superscript"/>
              </w:rPr>
              <w:t xml:space="preserve"> b</w:t>
            </w:r>
            <w:r w:rsidRPr="00373DCC">
              <w:rPr>
                <w:rFonts w:eastAsiaTheme="minorHAnsi" w:cs="Arial"/>
                <w:sz w:val="21"/>
              </w:rPr>
              <w:t>)</w:t>
            </w:r>
            <w:r w:rsidRPr="00373DCC">
              <w:rPr>
                <w:rFonts w:eastAsiaTheme="minorHAnsi" w:cs="Arial"/>
                <w:sz w:val="21"/>
                <w:vertAlign w:val="superscript"/>
              </w:rPr>
              <w:t xml:space="preserve"> </w:t>
            </w:r>
          </w:p>
        </w:tc>
        <w:tc>
          <w:tcPr>
            <w:tcW w:w="801" w:type="pct"/>
            <w:tcBorders>
              <w:top w:val="single" w:sz="4" w:space="0" w:color="002C47"/>
              <w:left w:val="single" w:sz="4" w:space="0" w:color="002C47"/>
              <w:bottom w:val="single" w:sz="4" w:space="0" w:color="002C47"/>
              <w:right w:val="single" w:sz="4" w:space="0" w:color="002C47"/>
            </w:tcBorders>
            <w:vAlign w:val="center"/>
          </w:tcPr>
          <w:p w14:paraId="71191993"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vertAlign w:val="superscript"/>
              </w:rPr>
            </w:pPr>
            <w:r w:rsidRPr="00373DCC">
              <w:rPr>
                <w:rFonts w:eastAsiaTheme="minorHAnsi" w:cs="Arial"/>
                <w:sz w:val="21"/>
              </w:rPr>
              <w:t>41 (53%)</w:t>
            </w:r>
          </w:p>
        </w:tc>
        <w:tc>
          <w:tcPr>
            <w:tcW w:w="770" w:type="pct"/>
            <w:tcBorders>
              <w:top w:val="single" w:sz="4" w:space="0" w:color="002C47"/>
              <w:left w:val="single" w:sz="4" w:space="0" w:color="002C47"/>
              <w:bottom w:val="single" w:sz="4" w:space="0" w:color="002C47"/>
              <w:right w:val="single" w:sz="4" w:space="0" w:color="002C47"/>
            </w:tcBorders>
            <w:vAlign w:val="center"/>
          </w:tcPr>
          <w:p w14:paraId="6AF6FDCF"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202 (65%</w:t>
            </w:r>
            <w:r w:rsidRPr="00373DCC">
              <w:rPr>
                <w:rFonts w:eastAsiaTheme="minorHAnsi" w:cs="Arial"/>
                <w:sz w:val="21"/>
                <w:vertAlign w:val="superscript"/>
              </w:rPr>
              <w:t>c</w:t>
            </w:r>
            <w:r w:rsidRPr="00373DCC">
              <w:rPr>
                <w:rFonts w:eastAsiaTheme="minorHAnsi" w:cs="Arial"/>
                <w:sz w:val="21"/>
              </w:rPr>
              <w:t>)</w:t>
            </w:r>
          </w:p>
        </w:tc>
      </w:tr>
      <w:tr w:rsidR="00F2350B" w:rsidRPr="00373DCC" w14:paraId="709C2A27"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15917097"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 xml:space="preserve">Signals of non-compliance transitioned to a compliance review </w:t>
            </w:r>
          </w:p>
        </w:tc>
        <w:tc>
          <w:tcPr>
            <w:tcW w:w="801" w:type="pct"/>
            <w:tcBorders>
              <w:top w:val="single" w:sz="4" w:space="0" w:color="002C47"/>
              <w:left w:val="single" w:sz="4" w:space="0" w:color="002C47"/>
              <w:bottom w:val="single" w:sz="4" w:space="0" w:color="002C47"/>
              <w:right w:val="single" w:sz="4" w:space="0" w:color="002C47"/>
            </w:tcBorders>
            <w:vAlign w:val="center"/>
          </w:tcPr>
          <w:p w14:paraId="0798FF2A"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w:t>
            </w:r>
          </w:p>
        </w:tc>
        <w:tc>
          <w:tcPr>
            <w:tcW w:w="770" w:type="pct"/>
            <w:tcBorders>
              <w:top w:val="single" w:sz="4" w:space="0" w:color="002C47"/>
              <w:left w:val="single" w:sz="4" w:space="0" w:color="002C47"/>
              <w:bottom w:val="single" w:sz="4" w:space="0" w:color="002C47"/>
              <w:right w:val="single" w:sz="4" w:space="0" w:color="002C47"/>
            </w:tcBorders>
            <w:vAlign w:val="center"/>
          </w:tcPr>
          <w:p w14:paraId="1381AB7A"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118</w:t>
            </w:r>
          </w:p>
        </w:tc>
      </w:tr>
      <w:tr w:rsidR="00F2350B" w:rsidRPr="00373DCC" w14:paraId="7B2123C7"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002C47"/>
              <w:bottom w:val="single" w:sz="4" w:space="0" w:color="002C47"/>
              <w:right w:val="single" w:sz="4" w:space="0" w:color="002C47"/>
            </w:tcBorders>
            <w:vAlign w:val="center"/>
          </w:tcPr>
          <w:p w14:paraId="320A1B45"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Medicines with potential non-compliance addressed via mass email education</w:t>
            </w:r>
            <w:r w:rsidRPr="00373DCC">
              <w:rPr>
                <w:rFonts w:eastAsiaTheme="minorHAnsi" w:cs="Arial"/>
                <w:sz w:val="21"/>
                <w:vertAlign w:val="superscript"/>
              </w:rPr>
              <w:t>d</w:t>
            </w:r>
            <w:r w:rsidRPr="00373DCC">
              <w:rPr>
                <w:rFonts w:eastAsiaTheme="minorHAnsi" w:cs="Arial"/>
                <w:sz w:val="21"/>
              </w:rPr>
              <w:t xml:space="preserve"> (no. of topics)</w:t>
            </w:r>
          </w:p>
        </w:tc>
        <w:tc>
          <w:tcPr>
            <w:tcW w:w="801" w:type="pct"/>
            <w:tcBorders>
              <w:top w:val="single" w:sz="4" w:space="0" w:color="002C47"/>
              <w:left w:val="single" w:sz="4" w:space="0" w:color="002C47"/>
              <w:bottom w:val="single" w:sz="4" w:space="0" w:color="002C47"/>
              <w:right w:val="single" w:sz="4" w:space="0" w:color="002C47"/>
            </w:tcBorders>
            <w:vAlign w:val="center"/>
          </w:tcPr>
          <w:p w14:paraId="48C4FEB5"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104 (2)</w:t>
            </w:r>
          </w:p>
        </w:tc>
        <w:tc>
          <w:tcPr>
            <w:tcW w:w="770" w:type="pct"/>
            <w:tcBorders>
              <w:top w:val="single" w:sz="4" w:space="0" w:color="002C47"/>
              <w:left w:val="single" w:sz="4" w:space="0" w:color="002C47"/>
              <w:bottom w:val="single" w:sz="4" w:space="0" w:color="002C47"/>
              <w:right w:val="single" w:sz="4" w:space="0" w:color="002C47"/>
            </w:tcBorders>
            <w:vAlign w:val="center"/>
          </w:tcPr>
          <w:p w14:paraId="486C3B06"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539 (2)</w:t>
            </w:r>
          </w:p>
        </w:tc>
      </w:tr>
    </w:tbl>
    <w:p w14:paraId="416677E3" w14:textId="77777777" w:rsidR="00F2350B" w:rsidRPr="00373DCC" w:rsidRDefault="00F2350B" w:rsidP="00F2350B">
      <w:pPr>
        <w:spacing w:before="0" w:after="0" w:line="24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Educational email, obligations notice, cease and desist notice, warning notice, and any other educational correspondence</w:t>
      </w:r>
    </w:p>
    <w:p w14:paraId="13121D34" w14:textId="77777777" w:rsidR="00F2350B" w:rsidRPr="00373DCC" w:rsidRDefault="00F2350B" w:rsidP="00F2350B">
      <w:pPr>
        <w:spacing w:before="0" w:after="0" w:line="240" w:lineRule="atLeast"/>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Success is measured as a percentage of medicines brought into compliance by sponsors after receiving a low to medium level compliance action</w:t>
      </w:r>
    </w:p>
    <w:p w14:paraId="38F71049" w14:textId="77777777" w:rsidR="00F2350B" w:rsidRPr="00373DCC" w:rsidRDefault="00F2350B" w:rsidP="00F2350B">
      <w:pPr>
        <w:spacing w:before="0" w:after="0" w:line="240" w:lineRule="atLeast"/>
        <w:rPr>
          <w:rFonts w:eastAsia="Cambria" w:cs="Arial"/>
          <w:sz w:val="16"/>
          <w:szCs w:val="16"/>
        </w:rPr>
      </w:pPr>
      <w:r w:rsidRPr="00373DCC">
        <w:rPr>
          <w:rFonts w:eastAsia="Cambria" w:cs="Arial"/>
          <w:sz w:val="16"/>
          <w:szCs w:val="16"/>
          <w:vertAlign w:val="superscript"/>
        </w:rPr>
        <w:t>c</w:t>
      </w:r>
      <w:r w:rsidRPr="00373DCC">
        <w:rPr>
          <w:rFonts w:eastAsia="Cambria" w:cs="Arial"/>
          <w:sz w:val="16"/>
          <w:szCs w:val="16"/>
        </w:rPr>
        <w:t xml:space="preserve"> Based on available data. Assurance has not been conducted for all correspondence sent, scheduled for September 2023.</w:t>
      </w:r>
    </w:p>
    <w:p w14:paraId="7938836D" w14:textId="77777777" w:rsidR="00F2350B" w:rsidRPr="00373DCC" w:rsidRDefault="00F2350B" w:rsidP="00F2350B">
      <w:pPr>
        <w:spacing w:before="0" w:after="0" w:line="240" w:lineRule="atLeast"/>
        <w:rPr>
          <w:rFonts w:eastAsia="Cambria" w:cs="Arial"/>
          <w:sz w:val="16"/>
          <w:szCs w:val="16"/>
        </w:rPr>
      </w:pPr>
      <w:r w:rsidRPr="00373DCC">
        <w:rPr>
          <w:rFonts w:eastAsia="Cambria" w:cs="Arial"/>
          <w:sz w:val="16"/>
          <w:szCs w:val="16"/>
          <w:vertAlign w:val="superscript"/>
        </w:rPr>
        <w:t>d</w:t>
      </w:r>
      <w:r w:rsidRPr="00373DCC">
        <w:rPr>
          <w:rFonts w:eastAsia="Cambria" w:cs="Arial"/>
          <w:sz w:val="16"/>
          <w:szCs w:val="16"/>
        </w:rPr>
        <w:t xml:space="preserve"> Educational emails targeted at all listed medicines which could be at risk of the same non-compliance</w:t>
      </w:r>
    </w:p>
    <w:p w14:paraId="0816F4AC" w14:textId="77777777" w:rsidR="00F2350B" w:rsidRPr="00373DCC" w:rsidRDefault="00F2350B" w:rsidP="00F2350B">
      <w:pPr>
        <w:spacing w:after="0" w:line="240" w:lineRule="atLeast"/>
        <w:rPr>
          <w:rFonts w:eastAsia="Cambria" w:cs="Arial"/>
          <w:szCs w:val="22"/>
        </w:rPr>
      </w:pPr>
    </w:p>
    <w:p w14:paraId="73B51890" w14:textId="77777777" w:rsidR="00F2350B" w:rsidRPr="00373DCC" w:rsidRDefault="00F2350B" w:rsidP="00F2350B">
      <w:pPr>
        <w:keepNext/>
        <w:spacing w:before="240" w:after="120" w:line="240" w:lineRule="auto"/>
        <w:rPr>
          <w:rFonts w:eastAsia="Cambria" w:cs="Arial"/>
          <w:b/>
          <w:bCs/>
          <w:sz w:val="21"/>
          <w:szCs w:val="21"/>
        </w:rPr>
      </w:pPr>
      <w:bookmarkStart w:id="145" w:name="Table29"/>
      <w:r w:rsidRPr="00373DCC">
        <w:rPr>
          <w:rFonts w:eastAsia="Cambria" w:cs="Arial"/>
          <w:b/>
          <w:bCs/>
          <w:sz w:val="21"/>
          <w:szCs w:val="21"/>
        </w:rPr>
        <w:t>Table 29: Listed medicine compliance reviews by type</w:t>
      </w:r>
    </w:p>
    <w:tbl>
      <w:tblPr>
        <w:tblStyle w:val="TableTGAblue3"/>
        <w:tblW w:w="5000" w:type="pct"/>
        <w:tblLook w:val="04A0" w:firstRow="1" w:lastRow="0" w:firstColumn="1" w:lastColumn="0" w:noHBand="0" w:noVBand="1"/>
      </w:tblPr>
      <w:tblGrid>
        <w:gridCol w:w="6192"/>
        <w:gridCol w:w="1410"/>
        <w:gridCol w:w="1414"/>
      </w:tblGrid>
      <w:tr w:rsidR="00F2350B" w:rsidRPr="00373DCC" w14:paraId="6470328C" w14:textId="77777777" w:rsidTr="003A2C7F">
        <w:trPr>
          <w:gridBefore w:val="1"/>
          <w:cnfStyle w:val="100000000000" w:firstRow="1" w:lastRow="0" w:firstColumn="0" w:lastColumn="0" w:oddVBand="0" w:evenVBand="0" w:oddHBand="0" w:evenHBand="0" w:firstRowFirstColumn="0" w:firstRowLastColumn="0" w:lastRowFirstColumn="0" w:lastRowLastColumn="0"/>
          <w:wBefore w:w="3434" w:type="pct"/>
          <w:trHeight w:val="527"/>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left w:val="single" w:sz="4" w:space="0" w:color="auto"/>
              <w:bottom w:val="single" w:sz="4" w:space="0" w:color="auto"/>
              <w:right w:val="single" w:sz="4" w:space="0" w:color="auto"/>
            </w:tcBorders>
            <w:shd w:val="clear" w:color="auto" w:fill="29527F"/>
            <w:vAlign w:val="center"/>
          </w:tcPr>
          <w:bookmarkEnd w:id="145"/>
          <w:p w14:paraId="057C415B" w14:textId="167391E5" w:rsidR="00F2350B" w:rsidRPr="00373DCC" w:rsidRDefault="003A2C7F" w:rsidP="00710B91">
            <w:pPr>
              <w:widowControl w:val="0"/>
              <w:spacing w:before="0" w:after="0" w:line="240" w:lineRule="atLeast"/>
              <w:contextualSpacing/>
              <w:jc w:val="center"/>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784" w:type="pct"/>
            <w:tcBorders>
              <w:top w:val="single" w:sz="4" w:space="0" w:color="auto"/>
              <w:left w:val="single" w:sz="4" w:space="0" w:color="auto"/>
              <w:bottom w:val="single" w:sz="4" w:space="0" w:color="auto"/>
              <w:right w:val="single" w:sz="4" w:space="0" w:color="auto"/>
            </w:tcBorders>
            <w:shd w:val="clear" w:color="auto" w:fill="29527F"/>
            <w:vAlign w:val="center"/>
          </w:tcPr>
          <w:p w14:paraId="0AE3E90C" w14:textId="4DB800A4" w:rsidR="00F2350B" w:rsidRPr="00373DCC" w:rsidRDefault="003A2C7F"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54CBEAD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116E7003"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Initiated reviews</w:t>
            </w:r>
          </w:p>
        </w:tc>
      </w:tr>
      <w:tr w:rsidR="00F2350B" w:rsidRPr="00373DCC" w14:paraId="14F6CF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vAlign w:val="center"/>
          </w:tcPr>
          <w:p w14:paraId="2DFE474D"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Compliance reviews</w:t>
            </w:r>
          </w:p>
        </w:tc>
        <w:tc>
          <w:tcPr>
            <w:tcW w:w="782" w:type="pct"/>
            <w:tcBorders>
              <w:top w:val="single" w:sz="4" w:space="0" w:color="002C47"/>
              <w:left w:val="single" w:sz="4" w:space="0" w:color="auto"/>
              <w:bottom w:val="single" w:sz="4" w:space="0" w:color="auto"/>
              <w:right w:val="single" w:sz="4" w:space="0" w:color="auto"/>
            </w:tcBorders>
            <w:vAlign w:val="center"/>
          </w:tcPr>
          <w:p w14:paraId="0F022A1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52</w:t>
            </w:r>
          </w:p>
        </w:tc>
        <w:tc>
          <w:tcPr>
            <w:tcW w:w="784" w:type="pct"/>
            <w:tcBorders>
              <w:top w:val="single" w:sz="4" w:space="0" w:color="002C47"/>
              <w:left w:val="single" w:sz="4" w:space="0" w:color="auto"/>
              <w:bottom w:val="single" w:sz="4" w:space="0" w:color="auto"/>
              <w:right w:val="single" w:sz="4" w:space="0" w:color="auto"/>
            </w:tcBorders>
            <w:vAlign w:val="center"/>
          </w:tcPr>
          <w:p w14:paraId="61159B6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130</w:t>
            </w:r>
          </w:p>
        </w:tc>
      </w:tr>
      <w:tr w:rsidR="00F2350B" w:rsidRPr="00373DCC" w14:paraId="310750D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vAlign w:val="center"/>
          </w:tcPr>
          <w:p w14:paraId="5B72E8E3"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Compliance reviews transitioned from signal investigations</w:t>
            </w:r>
          </w:p>
        </w:tc>
        <w:tc>
          <w:tcPr>
            <w:tcW w:w="782" w:type="pct"/>
            <w:tcBorders>
              <w:top w:val="single" w:sz="4" w:space="0" w:color="auto"/>
              <w:left w:val="single" w:sz="4" w:space="0" w:color="auto"/>
              <w:bottom w:val="single" w:sz="4" w:space="0" w:color="auto"/>
              <w:right w:val="single" w:sz="4" w:space="0" w:color="auto"/>
            </w:tcBorders>
            <w:vAlign w:val="center"/>
          </w:tcPr>
          <w:p w14:paraId="625D364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w:t>
            </w:r>
          </w:p>
        </w:tc>
        <w:tc>
          <w:tcPr>
            <w:tcW w:w="784" w:type="pct"/>
            <w:tcBorders>
              <w:top w:val="single" w:sz="4" w:space="0" w:color="auto"/>
              <w:left w:val="single" w:sz="4" w:space="0" w:color="auto"/>
              <w:bottom w:val="single" w:sz="4" w:space="0" w:color="auto"/>
              <w:right w:val="single" w:sz="4" w:space="0" w:color="auto"/>
            </w:tcBorders>
            <w:vAlign w:val="center"/>
          </w:tcPr>
          <w:p w14:paraId="2CF7947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118</w:t>
            </w:r>
          </w:p>
        </w:tc>
      </w:tr>
      <w:tr w:rsidR="00F2350B" w:rsidRPr="00373DCC" w14:paraId="6CD5124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vAlign w:val="center"/>
          </w:tcPr>
          <w:p w14:paraId="00B4A651" w14:textId="77777777" w:rsidR="00F2350B" w:rsidRPr="00373DCC" w:rsidRDefault="00F2350B" w:rsidP="00710B91">
            <w:pPr>
              <w:widowControl w:val="0"/>
              <w:spacing w:before="0" w:after="0" w:line="240" w:lineRule="atLeast"/>
              <w:rPr>
                <w:rFonts w:cs="Arial"/>
                <w:sz w:val="21"/>
              </w:rPr>
            </w:pPr>
            <w:r w:rsidRPr="00373DCC">
              <w:rPr>
                <w:rFonts w:cs="Arial"/>
                <w:sz w:val="21"/>
              </w:rPr>
              <w:t>Total number of initiated reviews</w:t>
            </w:r>
          </w:p>
        </w:tc>
        <w:tc>
          <w:tcPr>
            <w:tcW w:w="782" w:type="pct"/>
            <w:tcBorders>
              <w:top w:val="single" w:sz="4" w:space="0" w:color="auto"/>
              <w:left w:val="single" w:sz="4" w:space="0" w:color="auto"/>
              <w:bottom w:val="single" w:sz="4" w:space="0" w:color="auto"/>
              <w:right w:val="single" w:sz="4" w:space="0" w:color="auto"/>
            </w:tcBorders>
            <w:shd w:val="clear" w:color="auto" w:fill="C6D4E9"/>
            <w:vAlign w:val="center"/>
          </w:tcPr>
          <w:p w14:paraId="2D5D27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71</w:t>
            </w:r>
          </w:p>
        </w:tc>
        <w:tc>
          <w:tcPr>
            <w:tcW w:w="784" w:type="pct"/>
            <w:tcBorders>
              <w:top w:val="single" w:sz="4" w:space="0" w:color="auto"/>
              <w:left w:val="single" w:sz="4" w:space="0" w:color="auto"/>
              <w:bottom w:val="single" w:sz="4" w:space="0" w:color="auto"/>
              <w:right w:val="single" w:sz="4" w:space="0" w:color="auto"/>
            </w:tcBorders>
            <w:shd w:val="clear" w:color="auto" w:fill="C6D4E9"/>
            <w:vAlign w:val="center"/>
          </w:tcPr>
          <w:p w14:paraId="69D35E4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248</w:t>
            </w:r>
          </w:p>
        </w:tc>
      </w:tr>
      <w:tr w:rsidR="00F2350B" w:rsidRPr="00373DCC" w14:paraId="0A91ECB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452A8089"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Completed reviews</w:t>
            </w:r>
          </w:p>
        </w:tc>
      </w:tr>
      <w:tr w:rsidR="00F2350B" w:rsidRPr="00373DCC" w14:paraId="69AFC5A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vAlign w:val="center"/>
          </w:tcPr>
          <w:p w14:paraId="1B325C35"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Compliance reviews</w:t>
            </w:r>
          </w:p>
        </w:tc>
        <w:tc>
          <w:tcPr>
            <w:tcW w:w="782" w:type="pct"/>
            <w:tcBorders>
              <w:top w:val="single" w:sz="4" w:space="0" w:color="002C47"/>
              <w:left w:val="single" w:sz="4" w:space="0" w:color="auto"/>
              <w:bottom w:val="single" w:sz="4" w:space="0" w:color="auto"/>
              <w:right w:val="single" w:sz="4" w:space="0" w:color="auto"/>
            </w:tcBorders>
            <w:vAlign w:val="center"/>
          </w:tcPr>
          <w:p w14:paraId="7608142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ab/>
              <w:t>49</w:t>
            </w:r>
          </w:p>
        </w:tc>
        <w:tc>
          <w:tcPr>
            <w:tcW w:w="784" w:type="pct"/>
            <w:tcBorders>
              <w:top w:val="single" w:sz="4" w:space="0" w:color="002C47"/>
              <w:left w:val="single" w:sz="4" w:space="0" w:color="auto"/>
              <w:bottom w:val="single" w:sz="4" w:space="0" w:color="auto"/>
              <w:right w:val="single" w:sz="4" w:space="0" w:color="auto"/>
            </w:tcBorders>
            <w:vAlign w:val="center"/>
          </w:tcPr>
          <w:p w14:paraId="2EFAE1A8" w14:textId="77777777" w:rsidR="00F2350B" w:rsidRPr="00373DCC" w:rsidRDefault="00F2350B" w:rsidP="00710B91">
            <w:pPr>
              <w:widowControl w:val="0"/>
              <w:tabs>
                <w:tab w:val="center" w:pos="599"/>
                <w:tab w:val="right" w:pos="1198"/>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133</w:t>
            </w:r>
          </w:p>
        </w:tc>
      </w:tr>
      <w:tr w:rsidR="00F2350B" w:rsidRPr="00373DCC" w14:paraId="1316219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vAlign w:val="center"/>
          </w:tcPr>
          <w:p w14:paraId="173F1095"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Compliance reviews transitioned from signal investigations</w:t>
            </w:r>
          </w:p>
        </w:tc>
        <w:tc>
          <w:tcPr>
            <w:tcW w:w="782" w:type="pct"/>
            <w:tcBorders>
              <w:top w:val="single" w:sz="4" w:space="0" w:color="auto"/>
              <w:left w:val="single" w:sz="4" w:space="0" w:color="auto"/>
              <w:bottom w:val="single" w:sz="4" w:space="0" w:color="auto"/>
              <w:right w:val="single" w:sz="4" w:space="0" w:color="auto"/>
            </w:tcBorders>
            <w:vAlign w:val="center"/>
          </w:tcPr>
          <w:p w14:paraId="696BE75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w:t>
            </w:r>
          </w:p>
        </w:tc>
        <w:tc>
          <w:tcPr>
            <w:tcW w:w="784" w:type="pct"/>
            <w:tcBorders>
              <w:top w:val="single" w:sz="4" w:space="0" w:color="auto"/>
              <w:left w:val="single" w:sz="4" w:space="0" w:color="auto"/>
              <w:bottom w:val="single" w:sz="4" w:space="0" w:color="auto"/>
              <w:right w:val="single" w:sz="4" w:space="0" w:color="auto"/>
            </w:tcBorders>
            <w:vAlign w:val="center"/>
          </w:tcPr>
          <w:p w14:paraId="6B96CBD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70</w:t>
            </w:r>
          </w:p>
        </w:tc>
      </w:tr>
      <w:tr w:rsidR="00F2350B" w:rsidRPr="00373DCC" w14:paraId="1861F70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vAlign w:val="center"/>
          </w:tcPr>
          <w:p w14:paraId="53145448"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Total number of completed reviews</w:t>
            </w:r>
          </w:p>
        </w:tc>
        <w:tc>
          <w:tcPr>
            <w:tcW w:w="782" w:type="pct"/>
            <w:tcBorders>
              <w:top w:val="single" w:sz="4" w:space="0" w:color="auto"/>
              <w:left w:val="single" w:sz="4" w:space="0" w:color="auto"/>
              <w:bottom w:val="single" w:sz="4" w:space="0" w:color="auto"/>
              <w:right w:val="single" w:sz="4" w:space="0" w:color="auto"/>
            </w:tcBorders>
            <w:shd w:val="clear" w:color="auto" w:fill="C6D4E9"/>
            <w:vAlign w:val="center"/>
          </w:tcPr>
          <w:p w14:paraId="4DF23C9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78</w:t>
            </w:r>
          </w:p>
        </w:tc>
        <w:tc>
          <w:tcPr>
            <w:tcW w:w="784" w:type="pct"/>
            <w:tcBorders>
              <w:top w:val="single" w:sz="4" w:space="0" w:color="auto"/>
              <w:left w:val="single" w:sz="4" w:space="0" w:color="auto"/>
              <w:bottom w:val="single" w:sz="4" w:space="0" w:color="auto"/>
              <w:right w:val="single" w:sz="4" w:space="0" w:color="auto"/>
            </w:tcBorders>
            <w:shd w:val="clear" w:color="auto" w:fill="C6D4E9"/>
            <w:vAlign w:val="center"/>
          </w:tcPr>
          <w:p w14:paraId="610BAFBE"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203</w:t>
            </w:r>
          </w:p>
        </w:tc>
      </w:tr>
    </w:tbl>
    <w:p w14:paraId="014E6358" w14:textId="77777777" w:rsidR="00F2350B" w:rsidRPr="00373DCC" w:rsidRDefault="00F2350B" w:rsidP="00F2350B">
      <w:pPr>
        <w:keepNext/>
        <w:spacing w:before="240" w:after="120" w:line="240" w:lineRule="auto"/>
        <w:rPr>
          <w:rFonts w:eastAsia="Cambria" w:cs="Arial"/>
          <w:b/>
          <w:szCs w:val="22"/>
        </w:rPr>
      </w:pPr>
    </w:p>
    <w:p w14:paraId="3745E95B" w14:textId="77777777" w:rsidR="00F2350B" w:rsidRPr="00373DCC" w:rsidRDefault="00F2350B" w:rsidP="00F2350B">
      <w:pPr>
        <w:rPr>
          <w:rFonts w:eastAsia="Cambria" w:cs="Arial"/>
          <w:b/>
          <w:szCs w:val="22"/>
        </w:rPr>
      </w:pPr>
      <w:r w:rsidRPr="00373DCC">
        <w:rPr>
          <w:rFonts w:eastAsia="Cambria" w:cs="Arial"/>
          <w:b/>
          <w:szCs w:val="22"/>
        </w:rPr>
        <w:br w:type="page"/>
      </w:r>
    </w:p>
    <w:p w14:paraId="10161F5B" w14:textId="77777777" w:rsidR="00F2350B" w:rsidRPr="00373DCC" w:rsidRDefault="00F2350B" w:rsidP="00F2350B">
      <w:pPr>
        <w:keepNext/>
        <w:spacing w:before="240" w:after="120" w:line="240" w:lineRule="auto"/>
        <w:rPr>
          <w:rFonts w:eastAsia="Cambria" w:cs="Arial"/>
          <w:b/>
          <w:bCs/>
          <w:sz w:val="21"/>
          <w:szCs w:val="21"/>
        </w:rPr>
      </w:pPr>
      <w:bookmarkStart w:id="146" w:name="Table30"/>
      <w:r w:rsidRPr="00373DCC">
        <w:rPr>
          <w:rFonts w:eastAsia="Cambria" w:cs="Arial"/>
          <w:b/>
          <w:bCs/>
          <w:sz w:val="21"/>
          <w:szCs w:val="21"/>
        </w:rPr>
        <w:lastRenderedPageBreak/>
        <w:t>Table 30: Compliance and enforcement actions</w:t>
      </w:r>
    </w:p>
    <w:tbl>
      <w:tblPr>
        <w:tblStyle w:val="TableTGAblue"/>
        <w:tblW w:w="5000" w:type="pct"/>
        <w:tblLayout w:type="fixed"/>
        <w:tblLook w:val="04A0" w:firstRow="1" w:lastRow="0" w:firstColumn="1" w:lastColumn="0" w:noHBand="0" w:noVBand="1"/>
      </w:tblPr>
      <w:tblGrid>
        <w:gridCol w:w="6195"/>
        <w:gridCol w:w="1413"/>
        <w:gridCol w:w="1413"/>
      </w:tblGrid>
      <w:tr w:rsidR="00F2350B" w:rsidRPr="00373DCC" w14:paraId="0108DA07" w14:textId="77777777" w:rsidTr="00A85E73">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29527F"/>
            <w:vAlign w:val="center"/>
          </w:tcPr>
          <w:bookmarkEnd w:id="146"/>
          <w:p w14:paraId="3BBD9617" w14:textId="150954FA" w:rsidR="00F2350B" w:rsidRPr="00373DCC" w:rsidRDefault="00A85E73" w:rsidP="00A85E73">
            <w:pPr>
              <w:keepLines/>
              <w:spacing w:before="0" w:after="0" w:line="240" w:lineRule="atLeast"/>
              <w:contextualSpacing/>
              <w:rPr>
                <w:rFonts w:eastAsiaTheme="minorHAnsi" w:cs="Arial"/>
                <w:color w:val="FFFFFF" w:themeColor="background1"/>
                <w:sz w:val="21"/>
              </w:rPr>
            </w:pPr>
            <w:r w:rsidRPr="00373DCC">
              <w:rPr>
                <w:rFonts w:cs="Arial"/>
                <w:sz w:val="21"/>
              </w:rPr>
              <w:t>Compliance and enforcement actions</w:t>
            </w:r>
            <w:r w:rsidRPr="00373DCC">
              <w:rPr>
                <w:rFonts w:cs="Arial"/>
                <w:sz w:val="21"/>
                <w:vertAlign w:val="superscript"/>
              </w:rPr>
              <w:t>a</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7333B463" w14:textId="695C6A69" w:rsidR="00F2350B" w:rsidRPr="00373DCC" w:rsidRDefault="003A2C7F" w:rsidP="00710B91">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783" w:type="pct"/>
            <w:tcBorders>
              <w:top w:val="single" w:sz="4" w:space="0" w:color="auto"/>
              <w:left w:val="single" w:sz="4" w:space="0" w:color="auto"/>
              <w:bottom w:val="single" w:sz="4" w:space="0" w:color="auto"/>
              <w:right w:val="single" w:sz="4" w:space="0" w:color="auto"/>
            </w:tcBorders>
            <w:shd w:val="clear" w:color="auto" w:fill="29527F"/>
            <w:vAlign w:val="center"/>
          </w:tcPr>
          <w:p w14:paraId="219C3779" w14:textId="43570165" w:rsidR="00F2350B" w:rsidRPr="00373DCC" w:rsidRDefault="003A2C7F" w:rsidP="00710B91">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30BDECF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63C3C68"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Warning notices (cease and desist)</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FE65A44"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3321BF8A"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w:t>
            </w:r>
          </w:p>
        </w:tc>
      </w:tr>
      <w:tr w:rsidR="00F2350B" w:rsidRPr="00373DCC" w14:paraId="3B82157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9C0A4" w14:textId="77777777" w:rsidR="00F2350B" w:rsidRPr="00373DCC" w:rsidRDefault="00F2350B" w:rsidP="00710B91">
            <w:pPr>
              <w:keepNext/>
              <w:keepLines/>
              <w:spacing w:before="0" w:after="0" w:line="240" w:lineRule="atLeast"/>
              <w:rPr>
                <w:rFonts w:cs="Arial"/>
                <w:sz w:val="21"/>
              </w:rPr>
            </w:pPr>
            <w:r w:rsidRPr="00373DCC">
              <w:rPr>
                <w:rFonts w:cs="Arial"/>
                <w:sz w:val="21"/>
              </w:rPr>
              <w:t>Educational correspondence (e.g. obligations notices, educational emails, other)</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00A6E"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91</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CCFF0"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sz w:val="21"/>
              </w:rPr>
            </w:pPr>
            <w:r w:rsidRPr="00373DCC">
              <w:rPr>
                <w:rFonts w:eastAsiaTheme="minorHAnsi" w:cs="Arial"/>
                <w:sz w:val="21"/>
              </w:rPr>
              <w:t>108</w:t>
            </w:r>
          </w:p>
        </w:tc>
      </w:tr>
      <w:tr w:rsidR="00F2350B" w:rsidRPr="00373DCC" w14:paraId="74E5DA9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DA41D" w14:textId="77777777" w:rsidR="00F2350B" w:rsidRPr="00373DCC" w:rsidRDefault="00F2350B" w:rsidP="00710B91">
            <w:pPr>
              <w:keepNext/>
              <w:keepLines/>
              <w:spacing w:before="0" w:after="0" w:line="240" w:lineRule="atLeast"/>
              <w:rPr>
                <w:rFonts w:cs="Arial"/>
                <w:sz w:val="21"/>
                <w:vertAlign w:val="superscript"/>
              </w:rPr>
            </w:pPr>
            <w:r w:rsidRPr="00373DCC">
              <w:rPr>
                <w:rFonts w:cs="Arial"/>
                <w:sz w:val="21"/>
              </w:rPr>
              <w:t>Mass email education</w:t>
            </w:r>
            <w:r w:rsidRPr="00373DCC">
              <w:rPr>
                <w:rFonts w:cs="Arial"/>
                <w:sz w:val="21"/>
                <w:vertAlign w:val="superscript"/>
              </w:rPr>
              <w:t>b</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D9D03"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D69EF"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192</w:t>
            </w:r>
          </w:p>
        </w:tc>
      </w:tr>
      <w:tr w:rsidR="00F2350B" w:rsidRPr="00373DCC" w14:paraId="087B128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vAlign w:val="center"/>
          </w:tcPr>
          <w:p w14:paraId="31002B8D"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Cease review notices</w:t>
            </w:r>
          </w:p>
        </w:tc>
        <w:tc>
          <w:tcPr>
            <w:tcW w:w="783" w:type="pct"/>
            <w:tcBorders>
              <w:top w:val="single" w:sz="4" w:space="0" w:color="auto"/>
              <w:left w:val="single" w:sz="4" w:space="0" w:color="auto"/>
              <w:bottom w:val="single" w:sz="4" w:space="0" w:color="auto"/>
              <w:right w:val="single" w:sz="4" w:space="0" w:color="auto"/>
            </w:tcBorders>
            <w:vAlign w:val="center"/>
          </w:tcPr>
          <w:p w14:paraId="6E937F62"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83" w:type="pct"/>
            <w:tcBorders>
              <w:top w:val="single" w:sz="4" w:space="0" w:color="auto"/>
              <w:left w:val="single" w:sz="4" w:space="0" w:color="auto"/>
              <w:bottom w:val="single" w:sz="4" w:space="0" w:color="auto"/>
              <w:right w:val="single" w:sz="4" w:space="0" w:color="auto"/>
            </w:tcBorders>
            <w:vAlign w:val="center"/>
          </w:tcPr>
          <w:p w14:paraId="2B8AD787"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w:t>
            </w:r>
          </w:p>
        </w:tc>
      </w:tr>
      <w:tr w:rsidR="00F2350B" w:rsidRPr="00373DCC" w14:paraId="14236B6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vAlign w:val="center"/>
          </w:tcPr>
          <w:p w14:paraId="7481F577"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Conclusion notices</w:t>
            </w:r>
          </w:p>
        </w:tc>
        <w:tc>
          <w:tcPr>
            <w:tcW w:w="783" w:type="pct"/>
            <w:tcBorders>
              <w:top w:val="single" w:sz="4" w:space="0" w:color="auto"/>
              <w:left w:val="single" w:sz="4" w:space="0" w:color="auto"/>
              <w:bottom w:val="single" w:sz="4" w:space="0" w:color="auto"/>
              <w:right w:val="single" w:sz="4" w:space="0" w:color="auto"/>
            </w:tcBorders>
            <w:vAlign w:val="center"/>
          </w:tcPr>
          <w:p w14:paraId="38B2DA2E"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w:t>
            </w:r>
          </w:p>
        </w:tc>
        <w:tc>
          <w:tcPr>
            <w:tcW w:w="783" w:type="pct"/>
            <w:tcBorders>
              <w:top w:val="single" w:sz="4" w:space="0" w:color="auto"/>
              <w:left w:val="single" w:sz="4" w:space="0" w:color="auto"/>
              <w:bottom w:val="single" w:sz="4" w:space="0" w:color="auto"/>
              <w:right w:val="single" w:sz="4" w:space="0" w:color="auto"/>
            </w:tcBorders>
            <w:vAlign w:val="center"/>
          </w:tcPr>
          <w:p w14:paraId="4068EB9B"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149</w:t>
            </w:r>
          </w:p>
        </w:tc>
      </w:tr>
      <w:tr w:rsidR="00F2350B" w:rsidRPr="00373DCC" w14:paraId="31A2F3B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2DDD37C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Deficiencies notices</w:t>
            </w:r>
          </w:p>
        </w:tc>
        <w:tc>
          <w:tcPr>
            <w:tcW w:w="783"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1AB268F9"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w:t>
            </w:r>
          </w:p>
        </w:tc>
        <w:tc>
          <w:tcPr>
            <w:tcW w:w="783"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4971E675"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36</w:t>
            </w:r>
          </w:p>
        </w:tc>
      </w:tr>
      <w:tr w:rsidR="00F2350B" w:rsidRPr="00373DCC" w14:paraId="5653CA2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536C8BD2" w14:textId="77777777" w:rsidR="00F2350B" w:rsidRPr="00373DCC" w:rsidRDefault="00F2350B" w:rsidP="00710B91">
            <w:pPr>
              <w:keepNext/>
              <w:keepLines/>
              <w:spacing w:before="0" w:after="0" w:line="240" w:lineRule="atLeast"/>
              <w:rPr>
                <w:rFonts w:cs="Arial"/>
                <w:sz w:val="21"/>
              </w:rPr>
            </w:pPr>
            <w:r w:rsidRPr="00373DCC">
              <w:rPr>
                <w:rFonts w:cs="Arial"/>
                <w:sz w:val="21"/>
              </w:rPr>
              <w:t>Proposal to cancel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63CD70D"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28</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712C671"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sz w:val="21"/>
              </w:rPr>
            </w:pPr>
            <w:r w:rsidRPr="00373DCC">
              <w:rPr>
                <w:rFonts w:eastAsiaTheme="minorHAnsi" w:cs="Arial"/>
                <w:sz w:val="21"/>
              </w:rPr>
              <w:t>140</w:t>
            </w:r>
          </w:p>
        </w:tc>
      </w:tr>
      <w:tr w:rsidR="00F2350B" w:rsidRPr="00373DCC" w14:paraId="1F3A90A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77ED943"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Cancellation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0861C7CB"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A3A722A"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w:t>
            </w:r>
          </w:p>
        </w:tc>
      </w:tr>
      <w:tr w:rsidR="00F2350B" w:rsidRPr="00373DCC" w14:paraId="0187DBD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4CCE10A"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Directions/Prevention notice</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2E20C34"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14FB2359"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r>
      <w:tr w:rsidR="00F2350B" w:rsidRPr="00373DCC" w14:paraId="42A3811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540A482F"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Infringement notices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98014EF"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31AFDC4F"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w:t>
            </w:r>
          </w:p>
        </w:tc>
      </w:tr>
      <w:tr w:rsidR="00F2350B" w:rsidRPr="00373DCC" w14:paraId="282EB85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159D1B24"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Published outcomes of compliance reviews</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4726F33E"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78</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3C4E7015"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175</w:t>
            </w:r>
          </w:p>
        </w:tc>
      </w:tr>
      <w:tr w:rsidR="00F2350B" w:rsidRPr="00373DCC" w14:paraId="302E1D5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3619102"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Referral to another TGA area or government organisation</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7104B930"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5D4160DE"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43</w:t>
            </w:r>
          </w:p>
        </w:tc>
      </w:tr>
      <w:tr w:rsidR="00F2350B" w:rsidRPr="00373DCC" w14:paraId="6842D9A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74291DCC" w14:textId="77777777" w:rsidR="00F2350B" w:rsidRPr="00373DCC" w:rsidRDefault="00F2350B" w:rsidP="00710B91">
            <w:pPr>
              <w:keepLines/>
              <w:spacing w:before="0" w:after="0" w:line="240" w:lineRule="atLeast"/>
              <w:contextualSpacing/>
              <w:rPr>
                <w:rFonts w:eastAsiaTheme="minorHAnsi" w:cs="Arial"/>
                <w:sz w:val="21"/>
                <w:vertAlign w:val="superscript"/>
              </w:rPr>
            </w:pPr>
            <w:r w:rsidRPr="00373DCC">
              <w:rPr>
                <w:rFonts w:eastAsiaTheme="minorHAnsi" w:cs="Arial"/>
                <w:sz w:val="21"/>
              </w:rPr>
              <w:t>Recalls</w:t>
            </w:r>
            <w:r w:rsidRPr="00373DCC">
              <w:rPr>
                <w:rFonts w:eastAsiaTheme="minorHAnsi" w:cs="Arial"/>
                <w:sz w:val="21"/>
                <w:vertAlign w:val="superscript"/>
              </w:rPr>
              <w:t>c</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686910F8"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N/A</w:t>
            </w:r>
          </w:p>
        </w:tc>
        <w:tc>
          <w:tcPr>
            <w:tcW w:w="783" w:type="pct"/>
            <w:tcBorders>
              <w:top w:val="single" w:sz="4" w:space="0" w:color="002C47"/>
              <w:left w:val="single" w:sz="4" w:space="0" w:color="002C47"/>
              <w:bottom w:val="single" w:sz="4" w:space="0" w:color="002C47"/>
              <w:right w:val="single" w:sz="4" w:space="0" w:color="002C47"/>
            </w:tcBorders>
            <w:shd w:val="clear" w:color="auto" w:fill="FFFFFF" w:themeFill="background1"/>
            <w:vAlign w:val="center"/>
          </w:tcPr>
          <w:p w14:paraId="21BCEFA9"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w:t>
            </w:r>
          </w:p>
        </w:tc>
      </w:tr>
      <w:tr w:rsidR="00F2350B" w:rsidRPr="00373DCC" w14:paraId="240E60A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7A47212" w14:textId="77777777" w:rsidR="00F2350B" w:rsidRPr="00373DCC" w:rsidRDefault="00F2350B" w:rsidP="00710B91">
            <w:pPr>
              <w:keepLines/>
              <w:spacing w:before="0" w:after="0" w:line="240" w:lineRule="atLeast"/>
              <w:contextualSpacing/>
              <w:rPr>
                <w:rFonts w:eastAsiaTheme="minorHAnsi" w:cs="Arial"/>
                <w:sz w:val="21"/>
              </w:rPr>
            </w:pPr>
            <w:r w:rsidRPr="00373DCC">
              <w:rPr>
                <w:rFonts w:eastAsiaTheme="minorHAnsi" w:cs="Arial"/>
                <w:sz w:val="21"/>
              </w:rPr>
              <w:t>Total actions undertaken</w:t>
            </w:r>
            <w:r w:rsidRPr="00373DCC">
              <w:rPr>
                <w:rFonts w:eastAsiaTheme="minorHAnsi" w:cs="Arial"/>
                <w:sz w:val="21"/>
                <w:vertAlign w:val="superscript"/>
              </w:rPr>
              <w:t xml:space="preserve"> a</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B9024B"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317</w:t>
            </w:r>
            <w:r w:rsidRPr="00373DCC">
              <w:rPr>
                <w:rFonts w:eastAsiaTheme="minorHAnsi" w:cs="Arial"/>
                <w:sz w:val="21"/>
                <w:vertAlign w:val="superscript"/>
              </w:rPr>
              <w:t>d</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699C45A" w14:textId="77777777" w:rsidR="00F2350B" w:rsidRPr="00373DCC" w:rsidRDefault="00F2350B" w:rsidP="00710B91">
            <w:pPr>
              <w:keepLine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905</w:t>
            </w:r>
          </w:p>
        </w:tc>
      </w:tr>
    </w:tbl>
    <w:p w14:paraId="569EA3BC" w14:textId="77777777" w:rsidR="00F2350B" w:rsidRPr="00373DCC" w:rsidRDefault="00F2350B" w:rsidP="00F2350B">
      <w:pPr>
        <w:spacing w:after="0" w:line="240" w:lineRule="auto"/>
        <w:contextualSpacing/>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An investigation or review may give rise to more than one action, and each action may cover multiple listings</w:t>
      </w:r>
    </w:p>
    <w:p w14:paraId="1EFC3E90" w14:textId="77777777" w:rsidR="00F2350B" w:rsidRPr="00373DCC" w:rsidRDefault="00F2350B" w:rsidP="00F2350B">
      <w:pPr>
        <w:spacing w:after="0" w:line="240" w:lineRule="auto"/>
        <w:contextualSpacing/>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Educational emails targeted at all listed medicines which could be at risk of the same non-compliance</w:t>
      </w:r>
    </w:p>
    <w:p w14:paraId="4DF8D6EE" w14:textId="77777777" w:rsidR="00F2350B" w:rsidRPr="00373DCC" w:rsidRDefault="00F2350B" w:rsidP="00F2350B">
      <w:pPr>
        <w:spacing w:after="0" w:line="240" w:lineRule="auto"/>
        <w:contextualSpacing/>
        <w:rPr>
          <w:rFonts w:eastAsia="Cambria" w:cs="Arial"/>
          <w:sz w:val="16"/>
          <w:szCs w:val="16"/>
        </w:rPr>
      </w:pPr>
      <w:r w:rsidRPr="00373DCC">
        <w:rPr>
          <w:rFonts w:eastAsia="Cambria" w:cs="Arial"/>
          <w:sz w:val="16"/>
          <w:szCs w:val="16"/>
          <w:vertAlign w:val="superscript"/>
        </w:rPr>
        <w:t>c</w:t>
      </w:r>
      <w:r w:rsidRPr="00373DCC">
        <w:rPr>
          <w:rFonts w:eastAsia="Cambria" w:cs="Arial"/>
          <w:sz w:val="16"/>
          <w:szCs w:val="16"/>
        </w:rPr>
        <w:t xml:space="preserve"> New action reported, data unavailable for 2021-22</w:t>
      </w:r>
    </w:p>
    <w:p w14:paraId="5E5A4046" w14:textId="77777777" w:rsidR="00F2350B" w:rsidRPr="00373DCC" w:rsidRDefault="00F2350B" w:rsidP="00F2350B">
      <w:pPr>
        <w:spacing w:after="0" w:line="240" w:lineRule="auto"/>
        <w:contextualSpacing/>
        <w:rPr>
          <w:rFonts w:eastAsia="Cambria" w:cs="Arial"/>
          <w:sz w:val="16"/>
          <w:szCs w:val="16"/>
        </w:rPr>
      </w:pPr>
      <w:r w:rsidRPr="00373DCC">
        <w:rPr>
          <w:rFonts w:eastAsia="Cambria" w:cs="Arial"/>
          <w:sz w:val="16"/>
          <w:szCs w:val="16"/>
          <w:vertAlign w:val="superscript"/>
        </w:rPr>
        <w:t>d</w:t>
      </w:r>
      <w:r w:rsidRPr="00373DCC">
        <w:rPr>
          <w:rFonts w:eastAsia="Cambria" w:cs="Arial"/>
          <w:sz w:val="16"/>
          <w:szCs w:val="16"/>
        </w:rPr>
        <w:t xml:space="preserve"> Difference from 2021-22 report attributed to the addition of the ‘Mass email education’ field into this table</w:t>
      </w:r>
    </w:p>
    <w:p w14:paraId="4760B923" w14:textId="77777777" w:rsidR="00F2350B" w:rsidRPr="00373DCC" w:rsidRDefault="00F2350B" w:rsidP="00F2350B">
      <w:pPr>
        <w:keepNext/>
        <w:spacing w:before="240" w:after="120" w:line="240" w:lineRule="auto"/>
        <w:rPr>
          <w:rFonts w:eastAsia="Cambria" w:cs="Arial"/>
          <w:b/>
          <w:bCs/>
          <w:sz w:val="21"/>
          <w:szCs w:val="21"/>
        </w:rPr>
      </w:pPr>
      <w:bookmarkStart w:id="147" w:name="Table31"/>
      <w:r w:rsidRPr="00373DCC">
        <w:rPr>
          <w:rFonts w:eastAsia="Cambria" w:cs="Arial"/>
          <w:b/>
          <w:bCs/>
          <w:sz w:val="21"/>
          <w:szCs w:val="21"/>
        </w:rPr>
        <w:t>Table 31: All compliance review</w:t>
      </w:r>
      <w:r w:rsidRPr="00373DCC">
        <w:rPr>
          <w:rFonts w:eastAsia="Cambria" w:cs="Arial"/>
          <w:b/>
          <w:bCs/>
          <w:sz w:val="21"/>
          <w:szCs w:val="21"/>
          <w:vertAlign w:val="superscript"/>
        </w:rPr>
        <w:t xml:space="preserve"> a</w:t>
      </w:r>
      <w:r w:rsidRPr="00373DCC">
        <w:rPr>
          <w:rFonts w:eastAsia="Cambria" w:cs="Arial"/>
          <w:b/>
          <w:bCs/>
          <w:sz w:val="21"/>
          <w:szCs w:val="21"/>
        </w:rPr>
        <w:t xml:space="preserve"> outcomes</w:t>
      </w:r>
    </w:p>
    <w:bookmarkEnd w:id="147"/>
    <w:tbl>
      <w:tblPr>
        <w:tblStyle w:val="TableTGAblu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7"/>
        <w:gridCol w:w="1416"/>
        <w:gridCol w:w="1508"/>
      </w:tblGrid>
      <w:tr w:rsidR="00F2350B" w:rsidRPr="00373DCC" w14:paraId="7A28D3D0" w14:textId="77777777" w:rsidTr="003A2C7F">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379" w:type="pct"/>
            <w:tcBorders>
              <w:top w:val="nil"/>
              <w:left w:val="nil"/>
              <w:bottom w:val="nil"/>
              <w:right w:val="single" w:sz="4" w:space="0" w:color="auto"/>
            </w:tcBorders>
            <w:shd w:val="clear" w:color="auto" w:fill="FFFFFF" w:themeFill="background1"/>
            <w:vAlign w:val="center"/>
          </w:tcPr>
          <w:p w14:paraId="64AB4948" w14:textId="77777777" w:rsidR="00F2350B" w:rsidRPr="00373DCC" w:rsidRDefault="00F2350B" w:rsidP="00710B91">
            <w:pPr>
              <w:keepNext w:val="0"/>
              <w:widowControl w:val="0"/>
              <w:spacing w:before="0" w:after="0"/>
              <w:ind w:left="720"/>
              <w:contextualSpacing/>
              <w:rPr>
                <w:rFonts w:eastAsiaTheme="minorHAnsi" w:cs="Arial"/>
                <w:szCs w:val="22"/>
              </w:rPr>
            </w:pPr>
          </w:p>
        </w:tc>
        <w:tc>
          <w:tcPr>
            <w:tcW w:w="785" w:type="pct"/>
            <w:tcBorders>
              <w:top w:val="single" w:sz="4" w:space="0" w:color="auto"/>
              <w:left w:val="single" w:sz="4" w:space="0" w:color="auto"/>
              <w:bottom w:val="single" w:sz="4" w:space="0" w:color="auto"/>
              <w:right w:val="single" w:sz="4" w:space="0" w:color="auto"/>
            </w:tcBorders>
            <w:shd w:val="clear" w:color="auto" w:fill="29527F"/>
            <w:vAlign w:val="center"/>
          </w:tcPr>
          <w:p w14:paraId="1A2739A2" w14:textId="0F917FBC" w:rsidR="00F2350B" w:rsidRPr="003A2C7F" w:rsidRDefault="003A2C7F" w:rsidP="00710B91">
            <w:pPr>
              <w:keepNext w:val="0"/>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A2C7F">
              <w:rPr>
                <w:rFonts w:eastAsiaTheme="minorHAnsi" w:cs="Arial"/>
                <w:color w:val="FFFFFF" w:themeColor="background1"/>
                <w:sz w:val="21"/>
              </w:rPr>
              <w:t xml:space="preserve">FY </w:t>
            </w:r>
            <w:r w:rsidR="00F2350B" w:rsidRPr="003A2C7F">
              <w:rPr>
                <w:rFonts w:eastAsiaTheme="minorHAnsi" w:cs="Arial"/>
                <w:color w:val="FFFFFF" w:themeColor="background1"/>
                <w:sz w:val="21"/>
              </w:rPr>
              <w:t>2021-22</w:t>
            </w:r>
          </w:p>
        </w:tc>
        <w:tc>
          <w:tcPr>
            <w:tcW w:w="836" w:type="pct"/>
            <w:tcBorders>
              <w:top w:val="single" w:sz="4" w:space="0" w:color="auto"/>
              <w:left w:val="single" w:sz="4" w:space="0" w:color="auto"/>
              <w:bottom w:val="single" w:sz="4" w:space="0" w:color="auto"/>
              <w:right w:val="single" w:sz="4" w:space="0" w:color="auto"/>
            </w:tcBorders>
            <w:shd w:val="clear" w:color="auto" w:fill="29527F"/>
            <w:vAlign w:val="center"/>
          </w:tcPr>
          <w:p w14:paraId="6DDAB399" w14:textId="7444F89D" w:rsidR="00F2350B" w:rsidRPr="003A2C7F" w:rsidRDefault="003A2C7F" w:rsidP="00710B91">
            <w:pPr>
              <w:keepNext w:val="0"/>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A2C7F">
              <w:rPr>
                <w:rFonts w:eastAsiaTheme="minorHAnsi" w:cs="Arial"/>
                <w:color w:val="FFFFFF" w:themeColor="background1"/>
                <w:sz w:val="21"/>
              </w:rPr>
              <w:t xml:space="preserve">FY </w:t>
            </w:r>
            <w:r w:rsidR="00F2350B" w:rsidRPr="003A2C7F">
              <w:rPr>
                <w:rFonts w:eastAsiaTheme="minorHAnsi" w:cs="Arial"/>
                <w:color w:val="FFFFFF" w:themeColor="background1"/>
                <w:sz w:val="21"/>
              </w:rPr>
              <w:t>2022-23</w:t>
            </w:r>
          </w:p>
        </w:tc>
      </w:tr>
      <w:tr w:rsidR="00F2350B" w:rsidRPr="00373DCC" w14:paraId="0CD26ED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B8CCEA" w:themeFill="accent3"/>
            <w:vAlign w:val="center"/>
          </w:tcPr>
          <w:p w14:paraId="39019589" w14:textId="77777777" w:rsidR="00F2350B" w:rsidRPr="00373DCC" w:rsidRDefault="00F2350B" w:rsidP="00710B91">
            <w:pPr>
              <w:spacing w:before="0" w:after="0"/>
              <w:rPr>
                <w:rFonts w:cs="Arial"/>
                <w:szCs w:val="22"/>
              </w:rPr>
            </w:pPr>
            <w:r w:rsidRPr="00373DCC">
              <w:rPr>
                <w:rFonts w:cs="Arial"/>
                <w:color w:val="auto"/>
                <w:szCs w:val="22"/>
              </w:rPr>
              <w:t>Compliance status determined</w:t>
            </w:r>
            <w:r w:rsidRPr="00373DCC">
              <w:rPr>
                <w:rFonts w:cs="Arial"/>
                <w:szCs w:val="22"/>
              </w:rPr>
              <w:t xml:space="preserve"> </w:t>
            </w:r>
          </w:p>
        </w:tc>
      </w:tr>
      <w:tr w:rsidR="00F2350B" w:rsidRPr="00373DCC" w14:paraId="36627A8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vAlign w:val="center"/>
          </w:tcPr>
          <w:p w14:paraId="7FF28E7B" w14:textId="77777777" w:rsidR="00F2350B" w:rsidRPr="00373DCC" w:rsidRDefault="00F2350B" w:rsidP="00710B91">
            <w:pPr>
              <w:spacing w:before="0" w:after="0"/>
              <w:contextualSpacing/>
              <w:rPr>
                <w:rFonts w:eastAsiaTheme="minorHAnsi" w:cs="Arial"/>
                <w:szCs w:val="22"/>
              </w:rPr>
            </w:pPr>
            <w:r w:rsidRPr="00373DCC">
              <w:rPr>
                <w:rFonts w:eastAsiaTheme="minorHAnsi" w:cs="Arial"/>
                <w:szCs w:val="22"/>
              </w:rPr>
              <w:t xml:space="preserve">Medicines with no compliance breaches </w:t>
            </w:r>
          </w:p>
        </w:tc>
        <w:tc>
          <w:tcPr>
            <w:tcW w:w="785" w:type="pct"/>
            <w:vAlign w:val="center"/>
          </w:tcPr>
          <w:p w14:paraId="1751123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21</w:t>
            </w:r>
          </w:p>
        </w:tc>
        <w:tc>
          <w:tcPr>
            <w:tcW w:w="836" w:type="pct"/>
            <w:vAlign w:val="center"/>
          </w:tcPr>
          <w:p w14:paraId="1C34F33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57</w:t>
            </w:r>
          </w:p>
        </w:tc>
      </w:tr>
      <w:tr w:rsidR="00F2350B" w:rsidRPr="00373DCC" w14:paraId="117D908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vAlign w:val="center"/>
          </w:tcPr>
          <w:p w14:paraId="7B02DA03" w14:textId="77777777" w:rsidR="00F2350B" w:rsidRPr="00373DCC" w:rsidRDefault="00F2350B" w:rsidP="00710B91">
            <w:pPr>
              <w:spacing w:before="0" w:after="0"/>
              <w:contextualSpacing/>
              <w:rPr>
                <w:rFonts w:eastAsiaTheme="minorHAnsi" w:cs="Arial"/>
                <w:szCs w:val="22"/>
              </w:rPr>
            </w:pPr>
            <w:r w:rsidRPr="00373DCC">
              <w:rPr>
                <w:rFonts w:eastAsiaTheme="minorHAnsi" w:cs="Arial"/>
                <w:szCs w:val="22"/>
              </w:rPr>
              <w:t>Medicines with verified compliance breaches</w:t>
            </w:r>
          </w:p>
        </w:tc>
        <w:tc>
          <w:tcPr>
            <w:tcW w:w="785" w:type="pct"/>
            <w:vAlign w:val="center"/>
          </w:tcPr>
          <w:p w14:paraId="3772B0E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Cs w:val="22"/>
              </w:rPr>
            </w:pPr>
            <w:r w:rsidRPr="00373DCC">
              <w:rPr>
                <w:rFonts w:eastAsiaTheme="minorHAnsi" w:cs="Arial"/>
                <w:szCs w:val="22"/>
              </w:rPr>
              <w:t>50</w:t>
            </w:r>
          </w:p>
        </w:tc>
        <w:tc>
          <w:tcPr>
            <w:tcW w:w="836" w:type="pct"/>
            <w:vAlign w:val="center"/>
          </w:tcPr>
          <w:p w14:paraId="45F98C0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128</w:t>
            </w:r>
          </w:p>
        </w:tc>
      </w:tr>
      <w:tr w:rsidR="00F2350B" w:rsidRPr="00373DCC" w14:paraId="76A5FA5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shd w:val="clear" w:color="auto" w:fill="B8CCEA" w:themeFill="accent3"/>
            <w:vAlign w:val="center"/>
          </w:tcPr>
          <w:p w14:paraId="191F7147" w14:textId="77777777" w:rsidR="00F2350B" w:rsidRPr="00373DCC" w:rsidRDefault="00F2350B" w:rsidP="00710B91">
            <w:pPr>
              <w:widowControl w:val="0"/>
              <w:spacing w:before="0" w:after="0"/>
              <w:rPr>
                <w:rFonts w:cs="Arial"/>
                <w:szCs w:val="22"/>
              </w:rPr>
            </w:pPr>
            <w:r w:rsidRPr="00373DCC">
              <w:rPr>
                <w:rFonts w:cs="Arial"/>
                <w:szCs w:val="22"/>
              </w:rPr>
              <w:t>Medicine no longer on the ARTG</w:t>
            </w:r>
          </w:p>
        </w:tc>
        <w:tc>
          <w:tcPr>
            <w:tcW w:w="785" w:type="pct"/>
            <w:shd w:val="clear" w:color="auto" w:fill="B8CCEA" w:themeFill="accent3"/>
            <w:vAlign w:val="center"/>
          </w:tcPr>
          <w:p w14:paraId="66497487" w14:textId="77777777" w:rsidR="00F2350B" w:rsidRPr="00373DCC" w:rsidRDefault="00F2350B" w:rsidP="00710B91">
            <w:pPr>
              <w:widowControl w:val="0"/>
              <w:spacing w:before="0" w:after="0"/>
              <w:ind w:left="720"/>
              <w:jc w:val="right"/>
              <w:cnfStyle w:val="000000000000" w:firstRow="0" w:lastRow="0" w:firstColumn="0" w:lastColumn="0" w:oddVBand="0" w:evenVBand="0" w:oddHBand="0" w:evenHBand="0" w:firstRowFirstColumn="0" w:firstRowLastColumn="0" w:lastRowFirstColumn="0" w:lastRowLastColumn="0"/>
              <w:rPr>
                <w:rFonts w:cs="Arial"/>
                <w:szCs w:val="22"/>
              </w:rPr>
            </w:pPr>
            <w:r w:rsidRPr="00373DCC">
              <w:rPr>
                <w:rFonts w:cs="Arial"/>
                <w:szCs w:val="22"/>
              </w:rPr>
              <w:t>26</w:t>
            </w:r>
          </w:p>
        </w:tc>
        <w:tc>
          <w:tcPr>
            <w:tcW w:w="836" w:type="pct"/>
            <w:shd w:val="clear" w:color="auto" w:fill="B8CCEA" w:themeFill="accent3"/>
            <w:vAlign w:val="center"/>
          </w:tcPr>
          <w:p w14:paraId="2B0840AD" w14:textId="77777777" w:rsidR="00F2350B" w:rsidRPr="00373DCC" w:rsidRDefault="00F2350B" w:rsidP="00710B91">
            <w:pPr>
              <w:widowControl w:val="0"/>
              <w:spacing w:before="0" w:after="0"/>
              <w:ind w:left="142"/>
              <w:jc w:val="right"/>
              <w:cnfStyle w:val="000000000000" w:firstRow="0" w:lastRow="0" w:firstColumn="0" w:lastColumn="0" w:oddVBand="0" w:evenVBand="0" w:oddHBand="0" w:evenHBand="0" w:firstRowFirstColumn="0" w:firstRowLastColumn="0" w:lastRowFirstColumn="0" w:lastRowLastColumn="0"/>
              <w:rPr>
                <w:rFonts w:cs="Arial"/>
                <w:szCs w:val="22"/>
              </w:rPr>
            </w:pPr>
            <w:r w:rsidRPr="00373DCC">
              <w:rPr>
                <w:rFonts w:cs="Arial"/>
                <w:szCs w:val="22"/>
              </w:rPr>
              <w:t>63</w:t>
            </w:r>
          </w:p>
        </w:tc>
      </w:tr>
      <w:tr w:rsidR="00F2350B" w:rsidRPr="00373DCC" w14:paraId="212C2E6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vAlign w:val="center"/>
          </w:tcPr>
          <w:p w14:paraId="588114F2" w14:textId="77777777" w:rsidR="00F2350B" w:rsidRPr="00373DCC" w:rsidDel="00432CA7" w:rsidRDefault="00F2350B" w:rsidP="00710B91">
            <w:pPr>
              <w:widowControl w:val="0"/>
              <w:spacing w:before="0" w:after="0"/>
              <w:ind w:left="284"/>
              <w:rPr>
                <w:rFonts w:cs="Arial"/>
                <w:szCs w:val="22"/>
              </w:rPr>
            </w:pPr>
            <w:r w:rsidRPr="00373DCC">
              <w:rPr>
                <w:rFonts w:cs="Arial"/>
                <w:szCs w:val="22"/>
              </w:rPr>
              <w:t>Cancelled by the TGA</w:t>
            </w:r>
          </w:p>
        </w:tc>
        <w:tc>
          <w:tcPr>
            <w:tcW w:w="785" w:type="pct"/>
            <w:tcBorders>
              <w:bottom w:val="single" w:sz="4" w:space="0" w:color="auto"/>
            </w:tcBorders>
            <w:vAlign w:val="center"/>
          </w:tcPr>
          <w:p w14:paraId="6B0D7D2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w:t>
            </w:r>
          </w:p>
        </w:tc>
        <w:tc>
          <w:tcPr>
            <w:tcW w:w="836" w:type="pct"/>
            <w:tcBorders>
              <w:bottom w:val="single" w:sz="4" w:space="0" w:color="auto"/>
            </w:tcBorders>
            <w:vAlign w:val="center"/>
          </w:tcPr>
          <w:p w14:paraId="7F880B73"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12</w:t>
            </w:r>
          </w:p>
        </w:tc>
      </w:tr>
      <w:tr w:rsidR="00F2350B" w:rsidRPr="00373DCC" w14:paraId="0FCA6CD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vAlign w:val="center"/>
          </w:tcPr>
          <w:p w14:paraId="36FC96A8" w14:textId="77777777" w:rsidR="00F2350B" w:rsidRPr="00373DCC" w:rsidDel="00432CA7" w:rsidRDefault="00F2350B" w:rsidP="00710B91">
            <w:pPr>
              <w:widowControl w:val="0"/>
              <w:spacing w:before="0" w:after="0"/>
              <w:ind w:left="284"/>
              <w:rPr>
                <w:rFonts w:cs="Arial"/>
                <w:szCs w:val="22"/>
              </w:rPr>
            </w:pPr>
            <w:r w:rsidRPr="00373DCC">
              <w:rPr>
                <w:rFonts w:cs="Arial"/>
                <w:szCs w:val="22"/>
              </w:rPr>
              <w:t>Cancelled by the sponsor after being notified of the compliance breaches</w:t>
            </w:r>
            <w:r w:rsidRPr="00373DCC">
              <w:rPr>
                <w:rFonts w:cs="Arial"/>
                <w:szCs w:val="22"/>
              </w:rPr>
              <w:tab/>
            </w:r>
          </w:p>
        </w:tc>
        <w:tc>
          <w:tcPr>
            <w:tcW w:w="785" w:type="pct"/>
            <w:tcBorders>
              <w:bottom w:val="single" w:sz="4" w:space="0" w:color="auto"/>
            </w:tcBorders>
            <w:vAlign w:val="center"/>
          </w:tcPr>
          <w:p w14:paraId="132C8D31"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23</w:t>
            </w:r>
          </w:p>
        </w:tc>
        <w:tc>
          <w:tcPr>
            <w:tcW w:w="836" w:type="pct"/>
            <w:tcBorders>
              <w:bottom w:val="single" w:sz="4" w:space="0" w:color="auto"/>
            </w:tcBorders>
            <w:vAlign w:val="center"/>
          </w:tcPr>
          <w:p w14:paraId="2F314254"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51</w:t>
            </w:r>
          </w:p>
        </w:tc>
      </w:tr>
      <w:tr w:rsidR="00F2350B" w:rsidRPr="00373DCC" w14:paraId="50FB832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shd w:val="clear" w:color="auto" w:fill="B8CCEA" w:themeFill="accent3"/>
            <w:vAlign w:val="center"/>
          </w:tcPr>
          <w:p w14:paraId="63BDD276" w14:textId="77777777" w:rsidR="00F2350B" w:rsidRPr="00373DCC" w:rsidRDefault="00F2350B" w:rsidP="00710B91">
            <w:pPr>
              <w:widowControl w:val="0"/>
              <w:spacing w:before="0" w:after="0"/>
              <w:rPr>
                <w:rFonts w:cs="Arial"/>
                <w:szCs w:val="22"/>
              </w:rPr>
            </w:pPr>
            <w:r w:rsidRPr="00373DCC">
              <w:rPr>
                <w:rFonts w:cs="Arial"/>
                <w:szCs w:val="22"/>
              </w:rPr>
              <w:t>Medicine remains on the ARTG</w:t>
            </w:r>
          </w:p>
        </w:tc>
        <w:tc>
          <w:tcPr>
            <w:tcW w:w="785" w:type="pct"/>
            <w:tcBorders>
              <w:bottom w:val="single" w:sz="4" w:space="0" w:color="auto"/>
            </w:tcBorders>
            <w:shd w:val="clear" w:color="auto" w:fill="B8CCEA" w:themeFill="accent3"/>
            <w:vAlign w:val="center"/>
          </w:tcPr>
          <w:p w14:paraId="043FE3B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24</w:t>
            </w:r>
          </w:p>
        </w:tc>
        <w:tc>
          <w:tcPr>
            <w:tcW w:w="836" w:type="pct"/>
            <w:tcBorders>
              <w:bottom w:val="single" w:sz="4" w:space="0" w:color="auto"/>
            </w:tcBorders>
            <w:shd w:val="clear" w:color="auto" w:fill="B8CCEA" w:themeFill="accent3"/>
            <w:vAlign w:val="center"/>
          </w:tcPr>
          <w:p w14:paraId="220FBE1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17</w:t>
            </w:r>
          </w:p>
        </w:tc>
      </w:tr>
      <w:tr w:rsidR="00F2350B" w:rsidRPr="00373DCC" w14:paraId="48B10EF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vAlign w:val="center"/>
          </w:tcPr>
          <w:p w14:paraId="5BE3DF29" w14:textId="77777777" w:rsidR="00F2350B" w:rsidRPr="00373DCC" w:rsidDel="00432CA7" w:rsidRDefault="00F2350B" w:rsidP="00710B91">
            <w:pPr>
              <w:widowControl w:val="0"/>
              <w:spacing w:before="0" w:after="0"/>
              <w:ind w:left="284"/>
              <w:rPr>
                <w:rFonts w:cs="Arial"/>
                <w:szCs w:val="22"/>
              </w:rPr>
            </w:pPr>
            <w:r w:rsidRPr="00373DCC">
              <w:rPr>
                <w:rFonts w:cs="Arial"/>
                <w:szCs w:val="22"/>
              </w:rPr>
              <w:t>Compliance breaches addressed after low level compliance action</w:t>
            </w:r>
            <w:r w:rsidRPr="00373DCC">
              <w:rPr>
                <w:rFonts w:cs="Arial"/>
                <w:szCs w:val="22"/>
                <w:vertAlign w:val="superscript"/>
              </w:rPr>
              <w:t xml:space="preserve"> b</w:t>
            </w:r>
          </w:p>
        </w:tc>
        <w:tc>
          <w:tcPr>
            <w:tcW w:w="785" w:type="pct"/>
            <w:tcBorders>
              <w:bottom w:val="single" w:sz="4" w:space="0" w:color="auto"/>
            </w:tcBorders>
            <w:vAlign w:val="center"/>
          </w:tcPr>
          <w:p w14:paraId="4FF5203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14</w:t>
            </w:r>
          </w:p>
        </w:tc>
        <w:tc>
          <w:tcPr>
            <w:tcW w:w="836" w:type="pct"/>
            <w:tcBorders>
              <w:bottom w:val="single" w:sz="4" w:space="0" w:color="auto"/>
            </w:tcBorders>
            <w:vAlign w:val="center"/>
          </w:tcPr>
          <w:p w14:paraId="09E2465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11</w:t>
            </w:r>
          </w:p>
        </w:tc>
      </w:tr>
      <w:tr w:rsidR="00F2350B" w:rsidRPr="00373DCC" w14:paraId="70D2727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vAlign w:val="center"/>
          </w:tcPr>
          <w:p w14:paraId="4B98A6CC" w14:textId="77777777" w:rsidR="00F2350B" w:rsidRPr="00373DCC" w:rsidDel="00432CA7" w:rsidRDefault="00F2350B" w:rsidP="00710B91">
            <w:pPr>
              <w:widowControl w:val="0"/>
              <w:spacing w:before="0" w:after="0"/>
              <w:ind w:left="284"/>
              <w:rPr>
                <w:rFonts w:cs="Arial"/>
                <w:szCs w:val="22"/>
              </w:rPr>
            </w:pPr>
            <w:r w:rsidRPr="00373DCC">
              <w:rPr>
                <w:rFonts w:cs="Arial"/>
                <w:szCs w:val="22"/>
              </w:rPr>
              <w:t>Compliance breaches addressed after proposal to cancel</w:t>
            </w:r>
          </w:p>
        </w:tc>
        <w:tc>
          <w:tcPr>
            <w:tcW w:w="785" w:type="pct"/>
            <w:tcBorders>
              <w:bottom w:val="single" w:sz="4" w:space="0" w:color="auto"/>
            </w:tcBorders>
            <w:vAlign w:val="center"/>
          </w:tcPr>
          <w:p w14:paraId="3A43C45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10</w:t>
            </w:r>
          </w:p>
        </w:tc>
        <w:tc>
          <w:tcPr>
            <w:tcW w:w="836" w:type="pct"/>
            <w:tcBorders>
              <w:bottom w:val="single" w:sz="4" w:space="0" w:color="auto"/>
            </w:tcBorders>
            <w:vAlign w:val="center"/>
          </w:tcPr>
          <w:p w14:paraId="54D0FEF9"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w:t>
            </w:r>
          </w:p>
        </w:tc>
      </w:tr>
      <w:tr w:rsidR="00F2350B" w:rsidRPr="00373DCC" w14:paraId="654F605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shd w:val="clear" w:color="auto" w:fill="B8CCEA" w:themeFill="accent3"/>
            <w:vAlign w:val="center"/>
          </w:tcPr>
          <w:p w14:paraId="547E4188" w14:textId="77777777" w:rsidR="00F2350B" w:rsidRPr="00373DCC" w:rsidRDefault="00F2350B" w:rsidP="00710B91">
            <w:pPr>
              <w:widowControl w:val="0"/>
              <w:spacing w:before="0" w:after="0"/>
              <w:rPr>
                <w:rFonts w:cs="Arial"/>
                <w:szCs w:val="22"/>
              </w:rPr>
            </w:pPr>
            <w:r w:rsidRPr="00373DCC">
              <w:rPr>
                <w:rFonts w:cs="Arial"/>
                <w:szCs w:val="22"/>
              </w:rPr>
              <w:t>Sub-total</w:t>
            </w:r>
          </w:p>
        </w:tc>
        <w:tc>
          <w:tcPr>
            <w:tcW w:w="785" w:type="pct"/>
            <w:tcBorders>
              <w:bottom w:val="single" w:sz="4" w:space="0" w:color="auto"/>
            </w:tcBorders>
            <w:shd w:val="clear" w:color="auto" w:fill="B8CCEA" w:themeFill="accent3"/>
            <w:vAlign w:val="center"/>
          </w:tcPr>
          <w:p w14:paraId="0AA4D374"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71</w:t>
            </w:r>
          </w:p>
        </w:tc>
        <w:tc>
          <w:tcPr>
            <w:tcW w:w="836" w:type="pct"/>
            <w:tcBorders>
              <w:bottom w:val="single" w:sz="4" w:space="0" w:color="auto"/>
            </w:tcBorders>
            <w:shd w:val="clear" w:color="auto" w:fill="B8CCEA" w:themeFill="accent3"/>
            <w:vAlign w:val="center"/>
          </w:tcPr>
          <w:p w14:paraId="7050C2D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185</w:t>
            </w:r>
          </w:p>
        </w:tc>
      </w:tr>
      <w:tr w:rsidR="00F2350B" w:rsidRPr="00373DCC" w14:paraId="0B173B6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vAlign w:val="center"/>
          </w:tcPr>
          <w:p w14:paraId="312F9FEE" w14:textId="77777777" w:rsidR="00F2350B" w:rsidRPr="00373DCC" w:rsidRDefault="00F2350B" w:rsidP="00710B91">
            <w:pPr>
              <w:widowControl w:val="0"/>
              <w:spacing w:before="0" w:after="0"/>
              <w:contextualSpacing/>
              <w:rPr>
                <w:rFonts w:eastAsiaTheme="minorHAnsi" w:cs="Arial"/>
                <w:szCs w:val="22"/>
              </w:rPr>
            </w:pPr>
            <w:r w:rsidRPr="00373DCC">
              <w:rPr>
                <w:rFonts w:eastAsiaTheme="minorHAnsi" w:cs="Arial"/>
                <w:szCs w:val="22"/>
              </w:rPr>
              <w:t>Compliance status unable to be determined</w:t>
            </w:r>
          </w:p>
        </w:tc>
      </w:tr>
      <w:tr w:rsidR="00F2350B" w:rsidRPr="00373DCC" w14:paraId="363FBBF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vAlign w:val="center"/>
          </w:tcPr>
          <w:p w14:paraId="154E1B36" w14:textId="77777777" w:rsidR="00F2350B" w:rsidRPr="00373DCC" w:rsidRDefault="00F2350B" w:rsidP="00710B91">
            <w:pPr>
              <w:spacing w:before="0" w:after="0"/>
              <w:ind w:left="284"/>
              <w:contextualSpacing/>
              <w:rPr>
                <w:rFonts w:eastAsiaTheme="minorHAnsi" w:cs="Arial"/>
                <w:szCs w:val="22"/>
              </w:rPr>
            </w:pPr>
            <w:r w:rsidRPr="00373DCC">
              <w:rPr>
                <w:rFonts w:eastAsiaTheme="minorHAnsi" w:cs="Arial"/>
                <w:szCs w:val="22"/>
              </w:rPr>
              <w:t>Medicines cancelled by sponsors after request for information</w:t>
            </w:r>
          </w:p>
        </w:tc>
        <w:tc>
          <w:tcPr>
            <w:tcW w:w="785" w:type="pct"/>
            <w:vAlign w:val="center"/>
          </w:tcPr>
          <w:p w14:paraId="70769CB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Cs w:val="22"/>
              </w:rPr>
            </w:pPr>
            <w:r w:rsidRPr="00373DCC">
              <w:rPr>
                <w:rFonts w:eastAsiaTheme="minorHAnsi" w:cs="Arial"/>
                <w:szCs w:val="22"/>
              </w:rPr>
              <w:t>7</w:t>
            </w:r>
          </w:p>
        </w:tc>
        <w:tc>
          <w:tcPr>
            <w:tcW w:w="836" w:type="pct"/>
            <w:vAlign w:val="center"/>
          </w:tcPr>
          <w:p w14:paraId="1166F7DE"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11</w:t>
            </w:r>
          </w:p>
        </w:tc>
      </w:tr>
      <w:tr w:rsidR="00F2350B" w:rsidRPr="00373DCC" w14:paraId="0D8AB15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vAlign w:val="center"/>
          </w:tcPr>
          <w:p w14:paraId="461AD509" w14:textId="77777777" w:rsidR="00F2350B" w:rsidRPr="00373DCC" w:rsidRDefault="00F2350B" w:rsidP="00710B91">
            <w:pPr>
              <w:spacing w:before="0" w:after="0"/>
              <w:ind w:left="284"/>
              <w:contextualSpacing/>
              <w:rPr>
                <w:rFonts w:eastAsiaTheme="minorHAnsi" w:cs="Arial"/>
                <w:szCs w:val="22"/>
              </w:rPr>
            </w:pPr>
            <w:r w:rsidRPr="00373DCC">
              <w:rPr>
                <w:rFonts w:eastAsiaTheme="minorHAnsi" w:cs="Arial"/>
                <w:szCs w:val="22"/>
              </w:rPr>
              <w:t>Medicines not yet manufactured</w:t>
            </w:r>
          </w:p>
        </w:tc>
        <w:tc>
          <w:tcPr>
            <w:tcW w:w="785" w:type="pct"/>
            <w:vAlign w:val="center"/>
          </w:tcPr>
          <w:p w14:paraId="0E6BA01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Cs w:val="22"/>
              </w:rPr>
            </w:pPr>
            <w:r w:rsidRPr="00373DCC">
              <w:rPr>
                <w:rFonts w:eastAsiaTheme="minorHAnsi" w:cs="Arial"/>
                <w:szCs w:val="22"/>
              </w:rPr>
              <w:t>0</w:t>
            </w:r>
          </w:p>
        </w:tc>
        <w:tc>
          <w:tcPr>
            <w:tcW w:w="836" w:type="pct"/>
            <w:vAlign w:val="center"/>
          </w:tcPr>
          <w:p w14:paraId="51E9B327"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w:t>
            </w:r>
          </w:p>
        </w:tc>
      </w:tr>
      <w:tr w:rsidR="00F2350B" w:rsidRPr="00373DCC" w14:paraId="2C2F57B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shd w:val="clear" w:color="auto" w:fill="B8CCEA" w:themeFill="accent3"/>
            <w:vAlign w:val="center"/>
          </w:tcPr>
          <w:p w14:paraId="1CC32098" w14:textId="77777777" w:rsidR="00F2350B" w:rsidRPr="00373DCC" w:rsidRDefault="00F2350B" w:rsidP="00710B91">
            <w:pPr>
              <w:widowControl w:val="0"/>
              <w:spacing w:before="0" w:after="0"/>
              <w:rPr>
                <w:rFonts w:cs="Arial"/>
                <w:szCs w:val="22"/>
              </w:rPr>
            </w:pPr>
            <w:r w:rsidRPr="00373DCC">
              <w:rPr>
                <w:rFonts w:cs="Arial"/>
                <w:szCs w:val="22"/>
              </w:rPr>
              <w:t>Sub-total</w:t>
            </w:r>
          </w:p>
        </w:tc>
        <w:tc>
          <w:tcPr>
            <w:tcW w:w="785" w:type="pct"/>
            <w:tcBorders>
              <w:bottom w:val="single" w:sz="4" w:space="0" w:color="auto"/>
            </w:tcBorders>
            <w:shd w:val="clear" w:color="auto" w:fill="B8CCEA" w:themeFill="accent3"/>
            <w:vAlign w:val="center"/>
          </w:tcPr>
          <w:p w14:paraId="04C6189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color w:val="auto"/>
                <w:szCs w:val="22"/>
              </w:rPr>
            </w:pPr>
            <w:r w:rsidRPr="00373DCC">
              <w:rPr>
                <w:rFonts w:eastAsiaTheme="minorHAnsi" w:cs="Arial"/>
                <w:szCs w:val="22"/>
              </w:rPr>
              <w:t>7</w:t>
            </w:r>
          </w:p>
        </w:tc>
        <w:tc>
          <w:tcPr>
            <w:tcW w:w="836" w:type="pct"/>
            <w:tcBorders>
              <w:bottom w:val="single" w:sz="4" w:space="0" w:color="auto"/>
            </w:tcBorders>
            <w:shd w:val="clear" w:color="auto" w:fill="B8CCEA" w:themeFill="accent3"/>
            <w:vAlign w:val="center"/>
          </w:tcPr>
          <w:p w14:paraId="3EAA73F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szCs w:val="22"/>
              </w:rPr>
            </w:pPr>
            <w:r w:rsidRPr="00373DCC">
              <w:rPr>
                <w:rFonts w:eastAsiaTheme="minorHAnsi" w:cs="Arial"/>
                <w:szCs w:val="22"/>
              </w:rPr>
              <w:t>17</w:t>
            </w:r>
          </w:p>
        </w:tc>
      </w:tr>
      <w:tr w:rsidR="00F2350B" w:rsidRPr="00373DCC" w14:paraId="59113F4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vAlign w:val="center"/>
          </w:tcPr>
          <w:p w14:paraId="2F440B67" w14:textId="77777777" w:rsidR="00F2350B" w:rsidRPr="00373DCC" w:rsidRDefault="00F2350B" w:rsidP="00710B91">
            <w:pPr>
              <w:widowControl w:val="0"/>
              <w:spacing w:before="0" w:after="0"/>
              <w:rPr>
                <w:rFonts w:cs="Arial"/>
                <w:szCs w:val="22"/>
              </w:rPr>
            </w:pPr>
            <w:r w:rsidRPr="00373DCC">
              <w:rPr>
                <w:rFonts w:cs="Arial"/>
                <w:szCs w:val="22"/>
              </w:rPr>
              <w:t>Product is not a therapeutic good</w:t>
            </w:r>
          </w:p>
        </w:tc>
        <w:tc>
          <w:tcPr>
            <w:tcW w:w="785" w:type="pct"/>
            <w:tcBorders>
              <w:bottom w:val="single" w:sz="4" w:space="0" w:color="auto"/>
            </w:tcBorders>
            <w:vAlign w:val="center"/>
          </w:tcPr>
          <w:p w14:paraId="607629AF"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836" w:type="pct"/>
            <w:tcBorders>
              <w:bottom w:val="single" w:sz="4" w:space="0" w:color="auto"/>
            </w:tcBorders>
            <w:vAlign w:val="center"/>
          </w:tcPr>
          <w:p w14:paraId="302A126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r>
      <w:tr w:rsidR="00F2350B" w:rsidRPr="00373DCC" w14:paraId="2B4D77A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bottom w:val="single" w:sz="4" w:space="0" w:color="auto"/>
            </w:tcBorders>
            <w:shd w:val="clear" w:color="auto" w:fill="B8CCEA" w:themeFill="accent3"/>
            <w:vAlign w:val="center"/>
          </w:tcPr>
          <w:p w14:paraId="05B6622A" w14:textId="77777777" w:rsidR="00F2350B" w:rsidRPr="00373DCC" w:rsidRDefault="00F2350B" w:rsidP="00710B91">
            <w:pPr>
              <w:widowControl w:val="0"/>
              <w:spacing w:before="0" w:after="0"/>
              <w:rPr>
                <w:rFonts w:cs="Arial"/>
                <w:szCs w:val="22"/>
              </w:rPr>
            </w:pPr>
            <w:r w:rsidRPr="00373DCC">
              <w:rPr>
                <w:rFonts w:cs="Arial"/>
                <w:szCs w:val="22"/>
              </w:rPr>
              <w:t>Total completed</w:t>
            </w:r>
          </w:p>
        </w:tc>
        <w:tc>
          <w:tcPr>
            <w:tcW w:w="785" w:type="pct"/>
            <w:tcBorders>
              <w:bottom w:val="single" w:sz="4" w:space="0" w:color="auto"/>
            </w:tcBorders>
            <w:shd w:val="clear" w:color="auto" w:fill="B8CCEA" w:themeFill="accent3"/>
            <w:vAlign w:val="center"/>
          </w:tcPr>
          <w:p w14:paraId="40E09C0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78</w:t>
            </w:r>
          </w:p>
        </w:tc>
        <w:tc>
          <w:tcPr>
            <w:tcW w:w="836" w:type="pct"/>
            <w:tcBorders>
              <w:bottom w:val="single" w:sz="4" w:space="0" w:color="auto"/>
            </w:tcBorders>
            <w:shd w:val="clear" w:color="auto" w:fill="B8CCEA" w:themeFill="accent3"/>
            <w:vAlign w:val="center"/>
          </w:tcPr>
          <w:p w14:paraId="03CEB04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203</w:t>
            </w:r>
          </w:p>
        </w:tc>
      </w:tr>
    </w:tbl>
    <w:p w14:paraId="55F4E031" w14:textId="77777777" w:rsidR="00F2350B" w:rsidRPr="00373DCC" w:rsidRDefault="00F2350B" w:rsidP="00F2350B">
      <w:pPr>
        <w:keepLines/>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All compliance reviews, including those that transitioned from signal investigations</w:t>
      </w:r>
    </w:p>
    <w:p w14:paraId="2E49A86B" w14:textId="77777777" w:rsidR="00F2350B" w:rsidRPr="00373DCC" w:rsidRDefault="00F2350B" w:rsidP="00F2350B">
      <w:pPr>
        <w:keepLines/>
        <w:spacing w:before="0" w:after="0" w:line="0" w:lineRule="atLeast"/>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E.g., deficiencies/obligations/warning notices</w:t>
      </w:r>
    </w:p>
    <w:p w14:paraId="5ACEEAEF" w14:textId="77777777" w:rsidR="00F2350B" w:rsidRPr="00373DCC" w:rsidRDefault="00F2350B" w:rsidP="00F2350B">
      <w:pPr>
        <w:spacing w:after="120"/>
        <w:rPr>
          <w:rFonts w:cs="Arial"/>
          <w:sz w:val="21"/>
          <w:szCs w:val="21"/>
        </w:rPr>
      </w:pPr>
      <w:r w:rsidRPr="00373DCC">
        <w:rPr>
          <w:rFonts w:cs="Arial"/>
          <w:sz w:val="21"/>
          <w:szCs w:val="21"/>
        </w:rPr>
        <w:lastRenderedPageBreak/>
        <w:t xml:space="preserve">In this table, compliance interactions include letters such as obligations notices, deficiency notices as well as other educational correspondences such as targeted educational email campaigns and direct email communications with sponsors. Compliance interactions includes all activities conducted for listed medicines, from applications and applying conditions of listing, through to signal investigations and compliance reviews. </w:t>
      </w:r>
    </w:p>
    <w:p w14:paraId="4F17B967" w14:textId="77777777" w:rsidR="00F2350B" w:rsidRPr="00373DCC" w:rsidRDefault="00F2350B" w:rsidP="00F2350B">
      <w:pPr>
        <w:spacing w:after="120"/>
        <w:rPr>
          <w:rFonts w:cs="Arial"/>
          <w:sz w:val="21"/>
          <w:szCs w:val="21"/>
        </w:rPr>
      </w:pPr>
      <w:r w:rsidRPr="00373DCC">
        <w:rPr>
          <w:rFonts w:cs="Arial"/>
          <w:sz w:val="21"/>
          <w:szCs w:val="21"/>
        </w:rPr>
        <w:t>Indirect reach of our compliance activities such as through reading media releases, publication of compliance review outcomes, publication of infringement/prevention notices have not been captured here.</w:t>
      </w:r>
    </w:p>
    <w:p w14:paraId="5C307171"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Table 32: Reach of compliance activities for listed medicines</w:t>
      </w:r>
    </w:p>
    <w:tbl>
      <w:tblPr>
        <w:tblStyle w:val="TableTGAblue"/>
        <w:tblW w:w="5000" w:type="pct"/>
        <w:tblLook w:val="04A0" w:firstRow="1" w:lastRow="0" w:firstColumn="1" w:lastColumn="0" w:noHBand="0" w:noVBand="1"/>
      </w:tblPr>
      <w:tblGrid>
        <w:gridCol w:w="6097"/>
        <w:gridCol w:w="1416"/>
        <w:gridCol w:w="1508"/>
      </w:tblGrid>
      <w:tr w:rsidR="00F2350B" w:rsidRPr="00373DCC" w14:paraId="09869F1C" w14:textId="77777777" w:rsidTr="00A85E73">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79" w:type="pct"/>
            <w:tcBorders>
              <w:top w:val="nil"/>
              <w:left w:val="nil"/>
              <w:bottom w:val="nil"/>
              <w:right w:val="single" w:sz="4" w:space="0" w:color="auto"/>
            </w:tcBorders>
            <w:shd w:val="clear" w:color="auto" w:fill="29527F"/>
            <w:vAlign w:val="center"/>
          </w:tcPr>
          <w:p w14:paraId="5953AD64" w14:textId="09594714" w:rsidR="00F2350B" w:rsidRPr="00373DCC" w:rsidRDefault="00A85E73" w:rsidP="00A85E73">
            <w:pPr>
              <w:widowControl w:val="0"/>
              <w:spacing w:line="240" w:lineRule="atLeast"/>
              <w:contextualSpacing/>
              <w:rPr>
                <w:rFonts w:eastAsiaTheme="minorHAnsi" w:cs="Arial"/>
                <w:sz w:val="21"/>
              </w:rPr>
            </w:pPr>
            <w:r w:rsidRPr="00373DCC">
              <w:rPr>
                <w:rFonts w:cs="Arial"/>
                <w:sz w:val="21"/>
              </w:rPr>
              <w:t>Sponsors reached</w:t>
            </w:r>
          </w:p>
        </w:tc>
        <w:tc>
          <w:tcPr>
            <w:tcW w:w="785" w:type="pct"/>
            <w:tcBorders>
              <w:top w:val="single" w:sz="4" w:space="0" w:color="auto"/>
              <w:left w:val="single" w:sz="4" w:space="0" w:color="auto"/>
              <w:bottom w:val="single" w:sz="4" w:space="0" w:color="auto"/>
              <w:right w:val="single" w:sz="4" w:space="0" w:color="auto"/>
            </w:tcBorders>
            <w:shd w:val="clear" w:color="auto" w:fill="29527F"/>
            <w:vAlign w:val="center"/>
          </w:tcPr>
          <w:p w14:paraId="7A2FB037" w14:textId="0103A09C" w:rsidR="00F2350B" w:rsidRPr="00373DCC" w:rsidRDefault="003A2C7F"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836" w:type="pct"/>
            <w:tcBorders>
              <w:top w:val="single" w:sz="4" w:space="0" w:color="auto"/>
              <w:left w:val="single" w:sz="4" w:space="0" w:color="auto"/>
              <w:bottom w:val="single" w:sz="4" w:space="0" w:color="auto"/>
              <w:right w:val="single" w:sz="4" w:space="0" w:color="auto"/>
            </w:tcBorders>
            <w:shd w:val="clear" w:color="auto" w:fill="29527F"/>
            <w:vAlign w:val="center"/>
          </w:tcPr>
          <w:p w14:paraId="1288147C" w14:textId="71DAAAD5" w:rsidR="00F2350B" w:rsidRPr="00373DCC" w:rsidRDefault="003A2C7F"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40144F3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bottom w:val="single" w:sz="4" w:space="0" w:color="002C47"/>
              <w:right w:val="single" w:sz="4" w:space="0" w:color="002C47"/>
            </w:tcBorders>
            <w:vAlign w:val="center"/>
          </w:tcPr>
          <w:p w14:paraId="71DEA781" w14:textId="77777777" w:rsidR="00F2350B" w:rsidRPr="00373DCC" w:rsidRDefault="00F2350B" w:rsidP="00710B91">
            <w:pPr>
              <w:widowControl w:val="0"/>
              <w:spacing w:line="240" w:lineRule="atLeast"/>
              <w:rPr>
                <w:rFonts w:cs="Arial"/>
                <w:b/>
                <w:bCs/>
                <w:sz w:val="21"/>
              </w:rPr>
            </w:pPr>
            <w:r w:rsidRPr="00373DCC">
              <w:rPr>
                <w:rFonts w:cs="Arial"/>
                <w:sz w:val="21"/>
              </w:rPr>
              <w:t>Sponsors who received any compliance interactions</w:t>
            </w:r>
          </w:p>
        </w:tc>
        <w:tc>
          <w:tcPr>
            <w:tcW w:w="785" w:type="pct"/>
            <w:tcBorders>
              <w:top w:val="single" w:sz="4" w:space="0" w:color="002C47"/>
              <w:left w:val="single" w:sz="4" w:space="0" w:color="002C47"/>
              <w:bottom w:val="single" w:sz="4" w:space="0" w:color="002C47"/>
              <w:right w:val="single" w:sz="4" w:space="0" w:color="002C47"/>
            </w:tcBorders>
            <w:vAlign w:val="center"/>
          </w:tcPr>
          <w:p w14:paraId="05CCFD39"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bCs/>
                <w:sz w:val="21"/>
              </w:rPr>
            </w:pPr>
            <w:r w:rsidRPr="00373DCC">
              <w:rPr>
                <w:rFonts w:eastAsiaTheme="minorHAnsi" w:cs="Arial"/>
                <w:sz w:val="21"/>
              </w:rPr>
              <w:t>226 (10%)</w:t>
            </w:r>
          </w:p>
        </w:tc>
        <w:tc>
          <w:tcPr>
            <w:tcW w:w="836" w:type="pct"/>
            <w:tcBorders>
              <w:top w:val="single" w:sz="4" w:space="0" w:color="002C47"/>
              <w:left w:val="single" w:sz="4" w:space="0" w:color="002C47"/>
              <w:bottom w:val="single" w:sz="4" w:space="0" w:color="002C47"/>
              <w:right w:val="single" w:sz="4" w:space="0" w:color="002C47"/>
            </w:tcBorders>
            <w:vAlign w:val="center"/>
          </w:tcPr>
          <w:p w14:paraId="241B22D7"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
                <w:sz w:val="21"/>
              </w:rPr>
            </w:pPr>
            <w:r w:rsidRPr="00373DCC">
              <w:rPr>
                <w:rFonts w:eastAsiaTheme="minorHAnsi" w:cs="Arial"/>
                <w:sz w:val="21"/>
              </w:rPr>
              <w:t>294 (22%)</w:t>
            </w:r>
          </w:p>
        </w:tc>
      </w:tr>
      <w:tr w:rsidR="00F2350B" w:rsidRPr="00373DCC" w14:paraId="650C96F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79" w:type="pct"/>
            <w:tcBorders>
              <w:top w:val="single" w:sz="4" w:space="0" w:color="auto"/>
              <w:left w:val="single" w:sz="4" w:space="0" w:color="002C47"/>
              <w:bottom w:val="single" w:sz="4" w:space="0" w:color="002C47"/>
              <w:right w:val="single" w:sz="4" w:space="0" w:color="002C47"/>
            </w:tcBorders>
            <w:vAlign w:val="center"/>
          </w:tcPr>
          <w:p w14:paraId="6631061E" w14:textId="77777777" w:rsidR="00F2350B" w:rsidRPr="00373DCC" w:rsidRDefault="00F2350B" w:rsidP="00710B91">
            <w:pPr>
              <w:widowControl w:val="0"/>
              <w:spacing w:line="240" w:lineRule="atLeast"/>
              <w:rPr>
                <w:rFonts w:cs="Arial"/>
                <w:sz w:val="21"/>
              </w:rPr>
            </w:pPr>
            <w:r w:rsidRPr="00373DCC">
              <w:rPr>
                <w:rFonts w:cs="Arial"/>
                <w:sz w:val="21"/>
              </w:rPr>
              <w:t>Listings covered by any compliance interactions</w:t>
            </w:r>
          </w:p>
        </w:tc>
        <w:tc>
          <w:tcPr>
            <w:tcW w:w="785" w:type="pct"/>
            <w:tcBorders>
              <w:top w:val="single" w:sz="4" w:space="0" w:color="002C47"/>
              <w:left w:val="single" w:sz="4" w:space="0" w:color="002C47"/>
              <w:bottom w:val="single" w:sz="4" w:space="0" w:color="002C47"/>
              <w:right w:val="single" w:sz="4" w:space="0" w:color="002C47"/>
            </w:tcBorders>
            <w:vAlign w:val="center"/>
          </w:tcPr>
          <w:p w14:paraId="01C48BC3"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609 (5%)</w:t>
            </w:r>
          </w:p>
        </w:tc>
        <w:tc>
          <w:tcPr>
            <w:tcW w:w="836" w:type="pct"/>
            <w:tcBorders>
              <w:top w:val="single" w:sz="4" w:space="0" w:color="002C47"/>
              <w:left w:val="single" w:sz="4" w:space="0" w:color="002C47"/>
              <w:bottom w:val="single" w:sz="4" w:space="0" w:color="002C47"/>
              <w:right w:val="single" w:sz="4" w:space="0" w:color="002C47"/>
            </w:tcBorders>
            <w:vAlign w:val="center"/>
          </w:tcPr>
          <w:p w14:paraId="6C3269AA"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1000 (7%)</w:t>
            </w:r>
          </w:p>
        </w:tc>
      </w:tr>
    </w:tbl>
    <w:p w14:paraId="2F0799F5" w14:textId="77777777" w:rsidR="00F2350B" w:rsidRPr="00373DCC" w:rsidRDefault="00F2350B" w:rsidP="00F2350B">
      <w:pPr>
        <w:keepNext/>
        <w:spacing w:before="240" w:after="120" w:line="240" w:lineRule="auto"/>
        <w:rPr>
          <w:rFonts w:eastAsia="Cambria" w:cs="Arial"/>
          <w:b/>
          <w:bCs/>
          <w:szCs w:val="22"/>
        </w:rPr>
      </w:pPr>
      <w:bookmarkStart w:id="148" w:name="Figure3"/>
    </w:p>
    <w:p w14:paraId="51AA0FE3"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Figure 3</w:t>
      </w:r>
      <w:r w:rsidRPr="00373DCC">
        <w:rPr>
          <w:rFonts w:eastAsia="Cambria" w:cs="Arial"/>
          <w:b/>
          <w:bCs/>
          <w:sz w:val="21"/>
          <w:szCs w:val="21"/>
          <w:vertAlign w:val="superscript"/>
        </w:rPr>
        <w:t>a</w:t>
      </w:r>
      <w:r w:rsidRPr="00373DCC">
        <w:rPr>
          <w:rFonts w:eastAsia="Cambria" w:cs="Arial"/>
          <w:b/>
          <w:bCs/>
          <w:sz w:val="21"/>
          <w:szCs w:val="21"/>
        </w:rPr>
        <w:t xml:space="preserve"> Outcomes of completed compliance reviews</w:t>
      </w:r>
    </w:p>
    <w:tbl>
      <w:tblPr>
        <w:tblW w:w="9072" w:type="dxa"/>
        <w:tblInd w:w="-10" w:type="dxa"/>
        <w:tblLook w:val="04A0" w:firstRow="1" w:lastRow="0" w:firstColumn="1" w:lastColumn="0" w:noHBand="0" w:noVBand="1"/>
      </w:tblPr>
      <w:tblGrid>
        <w:gridCol w:w="6096"/>
        <w:gridCol w:w="1417"/>
        <w:gridCol w:w="1559"/>
      </w:tblGrid>
      <w:tr w:rsidR="00F2350B" w:rsidRPr="00373DCC" w14:paraId="12609CEE" w14:textId="77777777" w:rsidTr="003A2C7F">
        <w:trPr>
          <w:trHeight w:val="640"/>
        </w:trPr>
        <w:tc>
          <w:tcPr>
            <w:tcW w:w="6096" w:type="dxa"/>
            <w:tcBorders>
              <w:top w:val="single" w:sz="8" w:space="0" w:color="auto"/>
              <w:left w:val="single" w:sz="8" w:space="0" w:color="auto"/>
              <w:bottom w:val="single" w:sz="8" w:space="0" w:color="auto"/>
              <w:right w:val="single" w:sz="8" w:space="0" w:color="auto"/>
            </w:tcBorders>
            <w:shd w:val="clear" w:color="auto" w:fill="004672" w:themeFill="text2" w:themeFillTint="E6"/>
            <w:vAlign w:val="center"/>
            <w:hideMark/>
          </w:tcPr>
          <w:bookmarkEnd w:id="148"/>
          <w:p w14:paraId="04306709" w14:textId="77777777" w:rsidR="00F2350B" w:rsidRPr="003A2C7F" w:rsidRDefault="00F2350B" w:rsidP="003A2C7F">
            <w:pPr>
              <w:widowControl w:val="0"/>
              <w:spacing w:before="0" w:after="0"/>
              <w:contextualSpacing/>
              <w:jc w:val="center"/>
              <w:rPr>
                <w:rFonts w:cs="Arial"/>
                <w:color w:val="FFFFFF" w:themeColor="background1"/>
                <w:sz w:val="21"/>
                <w:szCs w:val="21"/>
                <w:lang w:eastAsia="en-AU"/>
              </w:rPr>
            </w:pPr>
            <w:r w:rsidRPr="003A2C7F">
              <w:rPr>
                <w:rFonts w:cs="Arial"/>
                <w:b/>
                <w:color w:val="FFFFFF" w:themeColor="background1"/>
                <w:sz w:val="21"/>
                <w:szCs w:val="21"/>
                <w:lang w:eastAsia="en-AU"/>
              </w:rPr>
              <w:t>Outcomes of completed compliance reviews</w:t>
            </w:r>
          </w:p>
        </w:tc>
        <w:tc>
          <w:tcPr>
            <w:tcW w:w="1417" w:type="dxa"/>
            <w:tcBorders>
              <w:top w:val="single" w:sz="8" w:space="0" w:color="auto"/>
              <w:left w:val="nil"/>
              <w:bottom w:val="single" w:sz="8" w:space="0" w:color="auto"/>
              <w:right w:val="single" w:sz="8" w:space="0" w:color="auto"/>
            </w:tcBorders>
            <w:shd w:val="clear" w:color="auto" w:fill="004672" w:themeFill="text2" w:themeFillTint="E6"/>
            <w:vAlign w:val="center"/>
            <w:hideMark/>
          </w:tcPr>
          <w:p w14:paraId="4FED8981" w14:textId="77777777" w:rsidR="00F2350B" w:rsidRPr="003A2C7F" w:rsidRDefault="00F2350B" w:rsidP="003A2C7F">
            <w:pPr>
              <w:widowControl w:val="0"/>
              <w:spacing w:before="0" w:after="0"/>
              <w:contextualSpacing/>
              <w:jc w:val="center"/>
              <w:rPr>
                <w:rFonts w:cs="Arial"/>
                <w:color w:val="FFFFFF" w:themeColor="background1"/>
                <w:sz w:val="21"/>
                <w:szCs w:val="21"/>
                <w:lang w:eastAsia="en-AU"/>
              </w:rPr>
            </w:pPr>
            <w:r w:rsidRPr="003A2C7F">
              <w:rPr>
                <w:rFonts w:cs="Arial"/>
                <w:b/>
                <w:color w:val="FFFFFF" w:themeColor="background1"/>
                <w:sz w:val="21"/>
                <w:szCs w:val="21"/>
                <w:lang w:eastAsia="en-AU"/>
              </w:rPr>
              <w:t>Count</w:t>
            </w:r>
          </w:p>
        </w:tc>
        <w:tc>
          <w:tcPr>
            <w:tcW w:w="1559" w:type="dxa"/>
            <w:tcBorders>
              <w:top w:val="single" w:sz="8" w:space="0" w:color="auto"/>
              <w:left w:val="nil"/>
              <w:bottom w:val="single" w:sz="8" w:space="0" w:color="auto"/>
              <w:right w:val="single" w:sz="8" w:space="0" w:color="auto"/>
            </w:tcBorders>
            <w:shd w:val="clear" w:color="auto" w:fill="004672" w:themeFill="text2" w:themeFillTint="E6"/>
            <w:vAlign w:val="center"/>
            <w:hideMark/>
          </w:tcPr>
          <w:p w14:paraId="66C0ED68" w14:textId="77777777" w:rsidR="00F2350B" w:rsidRPr="003A2C7F" w:rsidRDefault="00F2350B" w:rsidP="003A2C7F">
            <w:pPr>
              <w:widowControl w:val="0"/>
              <w:spacing w:before="0" w:after="0"/>
              <w:contextualSpacing/>
              <w:jc w:val="center"/>
              <w:rPr>
                <w:rFonts w:cs="Arial"/>
                <w:color w:val="FFFFFF" w:themeColor="background1"/>
                <w:sz w:val="21"/>
                <w:szCs w:val="21"/>
                <w:lang w:eastAsia="en-AU"/>
              </w:rPr>
            </w:pPr>
            <w:r w:rsidRPr="003A2C7F">
              <w:rPr>
                <w:rFonts w:cs="Arial"/>
                <w:b/>
                <w:color w:val="FFFFFF" w:themeColor="background1"/>
                <w:sz w:val="21"/>
                <w:szCs w:val="21"/>
                <w:lang w:eastAsia="en-AU"/>
              </w:rPr>
              <w:t>Percentage (% of Total)</w:t>
            </w:r>
          </w:p>
        </w:tc>
      </w:tr>
      <w:tr w:rsidR="00F2350B" w:rsidRPr="00373DCC" w14:paraId="47BFCE81" w14:textId="77777777" w:rsidTr="00710B91">
        <w:trPr>
          <w:trHeight w:val="300"/>
        </w:trPr>
        <w:tc>
          <w:tcPr>
            <w:tcW w:w="6096" w:type="dxa"/>
            <w:tcBorders>
              <w:top w:val="nil"/>
              <w:left w:val="single" w:sz="8" w:space="0" w:color="auto"/>
              <w:bottom w:val="single" w:sz="8" w:space="0" w:color="auto"/>
              <w:right w:val="single" w:sz="8" w:space="0" w:color="auto"/>
            </w:tcBorders>
            <w:shd w:val="clear" w:color="auto" w:fill="auto"/>
            <w:vAlign w:val="center"/>
            <w:hideMark/>
          </w:tcPr>
          <w:p w14:paraId="1F710A63" w14:textId="77777777" w:rsidR="00F2350B" w:rsidRPr="00373DCC" w:rsidRDefault="00F2350B" w:rsidP="00710B91">
            <w:pPr>
              <w:spacing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 xml:space="preserve">Cancelled by Sponsors after TGA contact </w:t>
            </w:r>
          </w:p>
        </w:tc>
        <w:tc>
          <w:tcPr>
            <w:tcW w:w="1417" w:type="dxa"/>
            <w:tcBorders>
              <w:top w:val="nil"/>
              <w:left w:val="nil"/>
              <w:bottom w:val="single" w:sz="8" w:space="0" w:color="auto"/>
              <w:right w:val="single" w:sz="8" w:space="0" w:color="auto"/>
            </w:tcBorders>
            <w:shd w:val="clear" w:color="auto" w:fill="auto"/>
            <w:vAlign w:val="center"/>
            <w:hideMark/>
          </w:tcPr>
          <w:p w14:paraId="4EA84D15"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70</w:t>
            </w:r>
          </w:p>
        </w:tc>
        <w:tc>
          <w:tcPr>
            <w:tcW w:w="1559" w:type="dxa"/>
            <w:tcBorders>
              <w:top w:val="nil"/>
              <w:left w:val="nil"/>
              <w:bottom w:val="single" w:sz="8" w:space="0" w:color="auto"/>
              <w:right w:val="single" w:sz="8" w:space="0" w:color="auto"/>
            </w:tcBorders>
            <w:shd w:val="clear" w:color="auto" w:fill="auto"/>
            <w:vAlign w:val="center"/>
            <w:hideMark/>
          </w:tcPr>
          <w:p w14:paraId="29A205A8"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36%</w:t>
            </w:r>
          </w:p>
        </w:tc>
      </w:tr>
      <w:tr w:rsidR="00F2350B" w:rsidRPr="00373DCC" w14:paraId="7AA51BA1" w14:textId="77777777" w:rsidTr="00710B91">
        <w:trPr>
          <w:trHeight w:val="300"/>
        </w:trPr>
        <w:tc>
          <w:tcPr>
            <w:tcW w:w="6096" w:type="dxa"/>
            <w:tcBorders>
              <w:top w:val="nil"/>
              <w:left w:val="single" w:sz="8" w:space="0" w:color="auto"/>
              <w:bottom w:val="single" w:sz="8" w:space="0" w:color="auto"/>
              <w:right w:val="single" w:sz="8" w:space="0" w:color="auto"/>
            </w:tcBorders>
            <w:shd w:val="clear" w:color="auto" w:fill="auto"/>
            <w:vAlign w:val="center"/>
            <w:hideMark/>
          </w:tcPr>
          <w:p w14:paraId="246207DA" w14:textId="77777777" w:rsidR="00F2350B" w:rsidRPr="00373DCC" w:rsidRDefault="00F2350B" w:rsidP="00710B91">
            <w:pPr>
              <w:spacing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 xml:space="preserve">Cancelled by TGA after proposal to cancel </w:t>
            </w:r>
          </w:p>
        </w:tc>
        <w:tc>
          <w:tcPr>
            <w:tcW w:w="1417" w:type="dxa"/>
            <w:tcBorders>
              <w:top w:val="nil"/>
              <w:left w:val="nil"/>
              <w:bottom w:val="single" w:sz="8" w:space="0" w:color="auto"/>
              <w:right w:val="single" w:sz="8" w:space="0" w:color="auto"/>
            </w:tcBorders>
            <w:shd w:val="clear" w:color="auto" w:fill="auto"/>
            <w:vAlign w:val="center"/>
            <w:hideMark/>
          </w:tcPr>
          <w:p w14:paraId="5FD3F9A1"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w:t>
            </w:r>
          </w:p>
        </w:tc>
        <w:tc>
          <w:tcPr>
            <w:tcW w:w="1559" w:type="dxa"/>
            <w:tcBorders>
              <w:top w:val="nil"/>
              <w:left w:val="nil"/>
              <w:bottom w:val="single" w:sz="8" w:space="0" w:color="auto"/>
              <w:right w:val="single" w:sz="8" w:space="0" w:color="auto"/>
            </w:tcBorders>
            <w:shd w:val="clear" w:color="auto" w:fill="auto"/>
            <w:vAlign w:val="center"/>
            <w:hideMark/>
          </w:tcPr>
          <w:p w14:paraId="621C819C"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3%</w:t>
            </w:r>
          </w:p>
        </w:tc>
      </w:tr>
      <w:tr w:rsidR="00F2350B" w:rsidRPr="00373DCC" w14:paraId="0246E4D6" w14:textId="77777777" w:rsidTr="00710B91">
        <w:trPr>
          <w:trHeight w:val="300"/>
        </w:trPr>
        <w:tc>
          <w:tcPr>
            <w:tcW w:w="6096" w:type="dxa"/>
            <w:tcBorders>
              <w:top w:val="nil"/>
              <w:left w:val="single" w:sz="8" w:space="0" w:color="auto"/>
              <w:bottom w:val="single" w:sz="8" w:space="0" w:color="auto"/>
              <w:right w:val="single" w:sz="8" w:space="0" w:color="auto"/>
            </w:tcBorders>
            <w:shd w:val="clear" w:color="auto" w:fill="auto"/>
            <w:vAlign w:val="center"/>
            <w:hideMark/>
          </w:tcPr>
          <w:p w14:paraId="2B21E726" w14:textId="77777777" w:rsidR="00F2350B" w:rsidRPr="00373DCC" w:rsidRDefault="00F2350B" w:rsidP="00710B91">
            <w:pPr>
              <w:spacing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 xml:space="preserve">Compliant after proposal to cancel </w:t>
            </w:r>
          </w:p>
        </w:tc>
        <w:tc>
          <w:tcPr>
            <w:tcW w:w="1417" w:type="dxa"/>
            <w:tcBorders>
              <w:top w:val="nil"/>
              <w:left w:val="nil"/>
              <w:bottom w:val="single" w:sz="8" w:space="0" w:color="auto"/>
              <w:right w:val="single" w:sz="8" w:space="0" w:color="auto"/>
            </w:tcBorders>
            <w:shd w:val="clear" w:color="auto" w:fill="auto"/>
            <w:vAlign w:val="center"/>
            <w:hideMark/>
          </w:tcPr>
          <w:p w14:paraId="4EAD79CA"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51</w:t>
            </w:r>
          </w:p>
        </w:tc>
        <w:tc>
          <w:tcPr>
            <w:tcW w:w="1559" w:type="dxa"/>
            <w:tcBorders>
              <w:top w:val="nil"/>
              <w:left w:val="nil"/>
              <w:bottom w:val="single" w:sz="8" w:space="0" w:color="auto"/>
              <w:right w:val="single" w:sz="8" w:space="0" w:color="auto"/>
            </w:tcBorders>
            <w:shd w:val="clear" w:color="auto" w:fill="auto"/>
            <w:vAlign w:val="center"/>
            <w:hideMark/>
          </w:tcPr>
          <w:p w14:paraId="7026242E"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26%</w:t>
            </w:r>
          </w:p>
        </w:tc>
      </w:tr>
      <w:tr w:rsidR="00F2350B" w:rsidRPr="00373DCC" w14:paraId="230BDD38" w14:textId="77777777" w:rsidTr="00710B91">
        <w:trPr>
          <w:trHeight w:val="300"/>
        </w:trPr>
        <w:tc>
          <w:tcPr>
            <w:tcW w:w="6096" w:type="dxa"/>
            <w:tcBorders>
              <w:top w:val="nil"/>
              <w:left w:val="single" w:sz="8" w:space="0" w:color="auto"/>
              <w:bottom w:val="single" w:sz="8" w:space="0" w:color="auto"/>
              <w:right w:val="single" w:sz="8" w:space="0" w:color="auto"/>
            </w:tcBorders>
            <w:shd w:val="clear" w:color="auto" w:fill="auto"/>
            <w:vAlign w:val="center"/>
            <w:hideMark/>
          </w:tcPr>
          <w:p w14:paraId="74C59D69" w14:textId="77777777" w:rsidR="00F2350B" w:rsidRPr="00373DCC" w:rsidRDefault="00F2350B" w:rsidP="00710B91">
            <w:pPr>
              <w:spacing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Compliant after education </w:t>
            </w:r>
          </w:p>
        </w:tc>
        <w:tc>
          <w:tcPr>
            <w:tcW w:w="1417" w:type="dxa"/>
            <w:tcBorders>
              <w:top w:val="nil"/>
              <w:left w:val="nil"/>
              <w:bottom w:val="single" w:sz="8" w:space="0" w:color="auto"/>
              <w:right w:val="single" w:sz="8" w:space="0" w:color="auto"/>
            </w:tcBorders>
            <w:shd w:val="clear" w:color="auto" w:fill="auto"/>
            <w:vAlign w:val="center"/>
            <w:hideMark/>
          </w:tcPr>
          <w:p w14:paraId="5C34C3C6"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12</w:t>
            </w:r>
          </w:p>
        </w:tc>
        <w:tc>
          <w:tcPr>
            <w:tcW w:w="1559" w:type="dxa"/>
            <w:tcBorders>
              <w:top w:val="nil"/>
              <w:left w:val="nil"/>
              <w:bottom w:val="single" w:sz="8" w:space="0" w:color="auto"/>
              <w:right w:val="single" w:sz="8" w:space="0" w:color="auto"/>
            </w:tcBorders>
            <w:shd w:val="clear" w:color="auto" w:fill="auto"/>
            <w:vAlign w:val="center"/>
            <w:hideMark/>
          </w:tcPr>
          <w:p w14:paraId="6F4772CC"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6%</w:t>
            </w:r>
          </w:p>
        </w:tc>
      </w:tr>
      <w:tr w:rsidR="00F2350B" w:rsidRPr="00373DCC" w14:paraId="02E459E2" w14:textId="77777777" w:rsidTr="00710B91">
        <w:trPr>
          <w:trHeight w:val="300"/>
        </w:trPr>
        <w:tc>
          <w:tcPr>
            <w:tcW w:w="6096" w:type="dxa"/>
            <w:tcBorders>
              <w:top w:val="nil"/>
              <w:left w:val="single" w:sz="8" w:space="0" w:color="auto"/>
              <w:bottom w:val="single" w:sz="8" w:space="0" w:color="auto"/>
              <w:right w:val="single" w:sz="8" w:space="0" w:color="auto"/>
            </w:tcBorders>
            <w:shd w:val="clear" w:color="auto" w:fill="auto"/>
            <w:vAlign w:val="center"/>
            <w:hideMark/>
          </w:tcPr>
          <w:p w14:paraId="19327068" w14:textId="77777777" w:rsidR="00F2350B" w:rsidRPr="00373DCC" w:rsidRDefault="00F2350B" w:rsidP="00710B91">
            <w:pPr>
              <w:spacing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Compliant</w:t>
            </w:r>
          </w:p>
        </w:tc>
        <w:tc>
          <w:tcPr>
            <w:tcW w:w="1417" w:type="dxa"/>
            <w:tcBorders>
              <w:top w:val="nil"/>
              <w:left w:val="nil"/>
              <w:bottom w:val="single" w:sz="8" w:space="0" w:color="auto"/>
              <w:right w:val="single" w:sz="8" w:space="0" w:color="auto"/>
            </w:tcBorders>
            <w:shd w:val="clear" w:color="auto" w:fill="auto"/>
            <w:vAlign w:val="center"/>
            <w:hideMark/>
          </w:tcPr>
          <w:p w14:paraId="3F0F0F10"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57</w:t>
            </w:r>
          </w:p>
        </w:tc>
        <w:tc>
          <w:tcPr>
            <w:tcW w:w="1559" w:type="dxa"/>
            <w:tcBorders>
              <w:top w:val="nil"/>
              <w:left w:val="nil"/>
              <w:bottom w:val="single" w:sz="8" w:space="0" w:color="auto"/>
              <w:right w:val="single" w:sz="8" w:space="0" w:color="auto"/>
            </w:tcBorders>
            <w:shd w:val="clear" w:color="auto" w:fill="auto"/>
            <w:vAlign w:val="center"/>
            <w:hideMark/>
          </w:tcPr>
          <w:p w14:paraId="3FC1A504" w14:textId="77777777" w:rsidR="00F2350B" w:rsidRPr="00373DCC" w:rsidRDefault="00F2350B" w:rsidP="00710B91">
            <w:pPr>
              <w:spacing w:after="0" w:line="240" w:lineRule="auto"/>
              <w:jc w:val="right"/>
              <w:rPr>
                <w:rFonts w:eastAsia="Times New Roman" w:cs="Arial"/>
                <w:color w:val="000000"/>
                <w:sz w:val="21"/>
                <w:szCs w:val="21"/>
                <w:lang w:eastAsia="en-AU"/>
              </w:rPr>
            </w:pPr>
            <w:r w:rsidRPr="00373DCC">
              <w:rPr>
                <w:rFonts w:eastAsia="Times New Roman" w:cs="Arial"/>
                <w:color w:val="000000"/>
                <w:sz w:val="21"/>
                <w:szCs w:val="21"/>
                <w:lang w:eastAsia="en-AU"/>
              </w:rPr>
              <w:t>29%</w:t>
            </w:r>
          </w:p>
        </w:tc>
      </w:tr>
      <w:tr w:rsidR="00F2350B" w:rsidRPr="00373DCC" w14:paraId="0221E4F0" w14:textId="77777777" w:rsidTr="003A2C7F">
        <w:trPr>
          <w:trHeight w:val="300"/>
        </w:trPr>
        <w:tc>
          <w:tcPr>
            <w:tcW w:w="6096" w:type="dxa"/>
            <w:tcBorders>
              <w:top w:val="nil"/>
              <w:left w:val="single" w:sz="8" w:space="0" w:color="auto"/>
              <w:bottom w:val="single" w:sz="8" w:space="0" w:color="auto"/>
              <w:right w:val="nil"/>
            </w:tcBorders>
            <w:shd w:val="clear" w:color="auto" w:fill="B8CCEA" w:themeFill="accent3"/>
            <w:noWrap/>
            <w:hideMark/>
          </w:tcPr>
          <w:p w14:paraId="0D58D4E6" w14:textId="77777777" w:rsidR="00F2350B" w:rsidRPr="00373DCC" w:rsidRDefault="00F2350B" w:rsidP="003A2C7F">
            <w:pPr>
              <w:spacing w:after="0" w:line="240" w:lineRule="auto"/>
              <w:rPr>
                <w:rFonts w:eastAsia="Times New Roman" w:cs="Arial"/>
                <w:b/>
                <w:color w:val="000000"/>
                <w:sz w:val="21"/>
                <w:szCs w:val="21"/>
                <w:lang w:eastAsia="en-AU"/>
              </w:rPr>
            </w:pPr>
            <w:r w:rsidRPr="00373DCC">
              <w:rPr>
                <w:rFonts w:eastAsia="Times New Roman" w:cs="Arial"/>
                <w:b/>
                <w:color w:val="000000"/>
                <w:sz w:val="21"/>
                <w:szCs w:val="21"/>
                <w:lang w:eastAsia="en-AU"/>
              </w:rPr>
              <w:t>Total</w:t>
            </w:r>
          </w:p>
        </w:tc>
        <w:tc>
          <w:tcPr>
            <w:tcW w:w="1417" w:type="dxa"/>
            <w:tcBorders>
              <w:top w:val="nil"/>
              <w:left w:val="single" w:sz="8" w:space="0" w:color="auto"/>
              <w:bottom w:val="single" w:sz="8" w:space="0" w:color="auto"/>
              <w:right w:val="single" w:sz="8" w:space="0" w:color="auto"/>
            </w:tcBorders>
            <w:shd w:val="clear" w:color="auto" w:fill="B8CCEA" w:themeFill="accent3"/>
            <w:noWrap/>
            <w:hideMark/>
          </w:tcPr>
          <w:p w14:paraId="23EC2BF6" w14:textId="77777777" w:rsidR="00F2350B" w:rsidRPr="00373DCC" w:rsidRDefault="00F2350B" w:rsidP="003A2C7F">
            <w:pPr>
              <w:spacing w:after="0" w:line="240" w:lineRule="auto"/>
              <w:rPr>
                <w:rFonts w:eastAsia="Times New Roman" w:cs="Arial"/>
                <w:b/>
                <w:color w:val="000000"/>
                <w:sz w:val="21"/>
                <w:szCs w:val="21"/>
                <w:lang w:eastAsia="en-AU"/>
              </w:rPr>
            </w:pPr>
            <w:r w:rsidRPr="00373DCC">
              <w:rPr>
                <w:rFonts w:eastAsia="Times New Roman" w:cs="Arial"/>
                <w:b/>
                <w:color w:val="000000"/>
                <w:sz w:val="21"/>
                <w:szCs w:val="21"/>
                <w:lang w:eastAsia="en-AU"/>
              </w:rPr>
              <w:t>196</w:t>
            </w:r>
          </w:p>
        </w:tc>
        <w:tc>
          <w:tcPr>
            <w:tcW w:w="1559" w:type="dxa"/>
            <w:tcBorders>
              <w:top w:val="nil"/>
              <w:left w:val="nil"/>
              <w:bottom w:val="single" w:sz="8" w:space="0" w:color="auto"/>
              <w:right w:val="single" w:sz="8" w:space="0" w:color="auto"/>
            </w:tcBorders>
            <w:shd w:val="clear" w:color="auto" w:fill="B8CCEA" w:themeFill="accent3"/>
            <w:noWrap/>
            <w:hideMark/>
          </w:tcPr>
          <w:p w14:paraId="365F53E2" w14:textId="77777777" w:rsidR="00F2350B" w:rsidRPr="00373DCC" w:rsidRDefault="00F2350B" w:rsidP="003A2C7F">
            <w:pPr>
              <w:spacing w:after="0" w:line="240" w:lineRule="auto"/>
              <w:rPr>
                <w:rFonts w:eastAsia="Times New Roman" w:cs="Arial"/>
                <w:b/>
                <w:color w:val="000000"/>
                <w:sz w:val="21"/>
                <w:szCs w:val="21"/>
                <w:lang w:eastAsia="en-AU"/>
              </w:rPr>
            </w:pPr>
            <w:r w:rsidRPr="00373DCC">
              <w:rPr>
                <w:rFonts w:eastAsia="Times New Roman" w:cs="Arial"/>
                <w:b/>
                <w:color w:val="000000"/>
                <w:sz w:val="21"/>
                <w:szCs w:val="21"/>
                <w:lang w:eastAsia="en-AU"/>
              </w:rPr>
              <w:t>100%</w:t>
            </w:r>
          </w:p>
        </w:tc>
      </w:tr>
    </w:tbl>
    <w:p w14:paraId="69588AE0" w14:textId="77777777" w:rsidR="00F2350B" w:rsidRPr="00373DCC" w:rsidRDefault="00F2350B" w:rsidP="00F2350B">
      <w:pPr>
        <w:keepNext/>
        <w:keepLines/>
        <w:spacing w:after="180" w:line="24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 xml:space="preserve">A significant proportion of listed medicine reviews are concluded after the sponsor has adequately addressed the compliance breaches identified by us. Under the </w:t>
      </w:r>
      <w:r w:rsidRPr="00373DCC">
        <w:rPr>
          <w:rFonts w:eastAsia="Cambria" w:cs="Arial"/>
          <w:i/>
          <w:sz w:val="16"/>
          <w:szCs w:val="16"/>
        </w:rPr>
        <w:t>Therapeutic Goods Act 1989</w:t>
      </w:r>
      <w:r w:rsidRPr="00373DCC">
        <w:rPr>
          <w:rFonts w:eastAsia="Cambria" w:cs="Arial"/>
          <w:sz w:val="16"/>
          <w:szCs w:val="16"/>
        </w:rPr>
        <w:t xml:space="preserve"> sponsors are given an opportunity to respond to issues raised during a compliance review. </w:t>
      </w:r>
    </w:p>
    <w:p w14:paraId="04D49C5B" w14:textId="77777777" w:rsidR="00F2350B" w:rsidRPr="00373DCC" w:rsidRDefault="00F2350B" w:rsidP="00F2350B">
      <w:pPr>
        <w:rPr>
          <w:rFonts w:eastAsia="Cambria" w:cs="Arial"/>
          <w:b/>
          <w:bCs/>
          <w:szCs w:val="22"/>
        </w:rPr>
      </w:pPr>
      <w:r w:rsidRPr="00373DCC">
        <w:rPr>
          <w:rFonts w:eastAsia="Cambria" w:cs="Arial"/>
          <w:b/>
          <w:bCs/>
          <w:szCs w:val="22"/>
        </w:rPr>
        <w:br w:type="page"/>
      </w:r>
    </w:p>
    <w:p w14:paraId="6B7F0587" w14:textId="77777777" w:rsidR="00F2350B" w:rsidRPr="00373DCC" w:rsidRDefault="00F2350B" w:rsidP="00ED1A1F">
      <w:pPr>
        <w:pStyle w:val="Heading2-numbered"/>
        <w:numPr>
          <w:ilvl w:val="0"/>
          <w:numId w:val="30"/>
        </w:numPr>
        <w:spacing w:after="0"/>
        <w:ind w:left="284" w:hanging="284"/>
        <w:rPr>
          <w:rFonts w:ascii="Arial" w:hAnsi="Arial" w:cs="Arial"/>
          <w:b/>
          <w:color w:val="00348C" w:themeColor="accent1" w:themeShade="BF"/>
          <w:sz w:val="32"/>
        </w:rPr>
      </w:pPr>
      <w:r w:rsidRPr="00373DCC">
        <w:rPr>
          <w:rFonts w:ascii="Arial" w:hAnsi="Arial" w:cs="Arial"/>
          <w:b/>
          <w:color w:val="00348C" w:themeColor="accent1" w:themeShade="BF"/>
          <w:sz w:val="32"/>
        </w:rPr>
        <w:lastRenderedPageBreak/>
        <w:t xml:space="preserve"> </w:t>
      </w:r>
      <w:bookmarkStart w:id="149" w:name="_Toc153550467"/>
      <w:r w:rsidRPr="00373DCC">
        <w:rPr>
          <w:rFonts w:ascii="Arial" w:hAnsi="Arial" w:cs="Arial"/>
          <w:b/>
          <w:color w:val="00348C" w:themeColor="accent1" w:themeShade="BF"/>
          <w:sz w:val="32"/>
        </w:rPr>
        <w:t>Biologicals and Blood Components</w:t>
      </w:r>
      <w:bookmarkEnd w:id="149"/>
    </w:p>
    <w:p w14:paraId="03040E46"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150" w:name="_Toc153441489"/>
      <w:bookmarkStart w:id="151" w:name="_Toc153441640"/>
      <w:bookmarkStart w:id="152" w:name="_Toc153550155"/>
      <w:bookmarkStart w:id="153" w:name="_Toc153550319"/>
      <w:bookmarkStart w:id="154" w:name="_Toc153550468"/>
      <w:bookmarkEnd w:id="150"/>
      <w:bookmarkEnd w:id="151"/>
      <w:bookmarkEnd w:id="152"/>
      <w:bookmarkEnd w:id="153"/>
      <w:bookmarkEnd w:id="154"/>
    </w:p>
    <w:p w14:paraId="4DA43B37" w14:textId="2E9A9A61" w:rsidR="00F2350B" w:rsidRPr="00373DCC" w:rsidRDefault="00F2350B" w:rsidP="00B633E2">
      <w:pPr>
        <w:pStyle w:val="Heading3-numbered"/>
        <w:numPr>
          <w:ilvl w:val="1"/>
          <w:numId w:val="32"/>
        </w:numPr>
        <w:rPr>
          <w:rFonts w:ascii="Arial" w:hAnsi="Arial" w:cs="Arial"/>
        </w:rPr>
      </w:pPr>
      <w:bookmarkStart w:id="155" w:name="_Toc153550469"/>
      <w:r w:rsidRPr="00373DCC">
        <w:rPr>
          <w:rFonts w:ascii="Arial" w:hAnsi="Arial" w:cs="Arial"/>
        </w:rPr>
        <w:t>Inclusion of biologicals</w:t>
      </w:r>
      <w:bookmarkEnd w:id="155"/>
    </w:p>
    <w:p w14:paraId="30809822" w14:textId="77777777" w:rsidR="00F2350B" w:rsidRPr="00373DCC" w:rsidRDefault="00F2350B" w:rsidP="00F2350B">
      <w:pPr>
        <w:keepNext/>
        <w:spacing w:before="240" w:after="120" w:line="240" w:lineRule="auto"/>
        <w:rPr>
          <w:rFonts w:eastAsia="Cambria" w:cs="Arial"/>
          <w:b/>
          <w:bCs/>
          <w:sz w:val="21"/>
          <w:szCs w:val="21"/>
        </w:rPr>
      </w:pPr>
      <w:bookmarkStart w:id="156" w:name="Table33"/>
      <w:r w:rsidRPr="00373DCC">
        <w:rPr>
          <w:rFonts w:eastAsia="Cambria" w:cs="Arial"/>
          <w:b/>
          <w:bCs/>
          <w:sz w:val="21"/>
          <w:szCs w:val="21"/>
        </w:rPr>
        <w:t>Table 33: Applications for biologicals and blood received and on hand</w:t>
      </w:r>
    </w:p>
    <w:bookmarkEnd w:id="156"/>
    <w:tbl>
      <w:tblPr>
        <w:tblStyle w:val="TableTGAblue"/>
        <w:tblW w:w="4941" w:type="pct"/>
        <w:tblLook w:val="04A0" w:firstRow="1" w:lastRow="0" w:firstColumn="1" w:lastColumn="0" w:noHBand="0" w:noVBand="1"/>
      </w:tblPr>
      <w:tblGrid>
        <w:gridCol w:w="5954"/>
        <w:gridCol w:w="1426"/>
        <w:gridCol w:w="1535"/>
      </w:tblGrid>
      <w:tr w:rsidR="00A85E73" w:rsidRPr="00373DCC" w14:paraId="526762A1" w14:textId="77777777" w:rsidTr="00B50520">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nil"/>
              <w:left w:val="nil"/>
              <w:right w:val="single" w:sz="4" w:space="0" w:color="auto"/>
            </w:tcBorders>
            <w:shd w:val="clear" w:color="auto" w:fill="FFFFFF" w:themeFill="background1"/>
            <w:vAlign w:val="center"/>
          </w:tcPr>
          <w:p w14:paraId="50591117" w14:textId="77777777" w:rsidR="00A85E73" w:rsidRPr="00373DCC" w:rsidRDefault="00A85E73" w:rsidP="00A85E73">
            <w:pPr>
              <w:widowControl w:val="0"/>
              <w:spacing w:before="0" w:after="0"/>
              <w:contextualSpacing/>
              <w:rPr>
                <w:rFonts w:eastAsiaTheme="minorHAnsi" w:cs="Arial"/>
                <w:sz w:val="21"/>
              </w:rPr>
            </w:pPr>
          </w:p>
        </w:tc>
        <w:tc>
          <w:tcPr>
            <w:tcW w:w="800" w:type="pct"/>
            <w:tcBorders>
              <w:top w:val="single" w:sz="4" w:space="0" w:color="auto"/>
              <w:left w:val="single" w:sz="4" w:space="0" w:color="auto"/>
              <w:bottom w:val="single" w:sz="4" w:space="0" w:color="auto"/>
              <w:right w:val="single" w:sz="4" w:space="0" w:color="auto"/>
            </w:tcBorders>
            <w:shd w:val="clear" w:color="auto" w:fill="29527F"/>
            <w:vAlign w:val="center"/>
          </w:tcPr>
          <w:p w14:paraId="03F176CD" w14:textId="1ADF1304" w:rsidR="00A85E73" w:rsidRPr="00373DCC" w:rsidRDefault="00A85E73" w:rsidP="00A85E73">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r w:rsidRPr="00373DCC">
              <w:rPr>
                <w:rFonts w:cs="Arial"/>
                <w:sz w:val="21"/>
              </w:rPr>
              <w:t xml:space="preserve"> Number </w:t>
            </w:r>
            <w:r>
              <w:rPr>
                <w:rFonts w:cs="Arial"/>
                <w:sz w:val="21"/>
              </w:rPr>
              <w:br/>
            </w:r>
            <w:r w:rsidRPr="00373DCC">
              <w:rPr>
                <w:rFonts w:cs="Arial"/>
                <w:sz w:val="21"/>
              </w:rPr>
              <w:t>(% of Total)</w:t>
            </w:r>
          </w:p>
        </w:tc>
        <w:tc>
          <w:tcPr>
            <w:tcW w:w="861" w:type="pct"/>
            <w:tcBorders>
              <w:top w:val="single" w:sz="4" w:space="0" w:color="auto"/>
              <w:left w:val="single" w:sz="4" w:space="0" w:color="auto"/>
              <w:bottom w:val="single" w:sz="4" w:space="0" w:color="auto"/>
              <w:right w:val="single" w:sz="4" w:space="0" w:color="auto"/>
            </w:tcBorders>
            <w:shd w:val="clear" w:color="auto" w:fill="29527F"/>
            <w:vAlign w:val="center"/>
          </w:tcPr>
          <w:p w14:paraId="616748F9" w14:textId="640BEE7F" w:rsidR="00A85E73" w:rsidRPr="00373DCC" w:rsidRDefault="00A85E73" w:rsidP="00A85E73">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r w:rsidRPr="00373DCC">
              <w:rPr>
                <w:rFonts w:cs="Arial"/>
                <w:sz w:val="21"/>
              </w:rPr>
              <w:t xml:space="preserve"> Number </w:t>
            </w:r>
            <w:r>
              <w:rPr>
                <w:rFonts w:cs="Arial"/>
                <w:sz w:val="21"/>
              </w:rPr>
              <w:br/>
            </w:r>
            <w:r w:rsidRPr="00373DCC">
              <w:rPr>
                <w:rFonts w:cs="Arial"/>
                <w:sz w:val="21"/>
              </w:rPr>
              <w:t>(% of Total)</w:t>
            </w:r>
          </w:p>
        </w:tc>
      </w:tr>
      <w:tr w:rsidR="00F2350B" w:rsidRPr="00373DCC" w14:paraId="7DFD562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3C28A2E1"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Applications received</w:t>
            </w:r>
          </w:p>
        </w:tc>
      </w:tr>
      <w:tr w:rsidR="00F2350B" w:rsidRPr="00373DCC" w14:paraId="2753F2D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7ADEC36C"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Technical Master File (TMF)</w:t>
            </w:r>
            <w:r w:rsidRPr="00373DCC">
              <w:rPr>
                <w:rFonts w:eastAsiaTheme="minorHAnsi" w:cs="Arial"/>
                <w:sz w:val="21"/>
                <w:vertAlign w:val="superscript"/>
              </w:rPr>
              <w:t>b</w:t>
            </w:r>
            <w:r w:rsidRPr="00373DCC">
              <w:rPr>
                <w:rFonts w:eastAsiaTheme="minorHAnsi" w:cs="Arial"/>
                <w:sz w:val="21"/>
              </w:rPr>
              <w:t xml:space="preserve"> new</w:t>
            </w:r>
          </w:p>
        </w:tc>
        <w:tc>
          <w:tcPr>
            <w:tcW w:w="800" w:type="pct"/>
            <w:tcBorders>
              <w:top w:val="single" w:sz="4" w:space="0" w:color="002C47"/>
              <w:left w:val="single" w:sz="4" w:space="0" w:color="002C47"/>
              <w:bottom w:val="single" w:sz="4" w:space="0" w:color="002C47"/>
              <w:right w:val="single" w:sz="4" w:space="0" w:color="002C47"/>
            </w:tcBorders>
            <w:vAlign w:val="center"/>
          </w:tcPr>
          <w:p w14:paraId="4EFBFB59"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61" w:type="pct"/>
            <w:tcBorders>
              <w:top w:val="single" w:sz="4" w:space="0" w:color="002C47"/>
              <w:left w:val="single" w:sz="4" w:space="0" w:color="002C47"/>
              <w:bottom w:val="single" w:sz="4" w:space="0" w:color="002C47"/>
              <w:right w:val="single" w:sz="4" w:space="0" w:color="002C47"/>
            </w:tcBorders>
            <w:vAlign w:val="center"/>
          </w:tcPr>
          <w:p w14:paraId="33E65B93"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6041D53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auto"/>
              <w:right w:val="single" w:sz="4" w:space="0" w:color="002C47"/>
            </w:tcBorders>
            <w:vAlign w:val="center"/>
          </w:tcPr>
          <w:p w14:paraId="5A98E7AB"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annual updates</w:t>
            </w:r>
          </w:p>
        </w:tc>
        <w:tc>
          <w:tcPr>
            <w:tcW w:w="800" w:type="pct"/>
            <w:tcBorders>
              <w:top w:val="single" w:sz="4" w:space="0" w:color="002C47"/>
              <w:left w:val="single" w:sz="4" w:space="0" w:color="002C47"/>
              <w:bottom w:val="single" w:sz="4" w:space="0" w:color="auto"/>
              <w:right w:val="single" w:sz="4" w:space="0" w:color="002C47"/>
            </w:tcBorders>
            <w:vAlign w:val="center"/>
          </w:tcPr>
          <w:p w14:paraId="36FC6DB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c>
          <w:tcPr>
            <w:tcW w:w="861" w:type="pct"/>
            <w:tcBorders>
              <w:top w:val="single" w:sz="4" w:space="0" w:color="002C47"/>
              <w:left w:val="single" w:sz="4" w:space="0" w:color="002C47"/>
              <w:bottom w:val="single" w:sz="4" w:space="0" w:color="auto"/>
              <w:right w:val="single" w:sz="4" w:space="0" w:color="002C47"/>
            </w:tcBorders>
            <w:vAlign w:val="center"/>
          </w:tcPr>
          <w:p w14:paraId="0D0A53E9"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(5%)</w:t>
            </w:r>
          </w:p>
        </w:tc>
      </w:tr>
      <w:tr w:rsidR="00F2350B" w:rsidRPr="00373DCC" w14:paraId="58CA965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auto"/>
              <w:bottom w:val="single" w:sz="4" w:space="0" w:color="auto"/>
              <w:right w:val="single" w:sz="4" w:space="0" w:color="auto"/>
            </w:tcBorders>
            <w:vAlign w:val="center"/>
          </w:tcPr>
          <w:p w14:paraId="589E0C21"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variations</w:t>
            </w:r>
          </w:p>
        </w:tc>
        <w:tc>
          <w:tcPr>
            <w:tcW w:w="800" w:type="pct"/>
            <w:tcBorders>
              <w:top w:val="single" w:sz="4" w:space="0" w:color="auto"/>
              <w:left w:val="single" w:sz="4" w:space="0" w:color="auto"/>
              <w:bottom w:val="single" w:sz="4" w:space="0" w:color="auto"/>
              <w:right w:val="single" w:sz="4" w:space="0" w:color="auto"/>
            </w:tcBorders>
            <w:vAlign w:val="center"/>
          </w:tcPr>
          <w:p w14:paraId="424423B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 (6%)</w:t>
            </w:r>
          </w:p>
        </w:tc>
        <w:tc>
          <w:tcPr>
            <w:tcW w:w="861" w:type="pct"/>
            <w:tcBorders>
              <w:top w:val="single" w:sz="4" w:space="0" w:color="auto"/>
              <w:left w:val="single" w:sz="4" w:space="0" w:color="auto"/>
              <w:bottom w:val="single" w:sz="4" w:space="0" w:color="auto"/>
              <w:right w:val="single" w:sz="4" w:space="0" w:color="auto"/>
            </w:tcBorders>
            <w:vAlign w:val="center"/>
          </w:tcPr>
          <w:p w14:paraId="4B1AA8C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 (8%)</w:t>
            </w:r>
          </w:p>
        </w:tc>
      </w:tr>
      <w:tr w:rsidR="00F2350B" w:rsidRPr="00373DCC" w14:paraId="3485E38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auto"/>
              <w:bottom w:val="single" w:sz="4" w:space="0" w:color="auto"/>
              <w:right w:val="single" w:sz="4" w:space="0" w:color="auto"/>
            </w:tcBorders>
            <w:vAlign w:val="center"/>
          </w:tcPr>
          <w:p w14:paraId="6EF66796"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notifications</w:t>
            </w:r>
          </w:p>
        </w:tc>
        <w:tc>
          <w:tcPr>
            <w:tcW w:w="800" w:type="pct"/>
            <w:tcBorders>
              <w:top w:val="single" w:sz="4" w:space="0" w:color="auto"/>
              <w:left w:val="single" w:sz="4" w:space="0" w:color="auto"/>
              <w:bottom w:val="single" w:sz="4" w:space="0" w:color="auto"/>
              <w:right w:val="single" w:sz="4" w:space="0" w:color="auto"/>
            </w:tcBorders>
            <w:vAlign w:val="center"/>
          </w:tcPr>
          <w:p w14:paraId="7DF0D97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(5%)</w:t>
            </w:r>
          </w:p>
        </w:tc>
        <w:tc>
          <w:tcPr>
            <w:tcW w:w="861" w:type="pct"/>
            <w:tcBorders>
              <w:top w:val="single" w:sz="4" w:space="0" w:color="auto"/>
              <w:left w:val="single" w:sz="4" w:space="0" w:color="auto"/>
              <w:bottom w:val="single" w:sz="4" w:space="0" w:color="auto"/>
              <w:right w:val="single" w:sz="4" w:space="0" w:color="auto"/>
            </w:tcBorders>
            <w:vAlign w:val="center"/>
          </w:tcPr>
          <w:p w14:paraId="1BD4246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(9%)</w:t>
            </w:r>
          </w:p>
        </w:tc>
      </w:tr>
      <w:tr w:rsidR="00F2350B" w:rsidRPr="00373DCC" w14:paraId="08DE94D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auto"/>
              <w:bottom w:val="single" w:sz="4" w:space="0" w:color="auto"/>
              <w:right w:val="single" w:sz="4" w:space="0" w:color="auto"/>
            </w:tcBorders>
            <w:vAlign w:val="center"/>
          </w:tcPr>
          <w:p w14:paraId="0F7696E6"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Plasma Master File</w:t>
            </w:r>
            <w:r w:rsidRPr="00373DCC">
              <w:rPr>
                <w:rFonts w:eastAsiaTheme="minorHAnsi" w:cs="Arial"/>
                <w:sz w:val="21"/>
                <w:vertAlign w:val="superscript"/>
              </w:rPr>
              <w:t xml:space="preserve"> c</w:t>
            </w:r>
            <w:r w:rsidRPr="00373DCC">
              <w:rPr>
                <w:rFonts w:eastAsiaTheme="minorHAnsi" w:cs="Arial"/>
                <w:sz w:val="21"/>
              </w:rPr>
              <w:t xml:space="preserve"> annual updates</w:t>
            </w:r>
          </w:p>
        </w:tc>
        <w:tc>
          <w:tcPr>
            <w:tcW w:w="800" w:type="pct"/>
            <w:tcBorders>
              <w:top w:val="single" w:sz="4" w:space="0" w:color="auto"/>
              <w:left w:val="single" w:sz="4" w:space="0" w:color="auto"/>
              <w:bottom w:val="single" w:sz="4" w:space="0" w:color="auto"/>
              <w:right w:val="single" w:sz="4" w:space="0" w:color="auto"/>
            </w:tcBorders>
            <w:vAlign w:val="center"/>
          </w:tcPr>
          <w:p w14:paraId="5387BBC3"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 (11%)</w:t>
            </w:r>
          </w:p>
        </w:tc>
        <w:tc>
          <w:tcPr>
            <w:tcW w:w="861" w:type="pct"/>
            <w:tcBorders>
              <w:top w:val="single" w:sz="4" w:space="0" w:color="auto"/>
              <w:left w:val="single" w:sz="4" w:space="0" w:color="auto"/>
              <w:bottom w:val="single" w:sz="4" w:space="0" w:color="auto"/>
              <w:right w:val="single" w:sz="4" w:space="0" w:color="auto"/>
            </w:tcBorders>
            <w:vAlign w:val="center"/>
          </w:tcPr>
          <w:p w14:paraId="193B0940"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 (8%)</w:t>
            </w:r>
          </w:p>
        </w:tc>
      </w:tr>
      <w:tr w:rsidR="00F2350B" w:rsidRPr="00373DCC" w14:paraId="70D4B0A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auto"/>
              <w:bottom w:val="single" w:sz="4" w:space="0" w:color="auto"/>
              <w:right w:val="single" w:sz="4" w:space="0" w:color="auto"/>
            </w:tcBorders>
            <w:vAlign w:val="center"/>
          </w:tcPr>
          <w:p w14:paraId="5E001B72"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1 – new applications</w:t>
            </w:r>
          </w:p>
        </w:tc>
        <w:tc>
          <w:tcPr>
            <w:tcW w:w="800" w:type="pct"/>
            <w:tcBorders>
              <w:top w:val="single" w:sz="4" w:space="0" w:color="auto"/>
              <w:left w:val="single" w:sz="4" w:space="0" w:color="auto"/>
              <w:bottom w:val="single" w:sz="4" w:space="0" w:color="auto"/>
              <w:right w:val="single" w:sz="4" w:space="0" w:color="auto"/>
            </w:tcBorders>
            <w:vAlign w:val="center"/>
          </w:tcPr>
          <w:p w14:paraId="4529D87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w:t>
            </w:r>
          </w:p>
        </w:tc>
        <w:tc>
          <w:tcPr>
            <w:tcW w:w="861" w:type="pct"/>
            <w:tcBorders>
              <w:top w:val="single" w:sz="4" w:space="0" w:color="auto"/>
              <w:left w:val="single" w:sz="4" w:space="0" w:color="auto"/>
              <w:bottom w:val="single" w:sz="4" w:space="0" w:color="auto"/>
              <w:right w:val="single" w:sz="4" w:space="0" w:color="auto"/>
            </w:tcBorders>
            <w:vAlign w:val="center"/>
          </w:tcPr>
          <w:p w14:paraId="7162A80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3331DCE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auto"/>
              <w:bottom w:val="single" w:sz="4" w:space="0" w:color="auto"/>
              <w:right w:val="single" w:sz="4" w:space="0" w:color="auto"/>
            </w:tcBorders>
            <w:vAlign w:val="center"/>
          </w:tcPr>
          <w:p w14:paraId="2A8961EA"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2 – new applications</w:t>
            </w:r>
          </w:p>
        </w:tc>
        <w:tc>
          <w:tcPr>
            <w:tcW w:w="800" w:type="pct"/>
            <w:tcBorders>
              <w:top w:val="single" w:sz="4" w:space="0" w:color="auto"/>
              <w:left w:val="single" w:sz="4" w:space="0" w:color="auto"/>
              <w:bottom w:val="single" w:sz="4" w:space="0" w:color="auto"/>
              <w:right w:val="single" w:sz="4" w:space="0" w:color="auto"/>
            </w:tcBorders>
            <w:vAlign w:val="center"/>
          </w:tcPr>
          <w:p w14:paraId="737E1BD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(5%)</w:t>
            </w:r>
          </w:p>
        </w:tc>
        <w:tc>
          <w:tcPr>
            <w:tcW w:w="861" w:type="pct"/>
            <w:tcBorders>
              <w:top w:val="single" w:sz="4" w:space="0" w:color="auto"/>
              <w:left w:val="single" w:sz="4" w:space="0" w:color="auto"/>
              <w:bottom w:val="single" w:sz="4" w:space="0" w:color="auto"/>
              <w:right w:val="single" w:sz="4" w:space="0" w:color="auto"/>
            </w:tcBorders>
            <w:vAlign w:val="center"/>
          </w:tcPr>
          <w:p w14:paraId="47FF963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r>
      <w:tr w:rsidR="00F2350B" w:rsidRPr="00373DCC" w14:paraId="338BD277"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002C47"/>
              <w:bottom w:val="single" w:sz="4" w:space="0" w:color="002C47"/>
              <w:right w:val="single" w:sz="4" w:space="0" w:color="002C47"/>
            </w:tcBorders>
            <w:vAlign w:val="center"/>
          </w:tcPr>
          <w:p w14:paraId="1AF42A24"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3 – new applications</w:t>
            </w:r>
          </w:p>
        </w:tc>
        <w:tc>
          <w:tcPr>
            <w:tcW w:w="800" w:type="pct"/>
            <w:tcBorders>
              <w:top w:val="single" w:sz="4" w:space="0" w:color="auto"/>
              <w:left w:val="single" w:sz="4" w:space="0" w:color="002C47"/>
              <w:bottom w:val="single" w:sz="4" w:space="0" w:color="002C47"/>
              <w:right w:val="single" w:sz="4" w:space="0" w:color="002C47"/>
            </w:tcBorders>
            <w:vAlign w:val="center"/>
          </w:tcPr>
          <w:p w14:paraId="24015E9A"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61" w:type="pct"/>
            <w:tcBorders>
              <w:top w:val="single" w:sz="4" w:space="0" w:color="auto"/>
              <w:left w:val="single" w:sz="4" w:space="0" w:color="002C47"/>
              <w:bottom w:val="single" w:sz="4" w:space="0" w:color="002C47"/>
              <w:right w:val="single" w:sz="4" w:space="0" w:color="002C47"/>
            </w:tcBorders>
            <w:vAlign w:val="center"/>
          </w:tcPr>
          <w:p w14:paraId="6397044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3AEC87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002C47"/>
              <w:bottom w:val="single" w:sz="4" w:space="0" w:color="002C47"/>
              <w:right w:val="single" w:sz="4" w:space="0" w:color="002C47"/>
            </w:tcBorders>
            <w:vAlign w:val="center"/>
          </w:tcPr>
          <w:p w14:paraId="1615DB53"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4 – new applications</w:t>
            </w:r>
          </w:p>
        </w:tc>
        <w:tc>
          <w:tcPr>
            <w:tcW w:w="800" w:type="pct"/>
            <w:tcBorders>
              <w:top w:val="single" w:sz="4" w:space="0" w:color="auto"/>
              <w:left w:val="single" w:sz="4" w:space="0" w:color="002C47"/>
              <w:bottom w:val="single" w:sz="4" w:space="0" w:color="002C47"/>
              <w:right w:val="single" w:sz="4" w:space="0" w:color="002C47"/>
            </w:tcBorders>
            <w:vAlign w:val="center"/>
          </w:tcPr>
          <w:p w14:paraId="5F8BCC8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c>
          <w:tcPr>
            <w:tcW w:w="861" w:type="pct"/>
            <w:tcBorders>
              <w:top w:val="single" w:sz="4" w:space="0" w:color="auto"/>
              <w:left w:val="single" w:sz="4" w:space="0" w:color="002C47"/>
              <w:bottom w:val="single" w:sz="4" w:space="0" w:color="002C47"/>
              <w:right w:val="single" w:sz="4" w:space="0" w:color="002C47"/>
            </w:tcBorders>
            <w:vAlign w:val="center"/>
          </w:tcPr>
          <w:p w14:paraId="11332F6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51D7D33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134CE6E8"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2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084300F7"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24 (23%)</w:t>
            </w:r>
          </w:p>
        </w:tc>
        <w:tc>
          <w:tcPr>
            <w:tcW w:w="861" w:type="pct"/>
            <w:tcBorders>
              <w:top w:val="single" w:sz="4" w:space="0" w:color="002C47"/>
              <w:left w:val="single" w:sz="4" w:space="0" w:color="002C47"/>
              <w:bottom w:val="single" w:sz="4" w:space="0" w:color="002C47"/>
              <w:right w:val="single" w:sz="4" w:space="0" w:color="002C47"/>
            </w:tcBorders>
            <w:vAlign w:val="center"/>
          </w:tcPr>
          <w:p w14:paraId="0D88BD6E"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53 (48%)</w:t>
            </w:r>
          </w:p>
        </w:tc>
      </w:tr>
      <w:tr w:rsidR="00F2350B" w:rsidRPr="00373DCC" w14:paraId="3FA62E7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5FCDDB69"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3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7767387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(10%)</w:t>
            </w:r>
          </w:p>
        </w:tc>
        <w:tc>
          <w:tcPr>
            <w:tcW w:w="861" w:type="pct"/>
            <w:tcBorders>
              <w:top w:val="single" w:sz="4" w:space="0" w:color="002C47"/>
              <w:left w:val="single" w:sz="4" w:space="0" w:color="002C47"/>
              <w:bottom w:val="single" w:sz="4" w:space="0" w:color="002C47"/>
              <w:right w:val="single" w:sz="4" w:space="0" w:color="002C47"/>
            </w:tcBorders>
            <w:vAlign w:val="center"/>
          </w:tcPr>
          <w:p w14:paraId="4DEE079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 (6%)</w:t>
            </w:r>
          </w:p>
        </w:tc>
      </w:tr>
      <w:tr w:rsidR="00F2350B" w:rsidRPr="00373DCC" w14:paraId="38333BC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655108FB"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4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70D2742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35 (33%)</w:t>
            </w:r>
          </w:p>
        </w:tc>
        <w:tc>
          <w:tcPr>
            <w:tcW w:w="861" w:type="pct"/>
            <w:tcBorders>
              <w:top w:val="single" w:sz="4" w:space="0" w:color="002C47"/>
              <w:left w:val="single" w:sz="4" w:space="0" w:color="002C47"/>
              <w:bottom w:val="single" w:sz="4" w:space="0" w:color="002C47"/>
              <w:right w:val="single" w:sz="4" w:space="0" w:color="002C47"/>
            </w:tcBorders>
            <w:vAlign w:val="center"/>
          </w:tcPr>
          <w:p w14:paraId="54BED661"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 (14%)</w:t>
            </w:r>
          </w:p>
        </w:tc>
      </w:tr>
      <w:tr w:rsidR="00F2350B" w:rsidRPr="00373DCC" w14:paraId="588CDB6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0881FE6" w14:textId="77777777" w:rsidR="00F2350B" w:rsidRPr="00373DCC" w:rsidRDefault="00F2350B" w:rsidP="00710B91">
            <w:pPr>
              <w:widowControl w:val="0"/>
              <w:spacing w:before="0" w:after="0"/>
              <w:rPr>
                <w:rFonts w:cs="Arial"/>
                <w:sz w:val="21"/>
              </w:rPr>
            </w:pPr>
            <w:r w:rsidRPr="00373DCC">
              <w:rPr>
                <w:rFonts w:cs="Arial"/>
                <w:sz w:val="21"/>
              </w:rPr>
              <w:t>Total received</w:t>
            </w:r>
          </w:p>
        </w:tc>
        <w:tc>
          <w:tcPr>
            <w:tcW w:w="80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13C8AA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104 (100%)</w:t>
            </w:r>
          </w:p>
        </w:tc>
        <w:tc>
          <w:tcPr>
            <w:tcW w:w="861"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A0092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110 (100%)</w:t>
            </w:r>
          </w:p>
        </w:tc>
      </w:tr>
      <w:tr w:rsidR="00F2350B" w:rsidRPr="00373DCC" w14:paraId="7BF0BA2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vAlign w:val="center"/>
          </w:tcPr>
          <w:p w14:paraId="2EC94F37"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Applications on hand</w:t>
            </w:r>
          </w:p>
        </w:tc>
      </w:tr>
      <w:tr w:rsidR="00F2350B" w:rsidRPr="00373DCC" w14:paraId="65499E3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5D2388AB"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new</w:t>
            </w:r>
          </w:p>
        </w:tc>
        <w:tc>
          <w:tcPr>
            <w:tcW w:w="800" w:type="pct"/>
            <w:tcBorders>
              <w:top w:val="single" w:sz="4" w:space="0" w:color="002C47"/>
              <w:left w:val="single" w:sz="4" w:space="0" w:color="002C47"/>
              <w:bottom w:val="single" w:sz="4" w:space="0" w:color="002C47"/>
              <w:right w:val="single" w:sz="4" w:space="0" w:color="002C47"/>
            </w:tcBorders>
            <w:vAlign w:val="center"/>
          </w:tcPr>
          <w:p w14:paraId="373F020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61" w:type="pct"/>
            <w:tcBorders>
              <w:top w:val="single" w:sz="4" w:space="0" w:color="002C47"/>
              <w:left w:val="single" w:sz="4" w:space="0" w:color="002C47"/>
              <w:bottom w:val="single" w:sz="4" w:space="0" w:color="002C47"/>
              <w:right w:val="single" w:sz="4" w:space="0" w:color="002C47"/>
            </w:tcBorders>
            <w:vAlign w:val="center"/>
          </w:tcPr>
          <w:p w14:paraId="073DB4B1"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5C0E3B6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5447EC30"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annual updates</w:t>
            </w:r>
          </w:p>
        </w:tc>
        <w:tc>
          <w:tcPr>
            <w:tcW w:w="800" w:type="pct"/>
            <w:tcBorders>
              <w:top w:val="single" w:sz="4" w:space="0" w:color="002C47"/>
              <w:left w:val="single" w:sz="4" w:space="0" w:color="002C47"/>
              <w:bottom w:val="single" w:sz="4" w:space="0" w:color="002C47"/>
              <w:right w:val="single" w:sz="4" w:space="0" w:color="002C47"/>
            </w:tcBorders>
            <w:vAlign w:val="center"/>
          </w:tcPr>
          <w:p w14:paraId="663CD47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(4%)</w:t>
            </w:r>
          </w:p>
        </w:tc>
        <w:tc>
          <w:tcPr>
            <w:tcW w:w="861" w:type="pct"/>
            <w:tcBorders>
              <w:top w:val="single" w:sz="4" w:space="0" w:color="002C47"/>
              <w:left w:val="single" w:sz="4" w:space="0" w:color="002C47"/>
              <w:bottom w:val="single" w:sz="4" w:space="0" w:color="002C47"/>
              <w:right w:val="single" w:sz="4" w:space="0" w:color="002C47"/>
            </w:tcBorders>
            <w:vAlign w:val="center"/>
          </w:tcPr>
          <w:p w14:paraId="46AFA9B4"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(10%)</w:t>
            </w:r>
          </w:p>
        </w:tc>
      </w:tr>
      <w:tr w:rsidR="00F2350B" w:rsidRPr="00373DCC" w14:paraId="43D3495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2908BBAD"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4F14A19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(9%)</w:t>
            </w:r>
          </w:p>
        </w:tc>
        <w:tc>
          <w:tcPr>
            <w:tcW w:w="861" w:type="pct"/>
            <w:tcBorders>
              <w:top w:val="single" w:sz="4" w:space="0" w:color="002C47"/>
              <w:left w:val="single" w:sz="4" w:space="0" w:color="002C47"/>
              <w:bottom w:val="single" w:sz="4" w:space="0" w:color="002C47"/>
              <w:right w:val="single" w:sz="4" w:space="0" w:color="002C47"/>
            </w:tcBorders>
            <w:vAlign w:val="center"/>
          </w:tcPr>
          <w:p w14:paraId="65889544"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r>
      <w:tr w:rsidR="00F2350B" w:rsidRPr="00373DCC" w14:paraId="032E9D0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1BB251B3"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TMF notifications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22F4FC7F"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(4%)</w:t>
            </w:r>
          </w:p>
        </w:tc>
        <w:tc>
          <w:tcPr>
            <w:tcW w:w="861" w:type="pct"/>
            <w:tcBorders>
              <w:top w:val="single" w:sz="4" w:space="0" w:color="002C47"/>
              <w:left w:val="single" w:sz="4" w:space="0" w:color="002C47"/>
              <w:bottom w:val="single" w:sz="4" w:space="0" w:color="002C47"/>
              <w:right w:val="single" w:sz="4" w:space="0" w:color="002C47"/>
            </w:tcBorders>
            <w:vAlign w:val="center"/>
          </w:tcPr>
          <w:p w14:paraId="2B875E0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(10%)</w:t>
            </w:r>
          </w:p>
        </w:tc>
      </w:tr>
      <w:tr w:rsidR="00F2350B" w:rsidRPr="00373DCC" w14:paraId="1EC92AA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2E4B5D74"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Plasma Master File annual updates</w:t>
            </w:r>
          </w:p>
        </w:tc>
        <w:tc>
          <w:tcPr>
            <w:tcW w:w="800" w:type="pct"/>
            <w:tcBorders>
              <w:top w:val="single" w:sz="4" w:space="0" w:color="002C47"/>
              <w:left w:val="single" w:sz="4" w:space="0" w:color="002C47"/>
              <w:bottom w:val="single" w:sz="4" w:space="0" w:color="002C47"/>
              <w:right w:val="single" w:sz="4" w:space="0" w:color="002C47"/>
            </w:tcBorders>
            <w:vAlign w:val="center"/>
          </w:tcPr>
          <w:p w14:paraId="1C4CF64C"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(9%)</w:t>
            </w:r>
          </w:p>
        </w:tc>
        <w:tc>
          <w:tcPr>
            <w:tcW w:w="861" w:type="pct"/>
            <w:tcBorders>
              <w:top w:val="single" w:sz="4" w:space="0" w:color="002C47"/>
              <w:left w:val="single" w:sz="4" w:space="0" w:color="002C47"/>
              <w:bottom w:val="single" w:sz="4" w:space="0" w:color="002C47"/>
              <w:right w:val="single" w:sz="4" w:space="0" w:color="002C47"/>
            </w:tcBorders>
            <w:vAlign w:val="center"/>
          </w:tcPr>
          <w:p w14:paraId="4F91933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r>
      <w:tr w:rsidR="00F2350B" w:rsidRPr="00373DCC" w14:paraId="348A92C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26770132"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1 – new applications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3E75A68B"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61" w:type="pct"/>
            <w:tcBorders>
              <w:top w:val="single" w:sz="4" w:space="0" w:color="002C47"/>
              <w:left w:val="single" w:sz="4" w:space="0" w:color="002C47"/>
              <w:bottom w:val="single" w:sz="4" w:space="0" w:color="002C47"/>
              <w:right w:val="single" w:sz="4" w:space="0" w:color="002C47"/>
            </w:tcBorders>
            <w:vAlign w:val="center"/>
          </w:tcPr>
          <w:p w14:paraId="4282F1FF"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342A788"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432D157C"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2 – new applications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339E1D4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c>
          <w:tcPr>
            <w:tcW w:w="861" w:type="pct"/>
            <w:tcBorders>
              <w:top w:val="single" w:sz="4" w:space="0" w:color="002C47"/>
              <w:left w:val="single" w:sz="4" w:space="0" w:color="002C47"/>
              <w:bottom w:val="single" w:sz="4" w:space="0" w:color="002C47"/>
              <w:right w:val="single" w:sz="4" w:space="0" w:color="002C47"/>
            </w:tcBorders>
            <w:vAlign w:val="center"/>
          </w:tcPr>
          <w:p w14:paraId="53D6D1F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(10%)</w:t>
            </w:r>
          </w:p>
        </w:tc>
      </w:tr>
      <w:tr w:rsidR="00F2350B" w:rsidRPr="00373DCC" w14:paraId="45E2CAF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5F21F754"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3 – new applications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351A3326"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61" w:type="pct"/>
            <w:tcBorders>
              <w:top w:val="single" w:sz="4" w:space="0" w:color="002C47"/>
              <w:left w:val="single" w:sz="4" w:space="0" w:color="002C47"/>
              <w:bottom w:val="single" w:sz="4" w:space="0" w:color="002C47"/>
              <w:right w:val="single" w:sz="4" w:space="0" w:color="002C47"/>
            </w:tcBorders>
            <w:vAlign w:val="center"/>
          </w:tcPr>
          <w:p w14:paraId="49290648"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2950443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auto"/>
              <w:left w:val="single" w:sz="4" w:space="0" w:color="002C47"/>
              <w:bottom w:val="single" w:sz="4" w:space="0" w:color="002C47"/>
              <w:right w:val="single" w:sz="4" w:space="0" w:color="002C47"/>
            </w:tcBorders>
            <w:vAlign w:val="center"/>
          </w:tcPr>
          <w:p w14:paraId="2890C178"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4 – new applications</w:t>
            </w:r>
          </w:p>
        </w:tc>
        <w:tc>
          <w:tcPr>
            <w:tcW w:w="800" w:type="pct"/>
            <w:tcBorders>
              <w:top w:val="single" w:sz="4" w:space="0" w:color="auto"/>
              <w:left w:val="single" w:sz="4" w:space="0" w:color="002C47"/>
              <w:bottom w:val="single" w:sz="4" w:space="0" w:color="002C47"/>
              <w:right w:val="single" w:sz="4" w:space="0" w:color="002C47"/>
            </w:tcBorders>
            <w:vAlign w:val="center"/>
          </w:tcPr>
          <w:p w14:paraId="545ACF5E"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c>
          <w:tcPr>
            <w:tcW w:w="861" w:type="pct"/>
            <w:tcBorders>
              <w:top w:val="single" w:sz="4" w:space="0" w:color="auto"/>
              <w:left w:val="single" w:sz="4" w:space="0" w:color="002C47"/>
              <w:bottom w:val="single" w:sz="4" w:space="0" w:color="002C47"/>
              <w:right w:val="single" w:sz="4" w:space="0" w:color="002C47"/>
            </w:tcBorders>
            <w:vAlign w:val="center"/>
          </w:tcPr>
          <w:p w14:paraId="3AD21A8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336A9CC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075510E1"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2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65752BA1"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(18%)</w:t>
            </w:r>
          </w:p>
        </w:tc>
        <w:tc>
          <w:tcPr>
            <w:tcW w:w="861" w:type="pct"/>
            <w:tcBorders>
              <w:top w:val="single" w:sz="4" w:space="0" w:color="002C47"/>
              <w:left w:val="single" w:sz="4" w:space="0" w:color="002C47"/>
              <w:bottom w:val="single" w:sz="4" w:space="0" w:color="002C47"/>
              <w:right w:val="single" w:sz="4" w:space="0" w:color="002C47"/>
            </w:tcBorders>
            <w:vAlign w:val="center"/>
          </w:tcPr>
          <w:p w14:paraId="5B17998D"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(24%)</w:t>
            </w:r>
          </w:p>
        </w:tc>
      </w:tr>
      <w:tr w:rsidR="00F2350B" w:rsidRPr="00373DCC" w14:paraId="6B19607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1C0E3180"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3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678DCAD9"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c>
          <w:tcPr>
            <w:tcW w:w="861" w:type="pct"/>
            <w:tcBorders>
              <w:top w:val="single" w:sz="4" w:space="0" w:color="002C47"/>
              <w:left w:val="single" w:sz="4" w:space="0" w:color="002C47"/>
              <w:bottom w:val="single" w:sz="4" w:space="0" w:color="002C47"/>
              <w:right w:val="single" w:sz="4" w:space="0" w:color="002C47"/>
            </w:tcBorders>
            <w:vAlign w:val="center"/>
          </w:tcPr>
          <w:p w14:paraId="45ABCE6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60DD781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vAlign w:val="center"/>
          </w:tcPr>
          <w:p w14:paraId="479781E9"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Biological Class 4 – variations</w:t>
            </w:r>
          </w:p>
        </w:tc>
        <w:tc>
          <w:tcPr>
            <w:tcW w:w="800" w:type="pct"/>
            <w:tcBorders>
              <w:top w:val="single" w:sz="4" w:space="0" w:color="002C47"/>
              <w:left w:val="single" w:sz="4" w:space="0" w:color="002C47"/>
              <w:bottom w:val="single" w:sz="4" w:space="0" w:color="002C47"/>
              <w:right w:val="single" w:sz="4" w:space="0" w:color="002C47"/>
            </w:tcBorders>
            <w:vAlign w:val="center"/>
          </w:tcPr>
          <w:p w14:paraId="1A5FB41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(14%)</w:t>
            </w:r>
          </w:p>
        </w:tc>
        <w:tc>
          <w:tcPr>
            <w:tcW w:w="861" w:type="pct"/>
            <w:tcBorders>
              <w:top w:val="single" w:sz="4" w:space="0" w:color="002C47"/>
              <w:left w:val="single" w:sz="4" w:space="0" w:color="002C47"/>
              <w:bottom w:val="single" w:sz="4" w:space="0" w:color="002C47"/>
              <w:right w:val="single" w:sz="4" w:space="0" w:color="002C47"/>
            </w:tcBorders>
            <w:vAlign w:val="center"/>
          </w:tcPr>
          <w:p w14:paraId="648BC3A5"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(19%)</w:t>
            </w:r>
          </w:p>
        </w:tc>
      </w:tr>
      <w:tr w:rsidR="00F2350B" w:rsidRPr="00373DCC" w14:paraId="63E4B3A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3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B55F54F" w14:textId="77777777" w:rsidR="00F2350B" w:rsidRPr="00373DCC" w:rsidRDefault="00F2350B" w:rsidP="00710B91">
            <w:pPr>
              <w:widowControl w:val="0"/>
              <w:spacing w:before="0" w:after="0"/>
              <w:rPr>
                <w:rFonts w:cs="Arial"/>
                <w:sz w:val="21"/>
              </w:rPr>
            </w:pPr>
            <w:r w:rsidRPr="00373DCC">
              <w:rPr>
                <w:rFonts w:cs="Arial"/>
                <w:sz w:val="21"/>
              </w:rPr>
              <w:t>Total on hand</w:t>
            </w:r>
          </w:p>
        </w:tc>
        <w:tc>
          <w:tcPr>
            <w:tcW w:w="80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BB0AC72" w14:textId="77777777" w:rsidR="00F2350B" w:rsidRPr="00373DCC" w:rsidRDefault="00F2350B" w:rsidP="00710B91">
            <w:pPr>
              <w:widowControl w:val="0"/>
              <w:tabs>
                <w:tab w:val="center" w:pos="654"/>
                <w:tab w:val="right" w:pos="1195"/>
              </w:tabs>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23 (100%)</w:t>
            </w:r>
          </w:p>
        </w:tc>
        <w:tc>
          <w:tcPr>
            <w:tcW w:w="861"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3D45599"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 (100%)</w:t>
            </w:r>
          </w:p>
        </w:tc>
      </w:tr>
    </w:tbl>
    <w:p w14:paraId="57CD3582"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 </w:t>
      </w:r>
      <w:r w:rsidRPr="00373DCC">
        <w:rPr>
          <w:rFonts w:eastAsia="Cambria" w:cs="Arial"/>
          <w:i/>
          <w:sz w:val="16"/>
          <w:szCs w:val="16"/>
        </w:rPr>
        <w:t>Australian Regulatory Guidelines for Biologicals</w:t>
      </w:r>
      <w:r w:rsidRPr="00373DCC">
        <w:rPr>
          <w:rFonts w:eastAsia="Cambria" w:cs="Arial"/>
          <w:sz w:val="16"/>
          <w:szCs w:val="16"/>
        </w:rPr>
        <w:t xml:space="preserve"> (published on our </w:t>
      </w:r>
      <w:hyperlink r:id="rId47" w:history="1">
        <w:r w:rsidRPr="00373DCC">
          <w:rPr>
            <w:rFonts w:eastAsia="Cambria" w:cs="Arial"/>
            <w:color w:val="004672" w:themeColor="text2" w:themeTint="E6"/>
            <w:sz w:val="16"/>
            <w:szCs w:val="16"/>
            <w:u w:val="single"/>
          </w:rPr>
          <w:t>website</w:t>
        </w:r>
      </w:hyperlink>
      <w:r w:rsidRPr="00373DCC">
        <w:rPr>
          <w:rFonts w:eastAsia="Cambria" w:cs="Arial"/>
          <w:sz w:val="16"/>
          <w:szCs w:val="16"/>
        </w:rPr>
        <w:t>) define the different biological classes.</w:t>
      </w:r>
    </w:p>
    <w:p w14:paraId="768A9144"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 xml:space="preserve">b </w:t>
      </w:r>
      <w:r w:rsidRPr="00373DCC">
        <w:rPr>
          <w:rFonts w:eastAsia="Cambria" w:cs="Arial"/>
          <w:sz w:val="16"/>
          <w:szCs w:val="16"/>
        </w:rPr>
        <w:t>Technical Master Files (TMF) contain information from manufacturers that demonstrate how product safety and quality standards have been met for Blood, Blood Components and Haematopoietic Progenitor Cells.</w:t>
      </w:r>
    </w:p>
    <w:p w14:paraId="3CF3E420"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 xml:space="preserve">c </w:t>
      </w:r>
      <w:r w:rsidRPr="00373DCC">
        <w:rPr>
          <w:rFonts w:eastAsia="Cambria" w:cs="Arial"/>
          <w:sz w:val="16"/>
          <w:szCs w:val="16"/>
        </w:rPr>
        <w:t>Plasma Master Files contain control strategies that ensure the quality and safety of plasma, from collection through to plasma pooling prior to fractionation and including donor selection criteria and testing, which are part of medicinal products or medical devices.</w:t>
      </w:r>
    </w:p>
    <w:p w14:paraId="7383745E" w14:textId="77777777" w:rsidR="00F2350B" w:rsidRPr="00373DCC" w:rsidRDefault="00F2350B" w:rsidP="00F2350B">
      <w:pPr>
        <w:keepNext/>
        <w:spacing w:before="240" w:after="120" w:line="240" w:lineRule="auto"/>
        <w:rPr>
          <w:rFonts w:eastAsia="Cambria" w:cs="Arial"/>
          <w:b/>
          <w:bCs/>
          <w:sz w:val="21"/>
          <w:szCs w:val="21"/>
        </w:rPr>
      </w:pPr>
      <w:bookmarkStart w:id="157" w:name="Table34"/>
      <w:r w:rsidRPr="00373DCC">
        <w:rPr>
          <w:rFonts w:eastAsia="Cambria" w:cs="Arial"/>
          <w:b/>
          <w:bCs/>
          <w:sz w:val="21"/>
          <w:szCs w:val="21"/>
        </w:rPr>
        <w:lastRenderedPageBreak/>
        <w:t>Table 34: Completed applications for biologicals and blood</w:t>
      </w:r>
    </w:p>
    <w:tbl>
      <w:tblPr>
        <w:tblStyle w:val="TableTGAblue"/>
        <w:tblW w:w="5000" w:type="pct"/>
        <w:tblLook w:val="04A0" w:firstRow="1" w:lastRow="0" w:firstColumn="1" w:lastColumn="0" w:noHBand="0" w:noVBand="1"/>
      </w:tblPr>
      <w:tblGrid>
        <w:gridCol w:w="5954"/>
        <w:gridCol w:w="1559"/>
        <w:gridCol w:w="1508"/>
      </w:tblGrid>
      <w:tr w:rsidR="009E4200" w:rsidRPr="00373DCC" w14:paraId="00BCF88B" w14:textId="77777777" w:rsidTr="00A85E73">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nil"/>
              <w:left w:val="nil"/>
              <w:right w:val="single" w:sz="4" w:space="0" w:color="auto"/>
            </w:tcBorders>
            <w:shd w:val="clear" w:color="auto" w:fill="29527F"/>
            <w:vAlign w:val="center"/>
          </w:tcPr>
          <w:bookmarkEnd w:id="157"/>
          <w:p w14:paraId="151424B3" w14:textId="7ED965A0" w:rsidR="009E4200" w:rsidRPr="00373DCC" w:rsidRDefault="00A85E73" w:rsidP="00A85E73">
            <w:pPr>
              <w:widowControl w:val="0"/>
              <w:spacing w:before="0" w:after="0" w:line="240" w:lineRule="atLeast"/>
              <w:contextualSpacing/>
              <w:rPr>
                <w:rFonts w:eastAsiaTheme="minorHAnsi" w:cs="Arial"/>
                <w:sz w:val="21"/>
              </w:rPr>
            </w:pPr>
            <w:r w:rsidRPr="00373DCC">
              <w:rPr>
                <w:rFonts w:cs="Arial"/>
                <w:sz w:val="21"/>
              </w:rPr>
              <w:t>Biologicals applications</w:t>
            </w:r>
            <w:r w:rsidR="009E4200" w:rsidRPr="00373DCC">
              <w:rPr>
                <w:rFonts w:eastAsiaTheme="minorHAnsi" w:cs="Arial"/>
                <w:sz w:val="21"/>
              </w:rPr>
              <w:t xml:space="preserve"> </w:t>
            </w:r>
          </w:p>
        </w:tc>
        <w:tc>
          <w:tcPr>
            <w:tcW w:w="864" w:type="pct"/>
            <w:tcBorders>
              <w:top w:val="single" w:sz="4" w:space="0" w:color="auto"/>
              <w:left w:val="single" w:sz="4" w:space="0" w:color="auto"/>
              <w:bottom w:val="single" w:sz="4" w:space="0" w:color="auto"/>
              <w:right w:val="single" w:sz="4" w:space="0" w:color="auto"/>
            </w:tcBorders>
            <w:shd w:val="clear" w:color="auto" w:fill="29527F"/>
            <w:vAlign w:val="center"/>
          </w:tcPr>
          <w:p w14:paraId="40D0A5E4" w14:textId="34B91DCB" w:rsidR="009E4200"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r w:rsidR="00A85E73" w:rsidRPr="00373DCC">
              <w:rPr>
                <w:rFonts w:cs="Arial"/>
                <w:sz w:val="21"/>
              </w:rPr>
              <w:t xml:space="preserve"> Number </w:t>
            </w:r>
            <w:r w:rsidR="00A85E73">
              <w:rPr>
                <w:rFonts w:cs="Arial"/>
                <w:sz w:val="21"/>
              </w:rPr>
              <w:br/>
            </w:r>
            <w:r w:rsidR="00A85E73" w:rsidRPr="00373DCC">
              <w:rPr>
                <w:rFonts w:cs="Arial"/>
                <w:sz w:val="21"/>
              </w:rPr>
              <w:t>(% of Total)</w:t>
            </w:r>
          </w:p>
        </w:tc>
        <w:tc>
          <w:tcPr>
            <w:tcW w:w="836" w:type="pct"/>
            <w:tcBorders>
              <w:top w:val="single" w:sz="4" w:space="0" w:color="auto"/>
              <w:left w:val="single" w:sz="4" w:space="0" w:color="auto"/>
              <w:bottom w:val="single" w:sz="4" w:space="0" w:color="auto"/>
              <w:right w:val="single" w:sz="4" w:space="0" w:color="auto"/>
            </w:tcBorders>
            <w:shd w:val="clear" w:color="auto" w:fill="29527F"/>
            <w:vAlign w:val="center"/>
          </w:tcPr>
          <w:p w14:paraId="1F7904E1" w14:textId="3332EC1B" w:rsidR="009E4200"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r w:rsidR="00A85E73" w:rsidRPr="00373DCC">
              <w:rPr>
                <w:rFonts w:cs="Arial"/>
                <w:sz w:val="21"/>
              </w:rPr>
              <w:t xml:space="preserve"> Number </w:t>
            </w:r>
            <w:r w:rsidR="00A85E73">
              <w:rPr>
                <w:rFonts w:cs="Arial"/>
                <w:sz w:val="21"/>
              </w:rPr>
              <w:br/>
            </w:r>
            <w:r w:rsidR="00A85E73" w:rsidRPr="00373DCC">
              <w:rPr>
                <w:rFonts w:cs="Arial"/>
                <w:sz w:val="21"/>
              </w:rPr>
              <w:t>(% of Total)</w:t>
            </w:r>
          </w:p>
        </w:tc>
      </w:tr>
      <w:tr w:rsidR="00F2350B" w:rsidRPr="00373DCC" w14:paraId="629A4D0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auto"/>
              <w:left w:val="single" w:sz="4" w:space="0" w:color="002C47"/>
              <w:bottom w:val="single" w:sz="4" w:space="0" w:color="002C47"/>
              <w:right w:val="single" w:sz="4" w:space="0" w:color="002C47"/>
            </w:tcBorders>
            <w:shd w:val="clear" w:color="auto" w:fill="FFFFFF" w:themeFill="background1"/>
            <w:vAlign w:val="center"/>
          </w:tcPr>
          <w:p w14:paraId="4C442B08" w14:textId="77777777" w:rsidR="00F2350B" w:rsidRPr="00373DCC" w:rsidRDefault="00F2350B" w:rsidP="00710B91">
            <w:pPr>
              <w:widowControl w:val="0"/>
              <w:spacing w:before="0" w:after="0" w:line="240" w:lineRule="atLeast"/>
              <w:rPr>
                <w:rFonts w:cs="Arial"/>
                <w:sz w:val="21"/>
              </w:rPr>
            </w:pPr>
            <w:r w:rsidRPr="00373DCC">
              <w:rPr>
                <w:rFonts w:cs="Arial"/>
                <w:sz w:val="21"/>
              </w:rPr>
              <w:t>Technical Master File (TMF) new</w:t>
            </w:r>
          </w:p>
        </w:tc>
        <w:tc>
          <w:tcPr>
            <w:tcW w:w="864" w:type="pct"/>
            <w:tcBorders>
              <w:top w:val="single" w:sz="4" w:space="0" w:color="auto"/>
              <w:left w:val="single" w:sz="4" w:space="0" w:color="002C47"/>
              <w:bottom w:val="single" w:sz="4" w:space="0" w:color="002C47"/>
              <w:right w:val="single" w:sz="4" w:space="0" w:color="002C47"/>
            </w:tcBorders>
            <w:vAlign w:val="center"/>
          </w:tcPr>
          <w:p w14:paraId="6E33AE7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36" w:type="pct"/>
            <w:tcBorders>
              <w:top w:val="single" w:sz="4" w:space="0" w:color="auto"/>
              <w:left w:val="single" w:sz="4" w:space="0" w:color="002C47"/>
              <w:bottom w:val="single" w:sz="4" w:space="0" w:color="002C47"/>
              <w:right w:val="single" w:sz="4" w:space="0" w:color="002C47"/>
            </w:tcBorders>
            <w:vAlign w:val="center"/>
          </w:tcPr>
          <w:p w14:paraId="4FB80B6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34D1B23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548AD55F" w14:textId="77777777" w:rsidR="00F2350B" w:rsidRPr="00373DCC" w:rsidRDefault="00F2350B" w:rsidP="00710B91">
            <w:pPr>
              <w:widowControl w:val="0"/>
              <w:spacing w:before="0" w:after="0" w:line="240" w:lineRule="atLeast"/>
              <w:rPr>
                <w:rFonts w:cs="Arial"/>
                <w:sz w:val="21"/>
              </w:rPr>
            </w:pPr>
            <w:r w:rsidRPr="00373DCC">
              <w:rPr>
                <w:rFonts w:cs="Arial"/>
                <w:sz w:val="21"/>
              </w:rPr>
              <w:t>TMF annual updates</w:t>
            </w:r>
          </w:p>
        </w:tc>
        <w:tc>
          <w:tcPr>
            <w:tcW w:w="864" w:type="pct"/>
            <w:tcBorders>
              <w:top w:val="single" w:sz="4" w:space="0" w:color="002C47"/>
              <w:left w:val="single" w:sz="4" w:space="0" w:color="002C47"/>
              <w:bottom w:val="single" w:sz="4" w:space="0" w:color="002C47"/>
              <w:right w:val="single" w:sz="4" w:space="0" w:color="002C47"/>
            </w:tcBorders>
            <w:vAlign w:val="center"/>
          </w:tcPr>
          <w:p w14:paraId="6D287BB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c>
          <w:tcPr>
            <w:tcW w:w="836" w:type="pct"/>
            <w:tcBorders>
              <w:top w:val="single" w:sz="4" w:space="0" w:color="002C47"/>
              <w:left w:val="single" w:sz="4" w:space="0" w:color="002C47"/>
              <w:bottom w:val="single" w:sz="4" w:space="0" w:color="002C47"/>
              <w:right w:val="single" w:sz="4" w:space="0" w:color="002C47"/>
            </w:tcBorders>
            <w:vAlign w:val="center"/>
          </w:tcPr>
          <w:p w14:paraId="451E41D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523838D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6BAE0C1E" w14:textId="77777777" w:rsidR="00F2350B" w:rsidRPr="00373DCC" w:rsidRDefault="00F2350B" w:rsidP="00710B91">
            <w:pPr>
              <w:widowControl w:val="0"/>
              <w:spacing w:before="0" w:after="0" w:line="240" w:lineRule="atLeast"/>
              <w:rPr>
                <w:rFonts w:cs="Arial"/>
                <w:sz w:val="21"/>
              </w:rPr>
            </w:pPr>
            <w:r w:rsidRPr="00373DCC">
              <w:rPr>
                <w:rFonts w:cs="Arial"/>
                <w:sz w:val="21"/>
              </w:rPr>
              <w:t>TMF variations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0F13C09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(4%)</w:t>
            </w:r>
          </w:p>
        </w:tc>
        <w:tc>
          <w:tcPr>
            <w:tcW w:w="836" w:type="pct"/>
            <w:tcBorders>
              <w:top w:val="single" w:sz="4" w:space="0" w:color="002C47"/>
              <w:left w:val="single" w:sz="4" w:space="0" w:color="002C47"/>
              <w:bottom w:val="single" w:sz="4" w:space="0" w:color="002C47"/>
              <w:right w:val="single" w:sz="4" w:space="0" w:color="002C47"/>
            </w:tcBorders>
            <w:vAlign w:val="center"/>
          </w:tcPr>
          <w:p w14:paraId="03CFB3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 (7%)</w:t>
            </w:r>
          </w:p>
        </w:tc>
      </w:tr>
      <w:tr w:rsidR="00F2350B" w:rsidRPr="00373DCC" w14:paraId="68FF1A0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51EA5538" w14:textId="77777777" w:rsidR="00F2350B" w:rsidRPr="00373DCC" w:rsidRDefault="00F2350B" w:rsidP="00710B91">
            <w:pPr>
              <w:widowControl w:val="0"/>
              <w:spacing w:before="0" w:after="0" w:line="240" w:lineRule="atLeast"/>
              <w:rPr>
                <w:rFonts w:cs="Arial"/>
                <w:sz w:val="21"/>
              </w:rPr>
            </w:pPr>
            <w:r w:rsidRPr="00373DCC">
              <w:rPr>
                <w:rFonts w:cs="Arial"/>
                <w:sz w:val="21"/>
              </w:rPr>
              <w:t>TMF notifications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25D4248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(4%)</w:t>
            </w:r>
          </w:p>
        </w:tc>
        <w:tc>
          <w:tcPr>
            <w:tcW w:w="836" w:type="pct"/>
            <w:tcBorders>
              <w:top w:val="single" w:sz="4" w:space="0" w:color="002C47"/>
              <w:left w:val="single" w:sz="4" w:space="0" w:color="002C47"/>
              <w:bottom w:val="single" w:sz="4" w:space="0" w:color="002C47"/>
              <w:right w:val="single" w:sz="4" w:space="0" w:color="002C47"/>
            </w:tcBorders>
            <w:vAlign w:val="center"/>
          </w:tcPr>
          <w:p w14:paraId="5689369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(10%)</w:t>
            </w:r>
          </w:p>
        </w:tc>
      </w:tr>
      <w:tr w:rsidR="00F2350B" w:rsidRPr="00373DCC" w14:paraId="010C8EC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1D95CDEB" w14:textId="77777777" w:rsidR="00F2350B" w:rsidRPr="00373DCC" w:rsidRDefault="00F2350B" w:rsidP="00710B91">
            <w:pPr>
              <w:widowControl w:val="0"/>
              <w:spacing w:before="0" w:after="0" w:line="240" w:lineRule="atLeast"/>
              <w:rPr>
                <w:rFonts w:cs="Arial"/>
                <w:sz w:val="21"/>
              </w:rPr>
            </w:pPr>
            <w:r w:rsidRPr="00373DCC">
              <w:rPr>
                <w:rFonts w:cs="Arial"/>
                <w:sz w:val="21"/>
              </w:rPr>
              <w:t>Plasma Master File annual updates</w:t>
            </w:r>
          </w:p>
        </w:tc>
        <w:tc>
          <w:tcPr>
            <w:tcW w:w="864" w:type="pct"/>
            <w:tcBorders>
              <w:top w:val="single" w:sz="4" w:space="0" w:color="002C47"/>
              <w:left w:val="single" w:sz="4" w:space="0" w:color="002C47"/>
              <w:bottom w:val="single" w:sz="4" w:space="0" w:color="002C47"/>
              <w:right w:val="single" w:sz="4" w:space="0" w:color="002C47"/>
            </w:tcBorders>
            <w:vAlign w:val="center"/>
          </w:tcPr>
          <w:p w14:paraId="1709684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(11%)</w:t>
            </w:r>
          </w:p>
        </w:tc>
        <w:tc>
          <w:tcPr>
            <w:tcW w:w="836" w:type="pct"/>
            <w:tcBorders>
              <w:top w:val="single" w:sz="4" w:space="0" w:color="002C47"/>
              <w:left w:val="single" w:sz="4" w:space="0" w:color="002C47"/>
              <w:bottom w:val="single" w:sz="4" w:space="0" w:color="002C47"/>
              <w:right w:val="single" w:sz="4" w:space="0" w:color="002C47"/>
            </w:tcBorders>
            <w:vAlign w:val="center"/>
          </w:tcPr>
          <w:p w14:paraId="5EF1E5D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 (6%)</w:t>
            </w:r>
          </w:p>
        </w:tc>
      </w:tr>
      <w:tr w:rsidR="00F2350B" w:rsidRPr="00373DCC" w14:paraId="381B2DE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59CF32CD"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1 – new applications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7CDCC4A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w:t>
            </w:r>
          </w:p>
        </w:tc>
        <w:tc>
          <w:tcPr>
            <w:tcW w:w="836" w:type="pct"/>
            <w:tcBorders>
              <w:top w:val="single" w:sz="4" w:space="0" w:color="002C47"/>
              <w:left w:val="single" w:sz="4" w:space="0" w:color="002C47"/>
              <w:bottom w:val="single" w:sz="4" w:space="0" w:color="002C47"/>
              <w:right w:val="single" w:sz="4" w:space="0" w:color="002C47"/>
            </w:tcBorders>
            <w:vAlign w:val="center"/>
          </w:tcPr>
          <w:p w14:paraId="3C7037D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C51689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05BD38B0"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2 – new applications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473460C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c>
          <w:tcPr>
            <w:tcW w:w="836" w:type="pct"/>
            <w:tcBorders>
              <w:top w:val="single" w:sz="4" w:space="0" w:color="002C47"/>
              <w:left w:val="single" w:sz="4" w:space="0" w:color="002C47"/>
              <w:bottom w:val="single" w:sz="4" w:space="0" w:color="002C47"/>
              <w:right w:val="single" w:sz="4" w:space="0" w:color="002C47"/>
            </w:tcBorders>
            <w:vAlign w:val="center"/>
          </w:tcPr>
          <w:p w14:paraId="3F71658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r>
      <w:tr w:rsidR="00F2350B" w:rsidRPr="00373DCC" w14:paraId="1453E37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5A27A7E0"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3 – new applications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3E602FF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836" w:type="pct"/>
            <w:tcBorders>
              <w:top w:val="single" w:sz="4" w:space="0" w:color="002C47"/>
              <w:left w:val="single" w:sz="4" w:space="0" w:color="002C47"/>
              <w:bottom w:val="single" w:sz="4" w:space="0" w:color="002C47"/>
              <w:right w:val="single" w:sz="4" w:space="0" w:color="002C47"/>
            </w:tcBorders>
            <w:vAlign w:val="center"/>
          </w:tcPr>
          <w:p w14:paraId="0B1DE12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17B9F8A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auto"/>
              <w:left w:val="single" w:sz="4" w:space="0" w:color="002C47"/>
              <w:bottom w:val="single" w:sz="4" w:space="0" w:color="002C47"/>
              <w:right w:val="single" w:sz="4" w:space="0" w:color="002C47"/>
            </w:tcBorders>
            <w:vAlign w:val="center"/>
          </w:tcPr>
          <w:p w14:paraId="7149686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Biological Class 4 – new applications</w:t>
            </w:r>
          </w:p>
        </w:tc>
        <w:tc>
          <w:tcPr>
            <w:tcW w:w="864" w:type="pct"/>
            <w:tcBorders>
              <w:top w:val="single" w:sz="4" w:space="0" w:color="auto"/>
              <w:left w:val="single" w:sz="4" w:space="0" w:color="002C47"/>
              <w:bottom w:val="single" w:sz="4" w:space="0" w:color="002C47"/>
              <w:right w:val="single" w:sz="4" w:space="0" w:color="002C47"/>
            </w:tcBorders>
            <w:vAlign w:val="center"/>
          </w:tcPr>
          <w:p w14:paraId="2837F98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w:t>
            </w:r>
          </w:p>
        </w:tc>
        <w:tc>
          <w:tcPr>
            <w:tcW w:w="836" w:type="pct"/>
            <w:tcBorders>
              <w:top w:val="single" w:sz="4" w:space="0" w:color="auto"/>
              <w:left w:val="single" w:sz="4" w:space="0" w:color="002C47"/>
              <w:bottom w:val="single" w:sz="4" w:space="0" w:color="002C47"/>
              <w:right w:val="single" w:sz="4" w:space="0" w:color="002C47"/>
            </w:tcBorders>
            <w:vAlign w:val="center"/>
          </w:tcPr>
          <w:p w14:paraId="066CD1D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1E30796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5483C05B"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2 – variations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5D773FA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 (22%)</w:t>
            </w:r>
          </w:p>
        </w:tc>
        <w:tc>
          <w:tcPr>
            <w:tcW w:w="836" w:type="pct"/>
            <w:tcBorders>
              <w:top w:val="single" w:sz="4" w:space="0" w:color="002C47"/>
              <w:left w:val="single" w:sz="4" w:space="0" w:color="002C47"/>
              <w:bottom w:val="single" w:sz="4" w:space="0" w:color="002C47"/>
              <w:right w:val="single" w:sz="4" w:space="0" w:color="002C47"/>
            </w:tcBorders>
            <w:vAlign w:val="center"/>
          </w:tcPr>
          <w:p w14:paraId="42D2707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 (48%)</w:t>
            </w:r>
          </w:p>
        </w:tc>
      </w:tr>
      <w:tr w:rsidR="00F2350B" w:rsidRPr="00373DCC" w14:paraId="6370A07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44AEB398"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3 – variations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7D2CB11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 (13%)</w:t>
            </w:r>
          </w:p>
        </w:tc>
        <w:tc>
          <w:tcPr>
            <w:tcW w:w="836" w:type="pct"/>
            <w:tcBorders>
              <w:top w:val="single" w:sz="4" w:space="0" w:color="002C47"/>
              <w:left w:val="single" w:sz="4" w:space="0" w:color="002C47"/>
              <w:bottom w:val="single" w:sz="4" w:space="0" w:color="002C47"/>
              <w:right w:val="single" w:sz="4" w:space="0" w:color="002C47"/>
            </w:tcBorders>
            <w:vAlign w:val="center"/>
          </w:tcPr>
          <w:p w14:paraId="3693E97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 (7%)</w:t>
            </w:r>
          </w:p>
        </w:tc>
      </w:tr>
      <w:tr w:rsidR="00F2350B" w:rsidRPr="00373DCC" w14:paraId="24F92BA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vAlign w:val="center"/>
          </w:tcPr>
          <w:p w14:paraId="72CA044C" w14:textId="77777777" w:rsidR="00F2350B" w:rsidRPr="00373DCC" w:rsidRDefault="00F2350B" w:rsidP="00710B91">
            <w:pPr>
              <w:widowControl w:val="0"/>
              <w:spacing w:before="0" w:after="0" w:line="240" w:lineRule="atLeast"/>
              <w:rPr>
                <w:rFonts w:cs="Arial"/>
                <w:sz w:val="21"/>
              </w:rPr>
            </w:pPr>
            <w:r w:rsidRPr="00373DCC">
              <w:rPr>
                <w:rFonts w:cs="Arial"/>
                <w:sz w:val="21"/>
              </w:rPr>
              <w:t>Biological Class 4 – variations</w:t>
            </w:r>
          </w:p>
        </w:tc>
        <w:tc>
          <w:tcPr>
            <w:tcW w:w="864" w:type="pct"/>
            <w:tcBorders>
              <w:top w:val="single" w:sz="4" w:space="0" w:color="002C47"/>
              <w:left w:val="single" w:sz="4" w:space="0" w:color="002C47"/>
              <w:bottom w:val="single" w:sz="4" w:space="0" w:color="002C47"/>
              <w:right w:val="single" w:sz="4" w:space="0" w:color="002C47"/>
            </w:tcBorders>
            <w:vAlign w:val="center"/>
          </w:tcPr>
          <w:p w14:paraId="4B13C17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35 (39%)</w:t>
            </w:r>
          </w:p>
        </w:tc>
        <w:tc>
          <w:tcPr>
            <w:tcW w:w="836" w:type="pct"/>
            <w:tcBorders>
              <w:top w:val="single" w:sz="4" w:space="0" w:color="002C47"/>
              <w:left w:val="single" w:sz="4" w:space="0" w:color="002C47"/>
              <w:bottom w:val="single" w:sz="4" w:space="0" w:color="002C47"/>
              <w:right w:val="single" w:sz="4" w:space="0" w:color="002C47"/>
            </w:tcBorders>
            <w:vAlign w:val="center"/>
          </w:tcPr>
          <w:p w14:paraId="4FF27ED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 (16%)</w:t>
            </w:r>
          </w:p>
        </w:tc>
      </w:tr>
      <w:tr w:rsidR="00F2350B" w:rsidRPr="00373DCC" w14:paraId="016AB07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0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60C0022"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Total completed</w:t>
            </w:r>
          </w:p>
        </w:tc>
        <w:tc>
          <w:tcPr>
            <w:tcW w:w="864"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56DCBC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91 (100%)</w:t>
            </w:r>
          </w:p>
        </w:tc>
        <w:tc>
          <w:tcPr>
            <w:tcW w:w="83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02E75D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105 (100%)</w:t>
            </w:r>
          </w:p>
        </w:tc>
      </w:tr>
    </w:tbl>
    <w:p w14:paraId="74FF8689" w14:textId="77777777" w:rsidR="00F2350B" w:rsidRPr="00373DCC" w:rsidRDefault="00F2350B" w:rsidP="00F2350B">
      <w:pPr>
        <w:keepNext/>
        <w:keepLines/>
        <w:spacing w:after="0" w:line="240" w:lineRule="auto"/>
        <w:outlineLvl w:val="0"/>
        <w:rPr>
          <w:rFonts w:eastAsiaTheme="majorEastAsia" w:cs="Arial"/>
          <w:b/>
          <w:color w:val="00348C" w:themeColor="accent1" w:themeShade="BF"/>
          <w:szCs w:val="22"/>
          <w:lang w:eastAsia="en-AU"/>
        </w:rPr>
      </w:pPr>
    </w:p>
    <w:p w14:paraId="09D92B69" w14:textId="77777777" w:rsidR="00F2350B" w:rsidRPr="00373DCC" w:rsidRDefault="00F2350B" w:rsidP="00F2350B">
      <w:pPr>
        <w:spacing w:before="0" w:after="160" w:line="259" w:lineRule="auto"/>
        <w:rPr>
          <w:rFonts w:eastAsiaTheme="majorEastAsia" w:cs="Arial"/>
          <w:b/>
          <w:color w:val="00348C" w:themeColor="accent1" w:themeShade="BF"/>
          <w:szCs w:val="22"/>
          <w:lang w:eastAsia="en-AU"/>
        </w:rPr>
      </w:pPr>
      <w:r w:rsidRPr="00373DCC">
        <w:rPr>
          <w:rFonts w:eastAsiaTheme="majorEastAsia" w:cs="Arial"/>
          <w:b/>
          <w:color w:val="00348C" w:themeColor="accent1" w:themeShade="BF"/>
          <w:szCs w:val="22"/>
          <w:lang w:eastAsia="en-AU"/>
        </w:rPr>
        <w:br w:type="page"/>
      </w:r>
    </w:p>
    <w:p w14:paraId="6B6320E7"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158" w:name="_Toc153550470"/>
      <w:r w:rsidRPr="00373DCC">
        <w:rPr>
          <w:rFonts w:eastAsiaTheme="majorEastAsia" w:cs="Arial"/>
          <w:b/>
          <w:color w:val="00348C" w:themeColor="accent1" w:themeShade="BF"/>
          <w:sz w:val="28"/>
          <w:szCs w:val="28"/>
          <w:lang w:eastAsia="en-AU"/>
        </w:rPr>
        <w:lastRenderedPageBreak/>
        <w:t>7. Medicine and Vaccine Adverse Event Reports</w:t>
      </w:r>
      <w:bookmarkEnd w:id="158"/>
    </w:p>
    <w:p w14:paraId="54F21BE1"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159" w:name="_Toc153441492"/>
      <w:bookmarkStart w:id="160" w:name="_Toc153441643"/>
      <w:bookmarkStart w:id="161" w:name="_Toc153550158"/>
      <w:bookmarkStart w:id="162" w:name="_Toc153550322"/>
      <w:bookmarkStart w:id="163" w:name="_Toc153550471"/>
      <w:bookmarkEnd w:id="159"/>
      <w:bookmarkEnd w:id="160"/>
      <w:bookmarkEnd w:id="161"/>
      <w:bookmarkEnd w:id="162"/>
      <w:bookmarkEnd w:id="163"/>
    </w:p>
    <w:p w14:paraId="6724582F" w14:textId="5CA98A95" w:rsidR="00F2350B" w:rsidRPr="00373DCC" w:rsidRDefault="00F2350B" w:rsidP="00B633E2">
      <w:pPr>
        <w:pStyle w:val="Heading3-numbered"/>
        <w:numPr>
          <w:ilvl w:val="1"/>
          <w:numId w:val="32"/>
        </w:numPr>
        <w:rPr>
          <w:rFonts w:ascii="Arial" w:hAnsi="Arial" w:cs="Arial"/>
        </w:rPr>
      </w:pPr>
      <w:bookmarkStart w:id="164" w:name="_Toc153550472"/>
      <w:r w:rsidRPr="00373DCC">
        <w:rPr>
          <w:rFonts w:ascii="Arial" w:hAnsi="Arial" w:cs="Arial"/>
        </w:rPr>
        <w:t>Adverse medicine and vaccine event notifications</w:t>
      </w:r>
      <w:bookmarkEnd w:id="164"/>
    </w:p>
    <w:p w14:paraId="7857EDEB" w14:textId="77777777" w:rsidR="00F2350B" w:rsidRPr="00373DCC" w:rsidRDefault="00F2350B" w:rsidP="00F2350B">
      <w:pPr>
        <w:keepNext/>
        <w:spacing w:before="240" w:after="120" w:line="240" w:lineRule="auto"/>
        <w:rPr>
          <w:rFonts w:eastAsia="Cambria" w:cs="Arial"/>
          <w:b/>
          <w:bCs/>
          <w:sz w:val="21"/>
          <w:szCs w:val="21"/>
        </w:rPr>
      </w:pPr>
      <w:bookmarkStart w:id="165" w:name="Table35"/>
      <w:r w:rsidRPr="00373DCC">
        <w:rPr>
          <w:rFonts w:eastAsia="Cambria" w:cs="Arial"/>
          <w:b/>
          <w:bCs/>
          <w:sz w:val="21"/>
          <w:szCs w:val="21"/>
        </w:rPr>
        <w:t>Table 35: Source of notifications of medicine and vaccine adverse events</w:t>
      </w:r>
      <w:r w:rsidRPr="00373DCC">
        <w:rPr>
          <w:rFonts w:eastAsia="Cambria" w:cs="Arial"/>
          <w:b/>
          <w:bCs/>
          <w:sz w:val="21"/>
          <w:szCs w:val="21"/>
          <w:vertAlign w:val="superscript"/>
        </w:rPr>
        <w:t>a</w:t>
      </w:r>
    </w:p>
    <w:bookmarkEnd w:id="165"/>
    <w:tbl>
      <w:tblPr>
        <w:tblStyle w:val="TableTGAblue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412"/>
        <w:gridCol w:w="1559"/>
      </w:tblGrid>
      <w:tr w:rsidR="00F2350B" w:rsidRPr="00373DCC" w14:paraId="0B173265" w14:textId="77777777" w:rsidTr="009E420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096" w:type="dxa"/>
            <w:tcBorders>
              <w:top w:val="nil"/>
              <w:left w:val="nil"/>
              <w:bottom w:val="nil"/>
              <w:right w:val="single" w:sz="4" w:space="0" w:color="auto"/>
            </w:tcBorders>
            <w:shd w:val="clear" w:color="auto" w:fill="FFFFFF" w:themeFill="background1"/>
            <w:vAlign w:val="center"/>
          </w:tcPr>
          <w:p w14:paraId="604F5152" w14:textId="77777777" w:rsidR="00F2350B" w:rsidRPr="00373DCC" w:rsidRDefault="00F2350B" w:rsidP="009E4200">
            <w:pPr>
              <w:keepNext w:val="0"/>
              <w:spacing w:before="0" w:after="0" w:line="240" w:lineRule="atLeast"/>
              <w:ind w:left="360"/>
              <w:rPr>
                <w:rFonts w:cs="Arial"/>
                <w:sz w:val="21"/>
              </w:rPr>
            </w:pPr>
          </w:p>
        </w:tc>
        <w:tc>
          <w:tcPr>
            <w:tcW w:w="1412" w:type="dxa"/>
            <w:tcBorders>
              <w:top w:val="single" w:sz="4" w:space="0" w:color="auto"/>
              <w:left w:val="single" w:sz="4" w:space="0" w:color="auto"/>
              <w:bottom w:val="single" w:sz="4" w:space="0" w:color="auto"/>
              <w:right w:val="single" w:sz="4" w:space="0" w:color="auto"/>
            </w:tcBorders>
            <w:shd w:val="clear" w:color="auto" w:fill="29527F"/>
            <w:vAlign w:val="center"/>
          </w:tcPr>
          <w:p w14:paraId="5DEFA7DB" w14:textId="51FEDE14" w:rsidR="00F2350B" w:rsidRPr="009E4200" w:rsidRDefault="009E4200" w:rsidP="009E4200">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9E4200">
              <w:rPr>
                <w:rFonts w:eastAsiaTheme="minorHAnsi" w:cs="Arial"/>
                <w:color w:val="FFFFFF" w:themeColor="background1"/>
                <w:sz w:val="21"/>
              </w:rPr>
              <w:t xml:space="preserve">FY </w:t>
            </w:r>
            <w:r w:rsidR="00F2350B" w:rsidRPr="009E4200">
              <w:rPr>
                <w:rFonts w:eastAsiaTheme="minorHAnsi" w:cs="Arial"/>
                <w:color w:val="FFFFFF" w:themeColor="background1"/>
                <w:sz w:val="21"/>
              </w:rPr>
              <w:t>2021-22</w:t>
            </w:r>
          </w:p>
        </w:tc>
        <w:tc>
          <w:tcPr>
            <w:tcW w:w="1559" w:type="dxa"/>
            <w:tcBorders>
              <w:top w:val="single" w:sz="4" w:space="0" w:color="auto"/>
              <w:left w:val="single" w:sz="4" w:space="0" w:color="auto"/>
              <w:bottom w:val="single" w:sz="4" w:space="0" w:color="auto"/>
              <w:right w:val="single" w:sz="4" w:space="0" w:color="auto"/>
            </w:tcBorders>
            <w:shd w:val="clear" w:color="auto" w:fill="29527F"/>
            <w:vAlign w:val="center"/>
          </w:tcPr>
          <w:p w14:paraId="4E075A12" w14:textId="7F8EB8E0" w:rsidR="00F2350B" w:rsidRPr="009E4200" w:rsidRDefault="009E4200" w:rsidP="009E4200">
            <w:pPr>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9E4200">
              <w:rPr>
                <w:rFonts w:eastAsiaTheme="minorHAnsi" w:cs="Arial"/>
                <w:color w:val="FFFFFF" w:themeColor="background1"/>
                <w:sz w:val="21"/>
              </w:rPr>
              <w:t xml:space="preserve">FY </w:t>
            </w:r>
            <w:r w:rsidR="00F2350B" w:rsidRPr="009E4200">
              <w:rPr>
                <w:rFonts w:eastAsiaTheme="minorHAnsi" w:cs="Arial"/>
                <w:color w:val="FFFFFF" w:themeColor="background1"/>
                <w:sz w:val="21"/>
              </w:rPr>
              <w:t>2022-23</w:t>
            </w:r>
          </w:p>
        </w:tc>
      </w:tr>
      <w:tr w:rsidR="00F2350B" w:rsidRPr="00373DCC" w14:paraId="7AB41FC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7880A7D9" w14:textId="77777777" w:rsidR="00F2350B" w:rsidRPr="00373DCC" w:rsidRDefault="00F2350B" w:rsidP="009E4200">
            <w:pPr>
              <w:keepNext/>
              <w:keepLines/>
              <w:tabs>
                <w:tab w:val="left" w:pos="907"/>
                <w:tab w:val="left" w:pos="1134"/>
              </w:tabs>
              <w:spacing w:before="0" w:after="0" w:line="240" w:lineRule="atLeast"/>
              <w:outlineLvl w:val="4"/>
              <w:rPr>
                <w:rFonts w:cs="Arial"/>
                <w:sz w:val="21"/>
              </w:rPr>
            </w:pPr>
            <w:r w:rsidRPr="00373DCC">
              <w:rPr>
                <w:rFonts w:cs="Arial"/>
                <w:sz w:val="21"/>
              </w:rPr>
              <w:t>Received</w:t>
            </w:r>
          </w:p>
        </w:tc>
      </w:tr>
      <w:tr w:rsidR="00F2350B" w:rsidRPr="00373DCC" w14:paraId="00EE802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3D727" w14:textId="77777777" w:rsidR="00F2350B" w:rsidRPr="00373DCC" w:rsidRDefault="00F2350B" w:rsidP="009E4200">
            <w:pPr>
              <w:widowControl w:val="0"/>
              <w:spacing w:before="0" w:after="0" w:line="240" w:lineRule="atLeast"/>
              <w:rPr>
                <w:rFonts w:cs="Arial"/>
                <w:sz w:val="21"/>
              </w:rPr>
            </w:pPr>
            <w:r w:rsidRPr="00373DCC">
              <w:rPr>
                <w:rFonts w:cs="Arial"/>
                <w:sz w:val="21"/>
              </w:rPr>
              <w:t>Mean number of reports received weekly</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1E67C"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2,421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3EB81"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530</w:t>
            </w:r>
          </w:p>
        </w:tc>
      </w:tr>
      <w:tr w:rsidR="00F2350B" w:rsidRPr="00373DCC" w14:paraId="2098F1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6BB78" w14:textId="77777777" w:rsidR="00F2350B" w:rsidRPr="00373DCC" w:rsidRDefault="00F2350B" w:rsidP="009E4200">
            <w:pPr>
              <w:widowControl w:val="0"/>
              <w:spacing w:before="0" w:after="0" w:line="240" w:lineRule="atLeast"/>
              <w:rPr>
                <w:rFonts w:cs="Arial"/>
                <w:sz w:val="21"/>
              </w:rPr>
            </w:pPr>
            <w:r w:rsidRPr="00373DCC">
              <w:rPr>
                <w:rFonts w:cs="Arial"/>
                <w:sz w:val="21"/>
              </w:rPr>
              <w:t>Vaccine reports</w:t>
            </w:r>
          </w:p>
        </w:tc>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2D4FD"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107,961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1F6E2"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10,183</w:t>
            </w:r>
          </w:p>
        </w:tc>
      </w:tr>
      <w:tr w:rsidR="00F2350B" w:rsidRPr="00373DCC" w14:paraId="66A545E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left w:val="single" w:sz="4" w:space="0" w:color="auto"/>
              <w:bottom w:val="single" w:sz="4" w:space="0" w:color="auto"/>
              <w:right w:val="single" w:sz="4" w:space="0" w:color="auto"/>
            </w:tcBorders>
            <w:shd w:val="clear" w:color="auto" w:fill="C6D4E9"/>
            <w:vAlign w:val="center"/>
          </w:tcPr>
          <w:p w14:paraId="26654FDA" w14:textId="77777777" w:rsidR="00F2350B" w:rsidRPr="00373DCC" w:rsidRDefault="00F2350B" w:rsidP="009E4200">
            <w:pPr>
              <w:keepNext/>
              <w:keepLines/>
              <w:tabs>
                <w:tab w:val="left" w:pos="907"/>
                <w:tab w:val="left" w:pos="1134"/>
              </w:tabs>
              <w:spacing w:before="0" w:after="0" w:line="240" w:lineRule="atLeast"/>
              <w:outlineLvl w:val="4"/>
              <w:rPr>
                <w:rFonts w:cs="Arial"/>
                <w:sz w:val="21"/>
              </w:rPr>
            </w:pPr>
            <w:r w:rsidRPr="00373DCC">
              <w:rPr>
                <w:rFonts w:cs="Arial"/>
                <w:sz w:val="21"/>
              </w:rPr>
              <w:t>Total</w:t>
            </w:r>
          </w:p>
        </w:tc>
        <w:tc>
          <w:tcPr>
            <w:tcW w:w="1412" w:type="dxa"/>
            <w:tcBorders>
              <w:top w:val="single" w:sz="4" w:space="0" w:color="auto"/>
              <w:left w:val="single" w:sz="4" w:space="0" w:color="auto"/>
              <w:bottom w:val="single" w:sz="4" w:space="0" w:color="auto"/>
              <w:right w:val="single" w:sz="4" w:space="0" w:color="auto"/>
            </w:tcBorders>
            <w:shd w:val="clear" w:color="auto" w:fill="C6D4E9"/>
            <w:vAlign w:val="center"/>
          </w:tcPr>
          <w:p w14:paraId="17B531E5"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125,875</w:t>
            </w:r>
          </w:p>
        </w:tc>
        <w:tc>
          <w:tcPr>
            <w:tcW w:w="1559" w:type="dxa"/>
            <w:tcBorders>
              <w:top w:val="single" w:sz="4" w:space="0" w:color="auto"/>
              <w:left w:val="single" w:sz="4" w:space="0" w:color="auto"/>
              <w:bottom w:val="single" w:sz="4" w:space="0" w:color="auto"/>
              <w:right w:val="single" w:sz="4" w:space="0" w:color="auto"/>
            </w:tcBorders>
            <w:shd w:val="clear" w:color="auto" w:fill="C6D4E9"/>
            <w:vAlign w:val="center"/>
          </w:tcPr>
          <w:p w14:paraId="1D47CD8C" w14:textId="77777777" w:rsidR="00F2350B" w:rsidRPr="00373DCC" w:rsidRDefault="00F2350B" w:rsidP="009E4200">
            <w:pPr>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27,568</w:t>
            </w:r>
          </w:p>
        </w:tc>
      </w:tr>
      <w:tr w:rsidR="00F2350B" w:rsidRPr="00373DCC" w14:paraId="22EDB0C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6D77AB26" w14:textId="77777777" w:rsidR="00F2350B" w:rsidRPr="00373DCC" w:rsidRDefault="00F2350B" w:rsidP="009E4200">
            <w:pPr>
              <w:keepNext/>
              <w:keepLines/>
              <w:tabs>
                <w:tab w:val="left" w:pos="907"/>
                <w:tab w:val="left" w:pos="1134"/>
              </w:tabs>
              <w:spacing w:before="0" w:after="0" w:line="240" w:lineRule="atLeast"/>
              <w:outlineLvl w:val="4"/>
              <w:rPr>
                <w:rFonts w:cs="Arial"/>
                <w:bCs/>
                <w:sz w:val="21"/>
              </w:rPr>
            </w:pPr>
            <w:r w:rsidRPr="009E4200">
              <w:rPr>
                <w:rFonts w:cs="Arial"/>
                <w:sz w:val="21"/>
              </w:rPr>
              <w:t>Accepted cases</w:t>
            </w:r>
            <w:r w:rsidRPr="00373DCC">
              <w:rPr>
                <w:rFonts w:cs="Arial"/>
                <w:color w:val="auto"/>
                <w:sz w:val="21"/>
              </w:rPr>
              <w:t xml:space="preserve"> </w:t>
            </w:r>
          </w:p>
        </w:tc>
      </w:tr>
      <w:tr w:rsidR="00F2350B" w:rsidRPr="00373DCC" w14:paraId="05F64ED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13A40316" w14:textId="77777777" w:rsidR="00F2350B" w:rsidRPr="00373DCC" w:rsidRDefault="00F2350B" w:rsidP="009E4200">
            <w:pPr>
              <w:widowControl w:val="0"/>
              <w:spacing w:before="0" w:after="0" w:line="240" w:lineRule="atLeast"/>
              <w:rPr>
                <w:rFonts w:cs="Arial"/>
                <w:sz w:val="21"/>
              </w:rPr>
            </w:pPr>
            <w:r w:rsidRPr="00373DCC">
              <w:rPr>
                <w:rFonts w:cs="Arial"/>
                <w:sz w:val="21"/>
              </w:rPr>
              <w:t xml:space="preserve">Reports by health professionals </w:t>
            </w:r>
          </w:p>
        </w:tc>
        <w:tc>
          <w:tcPr>
            <w:tcW w:w="1412" w:type="dxa"/>
            <w:tcBorders>
              <w:top w:val="single" w:sz="4" w:space="0" w:color="auto"/>
            </w:tcBorders>
            <w:vAlign w:val="center"/>
          </w:tcPr>
          <w:p w14:paraId="16172455"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11610</w:t>
            </w:r>
          </w:p>
        </w:tc>
        <w:tc>
          <w:tcPr>
            <w:tcW w:w="1559" w:type="dxa"/>
            <w:tcBorders>
              <w:top w:val="single" w:sz="4" w:space="0" w:color="auto"/>
            </w:tcBorders>
            <w:vAlign w:val="center"/>
          </w:tcPr>
          <w:p w14:paraId="10D99358"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4,083</w:t>
            </w:r>
          </w:p>
        </w:tc>
      </w:tr>
      <w:tr w:rsidR="00F2350B" w:rsidRPr="00373DCC" w14:paraId="54AC968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553C6174" w14:textId="77777777" w:rsidR="00F2350B" w:rsidRPr="00373DCC" w:rsidRDefault="00F2350B" w:rsidP="009E4200">
            <w:pPr>
              <w:widowControl w:val="0"/>
              <w:spacing w:before="0" w:after="0" w:line="240" w:lineRule="atLeast"/>
              <w:rPr>
                <w:rFonts w:cs="Arial"/>
                <w:sz w:val="21"/>
              </w:rPr>
            </w:pPr>
            <w:r w:rsidRPr="00373DCC">
              <w:rPr>
                <w:rFonts w:cs="Arial"/>
                <w:sz w:val="21"/>
              </w:rPr>
              <w:t>Patients/consumers</w:t>
            </w:r>
          </w:p>
        </w:tc>
        <w:tc>
          <w:tcPr>
            <w:tcW w:w="1412" w:type="dxa"/>
            <w:vAlign w:val="center"/>
          </w:tcPr>
          <w:p w14:paraId="087391EF"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27,422</w:t>
            </w:r>
          </w:p>
        </w:tc>
        <w:tc>
          <w:tcPr>
            <w:tcW w:w="1559" w:type="dxa"/>
            <w:vAlign w:val="center"/>
          </w:tcPr>
          <w:p w14:paraId="54B23BCA"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2,490</w:t>
            </w:r>
          </w:p>
        </w:tc>
      </w:tr>
      <w:tr w:rsidR="00F2350B" w:rsidRPr="00373DCC" w14:paraId="49CABC3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C180405" w14:textId="77777777" w:rsidR="00F2350B" w:rsidRPr="00373DCC" w:rsidRDefault="00F2350B" w:rsidP="009E4200">
            <w:pPr>
              <w:widowControl w:val="0"/>
              <w:spacing w:before="0" w:after="0" w:line="240" w:lineRule="atLeast"/>
              <w:rPr>
                <w:rFonts w:cs="Arial"/>
                <w:sz w:val="21"/>
              </w:rPr>
            </w:pPr>
            <w:r w:rsidRPr="00373DCC">
              <w:rPr>
                <w:rFonts w:cs="Arial"/>
                <w:sz w:val="21"/>
              </w:rPr>
              <w:t>Pharmaceutical companies</w:t>
            </w:r>
          </w:p>
        </w:tc>
        <w:tc>
          <w:tcPr>
            <w:tcW w:w="1412" w:type="dxa"/>
            <w:vAlign w:val="center"/>
          </w:tcPr>
          <w:p w14:paraId="405F367E"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w:t>
            </w:r>
            <w:r>
              <w:rPr>
                <w:rFonts w:cs="Arial"/>
                <w:sz w:val="21"/>
              </w:rPr>
              <w:t>,</w:t>
            </w:r>
            <w:r w:rsidRPr="00373DCC">
              <w:rPr>
                <w:rFonts w:cs="Arial"/>
                <w:sz w:val="21"/>
              </w:rPr>
              <w:t>950</w:t>
            </w:r>
          </w:p>
        </w:tc>
        <w:tc>
          <w:tcPr>
            <w:tcW w:w="1559" w:type="dxa"/>
            <w:vAlign w:val="center"/>
          </w:tcPr>
          <w:p w14:paraId="1FBA5139"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13,469</w:t>
            </w:r>
          </w:p>
        </w:tc>
      </w:tr>
      <w:tr w:rsidR="00F2350B" w:rsidRPr="00373DCC" w14:paraId="2FA8FD4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01A27E65" w14:textId="77777777" w:rsidR="00F2350B" w:rsidRPr="00373DCC" w:rsidRDefault="00F2350B" w:rsidP="009E4200">
            <w:pPr>
              <w:keepNext/>
              <w:spacing w:before="0" w:after="0" w:line="240" w:lineRule="atLeast"/>
              <w:jc w:val="both"/>
              <w:rPr>
                <w:rFonts w:cs="Arial"/>
                <w:sz w:val="21"/>
              </w:rPr>
            </w:pPr>
            <w:r w:rsidRPr="48ECC65F">
              <w:rPr>
                <w:rFonts w:cs="Arial"/>
                <w:sz w:val="21"/>
              </w:rPr>
              <w:t xml:space="preserve">Other source </w:t>
            </w:r>
            <w:r w:rsidRPr="48ECC65F">
              <w:rPr>
                <w:rFonts w:cs="Arial"/>
                <w:sz w:val="21"/>
                <w:vertAlign w:val="superscript"/>
              </w:rPr>
              <w:t>b</w:t>
            </w:r>
          </w:p>
        </w:tc>
        <w:tc>
          <w:tcPr>
            <w:tcW w:w="1412" w:type="dxa"/>
            <w:tcBorders>
              <w:bottom w:val="single" w:sz="4" w:space="0" w:color="auto"/>
            </w:tcBorders>
            <w:vAlign w:val="center"/>
          </w:tcPr>
          <w:p w14:paraId="51D78CF5"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66</w:t>
            </w:r>
            <w:r>
              <w:rPr>
                <w:rFonts w:cs="Arial"/>
                <w:sz w:val="21"/>
              </w:rPr>
              <w:t>,</w:t>
            </w:r>
            <w:r w:rsidRPr="00373DCC">
              <w:rPr>
                <w:rFonts w:cs="Arial"/>
                <w:sz w:val="21"/>
              </w:rPr>
              <w:t>096</w:t>
            </w:r>
          </w:p>
        </w:tc>
        <w:tc>
          <w:tcPr>
            <w:tcW w:w="1559" w:type="dxa"/>
            <w:tcBorders>
              <w:bottom w:val="single" w:sz="4" w:space="0" w:color="auto"/>
            </w:tcBorders>
            <w:vAlign w:val="center"/>
          </w:tcPr>
          <w:p w14:paraId="5547698C"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6,135</w:t>
            </w:r>
          </w:p>
        </w:tc>
      </w:tr>
      <w:tr w:rsidR="00F2350B" w:rsidRPr="00373DCC" w14:paraId="1BC79C1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shd w:val="clear" w:color="auto" w:fill="C6D4E9"/>
            <w:vAlign w:val="center"/>
          </w:tcPr>
          <w:p w14:paraId="010A137F" w14:textId="77777777" w:rsidR="00F2350B" w:rsidRPr="00373DCC" w:rsidRDefault="00F2350B" w:rsidP="009E4200">
            <w:pPr>
              <w:keepNext/>
              <w:keepLines/>
              <w:tabs>
                <w:tab w:val="left" w:pos="907"/>
                <w:tab w:val="left" w:pos="1134"/>
              </w:tabs>
              <w:spacing w:before="0" w:after="0" w:line="240" w:lineRule="atLeast"/>
              <w:outlineLvl w:val="4"/>
              <w:rPr>
                <w:rFonts w:cs="Arial"/>
                <w:sz w:val="21"/>
              </w:rPr>
            </w:pPr>
            <w:r w:rsidRPr="00373DCC">
              <w:rPr>
                <w:rFonts w:cs="Arial"/>
                <w:sz w:val="21"/>
              </w:rPr>
              <w:t>Total</w:t>
            </w:r>
          </w:p>
        </w:tc>
        <w:tc>
          <w:tcPr>
            <w:tcW w:w="1412" w:type="dxa"/>
            <w:tcBorders>
              <w:bottom w:val="single" w:sz="4" w:space="0" w:color="auto"/>
            </w:tcBorders>
            <w:shd w:val="clear" w:color="auto" w:fill="C6D4E9"/>
            <w:vAlign w:val="center"/>
          </w:tcPr>
          <w:p w14:paraId="7A9A9C2A"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121</w:t>
            </w:r>
            <w:r>
              <w:rPr>
                <w:rFonts w:cs="Arial"/>
                <w:sz w:val="21"/>
              </w:rPr>
              <w:t>,</w:t>
            </w:r>
            <w:r w:rsidRPr="00373DCC">
              <w:rPr>
                <w:rFonts w:cs="Arial"/>
                <w:sz w:val="21"/>
              </w:rPr>
              <w:t>084</w:t>
            </w:r>
          </w:p>
        </w:tc>
        <w:tc>
          <w:tcPr>
            <w:tcW w:w="1559" w:type="dxa"/>
            <w:tcBorders>
              <w:bottom w:val="single" w:sz="4" w:space="0" w:color="auto"/>
            </w:tcBorders>
            <w:shd w:val="clear" w:color="auto" w:fill="C6D4E9"/>
            <w:vAlign w:val="center"/>
          </w:tcPr>
          <w:p w14:paraId="1865FDD5"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26,177</w:t>
            </w:r>
          </w:p>
        </w:tc>
      </w:tr>
      <w:tr w:rsidR="00F2350B" w:rsidRPr="00373DCC" w14:paraId="04667B2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6096" w:type="dxa"/>
            <w:shd w:val="clear" w:color="auto" w:fill="8CADD3"/>
            <w:vAlign w:val="center"/>
          </w:tcPr>
          <w:p w14:paraId="53BBCB50" w14:textId="77777777" w:rsidR="00F2350B" w:rsidRPr="00373DCC" w:rsidRDefault="00F2350B" w:rsidP="009E4200">
            <w:pPr>
              <w:keepNext/>
              <w:keepLines/>
              <w:tabs>
                <w:tab w:val="left" w:pos="907"/>
                <w:tab w:val="left" w:pos="1134"/>
              </w:tabs>
              <w:spacing w:before="0" w:after="0" w:line="240" w:lineRule="atLeast"/>
              <w:outlineLvl w:val="4"/>
              <w:rPr>
                <w:rFonts w:cs="Arial"/>
                <w:sz w:val="21"/>
              </w:rPr>
            </w:pPr>
            <w:r w:rsidRPr="00373DCC">
              <w:rPr>
                <w:rFonts w:cs="Arial"/>
                <w:sz w:val="21"/>
              </w:rPr>
              <w:t>Rejected/withdrawn cases</w:t>
            </w:r>
          </w:p>
        </w:tc>
        <w:tc>
          <w:tcPr>
            <w:tcW w:w="1412" w:type="dxa"/>
            <w:shd w:val="clear" w:color="auto" w:fill="8CADD3"/>
            <w:vAlign w:val="center"/>
          </w:tcPr>
          <w:p w14:paraId="6673954D"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4,980</w:t>
            </w:r>
          </w:p>
        </w:tc>
        <w:tc>
          <w:tcPr>
            <w:tcW w:w="1559" w:type="dxa"/>
            <w:shd w:val="clear" w:color="auto" w:fill="8CADD3"/>
            <w:vAlign w:val="center"/>
          </w:tcPr>
          <w:p w14:paraId="7B33919F" w14:textId="77777777" w:rsidR="00F2350B" w:rsidRPr="00373DCC" w:rsidRDefault="00F2350B" w:rsidP="009E4200">
            <w:pPr>
              <w:keepNext/>
              <w:spacing w:before="0" w:after="0" w:line="240" w:lineRule="atLeast"/>
              <w:ind w:left="36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1,391</w:t>
            </w:r>
          </w:p>
        </w:tc>
      </w:tr>
    </w:tbl>
    <w:p w14:paraId="6A8E1F90" w14:textId="77777777" w:rsidR="00F2350B" w:rsidRPr="00373DCC" w:rsidRDefault="00F2350B" w:rsidP="00F2350B">
      <w:pPr>
        <w:spacing w:before="0" w:after="0"/>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Data is subject to change due to receipt of further information related to individual reports or further case processing. Notifications for 202122 have been updated since the last Regulator Performance Report to reflect the most recent data.</w:t>
      </w:r>
    </w:p>
    <w:p w14:paraId="695DC634" w14:textId="56CEEFB4" w:rsidR="00F2350B" w:rsidRDefault="00F2350B" w:rsidP="00F2350B">
      <w:pPr>
        <w:spacing w:before="0" w:after="0"/>
        <w:rPr>
          <w:rFonts w:eastAsia="Cambria" w:cs="Arial"/>
          <w:sz w:val="16"/>
          <w:szCs w:val="16"/>
        </w:rPr>
      </w:pPr>
      <w:r w:rsidRPr="00373DCC">
        <w:rPr>
          <w:rFonts w:eastAsia="Cambria" w:cs="Arial"/>
          <w:sz w:val="16"/>
          <w:szCs w:val="16"/>
        </w:rPr>
        <w:t>Reporting an adverse event does not mean that the details of the event have been confirmed by the TGA, or that the event has been determined to be related to a medicine or a vaccine.</w:t>
      </w:r>
    </w:p>
    <w:p w14:paraId="56571868" w14:textId="0703A148" w:rsidR="002B0BD0" w:rsidRPr="00780BC6" w:rsidRDefault="00F2350B" w:rsidP="00780BC6">
      <w:pPr>
        <w:rPr>
          <w:rFonts w:eastAsia="Cambria" w:cs="Arial"/>
          <w:sz w:val="16"/>
          <w:szCs w:val="16"/>
        </w:rPr>
      </w:pPr>
      <w:r w:rsidRPr="00373DCC">
        <w:rPr>
          <w:vertAlign w:val="superscript"/>
        </w:rPr>
        <w:t>b</w:t>
      </w:r>
      <w:r w:rsidRPr="00373DCC">
        <w:t xml:space="preserve"> </w:t>
      </w:r>
      <w:r w:rsidRPr="00780BC6">
        <w:rPr>
          <w:rFonts w:eastAsia="Cambria" w:cs="Arial"/>
          <w:sz w:val="16"/>
          <w:szCs w:val="16"/>
        </w:rPr>
        <w:t>‘Other source’ includes reports received from state and territory health departments (accounting for &gt;95% of these reports) as well as reports received from other organisations that are not pharmaceutical companies.</w:t>
      </w:r>
    </w:p>
    <w:p w14:paraId="314EFD8E" w14:textId="2CACE8AC" w:rsidR="002B0BD0" w:rsidRPr="00780BC6" w:rsidRDefault="002B0BD0" w:rsidP="00780BC6">
      <w:pPr>
        <w:rPr>
          <w:rFonts w:eastAsia="Cambria" w:cs="Arial"/>
          <w:sz w:val="16"/>
          <w:szCs w:val="16"/>
        </w:rPr>
      </w:pPr>
    </w:p>
    <w:p w14:paraId="0066EA5A" w14:textId="07392656" w:rsidR="002B0BD0" w:rsidRPr="00780BC6" w:rsidRDefault="002B0BD0" w:rsidP="00780BC6">
      <w:pPr>
        <w:rPr>
          <w:rFonts w:eastAsia="Cambria" w:cs="Arial"/>
          <w:sz w:val="16"/>
          <w:szCs w:val="16"/>
        </w:rPr>
      </w:pPr>
    </w:p>
    <w:p w14:paraId="36806818" w14:textId="77262112" w:rsidR="002B0BD0" w:rsidRPr="00780BC6" w:rsidRDefault="002B0BD0" w:rsidP="00780BC6">
      <w:pPr>
        <w:rPr>
          <w:rFonts w:eastAsia="Cambria" w:cs="Arial"/>
          <w:sz w:val="16"/>
          <w:szCs w:val="16"/>
        </w:rPr>
      </w:pPr>
    </w:p>
    <w:p w14:paraId="0CCFA195" w14:textId="1476964A" w:rsidR="002B0BD0" w:rsidRPr="00780BC6" w:rsidRDefault="002B0BD0" w:rsidP="00780BC6">
      <w:pPr>
        <w:rPr>
          <w:rFonts w:eastAsia="Cambria" w:cs="Arial"/>
          <w:sz w:val="16"/>
          <w:szCs w:val="16"/>
        </w:rPr>
      </w:pPr>
    </w:p>
    <w:p w14:paraId="24706176" w14:textId="0657B7C6" w:rsidR="002B0BD0" w:rsidRPr="00780BC6" w:rsidRDefault="002B0BD0" w:rsidP="00780BC6">
      <w:pPr>
        <w:rPr>
          <w:rFonts w:eastAsia="Cambria" w:cs="Arial"/>
          <w:sz w:val="16"/>
          <w:szCs w:val="16"/>
        </w:rPr>
      </w:pPr>
    </w:p>
    <w:p w14:paraId="6E31DA7A" w14:textId="77777777" w:rsidR="002B0BD0" w:rsidRPr="00780BC6" w:rsidRDefault="002B0BD0" w:rsidP="00780BC6">
      <w:pPr>
        <w:rPr>
          <w:rFonts w:eastAsia="Cambria" w:cs="Arial"/>
          <w:sz w:val="16"/>
          <w:szCs w:val="16"/>
        </w:rPr>
      </w:pPr>
    </w:p>
    <w:p w14:paraId="2AB10015" w14:textId="635CFEF1" w:rsidR="002B0BD0" w:rsidRDefault="002B0BD0" w:rsidP="00780BC6"/>
    <w:p w14:paraId="01AD512D" w14:textId="2D41C229" w:rsidR="002B0BD0" w:rsidRDefault="002B0BD0">
      <w:pPr>
        <w:spacing w:before="0" w:after="160" w:line="259" w:lineRule="auto"/>
        <w:rPr>
          <w:rFonts w:eastAsia="Cambria" w:cs="Arial"/>
          <w:sz w:val="16"/>
          <w:szCs w:val="16"/>
        </w:rPr>
      </w:pPr>
      <w:r>
        <w:rPr>
          <w:rFonts w:eastAsia="Cambria" w:cs="Arial"/>
          <w:sz w:val="16"/>
          <w:szCs w:val="16"/>
        </w:rPr>
        <w:br w:type="page"/>
      </w:r>
    </w:p>
    <w:p w14:paraId="4D89B280" w14:textId="15DDD320" w:rsidR="00F2350B" w:rsidRPr="002B0BD0" w:rsidRDefault="00F2350B" w:rsidP="00F2350B">
      <w:pPr>
        <w:keepNext/>
        <w:keepLines/>
        <w:spacing w:before="0" w:after="0" w:line="240" w:lineRule="auto"/>
        <w:outlineLvl w:val="0"/>
        <w:rPr>
          <w:rFonts w:eastAsiaTheme="majorEastAsia" w:cs="Arial"/>
          <w:b/>
          <w:color w:val="00348C" w:themeColor="accent1" w:themeShade="BF"/>
          <w:sz w:val="28"/>
          <w:szCs w:val="28"/>
          <w:lang w:eastAsia="en-AU"/>
        </w:rPr>
      </w:pPr>
      <w:bookmarkStart w:id="166" w:name="_Toc153550473"/>
      <w:r w:rsidRPr="00373DCC">
        <w:rPr>
          <w:rFonts w:eastAsiaTheme="majorEastAsia" w:cs="Arial"/>
          <w:b/>
          <w:color w:val="00348C" w:themeColor="accent1" w:themeShade="BF"/>
          <w:sz w:val="28"/>
          <w:szCs w:val="28"/>
          <w:lang w:eastAsia="en-AU"/>
        </w:rPr>
        <w:lastRenderedPageBreak/>
        <w:t>8. Medical Devices</w:t>
      </w:r>
      <w:bookmarkEnd w:id="166"/>
    </w:p>
    <w:p w14:paraId="3691AAC6" w14:textId="77777777" w:rsidR="00F2350B" w:rsidRPr="00373DCC" w:rsidRDefault="00F2350B" w:rsidP="00F2350B">
      <w:pPr>
        <w:rPr>
          <w:rFonts w:cs="Arial"/>
          <w:sz w:val="21"/>
          <w:szCs w:val="21"/>
        </w:rPr>
      </w:pPr>
      <w:r w:rsidRPr="00373DCC">
        <w:rPr>
          <w:rFonts w:cs="Arial"/>
          <w:sz w:val="21"/>
          <w:szCs w:val="21"/>
        </w:rPr>
        <w:t xml:space="preserve">The </w:t>
      </w:r>
      <w:r w:rsidRPr="00373DCC">
        <w:rPr>
          <w:rFonts w:cs="Arial"/>
          <w:iCs/>
          <w:sz w:val="21"/>
          <w:szCs w:val="21"/>
        </w:rPr>
        <w:t xml:space="preserve">Medical Devices Regulatory Framework </w:t>
      </w:r>
      <w:r w:rsidRPr="00373DCC">
        <w:rPr>
          <w:rFonts w:cs="Arial"/>
          <w:sz w:val="21"/>
          <w:szCs w:val="21"/>
        </w:rPr>
        <w:t>spans the life cycle for these products, including:</w:t>
      </w:r>
    </w:p>
    <w:p w14:paraId="0D513258" w14:textId="77777777" w:rsidR="00F2350B" w:rsidRPr="00373DCC" w:rsidRDefault="00F2350B" w:rsidP="00F2350B">
      <w:pPr>
        <w:rPr>
          <w:rFonts w:cs="Arial"/>
          <w:sz w:val="21"/>
          <w:szCs w:val="21"/>
        </w:rPr>
      </w:pPr>
      <w:r w:rsidRPr="00373DCC">
        <w:rPr>
          <w:rFonts w:cs="Arial"/>
          <w:b/>
          <w:sz w:val="21"/>
          <w:szCs w:val="21"/>
        </w:rPr>
        <w:t>Priority review of medical devices</w:t>
      </w:r>
      <w:r w:rsidRPr="00373DCC">
        <w:rPr>
          <w:rFonts w:cs="Arial"/>
          <w:sz w:val="21"/>
          <w:szCs w:val="21"/>
        </w:rPr>
        <w:t>:</w:t>
      </w:r>
      <w:r w:rsidRPr="00373DCC">
        <w:rPr>
          <w:rFonts w:cs="Arial"/>
          <w:b/>
          <w:sz w:val="21"/>
          <w:szCs w:val="21"/>
        </w:rPr>
        <w:t xml:space="preserve"> </w:t>
      </w:r>
      <w:r w:rsidRPr="00373DCC">
        <w:rPr>
          <w:rFonts w:cs="Arial"/>
          <w:bCs/>
          <w:sz w:val="21"/>
          <w:szCs w:val="21"/>
        </w:rPr>
        <w:t>This</w:t>
      </w:r>
      <w:r w:rsidRPr="00373DCC">
        <w:rPr>
          <w:rFonts w:cs="Arial"/>
          <w:b/>
          <w:sz w:val="21"/>
          <w:szCs w:val="21"/>
        </w:rPr>
        <w:t xml:space="preserve"> </w:t>
      </w:r>
      <w:r w:rsidRPr="00373DCC">
        <w:rPr>
          <w:rFonts w:cs="Arial"/>
          <w:sz w:val="21"/>
          <w:szCs w:val="21"/>
        </w:rPr>
        <w:t>pathway allows faster processing of applications for devices that meet certain criteria such as being a novel device or delivering significant health benefits above those devices already on the market.</w:t>
      </w:r>
    </w:p>
    <w:p w14:paraId="7F050739" w14:textId="77777777" w:rsidR="00F2350B" w:rsidRPr="00373DCC" w:rsidRDefault="00F2350B" w:rsidP="00F2350B">
      <w:pPr>
        <w:rPr>
          <w:rFonts w:cs="Arial"/>
          <w:sz w:val="21"/>
          <w:szCs w:val="21"/>
        </w:rPr>
      </w:pPr>
      <w:r w:rsidRPr="00373DCC">
        <w:rPr>
          <w:rFonts w:cs="Arial"/>
          <w:b/>
          <w:sz w:val="21"/>
          <w:szCs w:val="21"/>
        </w:rPr>
        <w:t>Medical device manufacturing:</w:t>
      </w:r>
      <w:r w:rsidRPr="00373DCC">
        <w:rPr>
          <w:rFonts w:cs="Arial"/>
          <w:sz w:val="21"/>
          <w:szCs w:val="21"/>
        </w:rPr>
        <w:t xml:space="preserve"> We assess the quality management systems of medical device manufacturers seeking TGA conformity assessment certification. This may be through onsite inspections or desktop assessment of third-party inspection reports, or a combination of these methods. Surveillance inspections are also undertaken to assess continuing compliance. In addition, we are a Regulatory Authority of the Medical Devices Single Audit Program (MDSAP) that assesses and recognises third party Auditing Organisations for the purposes of certifying medical device manufacturers.</w:t>
      </w:r>
    </w:p>
    <w:p w14:paraId="7EF30AD1" w14:textId="77777777" w:rsidR="00F2350B" w:rsidRPr="00373DCC" w:rsidRDefault="00F2350B" w:rsidP="00F2350B">
      <w:pPr>
        <w:rPr>
          <w:rFonts w:cs="Arial"/>
          <w:sz w:val="21"/>
          <w:szCs w:val="21"/>
        </w:rPr>
      </w:pPr>
      <w:r w:rsidRPr="00373DCC">
        <w:rPr>
          <w:rFonts w:cs="Arial"/>
          <w:b/>
          <w:sz w:val="21"/>
          <w:szCs w:val="21"/>
        </w:rPr>
        <w:t xml:space="preserve">Conformity assessment: </w:t>
      </w:r>
      <w:r w:rsidRPr="00373DCC">
        <w:rPr>
          <w:rFonts w:cs="Arial"/>
          <w:sz w:val="21"/>
          <w:szCs w:val="21"/>
        </w:rPr>
        <w:t>This</w:t>
      </w:r>
      <w:r w:rsidRPr="00373DCC">
        <w:rPr>
          <w:rFonts w:cs="Arial"/>
          <w:b/>
          <w:sz w:val="21"/>
          <w:szCs w:val="21"/>
        </w:rPr>
        <w:t xml:space="preserve"> </w:t>
      </w:r>
      <w:r w:rsidRPr="00373DCC">
        <w:rPr>
          <w:rFonts w:cs="Arial"/>
          <w:sz w:val="21"/>
          <w:szCs w:val="21"/>
        </w:rPr>
        <w:t>is the systematic examination by the manufacturer to determine that a medical device is safe and performs as intended and therefore, conforms to the Essential Principles. Certification of the manufacturer’s conformity assessment procedure may (or for particular products, must) be undertaken by the TGA, or we may recognise conformity assessment certification from comparable regulators in other jurisdictions such as European notified bodies.</w:t>
      </w:r>
    </w:p>
    <w:p w14:paraId="4CF2F088" w14:textId="77777777" w:rsidR="00F2350B" w:rsidRPr="00373DCC" w:rsidRDefault="00F2350B" w:rsidP="00F2350B">
      <w:pPr>
        <w:rPr>
          <w:rFonts w:cs="Arial"/>
          <w:sz w:val="21"/>
          <w:szCs w:val="21"/>
        </w:rPr>
      </w:pPr>
      <w:r w:rsidRPr="00373DCC">
        <w:rPr>
          <w:rFonts w:cs="Arial"/>
          <w:b/>
          <w:sz w:val="21"/>
          <w:szCs w:val="21"/>
        </w:rPr>
        <w:t>Inclusion on the ARTG:</w:t>
      </w:r>
      <w:r w:rsidRPr="00373DCC">
        <w:rPr>
          <w:rFonts w:cs="Arial"/>
          <w:sz w:val="21"/>
          <w:szCs w:val="21"/>
        </w:rPr>
        <w:t xml:space="preserve"> Medical devices cannot be imported, supplied in, or exported from Australia unless they are included in the ARTG or a valid exemption applies, for example custom made medical devices, importation of samples, etc. A sponsor can apply to include a medical device in the ARTG if the device complies with the Essential Principles and appropriate conformity assessment procedures have been applied to the device.</w:t>
      </w:r>
    </w:p>
    <w:p w14:paraId="1F026DF2" w14:textId="77777777" w:rsidR="00F2350B" w:rsidRPr="00373DCC" w:rsidRDefault="00F2350B" w:rsidP="00F2350B">
      <w:pPr>
        <w:rPr>
          <w:rFonts w:cs="Arial"/>
          <w:sz w:val="21"/>
          <w:szCs w:val="21"/>
        </w:rPr>
      </w:pPr>
      <w:r w:rsidRPr="00373DCC">
        <w:rPr>
          <w:rFonts w:cs="Arial"/>
          <w:b/>
          <w:sz w:val="21"/>
          <w:szCs w:val="21"/>
        </w:rPr>
        <w:t>Post-market monitoring:</w:t>
      </w:r>
      <w:r w:rsidRPr="00373DCC">
        <w:rPr>
          <w:rFonts w:cs="Arial"/>
          <w:sz w:val="21"/>
          <w:szCs w:val="21"/>
        </w:rPr>
        <w:t xml:space="preserve"> Once a medical device has been included on the ARTG the device must continue to meet all the regulatory, safety and performance requirements and standards that were required for the approval.</w:t>
      </w:r>
    </w:p>
    <w:p w14:paraId="3B409CE7" w14:textId="77777777" w:rsidR="00F2350B" w:rsidRPr="00373DCC" w:rsidRDefault="00F2350B" w:rsidP="00F2350B">
      <w:pPr>
        <w:rPr>
          <w:rFonts w:eastAsia="Cambria" w:cs="Arial"/>
          <w:szCs w:val="22"/>
        </w:rPr>
      </w:pPr>
      <w:r w:rsidRPr="00373DCC">
        <w:rPr>
          <w:rFonts w:eastAsia="Cambria" w:cs="Arial"/>
          <w:szCs w:val="22"/>
        </w:rPr>
        <w:br w:type="page"/>
      </w:r>
    </w:p>
    <w:p w14:paraId="38D02867"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167" w:name="_Toc153441495"/>
      <w:bookmarkStart w:id="168" w:name="_Toc153441646"/>
      <w:bookmarkStart w:id="169" w:name="_Toc153550161"/>
      <w:bookmarkStart w:id="170" w:name="_Toc153550326"/>
      <w:bookmarkStart w:id="171" w:name="_Toc153550474"/>
      <w:bookmarkEnd w:id="167"/>
      <w:bookmarkEnd w:id="168"/>
      <w:bookmarkEnd w:id="169"/>
      <w:bookmarkEnd w:id="170"/>
      <w:bookmarkEnd w:id="171"/>
    </w:p>
    <w:p w14:paraId="24AAD322" w14:textId="0AD83529" w:rsidR="00F2350B" w:rsidRPr="00373DCC" w:rsidRDefault="00F2350B" w:rsidP="00B633E2">
      <w:pPr>
        <w:pStyle w:val="Heading3-numbered"/>
        <w:numPr>
          <w:ilvl w:val="1"/>
          <w:numId w:val="32"/>
        </w:numPr>
        <w:rPr>
          <w:rFonts w:ascii="Arial" w:hAnsi="Arial" w:cs="Arial"/>
        </w:rPr>
      </w:pPr>
      <w:bookmarkStart w:id="172" w:name="_Toc153550475"/>
      <w:r w:rsidRPr="00373DCC">
        <w:rPr>
          <w:rFonts w:ascii="Arial" w:hAnsi="Arial" w:cs="Arial"/>
        </w:rPr>
        <w:t>Conformity assessment</w:t>
      </w:r>
      <w:bookmarkEnd w:id="172"/>
    </w:p>
    <w:p w14:paraId="48727F6A"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8.1.1 Applications</w:t>
      </w:r>
    </w:p>
    <w:p w14:paraId="6B8EEAF5" w14:textId="77777777" w:rsidR="00F2350B" w:rsidRPr="00373DCC" w:rsidRDefault="00F2350B" w:rsidP="00F2350B">
      <w:pPr>
        <w:keepNext/>
        <w:spacing w:before="240" w:after="120" w:line="240" w:lineRule="auto"/>
        <w:rPr>
          <w:rFonts w:eastAsia="Cambria" w:cs="Arial"/>
          <w:b/>
          <w:bCs/>
          <w:sz w:val="21"/>
          <w:szCs w:val="21"/>
        </w:rPr>
      </w:pPr>
      <w:bookmarkStart w:id="173" w:name="Table36"/>
      <w:r w:rsidRPr="00373DCC">
        <w:rPr>
          <w:rFonts w:eastAsia="Cambria" w:cs="Arial"/>
          <w:b/>
          <w:bCs/>
          <w:sz w:val="21"/>
          <w:szCs w:val="21"/>
        </w:rPr>
        <w:t>Table 36: Number of conformity assessment applications (medical devices including IVDs)</w:t>
      </w:r>
    </w:p>
    <w:bookmarkEnd w:id="173"/>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185"/>
        <w:gridCol w:w="1418"/>
        <w:gridCol w:w="1418"/>
      </w:tblGrid>
      <w:tr w:rsidR="00F2350B" w:rsidRPr="00373DCC" w14:paraId="4D1E4571" w14:textId="77777777" w:rsidTr="009E420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nil"/>
              <w:right w:val="single" w:sz="4" w:space="0" w:color="auto"/>
            </w:tcBorders>
            <w:shd w:val="clear" w:color="auto" w:fill="FFFFFF" w:themeFill="background1"/>
            <w:vAlign w:val="center"/>
          </w:tcPr>
          <w:p w14:paraId="64D8B6F5" w14:textId="77777777" w:rsidR="00F2350B" w:rsidRPr="00373DCC" w:rsidRDefault="00F2350B" w:rsidP="00710B91">
            <w:pPr>
              <w:widowControl w:val="0"/>
              <w:spacing w:line="240" w:lineRule="atLeast"/>
              <w:ind w:left="720"/>
              <w:contextualSpacing/>
              <w:rPr>
                <w:rFonts w:eastAsiaTheme="minorHAnsi" w:cs="Arial"/>
                <w:sz w:val="21"/>
              </w:rPr>
            </w:pP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68EFBBE1" w14:textId="2C4DB16E" w:rsidR="00F2350B" w:rsidRPr="00373DCC" w:rsidRDefault="009E420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50078FA3" w14:textId="71B10A59" w:rsidR="00F2350B" w:rsidRPr="00373DCC" w:rsidRDefault="009E4200"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7535B5D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479D3637" w14:textId="77777777" w:rsidR="00F2350B" w:rsidRPr="00373DCC" w:rsidRDefault="00F2350B" w:rsidP="00710B91">
            <w:pPr>
              <w:widowControl w:val="0"/>
              <w:spacing w:line="240" w:lineRule="atLeast"/>
              <w:contextualSpacing/>
              <w:rPr>
                <w:rFonts w:eastAsiaTheme="minorHAnsi" w:cs="Arial"/>
                <w:bCs/>
                <w:sz w:val="21"/>
              </w:rPr>
            </w:pPr>
            <w:r w:rsidRPr="00373DCC">
              <w:rPr>
                <w:rFonts w:eastAsiaTheme="minorHAnsi" w:cs="Arial"/>
                <w:bCs/>
                <w:sz w:val="21"/>
              </w:rPr>
              <w:t>Conformity assessment applications</w:t>
            </w:r>
          </w:p>
        </w:tc>
      </w:tr>
      <w:tr w:rsidR="00F2350B" w:rsidRPr="00373DCC" w14:paraId="1D2210E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bottom w:val="single" w:sz="4" w:space="0" w:color="002C47"/>
            </w:tcBorders>
            <w:vAlign w:val="center"/>
          </w:tcPr>
          <w:p w14:paraId="288D0AF6" w14:textId="77777777" w:rsidR="00F2350B" w:rsidRPr="00373DCC" w:rsidRDefault="00F2350B" w:rsidP="00710B91">
            <w:pPr>
              <w:widowControl w:val="0"/>
              <w:spacing w:line="240" w:lineRule="atLeast"/>
              <w:contextualSpacing/>
              <w:rPr>
                <w:rFonts w:eastAsiaTheme="minorHAnsi" w:cs="Arial"/>
                <w:sz w:val="21"/>
              </w:rPr>
            </w:pPr>
            <w:r w:rsidRPr="00373DCC">
              <w:rPr>
                <w:rFonts w:eastAsiaTheme="minorHAnsi" w:cs="Arial"/>
                <w:sz w:val="21"/>
              </w:rPr>
              <w:t xml:space="preserve">Applications received </w:t>
            </w:r>
          </w:p>
        </w:tc>
        <w:tc>
          <w:tcPr>
            <w:tcW w:w="786" w:type="pct"/>
            <w:tcBorders>
              <w:top w:val="single" w:sz="4" w:space="0" w:color="auto"/>
              <w:bottom w:val="single" w:sz="4" w:space="0" w:color="002C47"/>
            </w:tcBorders>
            <w:vAlign w:val="center"/>
          </w:tcPr>
          <w:p w14:paraId="45EA58E8"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191</w:t>
            </w:r>
          </w:p>
        </w:tc>
        <w:tc>
          <w:tcPr>
            <w:tcW w:w="786" w:type="pct"/>
            <w:tcBorders>
              <w:top w:val="single" w:sz="4" w:space="0" w:color="auto"/>
              <w:bottom w:val="single" w:sz="4" w:space="0" w:color="002C47"/>
            </w:tcBorders>
            <w:vAlign w:val="center"/>
          </w:tcPr>
          <w:p w14:paraId="4A619871"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202</w:t>
            </w:r>
          </w:p>
        </w:tc>
      </w:tr>
      <w:tr w:rsidR="00F2350B" w:rsidRPr="00373DCC" w14:paraId="1066CDC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8" w:type="pct"/>
            <w:tcBorders>
              <w:bottom w:val="single" w:sz="4" w:space="0" w:color="002C47"/>
            </w:tcBorders>
            <w:vAlign w:val="center"/>
          </w:tcPr>
          <w:p w14:paraId="3EF020D3" w14:textId="77777777" w:rsidR="00F2350B" w:rsidRPr="00373DCC" w:rsidRDefault="00F2350B" w:rsidP="00710B91">
            <w:pPr>
              <w:widowControl w:val="0"/>
              <w:spacing w:line="240" w:lineRule="atLeast"/>
              <w:contextualSpacing/>
              <w:rPr>
                <w:rFonts w:eastAsiaTheme="minorHAnsi" w:cs="Arial"/>
                <w:sz w:val="21"/>
              </w:rPr>
            </w:pPr>
            <w:r w:rsidRPr="00373DCC">
              <w:rPr>
                <w:rFonts w:eastAsiaTheme="minorHAnsi" w:cs="Arial"/>
                <w:sz w:val="21"/>
              </w:rPr>
              <w:t>Applications on hand</w:t>
            </w:r>
          </w:p>
        </w:tc>
        <w:tc>
          <w:tcPr>
            <w:tcW w:w="786" w:type="pct"/>
            <w:tcBorders>
              <w:bottom w:val="single" w:sz="4" w:space="0" w:color="002C47"/>
            </w:tcBorders>
            <w:vAlign w:val="center"/>
          </w:tcPr>
          <w:p w14:paraId="1D28187E"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169</w:t>
            </w:r>
          </w:p>
        </w:tc>
        <w:tc>
          <w:tcPr>
            <w:tcW w:w="786" w:type="pct"/>
            <w:tcBorders>
              <w:bottom w:val="single" w:sz="4" w:space="0" w:color="002C47"/>
            </w:tcBorders>
            <w:vAlign w:val="center"/>
          </w:tcPr>
          <w:p w14:paraId="26406B72"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119</w:t>
            </w:r>
          </w:p>
        </w:tc>
      </w:tr>
      <w:tr w:rsidR="00F2350B" w:rsidRPr="00373DCC" w14:paraId="3A19CC8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8" w:type="pct"/>
            <w:vAlign w:val="center"/>
          </w:tcPr>
          <w:p w14:paraId="52F2260F" w14:textId="77777777" w:rsidR="00F2350B" w:rsidRPr="00373DCC" w:rsidRDefault="00F2350B" w:rsidP="00710B91">
            <w:pPr>
              <w:widowControl w:val="0"/>
              <w:spacing w:line="240" w:lineRule="atLeast"/>
              <w:contextualSpacing/>
              <w:rPr>
                <w:rFonts w:eastAsiaTheme="minorHAnsi" w:cs="Arial"/>
                <w:sz w:val="21"/>
                <w:vertAlign w:val="superscript"/>
              </w:rPr>
            </w:pPr>
            <w:r w:rsidRPr="00373DCC">
              <w:rPr>
                <w:rFonts w:eastAsiaTheme="minorHAnsi" w:cs="Arial"/>
                <w:sz w:val="21"/>
              </w:rPr>
              <w:t>Applications completed (including withdrawn or lapsed applications).</w:t>
            </w:r>
          </w:p>
        </w:tc>
        <w:tc>
          <w:tcPr>
            <w:tcW w:w="786" w:type="pct"/>
            <w:vAlign w:val="center"/>
          </w:tcPr>
          <w:p w14:paraId="2EAAFF91"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278</w:t>
            </w:r>
          </w:p>
        </w:tc>
        <w:tc>
          <w:tcPr>
            <w:tcW w:w="786" w:type="pct"/>
            <w:vAlign w:val="center"/>
          </w:tcPr>
          <w:p w14:paraId="711B29A7" w14:textId="77777777" w:rsidR="00F2350B" w:rsidRPr="00373DCC" w:rsidRDefault="00F2350B" w:rsidP="00710B91">
            <w:pPr>
              <w:widowControl w:val="0"/>
              <w:spacing w:line="24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204</w:t>
            </w:r>
          </w:p>
        </w:tc>
      </w:tr>
    </w:tbl>
    <w:p w14:paraId="0AC911D2" w14:textId="77777777" w:rsidR="00F2350B" w:rsidRPr="00373DCC" w:rsidRDefault="00F2350B" w:rsidP="00F2350B">
      <w:pPr>
        <w:rPr>
          <w:rFonts w:eastAsia="Cambria" w:cs="Arial"/>
          <w:szCs w:val="22"/>
        </w:rPr>
      </w:pPr>
    </w:p>
    <w:p w14:paraId="5EBD5B89"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8.1.2 Outcomes</w:t>
      </w:r>
    </w:p>
    <w:p w14:paraId="216D8418" w14:textId="77777777" w:rsidR="00F2350B" w:rsidRPr="00373DCC" w:rsidRDefault="00F2350B" w:rsidP="00F2350B">
      <w:pPr>
        <w:keepNext/>
        <w:spacing w:before="240" w:after="120" w:line="240" w:lineRule="auto"/>
        <w:rPr>
          <w:rFonts w:eastAsia="Cambria" w:cs="Arial"/>
          <w:b/>
          <w:bCs/>
          <w:sz w:val="21"/>
          <w:szCs w:val="21"/>
        </w:rPr>
      </w:pPr>
      <w:bookmarkStart w:id="174" w:name="Table37"/>
      <w:r w:rsidRPr="00373DCC">
        <w:rPr>
          <w:rFonts w:eastAsia="Cambria" w:cs="Arial"/>
          <w:b/>
          <w:bCs/>
          <w:sz w:val="21"/>
          <w:szCs w:val="21"/>
        </w:rPr>
        <w:t>Table 37: Outcomes of conformity assessment applications</w:t>
      </w:r>
    </w:p>
    <w:bookmarkEnd w:id="174"/>
    <w:tbl>
      <w:tblPr>
        <w:tblStyle w:val="TableGrid2"/>
        <w:tblW w:w="5000" w:type="pct"/>
        <w:tblLook w:val="04A0" w:firstRow="1" w:lastRow="0" w:firstColumn="1" w:lastColumn="0" w:noHBand="0" w:noVBand="1"/>
      </w:tblPr>
      <w:tblGrid>
        <w:gridCol w:w="6030"/>
        <w:gridCol w:w="1517"/>
        <w:gridCol w:w="1474"/>
      </w:tblGrid>
      <w:tr w:rsidR="00F2350B" w:rsidRPr="00373DCC" w14:paraId="2FD6C989" w14:textId="77777777" w:rsidTr="009E4200">
        <w:trPr>
          <w:trHeight w:val="516"/>
          <w:tblHeader/>
        </w:trPr>
        <w:tc>
          <w:tcPr>
            <w:tcW w:w="3342" w:type="pct"/>
            <w:tcBorders>
              <w:top w:val="nil"/>
              <w:left w:val="nil"/>
              <w:bottom w:val="nil"/>
              <w:right w:val="single" w:sz="4" w:space="0" w:color="auto"/>
            </w:tcBorders>
            <w:vAlign w:val="center"/>
          </w:tcPr>
          <w:p w14:paraId="017140B9" w14:textId="77777777" w:rsidR="00F2350B" w:rsidRPr="00373DCC" w:rsidRDefault="00F2350B" w:rsidP="00710B91">
            <w:pPr>
              <w:widowControl w:val="0"/>
              <w:spacing w:before="0" w:after="0" w:line="200" w:lineRule="atLeast"/>
              <w:contextualSpacing/>
              <w:rPr>
                <w:rFonts w:cs="Arial"/>
                <w:color w:val="FFFFFF" w:themeColor="background1"/>
                <w:sz w:val="21"/>
              </w:rPr>
            </w:pPr>
          </w:p>
        </w:tc>
        <w:tc>
          <w:tcPr>
            <w:tcW w:w="841" w:type="pct"/>
            <w:tcBorders>
              <w:left w:val="single" w:sz="4" w:space="0" w:color="auto"/>
              <w:right w:val="single" w:sz="4" w:space="0" w:color="auto"/>
            </w:tcBorders>
            <w:shd w:val="clear" w:color="auto" w:fill="29527F"/>
            <w:vAlign w:val="center"/>
          </w:tcPr>
          <w:p w14:paraId="70CCAEEE" w14:textId="2DC76317" w:rsidR="00F2350B" w:rsidRPr="00373DCC" w:rsidRDefault="009E4200" w:rsidP="00710B91">
            <w:pPr>
              <w:widowControl w:val="0"/>
              <w:spacing w:before="0" w:after="0" w:line="200" w:lineRule="atLeast"/>
              <w:contextualSpacing/>
              <w:jc w:val="center"/>
              <w:rPr>
                <w:rFonts w:cs="Arial"/>
                <w:b/>
                <w:bCs/>
                <w:color w:val="FFFFFF" w:themeColor="background1"/>
                <w:sz w:val="21"/>
              </w:rPr>
            </w:pPr>
            <w:r>
              <w:rPr>
                <w:rFonts w:cs="Arial"/>
                <w:b/>
                <w:bCs/>
                <w:color w:val="FFFFFF" w:themeColor="background1"/>
                <w:sz w:val="21"/>
              </w:rPr>
              <w:t xml:space="preserve">FY </w:t>
            </w:r>
            <w:r w:rsidR="00F2350B" w:rsidRPr="00373DCC">
              <w:rPr>
                <w:rFonts w:cs="Arial"/>
                <w:b/>
                <w:bCs/>
                <w:color w:val="FFFFFF" w:themeColor="background1"/>
                <w:sz w:val="21"/>
              </w:rPr>
              <w:t>2021-22</w:t>
            </w:r>
          </w:p>
        </w:tc>
        <w:tc>
          <w:tcPr>
            <w:tcW w:w="817" w:type="pct"/>
            <w:tcBorders>
              <w:left w:val="single" w:sz="4" w:space="0" w:color="auto"/>
            </w:tcBorders>
            <w:shd w:val="clear" w:color="auto" w:fill="29527F"/>
            <w:vAlign w:val="center"/>
          </w:tcPr>
          <w:p w14:paraId="775FC35D" w14:textId="6DE33803" w:rsidR="00F2350B" w:rsidRPr="00373DCC" w:rsidRDefault="009E4200" w:rsidP="00710B91">
            <w:pPr>
              <w:widowControl w:val="0"/>
              <w:spacing w:before="0" w:after="0" w:line="200" w:lineRule="atLeast"/>
              <w:contextualSpacing/>
              <w:jc w:val="center"/>
              <w:rPr>
                <w:rFonts w:cs="Arial"/>
                <w:b/>
                <w:bCs/>
                <w:color w:val="FFFFFF" w:themeColor="background1"/>
                <w:sz w:val="21"/>
              </w:rPr>
            </w:pPr>
            <w:r>
              <w:rPr>
                <w:rFonts w:cs="Arial"/>
                <w:b/>
                <w:bCs/>
                <w:color w:val="FFFFFF" w:themeColor="background1"/>
                <w:sz w:val="21"/>
              </w:rPr>
              <w:t xml:space="preserve">FY </w:t>
            </w:r>
            <w:r w:rsidR="00F2350B" w:rsidRPr="00373DCC">
              <w:rPr>
                <w:rFonts w:cs="Arial"/>
                <w:b/>
                <w:bCs/>
                <w:color w:val="FFFFFF" w:themeColor="background1"/>
                <w:sz w:val="21"/>
              </w:rPr>
              <w:t>2022-23</w:t>
            </w:r>
          </w:p>
        </w:tc>
      </w:tr>
      <w:tr w:rsidR="00F2350B" w:rsidRPr="00373DCC" w14:paraId="027FB36B" w14:textId="77777777" w:rsidTr="00710B91">
        <w:trPr>
          <w:trHeight w:val="340"/>
        </w:trPr>
        <w:tc>
          <w:tcPr>
            <w:tcW w:w="5000" w:type="pct"/>
            <w:gridSpan w:val="3"/>
            <w:tcBorders>
              <w:top w:val="single" w:sz="4" w:space="0" w:color="auto"/>
            </w:tcBorders>
            <w:shd w:val="clear" w:color="auto" w:fill="8CADD3"/>
            <w:vAlign w:val="center"/>
          </w:tcPr>
          <w:p w14:paraId="13857900" w14:textId="77777777" w:rsidR="00F2350B" w:rsidRPr="00373DCC" w:rsidRDefault="00F2350B" w:rsidP="00710B91">
            <w:pPr>
              <w:keepNext/>
              <w:keepLines/>
              <w:tabs>
                <w:tab w:val="left" w:pos="907"/>
                <w:tab w:val="left" w:pos="1134"/>
              </w:tabs>
              <w:spacing w:before="0" w:after="0" w:line="240" w:lineRule="atLeast"/>
              <w:outlineLvl w:val="4"/>
              <w:rPr>
                <w:rFonts w:cs="Arial"/>
                <w:color w:val="000000"/>
                <w:sz w:val="21"/>
              </w:rPr>
            </w:pPr>
            <w:r w:rsidRPr="00373DCC">
              <w:rPr>
                <w:rFonts w:cs="Arial"/>
                <w:color w:val="000000"/>
                <w:sz w:val="21"/>
              </w:rPr>
              <w:t xml:space="preserve">New </w:t>
            </w:r>
          </w:p>
        </w:tc>
      </w:tr>
      <w:tr w:rsidR="00F2350B" w:rsidRPr="00373DCC" w14:paraId="0EC33C79" w14:textId="77777777" w:rsidTr="00710B91">
        <w:trPr>
          <w:trHeight w:val="340"/>
        </w:trPr>
        <w:tc>
          <w:tcPr>
            <w:tcW w:w="3342" w:type="pct"/>
            <w:vAlign w:val="center"/>
          </w:tcPr>
          <w:p w14:paraId="7812CF1C" w14:textId="77777777" w:rsidR="00F2350B" w:rsidRPr="00373DCC" w:rsidRDefault="00F2350B" w:rsidP="00710B91">
            <w:pPr>
              <w:spacing w:before="0" w:after="0" w:line="240" w:lineRule="atLeast"/>
              <w:contextualSpacing/>
              <w:rPr>
                <w:rFonts w:cs="Arial"/>
                <w:sz w:val="21"/>
              </w:rPr>
            </w:pPr>
            <w:r w:rsidRPr="00373DCC">
              <w:rPr>
                <w:rFonts w:cs="Arial"/>
                <w:sz w:val="21"/>
              </w:rPr>
              <w:t>Approved</w:t>
            </w:r>
          </w:p>
        </w:tc>
        <w:tc>
          <w:tcPr>
            <w:tcW w:w="841" w:type="pct"/>
            <w:vAlign w:val="center"/>
          </w:tcPr>
          <w:p w14:paraId="04A04AB5"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51</w:t>
            </w:r>
          </w:p>
        </w:tc>
        <w:tc>
          <w:tcPr>
            <w:tcW w:w="817" w:type="pct"/>
            <w:vAlign w:val="center"/>
          </w:tcPr>
          <w:p w14:paraId="145EAA98"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22</w:t>
            </w:r>
          </w:p>
        </w:tc>
      </w:tr>
      <w:tr w:rsidR="00F2350B" w:rsidRPr="00373DCC" w14:paraId="4687B3A7" w14:textId="77777777" w:rsidTr="00710B91">
        <w:trPr>
          <w:trHeight w:val="340"/>
        </w:trPr>
        <w:tc>
          <w:tcPr>
            <w:tcW w:w="3342" w:type="pct"/>
            <w:vAlign w:val="center"/>
          </w:tcPr>
          <w:p w14:paraId="72F3AAB9" w14:textId="77777777" w:rsidR="00F2350B" w:rsidRPr="00373DCC" w:rsidRDefault="00F2350B" w:rsidP="00710B91">
            <w:pPr>
              <w:spacing w:before="0" w:after="0" w:line="240" w:lineRule="atLeast"/>
              <w:contextualSpacing/>
              <w:rPr>
                <w:rFonts w:cs="Arial"/>
                <w:sz w:val="21"/>
              </w:rPr>
            </w:pPr>
            <w:r w:rsidRPr="00373DCC">
              <w:rPr>
                <w:rFonts w:cs="Arial"/>
                <w:sz w:val="21"/>
              </w:rPr>
              <w:t>Rejected</w:t>
            </w:r>
          </w:p>
        </w:tc>
        <w:tc>
          <w:tcPr>
            <w:tcW w:w="841" w:type="pct"/>
            <w:vAlign w:val="center"/>
          </w:tcPr>
          <w:p w14:paraId="08E960F7"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0</w:t>
            </w:r>
          </w:p>
        </w:tc>
        <w:tc>
          <w:tcPr>
            <w:tcW w:w="817" w:type="pct"/>
            <w:vAlign w:val="center"/>
          </w:tcPr>
          <w:p w14:paraId="7C398A9D"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0</w:t>
            </w:r>
          </w:p>
        </w:tc>
      </w:tr>
      <w:tr w:rsidR="00F2350B" w:rsidRPr="00373DCC" w14:paraId="683A9531" w14:textId="77777777" w:rsidTr="00710B91">
        <w:trPr>
          <w:trHeight w:val="340"/>
        </w:trPr>
        <w:tc>
          <w:tcPr>
            <w:tcW w:w="3342" w:type="pct"/>
            <w:vAlign w:val="center"/>
          </w:tcPr>
          <w:p w14:paraId="5F03E901" w14:textId="77777777" w:rsidR="00F2350B" w:rsidRPr="00373DCC" w:rsidRDefault="00F2350B" w:rsidP="00710B91">
            <w:pPr>
              <w:spacing w:before="0" w:after="0" w:line="240" w:lineRule="atLeast"/>
              <w:contextualSpacing/>
              <w:rPr>
                <w:rFonts w:cs="Arial"/>
                <w:sz w:val="21"/>
              </w:rPr>
            </w:pPr>
            <w:r w:rsidRPr="00373DCC">
              <w:rPr>
                <w:rFonts w:cs="Arial"/>
                <w:sz w:val="21"/>
              </w:rPr>
              <w:t>Withdrawn/ Lapsed</w:t>
            </w:r>
          </w:p>
        </w:tc>
        <w:tc>
          <w:tcPr>
            <w:tcW w:w="841" w:type="pct"/>
            <w:vAlign w:val="center"/>
          </w:tcPr>
          <w:p w14:paraId="340EB550"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36</w:t>
            </w:r>
          </w:p>
        </w:tc>
        <w:tc>
          <w:tcPr>
            <w:tcW w:w="817" w:type="pct"/>
            <w:vAlign w:val="center"/>
          </w:tcPr>
          <w:p w14:paraId="334E91C2"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28</w:t>
            </w:r>
          </w:p>
        </w:tc>
      </w:tr>
      <w:tr w:rsidR="00F2350B" w:rsidRPr="00373DCC" w14:paraId="3655FA7C" w14:textId="77777777" w:rsidTr="00710B91">
        <w:trPr>
          <w:trHeight w:val="340"/>
        </w:trPr>
        <w:tc>
          <w:tcPr>
            <w:tcW w:w="5000" w:type="pct"/>
            <w:gridSpan w:val="3"/>
            <w:shd w:val="clear" w:color="auto" w:fill="8CADD3"/>
            <w:vAlign w:val="center"/>
          </w:tcPr>
          <w:p w14:paraId="2A7A7136" w14:textId="77777777" w:rsidR="00F2350B" w:rsidRPr="00373DCC" w:rsidRDefault="00F2350B" w:rsidP="00710B91">
            <w:pPr>
              <w:keepNext/>
              <w:keepLines/>
              <w:tabs>
                <w:tab w:val="left" w:pos="907"/>
                <w:tab w:val="left" w:pos="1134"/>
              </w:tabs>
              <w:spacing w:before="0" w:after="0" w:line="240" w:lineRule="atLeast"/>
              <w:outlineLvl w:val="4"/>
              <w:rPr>
                <w:rFonts w:cs="Arial"/>
                <w:color w:val="000000"/>
                <w:sz w:val="21"/>
              </w:rPr>
            </w:pPr>
            <w:r w:rsidRPr="00373DCC">
              <w:rPr>
                <w:rFonts w:cs="Arial"/>
                <w:color w:val="000000"/>
                <w:sz w:val="21"/>
              </w:rPr>
              <w:t>Variation (changes and re-certifications)</w:t>
            </w:r>
          </w:p>
        </w:tc>
      </w:tr>
      <w:tr w:rsidR="00F2350B" w:rsidRPr="00373DCC" w14:paraId="37BD88A9" w14:textId="77777777" w:rsidTr="00710B91">
        <w:trPr>
          <w:trHeight w:val="340"/>
        </w:trPr>
        <w:tc>
          <w:tcPr>
            <w:tcW w:w="3342" w:type="pct"/>
            <w:vAlign w:val="center"/>
          </w:tcPr>
          <w:p w14:paraId="1B774708" w14:textId="77777777" w:rsidR="00F2350B" w:rsidRPr="00373DCC" w:rsidRDefault="00F2350B" w:rsidP="00710B91">
            <w:pPr>
              <w:spacing w:before="0" w:after="0" w:line="240" w:lineRule="atLeast"/>
              <w:contextualSpacing/>
              <w:rPr>
                <w:rFonts w:cs="Arial"/>
                <w:sz w:val="21"/>
              </w:rPr>
            </w:pPr>
            <w:r w:rsidRPr="00373DCC">
              <w:rPr>
                <w:rFonts w:cs="Arial"/>
                <w:sz w:val="21"/>
              </w:rPr>
              <w:t>Approved</w:t>
            </w:r>
          </w:p>
        </w:tc>
        <w:tc>
          <w:tcPr>
            <w:tcW w:w="841" w:type="pct"/>
            <w:vAlign w:val="center"/>
          </w:tcPr>
          <w:p w14:paraId="49ECCB88"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162</w:t>
            </w:r>
          </w:p>
        </w:tc>
        <w:tc>
          <w:tcPr>
            <w:tcW w:w="817" w:type="pct"/>
            <w:vAlign w:val="center"/>
          </w:tcPr>
          <w:p w14:paraId="1C490124"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136</w:t>
            </w:r>
          </w:p>
        </w:tc>
      </w:tr>
      <w:tr w:rsidR="00F2350B" w:rsidRPr="00373DCC" w14:paraId="3F43F0B9" w14:textId="77777777" w:rsidTr="00710B91">
        <w:trPr>
          <w:trHeight w:val="340"/>
        </w:trPr>
        <w:tc>
          <w:tcPr>
            <w:tcW w:w="3342" w:type="pct"/>
            <w:vAlign w:val="center"/>
          </w:tcPr>
          <w:p w14:paraId="7D309947" w14:textId="77777777" w:rsidR="00F2350B" w:rsidRPr="00373DCC" w:rsidRDefault="00F2350B" w:rsidP="00710B91">
            <w:pPr>
              <w:spacing w:before="0" w:after="0" w:line="240" w:lineRule="atLeast"/>
              <w:contextualSpacing/>
              <w:rPr>
                <w:rFonts w:cs="Arial"/>
                <w:sz w:val="21"/>
              </w:rPr>
            </w:pPr>
            <w:r w:rsidRPr="00373DCC">
              <w:rPr>
                <w:rFonts w:cs="Arial"/>
                <w:sz w:val="21"/>
              </w:rPr>
              <w:t>Rejected</w:t>
            </w:r>
          </w:p>
        </w:tc>
        <w:tc>
          <w:tcPr>
            <w:tcW w:w="841" w:type="pct"/>
            <w:vAlign w:val="center"/>
          </w:tcPr>
          <w:p w14:paraId="4C75297C"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0</w:t>
            </w:r>
          </w:p>
        </w:tc>
        <w:tc>
          <w:tcPr>
            <w:tcW w:w="817" w:type="pct"/>
            <w:vAlign w:val="center"/>
          </w:tcPr>
          <w:p w14:paraId="45C55B14"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0</w:t>
            </w:r>
          </w:p>
        </w:tc>
      </w:tr>
      <w:tr w:rsidR="00F2350B" w:rsidRPr="00373DCC" w14:paraId="2C48692D" w14:textId="77777777" w:rsidTr="00710B91">
        <w:trPr>
          <w:trHeight w:val="340"/>
        </w:trPr>
        <w:tc>
          <w:tcPr>
            <w:tcW w:w="3342" w:type="pct"/>
            <w:vAlign w:val="center"/>
          </w:tcPr>
          <w:p w14:paraId="2C76B69C" w14:textId="77777777" w:rsidR="00F2350B" w:rsidRPr="00373DCC" w:rsidRDefault="00F2350B" w:rsidP="00710B91">
            <w:pPr>
              <w:spacing w:before="0" w:after="0" w:line="240" w:lineRule="atLeast"/>
              <w:contextualSpacing/>
              <w:rPr>
                <w:rFonts w:cs="Arial"/>
                <w:sz w:val="21"/>
              </w:rPr>
            </w:pPr>
            <w:r w:rsidRPr="00373DCC">
              <w:rPr>
                <w:rFonts w:cs="Arial"/>
                <w:sz w:val="21"/>
              </w:rPr>
              <w:t>Withdrawn/ Lapsed</w:t>
            </w:r>
          </w:p>
        </w:tc>
        <w:tc>
          <w:tcPr>
            <w:tcW w:w="841" w:type="pct"/>
            <w:vAlign w:val="center"/>
          </w:tcPr>
          <w:p w14:paraId="61484A7F"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29</w:t>
            </w:r>
          </w:p>
        </w:tc>
        <w:tc>
          <w:tcPr>
            <w:tcW w:w="817" w:type="pct"/>
            <w:vAlign w:val="center"/>
          </w:tcPr>
          <w:p w14:paraId="2D5EE372" w14:textId="77777777" w:rsidR="00F2350B" w:rsidRPr="00373DCC" w:rsidRDefault="00F2350B" w:rsidP="00710B91">
            <w:pPr>
              <w:widowControl w:val="0"/>
              <w:spacing w:before="0" w:after="0" w:line="240" w:lineRule="atLeast"/>
              <w:contextualSpacing/>
              <w:jc w:val="right"/>
              <w:rPr>
                <w:rFonts w:cs="Arial"/>
                <w:sz w:val="21"/>
              </w:rPr>
            </w:pPr>
            <w:r w:rsidRPr="00373DCC">
              <w:rPr>
                <w:rFonts w:cs="Arial"/>
                <w:sz w:val="21"/>
              </w:rPr>
              <w:t>18</w:t>
            </w:r>
          </w:p>
        </w:tc>
      </w:tr>
    </w:tbl>
    <w:p w14:paraId="70F7B83D" w14:textId="77777777" w:rsidR="00F2350B" w:rsidRPr="00373DCC" w:rsidRDefault="00F2350B" w:rsidP="00F2350B">
      <w:pPr>
        <w:spacing w:after="180" w:line="240" w:lineRule="atLeast"/>
        <w:rPr>
          <w:rFonts w:eastAsia="Cambria" w:cs="Arial"/>
          <w:szCs w:val="22"/>
        </w:rPr>
      </w:pPr>
    </w:p>
    <w:p w14:paraId="6A63F4A5" w14:textId="77777777" w:rsidR="00F2350B" w:rsidRPr="00373DCC" w:rsidRDefault="00F2350B" w:rsidP="00F2350B">
      <w:pPr>
        <w:rPr>
          <w:rFonts w:eastAsia="Cambria" w:cs="Arial"/>
          <w:szCs w:val="22"/>
        </w:rPr>
      </w:pPr>
      <w:r w:rsidRPr="00373DCC">
        <w:rPr>
          <w:rFonts w:eastAsia="Cambria" w:cs="Arial"/>
          <w:szCs w:val="22"/>
        </w:rPr>
        <w:br w:type="page"/>
      </w:r>
    </w:p>
    <w:p w14:paraId="17AD3AC8"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lastRenderedPageBreak/>
        <w:t>8.1.3. Processing timeframes</w:t>
      </w:r>
    </w:p>
    <w:p w14:paraId="6BB4C027" w14:textId="77777777" w:rsidR="00F2350B" w:rsidRPr="00373DCC" w:rsidRDefault="00F2350B" w:rsidP="00F2350B">
      <w:pPr>
        <w:rPr>
          <w:rFonts w:cs="Arial"/>
          <w:sz w:val="21"/>
          <w:szCs w:val="21"/>
        </w:rPr>
      </w:pPr>
      <w:r w:rsidRPr="00373DCC">
        <w:rPr>
          <w:rFonts w:cs="Arial"/>
          <w:sz w:val="21"/>
          <w:szCs w:val="21"/>
        </w:rPr>
        <w:t>We are required to complete our review of conformity assessment applications within 255 working days.</w:t>
      </w:r>
    </w:p>
    <w:p w14:paraId="103C8C89" w14:textId="77777777" w:rsidR="00F2350B" w:rsidRPr="00373DCC" w:rsidRDefault="00F2350B" w:rsidP="00F2350B">
      <w:pPr>
        <w:keepNext/>
        <w:spacing w:before="240" w:after="120" w:line="240" w:lineRule="auto"/>
        <w:rPr>
          <w:rFonts w:eastAsia="Cambria" w:cs="Arial"/>
          <w:b/>
          <w:bCs/>
          <w:sz w:val="21"/>
          <w:szCs w:val="21"/>
        </w:rPr>
      </w:pPr>
      <w:bookmarkStart w:id="175" w:name="Table38"/>
      <w:r w:rsidRPr="00373DCC">
        <w:rPr>
          <w:rFonts w:eastAsia="Cambria" w:cs="Arial"/>
          <w:b/>
          <w:sz w:val="21"/>
          <w:szCs w:val="21"/>
        </w:rPr>
        <w:t>Table 38: TGA conformity assessment processing times for new devices and variations</w:t>
      </w:r>
    </w:p>
    <w:bookmarkEnd w:id="175"/>
    <w:tbl>
      <w:tblPr>
        <w:tblStyle w:val="TableTGAblue"/>
        <w:tblpPr w:leftFromText="180" w:rightFromText="180" w:vertAnchor="text" w:horzAnchor="margin" w:tblpY="20"/>
        <w:tblW w:w="5002" w:type="pct"/>
        <w:tblLook w:val="04A0" w:firstRow="1" w:lastRow="0" w:firstColumn="1" w:lastColumn="0" w:noHBand="0" w:noVBand="1"/>
      </w:tblPr>
      <w:tblGrid>
        <w:gridCol w:w="6070"/>
        <w:gridCol w:w="1525"/>
        <w:gridCol w:w="1430"/>
      </w:tblGrid>
      <w:tr w:rsidR="00F2350B" w:rsidRPr="00373DCC" w14:paraId="52825128" w14:textId="77777777" w:rsidTr="009E4200">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3" w:type="pct"/>
            <w:tcBorders>
              <w:top w:val="nil"/>
              <w:left w:val="nil"/>
              <w:bottom w:val="nil"/>
              <w:right w:val="single" w:sz="4" w:space="0" w:color="auto"/>
            </w:tcBorders>
            <w:shd w:val="clear" w:color="auto" w:fill="FFFFFF" w:themeFill="background1"/>
            <w:vAlign w:val="center"/>
          </w:tcPr>
          <w:p w14:paraId="7DE81AB0" w14:textId="77777777" w:rsidR="00F2350B" w:rsidRPr="00373DCC" w:rsidRDefault="00F2350B" w:rsidP="00710B91">
            <w:pPr>
              <w:widowControl w:val="0"/>
              <w:spacing w:before="0" w:after="0" w:line="240" w:lineRule="atLeast"/>
              <w:contextualSpacing/>
              <w:rPr>
                <w:rFonts w:eastAsiaTheme="minorHAnsi" w:cs="Arial"/>
                <w:color w:val="FFFFFF" w:themeColor="background1"/>
                <w:sz w:val="21"/>
              </w:rPr>
            </w:pPr>
          </w:p>
        </w:tc>
        <w:tc>
          <w:tcPr>
            <w:tcW w:w="845" w:type="pct"/>
            <w:tcBorders>
              <w:top w:val="single" w:sz="4" w:space="0" w:color="auto"/>
              <w:left w:val="single" w:sz="4" w:space="0" w:color="auto"/>
              <w:bottom w:val="single" w:sz="4" w:space="0" w:color="auto"/>
              <w:right w:val="single" w:sz="4" w:space="0" w:color="auto"/>
            </w:tcBorders>
            <w:shd w:val="clear" w:color="auto" w:fill="29527F"/>
            <w:vAlign w:val="center"/>
          </w:tcPr>
          <w:p w14:paraId="4C54D79C" w14:textId="79208831"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792" w:type="pct"/>
            <w:tcBorders>
              <w:top w:val="single" w:sz="4" w:space="0" w:color="auto"/>
              <w:left w:val="single" w:sz="4" w:space="0" w:color="auto"/>
              <w:bottom w:val="single" w:sz="4" w:space="0" w:color="auto"/>
              <w:right w:val="single" w:sz="4" w:space="0" w:color="auto"/>
            </w:tcBorders>
            <w:shd w:val="clear" w:color="auto" w:fill="29527F"/>
            <w:vAlign w:val="center"/>
          </w:tcPr>
          <w:p w14:paraId="6DE0574F" w14:textId="09E760FB"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7105584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8CADD3"/>
            <w:vAlign w:val="center"/>
          </w:tcPr>
          <w:p w14:paraId="0715F930"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New devices</w:t>
            </w:r>
          </w:p>
        </w:tc>
      </w:tr>
      <w:tr w:rsidR="00F2350B" w:rsidRPr="00373DCC" w14:paraId="1D503A7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517FA86"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Mean TGA processing time (days)</w:t>
            </w:r>
            <w:r w:rsidRPr="00373DCC">
              <w:rPr>
                <w:rFonts w:eastAsiaTheme="minorHAnsi" w:cs="Arial"/>
                <w:sz w:val="21"/>
                <w:vertAlign w:val="superscript"/>
              </w:rPr>
              <w:t xml:space="preserve"> </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3F2CE0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139</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4D5E8C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148</w:t>
            </w:r>
          </w:p>
        </w:tc>
      </w:tr>
      <w:tr w:rsidR="00F2350B" w:rsidRPr="00373DCC" w14:paraId="4F0A43F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9E0B497" w14:textId="77777777" w:rsidR="00F2350B" w:rsidRPr="00373DCC" w:rsidRDefault="00F2350B" w:rsidP="00710B91">
            <w:pPr>
              <w:spacing w:before="0" w:after="0" w:line="240" w:lineRule="atLeast"/>
              <w:contextualSpacing/>
              <w:rPr>
                <w:rFonts w:cs="Arial"/>
                <w:b/>
                <w:bCs/>
                <w:sz w:val="21"/>
              </w:rPr>
            </w:pPr>
            <w:r w:rsidRPr="48ECC65F">
              <w:rPr>
                <w:rFonts w:eastAsiaTheme="minorEastAsia" w:cs="Arial"/>
                <w:sz w:val="21"/>
              </w:rPr>
              <w:t>Mean TGA processing time (days) – applications requiring assessment</w:t>
            </w:r>
            <w:r w:rsidRPr="48ECC65F">
              <w:rPr>
                <w:rFonts w:cs="Arial"/>
                <w:b/>
                <w:bCs/>
                <w:sz w:val="21"/>
                <w:vertAlign w:val="superscript"/>
              </w:rPr>
              <w:t xml:space="preserve"> </w:t>
            </w:r>
            <w:r w:rsidRPr="48ECC65F">
              <w:rPr>
                <w:rFonts w:cs="Arial"/>
                <w:sz w:val="21"/>
                <w:vertAlign w:val="superscript"/>
              </w:rPr>
              <w:t>a</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C7CBCE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190</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867BEA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193</w:t>
            </w:r>
          </w:p>
        </w:tc>
      </w:tr>
      <w:tr w:rsidR="00F2350B" w:rsidRPr="00373DCC" w14:paraId="2DE0E1F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7DD59A1"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Median TGA processing time (days)</w:t>
            </w:r>
            <w:r w:rsidRPr="00373DCC">
              <w:rPr>
                <w:rFonts w:eastAsiaTheme="minorHAnsi" w:cs="Arial"/>
                <w:sz w:val="21"/>
                <w:vertAlign w:val="superscript"/>
              </w:rPr>
              <w:t xml:space="preserve"> </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1C4509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168</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354F8F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213</w:t>
            </w:r>
          </w:p>
        </w:tc>
      </w:tr>
      <w:tr w:rsidR="00F2350B" w:rsidRPr="00373DCC" w14:paraId="0B77CA1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749BBB1" w14:textId="77777777" w:rsidR="00F2350B" w:rsidRPr="00373DCC" w:rsidRDefault="00F2350B" w:rsidP="00710B91">
            <w:pPr>
              <w:spacing w:before="0" w:after="0" w:line="240" w:lineRule="atLeast"/>
              <w:contextualSpacing/>
              <w:rPr>
                <w:rFonts w:cs="Arial"/>
                <w:b/>
                <w:bCs/>
                <w:sz w:val="21"/>
              </w:rPr>
            </w:pPr>
            <w:r w:rsidRPr="48ECC65F">
              <w:rPr>
                <w:rFonts w:eastAsiaTheme="minorEastAsia" w:cs="Arial"/>
                <w:sz w:val="21"/>
              </w:rPr>
              <w:t>Median TGA processing time (days) – applications requiring assessment</w:t>
            </w:r>
            <w:r w:rsidRPr="48ECC65F">
              <w:rPr>
                <w:rFonts w:cs="Arial"/>
                <w:b/>
                <w:bCs/>
                <w:sz w:val="21"/>
                <w:vertAlign w:val="superscript"/>
              </w:rPr>
              <w:t xml:space="preserve"> </w:t>
            </w:r>
            <w:r w:rsidRPr="48ECC65F">
              <w:rPr>
                <w:rFonts w:cs="Arial"/>
                <w:sz w:val="21"/>
                <w:vertAlign w:val="superscript"/>
              </w:rPr>
              <w:t>a</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2B22B8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222</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83D872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219</w:t>
            </w:r>
          </w:p>
        </w:tc>
      </w:tr>
      <w:tr w:rsidR="00F2350B" w:rsidRPr="00373DCC" w14:paraId="0DBD797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D9016FE"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 xml:space="preserve">% of applications completed within legislated timeframe </w:t>
            </w:r>
            <w:r w:rsidRPr="00373DCC">
              <w:rPr>
                <w:rFonts w:eastAsiaTheme="minorHAnsi" w:cs="Arial"/>
                <w:sz w:val="21"/>
              </w:rPr>
              <w:br/>
              <w:t>(255 working days)</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BCECAD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100%</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74784C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100%</w:t>
            </w:r>
          </w:p>
        </w:tc>
      </w:tr>
      <w:tr w:rsidR="00F2350B" w:rsidRPr="00373DCC" w14:paraId="7C63D1D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8CADD3"/>
            <w:vAlign w:val="center"/>
          </w:tcPr>
          <w:p w14:paraId="38E9CCD5"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Variations (changes and recertifications)</w:t>
            </w:r>
          </w:p>
        </w:tc>
      </w:tr>
      <w:tr w:rsidR="00F2350B" w:rsidRPr="00373DCC" w14:paraId="7FF6A8A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C76AD88"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Mean TGA processing time (days)</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FEBEE5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146</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92307F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142</w:t>
            </w:r>
          </w:p>
        </w:tc>
      </w:tr>
      <w:tr w:rsidR="00F2350B" w:rsidRPr="00373DCC" w14:paraId="5898380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4B1523B" w14:textId="77777777" w:rsidR="00F2350B" w:rsidRPr="00373DCC" w:rsidRDefault="00F2350B" w:rsidP="00710B91">
            <w:pPr>
              <w:spacing w:before="0" w:after="0" w:line="240" w:lineRule="atLeast"/>
              <w:contextualSpacing/>
              <w:rPr>
                <w:rFonts w:cs="Arial"/>
                <w:b/>
                <w:bCs/>
                <w:sz w:val="21"/>
              </w:rPr>
            </w:pPr>
            <w:r w:rsidRPr="48ECC65F">
              <w:rPr>
                <w:rFonts w:eastAsiaTheme="minorEastAsia" w:cs="Arial"/>
                <w:sz w:val="21"/>
              </w:rPr>
              <w:t>Mean TGA processing time (days) – applications requiring assessment</w:t>
            </w:r>
            <w:r w:rsidRPr="48ECC65F">
              <w:rPr>
                <w:rFonts w:cs="Arial"/>
                <w:b/>
                <w:bCs/>
                <w:sz w:val="21"/>
                <w:vertAlign w:val="superscript"/>
              </w:rPr>
              <w:t xml:space="preserve"> </w:t>
            </w:r>
            <w:r w:rsidRPr="48ECC65F">
              <w:rPr>
                <w:rFonts w:cs="Arial"/>
                <w:sz w:val="21"/>
                <w:vertAlign w:val="superscript"/>
              </w:rPr>
              <w:t>a</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1AC7E9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154</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180786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151</w:t>
            </w:r>
          </w:p>
        </w:tc>
      </w:tr>
      <w:tr w:rsidR="00F2350B" w:rsidRPr="00373DCC" w14:paraId="04C2F8E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2AA1CE3"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Median TGA processing time (days)</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323211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168</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5B8FCB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145</w:t>
            </w:r>
          </w:p>
        </w:tc>
      </w:tr>
      <w:tr w:rsidR="00F2350B" w:rsidRPr="00373DCC" w14:paraId="4DC898D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6D29CC4" w14:textId="77777777" w:rsidR="00F2350B" w:rsidRPr="00373DCC" w:rsidRDefault="00F2350B" w:rsidP="00710B91">
            <w:pPr>
              <w:spacing w:before="0" w:after="0" w:line="240" w:lineRule="atLeast"/>
              <w:contextualSpacing/>
              <w:rPr>
                <w:rFonts w:cs="Arial"/>
                <w:b/>
                <w:bCs/>
                <w:sz w:val="21"/>
              </w:rPr>
            </w:pPr>
            <w:r w:rsidRPr="48ECC65F">
              <w:rPr>
                <w:rFonts w:eastAsiaTheme="minorEastAsia" w:cs="Arial"/>
                <w:sz w:val="21"/>
              </w:rPr>
              <w:t>Median TGA processing time (days) – applications requiring assessment</w:t>
            </w:r>
            <w:r w:rsidRPr="48ECC65F">
              <w:rPr>
                <w:rFonts w:cs="Arial"/>
                <w:b/>
                <w:bCs/>
                <w:sz w:val="21"/>
                <w:vertAlign w:val="superscript"/>
              </w:rPr>
              <w:t xml:space="preserve"> </w:t>
            </w:r>
            <w:r w:rsidRPr="48ECC65F">
              <w:rPr>
                <w:rFonts w:cs="Arial"/>
                <w:sz w:val="21"/>
                <w:vertAlign w:val="superscript"/>
              </w:rPr>
              <w:t>a</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8D4DA8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174</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8D13AC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148</w:t>
            </w:r>
          </w:p>
        </w:tc>
      </w:tr>
      <w:tr w:rsidR="00F2350B" w:rsidRPr="00373DCC" w14:paraId="061440B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39B706E"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 xml:space="preserve">% of applications completed within legislated timeframe </w:t>
            </w:r>
            <w:r w:rsidRPr="00373DCC">
              <w:rPr>
                <w:rFonts w:eastAsiaTheme="minorHAnsi" w:cs="Arial"/>
                <w:sz w:val="21"/>
              </w:rPr>
              <w:br/>
              <w:t>(255 working days)</w:t>
            </w:r>
          </w:p>
        </w:tc>
        <w:tc>
          <w:tcPr>
            <w:tcW w:w="84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D34F20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100%</w:t>
            </w:r>
          </w:p>
        </w:tc>
        <w:tc>
          <w:tcPr>
            <w:tcW w:w="792"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3357D4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100%</w:t>
            </w:r>
          </w:p>
        </w:tc>
      </w:tr>
    </w:tbl>
    <w:p w14:paraId="5202CB13" w14:textId="77777777" w:rsidR="00F2350B" w:rsidRPr="00373DCC" w:rsidRDefault="00F2350B" w:rsidP="00F2350B">
      <w:pPr>
        <w:spacing w:before="0" w:after="0" w:line="240" w:lineRule="atLeast"/>
        <w:rPr>
          <w:rFonts w:eastAsia="Cambria" w:cs="Arial"/>
          <w:sz w:val="16"/>
          <w:szCs w:val="16"/>
        </w:rPr>
      </w:pPr>
      <w:r w:rsidRPr="48ECC65F">
        <w:rPr>
          <w:rFonts w:eastAsia="Cambria" w:cs="Arial"/>
          <w:sz w:val="21"/>
          <w:szCs w:val="21"/>
          <w:vertAlign w:val="superscript"/>
        </w:rPr>
        <w:t>a</w:t>
      </w:r>
      <w:r w:rsidRPr="48ECC65F">
        <w:rPr>
          <w:rFonts w:eastAsia="Cambria" w:cs="Arial"/>
          <w:sz w:val="16"/>
          <w:szCs w:val="16"/>
        </w:rPr>
        <w:t xml:space="preserve"> Some applications do not require assessment and those applications reduce the overall mean and median timeframes. For this reason, we also report the timeframes without those applications included.</w:t>
      </w:r>
    </w:p>
    <w:p w14:paraId="50356CA5" w14:textId="77777777" w:rsidR="00F2350B" w:rsidRPr="00373DCC" w:rsidRDefault="00F2350B" w:rsidP="00F2350B">
      <w:pPr>
        <w:rPr>
          <w:rFonts w:eastAsia="Cambria" w:cs="Arial"/>
          <w:sz w:val="16"/>
          <w:szCs w:val="16"/>
        </w:rPr>
      </w:pPr>
    </w:p>
    <w:p w14:paraId="2C95E07E" w14:textId="77777777" w:rsidR="00F2350B" w:rsidRPr="00373DCC" w:rsidRDefault="00F2350B" w:rsidP="00F2350B">
      <w:pPr>
        <w:rPr>
          <w:rFonts w:eastAsia="Times New Roman" w:cs="Arial"/>
          <w:bCs/>
          <w:color w:val="29527F"/>
          <w:szCs w:val="22"/>
          <w:lang w:val="en"/>
          <w14:textFill>
            <w14:solidFill>
              <w14:srgbClr w14:val="29527F">
                <w14:lumMod w14:val="90000"/>
                <w14:lumOff w14:val="10000"/>
              </w14:srgbClr>
            </w14:solidFill>
          </w14:textFill>
        </w:rPr>
      </w:pPr>
      <w:r w:rsidRPr="00373DCC">
        <w:rPr>
          <w:rFonts w:cs="Arial"/>
          <w:szCs w:val="22"/>
        </w:rPr>
        <w:br w:type="page"/>
      </w:r>
    </w:p>
    <w:p w14:paraId="0CD2007E" w14:textId="77777777" w:rsidR="00F2350B" w:rsidRPr="00373DCC" w:rsidRDefault="00F2350B" w:rsidP="00B633E2">
      <w:pPr>
        <w:pStyle w:val="Heading3-numbered"/>
        <w:numPr>
          <w:ilvl w:val="1"/>
          <w:numId w:val="32"/>
        </w:numPr>
        <w:rPr>
          <w:rFonts w:ascii="Arial" w:hAnsi="Arial" w:cs="Arial"/>
        </w:rPr>
      </w:pPr>
      <w:bookmarkStart w:id="176" w:name="_Toc153550476"/>
      <w:r w:rsidRPr="00373DCC">
        <w:rPr>
          <w:rFonts w:ascii="Arial" w:hAnsi="Arial" w:cs="Arial"/>
        </w:rPr>
        <w:lastRenderedPageBreak/>
        <w:t>Inclusion of medical devices (including IVDs)</w:t>
      </w:r>
      <w:bookmarkEnd w:id="176"/>
    </w:p>
    <w:p w14:paraId="6F699685" w14:textId="1F6FB361"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8.2.1 Applications</w:t>
      </w:r>
    </w:p>
    <w:p w14:paraId="40C067B9" w14:textId="77777777" w:rsidR="00F2350B" w:rsidRPr="00373DCC" w:rsidRDefault="00F2350B" w:rsidP="00F2350B">
      <w:pPr>
        <w:keepNext/>
        <w:spacing w:before="240" w:after="120" w:line="240" w:lineRule="auto"/>
        <w:rPr>
          <w:rFonts w:eastAsia="Cambria" w:cs="Arial"/>
          <w:b/>
          <w:bCs/>
          <w:sz w:val="21"/>
          <w:szCs w:val="21"/>
        </w:rPr>
      </w:pPr>
      <w:bookmarkStart w:id="177" w:name="Table39"/>
      <w:r w:rsidRPr="00373DCC">
        <w:rPr>
          <w:rFonts w:eastAsia="Cambria" w:cs="Arial"/>
          <w:b/>
          <w:bCs/>
          <w:sz w:val="21"/>
          <w:szCs w:val="21"/>
        </w:rPr>
        <w:t>Table 39: Applications for inclusion – medical devices (including IVDs)</w:t>
      </w:r>
    </w:p>
    <w:bookmarkEnd w:id="177"/>
    <w:tbl>
      <w:tblPr>
        <w:tblStyle w:val="TableTGAblue"/>
        <w:tblW w:w="5472" w:type="pct"/>
        <w:tblLook w:val="04E0" w:firstRow="1" w:lastRow="1" w:firstColumn="1" w:lastColumn="0" w:noHBand="0" w:noVBand="1"/>
      </w:tblPr>
      <w:tblGrid>
        <w:gridCol w:w="6666"/>
        <w:gridCol w:w="1536"/>
        <w:gridCol w:w="1671"/>
      </w:tblGrid>
      <w:tr w:rsidR="00F2350B" w:rsidRPr="00373DCC" w14:paraId="0F4CE2DF" w14:textId="77777777" w:rsidTr="009E4200">
        <w:trPr>
          <w:cnfStyle w:val="100000000000" w:firstRow="1" w:lastRow="0" w:firstColumn="0" w:lastColumn="0" w:oddVBand="0" w:evenVBand="0" w:oddHBand="0" w:evenHBand="0" w:firstRowFirstColumn="0" w:firstRowLastColumn="0" w:lastRowFirstColumn="0" w:lastRowLastColumn="0"/>
          <w:cantSplit w:val="0"/>
          <w:trHeight w:val="432"/>
        </w:trPr>
        <w:tc>
          <w:tcPr>
            <w:cnfStyle w:val="001000000000" w:firstRow="0" w:lastRow="0" w:firstColumn="1" w:lastColumn="0" w:oddVBand="0" w:evenVBand="0" w:oddHBand="0" w:evenHBand="0" w:firstRowFirstColumn="0" w:firstRowLastColumn="0" w:lastRowFirstColumn="0" w:lastRowLastColumn="0"/>
            <w:tcW w:w="3376" w:type="pct"/>
            <w:tcBorders>
              <w:top w:val="nil"/>
              <w:left w:val="nil"/>
              <w:bottom w:val="nil"/>
              <w:right w:val="single" w:sz="4" w:space="0" w:color="auto"/>
            </w:tcBorders>
            <w:shd w:val="clear" w:color="auto" w:fill="FFFFFF" w:themeFill="background1"/>
            <w:vAlign w:val="center"/>
          </w:tcPr>
          <w:p w14:paraId="30580457" w14:textId="77777777" w:rsidR="00F2350B" w:rsidRPr="00373DCC" w:rsidRDefault="00F2350B" w:rsidP="00710B91">
            <w:pPr>
              <w:widowControl w:val="0"/>
              <w:spacing w:before="0" w:after="0" w:line="240" w:lineRule="atLeast"/>
              <w:contextualSpacing/>
              <w:rPr>
                <w:rFonts w:eastAsiaTheme="minorHAnsi" w:cs="Arial"/>
                <w:color w:val="FFFFFF" w:themeColor="background1"/>
                <w:szCs w:val="22"/>
              </w:rPr>
            </w:pPr>
          </w:p>
        </w:tc>
        <w:tc>
          <w:tcPr>
            <w:tcW w:w="778" w:type="pct"/>
            <w:tcBorders>
              <w:top w:val="single" w:sz="4" w:space="0" w:color="auto"/>
              <w:left w:val="single" w:sz="4" w:space="0" w:color="auto"/>
              <w:bottom w:val="single" w:sz="4" w:space="0" w:color="auto"/>
              <w:right w:val="single" w:sz="4" w:space="0" w:color="auto"/>
            </w:tcBorders>
            <w:shd w:val="clear" w:color="auto" w:fill="29527F"/>
            <w:vAlign w:val="center"/>
          </w:tcPr>
          <w:p w14:paraId="3BAB592B" w14:textId="3DFF5801"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Cs w:val="22"/>
              </w:rPr>
            </w:pPr>
            <w:r>
              <w:rPr>
                <w:rFonts w:eastAsiaTheme="minorHAnsi" w:cs="Arial"/>
                <w:color w:val="FFFFFF" w:themeColor="background1"/>
                <w:sz w:val="21"/>
              </w:rPr>
              <w:t xml:space="preserve">FY </w:t>
            </w:r>
            <w:r w:rsidR="00F2350B" w:rsidRPr="00373DCC">
              <w:rPr>
                <w:rFonts w:eastAsiaTheme="minorHAnsi" w:cs="Arial"/>
                <w:color w:val="FFFFFF" w:themeColor="background1"/>
                <w:szCs w:val="22"/>
              </w:rPr>
              <w:t>2021-22</w:t>
            </w:r>
          </w:p>
        </w:tc>
        <w:tc>
          <w:tcPr>
            <w:tcW w:w="846" w:type="pct"/>
            <w:tcBorders>
              <w:top w:val="single" w:sz="4" w:space="0" w:color="auto"/>
              <w:left w:val="single" w:sz="4" w:space="0" w:color="auto"/>
              <w:bottom w:val="single" w:sz="4" w:space="0" w:color="auto"/>
              <w:right w:val="single" w:sz="4" w:space="0" w:color="auto"/>
            </w:tcBorders>
            <w:shd w:val="clear" w:color="auto" w:fill="29527F"/>
            <w:vAlign w:val="center"/>
          </w:tcPr>
          <w:p w14:paraId="37889F1D" w14:textId="07E00312"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Cs w:val="22"/>
              </w:rPr>
            </w:pPr>
            <w:r>
              <w:rPr>
                <w:rFonts w:eastAsiaTheme="minorHAnsi" w:cs="Arial"/>
                <w:color w:val="FFFFFF" w:themeColor="background1"/>
                <w:sz w:val="21"/>
              </w:rPr>
              <w:t xml:space="preserve">FY </w:t>
            </w:r>
            <w:r w:rsidR="00F2350B" w:rsidRPr="00373DCC">
              <w:rPr>
                <w:rFonts w:eastAsiaTheme="minorHAnsi" w:cs="Arial"/>
                <w:color w:val="FFFFFF" w:themeColor="background1"/>
                <w:szCs w:val="22"/>
              </w:rPr>
              <w:t>2022-23</w:t>
            </w:r>
          </w:p>
        </w:tc>
      </w:tr>
      <w:tr w:rsidR="00F2350B" w:rsidRPr="00373DCC" w14:paraId="7ED9164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0BB275EF"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 medical devices</w:t>
            </w:r>
          </w:p>
        </w:tc>
        <w:tc>
          <w:tcPr>
            <w:tcW w:w="778" w:type="pct"/>
            <w:tcBorders>
              <w:top w:val="single" w:sz="4" w:space="0" w:color="auto"/>
              <w:left w:val="nil"/>
              <w:bottom w:val="single" w:sz="4" w:space="0" w:color="auto"/>
              <w:right w:val="nil"/>
            </w:tcBorders>
            <w:shd w:val="clear" w:color="auto" w:fill="8CADD3"/>
            <w:vAlign w:val="center"/>
          </w:tcPr>
          <w:p w14:paraId="586310FD"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6B8F9878"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5105EEF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69385DCF"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3273BB12"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2,365</w:t>
            </w:r>
          </w:p>
        </w:tc>
        <w:tc>
          <w:tcPr>
            <w:tcW w:w="846" w:type="pct"/>
            <w:tcBorders>
              <w:top w:val="single" w:sz="4" w:space="0" w:color="auto"/>
              <w:left w:val="single" w:sz="4" w:space="0" w:color="auto"/>
              <w:bottom w:val="single" w:sz="4" w:space="0" w:color="auto"/>
              <w:right w:val="single" w:sz="4" w:space="0" w:color="auto"/>
            </w:tcBorders>
            <w:vAlign w:val="center"/>
          </w:tcPr>
          <w:p w14:paraId="1CDC787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1,492</w:t>
            </w:r>
          </w:p>
        </w:tc>
      </w:tr>
      <w:tr w:rsidR="00F2350B" w:rsidRPr="00373DCC" w14:paraId="7572185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6BACE74C"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63323496"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2,259</w:t>
            </w:r>
          </w:p>
        </w:tc>
        <w:tc>
          <w:tcPr>
            <w:tcW w:w="846" w:type="pct"/>
            <w:tcBorders>
              <w:top w:val="single" w:sz="4" w:space="0" w:color="auto"/>
              <w:left w:val="single" w:sz="4" w:space="0" w:color="auto"/>
              <w:bottom w:val="single" w:sz="4" w:space="0" w:color="auto"/>
              <w:right w:val="single" w:sz="4" w:space="0" w:color="auto"/>
            </w:tcBorders>
            <w:vAlign w:val="center"/>
          </w:tcPr>
          <w:p w14:paraId="1818409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1,459</w:t>
            </w:r>
          </w:p>
        </w:tc>
      </w:tr>
      <w:tr w:rsidR="00F2350B" w:rsidRPr="00373DCC" w14:paraId="5E23B14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351C0896"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0F8233A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321</w:t>
            </w:r>
          </w:p>
        </w:tc>
        <w:tc>
          <w:tcPr>
            <w:tcW w:w="846" w:type="pct"/>
            <w:tcBorders>
              <w:top w:val="single" w:sz="4" w:space="0" w:color="auto"/>
              <w:left w:val="single" w:sz="4" w:space="0" w:color="auto"/>
              <w:bottom w:val="single" w:sz="4" w:space="0" w:color="auto"/>
              <w:right w:val="single" w:sz="4" w:space="0" w:color="auto"/>
            </w:tcBorders>
            <w:vAlign w:val="center"/>
          </w:tcPr>
          <w:p w14:paraId="1103E98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197</w:t>
            </w:r>
          </w:p>
        </w:tc>
      </w:tr>
      <w:tr w:rsidR="00F2350B" w:rsidRPr="00373DCC" w14:paraId="4F51EAA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1A5579BE"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 measuring medical devices</w:t>
            </w:r>
          </w:p>
        </w:tc>
        <w:tc>
          <w:tcPr>
            <w:tcW w:w="778" w:type="pct"/>
            <w:tcBorders>
              <w:top w:val="single" w:sz="4" w:space="0" w:color="auto"/>
              <w:left w:val="nil"/>
              <w:bottom w:val="single" w:sz="4" w:space="0" w:color="auto"/>
              <w:right w:val="nil"/>
            </w:tcBorders>
            <w:shd w:val="clear" w:color="auto" w:fill="8CADD3"/>
            <w:vAlign w:val="center"/>
          </w:tcPr>
          <w:p w14:paraId="5C2C2C4A"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25ABEA8D"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2A8663F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14A3004D"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4C4F4D5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48</w:t>
            </w:r>
          </w:p>
        </w:tc>
        <w:tc>
          <w:tcPr>
            <w:tcW w:w="846" w:type="pct"/>
            <w:tcBorders>
              <w:top w:val="single" w:sz="4" w:space="0" w:color="auto"/>
              <w:left w:val="single" w:sz="4" w:space="0" w:color="auto"/>
              <w:bottom w:val="single" w:sz="4" w:space="0" w:color="auto"/>
              <w:right w:val="single" w:sz="4" w:space="0" w:color="auto"/>
            </w:tcBorders>
            <w:vAlign w:val="center"/>
          </w:tcPr>
          <w:p w14:paraId="19569B0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33</w:t>
            </w:r>
          </w:p>
        </w:tc>
      </w:tr>
      <w:tr w:rsidR="00F2350B" w:rsidRPr="00373DCC" w14:paraId="7F6BA4C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00B6B1D6"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7BD118C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49</w:t>
            </w:r>
          </w:p>
        </w:tc>
        <w:tc>
          <w:tcPr>
            <w:tcW w:w="846" w:type="pct"/>
            <w:tcBorders>
              <w:top w:val="single" w:sz="4" w:space="0" w:color="auto"/>
              <w:left w:val="single" w:sz="4" w:space="0" w:color="auto"/>
              <w:bottom w:val="single" w:sz="4" w:space="0" w:color="auto"/>
              <w:right w:val="single" w:sz="4" w:space="0" w:color="auto"/>
            </w:tcBorders>
            <w:vAlign w:val="center"/>
          </w:tcPr>
          <w:p w14:paraId="1FB1B4A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36</w:t>
            </w:r>
          </w:p>
        </w:tc>
      </w:tr>
      <w:tr w:rsidR="00F2350B" w:rsidRPr="00373DCC" w14:paraId="6193BFE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5F9C949F"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14FE7234"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w:t>
            </w:r>
          </w:p>
        </w:tc>
        <w:tc>
          <w:tcPr>
            <w:tcW w:w="846" w:type="pct"/>
            <w:tcBorders>
              <w:top w:val="single" w:sz="4" w:space="0" w:color="auto"/>
              <w:left w:val="single" w:sz="4" w:space="0" w:color="auto"/>
              <w:bottom w:val="single" w:sz="4" w:space="0" w:color="auto"/>
              <w:right w:val="single" w:sz="4" w:space="0" w:color="auto"/>
            </w:tcBorders>
            <w:vAlign w:val="center"/>
          </w:tcPr>
          <w:p w14:paraId="006FF196"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0</w:t>
            </w:r>
          </w:p>
        </w:tc>
      </w:tr>
      <w:tr w:rsidR="00F2350B" w:rsidRPr="00373DCC" w14:paraId="72B68AC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7C36453A"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 sterile m</w:t>
            </w:r>
            <w:r w:rsidRPr="00373DCC">
              <w:rPr>
                <w:rFonts w:cs="Arial"/>
                <w:szCs w:val="22"/>
                <w:shd w:val="clear" w:color="auto" w:fill="8CADD3"/>
              </w:rPr>
              <w:t>edica</w:t>
            </w:r>
            <w:r w:rsidRPr="00373DCC">
              <w:rPr>
                <w:rFonts w:cs="Arial"/>
                <w:szCs w:val="22"/>
              </w:rPr>
              <w:t>l devices</w:t>
            </w:r>
          </w:p>
        </w:tc>
        <w:tc>
          <w:tcPr>
            <w:tcW w:w="778" w:type="pct"/>
            <w:tcBorders>
              <w:top w:val="single" w:sz="4" w:space="0" w:color="auto"/>
              <w:left w:val="nil"/>
              <w:bottom w:val="single" w:sz="4" w:space="0" w:color="auto"/>
              <w:right w:val="nil"/>
            </w:tcBorders>
            <w:shd w:val="clear" w:color="auto" w:fill="8CADD3"/>
            <w:vAlign w:val="center"/>
          </w:tcPr>
          <w:p w14:paraId="490AC9D7"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3DEE1C0A"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3F8D1A9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5FF75B72"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2F7C0C3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279</w:t>
            </w:r>
          </w:p>
        </w:tc>
        <w:tc>
          <w:tcPr>
            <w:tcW w:w="846" w:type="pct"/>
            <w:tcBorders>
              <w:top w:val="single" w:sz="4" w:space="0" w:color="auto"/>
              <w:left w:val="single" w:sz="4" w:space="0" w:color="auto"/>
              <w:bottom w:val="single" w:sz="4" w:space="0" w:color="auto"/>
              <w:right w:val="single" w:sz="4" w:space="0" w:color="auto"/>
            </w:tcBorders>
            <w:vAlign w:val="center"/>
          </w:tcPr>
          <w:p w14:paraId="44EC7D3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264</w:t>
            </w:r>
          </w:p>
        </w:tc>
      </w:tr>
      <w:tr w:rsidR="00F2350B" w:rsidRPr="00373DCC" w14:paraId="5E5C495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23414096"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19578366"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298</w:t>
            </w:r>
          </w:p>
        </w:tc>
        <w:tc>
          <w:tcPr>
            <w:tcW w:w="846" w:type="pct"/>
            <w:tcBorders>
              <w:top w:val="single" w:sz="4" w:space="0" w:color="auto"/>
              <w:left w:val="single" w:sz="4" w:space="0" w:color="auto"/>
              <w:bottom w:val="single" w:sz="4" w:space="0" w:color="auto"/>
              <w:right w:val="single" w:sz="4" w:space="0" w:color="auto"/>
            </w:tcBorders>
            <w:vAlign w:val="center"/>
          </w:tcPr>
          <w:p w14:paraId="4D58AFC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262</w:t>
            </w:r>
          </w:p>
        </w:tc>
      </w:tr>
      <w:tr w:rsidR="00F2350B" w:rsidRPr="00373DCC" w14:paraId="71BCF1A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1575BB70"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60A479B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16</w:t>
            </w:r>
          </w:p>
        </w:tc>
        <w:tc>
          <w:tcPr>
            <w:tcW w:w="846" w:type="pct"/>
            <w:tcBorders>
              <w:top w:val="single" w:sz="4" w:space="0" w:color="auto"/>
              <w:left w:val="single" w:sz="4" w:space="0" w:color="auto"/>
              <w:bottom w:val="single" w:sz="4" w:space="0" w:color="auto"/>
              <w:right w:val="single" w:sz="4" w:space="0" w:color="auto"/>
            </w:tcBorders>
            <w:vAlign w:val="center"/>
          </w:tcPr>
          <w:p w14:paraId="20DDA2D8"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2</w:t>
            </w:r>
          </w:p>
        </w:tc>
      </w:tr>
      <w:tr w:rsidR="00F2350B" w:rsidRPr="00373DCC" w14:paraId="7A0EF0F6"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788EEAC1"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IIa medical devices</w:t>
            </w:r>
          </w:p>
        </w:tc>
        <w:tc>
          <w:tcPr>
            <w:tcW w:w="778" w:type="pct"/>
            <w:tcBorders>
              <w:top w:val="single" w:sz="4" w:space="0" w:color="auto"/>
              <w:left w:val="nil"/>
              <w:bottom w:val="single" w:sz="4" w:space="0" w:color="auto"/>
              <w:right w:val="nil"/>
            </w:tcBorders>
            <w:shd w:val="clear" w:color="auto" w:fill="8CADD3"/>
            <w:vAlign w:val="center"/>
          </w:tcPr>
          <w:p w14:paraId="1DD0E7B9"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7256768D"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21145DC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2A3F0362"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4E717D6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1,377</w:t>
            </w:r>
          </w:p>
        </w:tc>
        <w:tc>
          <w:tcPr>
            <w:tcW w:w="846" w:type="pct"/>
            <w:tcBorders>
              <w:top w:val="single" w:sz="4" w:space="0" w:color="auto"/>
              <w:left w:val="single" w:sz="4" w:space="0" w:color="auto"/>
              <w:bottom w:val="single" w:sz="4" w:space="0" w:color="auto"/>
              <w:right w:val="single" w:sz="4" w:space="0" w:color="auto"/>
            </w:tcBorders>
            <w:vAlign w:val="center"/>
          </w:tcPr>
          <w:p w14:paraId="72E39D3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1,179</w:t>
            </w:r>
          </w:p>
        </w:tc>
      </w:tr>
      <w:tr w:rsidR="00F2350B" w:rsidRPr="00373DCC" w14:paraId="0F598B3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255E06FD"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233EE922"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1,451</w:t>
            </w:r>
          </w:p>
        </w:tc>
        <w:tc>
          <w:tcPr>
            <w:tcW w:w="846" w:type="pct"/>
            <w:tcBorders>
              <w:top w:val="single" w:sz="4" w:space="0" w:color="auto"/>
              <w:left w:val="single" w:sz="4" w:space="0" w:color="auto"/>
              <w:bottom w:val="single" w:sz="4" w:space="0" w:color="auto"/>
              <w:right w:val="single" w:sz="4" w:space="0" w:color="auto"/>
            </w:tcBorders>
            <w:vAlign w:val="center"/>
          </w:tcPr>
          <w:p w14:paraId="3F82934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1,162</w:t>
            </w:r>
          </w:p>
        </w:tc>
      </w:tr>
      <w:tr w:rsidR="00F2350B" w:rsidRPr="00373DCC" w14:paraId="0FD2523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793DED07"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57BB2D0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79</w:t>
            </w:r>
          </w:p>
        </w:tc>
        <w:tc>
          <w:tcPr>
            <w:tcW w:w="846" w:type="pct"/>
            <w:tcBorders>
              <w:top w:val="single" w:sz="4" w:space="0" w:color="auto"/>
              <w:left w:val="single" w:sz="4" w:space="0" w:color="auto"/>
              <w:bottom w:val="single" w:sz="4" w:space="0" w:color="auto"/>
              <w:right w:val="single" w:sz="4" w:space="0" w:color="auto"/>
            </w:tcBorders>
            <w:vAlign w:val="center"/>
          </w:tcPr>
          <w:p w14:paraId="42BAB584"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109</w:t>
            </w:r>
          </w:p>
        </w:tc>
      </w:tr>
      <w:tr w:rsidR="00F2350B" w:rsidRPr="00373DCC" w14:paraId="3EDCB6E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12A99401"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IIb medical devices</w:t>
            </w:r>
          </w:p>
        </w:tc>
        <w:tc>
          <w:tcPr>
            <w:tcW w:w="778" w:type="pct"/>
            <w:tcBorders>
              <w:top w:val="single" w:sz="4" w:space="0" w:color="auto"/>
              <w:left w:val="nil"/>
              <w:bottom w:val="single" w:sz="4" w:space="0" w:color="auto"/>
              <w:right w:val="nil"/>
            </w:tcBorders>
            <w:shd w:val="clear" w:color="auto" w:fill="8CADD3"/>
            <w:vAlign w:val="center"/>
          </w:tcPr>
          <w:p w14:paraId="0E9F936D"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1AE784C2"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4A16CCD9"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3460BC9E"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7E30BBE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610</w:t>
            </w:r>
          </w:p>
        </w:tc>
        <w:tc>
          <w:tcPr>
            <w:tcW w:w="846" w:type="pct"/>
            <w:tcBorders>
              <w:top w:val="single" w:sz="4" w:space="0" w:color="auto"/>
              <w:left w:val="single" w:sz="4" w:space="0" w:color="auto"/>
              <w:bottom w:val="single" w:sz="4" w:space="0" w:color="auto"/>
              <w:right w:val="single" w:sz="4" w:space="0" w:color="auto"/>
            </w:tcBorders>
            <w:vAlign w:val="center"/>
          </w:tcPr>
          <w:p w14:paraId="2EA6A50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648</w:t>
            </w:r>
          </w:p>
        </w:tc>
      </w:tr>
      <w:tr w:rsidR="00F2350B" w:rsidRPr="00373DCC" w14:paraId="0555A08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67BD749A"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6A2F14A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644</w:t>
            </w:r>
          </w:p>
        </w:tc>
        <w:tc>
          <w:tcPr>
            <w:tcW w:w="846" w:type="pct"/>
            <w:tcBorders>
              <w:top w:val="single" w:sz="4" w:space="0" w:color="auto"/>
              <w:left w:val="single" w:sz="4" w:space="0" w:color="auto"/>
              <w:bottom w:val="single" w:sz="4" w:space="0" w:color="auto"/>
              <w:right w:val="single" w:sz="4" w:space="0" w:color="auto"/>
            </w:tcBorders>
            <w:vAlign w:val="center"/>
          </w:tcPr>
          <w:p w14:paraId="2B3758C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602</w:t>
            </w:r>
          </w:p>
        </w:tc>
      </w:tr>
      <w:tr w:rsidR="00F2350B" w:rsidRPr="00373DCC" w14:paraId="77609AB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40FC843B"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3269AAD2"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100</w:t>
            </w:r>
          </w:p>
        </w:tc>
        <w:tc>
          <w:tcPr>
            <w:tcW w:w="846" w:type="pct"/>
            <w:tcBorders>
              <w:top w:val="single" w:sz="4" w:space="0" w:color="auto"/>
              <w:left w:val="single" w:sz="4" w:space="0" w:color="auto"/>
              <w:bottom w:val="single" w:sz="4" w:space="0" w:color="auto"/>
              <w:right w:val="single" w:sz="4" w:space="0" w:color="auto"/>
            </w:tcBorders>
            <w:vAlign w:val="center"/>
          </w:tcPr>
          <w:p w14:paraId="1ACAF68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72</w:t>
            </w:r>
          </w:p>
        </w:tc>
      </w:tr>
      <w:tr w:rsidR="00F2350B" w:rsidRPr="00373DCC" w14:paraId="04576B4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nil"/>
            </w:tcBorders>
            <w:shd w:val="clear" w:color="auto" w:fill="8CADD3"/>
            <w:vAlign w:val="center"/>
          </w:tcPr>
          <w:p w14:paraId="501D54F9" w14:textId="77777777" w:rsidR="00F2350B" w:rsidRPr="00373DCC" w:rsidRDefault="00F2350B" w:rsidP="00710B91">
            <w:pPr>
              <w:tabs>
                <w:tab w:val="left" w:pos="907"/>
                <w:tab w:val="left" w:pos="1134"/>
              </w:tabs>
              <w:spacing w:before="0" w:after="0" w:line="240" w:lineRule="atLeast"/>
              <w:outlineLvl w:val="4"/>
              <w:rPr>
                <w:rFonts w:cs="Arial"/>
                <w:szCs w:val="22"/>
              </w:rPr>
            </w:pPr>
            <w:r w:rsidRPr="00373DCC">
              <w:rPr>
                <w:rFonts w:cs="Arial"/>
                <w:szCs w:val="22"/>
              </w:rPr>
              <w:t>Class III medical devices</w:t>
            </w:r>
          </w:p>
        </w:tc>
        <w:tc>
          <w:tcPr>
            <w:tcW w:w="778" w:type="pct"/>
            <w:tcBorders>
              <w:top w:val="single" w:sz="4" w:space="0" w:color="auto"/>
              <w:left w:val="nil"/>
              <w:bottom w:val="single" w:sz="4" w:space="0" w:color="auto"/>
              <w:right w:val="nil"/>
            </w:tcBorders>
            <w:shd w:val="clear" w:color="auto" w:fill="8CADD3"/>
            <w:vAlign w:val="center"/>
          </w:tcPr>
          <w:p w14:paraId="1051A84E"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auto"/>
              <w:left w:val="nil"/>
              <w:bottom w:val="single" w:sz="4" w:space="0" w:color="auto"/>
              <w:right w:val="single" w:sz="4" w:space="0" w:color="auto"/>
            </w:tcBorders>
            <w:shd w:val="clear" w:color="auto" w:fill="8CADD3"/>
            <w:vAlign w:val="center"/>
          </w:tcPr>
          <w:p w14:paraId="27B275A1"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486AC15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28BBF2DD"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auto"/>
              <w:left w:val="single" w:sz="4" w:space="0" w:color="auto"/>
              <w:bottom w:val="single" w:sz="4" w:space="0" w:color="auto"/>
              <w:right w:val="single" w:sz="4" w:space="0" w:color="auto"/>
            </w:tcBorders>
            <w:vAlign w:val="center"/>
          </w:tcPr>
          <w:p w14:paraId="4D60E13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469</w:t>
            </w:r>
          </w:p>
        </w:tc>
        <w:tc>
          <w:tcPr>
            <w:tcW w:w="846" w:type="pct"/>
            <w:tcBorders>
              <w:top w:val="single" w:sz="4" w:space="0" w:color="auto"/>
              <w:left w:val="single" w:sz="4" w:space="0" w:color="auto"/>
              <w:bottom w:val="single" w:sz="4" w:space="0" w:color="auto"/>
              <w:right w:val="single" w:sz="4" w:space="0" w:color="auto"/>
            </w:tcBorders>
            <w:vAlign w:val="center"/>
          </w:tcPr>
          <w:p w14:paraId="18AD38D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668</w:t>
            </w:r>
          </w:p>
        </w:tc>
      </w:tr>
      <w:tr w:rsidR="00F2350B" w:rsidRPr="00373DCC" w14:paraId="27AA1B8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4286E3CB"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auto"/>
              <w:left w:val="single" w:sz="4" w:space="0" w:color="auto"/>
              <w:bottom w:val="single" w:sz="4" w:space="0" w:color="auto"/>
              <w:right w:val="single" w:sz="4" w:space="0" w:color="auto"/>
            </w:tcBorders>
            <w:vAlign w:val="center"/>
          </w:tcPr>
          <w:p w14:paraId="4BDDB26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463</w:t>
            </w:r>
          </w:p>
        </w:tc>
        <w:tc>
          <w:tcPr>
            <w:tcW w:w="846" w:type="pct"/>
            <w:tcBorders>
              <w:top w:val="single" w:sz="4" w:space="0" w:color="auto"/>
              <w:left w:val="single" w:sz="4" w:space="0" w:color="auto"/>
              <w:bottom w:val="single" w:sz="4" w:space="0" w:color="auto"/>
              <w:right w:val="single" w:sz="4" w:space="0" w:color="auto"/>
            </w:tcBorders>
            <w:vAlign w:val="center"/>
          </w:tcPr>
          <w:p w14:paraId="1311A9C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572</w:t>
            </w:r>
          </w:p>
        </w:tc>
      </w:tr>
      <w:tr w:rsidR="00F2350B" w:rsidRPr="00373DCC" w14:paraId="5C9C3DE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auto"/>
              <w:left w:val="single" w:sz="4" w:space="0" w:color="auto"/>
              <w:bottom w:val="single" w:sz="4" w:space="0" w:color="auto"/>
              <w:right w:val="single" w:sz="4" w:space="0" w:color="auto"/>
            </w:tcBorders>
            <w:vAlign w:val="center"/>
          </w:tcPr>
          <w:p w14:paraId="43EE7EF4"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auto"/>
              <w:left w:val="single" w:sz="4" w:space="0" w:color="auto"/>
              <w:bottom w:val="single" w:sz="4" w:space="0" w:color="auto"/>
              <w:right w:val="single" w:sz="4" w:space="0" w:color="auto"/>
            </w:tcBorders>
            <w:vAlign w:val="center"/>
          </w:tcPr>
          <w:p w14:paraId="2F8934F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297</w:t>
            </w:r>
          </w:p>
        </w:tc>
        <w:tc>
          <w:tcPr>
            <w:tcW w:w="846" w:type="pct"/>
            <w:tcBorders>
              <w:top w:val="single" w:sz="4" w:space="0" w:color="auto"/>
              <w:left w:val="single" w:sz="4" w:space="0" w:color="auto"/>
              <w:bottom w:val="single" w:sz="4" w:space="0" w:color="auto"/>
              <w:right w:val="single" w:sz="4" w:space="0" w:color="auto"/>
            </w:tcBorders>
            <w:vAlign w:val="center"/>
          </w:tcPr>
          <w:p w14:paraId="3DC2289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bCs/>
                <w:szCs w:val="22"/>
              </w:rPr>
              <w:t>448</w:t>
            </w:r>
          </w:p>
        </w:tc>
      </w:tr>
      <w:tr w:rsidR="00F2350B" w:rsidRPr="00373DCC" w14:paraId="0468DA4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002C47"/>
              <w:right w:val="single" w:sz="4" w:space="0" w:color="auto"/>
            </w:tcBorders>
            <w:shd w:val="clear" w:color="auto" w:fill="8CADD3"/>
            <w:vAlign w:val="center"/>
          </w:tcPr>
          <w:p w14:paraId="70FF122A"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Active Implantable Medical Devices (AIMD)</w:t>
            </w:r>
          </w:p>
        </w:tc>
      </w:tr>
      <w:tr w:rsidR="00F2350B" w:rsidRPr="00373DCC" w14:paraId="0D0F35DB"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4589D956"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002C47"/>
              <w:left w:val="single" w:sz="4" w:space="0" w:color="002C47"/>
              <w:bottom w:val="single" w:sz="4" w:space="0" w:color="002C47"/>
              <w:right w:val="single" w:sz="4" w:space="0" w:color="002C47"/>
            </w:tcBorders>
            <w:vAlign w:val="center"/>
          </w:tcPr>
          <w:p w14:paraId="54639D6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21</w:t>
            </w:r>
          </w:p>
        </w:tc>
        <w:tc>
          <w:tcPr>
            <w:tcW w:w="846" w:type="pct"/>
            <w:tcBorders>
              <w:top w:val="single" w:sz="4" w:space="0" w:color="002C47"/>
              <w:left w:val="single" w:sz="4" w:space="0" w:color="002C47"/>
              <w:bottom w:val="single" w:sz="4" w:space="0" w:color="002C47"/>
              <w:right w:val="single" w:sz="4" w:space="0" w:color="auto"/>
            </w:tcBorders>
            <w:vAlign w:val="center"/>
          </w:tcPr>
          <w:p w14:paraId="0C9A0DC7"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18</w:t>
            </w:r>
          </w:p>
        </w:tc>
      </w:tr>
      <w:tr w:rsidR="00F2350B" w:rsidRPr="00373DCC" w14:paraId="0A63B39F"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1B91CCA1"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002C47"/>
              <w:left w:val="single" w:sz="4" w:space="0" w:color="002C47"/>
              <w:bottom w:val="single" w:sz="4" w:space="0" w:color="002C47"/>
              <w:right w:val="single" w:sz="4" w:space="0" w:color="002C47"/>
            </w:tcBorders>
            <w:vAlign w:val="center"/>
          </w:tcPr>
          <w:p w14:paraId="43640D9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19</w:t>
            </w:r>
          </w:p>
        </w:tc>
        <w:tc>
          <w:tcPr>
            <w:tcW w:w="846" w:type="pct"/>
            <w:tcBorders>
              <w:top w:val="single" w:sz="4" w:space="0" w:color="002C47"/>
              <w:left w:val="single" w:sz="4" w:space="0" w:color="002C47"/>
              <w:bottom w:val="single" w:sz="4" w:space="0" w:color="002C47"/>
              <w:right w:val="single" w:sz="4" w:space="0" w:color="auto"/>
            </w:tcBorders>
            <w:vAlign w:val="center"/>
          </w:tcPr>
          <w:p w14:paraId="70691551"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27</w:t>
            </w:r>
          </w:p>
        </w:tc>
      </w:tr>
      <w:tr w:rsidR="00F2350B" w:rsidRPr="00373DCC" w14:paraId="5BE5A460"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2DEEA385"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002C47"/>
              <w:left w:val="single" w:sz="4" w:space="0" w:color="002C47"/>
              <w:bottom w:val="single" w:sz="4" w:space="0" w:color="002C47"/>
              <w:right w:val="single" w:sz="4" w:space="0" w:color="002C47"/>
            </w:tcBorders>
            <w:vAlign w:val="center"/>
          </w:tcPr>
          <w:p w14:paraId="3703E71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23</w:t>
            </w:r>
          </w:p>
        </w:tc>
        <w:tc>
          <w:tcPr>
            <w:tcW w:w="846" w:type="pct"/>
            <w:tcBorders>
              <w:top w:val="single" w:sz="4" w:space="0" w:color="002C47"/>
              <w:left w:val="single" w:sz="4" w:space="0" w:color="002C47"/>
              <w:bottom w:val="single" w:sz="4" w:space="0" w:color="002C47"/>
              <w:right w:val="single" w:sz="4" w:space="0" w:color="auto"/>
            </w:tcBorders>
            <w:vAlign w:val="center"/>
          </w:tcPr>
          <w:p w14:paraId="2BC5BCB8"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14</w:t>
            </w:r>
          </w:p>
        </w:tc>
      </w:tr>
      <w:tr w:rsidR="00F2350B" w:rsidRPr="00373DCC" w14:paraId="654A819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nil"/>
            </w:tcBorders>
            <w:shd w:val="clear" w:color="auto" w:fill="8CADD3"/>
            <w:vAlign w:val="center"/>
          </w:tcPr>
          <w:p w14:paraId="13DFE64C"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Class 1 IVDs</w:t>
            </w:r>
            <w:r w:rsidRPr="00373DCC">
              <w:rPr>
                <w:rFonts w:cs="Arial"/>
                <w:szCs w:val="22"/>
                <w:vertAlign w:val="superscript"/>
              </w:rPr>
              <w:t xml:space="preserve"> a</w:t>
            </w:r>
          </w:p>
        </w:tc>
        <w:tc>
          <w:tcPr>
            <w:tcW w:w="778" w:type="pct"/>
            <w:tcBorders>
              <w:top w:val="single" w:sz="4" w:space="0" w:color="002C47"/>
              <w:left w:val="nil"/>
              <w:bottom w:val="single" w:sz="4" w:space="0" w:color="002C47"/>
              <w:right w:val="nil"/>
            </w:tcBorders>
            <w:shd w:val="clear" w:color="auto" w:fill="8CADD3"/>
            <w:vAlign w:val="center"/>
          </w:tcPr>
          <w:p w14:paraId="0F92A8E9"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002C47"/>
              <w:left w:val="nil"/>
              <w:bottom w:val="single" w:sz="4" w:space="0" w:color="002C47"/>
              <w:right w:val="single" w:sz="4" w:space="0" w:color="auto"/>
            </w:tcBorders>
            <w:shd w:val="clear" w:color="auto" w:fill="8CADD3"/>
            <w:vAlign w:val="center"/>
          </w:tcPr>
          <w:p w14:paraId="0866A812"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28DD0F04"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76599F5E"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002C47"/>
              <w:left w:val="single" w:sz="4" w:space="0" w:color="002C47"/>
              <w:bottom w:val="single" w:sz="4" w:space="0" w:color="002C47"/>
              <w:right w:val="single" w:sz="4" w:space="0" w:color="002C47"/>
            </w:tcBorders>
            <w:vAlign w:val="center"/>
          </w:tcPr>
          <w:p w14:paraId="6743D77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151</w:t>
            </w:r>
          </w:p>
        </w:tc>
        <w:tc>
          <w:tcPr>
            <w:tcW w:w="846" w:type="pct"/>
            <w:tcBorders>
              <w:top w:val="single" w:sz="4" w:space="0" w:color="002C47"/>
              <w:left w:val="single" w:sz="4" w:space="0" w:color="002C47"/>
              <w:bottom w:val="single" w:sz="4" w:space="0" w:color="002C47"/>
              <w:right w:val="single" w:sz="4" w:space="0" w:color="auto"/>
            </w:tcBorders>
            <w:vAlign w:val="center"/>
          </w:tcPr>
          <w:p w14:paraId="30AE46C0"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83</w:t>
            </w:r>
          </w:p>
        </w:tc>
      </w:tr>
      <w:tr w:rsidR="00F2350B" w:rsidRPr="00373DCC" w14:paraId="119423F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4395C912"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002C47"/>
              <w:left w:val="single" w:sz="4" w:space="0" w:color="002C47"/>
              <w:bottom w:val="single" w:sz="4" w:space="0" w:color="002C47"/>
              <w:right w:val="single" w:sz="4" w:space="0" w:color="002C47"/>
            </w:tcBorders>
            <w:vAlign w:val="center"/>
          </w:tcPr>
          <w:p w14:paraId="644F8F5A"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141</w:t>
            </w:r>
          </w:p>
        </w:tc>
        <w:tc>
          <w:tcPr>
            <w:tcW w:w="846" w:type="pct"/>
            <w:tcBorders>
              <w:top w:val="single" w:sz="4" w:space="0" w:color="002C47"/>
              <w:left w:val="single" w:sz="4" w:space="0" w:color="002C47"/>
              <w:bottom w:val="single" w:sz="4" w:space="0" w:color="002C47"/>
              <w:right w:val="single" w:sz="4" w:space="0" w:color="auto"/>
            </w:tcBorders>
            <w:vAlign w:val="center"/>
          </w:tcPr>
          <w:p w14:paraId="5B3B6B67"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86</w:t>
            </w:r>
          </w:p>
        </w:tc>
      </w:tr>
      <w:tr w:rsidR="00F2350B" w:rsidRPr="00373DCC" w14:paraId="75EBC68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7B356504"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002C47"/>
              <w:left w:val="single" w:sz="4" w:space="0" w:color="002C47"/>
              <w:bottom w:val="single" w:sz="4" w:space="0" w:color="002C47"/>
              <w:right w:val="single" w:sz="4" w:space="0" w:color="002C47"/>
            </w:tcBorders>
            <w:vAlign w:val="center"/>
          </w:tcPr>
          <w:p w14:paraId="4A714EED"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17</w:t>
            </w:r>
          </w:p>
        </w:tc>
        <w:tc>
          <w:tcPr>
            <w:tcW w:w="846" w:type="pct"/>
            <w:tcBorders>
              <w:top w:val="single" w:sz="4" w:space="0" w:color="002C47"/>
              <w:left w:val="single" w:sz="4" w:space="0" w:color="002C47"/>
              <w:bottom w:val="single" w:sz="4" w:space="0" w:color="002C47"/>
              <w:right w:val="single" w:sz="4" w:space="0" w:color="auto"/>
            </w:tcBorders>
            <w:vAlign w:val="center"/>
          </w:tcPr>
          <w:p w14:paraId="77EDB954"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14</w:t>
            </w:r>
          </w:p>
        </w:tc>
      </w:tr>
      <w:tr w:rsidR="00F2350B" w:rsidRPr="00373DCC" w14:paraId="5C970EA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nil"/>
            </w:tcBorders>
            <w:shd w:val="clear" w:color="auto" w:fill="8CADD3"/>
            <w:vAlign w:val="center"/>
          </w:tcPr>
          <w:p w14:paraId="712CCC96"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Class 2 IVDs</w:t>
            </w:r>
          </w:p>
        </w:tc>
        <w:tc>
          <w:tcPr>
            <w:tcW w:w="778" w:type="pct"/>
            <w:tcBorders>
              <w:top w:val="single" w:sz="4" w:space="0" w:color="002C47"/>
              <w:left w:val="nil"/>
              <w:bottom w:val="single" w:sz="4" w:space="0" w:color="002C47"/>
              <w:right w:val="nil"/>
            </w:tcBorders>
            <w:shd w:val="clear" w:color="auto" w:fill="8CADD3"/>
            <w:vAlign w:val="center"/>
          </w:tcPr>
          <w:p w14:paraId="5EB18DB4"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002C47"/>
              <w:left w:val="nil"/>
              <w:bottom w:val="single" w:sz="4" w:space="0" w:color="002C47"/>
              <w:right w:val="single" w:sz="4" w:space="0" w:color="auto"/>
            </w:tcBorders>
            <w:shd w:val="clear" w:color="auto" w:fill="8CADD3"/>
            <w:vAlign w:val="center"/>
          </w:tcPr>
          <w:p w14:paraId="5C960BEE"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p w14:paraId="035485A0"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512F25D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2A194FF2"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002C47"/>
              <w:left w:val="single" w:sz="4" w:space="0" w:color="002C47"/>
              <w:bottom w:val="single" w:sz="4" w:space="0" w:color="002C47"/>
              <w:right w:val="single" w:sz="4" w:space="0" w:color="002C47"/>
            </w:tcBorders>
            <w:vAlign w:val="center"/>
          </w:tcPr>
          <w:p w14:paraId="281CC16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59</w:t>
            </w:r>
          </w:p>
        </w:tc>
        <w:tc>
          <w:tcPr>
            <w:tcW w:w="846" w:type="pct"/>
            <w:tcBorders>
              <w:top w:val="single" w:sz="4" w:space="0" w:color="002C47"/>
              <w:left w:val="single" w:sz="4" w:space="0" w:color="002C47"/>
              <w:bottom w:val="single" w:sz="4" w:space="0" w:color="002C47"/>
              <w:right w:val="single" w:sz="4" w:space="0" w:color="auto"/>
            </w:tcBorders>
            <w:vAlign w:val="center"/>
          </w:tcPr>
          <w:p w14:paraId="7234084B"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101</w:t>
            </w:r>
          </w:p>
        </w:tc>
      </w:tr>
      <w:tr w:rsidR="00F2350B" w:rsidRPr="00373DCC" w14:paraId="30E75B6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18CADDCE"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002C47"/>
              <w:left w:val="single" w:sz="4" w:space="0" w:color="002C47"/>
              <w:bottom w:val="single" w:sz="4" w:space="0" w:color="002C47"/>
              <w:right w:val="single" w:sz="4" w:space="0" w:color="002C47"/>
            </w:tcBorders>
            <w:vAlign w:val="center"/>
          </w:tcPr>
          <w:p w14:paraId="39ABEC9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60</w:t>
            </w:r>
          </w:p>
        </w:tc>
        <w:tc>
          <w:tcPr>
            <w:tcW w:w="846" w:type="pct"/>
            <w:tcBorders>
              <w:top w:val="single" w:sz="4" w:space="0" w:color="002C47"/>
              <w:left w:val="single" w:sz="4" w:space="0" w:color="002C47"/>
              <w:bottom w:val="single" w:sz="4" w:space="0" w:color="002C47"/>
              <w:right w:val="single" w:sz="4" w:space="0" w:color="auto"/>
            </w:tcBorders>
            <w:vAlign w:val="center"/>
          </w:tcPr>
          <w:p w14:paraId="13A15FDD"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83</w:t>
            </w:r>
          </w:p>
        </w:tc>
      </w:tr>
      <w:tr w:rsidR="00F2350B" w:rsidRPr="00373DCC" w14:paraId="3015D6BD"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36AB6301"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lastRenderedPageBreak/>
              <w:t>Applications on hand</w:t>
            </w:r>
          </w:p>
        </w:tc>
        <w:tc>
          <w:tcPr>
            <w:tcW w:w="778" w:type="pct"/>
            <w:tcBorders>
              <w:top w:val="single" w:sz="4" w:space="0" w:color="002C47"/>
              <w:left w:val="single" w:sz="4" w:space="0" w:color="002C47"/>
              <w:bottom w:val="single" w:sz="4" w:space="0" w:color="002C47"/>
              <w:right w:val="single" w:sz="4" w:space="0" w:color="002C47"/>
            </w:tcBorders>
            <w:vAlign w:val="center"/>
          </w:tcPr>
          <w:p w14:paraId="6801E13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9</w:t>
            </w:r>
          </w:p>
        </w:tc>
        <w:tc>
          <w:tcPr>
            <w:tcW w:w="846" w:type="pct"/>
            <w:tcBorders>
              <w:top w:val="single" w:sz="4" w:space="0" w:color="002C47"/>
              <w:left w:val="single" w:sz="4" w:space="0" w:color="002C47"/>
              <w:bottom w:val="single" w:sz="4" w:space="0" w:color="002C47"/>
              <w:right w:val="single" w:sz="4" w:space="0" w:color="auto"/>
            </w:tcBorders>
            <w:vAlign w:val="center"/>
          </w:tcPr>
          <w:p w14:paraId="2B2B1D75"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27</w:t>
            </w:r>
          </w:p>
        </w:tc>
      </w:tr>
      <w:tr w:rsidR="00F2350B" w:rsidRPr="00373DCC" w14:paraId="6C227F11"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nil"/>
            </w:tcBorders>
            <w:shd w:val="clear" w:color="auto" w:fill="8CADD3"/>
            <w:vAlign w:val="center"/>
          </w:tcPr>
          <w:p w14:paraId="50DBE434"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Class 3 IVDs</w:t>
            </w:r>
          </w:p>
        </w:tc>
        <w:tc>
          <w:tcPr>
            <w:tcW w:w="778" w:type="pct"/>
            <w:tcBorders>
              <w:top w:val="single" w:sz="4" w:space="0" w:color="002C47"/>
              <w:left w:val="nil"/>
              <w:bottom w:val="single" w:sz="4" w:space="0" w:color="002C47"/>
              <w:right w:val="nil"/>
            </w:tcBorders>
            <w:shd w:val="clear" w:color="auto" w:fill="8CADD3"/>
            <w:vAlign w:val="center"/>
          </w:tcPr>
          <w:p w14:paraId="1ECE8D0A"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002C47"/>
              <w:left w:val="nil"/>
              <w:bottom w:val="single" w:sz="4" w:space="0" w:color="002C47"/>
              <w:right w:val="single" w:sz="4" w:space="0" w:color="auto"/>
            </w:tcBorders>
            <w:shd w:val="clear" w:color="auto" w:fill="8CADD3"/>
            <w:vAlign w:val="center"/>
          </w:tcPr>
          <w:p w14:paraId="75056C8E"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6679AD42"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02719635"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002C47"/>
              <w:left w:val="single" w:sz="4" w:space="0" w:color="002C47"/>
              <w:bottom w:val="single" w:sz="4" w:space="0" w:color="002C47"/>
              <w:right w:val="single" w:sz="4" w:space="0" w:color="002C47"/>
            </w:tcBorders>
            <w:vAlign w:val="center"/>
          </w:tcPr>
          <w:p w14:paraId="5A9C197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526</w:t>
            </w:r>
          </w:p>
        </w:tc>
        <w:tc>
          <w:tcPr>
            <w:tcW w:w="846" w:type="pct"/>
            <w:tcBorders>
              <w:top w:val="single" w:sz="4" w:space="0" w:color="002C47"/>
              <w:left w:val="single" w:sz="4" w:space="0" w:color="002C47"/>
              <w:bottom w:val="single" w:sz="4" w:space="0" w:color="002C47"/>
              <w:right w:val="single" w:sz="4" w:space="0" w:color="auto"/>
            </w:tcBorders>
            <w:vAlign w:val="center"/>
          </w:tcPr>
          <w:p w14:paraId="3188C1A5"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157</w:t>
            </w:r>
          </w:p>
        </w:tc>
      </w:tr>
      <w:tr w:rsidR="00F2350B" w:rsidRPr="00373DCC" w14:paraId="45468FA3"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64F8A068"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002C47"/>
              <w:left w:val="single" w:sz="4" w:space="0" w:color="002C47"/>
              <w:bottom w:val="single" w:sz="4" w:space="0" w:color="002C47"/>
              <w:right w:val="single" w:sz="4" w:space="0" w:color="002C47"/>
            </w:tcBorders>
            <w:vAlign w:val="center"/>
          </w:tcPr>
          <w:p w14:paraId="312E910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275</w:t>
            </w:r>
          </w:p>
        </w:tc>
        <w:tc>
          <w:tcPr>
            <w:tcW w:w="846" w:type="pct"/>
            <w:tcBorders>
              <w:top w:val="single" w:sz="4" w:space="0" w:color="002C47"/>
              <w:left w:val="single" w:sz="4" w:space="0" w:color="002C47"/>
              <w:bottom w:val="single" w:sz="4" w:space="0" w:color="002C47"/>
              <w:right w:val="single" w:sz="4" w:space="0" w:color="auto"/>
            </w:tcBorders>
            <w:vAlign w:val="center"/>
          </w:tcPr>
          <w:p w14:paraId="627F35F9"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361</w:t>
            </w:r>
          </w:p>
        </w:tc>
      </w:tr>
      <w:tr w:rsidR="00F2350B" w:rsidRPr="00373DCC" w14:paraId="423581B5"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3F01358F"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002C47"/>
              <w:left w:val="single" w:sz="4" w:space="0" w:color="002C47"/>
              <w:bottom w:val="single" w:sz="4" w:space="0" w:color="002C47"/>
              <w:right w:val="single" w:sz="4" w:space="0" w:color="002C47"/>
            </w:tcBorders>
            <w:vAlign w:val="center"/>
          </w:tcPr>
          <w:p w14:paraId="2C70848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294</w:t>
            </w:r>
          </w:p>
        </w:tc>
        <w:tc>
          <w:tcPr>
            <w:tcW w:w="846" w:type="pct"/>
            <w:tcBorders>
              <w:top w:val="single" w:sz="4" w:space="0" w:color="002C47"/>
              <w:left w:val="single" w:sz="4" w:space="0" w:color="002C47"/>
              <w:bottom w:val="single" w:sz="4" w:space="0" w:color="002C47"/>
              <w:right w:val="single" w:sz="4" w:space="0" w:color="auto"/>
            </w:tcBorders>
            <w:vAlign w:val="center"/>
          </w:tcPr>
          <w:p w14:paraId="7398A66C"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92</w:t>
            </w:r>
          </w:p>
        </w:tc>
      </w:tr>
      <w:tr w:rsidR="00F2350B" w:rsidRPr="00373DCC" w14:paraId="1347BB2C"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nil"/>
            </w:tcBorders>
            <w:shd w:val="clear" w:color="auto" w:fill="8CADD3"/>
            <w:vAlign w:val="center"/>
          </w:tcPr>
          <w:p w14:paraId="19BDDBFE"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Class 4 IVDs</w:t>
            </w:r>
          </w:p>
        </w:tc>
        <w:tc>
          <w:tcPr>
            <w:tcW w:w="778" w:type="pct"/>
            <w:tcBorders>
              <w:top w:val="single" w:sz="4" w:space="0" w:color="002C47"/>
              <w:left w:val="nil"/>
              <w:bottom w:val="single" w:sz="4" w:space="0" w:color="002C47"/>
              <w:right w:val="nil"/>
            </w:tcBorders>
            <w:shd w:val="clear" w:color="auto" w:fill="8CADD3"/>
            <w:vAlign w:val="center"/>
          </w:tcPr>
          <w:p w14:paraId="23AD4D95"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c>
          <w:tcPr>
            <w:tcW w:w="846" w:type="pct"/>
            <w:tcBorders>
              <w:top w:val="single" w:sz="4" w:space="0" w:color="002C47"/>
              <w:left w:val="nil"/>
              <w:bottom w:val="single" w:sz="4" w:space="0" w:color="002C47"/>
              <w:right w:val="single" w:sz="4" w:space="0" w:color="auto"/>
            </w:tcBorders>
            <w:shd w:val="clear" w:color="auto" w:fill="8CADD3"/>
            <w:vAlign w:val="center"/>
          </w:tcPr>
          <w:p w14:paraId="4A860A58"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Cs w:val="22"/>
              </w:rPr>
            </w:pPr>
          </w:p>
        </w:tc>
      </w:tr>
      <w:tr w:rsidR="00F2350B" w:rsidRPr="00373DCC" w14:paraId="4C24526A"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41E43B5C"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received</w:t>
            </w:r>
          </w:p>
        </w:tc>
        <w:tc>
          <w:tcPr>
            <w:tcW w:w="778" w:type="pct"/>
            <w:tcBorders>
              <w:top w:val="single" w:sz="4" w:space="0" w:color="002C47"/>
              <w:left w:val="single" w:sz="4" w:space="0" w:color="002C47"/>
              <w:bottom w:val="single" w:sz="4" w:space="0" w:color="002C47"/>
              <w:right w:val="single" w:sz="4" w:space="0" w:color="002C47"/>
            </w:tcBorders>
            <w:vAlign w:val="center"/>
          </w:tcPr>
          <w:p w14:paraId="6BC610FC"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12</w:t>
            </w:r>
          </w:p>
        </w:tc>
        <w:tc>
          <w:tcPr>
            <w:tcW w:w="846" w:type="pct"/>
            <w:tcBorders>
              <w:top w:val="single" w:sz="4" w:space="0" w:color="002C47"/>
              <w:left w:val="single" w:sz="4" w:space="0" w:color="002C47"/>
              <w:bottom w:val="single" w:sz="4" w:space="0" w:color="002C47"/>
              <w:right w:val="single" w:sz="4" w:space="0" w:color="auto"/>
            </w:tcBorders>
            <w:vAlign w:val="center"/>
          </w:tcPr>
          <w:p w14:paraId="28868836"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17</w:t>
            </w:r>
          </w:p>
        </w:tc>
      </w:tr>
      <w:tr w:rsidR="00F2350B" w:rsidRPr="00373DCC" w14:paraId="5C1055A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287A7B56"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completed</w:t>
            </w:r>
          </w:p>
        </w:tc>
        <w:tc>
          <w:tcPr>
            <w:tcW w:w="778" w:type="pct"/>
            <w:tcBorders>
              <w:top w:val="single" w:sz="4" w:space="0" w:color="002C47"/>
              <w:left w:val="single" w:sz="4" w:space="0" w:color="002C47"/>
              <w:bottom w:val="single" w:sz="4" w:space="0" w:color="002C47"/>
              <w:right w:val="single" w:sz="4" w:space="0" w:color="002C47"/>
            </w:tcBorders>
            <w:vAlign w:val="center"/>
          </w:tcPr>
          <w:p w14:paraId="7DDA4903"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5</w:t>
            </w:r>
          </w:p>
        </w:tc>
        <w:tc>
          <w:tcPr>
            <w:tcW w:w="846" w:type="pct"/>
            <w:tcBorders>
              <w:top w:val="single" w:sz="4" w:space="0" w:color="002C47"/>
              <w:left w:val="single" w:sz="4" w:space="0" w:color="002C47"/>
              <w:bottom w:val="single" w:sz="4" w:space="0" w:color="002C47"/>
              <w:right w:val="single" w:sz="4" w:space="0" w:color="auto"/>
            </w:tcBorders>
            <w:vAlign w:val="center"/>
          </w:tcPr>
          <w:p w14:paraId="3A2FEFD3"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12</w:t>
            </w:r>
          </w:p>
        </w:tc>
      </w:tr>
      <w:tr w:rsidR="00F2350B" w:rsidRPr="00373DCC" w14:paraId="5C36EC9E" w14:textId="77777777" w:rsidTr="00710B91">
        <w:trPr>
          <w:cantSplit w:val="0"/>
          <w:trHeight w:val="340"/>
        </w:trPr>
        <w:tc>
          <w:tcPr>
            <w:cnfStyle w:val="001000000000" w:firstRow="0" w:lastRow="0" w:firstColumn="1" w:lastColumn="0" w:oddVBand="0" w:evenVBand="0" w:oddHBand="0" w:evenHBand="0" w:firstRowFirstColumn="0" w:firstRowLastColumn="0" w:lastRowFirstColumn="0" w:lastRowLastColumn="0"/>
            <w:tcW w:w="3376" w:type="pct"/>
            <w:tcBorders>
              <w:top w:val="single" w:sz="4" w:space="0" w:color="002C47"/>
              <w:left w:val="single" w:sz="4" w:space="0" w:color="auto"/>
              <w:bottom w:val="single" w:sz="4" w:space="0" w:color="002C47"/>
              <w:right w:val="single" w:sz="4" w:space="0" w:color="002C47"/>
            </w:tcBorders>
            <w:vAlign w:val="center"/>
          </w:tcPr>
          <w:p w14:paraId="79B3E0DB" w14:textId="77777777" w:rsidR="00F2350B" w:rsidRPr="00373DCC" w:rsidRDefault="00F2350B" w:rsidP="00710B91">
            <w:pPr>
              <w:widowControl w:val="0"/>
              <w:spacing w:before="0" w:after="0" w:line="240" w:lineRule="atLeast"/>
              <w:contextualSpacing/>
              <w:rPr>
                <w:rFonts w:eastAsiaTheme="minorHAnsi" w:cs="Arial"/>
                <w:szCs w:val="22"/>
              </w:rPr>
            </w:pPr>
            <w:r w:rsidRPr="00373DCC">
              <w:rPr>
                <w:rFonts w:eastAsiaTheme="minorHAnsi" w:cs="Arial"/>
                <w:szCs w:val="22"/>
              </w:rPr>
              <w:t>Applications on hand</w:t>
            </w:r>
          </w:p>
        </w:tc>
        <w:tc>
          <w:tcPr>
            <w:tcW w:w="778" w:type="pct"/>
            <w:tcBorders>
              <w:top w:val="single" w:sz="4" w:space="0" w:color="002C47"/>
              <w:left w:val="single" w:sz="4" w:space="0" w:color="002C47"/>
              <w:bottom w:val="single" w:sz="4" w:space="0" w:color="002C47"/>
              <w:right w:val="single" w:sz="4" w:space="0" w:color="002C47"/>
            </w:tcBorders>
            <w:vAlign w:val="center"/>
          </w:tcPr>
          <w:p w14:paraId="04C619F0"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bCs/>
                <w:szCs w:val="22"/>
              </w:rPr>
            </w:pPr>
            <w:r w:rsidRPr="00373DCC">
              <w:rPr>
                <w:rFonts w:eastAsiaTheme="minorHAnsi" w:cs="Arial"/>
                <w:bCs/>
                <w:szCs w:val="22"/>
              </w:rPr>
              <w:t>7</w:t>
            </w:r>
          </w:p>
        </w:tc>
        <w:tc>
          <w:tcPr>
            <w:tcW w:w="846" w:type="pct"/>
            <w:tcBorders>
              <w:top w:val="single" w:sz="4" w:space="0" w:color="002C47"/>
              <w:left w:val="single" w:sz="4" w:space="0" w:color="002C47"/>
              <w:bottom w:val="single" w:sz="4" w:space="0" w:color="002C47"/>
              <w:right w:val="single" w:sz="4" w:space="0" w:color="auto"/>
            </w:tcBorders>
            <w:vAlign w:val="center"/>
          </w:tcPr>
          <w:p w14:paraId="3EDDC0B6"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eastAsiaTheme="minorEastAsia" w:cs="Arial"/>
                <w:bCs/>
                <w:szCs w:val="22"/>
                <w:lang w:eastAsia="ko-KR"/>
              </w:rPr>
            </w:pPr>
            <w:r w:rsidRPr="00373DCC">
              <w:rPr>
                <w:rFonts w:cs="Arial"/>
                <w:bCs/>
                <w:szCs w:val="22"/>
              </w:rPr>
              <w:t>12</w:t>
            </w:r>
          </w:p>
        </w:tc>
      </w:tr>
    </w:tbl>
    <w:p w14:paraId="422055D2" w14:textId="77777777" w:rsidR="00F2350B" w:rsidRPr="00373DCC" w:rsidDel="00204A70" w:rsidRDefault="00F2350B" w:rsidP="00F2350B">
      <w:pPr>
        <w:spacing w:after="0" w:line="240" w:lineRule="auto"/>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 number of Class 1 IVD applications includes auto-included devices and applications completed with or without audit. </w:t>
      </w:r>
    </w:p>
    <w:p w14:paraId="6D892CC2" w14:textId="77777777" w:rsidR="00F2350B" w:rsidRPr="00373DCC" w:rsidDel="009B7DE9" w:rsidRDefault="00F2350B" w:rsidP="00F2350B">
      <w:pPr>
        <w:spacing w:after="0" w:line="240" w:lineRule="auto"/>
        <w:rPr>
          <w:rFonts w:eastAsia="Cambria" w:cs="Arial"/>
          <w:b/>
          <w:sz w:val="16"/>
          <w:szCs w:val="16"/>
        </w:rPr>
      </w:pPr>
    </w:p>
    <w:p w14:paraId="4286F5A7" w14:textId="77777777" w:rsidR="00F2350B" w:rsidRPr="00373DCC" w:rsidRDefault="00F2350B" w:rsidP="00F2350B">
      <w:pPr>
        <w:spacing w:after="0" w:line="240" w:lineRule="auto"/>
        <w:rPr>
          <w:rFonts w:eastAsia="Cambria" w:cs="Arial"/>
          <w:b/>
          <w:bCs/>
          <w:sz w:val="21"/>
          <w:szCs w:val="21"/>
        </w:rPr>
      </w:pPr>
      <w:bookmarkStart w:id="178" w:name="Table40"/>
      <w:r w:rsidRPr="00373DCC">
        <w:rPr>
          <w:rFonts w:eastAsia="Cambria" w:cs="Arial"/>
          <w:b/>
          <w:bCs/>
          <w:sz w:val="21"/>
          <w:szCs w:val="21"/>
        </w:rPr>
        <w:t>Table 40: Applications for device change requests and variations to the ARTG – medical devices (including IVDs)</w:t>
      </w:r>
    </w:p>
    <w:bookmarkEnd w:id="178"/>
    <w:tbl>
      <w:tblPr>
        <w:tblStyle w:val="TableTGAblue"/>
        <w:tblW w:w="5500" w:type="pct"/>
        <w:tblLook w:val="04A0" w:firstRow="1" w:lastRow="0" w:firstColumn="1" w:lastColumn="0" w:noHBand="0" w:noVBand="1"/>
      </w:tblPr>
      <w:tblGrid>
        <w:gridCol w:w="6662"/>
        <w:gridCol w:w="1560"/>
        <w:gridCol w:w="1701"/>
      </w:tblGrid>
      <w:tr w:rsidR="00F2350B" w:rsidRPr="00373DCC" w14:paraId="21B29FB7" w14:textId="77777777" w:rsidTr="009E420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357" w:type="pct"/>
            <w:tcBorders>
              <w:top w:val="nil"/>
              <w:left w:val="nil"/>
              <w:bottom w:val="nil"/>
              <w:right w:val="single" w:sz="4" w:space="0" w:color="auto"/>
            </w:tcBorders>
            <w:shd w:val="clear" w:color="auto" w:fill="FFFFFF" w:themeFill="background1"/>
            <w:vAlign w:val="center"/>
          </w:tcPr>
          <w:p w14:paraId="4E8AE627" w14:textId="77777777" w:rsidR="00F2350B" w:rsidRPr="00373DCC" w:rsidRDefault="00F2350B" w:rsidP="00710B91">
            <w:pPr>
              <w:widowControl w:val="0"/>
              <w:spacing w:before="0" w:after="0" w:line="240" w:lineRule="atLeast"/>
              <w:contextualSpacing/>
              <w:rPr>
                <w:rFonts w:eastAsiaTheme="minorHAnsi" w:cs="Arial"/>
                <w:color w:val="FFFFFF" w:themeColor="background1"/>
                <w:sz w:val="21"/>
              </w:rPr>
            </w:pP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41AC41E1" w14:textId="588B2204"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857" w:type="pct"/>
            <w:tcBorders>
              <w:top w:val="single" w:sz="4" w:space="0" w:color="auto"/>
              <w:left w:val="single" w:sz="4" w:space="0" w:color="auto"/>
              <w:bottom w:val="single" w:sz="4" w:space="0" w:color="auto"/>
              <w:right w:val="single" w:sz="4" w:space="0" w:color="auto"/>
            </w:tcBorders>
            <w:shd w:val="clear" w:color="auto" w:fill="29527F"/>
            <w:vAlign w:val="center"/>
          </w:tcPr>
          <w:p w14:paraId="08683B2B" w14:textId="6CA4D9A7" w:rsidR="00F2350B" w:rsidRPr="00373DCC"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3947BD8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auto"/>
              <w:left w:val="single" w:sz="4" w:space="0" w:color="auto"/>
              <w:bottom w:val="single" w:sz="4" w:space="0" w:color="auto"/>
              <w:right w:val="nil"/>
            </w:tcBorders>
            <w:shd w:val="clear" w:color="auto" w:fill="8CADD3"/>
            <w:vAlign w:val="center"/>
          </w:tcPr>
          <w:p w14:paraId="67B7AC4D" w14:textId="77777777" w:rsidR="00F2350B" w:rsidRPr="00373DCC" w:rsidRDefault="00F2350B" w:rsidP="00710B91">
            <w:pPr>
              <w:tabs>
                <w:tab w:val="left" w:pos="907"/>
                <w:tab w:val="left" w:pos="1134"/>
              </w:tabs>
              <w:spacing w:before="0" w:after="0" w:line="240" w:lineRule="atLeast"/>
              <w:outlineLvl w:val="4"/>
              <w:rPr>
                <w:rFonts w:cs="Arial"/>
                <w:sz w:val="21"/>
              </w:rPr>
            </w:pPr>
            <w:r w:rsidRPr="00373DCC">
              <w:rPr>
                <w:rFonts w:cs="Arial"/>
                <w:sz w:val="21"/>
              </w:rPr>
              <w:t>Device Change Request (DCR)</w:t>
            </w:r>
          </w:p>
        </w:tc>
        <w:tc>
          <w:tcPr>
            <w:tcW w:w="786" w:type="pct"/>
            <w:tcBorders>
              <w:top w:val="single" w:sz="4" w:space="0" w:color="auto"/>
              <w:left w:val="nil"/>
              <w:bottom w:val="single" w:sz="4" w:space="0" w:color="auto"/>
              <w:right w:val="nil"/>
            </w:tcBorders>
            <w:shd w:val="clear" w:color="auto" w:fill="8CADD3"/>
            <w:vAlign w:val="center"/>
          </w:tcPr>
          <w:p w14:paraId="0C59EEA7"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c>
          <w:tcPr>
            <w:tcW w:w="857" w:type="pct"/>
            <w:tcBorders>
              <w:top w:val="single" w:sz="4" w:space="0" w:color="auto"/>
              <w:left w:val="nil"/>
              <w:bottom w:val="single" w:sz="4" w:space="0" w:color="auto"/>
              <w:right w:val="single" w:sz="4" w:space="0" w:color="auto"/>
            </w:tcBorders>
            <w:shd w:val="clear" w:color="auto" w:fill="8CADD3"/>
            <w:vAlign w:val="center"/>
          </w:tcPr>
          <w:p w14:paraId="712526A0" w14:textId="77777777" w:rsidR="00F2350B" w:rsidRPr="00373DCC" w:rsidRDefault="00F2350B" w:rsidP="00710B91">
            <w:pPr>
              <w:widowControl w:val="0"/>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r>
      <w:tr w:rsidR="00F2350B" w:rsidRPr="00373DCC" w14:paraId="22DBD25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auto"/>
              <w:left w:val="single" w:sz="4" w:space="0" w:color="auto"/>
              <w:bottom w:val="single" w:sz="4" w:space="0" w:color="auto"/>
              <w:right w:val="single" w:sz="4" w:space="0" w:color="auto"/>
            </w:tcBorders>
            <w:vAlign w:val="center"/>
          </w:tcPr>
          <w:p w14:paraId="103F22E3"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received</w:t>
            </w:r>
          </w:p>
        </w:tc>
        <w:tc>
          <w:tcPr>
            <w:tcW w:w="786" w:type="pct"/>
            <w:tcBorders>
              <w:top w:val="single" w:sz="4" w:space="0" w:color="auto"/>
              <w:left w:val="single" w:sz="4" w:space="0" w:color="auto"/>
              <w:bottom w:val="single" w:sz="4" w:space="0" w:color="auto"/>
              <w:right w:val="single" w:sz="4" w:space="0" w:color="auto"/>
            </w:tcBorders>
            <w:vAlign w:val="center"/>
          </w:tcPr>
          <w:p w14:paraId="612A2A7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1,035</w:t>
            </w:r>
          </w:p>
        </w:tc>
        <w:tc>
          <w:tcPr>
            <w:tcW w:w="857" w:type="pct"/>
            <w:tcBorders>
              <w:top w:val="single" w:sz="4" w:space="0" w:color="auto"/>
              <w:left w:val="single" w:sz="4" w:space="0" w:color="auto"/>
              <w:bottom w:val="single" w:sz="4" w:space="0" w:color="auto"/>
              <w:right w:val="single" w:sz="4" w:space="0" w:color="auto"/>
            </w:tcBorders>
            <w:vAlign w:val="center"/>
          </w:tcPr>
          <w:p w14:paraId="29AB11E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857</w:t>
            </w:r>
          </w:p>
        </w:tc>
      </w:tr>
      <w:tr w:rsidR="00F2350B" w:rsidRPr="00373DCC" w14:paraId="6D390B4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auto"/>
              <w:left w:val="single" w:sz="4" w:space="0" w:color="auto"/>
              <w:bottom w:val="single" w:sz="4" w:space="0" w:color="000000"/>
              <w:right w:val="single" w:sz="4" w:space="0" w:color="auto"/>
            </w:tcBorders>
            <w:vAlign w:val="center"/>
          </w:tcPr>
          <w:p w14:paraId="66214F9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completed</w:t>
            </w:r>
          </w:p>
        </w:tc>
        <w:tc>
          <w:tcPr>
            <w:tcW w:w="786" w:type="pct"/>
            <w:tcBorders>
              <w:top w:val="single" w:sz="4" w:space="0" w:color="auto"/>
              <w:left w:val="single" w:sz="4" w:space="0" w:color="auto"/>
              <w:bottom w:val="single" w:sz="4" w:space="0" w:color="000000"/>
              <w:right w:val="single" w:sz="4" w:space="0" w:color="auto"/>
            </w:tcBorders>
            <w:vAlign w:val="center"/>
          </w:tcPr>
          <w:p w14:paraId="26F8051D"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951</w:t>
            </w:r>
          </w:p>
        </w:tc>
        <w:tc>
          <w:tcPr>
            <w:tcW w:w="857" w:type="pct"/>
            <w:tcBorders>
              <w:top w:val="single" w:sz="4" w:space="0" w:color="auto"/>
              <w:left w:val="single" w:sz="4" w:space="0" w:color="auto"/>
              <w:bottom w:val="single" w:sz="4" w:space="0" w:color="000000"/>
              <w:right w:val="single" w:sz="4" w:space="0" w:color="auto"/>
            </w:tcBorders>
            <w:vAlign w:val="center"/>
          </w:tcPr>
          <w:p w14:paraId="13E9038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742</w:t>
            </w:r>
          </w:p>
        </w:tc>
      </w:tr>
      <w:tr w:rsidR="00F2350B" w:rsidRPr="00373DCC" w14:paraId="14E1849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4072E708"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on hand</w:t>
            </w:r>
          </w:p>
        </w:tc>
        <w:tc>
          <w:tcPr>
            <w:tcW w:w="786" w:type="pct"/>
            <w:tcBorders>
              <w:top w:val="single" w:sz="4" w:space="0" w:color="000000"/>
              <w:left w:val="single" w:sz="4" w:space="0" w:color="000000"/>
              <w:bottom w:val="single" w:sz="4" w:space="0" w:color="000000"/>
              <w:right w:val="single" w:sz="4" w:space="0" w:color="000000"/>
            </w:tcBorders>
            <w:vAlign w:val="center"/>
          </w:tcPr>
          <w:p w14:paraId="1315ECF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310</w:t>
            </w:r>
          </w:p>
        </w:tc>
        <w:tc>
          <w:tcPr>
            <w:tcW w:w="857" w:type="pct"/>
            <w:tcBorders>
              <w:top w:val="single" w:sz="4" w:space="0" w:color="000000"/>
              <w:left w:val="single" w:sz="4" w:space="0" w:color="000000"/>
              <w:bottom w:val="single" w:sz="4" w:space="0" w:color="000000"/>
              <w:right w:val="single" w:sz="4" w:space="0" w:color="000000"/>
            </w:tcBorders>
            <w:vAlign w:val="center"/>
          </w:tcPr>
          <w:p w14:paraId="4B303EA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209</w:t>
            </w:r>
          </w:p>
        </w:tc>
      </w:tr>
      <w:tr w:rsidR="00F2350B" w:rsidRPr="00373DCC" w14:paraId="10D253A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shd w:val="clear" w:color="auto" w:fill="8CADD3"/>
            <w:vAlign w:val="center"/>
          </w:tcPr>
          <w:p w14:paraId="2AA82D22" w14:textId="77777777" w:rsidR="00F2350B" w:rsidRPr="00373DCC" w:rsidRDefault="00F2350B" w:rsidP="00710B91">
            <w:pPr>
              <w:tabs>
                <w:tab w:val="left" w:pos="907"/>
                <w:tab w:val="left" w:pos="1134"/>
              </w:tabs>
              <w:spacing w:before="0" w:after="0" w:line="240" w:lineRule="atLeast"/>
              <w:outlineLvl w:val="4"/>
              <w:rPr>
                <w:rFonts w:cs="Arial"/>
                <w:sz w:val="21"/>
              </w:rPr>
            </w:pPr>
            <w:r w:rsidRPr="00373DCC">
              <w:rPr>
                <w:rFonts w:cs="Arial"/>
                <w:sz w:val="21"/>
              </w:rPr>
              <w:t xml:space="preserve">Variations to Class III medical devices </w:t>
            </w:r>
          </w:p>
        </w:tc>
        <w:tc>
          <w:tcPr>
            <w:tcW w:w="786" w:type="pct"/>
            <w:tcBorders>
              <w:top w:val="single" w:sz="4" w:space="0" w:color="000000"/>
              <w:left w:val="single" w:sz="4" w:space="0" w:color="000000"/>
              <w:bottom w:val="single" w:sz="4" w:space="0" w:color="000000"/>
              <w:right w:val="single" w:sz="4" w:space="0" w:color="000000"/>
            </w:tcBorders>
            <w:shd w:val="clear" w:color="auto" w:fill="8CADD3"/>
            <w:vAlign w:val="center"/>
          </w:tcPr>
          <w:p w14:paraId="10D84580"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c>
          <w:tcPr>
            <w:tcW w:w="857" w:type="pct"/>
            <w:tcBorders>
              <w:top w:val="single" w:sz="4" w:space="0" w:color="000000"/>
              <w:left w:val="single" w:sz="4" w:space="0" w:color="000000"/>
              <w:bottom w:val="single" w:sz="4" w:space="0" w:color="000000"/>
              <w:right w:val="single" w:sz="4" w:space="0" w:color="000000"/>
            </w:tcBorders>
            <w:shd w:val="clear" w:color="auto" w:fill="8CADD3"/>
            <w:vAlign w:val="center"/>
          </w:tcPr>
          <w:p w14:paraId="53EEF24D" w14:textId="77777777" w:rsidR="00F2350B" w:rsidRPr="00373DCC" w:rsidRDefault="00F2350B" w:rsidP="00710B91">
            <w:pPr>
              <w:spacing w:before="0" w:after="0" w:line="24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r>
      <w:tr w:rsidR="00F2350B" w:rsidRPr="00373DCC" w14:paraId="2059042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6FE02C25"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received</w:t>
            </w:r>
          </w:p>
        </w:tc>
        <w:tc>
          <w:tcPr>
            <w:tcW w:w="786" w:type="pct"/>
            <w:tcBorders>
              <w:top w:val="single" w:sz="4" w:space="0" w:color="000000"/>
              <w:left w:val="single" w:sz="4" w:space="0" w:color="000000"/>
              <w:bottom w:val="single" w:sz="4" w:space="0" w:color="000000"/>
              <w:right w:val="single" w:sz="4" w:space="0" w:color="000000"/>
            </w:tcBorders>
            <w:vAlign w:val="center"/>
          </w:tcPr>
          <w:p w14:paraId="060A78A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117</w:t>
            </w:r>
          </w:p>
        </w:tc>
        <w:tc>
          <w:tcPr>
            <w:tcW w:w="857" w:type="pct"/>
            <w:tcBorders>
              <w:top w:val="single" w:sz="4" w:space="0" w:color="000000"/>
              <w:left w:val="single" w:sz="4" w:space="0" w:color="000000"/>
              <w:bottom w:val="single" w:sz="4" w:space="0" w:color="000000"/>
              <w:right w:val="single" w:sz="4" w:space="0" w:color="000000"/>
            </w:tcBorders>
            <w:vAlign w:val="center"/>
          </w:tcPr>
          <w:p w14:paraId="5AC3B08D"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108</w:t>
            </w:r>
          </w:p>
        </w:tc>
      </w:tr>
      <w:tr w:rsidR="00F2350B" w:rsidRPr="00373DCC" w14:paraId="65F97B5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12018B2A"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completed</w:t>
            </w:r>
          </w:p>
        </w:tc>
        <w:tc>
          <w:tcPr>
            <w:tcW w:w="786" w:type="pct"/>
            <w:tcBorders>
              <w:top w:val="single" w:sz="4" w:space="0" w:color="000000"/>
              <w:left w:val="single" w:sz="4" w:space="0" w:color="000000"/>
              <w:bottom w:val="single" w:sz="4" w:space="0" w:color="000000"/>
              <w:right w:val="single" w:sz="4" w:space="0" w:color="000000"/>
            </w:tcBorders>
            <w:vAlign w:val="center"/>
          </w:tcPr>
          <w:p w14:paraId="60447DC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123</w:t>
            </w:r>
          </w:p>
        </w:tc>
        <w:tc>
          <w:tcPr>
            <w:tcW w:w="857" w:type="pct"/>
            <w:tcBorders>
              <w:top w:val="single" w:sz="4" w:space="0" w:color="000000"/>
              <w:left w:val="single" w:sz="4" w:space="0" w:color="000000"/>
              <w:bottom w:val="single" w:sz="4" w:space="0" w:color="000000"/>
              <w:right w:val="single" w:sz="4" w:space="0" w:color="000000"/>
            </w:tcBorders>
            <w:vAlign w:val="center"/>
          </w:tcPr>
          <w:p w14:paraId="3E9B46D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110</w:t>
            </w:r>
          </w:p>
        </w:tc>
      </w:tr>
      <w:tr w:rsidR="00F2350B" w:rsidRPr="00373DCC" w14:paraId="566CCFC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2EFEE07A"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on hand</w:t>
            </w:r>
          </w:p>
        </w:tc>
        <w:tc>
          <w:tcPr>
            <w:tcW w:w="786" w:type="pct"/>
            <w:tcBorders>
              <w:top w:val="single" w:sz="4" w:space="0" w:color="000000"/>
              <w:left w:val="single" w:sz="4" w:space="0" w:color="000000"/>
              <w:bottom w:val="single" w:sz="4" w:space="0" w:color="000000"/>
              <w:right w:val="single" w:sz="4" w:space="0" w:color="000000"/>
            </w:tcBorders>
            <w:vAlign w:val="center"/>
          </w:tcPr>
          <w:p w14:paraId="02F6708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w:t>
            </w:r>
          </w:p>
        </w:tc>
        <w:tc>
          <w:tcPr>
            <w:tcW w:w="857" w:type="pct"/>
            <w:tcBorders>
              <w:top w:val="single" w:sz="4" w:space="0" w:color="000000"/>
              <w:left w:val="single" w:sz="4" w:space="0" w:color="000000"/>
              <w:bottom w:val="single" w:sz="4" w:space="0" w:color="000000"/>
              <w:right w:val="single" w:sz="4" w:space="0" w:color="000000"/>
            </w:tcBorders>
            <w:vAlign w:val="center"/>
          </w:tcPr>
          <w:p w14:paraId="4348AEF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bCs/>
                <w:sz w:val="21"/>
              </w:rPr>
              <w:t>6</w:t>
            </w:r>
          </w:p>
        </w:tc>
      </w:tr>
      <w:tr w:rsidR="00F2350B" w:rsidRPr="00373DCC" w14:paraId="595FD5C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vAlign w:val="center"/>
          </w:tcPr>
          <w:p w14:paraId="276B45C1" w14:textId="77777777" w:rsidR="00F2350B" w:rsidRPr="00373DCC" w:rsidRDefault="00F2350B" w:rsidP="00710B91">
            <w:pPr>
              <w:tabs>
                <w:tab w:val="left" w:pos="907"/>
                <w:tab w:val="left" w:pos="1134"/>
              </w:tabs>
              <w:spacing w:before="0" w:after="0" w:line="240" w:lineRule="atLeast"/>
              <w:outlineLvl w:val="4"/>
              <w:rPr>
                <w:rFonts w:cs="Arial"/>
                <w:sz w:val="21"/>
              </w:rPr>
            </w:pPr>
            <w:r w:rsidRPr="00373DCC">
              <w:rPr>
                <w:rFonts w:cs="Arial"/>
                <w:sz w:val="21"/>
              </w:rPr>
              <w:t>Variations to Active Implantable Medical Devices (AIMD)</w:t>
            </w:r>
          </w:p>
        </w:tc>
      </w:tr>
      <w:tr w:rsidR="00F2350B" w:rsidRPr="00373DCC" w14:paraId="758181F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4C982262"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received</w:t>
            </w:r>
          </w:p>
        </w:tc>
        <w:tc>
          <w:tcPr>
            <w:tcW w:w="786" w:type="pct"/>
            <w:tcBorders>
              <w:top w:val="single" w:sz="4" w:space="0" w:color="000000"/>
              <w:left w:val="single" w:sz="4" w:space="0" w:color="000000"/>
              <w:bottom w:val="single" w:sz="4" w:space="0" w:color="000000"/>
              <w:right w:val="single" w:sz="4" w:space="0" w:color="000000"/>
            </w:tcBorders>
            <w:vAlign w:val="center"/>
          </w:tcPr>
          <w:p w14:paraId="036BD835"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0</w:t>
            </w:r>
          </w:p>
        </w:tc>
        <w:tc>
          <w:tcPr>
            <w:tcW w:w="857" w:type="pct"/>
            <w:tcBorders>
              <w:top w:val="single" w:sz="4" w:space="0" w:color="000000"/>
              <w:left w:val="single" w:sz="4" w:space="0" w:color="000000"/>
              <w:bottom w:val="single" w:sz="4" w:space="0" w:color="000000"/>
              <w:right w:val="single" w:sz="4" w:space="0" w:color="000000"/>
            </w:tcBorders>
            <w:vAlign w:val="center"/>
          </w:tcPr>
          <w:p w14:paraId="5B520B1F"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0</w:t>
            </w:r>
          </w:p>
        </w:tc>
      </w:tr>
      <w:tr w:rsidR="00F2350B" w:rsidRPr="00373DCC" w14:paraId="1E414AE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0464F665"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completed</w:t>
            </w:r>
          </w:p>
        </w:tc>
        <w:tc>
          <w:tcPr>
            <w:tcW w:w="786" w:type="pct"/>
            <w:tcBorders>
              <w:top w:val="single" w:sz="4" w:space="0" w:color="000000"/>
              <w:left w:val="single" w:sz="4" w:space="0" w:color="000000"/>
              <w:bottom w:val="single" w:sz="4" w:space="0" w:color="000000"/>
              <w:right w:val="single" w:sz="4" w:space="0" w:color="000000"/>
            </w:tcBorders>
            <w:vAlign w:val="center"/>
          </w:tcPr>
          <w:p w14:paraId="304D43C1"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1</w:t>
            </w:r>
          </w:p>
        </w:tc>
        <w:tc>
          <w:tcPr>
            <w:tcW w:w="857" w:type="pct"/>
            <w:tcBorders>
              <w:top w:val="single" w:sz="4" w:space="0" w:color="000000"/>
              <w:left w:val="single" w:sz="4" w:space="0" w:color="000000"/>
              <w:bottom w:val="single" w:sz="4" w:space="0" w:color="000000"/>
              <w:right w:val="single" w:sz="4" w:space="0" w:color="000000"/>
            </w:tcBorders>
            <w:vAlign w:val="center"/>
          </w:tcPr>
          <w:p w14:paraId="1F2D0C65" w14:textId="77777777" w:rsidR="00F2350B" w:rsidRPr="00373DCC" w:rsidRDefault="00F2350B" w:rsidP="00710B91">
            <w:pPr>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0</w:t>
            </w:r>
          </w:p>
        </w:tc>
      </w:tr>
      <w:tr w:rsidR="00F2350B" w:rsidRPr="00373DCC" w14:paraId="7CF3309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49E3029D"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on hand</w:t>
            </w:r>
          </w:p>
        </w:tc>
        <w:tc>
          <w:tcPr>
            <w:tcW w:w="786" w:type="pct"/>
            <w:tcBorders>
              <w:top w:val="single" w:sz="4" w:space="0" w:color="000000"/>
              <w:left w:val="single" w:sz="4" w:space="0" w:color="000000"/>
              <w:bottom w:val="single" w:sz="4" w:space="0" w:color="000000"/>
              <w:right w:val="single" w:sz="4" w:space="0" w:color="000000"/>
            </w:tcBorders>
            <w:vAlign w:val="center"/>
          </w:tcPr>
          <w:p w14:paraId="24E82F8E"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0</w:t>
            </w:r>
          </w:p>
        </w:tc>
        <w:tc>
          <w:tcPr>
            <w:tcW w:w="857" w:type="pct"/>
            <w:tcBorders>
              <w:top w:val="single" w:sz="4" w:space="0" w:color="000000"/>
              <w:left w:val="single" w:sz="4" w:space="0" w:color="000000"/>
              <w:bottom w:val="single" w:sz="4" w:space="0" w:color="000000"/>
              <w:right w:val="single" w:sz="4" w:space="0" w:color="000000"/>
            </w:tcBorders>
            <w:vAlign w:val="center"/>
          </w:tcPr>
          <w:p w14:paraId="7A75315A"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bCs/>
                <w:sz w:val="21"/>
              </w:rPr>
              <w:t>0</w:t>
            </w:r>
          </w:p>
        </w:tc>
      </w:tr>
      <w:tr w:rsidR="00F2350B" w:rsidRPr="00373DCC" w14:paraId="160D715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vAlign w:val="center"/>
          </w:tcPr>
          <w:p w14:paraId="189B3A04" w14:textId="77777777" w:rsidR="00F2350B" w:rsidRPr="00373DCC" w:rsidRDefault="00F2350B" w:rsidP="00710B91">
            <w:pPr>
              <w:tabs>
                <w:tab w:val="left" w:pos="907"/>
                <w:tab w:val="left" w:pos="1134"/>
              </w:tabs>
              <w:spacing w:before="0" w:after="0" w:line="240" w:lineRule="atLeast"/>
              <w:outlineLvl w:val="4"/>
              <w:rPr>
                <w:rFonts w:cs="Arial"/>
                <w:sz w:val="21"/>
              </w:rPr>
            </w:pPr>
            <w:r w:rsidRPr="00373DCC">
              <w:rPr>
                <w:rFonts w:cs="Arial"/>
                <w:sz w:val="21"/>
              </w:rPr>
              <w:t>IVD Device Change Request (DCR)</w:t>
            </w:r>
          </w:p>
        </w:tc>
      </w:tr>
      <w:tr w:rsidR="00F2350B" w:rsidRPr="00373DCC" w14:paraId="05BF85E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1CC2C252"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received</w:t>
            </w:r>
          </w:p>
        </w:tc>
        <w:tc>
          <w:tcPr>
            <w:tcW w:w="786" w:type="pct"/>
            <w:tcBorders>
              <w:top w:val="single" w:sz="4" w:space="0" w:color="000000"/>
              <w:left w:val="single" w:sz="4" w:space="0" w:color="000000"/>
              <w:bottom w:val="single" w:sz="4" w:space="0" w:color="000000"/>
              <w:right w:val="single" w:sz="4" w:space="0" w:color="000000"/>
            </w:tcBorders>
            <w:vAlign w:val="center"/>
          </w:tcPr>
          <w:p w14:paraId="76A58CD7"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83</w:t>
            </w:r>
          </w:p>
        </w:tc>
        <w:tc>
          <w:tcPr>
            <w:tcW w:w="857" w:type="pct"/>
            <w:tcBorders>
              <w:top w:val="single" w:sz="4" w:space="0" w:color="000000"/>
              <w:left w:val="single" w:sz="4" w:space="0" w:color="000000"/>
              <w:bottom w:val="single" w:sz="4" w:space="0" w:color="000000"/>
              <w:right w:val="single" w:sz="4" w:space="0" w:color="000000"/>
            </w:tcBorders>
            <w:vAlign w:val="center"/>
          </w:tcPr>
          <w:p w14:paraId="48191821"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107</w:t>
            </w:r>
          </w:p>
        </w:tc>
      </w:tr>
      <w:tr w:rsidR="00F2350B" w:rsidRPr="00373DCC" w14:paraId="5DD0C91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1F81AA12"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completed</w:t>
            </w:r>
          </w:p>
        </w:tc>
        <w:tc>
          <w:tcPr>
            <w:tcW w:w="786" w:type="pct"/>
            <w:tcBorders>
              <w:top w:val="single" w:sz="4" w:space="0" w:color="000000"/>
              <w:left w:val="single" w:sz="4" w:space="0" w:color="000000"/>
              <w:bottom w:val="single" w:sz="4" w:space="0" w:color="000000"/>
              <w:right w:val="single" w:sz="4" w:space="0" w:color="000000"/>
            </w:tcBorders>
            <w:vAlign w:val="center"/>
          </w:tcPr>
          <w:p w14:paraId="4C662744"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72</w:t>
            </w:r>
          </w:p>
        </w:tc>
        <w:tc>
          <w:tcPr>
            <w:tcW w:w="857" w:type="pct"/>
            <w:tcBorders>
              <w:top w:val="single" w:sz="4" w:space="0" w:color="000000"/>
              <w:left w:val="single" w:sz="4" w:space="0" w:color="000000"/>
              <w:bottom w:val="single" w:sz="4" w:space="0" w:color="000000"/>
              <w:right w:val="single" w:sz="4" w:space="0" w:color="000000"/>
            </w:tcBorders>
            <w:vAlign w:val="center"/>
          </w:tcPr>
          <w:p w14:paraId="05FD346C"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99</w:t>
            </w:r>
          </w:p>
        </w:tc>
      </w:tr>
      <w:tr w:rsidR="00F2350B" w:rsidRPr="00373DCC" w14:paraId="4D94AF1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2DC001A7"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on hand</w:t>
            </w:r>
          </w:p>
        </w:tc>
        <w:tc>
          <w:tcPr>
            <w:tcW w:w="786" w:type="pct"/>
            <w:tcBorders>
              <w:top w:val="single" w:sz="4" w:space="0" w:color="000000"/>
              <w:left w:val="single" w:sz="4" w:space="0" w:color="000000"/>
              <w:bottom w:val="single" w:sz="4" w:space="0" w:color="000000"/>
              <w:right w:val="single" w:sz="4" w:space="0" w:color="000000"/>
            </w:tcBorders>
            <w:vAlign w:val="center"/>
          </w:tcPr>
          <w:p w14:paraId="3A0C2C46"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35</w:t>
            </w:r>
          </w:p>
        </w:tc>
        <w:tc>
          <w:tcPr>
            <w:tcW w:w="857" w:type="pct"/>
            <w:tcBorders>
              <w:top w:val="single" w:sz="4" w:space="0" w:color="000000"/>
              <w:left w:val="single" w:sz="4" w:space="0" w:color="000000"/>
              <w:bottom w:val="single" w:sz="4" w:space="0" w:color="000000"/>
              <w:right w:val="single" w:sz="4" w:space="0" w:color="000000"/>
            </w:tcBorders>
            <w:vAlign w:val="center"/>
          </w:tcPr>
          <w:p w14:paraId="000B53A6"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46</w:t>
            </w:r>
          </w:p>
        </w:tc>
      </w:tr>
      <w:tr w:rsidR="00F2350B" w:rsidRPr="00373DCC" w14:paraId="1DD0629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vAlign w:val="center"/>
          </w:tcPr>
          <w:p w14:paraId="5C0DF081" w14:textId="77777777" w:rsidR="00F2350B" w:rsidRPr="00373DCC" w:rsidRDefault="00F2350B" w:rsidP="00710B91">
            <w:pPr>
              <w:tabs>
                <w:tab w:val="left" w:pos="907"/>
                <w:tab w:val="left" w:pos="1134"/>
              </w:tabs>
              <w:spacing w:before="0" w:after="0" w:line="240" w:lineRule="atLeast"/>
              <w:outlineLvl w:val="4"/>
              <w:rPr>
                <w:rFonts w:cs="Arial"/>
                <w:bCs/>
                <w:sz w:val="21"/>
              </w:rPr>
            </w:pPr>
            <w:r w:rsidRPr="00373DCC">
              <w:rPr>
                <w:rFonts w:cs="Arial"/>
                <w:sz w:val="21"/>
              </w:rPr>
              <w:t>IVD Variations</w:t>
            </w:r>
          </w:p>
        </w:tc>
      </w:tr>
      <w:tr w:rsidR="00F2350B" w:rsidRPr="00373DCC" w14:paraId="36B7CAD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5E636A56"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received</w:t>
            </w:r>
          </w:p>
        </w:tc>
        <w:tc>
          <w:tcPr>
            <w:tcW w:w="786" w:type="pct"/>
            <w:tcBorders>
              <w:top w:val="single" w:sz="4" w:space="0" w:color="000000"/>
              <w:left w:val="single" w:sz="4" w:space="0" w:color="000000"/>
              <w:bottom w:val="single" w:sz="4" w:space="0" w:color="000000"/>
              <w:right w:val="single" w:sz="4" w:space="0" w:color="000000"/>
            </w:tcBorders>
            <w:vAlign w:val="center"/>
          </w:tcPr>
          <w:p w14:paraId="26F34E85"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97</w:t>
            </w:r>
          </w:p>
        </w:tc>
        <w:tc>
          <w:tcPr>
            <w:tcW w:w="857" w:type="pct"/>
            <w:tcBorders>
              <w:top w:val="single" w:sz="4" w:space="0" w:color="000000"/>
              <w:left w:val="single" w:sz="4" w:space="0" w:color="000000"/>
              <w:bottom w:val="single" w:sz="4" w:space="0" w:color="000000"/>
              <w:right w:val="single" w:sz="4" w:space="0" w:color="000000"/>
            </w:tcBorders>
            <w:vAlign w:val="center"/>
          </w:tcPr>
          <w:p w14:paraId="5F17FFA8"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52</w:t>
            </w:r>
          </w:p>
        </w:tc>
      </w:tr>
      <w:tr w:rsidR="00F2350B" w:rsidRPr="00373DCC" w14:paraId="2970E11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43ED68C8"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completed</w:t>
            </w:r>
          </w:p>
        </w:tc>
        <w:tc>
          <w:tcPr>
            <w:tcW w:w="786" w:type="pct"/>
            <w:tcBorders>
              <w:top w:val="single" w:sz="4" w:space="0" w:color="000000"/>
              <w:left w:val="single" w:sz="4" w:space="0" w:color="000000"/>
              <w:bottom w:val="single" w:sz="4" w:space="0" w:color="000000"/>
              <w:right w:val="single" w:sz="4" w:space="0" w:color="000000"/>
            </w:tcBorders>
            <w:vAlign w:val="center"/>
          </w:tcPr>
          <w:p w14:paraId="05D98FDC"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100</w:t>
            </w:r>
          </w:p>
        </w:tc>
        <w:tc>
          <w:tcPr>
            <w:tcW w:w="857" w:type="pct"/>
            <w:tcBorders>
              <w:top w:val="single" w:sz="4" w:space="0" w:color="000000"/>
              <w:left w:val="single" w:sz="4" w:space="0" w:color="000000"/>
              <w:bottom w:val="single" w:sz="4" w:space="0" w:color="000000"/>
              <w:right w:val="single" w:sz="4" w:space="0" w:color="000000"/>
            </w:tcBorders>
            <w:vAlign w:val="center"/>
          </w:tcPr>
          <w:p w14:paraId="06709E2D"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58</w:t>
            </w:r>
          </w:p>
        </w:tc>
      </w:tr>
      <w:tr w:rsidR="00F2350B" w:rsidRPr="00373DCC" w14:paraId="3E12B8B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7" w:type="pct"/>
            <w:tcBorders>
              <w:top w:val="single" w:sz="4" w:space="0" w:color="000000"/>
              <w:left w:val="single" w:sz="4" w:space="0" w:color="000000"/>
              <w:bottom w:val="single" w:sz="4" w:space="0" w:color="000000"/>
              <w:right w:val="single" w:sz="4" w:space="0" w:color="000000"/>
            </w:tcBorders>
            <w:vAlign w:val="center"/>
          </w:tcPr>
          <w:p w14:paraId="6A78FB49" w14:textId="77777777" w:rsidR="00F2350B" w:rsidRPr="00373DCC" w:rsidRDefault="00F2350B" w:rsidP="00710B91">
            <w:pPr>
              <w:widowControl w:val="0"/>
              <w:spacing w:before="0" w:after="0" w:line="240" w:lineRule="atLeast"/>
              <w:contextualSpacing/>
              <w:rPr>
                <w:rFonts w:eastAsiaTheme="minorHAnsi" w:cs="Arial"/>
                <w:sz w:val="21"/>
              </w:rPr>
            </w:pPr>
            <w:r w:rsidRPr="00373DCC">
              <w:rPr>
                <w:rFonts w:eastAsiaTheme="minorHAnsi" w:cs="Arial"/>
                <w:sz w:val="21"/>
              </w:rPr>
              <w:t>Applications on hand</w:t>
            </w:r>
          </w:p>
        </w:tc>
        <w:tc>
          <w:tcPr>
            <w:tcW w:w="786" w:type="pct"/>
            <w:tcBorders>
              <w:top w:val="single" w:sz="4" w:space="0" w:color="000000"/>
              <w:left w:val="single" w:sz="4" w:space="0" w:color="000000"/>
              <w:bottom w:val="single" w:sz="4" w:space="0" w:color="000000"/>
              <w:right w:val="single" w:sz="4" w:space="0" w:color="000000"/>
            </w:tcBorders>
            <w:vAlign w:val="center"/>
          </w:tcPr>
          <w:p w14:paraId="3E4D12FC"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33</w:t>
            </w:r>
          </w:p>
        </w:tc>
        <w:tc>
          <w:tcPr>
            <w:tcW w:w="857" w:type="pct"/>
            <w:tcBorders>
              <w:top w:val="single" w:sz="4" w:space="0" w:color="000000"/>
              <w:left w:val="single" w:sz="4" w:space="0" w:color="000000"/>
              <w:bottom w:val="single" w:sz="4" w:space="0" w:color="000000"/>
              <w:right w:val="single" w:sz="4" w:space="0" w:color="000000"/>
            </w:tcBorders>
            <w:vAlign w:val="center"/>
          </w:tcPr>
          <w:p w14:paraId="2DDE23DE" w14:textId="77777777" w:rsidR="00F2350B" w:rsidRPr="00373DCC" w:rsidRDefault="00F2350B" w:rsidP="00710B91">
            <w:pPr>
              <w:tabs>
                <w:tab w:val="center" w:pos="603"/>
                <w:tab w:val="right" w:pos="1206"/>
              </w:tabs>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bCs/>
                <w:sz w:val="21"/>
              </w:rPr>
            </w:pPr>
            <w:r w:rsidRPr="00373DCC">
              <w:rPr>
                <w:rFonts w:cs="Arial"/>
                <w:bCs/>
                <w:sz w:val="21"/>
              </w:rPr>
              <w:t>27</w:t>
            </w:r>
          </w:p>
        </w:tc>
      </w:tr>
    </w:tbl>
    <w:p w14:paraId="6F451FBE" w14:textId="77777777" w:rsidR="00F2350B" w:rsidRPr="00111800" w:rsidRDefault="00F2350B" w:rsidP="00F2350B">
      <w:pPr>
        <w:rPr>
          <w:rFonts w:cs="Arial"/>
          <w:sz w:val="16"/>
          <w:szCs w:val="16"/>
        </w:rPr>
      </w:pPr>
      <w:r w:rsidRPr="00111800">
        <w:rPr>
          <w:rFonts w:eastAsia="Times New Roman" w:cs="Arial"/>
          <w:sz w:val="16"/>
          <w:szCs w:val="16"/>
          <w:lang w:eastAsia="en-AU"/>
        </w:rPr>
        <w:t xml:space="preserve">Note: </w:t>
      </w:r>
      <w:r w:rsidRPr="00111800">
        <w:rPr>
          <w:rFonts w:cs="Arial"/>
          <w:sz w:val="16"/>
          <w:szCs w:val="16"/>
        </w:rPr>
        <w:t xml:space="preserve">Similar to 2021-22, in 2022-23, we had an unprecedented number of COVID-19 test applications (mostly Class 3 IVDs), and prioritised applications for combination COVID-19/Influenza test kits to meet the public health need during the winter flu season. The number of IVD application audits and the mean processing time to complete the audits increased in 2022-23.      </w:t>
      </w:r>
    </w:p>
    <w:p w14:paraId="49DF9F01"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8.2.2 Processing times</w:t>
      </w:r>
    </w:p>
    <w:p w14:paraId="22E3C142" w14:textId="77777777" w:rsidR="00F2350B" w:rsidRPr="00373DCC" w:rsidRDefault="00F2350B" w:rsidP="00F2350B">
      <w:pPr>
        <w:rPr>
          <w:rFonts w:cs="Arial"/>
          <w:sz w:val="21"/>
          <w:szCs w:val="21"/>
        </w:rPr>
      </w:pPr>
      <w:r w:rsidRPr="00373DCC">
        <w:rPr>
          <w:rFonts w:cs="Arial"/>
          <w:sz w:val="21"/>
          <w:szCs w:val="21"/>
        </w:rPr>
        <w:t>A Level 1 audit may include clarification of the device classification, a conformity assessment procedure, and/or a review of packaging and labelling to ensure it meets requirements.</w:t>
      </w:r>
    </w:p>
    <w:p w14:paraId="1679B6EE" w14:textId="77777777" w:rsidR="00F2350B" w:rsidRPr="00373DCC" w:rsidRDefault="00F2350B" w:rsidP="00F2350B">
      <w:pPr>
        <w:rPr>
          <w:rFonts w:cs="Arial"/>
          <w:sz w:val="21"/>
          <w:szCs w:val="21"/>
        </w:rPr>
      </w:pPr>
      <w:r w:rsidRPr="00373DCC">
        <w:rPr>
          <w:rFonts w:cs="Arial"/>
          <w:sz w:val="21"/>
          <w:szCs w:val="21"/>
        </w:rPr>
        <w:lastRenderedPageBreak/>
        <w:t>A Level 2 audit requires the information for a Level 1 audit plus one or more of the following: clinical evidence, risk management report(s), efficacy, and performance data, and/or audit reports from Notified Bodies. The target timeframe for Level 1 application audits is 30 TGA workdays and for Level 2 application audits is 60 TGA workdays (reflected in ‘TGA days’).</w:t>
      </w:r>
    </w:p>
    <w:p w14:paraId="566B738B" w14:textId="77777777" w:rsidR="00F2350B" w:rsidRPr="00373DCC" w:rsidRDefault="00F2350B" w:rsidP="00F2350B">
      <w:pPr>
        <w:keepNext/>
        <w:spacing w:before="240" w:after="120" w:line="240" w:lineRule="auto"/>
        <w:rPr>
          <w:rFonts w:eastAsia="Cambria" w:cs="Arial"/>
          <w:b/>
          <w:bCs/>
          <w:sz w:val="21"/>
          <w:szCs w:val="21"/>
        </w:rPr>
      </w:pPr>
      <w:bookmarkStart w:id="179" w:name="Table41"/>
      <w:r w:rsidRPr="00373DCC">
        <w:rPr>
          <w:rFonts w:eastAsia="Cambria" w:cs="Arial"/>
          <w:b/>
          <w:bCs/>
          <w:sz w:val="21"/>
          <w:szCs w:val="21"/>
        </w:rPr>
        <w:t>Table 41: Processing times for medical device application audits (including IVDs)</w:t>
      </w:r>
    </w:p>
    <w:bookmarkEnd w:id="1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317"/>
        <w:gridCol w:w="967"/>
        <w:gridCol w:w="955"/>
        <w:gridCol w:w="1317"/>
        <w:gridCol w:w="888"/>
        <w:gridCol w:w="938"/>
      </w:tblGrid>
      <w:tr w:rsidR="00F2350B" w:rsidRPr="00373DCC" w14:paraId="7C96B440" w14:textId="77777777" w:rsidTr="00710B91">
        <w:trPr>
          <w:trHeight w:val="340"/>
        </w:trPr>
        <w:tc>
          <w:tcPr>
            <w:tcW w:w="1483" w:type="pct"/>
            <w:tcBorders>
              <w:top w:val="nil"/>
              <w:left w:val="nil"/>
              <w:bottom w:val="nil"/>
              <w:right w:val="single" w:sz="4" w:space="0" w:color="auto"/>
            </w:tcBorders>
            <w:vAlign w:val="center"/>
          </w:tcPr>
          <w:p w14:paraId="733C8657" w14:textId="77777777" w:rsidR="00F2350B" w:rsidRPr="00373DCC" w:rsidRDefault="00F2350B" w:rsidP="00710B91">
            <w:pPr>
              <w:spacing w:before="0" w:after="0" w:line="240" w:lineRule="auto"/>
              <w:rPr>
                <w:rFonts w:eastAsia="Cambria" w:cs="Arial"/>
                <w:b/>
                <w:bCs/>
                <w:szCs w:val="22"/>
              </w:rPr>
            </w:pPr>
          </w:p>
        </w:tc>
        <w:tc>
          <w:tcPr>
            <w:tcW w:w="1759" w:type="pct"/>
            <w:gridSpan w:val="3"/>
            <w:tcBorders>
              <w:top w:val="single" w:sz="4" w:space="0" w:color="auto"/>
              <w:left w:val="single" w:sz="4" w:space="0" w:color="auto"/>
              <w:right w:val="single" w:sz="4" w:space="0" w:color="auto"/>
            </w:tcBorders>
            <w:shd w:val="clear" w:color="auto" w:fill="29527F"/>
            <w:vAlign w:val="center"/>
          </w:tcPr>
          <w:p w14:paraId="73FAB88E"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2021-22</w:t>
            </w:r>
          </w:p>
        </w:tc>
        <w:tc>
          <w:tcPr>
            <w:tcW w:w="1758" w:type="pct"/>
            <w:gridSpan w:val="3"/>
            <w:tcBorders>
              <w:top w:val="single" w:sz="4" w:space="0" w:color="auto"/>
              <w:left w:val="single" w:sz="4" w:space="0" w:color="auto"/>
              <w:right w:val="single" w:sz="4" w:space="0" w:color="auto"/>
            </w:tcBorders>
            <w:shd w:val="clear" w:color="auto" w:fill="29527F"/>
            <w:vAlign w:val="center"/>
          </w:tcPr>
          <w:p w14:paraId="748710A6"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2022-23</w:t>
            </w:r>
          </w:p>
        </w:tc>
      </w:tr>
      <w:tr w:rsidR="00F2350B" w:rsidRPr="00373DCC" w14:paraId="6A9286F0" w14:textId="77777777" w:rsidTr="00710B91">
        <w:trPr>
          <w:trHeight w:val="340"/>
        </w:trPr>
        <w:tc>
          <w:tcPr>
            <w:tcW w:w="1483" w:type="pct"/>
            <w:vMerge w:val="restart"/>
            <w:tcBorders>
              <w:top w:val="nil"/>
              <w:left w:val="nil"/>
              <w:bottom w:val="nil"/>
              <w:right w:val="single" w:sz="4" w:space="0" w:color="auto"/>
            </w:tcBorders>
            <w:vAlign w:val="center"/>
          </w:tcPr>
          <w:p w14:paraId="3C8DF682" w14:textId="77777777" w:rsidR="00F2350B" w:rsidRPr="00373DCC" w:rsidRDefault="00F2350B" w:rsidP="00710B91">
            <w:pPr>
              <w:spacing w:before="0" w:after="0" w:line="240" w:lineRule="auto"/>
              <w:rPr>
                <w:rFonts w:eastAsia="Cambria" w:cs="Arial"/>
                <w:b/>
                <w:bCs/>
                <w:szCs w:val="22"/>
              </w:rPr>
            </w:pPr>
          </w:p>
        </w:tc>
        <w:tc>
          <w:tcPr>
            <w:tcW w:w="654" w:type="pct"/>
            <w:vMerge w:val="restart"/>
            <w:tcBorders>
              <w:top w:val="single" w:sz="4" w:space="0" w:color="auto"/>
              <w:left w:val="single" w:sz="4" w:space="0" w:color="auto"/>
              <w:right w:val="single" w:sz="4" w:space="0" w:color="auto"/>
            </w:tcBorders>
            <w:shd w:val="clear" w:color="auto" w:fill="29527F"/>
            <w:vAlign w:val="center"/>
          </w:tcPr>
          <w:p w14:paraId="2D36AB6D"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Total completed</w:t>
            </w:r>
          </w:p>
        </w:tc>
        <w:tc>
          <w:tcPr>
            <w:tcW w:w="1105" w:type="pct"/>
            <w:gridSpan w:val="2"/>
            <w:tcBorders>
              <w:top w:val="single" w:sz="4" w:space="0" w:color="auto"/>
              <w:left w:val="single" w:sz="4" w:space="0" w:color="auto"/>
              <w:right w:val="single" w:sz="4" w:space="0" w:color="auto"/>
            </w:tcBorders>
            <w:shd w:val="clear" w:color="auto" w:fill="29527F"/>
            <w:vAlign w:val="center"/>
          </w:tcPr>
          <w:p w14:paraId="255B320A"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Processing times (TGA days)</w:t>
            </w:r>
          </w:p>
        </w:tc>
        <w:tc>
          <w:tcPr>
            <w:tcW w:w="749" w:type="pct"/>
            <w:vMerge w:val="restart"/>
            <w:tcBorders>
              <w:top w:val="single" w:sz="4" w:space="0" w:color="auto"/>
              <w:left w:val="single" w:sz="4" w:space="0" w:color="auto"/>
              <w:right w:val="single" w:sz="4" w:space="0" w:color="auto"/>
            </w:tcBorders>
            <w:shd w:val="clear" w:color="auto" w:fill="29527F"/>
            <w:vAlign w:val="center"/>
          </w:tcPr>
          <w:p w14:paraId="369B8160"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Total completed</w:t>
            </w:r>
          </w:p>
        </w:tc>
        <w:tc>
          <w:tcPr>
            <w:tcW w:w="1009" w:type="pct"/>
            <w:gridSpan w:val="2"/>
            <w:tcBorders>
              <w:top w:val="single" w:sz="4" w:space="0" w:color="auto"/>
              <w:left w:val="single" w:sz="4" w:space="0" w:color="auto"/>
              <w:bottom w:val="single" w:sz="4" w:space="0" w:color="auto"/>
              <w:right w:val="single" w:sz="4" w:space="0" w:color="auto"/>
            </w:tcBorders>
            <w:shd w:val="clear" w:color="auto" w:fill="29527F"/>
            <w:vAlign w:val="center"/>
          </w:tcPr>
          <w:p w14:paraId="06BF0E41" w14:textId="77777777" w:rsidR="00F2350B" w:rsidRPr="00373DCC" w:rsidRDefault="00F2350B" w:rsidP="00710B91">
            <w:pPr>
              <w:spacing w:before="0" w:after="0" w:line="240" w:lineRule="auto"/>
              <w:jc w:val="center"/>
              <w:rPr>
                <w:rFonts w:eastAsia="Cambria" w:cs="Arial"/>
                <w:b/>
                <w:bCs/>
                <w:color w:val="FFFFFF" w:themeColor="background1"/>
                <w:szCs w:val="22"/>
              </w:rPr>
            </w:pPr>
            <w:r w:rsidRPr="00373DCC">
              <w:rPr>
                <w:rFonts w:eastAsia="Cambria" w:cs="Arial"/>
                <w:b/>
                <w:bCs/>
                <w:color w:val="FFFFFF" w:themeColor="background1"/>
                <w:szCs w:val="22"/>
              </w:rPr>
              <w:t>Processing times (TGA days)</w:t>
            </w:r>
          </w:p>
        </w:tc>
      </w:tr>
      <w:tr w:rsidR="00F2350B" w:rsidRPr="00373DCC" w14:paraId="2572564C" w14:textId="77777777" w:rsidTr="00710B91">
        <w:trPr>
          <w:trHeight w:val="340"/>
        </w:trPr>
        <w:tc>
          <w:tcPr>
            <w:tcW w:w="1483" w:type="pct"/>
            <w:vMerge/>
            <w:tcBorders>
              <w:top w:val="nil"/>
              <w:left w:val="nil"/>
              <w:bottom w:val="single" w:sz="4" w:space="0" w:color="auto"/>
              <w:right w:val="single" w:sz="4" w:space="0" w:color="auto"/>
            </w:tcBorders>
            <w:vAlign w:val="center"/>
          </w:tcPr>
          <w:p w14:paraId="124F8F4A" w14:textId="77777777" w:rsidR="00F2350B" w:rsidRPr="00373DCC" w:rsidRDefault="00F2350B" w:rsidP="00710B91">
            <w:pPr>
              <w:spacing w:before="0" w:after="0" w:line="240" w:lineRule="auto"/>
              <w:rPr>
                <w:rFonts w:eastAsia="Cambria" w:cs="Arial"/>
                <w:b/>
                <w:bCs/>
                <w:szCs w:val="22"/>
              </w:rPr>
            </w:pPr>
          </w:p>
        </w:tc>
        <w:tc>
          <w:tcPr>
            <w:tcW w:w="654" w:type="pct"/>
            <w:vMerge/>
            <w:tcBorders>
              <w:left w:val="single" w:sz="4" w:space="0" w:color="auto"/>
              <w:bottom w:val="single" w:sz="4" w:space="0" w:color="auto"/>
              <w:right w:val="single" w:sz="4" w:space="0" w:color="auto"/>
            </w:tcBorders>
            <w:vAlign w:val="center"/>
          </w:tcPr>
          <w:p w14:paraId="1138C527" w14:textId="77777777" w:rsidR="00F2350B" w:rsidRPr="00373DCC" w:rsidRDefault="00F2350B" w:rsidP="00710B91">
            <w:pPr>
              <w:spacing w:before="0" w:after="0" w:line="240" w:lineRule="auto"/>
              <w:rPr>
                <w:rFonts w:eastAsia="Cambria" w:cs="Arial"/>
                <w:b/>
                <w:bCs/>
                <w:szCs w:val="22"/>
              </w:rPr>
            </w:pPr>
          </w:p>
        </w:tc>
        <w:tc>
          <w:tcPr>
            <w:tcW w:w="556" w:type="pct"/>
            <w:tcBorders>
              <w:left w:val="single" w:sz="4" w:space="0" w:color="auto"/>
              <w:bottom w:val="single" w:sz="4" w:space="0" w:color="auto"/>
              <w:right w:val="single" w:sz="4" w:space="0" w:color="auto"/>
            </w:tcBorders>
            <w:shd w:val="clear" w:color="auto" w:fill="B8CCEA" w:themeFill="accent3"/>
            <w:vAlign w:val="center"/>
          </w:tcPr>
          <w:p w14:paraId="49F036A5" w14:textId="77777777" w:rsidR="00F2350B" w:rsidRPr="009E4200" w:rsidRDefault="00F2350B" w:rsidP="00710B91">
            <w:pPr>
              <w:spacing w:before="0" w:after="0" w:line="240" w:lineRule="auto"/>
              <w:jc w:val="center"/>
              <w:rPr>
                <w:rFonts w:eastAsia="Cambria" w:cs="Arial"/>
                <w:szCs w:val="22"/>
              </w:rPr>
            </w:pPr>
            <w:r w:rsidRPr="009E4200">
              <w:rPr>
                <w:rFonts w:eastAsia="Cambria" w:cs="Arial"/>
                <w:szCs w:val="22"/>
              </w:rPr>
              <w:t>Mean</w:t>
            </w:r>
          </w:p>
        </w:tc>
        <w:tc>
          <w:tcPr>
            <w:tcW w:w="549" w:type="pct"/>
            <w:tcBorders>
              <w:left w:val="single" w:sz="4" w:space="0" w:color="auto"/>
              <w:bottom w:val="single" w:sz="4" w:space="0" w:color="auto"/>
              <w:right w:val="single" w:sz="4" w:space="0" w:color="auto"/>
            </w:tcBorders>
            <w:shd w:val="clear" w:color="auto" w:fill="B8CCEA" w:themeFill="accent3"/>
            <w:vAlign w:val="center"/>
          </w:tcPr>
          <w:p w14:paraId="1F6D2ABD" w14:textId="77777777" w:rsidR="00F2350B" w:rsidRPr="009E4200" w:rsidRDefault="00F2350B" w:rsidP="00710B91">
            <w:pPr>
              <w:spacing w:before="0" w:after="0" w:line="240" w:lineRule="auto"/>
              <w:jc w:val="center"/>
              <w:rPr>
                <w:rFonts w:eastAsia="Cambria" w:cs="Arial"/>
                <w:szCs w:val="22"/>
              </w:rPr>
            </w:pPr>
            <w:r w:rsidRPr="009E4200">
              <w:rPr>
                <w:rFonts w:eastAsia="Cambria" w:cs="Arial"/>
                <w:szCs w:val="22"/>
              </w:rPr>
              <w:t>Median</w:t>
            </w:r>
          </w:p>
        </w:tc>
        <w:tc>
          <w:tcPr>
            <w:tcW w:w="749" w:type="pct"/>
            <w:vMerge/>
            <w:tcBorders>
              <w:left w:val="single" w:sz="4" w:space="0" w:color="auto"/>
              <w:bottom w:val="single" w:sz="4" w:space="0" w:color="auto"/>
              <w:right w:val="single" w:sz="4" w:space="0" w:color="auto"/>
            </w:tcBorders>
            <w:vAlign w:val="center"/>
          </w:tcPr>
          <w:p w14:paraId="3A0D637C" w14:textId="77777777" w:rsidR="00F2350B" w:rsidRPr="00373DCC" w:rsidRDefault="00F2350B" w:rsidP="00710B91">
            <w:pPr>
              <w:spacing w:before="0" w:after="0" w:line="240" w:lineRule="auto"/>
              <w:rPr>
                <w:rFonts w:eastAsia="Cambria" w:cs="Arial"/>
                <w:b/>
                <w:bCs/>
                <w:szCs w:val="22"/>
              </w:rPr>
            </w:pPr>
          </w:p>
        </w:tc>
        <w:tc>
          <w:tcPr>
            <w:tcW w:w="513" w:type="pct"/>
            <w:tcBorders>
              <w:left w:val="single" w:sz="4" w:space="0" w:color="auto"/>
              <w:bottom w:val="single" w:sz="4" w:space="0" w:color="auto"/>
            </w:tcBorders>
            <w:shd w:val="clear" w:color="auto" w:fill="B8CCEA" w:themeFill="accent3"/>
            <w:vAlign w:val="center"/>
          </w:tcPr>
          <w:p w14:paraId="2EAE692F" w14:textId="77777777" w:rsidR="00F2350B" w:rsidRPr="009E4200" w:rsidRDefault="00F2350B" w:rsidP="00710B91">
            <w:pPr>
              <w:spacing w:before="0" w:after="0" w:line="240" w:lineRule="auto"/>
              <w:jc w:val="center"/>
              <w:rPr>
                <w:rFonts w:eastAsia="Cambria" w:cs="Arial"/>
                <w:szCs w:val="22"/>
              </w:rPr>
            </w:pPr>
            <w:r w:rsidRPr="009E4200">
              <w:rPr>
                <w:rFonts w:eastAsia="Cambria" w:cs="Arial"/>
                <w:szCs w:val="22"/>
              </w:rPr>
              <w:t>Mean</w:t>
            </w:r>
          </w:p>
        </w:tc>
        <w:tc>
          <w:tcPr>
            <w:tcW w:w="496" w:type="pct"/>
            <w:tcBorders>
              <w:bottom w:val="single" w:sz="4" w:space="0" w:color="auto"/>
            </w:tcBorders>
            <w:shd w:val="clear" w:color="auto" w:fill="B8CCEA" w:themeFill="accent3"/>
            <w:vAlign w:val="center"/>
          </w:tcPr>
          <w:p w14:paraId="74060172" w14:textId="77777777" w:rsidR="00F2350B" w:rsidRPr="009E4200" w:rsidRDefault="00F2350B" w:rsidP="00710B91">
            <w:pPr>
              <w:spacing w:before="0" w:after="0" w:line="240" w:lineRule="auto"/>
              <w:jc w:val="center"/>
              <w:rPr>
                <w:rFonts w:eastAsia="Cambria" w:cs="Arial"/>
                <w:szCs w:val="22"/>
              </w:rPr>
            </w:pPr>
            <w:r w:rsidRPr="009E4200">
              <w:rPr>
                <w:rFonts w:eastAsia="Cambria" w:cs="Arial"/>
                <w:szCs w:val="22"/>
              </w:rPr>
              <w:t>Median</w:t>
            </w:r>
          </w:p>
        </w:tc>
      </w:tr>
      <w:tr w:rsidR="00F2350B" w:rsidRPr="00373DCC" w14:paraId="013BB622" w14:textId="77777777" w:rsidTr="00710B91">
        <w:trPr>
          <w:trHeight w:val="340"/>
        </w:trPr>
        <w:tc>
          <w:tcPr>
            <w:tcW w:w="5000" w:type="pct"/>
            <w:gridSpan w:val="7"/>
            <w:tcBorders>
              <w:top w:val="single" w:sz="4" w:space="0" w:color="auto"/>
            </w:tcBorders>
            <w:shd w:val="clear" w:color="auto" w:fill="98B5E0" w:themeFill="accent3" w:themeFillShade="E6"/>
            <w:vAlign w:val="center"/>
          </w:tcPr>
          <w:p w14:paraId="2E655A08" w14:textId="77777777" w:rsidR="00F2350B" w:rsidRPr="009E4200" w:rsidRDefault="00F2350B" w:rsidP="00710B91">
            <w:pPr>
              <w:spacing w:before="0" w:after="0" w:line="240" w:lineRule="auto"/>
              <w:rPr>
                <w:rFonts w:eastAsia="Cambria" w:cs="Arial"/>
                <w:szCs w:val="22"/>
              </w:rPr>
            </w:pPr>
            <w:r w:rsidRPr="009E4200">
              <w:rPr>
                <w:rFonts w:eastAsia="Cambria" w:cs="Arial"/>
                <w:szCs w:val="22"/>
              </w:rPr>
              <w:t>Medical devices</w:t>
            </w:r>
          </w:p>
        </w:tc>
      </w:tr>
      <w:tr w:rsidR="00F2350B" w:rsidRPr="00373DCC" w14:paraId="315FBEC2" w14:textId="77777777" w:rsidTr="00710B91">
        <w:trPr>
          <w:trHeight w:val="340"/>
        </w:trPr>
        <w:tc>
          <w:tcPr>
            <w:tcW w:w="1483" w:type="pct"/>
            <w:vAlign w:val="center"/>
          </w:tcPr>
          <w:p w14:paraId="6AC6E5EE"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Class I applications completed without audit</w:t>
            </w:r>
          </w:p>
        </w:tc>
        <w:tc>
          <w:tcPr>
            <w:tcW w:w="654" w:type="pct"/>
            <w:vAlign w:val="center"/>
          </w:tcPr>
          <w:p w14:paraId="6B6FC269"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1,533</w:t>
            </w:r>
          </w:p>
        </w:tc>
        <w:tc>
          <w:tcPr>
            <w:tcW w:w="556" w:type="pct"/>
            <w:vAlign w:val="center"/>
          </w:tcPr>
          <w:p w14:paraId="3982318D"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c>
          <w:tcPr>
            <w:tcW w:w="549" w:type="pct"/>
            <w:vAlign w:val="center"/>
          </w:tcPr>
          <w:p w14:paraId="52B3CE5B"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w:t>
            </w:r>
          </w:p>
        </w:tc>
        <w:tc>
          <w:tcPr>
            <w:tcW w:w="749" w:type="pct"/>
            <w:vAlign w:val="center"/>
          </w:tcPr>
          <w:p w14:paraId="5700549F"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1,459</w:t>
            </w:r>
          </w:p>
        </w:tc>
        <w:tc>
          <w:tcPr>
            <w:tcW w:w="513" w:type="pct"/>
            <w:vAlign w:val="center"/>
          </w:tcPr>
          <w:p w14:paraId="42BB3041"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c>
          <w:tcPr>
            <w:tcW w:w="496" w:type="pct"/>
            <w:vAlign w:val="center"/>
          </w:tcPr>
          <w:p w14:paraId="2236F4F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r>
      <w:tr w:rsidR="00F2350B" w:rsidRPr="00373DCC" w14:paraId="33538EE4" w14:textId="77777777" w:rsidTr="00710B91">
        <w:trPr>
          <w:trHeight w:val="340"/>
        </w:trPr>
        <w:tc>
          <w:tcPr>
            <w:tcW w:w="1483" w:type="pct"/>
            <w:vAlign w:val="center"/>
          </w:tcPr>
          <w:p w14:paraId="4125DFF5"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Class I applications completed with audit</w:t>
            </w:r>
          </w:p>
        </w:tc>
        <w:tc>
          <w:tcPr>
            <w:tcW w:w="654" w:type="pct"/>
            <w:vAlign w:val="center"/>
          </w:tcPr>
          <w:p w14:paraId="650D9EC8"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763</w:t>
            </w:r>
          </w:p>
        </w:tc>
        <w:tc>
          <w:tcPr>
            <w:tcW w:w="556" w:type="pct"/>
            <w:vAlign w:val="center"/>
          </w:tcPr>
          <w:p w14:paraId="56914442"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39</w:t>
            </w:r>
          </w:p>
        </w:tc>
        <w:tc>
          <w:tcPr>
            <w:tcW w:w="549" w:type="pct"/>
            <w:vAlign w:val="center"/>
          </w:tcPr>
          <w:p w14:paraId="1DF47D82"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15</w:t>
            </w:r>
          </w:p>
        </w:tc>
        <w:tc>
          <w:tcPr>
            <w:tcW w:w="749" w:type="pct"/>
            <w:vAlign w:val="center"/>
          </w:tcPr>
          <w:p w14:paraId="477F9C6C"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709</w:t>
            </w:r>
          </w:p>
        </w:tc>
        <w:tc>
          <w:tcPr>
            <w:tcW w:w="513" w:type="pct"/>
            <w:vAlign w:val="center"/>
          </w:tcPr>
          <w:p w14:paraId="05A0BDEB"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33</w:t>
            </w:r>
          </w:p>
        </w:tc>
        <w:tc>
          <w:tcPr>
            <w:tcW w:w="496" w:type="pct"/>
            <w:vAlign w:val="center"/>
          </w:tcPr>
          <w:p w14:paraId="02A29C51"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8</w:t>
            </w:r>
          </w:p>
        </w:tc>
      </w:tr>
      <w:tr w:rsidR="00F2350B" w:rsidRPr="00373DCC" w14:paraId="698A78A9" w14:textId="77777777" w:rsidTr="00710B91">
        <w:trPr>
          <w:trHeight w:val="340"/>
        </w:trPr>
        <w:tc>
          <w:tcPr>
            <w:tcW w:w="1483" w:type="pct"/>
            <w:vAlign w:val="center"/>
          </w:tcPr>
          <w:p w14:paraId="279D94E7"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Non class I applications completed without audit</w:t>
            </w:r>
          </w:p>
        </w:tc>
        <w:tc>
          <w:tcPr>
            <w:tcW w:w="654" w:type="pct"/>
            <w:vAlign w:val="center"/>
          </w:tcPr>
          <w:p w14:paraId="636624C1"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2,101</w:t>
            </w:r>
          </w:p>
        </w:tc>
        <w:tc>
          <w:tcPr>
            <w:tcW w:w="556" w:type="pct"/>
            <w:vAlign w:val="center"/>
          </w:tcPr>
          <w:p w14:paraId="609CDADA"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10</w:t>
            </w:r>
          </w:p>
        </w:tc>
        <w:tc>
          <w:tcPr>
            <w:tcW w:w="549" w:type="pct"/>
            <w:vAlign w:val="center"/>
          </w:tcPr>
          <w:p w14:paraId="7C84B5C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9</w:t>
            </w:r>
          </w:p>
        </w:tc>
        <w:tc>
          <w:tcPr>
            <w:tcW w:w="749" w:type="pct"/>
            <w:vAlign w:val="center"/>
          </w:tcPr>
          <w:p w14:paraId="0A3DC825"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2,094</w:t>
            </w:r>
          </w:p>
        </w:tc>
        <w:tc>
          <w:tcPr>
            <w:tcW w:w="513" w:type="pct"/>
            <w:vAlign w:val="center"/>
          </w:tcPr>
          <w:p w14:paraId="7F33DFDF"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12</w:t>
            </w:r>
          </w:p>
        </w:tc>
        <w:tc>
          <w:tcPr>
            <w:tcW w:w="496" w:type="pct"/>
            <w:vAlign w:val="center"/>
          </w:tcPr>
          <w:p w14:paraId="0420633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12</w:t>
            </w:r>
          </w:p>
        </w:tc>
      </w:tr>
      <w:tr w:rsidR="00F2350B" w:rsidRPr="00373DCC" w14:paraId="796CEA7D" w14:textId="77777777" w:rsidTr="00710B91">
        <w:trPr>
          <w:trHeight w:val="340"/>
        </w:trPr>
        <w:tc>
          <w:tcPr>
            <w:tcW w:w="1483" w:type="pct"/>
            <w:vAlign w:val="center"/>
          </w:tcPr>
          <w:p w14:paraId="0043E322"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Non-compulsory audits (Non class I)</w:t>
            </w:r>
          </w:p>
        </w:tc>
        <w:tc>
          <w:tcPr>
            <w:tcW w:w="654" w:type="pct"/>
            <w:vAlign w:val="center"/>
          </w:tcPr>
          <w:p w14:paraId="476D4CDE"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106</w:t>
            </w:r>
          </w:p>
        </w:tc>
        <w:tc>
          <w:tcPr>
            <w:tcW w:w="556" w:type="pct"/>
            <w:vAlign w:val="center"/>
          </w:tcPr>
          <w:p w14:paraId="472ABF5C"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90</w:t>
            </w:r>
          </w:p>
        </w:tc>
        <w:tc>
          <w:tcPr>
            <w:tcW w:w="549" w:type="pct"/>
            <w:vAlign w:val="center"/>
          </w:tcPr>
          <w:p w14:paraId="4DFC0510"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44</w:t>
            </w:r>
          </w:p>
        </w:tc>
        <w:tc>
          <w:tcPr>
            <w:tcW w:w="749" w:type="pct"/>
            <w:vAlign w:val="center"/>
          </w:tcPr>
          <w:p w14:paraId="585B0C1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142</w:t>
            </w:r>
          </w:p>
        </w:tc>
        <w:tc>
          <w:tcPr>
            <w:tcW w:w="513" w:type="pct"/>
            <w:vAlign w:val="center"/>
          </w:tcPr>
          <w:p w14:paraId="37EB503B"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109</w:t>
            </w:r>
          </w:p>
        </w:tc>
        <w:tc>
          <w:tcPr>
            <w:tcW w:w="496" w:type="pct"/>
            <w:vAlign w:val="center"/>
          </w:tcPr>
          <w:p w14:paraId="5971AFAA"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78</w:t>
            </w:r>
          </w:p>
        </w:tc>
      </w:tr>
      <w:tr w:rsidR="00F2350B" w:rsidRPr="00373DCC" w14:paraId="3DD63EB1" w14:textId="77777777" w:rsidTr="00710B91">
        <w:trPr>
          <w:trHeight w:val="340"/>
        </w:trPr>
        <w:tc>
          <w:tcPr>
            <w:tcW w:w="1483" w:type="pct"/>
            <w:vAlign w:val="center"/>
          </w:tcPr>
          <w:p w14:paraId="626CC687"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Level 1 compulsory audits</w:t>
            </w:r>
          </w:p>
        </w:tc>
        <w:tc>
          <w:tcPr>
            <w:tcW w:w="654" w:type="pct"/>
            <w:vAlign w:val="center"/>
          </w:tcPr>
          <w:p w14:paraId="02091279"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41</w:t>
            </w:r>
          </w:p>
        </w:tc>
        <w:tc>
          <w:tcPr>
            <w:tcW w:w="556" w:type="pct"/>
            <w:vAlign w:val="center"/>
          </w:tcPr>
          <w:p w14:paraId="31164EE0"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27</w:t>
            </w:r>
          </w:p>
        </w:tc>
        <w:tc>
          <w:tcPr>
            <w:tcW w:w="549" w:type="pct"/>
            <w:vAlign w:val="center"/>
          </w:tcPr>
          <w:p w14:paraId="3FDCB39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14</w:t>
            </w:r>
          </w:p>
        </w:tc>
        <w:tc>
          <w:tcPr>
            <w:tcW w:w="749" w:type="pct"/>
            <w:vAlign w:val="center"/>
          </w:tcPr>
          <w:p w14:paraId="10E21B3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38</w:t>
            </w:r>
          </w:p>
        </w:tc>
        <w:tc>
          <w:tcPr>
            <w:tcW w:w="513" w:type="pct"/>
            <w:vAlign w:val="center"/>
          </w:tcPr>
          <w:p w14:paraId="4D3A0C41"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89</w:t>
            </w:r>
          </w:p>
        </w:tc>
        <w:tc>
          <w:tcPr>
            <w:tcW w:w="496" w:type="pct"/>
            <w:vAlign w:val="center"/>
          </w:tcPr>
          <w:p w14:paraId="46F4F13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91</w:t>
            </w:r>
          </w:p>
        </w:tc>
      </w:tr>
      <w:tr w:rsidR="00F2350B" w:rsidRPr="00373DCC" w14:paraId="71801E0D" w14:textId="77777777" w:rsidTr="00710B91">
        <w:trPr>
          <w:trHeight w:val="340"/>
        </w:trPr>
        <w:tc>
          <w:tcPr>
            <w:tcW w:w="1483" w:type="pct"/>
            <w:tcBorders>
              <w:bottom w:val="single" w:sz="4" w:space="0" w:color="auto"/>
            </w:tcBorders>
            <w:vAlign w:val="center"/>
          </w:tcPr>
          <w:p w14:paraId="5F2FEE3B"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Level 2 compulsory audits</w:t>
            </w:r>
          </w:p>
        </w:tc>
        <w:tc>
          <w:tcPr>
            <w:tcW w:w="654" w:type="pct"/>
            <w:tcBorders>
              <w:bottom w:val="single" w:sz="4" w:space="0" w:color="auto"/>
            </w:tcBorders>
            <w:vAlign w:val="center"/>
          </w:tcPr>
          <w:p w14:paraId="4CD336C8"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269</w:t>
            </w:r>
          </w:p>
        </w:tc>
        <w:tc>
          <w:tcPr>
            <w:tcW w:w="556" w:type="pct"/>
            <w:tcBorders>
              <w:bottom w:val="single" w:sz="4" w:space="0" w:color="auto"/>
            </w:tcBorders>
            <w:vAlign w:val="center"/>
          </w:tcPr>
          <w:p w14:paraId="5DE97F5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190</w:t>
            </w:r>
          </w:p>
        </w:tc>
        <w:tc>
          <w:tcPr>
            <w:tcW w:w="549" w:type="pct"/>
            <w:tcBorders>
              <w:bottom w:val="single" w:sz="4" w:space="0" w:color="auto"/>
            </w:tcBorders>
            <w:vAlign w:val="center"/>
          </w:tcPr>
          <w:p w14:paraId="61C6B033"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165</w:t>
            </w:r>
          </w:p>
        </w:tc>
        <w:tc>
          <w:tcPr>
            <w:tcW w:w="749" w:type="pct"/>
            <w:tcBorders>
              <w:bottom w:val="single" w:sz="4" w:space="0" w:color="auto"/>
            </w:tcBorders>
            <w:vAlign w:val="center"/>
          </w:tcPr>
          <w:p w14:paraId="1E6289F1"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208</w:t>
            </w:r>
          </w:p>
        </w:tc>
        <w:tc>
          <w:tcPr>
            <w:tcW w:w="513" w:type="pct"/>
            <w:tcBorders>
              <w:bottom w:val="single" w:sz="4" w:space="0" w:color="auto"/>
            </w:tcBorders>
            <w:vAlign w:val="center"/>
          </w:tcPr>
          <w:p w14:paraId="4552AE3A"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179</w:t>
            </w:r>
          </w:p>
        </w:tc>
        <w:tc>
          <w:tcPr>
            <w:tcW w:w="496" w:type="pct"/>
            <w:tcBorders>
              <w:bottom w:val="single" w:sz="4" w:space="0" w:color="auto"/>
            </w:tcBorders>
            <w:vAlign w:val="center"/>
          </w:tcPr>
          <w:p w14:paraId="0FF2D27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172</w:t>
            </w:r>
          </w:p>
        </w:tc>
      </w:tr>
      <w:tr w:rsidR="00F2350B" w:rsidRPr="00373DCC" w14:paraId="3C6D57AC" w14:textId="77777777" w:rsidTr="00710B91">
        <w:trPr>
          <w:trHeight w:val="340"/>
        </w:trPr>
        <w:tc>
          <w:tcPr>
            <w:tcW w:w="5000" w:type="pct"/>
            <w:gridSpan w:val="7"/>
            <w:shd w:val="clear" w:color="auto" w:fill="B8CCEA" w:themeFill="accent3"/>
            <w:vAlign w:val="center"/>
          </w:tcPr>
          <w:p w14:paraId="5B0DD33B"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IVDs</w:t>
            </w:r>
          </w:p>
        </w:tc>
      </w:tr>
      <w:tr w:rsidR="00F2350B" w:rsidRPr="00373DCC" w14:paraId="7545FDD8" w14:textId="77777777" w:rsidTr="00710B91">
        <w:trPr>
          <w:trHeight w:val="340"/>
        </w:trPr>
        <w:tc>
          <w:tcPr>
            <w:tcW w:w="1483" w:type="pct"/>
            <w:vAlign w:val="center"/>
          </w:tcPr>
          <w:p w14:paraId="49C94823"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Class I IVD applications completed without audit</w:t>
            </w:r>
          </w:p>
        </w:tc>
        <w:tc>
          <w:tcPr>
            <w:tcW w:w="654" w:type="pct"/>
            <w:vAlign w:val="center"/>
          </w:tcPr>
          <w:p w14:paraId="49E13AB6"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82</w:t>
            </w:r>
          </w:p>
        </w:tc>
        <w:tc>
          <w:tcPr>
            <w:tcW w:w="556" w:type="pct"/>
            <w:vAlign w:val="center"/>
          </w:tcPr>
          <w:p w14:paraId="60962358"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c>
          <w:tcPr>
            <w:tcW w:w="549" w:type="pct"/>
            <w:vAlign w:val="center"/>
          </w:tcPr>
          <w:p w14:paraId="7AD6CEE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w:t>
            </w:r>
          </w:p>
        </w:tc>
        <w:tc>
          <w:tcPr>
            <w:tcW w:w="749" w:type="pct"/>
            <w:vAlign w:val="center"/>
          </w:tcPr>
          <w:p w14:paraId="1DCBFE8F"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58</w:t>
            </w:r>
          </w:p>
        </w:tc>
        <w:tc>
          <w:tcPr>
            <w:tcW w:w="513" w:type="pct"/>
            <w:vAlign w:val="center"/>
          </w:tcPr>
          <w:p w14:paraId="35F185FF"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w:t>
            </w:r>
          </w:p>
        </w:tc>
        <w:tc>
          <w:tcPr>
            <w:tcW w:w="496" w:type="pct"/>
            <w:vAlign w:val="center"/>
          </w:tcPr>
          <w:p w14:paraId="0DAE5D8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r>
      <w:tr w:rsidR="00F2350B" w:rsidRPr="00373DCC" w14:paraId="72AD5840" w14:textId="77777777" w:rsidTr="00710B91">
        <w:trPr>
          <w:trHeight w:val="340"/>
        </w:trPr>
        <w:tc>
          <w:tcPr>
            <w:tcW w:w="1483" w:type="pct"/>
            <w:vAlign w:val="center"/>
          </w:tcPr>
          <w:p w14:paraId="19283B76"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Class I IVD applications completed with audit</w:t>
            </w:r>
          </w:p>
        </w:tc>
        <w:tc>
          <w:tcPr>
            <w:tcW w:w="654" w:type="pct"/>
            <w:vAlign w:val="center"/>
          </w:tcPr>
          <w:p w14:paraId="377DD83D"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37</w:t>
            </w:r>
          </w:p>
        </w:tc>
        <w:tc>
          <w:tcPr>
            <w:tcW w:w="556" w:type="pct"/>
            <w:vAlign w:val="center"/>
          </w:tcPr>
          <w:p w14:paraId="71DD62BD"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26</w:t>
            </w:r>
          </w:p>
        </w:tc>
        <w:tc>
          <w:tcPr>
            <w:tcW w:w="549" w:type="pct"/>
            <w:vAlign w:val="center"/>
          </w:tcPr>
          <w:p w14:paraId="5521F0E8"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10</w:t>
            </w:r>
          </w:p>
        </w:tc>
        <w:tc>
          <w:tcPr>
            <w:tcW w:w="749" w:type="pct"/>
            <w:vAlign w:val="center"/>
          </w:tcPr>
          <w:p w14:paraId="1223E50D"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23</w:t>
            </w:r>
          </w:p>
        </w:tc>
        <w:tc>
          <w:tcPr>
            <w:tcW w:w="513" w:type="pct"/>
            <w:vAlign w:val="center"/>
          </w:tcPr>
          <w:p w14:paraId="0616E55D"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99</w:t>
            </w:r>
          </w:p>
        </w:tc>
        <w:tc>
          <w:tcPr>
            <w:tcW w:w="496" w:type="pct"/>
            <w:vAlign w:val="center"/>
          </w:tcPr>
          <w:p w14:paraId="3769D8C2" w14:textId="77777777" w:rsidR="00F2350B" w:rsidRPr="00373DCC" w:rsidDel="00DE5B5C" w:rsidRDefault="00F2350B" w:rsidP="00710B91">
            <w:pPr>
              <w:spacing w:before="0" w:after="0" w:line="240" w:lineRule="auto"/>
              <w:jc w:val="right"/>
              <w:rPr>
                <w:rFonts w:eastAsia="Cambria" w:cs="Arial"/>
                <w:szCs w:val="22"/>
              </w:rPr>
            </w:pPr>
            <w:r w:rsidRPr="00373DCC">
              <w:rPr>
                <w:rFonts w:eastAsia="Cambria" w:cs="Arial"/>
                <w:szCs w:val="22"/>
              </w:rPr>
              <w:t>56</w:t>
            </w:r>
          </w:p>
        </w:tc>
      </w:tr>
      <w:tr w:rsidR="00F2350B" w:rsidRPr="00373DCC" w14:paraId="03DFD8A0" w14:textId="77777777" w:rsidTr="00710B91">
        <w:trPr>
          <w:trHeight w:val="340"/>
        </w:trPr>
        <w:tc>
          <w:tcPr>
            <w:tcW w:w="1483" w:type="pct"/>
            <w:vAlign w:val="center"/>
          </w:tcPr>
          <w:p w14:paraId="7F1F7DEA"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 xml:space="preserve">Non class I IVD applications completed without audit </w:t>
            </w:r>
          </w:p>
        </w:tc>
        <w:tc>
          <w:tcPr>
            <w:tcW w:w="654" w:type="pct"/>
            <w:vAlign w:val="center"/>
          </w:tcPr>
          <w:p w14:paraId="762E8526"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72</w:t>
            </w:r>
          </w:p>
        </w:tc>
        <w:tc>
          <w:tcPr>
            <w:tcW w:w="556" w:type="pct"/>
            <w:vAlign w:val="center"/>
          </w:tcPr>
          <w:p w14:paraId="71B6E87B"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w:t>
            </w:r>
          </w:p>
        </w:tc>
        <w:tc>
          <w:tcPr>
            <w:tcW w:w="549" w:type="pct"/>
            <w:vAlign w:val="center"/>
          </w:tcPr>
          <w:p w14:paraId="1101A342"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w:t>
            </w:r>
          </w:p>
        </w:tc>
        <w:tc>
          <w:tcPr>
            <w:tcW w:w="749" w:type="pct"/>
            <w:vAlign w:val="center"/>
          </w:tcPr>
          <w:p w14:paraId="06E0D619"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56</w:t>
            </w:r>
          </w:p>
        </w:tc>
        <w:tc>
          <w:tcPr>
            <w:tcW w:w="513" w:type="pct"/>
            <w:vAlign w:val="center"/>
          </w:tcPr>
          <w:p w14:paraId="7A823C9E"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5</w:t>
            </w:r>
          </w:p>
        </w:tc>
        <w:tc>
          <w:tcPr>
            <w:tcW w:w="496" w:type="pct"/>
            <w:vAlign w:val="center"/>
          </w:tcPr>
          <w:p w14:paraId="715C7ACC"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w:t>
            </w:r>
          </w:p>
        </w:tc>
      </w:tr>
      <w:tr w:rsidR="00F2350B" w:rsidRPr="00373DCC" w14:paraId="48C07F33" w14:textId="77777777" w:rsidTr="00710B91">
        <w:trPr>
          <w:trHeight w:val="340"/>
        </w:trPr>
        <w:tc>
          <w:tcPr>
            <w:tcW w:w="1483" w:type="pct"/>
            <w:vAlign w:val="center"/>
          </w:tcPr>
          <w:p w14:paraId="3D8636FC"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IVD non-compulsory audit</w:t>
            </w:r>
          </w:p>
        </w:tc>
        <w:tc>
          <w:tcPr>
            <w:tcW w:w="654" w:type="pct"/>
            <w:vAlign w:val="center"/>
          </w:tcPr>
          <w:p w14:paraId="60F8389D"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3</w:t>
            </w:r>
          </w:p>
        </w:tc>
        <w:tc>
          <w:tcPr>
            <w:tcW w:w="556" w:type="pct"/>
            <w:vAlign w:val="center"/>
          </w:tcPr>
          <w:p w14:paraId="2DA0BB6C"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23</w:t>
            </w:r>
          </w:p>
        </w:tc>
        <w:tc>
          <w:tcPr>
            <w:tcW w:w="549" w:type="pct"/>
            <w:vAlign w:val="center"/>
          </w:tcPr>
          <w:p w14:paraId="0A42F6A7"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22</w:t>
            </w:r>
          </w:p>
        </w:tc>
        <w:tc>
          <w:tcPr>
            <w:tcW w:w="749" w:type="pct"/>
            <w:vAlign w:val="center"/>
          </w:tcPr>
          <w:p w14:paraId="45FD2508"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6</w:t>
            </w:r>
          </w:p>
        </w:tc>
        <w:tc>
          <w:tcPr>
            <w:tcW w:w="513" w:type="pct"/>
            <w:vAlign w:val="center"/>
          </w:tcPr>
          <w:p w14:paraId="1B827EDF"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46</w:t>
            </w:r>
          </w:p>
        </w:tc>
        <w:tc>
          <w:tcPr>
            <w:tcW w:w="496" w:type="pct"/>
            <w:vAlign w:val="center"/>
          </w:tcPr>
          <w:p w14:paraId="7849F81E"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40</w:t>
            </w:r>
          </w:p>
        </w:tc>
      </w:tr>
      <w:tr w:rsidR="00F2350B" w:rsidRPr="00373DCC" w14:paraId="079039A4" w14:textId="77777777" w:rsidTr="00710B91">
        <w:trPr>
          <w:trHeight w:val="340"/>
        </w:trPr>
        <w:tc>
          <w:tcPr>
            <w:tcW w:w="1483" w:type="pct"/>
            <w:vAlign w:val="center"/>
          </w:tcPr>
          <w:p w14:paraId="1BDC9B60"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IVD compulsory audit</w:t>
            </w:r>
          </w:p>
        </w:tc>
        <w:tc>
          <w:tcPr>
            <w:tcW w:w="654" w:type="pct"/>
            <w:vAlign w:val="center"/>
          </w:tcPr>
          <w:p w14:paraId="79416F2A"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219</w:t>
            </w:r>
          </w:p>
        </w:tc>
        <w:tc>
          <w:tcPr>
            <w:tcW w:w="556" w:type="pct"/>
            <w:vAlign w:val="center"/>
          </w:tcPr>
          <w:p w14:paraId="5E528E6D"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48</w:t>
            </w:r>
          </w:p>
        </w:tc>
        <w:tc>
          <w:tcPr>
            <w:tcW w:w="549" w:type="pct"/>
            <w:vAlign w:val="center"/>
          </w:tcPr>
          <w:p w14:paraId="202EC24B"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35</w:t>
            </w:r>
          </w:p>
        </w:tc>
        <w:tc>
          <w:tcPr>
            <w:tcW w:w="749" w:type="pct"/>
            <w:vAlign w:val="center"/>
          </w:tcPr>
          <w:p w14:paraId="3CE070CB"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358</w:t>
            </w:r>
          </w:p>
        </w:tc>
        <w:tc>
          <w:tcPr>
            <w:tcW w:w="513" w:type="pct"/>
            <w:vAlign w:val="center"/>
          </w:tcPr>
          <w:p w14:paraId="0953E268"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156</w:t>
            </w:r>
          </w:p>
        </w:tc>
        <w:tc>
          <w:tcPr>
            <w:tcW w:w="496" w:type="pct"/>
            <w:vAlign w:val="center"/>
          </w:tcPr>
          <w:p w14:paraId="72216E45"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154</w:t>
            </w:r>
          </w:p>
        </w:tc>
      </w:tr>
      <w:tr w:rsidR="00F2350B" w:rsidRPr="00373DCC" w14:paraId="0B97EA15" w14:textId="77777777" w:rsidTr="00710B91">
        <w:trPr>
          <w:trHeight w:val="340"/>
        </w:trPr>
        <w:tc>
          <w:tcPr>
            <w:tcW w:w="1483" w:type="pct"/>
            <w:vAlign w:val="center"/>
          </w:tcPr>
          <w:p w14:paraId="430003B2"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IVD Device Change Request</w:t>
            </w:r>
          </w:p>
        </w:tc>
        <w:tc>
          <w:tcPr>
            <w:tcW w:w="654" w:type="pct"/>
            <w:vAlign w:val="center"/>
          </w:tcPr>
          <w:p w14:paraId="729AA990"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72</w:t>
            </w:r>
          </w:p>
        </w:tc>
        <w:tc>
          <w:tcPr>
            <w:tcW w:w="556" w:type="pct"/>
            <w:vAlign w:val="center"/>
          </w:tcPr>
          <w:p w14:paraId="3267FAB7"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67</w:t>
            </w:r>
          </w:p>
        </w:tc>
        <w:tc>
          <w:tcPr>
            <w:tcW w:w="549" w:type="pct"/>
            <w:vAlign w:val="center"/>
          </w:tcPr>
          <w:p w14:paraId="5A0A0CA1"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67</w:t>
            </w:r>
          </w:p>
        </w:tc>
        <w:tc>
          <w:tcPr>
            <w:tcW w:w="749" w:type="pct"/>
            <w:vAlign w:val="center"/>
          </w:tcPr>
          <w:p w14:paraId="4E9367A3"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99</w:t>
            </w:r>
          </w:p>
        </w:tc>
        <w:tc>
          <w:tcPr>
            <w:tcW w:w="513" w:type="pct"/>
            <w:vAlign w:val="center"/>
          </w:tcPr>
          <w:p w14:paraId="07FBA851"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99</w:t>
            </w:r>
          </w:p>
        </w:tc>
        <w:tc>
          <w:tcPr>
            <w:tcW w:w="496" w:type="pct"/>
            <w:vAlign w:val="center"/>
          </w:tcPr>
          <w:p w14:paraId="5C74E592" w14:textId="77777777" w:rsidR="00F2350B" w:rsidRPr="00373DCC" w:rsidDel="00113A75" w:rsidRDefault="00F2350B" w:rsidP="00710B91">
            <w:pPr>
              <w:spacing w:before="0" w:after="0" w:line="240" w:lineRule="auto"/>
              <w:jc w:val="right"/>
              <w:rPr>
                <w:rFonts w:eastAsia="Cambria" w:cs="Arial"/>
                <w:szCs w:val="22"/>
              </w:rPr>
            </w:pPr>
            <w:r w:rsidRPr="00373DCC">
              <w:rPr>
                <w:rFonts w:eastAsia="Cambria" w:cs="Arial"/>
                <w:szCs w:val="22"/>
              </w:rPr>
              <w:t>94</w:t>
            </w:r>
          </w:p>
        </w:tc>
      </w:tr>
      <w:tr w:rsidR="00F2350B" w:rsidRPr="00373DCC" w14:paraId="5F1F69C7" w14:textId="77777777" w:rsidTr="00710B91">
        <w:trPr>
          <w:trHeight w:val="340"/>
        </w:trPr>
        <w:tc>
          <w:tcPr>
            <w:tcW w:w="1483" w:type="pct"/>
            <w:vAlign w:val="center"/>
          </w:tcPr>
          <w:p w14:paraId="5DFBEB83" w14:textId="77777777" w:rsidR="00F2350B" w:rsidRPr="00373DCC" w:rsidRDefault="00F2350B" w:rsidP="00710B91">
            <w:pPr>
              <w:spacing w:before="0" w:after="0" w:line="240" w:lineRule="auto"/>
              <w:rPr>
                <w:rFonts w:eastAsia="Cambria" w:cs="Arial"/>
                <w:szCs w:val="22"/>
              </w:rPr>
            </w:pPr>
            <w:r w:rsidRPr="00373DCC">
              <w:rPr>
                <w:rFonts w:eastAsia="Cambria" w:cs="Arial"/>
                <w:szCs w:val="22"/>
              </w:rPr>
              <w:t>IVD Variation</w:t>
            </w:r>
          </w:p>
        </w:tc>
        <w:tc>
          <w:tcPr>
            <w:tcW w:w="654" w:type="pct"/>
            <w:vAlign w:val="center"/>
          </w:tcPr>
          <w:p w14:paraId="2486F029"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100</w:t>
            </w:r>
          </w:p>
        </w:tc>
        <w:tc>
          <w:tcPr>
            <w:tcW w:w="556" w:type="pct"/>
            <w:vAlign w:val="center"/>
          </w:tcPr>
          <w:p w14:paraId="67B81A20"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67</w:t>
            </w:r>
          </w:p>
        </w:tc>
        <w:tc>
          <w:tcPr>
            <w:tcW w:w="549" w:type="pct"/>
            <w:vAlign w:val="center"/>
          </w:tcPr>
          <w:p w14:paraId="1CCF3789"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67</w:t>
            </w:r>
          </w:p>
        </w:tc>
        <w:tc>
          <w:tcPr>
            <w:tcW w:w="749" w:type="pct"/>
            <w:vAlign w:val="center"/>
          </w:tcPr>
          <w:p w14:paraId="54924A8D"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58</w:t>
            </w:r>
          </w:p>
        </w:tc>
        <w:tc>
          <w:tcPr>
            <w:tcW w:w="513" w:type="pct"/>
            <w:vAlign w:val="center"/>
          </w:tcPr>
          <w:p w14:paraId="0B42DD84"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115</w:t>
            </w:r>
          </w:p>
        </w:tc>
        <w:tc>
          <w:tcPr>
            <w:tcW w:w="496" w:type="pct"/>
            <w:vAlign w:val="center"/>
          </w:tcPr>
          <w:p w14:paraId="1F38BFB6" w14:textId="77777777" w:rsidR="00F2350B" w:rsidRPr="00373DCC" w:rsidRDefault="00F2350B" w:rsidP="00710B91">
            <w:pPr>
              <w:spacing w:before="0" w:after="0" w:line="240" w:lineRule="auto"/>
              <w:jc w:val="right"/>
              <w:rPr>
                <w:rFonts w:eastAsia="Cambria" w:cs="Arial"/>
                <w:szCs w:val="22"/>
              </w:rPr>
            </w:pPr>
            <w:r w:rsidRPr="00373DCC">
              <w:rPr>
                <w:rFonts w:eastAsia="Cambria" w:cs="Arial"/>
                <w:szCs w:val="22"/>
              </w:rPr>
              <w:t>68</w:t>
            </w:r>
          </w:p>
        </w:tc>
      </w:tr>
    </w:tbl>
    <w:p w14:paraId="5329EE21" w14:textId="77777777" w:rsidR="00F2350B" w:rsidRPr="00373DCC" w:rsidRDefault="00F2350B" w:rsidP="00F2350B">
      <w:pPr>
        <w:spacing w:after="180" w:line="240" w:lineRule="atLeast"/>
        <w:rPr>
          <w:rFonts w:eastAsia="Cambria" w:cs="Arial"/>
          <w:szCs w:val="22"/>
        </w:rPr>
      </w:pPr>
    </w:p>
    <w:p w14:paraId="0AA144FA" w14:textId="77777777" w:rsidR="00F2350B" w:rsidRPr="00373DCC" w:rsidRDefault="00F2350B" w:rsidP="00F2350B">
      <w:pPr>
        <w:keepNext/>
        <w:spacing w:before="240" w:after="120" w:line="240" w:lineRule="auto"/>
        <w:rPr>
          <w:rFonts w:eastAsia="Cambria" w:cs="Arial"/>
          <w:b/>
          <w:bCs/>
          <w:sz w:val="21"/>
          <w:szCs w:val="21"/>
        </w:rPr>
      </w:pPr>
      <w:bookmarkStart w:id="180" w:name="Table42"/>
      <w:r w:rsidRPr="00373DCC">
        <w:rPr>
          <w:rFonts w:eastAsia="Cambria" w:cs="Arial"/>
          <w:b/>
          <w:bCs/>
          <w:sz w:val="21"/>
          <w:szCs w:val="21"/>
        </w:rPr>
        <w:t>Table 42: Number of priority review determinations</w:t>
      </w:r>
      <w:r w:rsidRPr="00373DCC">
        <w:rPr>
          <w:rFonts w:eastAsia="Cambria" w:cs="Arial"/>
          <w:b/>
          <w:bCs/>
          <w:sz w:val="21"/>
          <w:szCs w:val="21"/>
          <w:vertAlign w:val="superscript"/>
        </w:rPr>
        <w:t xml:space="preserve"> a</w:t>
      </w:r>
      <w:r w:rsidRPr="00373DCC">
        <w:rPr>
          <w:rFonts w:eastAsia="Cambria" w:cs="Arial"/>
          <w:b/>
          <w:bCs/>
          <w:sz w:val="21"/>
          <w:szCs w:val="21"/>
        </w:rPr>
        <w:t xml:space="preserve"> granted</w:t>
      </w:r>
    </w:p>
    <w:tbl>
      <w:tblPr>
        <w:tblStyle w:val="TableTGAblue"/>
        <w:tblW w:w="5000" w:type="pct"/>
        <w:tblLook w:val="04A0" w:firstRow="1" w:lastRow="0" w:firstColumn="1" w:lastColumn="0" w:noHBand="0" w:noVBand="1"/>
      </w:tblPr>
      <w:tblGrid>
        <w:gridCol w:w="6187"/>
        <w:gridCol w:w="1418"/>
        <w:gridCol w:w="1416"/>
      </w:tblGrid>
      <w:tr w:rsidR="00A85E73" w:rsidRPr="00373DCC" w14:paraId="4A5AAE46" w14:textId="77777777" w:rsidTr="00A85E7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429" w:type="pct"/>
            <w:tcBorders>
              <w:top w:val="nil"/>
              <w:left w:val="nil"/>
              <w:bottom w:val="nil"/>
              <w:right w:val="single" w:sz="4" w:space="0" w:color="auto"/>
            </w:tcBorders>
            <w:shd w:val="clear" w:color="auto" w:fill="29527F"/>
            <w:vAlign w:val="center"/>
          </w:tcPr>
          <w:bookmarkEnd w:id="180"/>
          <w:p w14:paraId="67DFEE41" w14:textId="4DCCED32" w:rsidR="00A85E73" w:rsidRPr="00373DCC" w:rsidRDefault="00A85E73" w:rsidP="00A85E73">
            <w:pPr>
              <w:keepLines/>
              <w:spacing w:line="240" w:lineRule="atLeast"/>
              <w:contextualSpacing/>
              <w:rPr>
                <w:rFonts w:eastAsiaTheme="minorHAnsi" w:cs="Arial"/>
                <w:sz w:val="21"/>
              </w:rPr>
            </w:pPr>
            <w:r w:rsidRPr="00373DCC">
              <w:rPr>
                <w:rFonts w:cs="Arial"/>
                <w:sz w:val="21"/>
              </w:rPr>
              <w:t xml:space="preserve">Application type </w:t>
            </w: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14C41FBD" w14:textId="2C4A4FB4" w:rsidR="00A85E73" w:rsidRPr="00373DCC" w:rsidRDefault="00A85E73" w:rsidP="00A85E73">
            <w:pPr>
              <w:keepLines/>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85" w:type="pct"/>
            <w:tcBorders>
              <w:top w:val="single" w:sz="4" w:space="0" w:color="auto"/>
              <w:left w:val="single" w:sz="4" w:space="0" w:color="auto"/>
              <w:bottom w:val="single" w:sz="4" w:space="0" w:color="auto"/>
              <w:right w:val="single" w:sz="4" w:space="0" w:color="auto"/>
            </w:tcBorders>
            <w:shd w:val="clear" w:color="auto" w:fill="29527F"/>
            <w:vAlign w:val="center"/>
          </w:tcPr>
          <w:p w14:paraId="43024D42" w14:textId="39E08734" w:rsidR="00A85E73" w:rsidRPr="00373DCC" w:rsidRDefault="00A85E73" w:rsidP="00A85E73">
            <w:pPr>
              <w:keepLines/>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A85E73" w:rsidRPr="00373DCC" w14:paraId="61CFA28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0000"/>
              <w:left w:val="single" w:sz="4" w:space="0" w:color="000000"/>
              <w:bottom w:val="single" w:sz="4" w:space="0" w:color="000000"/>
              <w:right w:val="single" w:sz="4" w:space="0" w:color="000000"/>
            </w:tcBorders>
            <w:vAlign w:val="center"/>
          </w:tcPr>
          <w:p w14:paraId="5A90210C" w14:textId="77777777" w:rsidR="00A85E73" w:rsidRPr="00373DCC" w:rsidRDefault="00A85E73" w:rsidP="00A85E73">
            <w:pPr>
              <w:keepLines/>
              <w:spacing w:line="240" w:lineRule="atLeast"/>
              <w:contextualSpacing/>
              <w:rPr>
                <w:rFonts w:eastAsiaTheme="minorHAnsi" w:cs="Arial"/>
                <w:sz w:val="21"/>
              </w:rPr>
            </w:pPr>
            <w:r w:rsidRPr="00373DCC">
              <w:rPr>
                <w:rFonts w:eastAsiaTheme="minorHAnsi" w:cs="Arial"/>
                <w:sz w:val="21"/>
              </w:rPr>
              <w:t>A: Conformity Assessment (priority applicant) determinations</w:t>
            </w:r>
            <w:r w:rsidRPr="00373DCC">
              <w:rPr>
                <w:rFonts w:eastAsiaTheme="minorHAnsi" w:cs="Arial"/>
                <w:sz w:val="21"/>
                <w:vertAlign w:val="superscript"/>
              </w:rPr>
              <w:t xml:space="preserve"> b</w:t>
            </w:r>
          </w:p>
        </w:tc>
        <w:tc>
          <w:tcPr>
            <w:tcW w:w="786" w:type="pct"/>
            <w:tcBorders>
              <w:top w:val="single" w:sz="4" w:space="0" w:color="000000"/>
              <w:left w:val="single" w:sz="4" w:space="0" w:color="000000"/>
              <w:bottom w:val="single" w:sz="4" w:space="0" w:color="000000"/>
              <w:right w:val="single" w:sz="4" w:space="0" w:color="000000"/>
            </w:tcBorders>
            <w:vAlign w:val="center"/>
          </w:tcPr>
          <w:p w14:paraId="6650AA51" w14:textId="77777777" w:rsidR="00A85E73" w:rsidRPr="00373DCC" w:rsidRDefault="00A85E73" w:rsidP="00A85E73">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p>
        </w:tc>
        <w:tc>
          <w:tcPr>
            <w:tcW w:w="785" w:type="pct"/>
            <w:tcBorders>
              <w:top w:val="single" w:sz="4" w:space="0" w:color="000000"/>
              <w:left w:val="single" w:sz="4" w:space="0" w:color="000000"/>
              <w:bottom w:val="single" w:sz="4" w:space="0" w:color="000000"/>
              <w:right w:val="single" w:sz="4" w:space="0" w:color="000000"/>
            </w:tcBorders>
            <w:vAlign w:val="center"/>
          </w:tcPr>
          <w:p w14:paraId="3FA2C0EA" w14:textId="77777777" w:rsidR="00A85E73" w:rsidRPr="00373DCC" w:rsidRDefault="00A85E73" w:rsidP="00A85E73">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r w:rsidRPr="00373DCC">
              <w:rPr>
                <w:rFonts w:eastAsiaTheme="minorHAnsi" w:cs="Arial"/>
                <w:sz w:val="21"/>
                <w:vertAlign w:val="superscript"/>
              </w:rPr>
              <w:t xml:space="preserve"> </w:t>
            </w:r>
          </w:p>
        </w:tc>
      </w:tr>
      <w:tr w:rsidR="00A85E73" w:rsidRPr="00373DCC" w14:paraId="488476A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0000"/>
              <w:left w:val="single" w:sz="4" w:space="0" w:color="000000"/>
              <w:bottom w:val="single" w:sz="4" w:space="0" w:color="000000"/>
              <w:right w:val="single" w:sz="4" w:space="0" w:color="000000"/>
            </w:tcBorders>
            <w:vAlign w:val="center"/>
          </w:tcPr>
          <w:p w14:paraId="759B06DB" w14:textId="77777777" w:rsidR="00A85E73" w:rsidRPr="00373DCC" w:rsidRDefault="00A85E73" w:rsidP="00A85E73">
            <w:pPr>
              <w:keepLines/>
              <w:spacing w:line="240" w:lineRule="atLeast"/>
              <w:contextualSpacing/>
              <w:rPr>
                <w:rFonts w:eastAsiaTheme="minorHAnsi" w:cs="Arial"/>
                <w:sz w:val="21"/>
              </w:rPr>
            </w:pPr>
            <w:r w:rsidRPr="00373DCC">
              <w:rPr>
                <w:rFonts w:eastAsiaTheme="minorHAnsi" w:cs="Arial"/>
                <w:sz w:val="21"/>
              </w:rPr>
              <w:t>B: Medical Devices (priority applicant) determinations</w:t>
            </w:r>
            <w:r w:rsidRPr="00373DCC">
              <w:rPr>
                <w:rFonts w:eastAsiaTheme="minorHAnsi" w:cs="Arial"/>
                <w:sz w:val="21"/>
                <w:vertAlign w:val="superscript"/>
              </w:rPr>
              <w:t xml:space="preserve"> b</w:t>
            </w:r>
          </w:p>
        </w:tc>
        <w:tc>
          <w:tcPr>
            <w:tcW w:w="786" w:type="pct"/>
            <w:tcBorders>
              <w:top w:val="single" w:sz="4" w:space="0" w:color="000000"/>
              <w:left w:val="single" w:sz="4" w:space="0" w:color="000000"/>
              <w:bottom w:val="single" w:sz="4" w:space="0" w:color="000000"/>
              <w:right w:val="single" w:sz="4" w:space="0" w:color="000000"/>
            </w:tcBorders>
            <w:vAlign w:val="center"/>
          </w:tcPr>
          <w:p w14:paraId="5762FC63" w14:textId="77777777" w:rsidR="00A85E73" w:rsidRPr="00373DCC" w:rsidRDefault="00A85E73" w:rsidP="00A85E73">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p>
        </w:tc>
        <w:tc>
          <w:tcPr>
            <w:tcW w:w="785" w:type="pct"/>
            <w:tcBorders>
              <w:top w:val="single" w:sz="4" w:space="0" w:color="000000"/>
              <w:left w:val="single" w:sz="4" w:space="0" w:color="000000"/>
              <w:bottom w:val="single" w:sz="4" w:space="0" w:color="000000"/>
              <w:right w:val="single" w:sz="4" w:space="0" w:color="000000"/>
            </w:tcBorders>
            <w:vAlign w:val="center"/>
          </w:tcPr>
          <w:p w14:paraId="0B79537C" w14:textId="77777777" w:rsidR="00A85E73" w:rsidRPr="00373DCC" w:rsidRDefault="00A85E73" w:rsidP="00A85E73">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r w:rsidRPr="00373DCC">
              <w:rPr>
                <w:rFonts w:eastAsiaTheme="minorHAnsi" w:cs="Arial"/>
                <w:sz w:val="21"/>
                <w:vertAlign w:val="superscript"/>
              </w:rPr>
              <w:t xml:space="preserve"> </w:t>
            </w:r>
          </w:p>
        </w:tc>
      </w:tr>
    </w:tbl>
    <w:p w14:paraId="1CC84D11" w14:textId="77777777" w:rsidR="00F2350B" w:rsidRPr="00373DCC" w:rsidRDefault="00F2350B" w:rsidP="00F2350B">
      <w:pPr>
        <w:tabs>
          <w:tab w:val="left" w:pos="284"/>
        </w:tabs>
        <w:spacing w:before="0" w:after="0" w:line="18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Priority designation is a formal decision by the TGA to assign priority to the assessment of an application to include a medical device in the ARTG. Granting of priority designation does not guarantee approval for the application itself.</w:t>
      </w:r>
    </w:p>
    <w:p w14:paraId="4B4156B3"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No determinations were granted in 2022-23. </w:t>
      </w:r>
    </w:p>
    <w:p w14:paraId="24A7DC7B" w14:textId="77777777" w:rsidR="00F2350B" w:rsidRPr="00373DCC" w:rsidRDefault="00F2350B" w:rsidP="00F2350B">
      <w:pPr>
        <w:spacing w:after="0" w:line="0" w:lineRule="atLeast"/>
        <w:rPr>
          <w:rFonts w:eastAsia="Cambria" w:cs="Arial"/>
          <w:szCs w:val="22"/>
        </w:rPr>
      </w:pPr>
    </w:p>
    <w:p w14:paraId="56C23126" w14:textId="77777777" w:rsidR="00F2350B" w:rsidRPr="00373DCC" w:rsidRDefault="00F2350B" w:rsidP="00F2350B">
      <w:pPr>
        <w:keepNext/>
        <w:spacing w:before="240" w:after="120" w:line="240" w:lineRule="auto"/>
        <w:rPr>
          <w:rFonts w:eastAsia="Cambria" w:cs="Arial"/>
          <w:b/>
          <w:bCs/>
          <w:sz w:val="21"/>
          <w:szCs w:val="21"/>
        </w:rPr>
      </w:pPr>
      <w:bookmarkStart w:id="181" w:name="Table43"/>
      <w:r w:rsidRPr="00373DCC">
        <w:rPr>
          <w:rFonts w:eastAsia="Cambria" w:cs="Arial"/>
          <w:b/>
          <w:bCs/>
          <w:sz w:val="21"/>
          <w:szCs w:val="21"/>
        </w:rPr>
        <w:lastRenderedPageBreak/>
        <w:t>Table 43</w:t>
      </w:r>
      <w:r>
        <w:rPr>
          <w:rFonts w:eastAsia="Cambria" w:cs="Arial"/>
          <w:b/>
          <w:bCs/>
          <w:sz w:val="21"/>
          <w:szCs w:val="21"/>
        </w:rPr>
        <w:t>:</w:t>
      </w:r>
      <w:r w:rsidRPr="00373DCC">
        <w:rPr>
          <w:rFonts w:eastAsia="Cambria" w:cs="Arial"/>
          <w:b/>
          <w:bCs/>
          <w:sz w:val="21"/>
          <w:szCs w:val="21"/>
        </w:rPr>
        <w:t xml:space="preserve"> Number of medical devices approved through the priority review pathway.</w:t>
      </w:r>
    </w:p>
    <w:bookmarkEnd w:id="181"/>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2822"/>
        <w:gridCol w:w="2672"/>
      </w:tblGrid>
      <w:tr w:rsidR="00F2350B" w:rsidRPr="00373DCC" w14:paraId="3F08D918" w14:textId="77777777" w:rsidTr="009E4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5" w:type="pct"/>
            <w:tcBorders>
              <w:top w:val="nil"/>
              <w:left w:val="nil"/>
              <w:bottom w:val="nil"/>
              <w:right w:val="single" w:sz="4" w:space="0" w:color="auto"/>
            </w:tcBorders>
            <w:shd w:val="clear" w:color="auto" w:fill="FFFFFF" w:themeFill="background1"/>
            <w:vAlign w:val="center"/>
          </w:tcPr>
          <w:p w14:paraId="72E4702B" w14:textId="77777777" w:rsidR="00F2350B" w:rsidRPr="00373DCC" w:rsidRDefault="00F2350B" w:rsidP="00710B91">
            <w:pPr>
              <w:keepLines/>
              <w:tabs>
                <w:tab w:val="left" w:pos="1021"/>
                <w:tab w:val="left" w:pos="1134"/>
              </w:tabs>
              <w:spacing w:before="0" w:after="0"/>
              <w:outlineLvl w:val="4"/>
              <w:rPr>
                <w:rFonts w:cs="Arial"/>
                <w:color w:val="000000"/>
                <w:sz w:val="21"/>
              </w:rPr>
            </w:pPr>
          </w:p>
        </w:tc>
        <w:tc>
          <w:tcPr>
            <w:tcW w:w="3045" w:type="pct"/>
            <w:gridSpan w:val="2"/>
            <w:tcBorders>
              <w:top w:val="single" w:sz="4" w:space="0" w:color="auto"/>
              <w:left w:val="single" w:sz="4" w:space="0" w:color="auto"/>
              <w:bottom w:val="single" w:sz="4" w:space="0" w:color="auto"/>
              <w:right w:val="single" w:sz="4" w:space="0" w:color="auto"/>
            </w:tcBorders>
            <w:shd w:val="clear" w:color="auto" w:fill="29527F"/>
            <w:vAlign w:val="center"/>
          </w:tcPr>
          <w:p w14:paraId="40B01B01" w14:textId="71EF0589" w:rsidR="00F2350B" w:rsidRPr="00373DCC" w:rsidRDefault="009E4200" w:rsidP="009E4200">
            <w:pPr>
              <w:keepLines/>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5FB5224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955" w:type="pct"/>
            <w:tcBorders>
              <w:top w:val="single" w:sz="4" w:space="0" w:color="auto"/>
              <w:left w:val="single" w:sz="4" w:space="0" w:color="auto"/>
              <w:bottom w:val="single" w:sz="4" w:space="0" w:color="auto"/>
              <w:right w:val="single" w:sz="4" w:space="0" w:color="auto"/>
            </w:tcBorders>
            <w:shd w:val="clear" w:color="auto" w:fill="ADBBD0"/>
          </w:tcPr>
          <w:p w14:paraId="6D5270DB" w14:textId="77777777" w:rsidR="00F2350B" w:rsidRPr="00373DCC" w:rsidRDefault="00F2350B" w:rsidP="00710B91">
            <w:pPr>
              <w:keepNext/>
              <w:keepLines/>
              <w:tabs>
                <w:tab w:val="left" w:pos="1021"/>
                <w:tab w:val="left" w:pos="1134"/>
              </w:tabs>
              <w:spacing w:before="0" w:after="0"/>
              <w:outlineLvl w:val="4"/>
              <w:rPr>
                <w:rFonts w:cs="Arial"/>
                <w:sz w:val="21"/>
              </w:rPr>
            </w:pPr>
            <w:r w:rsidRPr="00373DCC">
              <w:rPr>
                <w:rFonts w:cs="Arial"/>
                <w:sz w:val="21"/>
              </w:rPr>
              <w:t>Application Type</w:t>
            </w:r>
          </w:p>
        </w:tc>
        <w:tc>
          <w:tcPr>
            <w:tcW w:w="1564" w:type="pct"/>
            <w:tcBorders>
              <w:top w:val="single" w:sz="4" w:space="0" w:color="auto"/>
              <w:left w:val="single" w:sz="4" w:space="0" w:color="auto"/>
              <w:bottom w:val="single" w:sz="4" w:space="0" w:color="auto"/>
              <w:right w:val="single" w:sz="4" w:space="0" w:color="auto"/>
            </w:tcBorders>
            <w:shd w:val="clear" w:color="auto" w:fill="ADBBD0"/>
          </w:tcPr>
          <w:p w14:paraId="0EC077CC" w14:textId="77777777" w:rsidR="00F2350B" w:rsidRPr="00373DCC" w:rsidRDefault="00F2350B" w:rsidP="00710B91">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Number of applications with Priority determinations Approved (% of Total)</w:t>
            </w:r>
          </w:p>
        </w:tc>
        <w:tc>
          <w:tcPr>
            <w:tcW w:w="1481" w:type="pct"/>
            <w:tcBorders>
              <w:top w:val="single" w:sz="4" w:space="0" w:color="auto"/>
              <w:left w:val="single" w:sz="4" w:space="0" w:color="auto"/>
              <w:bottom w:val="single" w:sz="4" w:space="0" w:color="auto"/>
              <w:right w:val="single" w:sz="4" w:space="0" w:color="auto"/>
            </w:tcBorders>
            <w:shd w:val="clear" w:color="auto" w:fill="ADBBD0"/>
          </w:tcPr>
          <w:p w14:paraId="08C098DE" w14:textId="77777777" w:rsidR="00F2350B" w:rsidRPr="00373DCC" w:rsidRDefault="00F2350B" w:rsidP="00710B91">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Median approval time (TGA working days)</w:t>
            </w:r>
          </w:p>
        </w:tc>
      </w:tr>
      <w:tr w:rsidR="00F2350B" w:rsidRPr="00373DCC" w14:paraId="7361D58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955" w:type="pct"/>
          </w:tcPr>
          <w:p w14:paraId="42F04539"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 Conformity Assessment</w:t>
            </w:r>
          </w:p>
        </w:tc>
        <w:tc>
          <w:tcPr>
            <w:tcW w:w="1564" w:type="pct"/>
          </w:tcPr>
          <w:p w14:paraId="169C703B"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 xml:space="preserve">0 </w:t>
            </w:r>
          </w:p>
        </w:tc>
        <w:tc>
          <w:tcPr>
            <w:tcW w:w="1481" w:type="pct"/>
          </w:tcPr>
          <w:p w14:paraId="0A8A36B8"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N/A</w:t>
            </w:r>
          </w:p>
        </w:tc>
      </w:tr>
      <w:tr w:rsidR="00F2350B" w:rsidRPr="00373DCC" w14:paraId="6DDD61D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955" w:type="pct"/>
          </w:tcPr>
          <w:p w14:paraId="0B4AA8F1"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B: Medical Devices (ARTG inclusion)</w:t>
            </w:r>
          </w:p>
        </w:tc>
        <w:tc>
          <w:tcPr>
            <w:tcW w:w="1564" w:type="pct"/>
          </w:tcPr>
          <w:p w14:paraId="4A3FDEDF"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 xml:space="preserve">0 </w:t>
            </w:r>
          </w:p>
        </w:tc>
        <w:tc>
          <w:tcPr>
            <w:tcW w:w="1481" w:type="pct"/>
          </w:tcPr>
          <w:p w14:paraId="0F55E921"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N/A</w:t>
            </w:r>
          </w:p>
        </w:tc>
      </w:tr>
      <w:tr w:rsidR="00F2350B" w:rsidRPr="00373DCC" w14:paraId="7DE749C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955" w:type="pct"/>
            <w:shd w:val="clear" w:color="auto" w:fill="C6D4E9"/>
          </w:tcPr>
          <w:p w14:paraId="60FF608D"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Total</w:t>
            </w:r>
            <w:r w:rsidRPr="00373DCC">
              <w:rPr>
                <w:rFonts w:eastAsiaTheme="minorHAnsi" w:cs="Arial"/>
                <w:sz w:val="21"/>
                <w:vertAlign w:val="superscript"/>
              </w:rPr>
              <w:t xml:space="preserve"> a</w:t>
            </w:r>
          </w:p>
        </w:tc>
        <w:tc>
          <w:tcPr>
            <w:tcW w:w="1564" w:type="pct"/>
            <w:shd w:val="clear" w:color="auto" w:fill="C6D4E9"/>
          </w:tcPr>
          <w:p w14:paraId="4027ED58"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r w:rsidRPr="00373DCC">
              <w:rPr>
                <w:rFonts w:eastAsiaTheme="minorHAnsi" w:cs="Arial"/>
                <w:sz w:val="21"/>
                <w:vertAlign w:val="superscript"/>
              </w:rPr>
              <w:t xml:space="preserve"> </w:t>
            </w:r>
          </w:p>
        </w:tc>
        <w:tc>
          <w:tcPr>
            <w:tcW w:w="1481" w:type="pct"/>
            <w:shd w:val="clear" w:color="auto" w:fill="C6D4E9"/>
          </w:tcPr>
          <w:p w14:paraId="56C926EE"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N/A</w:t>
            </w:r>
          </w:p>
        </w:tc>
      </w:tr>
    </w:tbl>
    <w:p w14:paraId="2D057464"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No applications were approved in this reporting period</w:t>
      </w:r>
    </w:p>
    <w:p w14:paraId="454EDCCC" w14:textId="77777777" w:rsidR="00F2350B" w:rsidRPr="00373DCC" w:rsidRDefault="00F2350B" w:rsidP="00F2350B">
      <w:pPr>
        <w:pStyle w:val="ListParagraph"/>
        <w:numPr>
          <w:ilvl w:val="0"/>
          <w:numId w:val="0"/>
        </w:numPr>
        <w:ind w:left="720"/>
        <w:rPr>
          <w:lang w:val="en"/>
        </w:rPr>
      </w:pPr>
    </w:p>
    <w:p w14:paraId="7D7947FC" w14:textId="77777777" w:rsidR="00F2350B" w:rsidRPr="00373DCC" w:rsidRDefault="00F2350B" w:rsidP="00B633E2">
      <w:pPr>
        <w:pStyle w:val="Heading3-numbered"/>
        <w:numPr>
          <w:ilvl w:val="1"/>
          <w:numId w:val="32"/>
        </w:numPr>
        <w:rPr>
          <w:rFonts w:ascii="Arial" w:hAnsi="Arial" w:cs="Arial"/>
        </w:rPr>
      </w:pPr>
      <w:bookmarkStart w:id="182" w:name="_Toc153550477"/>
      <w:r w:rsidRPr="00373DCC">
        <w:rPr>
          <w:rFonts w:ascii="Arial" w:hAnsi="Arial" w:cs="Arial"/>
        </w:rPr>
        <w:t>Post-market monitoring</w:t>
      </w:r>
      <w:bookmarkEnd w:id="182"/>
    </w:p>
    <w:p w14:paraId="30CB927F"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8.3.1 Post-market reviews</w:t>
      </w:r>
    </w:p>
    <w:p w14:paraId="0CBFE709" w14:textId="77777777" w:rsidR="00F2350B" w:rsidRPr="00373DCC" w:rsidRDefault="00F2350B" w:rsidP="00F2350B">
      <w:pPr>
        <w:rPr>
          <w:rFonts w:cs="Arial"/>
          <w:sz w:val="21"/>
          <w:szCs w:val="21"/>
        </w:rPr>
      </w:pPr>
      <w:r w:rsidRPr="00373DCC">
        <w:rPr>
          <w:rFonts w:cs="Arial"/>
          <w:sz w:val="21"/>
          <w:szCs w:val="21"/>
        </w:rPr>
        <w:t xml:space="preserve">Post-market reviews ensure that medical devices continue to comply with the applicable regulatory requirements and that the safety and performance of the medical devices (including IVDs) are maintained. In addition, we may undertake targeted reviews to verify that a product is included correctly in the ARTG. We use information from both internal (for example, increase trend in adverse events) and external sources (for example, reports of new hazards) to select medical devices for post-market review. </w:t>
      </w:r>
    </w:p>
    <w:p w14:paraId="390EF007" w14:textId="77777777" w:rsidR="00F2350B" w:rsidRPr="00373DCC" w:rsidRDefault="00F2350B" w:rsidP="00F2350B">
      <w:pPr>
        <w:keepNext/>
        <w:spacing w:before="240" w:after="120" w:line="240" w:lineRule="auto"/>
        <w:rPr>
          <w:rFonts w:eastAsia="Cambria" w:cs="Arial"/>
          <w:b/>
          <w:bCs/>
          <w:sz w:val="21"/>
          <w:szCs w:val="21"/>
        </w:rPr>
      </w:pPr>
      <w:bookmarkStart w:id="183" w:name="Table44"/>
      <w:r w:rsidRPr="00373DCC">
        <w:rPr>
          <w:rFonts w:eastAsia="Cambria" w:cs="Arial"/>
          <w:b/>
          <w:sz w:val="21"/>
          <w:szCs w:val="21"/>
        </w:rPr>
        <w:t>Table 44: Medical device post-market reviews</w:t>
      </w:r>
    </w:p>
    <w:tbl>
      <w:tblPr>
        <w:tblStyle w:val="TableTGAblue"/>
        <w:tblW w:w="5000" w:type="pct"/>
        <w:tblLook w:val="04A0" w:firstRow="1" w:lastRow="0" w:firstColumn="1" w:lastColumn="0" w:noHBand="0" w:noVBand="1"/>
      </w:tblPr>
      <w:tblGrid>
        <w:gridCol w:w="6207"/>
        <w:gridCol w:w="1407"/>
        <w:gridCol w:w="1407"/>
      </w:tblGrid>
      <w:tr w:rsidR="00F2350B" w:rsidRPr="00373DCC" w14:paraId="4FE3C3A0" w14:textId="77777777" w:rsidTr="00A85E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40" w:type="pct"/>
            <w:tcBorders>
              <w:top w:val="nil"/>
              <w:left w:val="nil"/>
              <w:bottom w:val="nil"/>
              <w:right w:val="single" w:sz="4" w:space="0" w:color="auto"/>
            </w:tcBorders>
            <w:shd w:val="clear" w:color="auto" w:fill="29527F"/>
            <w:vAlign w:val="center"/>
          </w:tcPr>
          <w:bookmarkEnd w:id="183"/>
          <w:p w14:paraId="0D1B1962" w14:textId="6283D440" w:rsidR="00F2350B" w:rsidRPr="00373DCC" w:rsidRDefault="00A85E73" w:rsidP="00A85E73">
            <w:pPr>
              <w:widowControl w:val="0"/>
              <w:spacing w:before="0" w:after="0" w:line="240" w:lineRule="atLeast"/>
              <w:rPr>
                <w:rFonts w:cs="Arial"/>
                <w:color w:val="FFFFFF" w:themeColor="background1"/>
                <w:szCs w:val="22"/>
              </w:rPr>
            </w:pPr>
            <w:r w:rsidRPr="00373DCC">
              <w:rPr>
                <w:rFonts w:cs="Arial"/>
                <w:szCs w:val="22"/>
              </w:rPr>
              <w:t>Post market reviews</w:t>
            </w:r>
          </w:p>
        </w:tc>
        <w:tc>
          <w:tcPr>
            <w:tcW w:w="780" w:type="pct"/>
            <w:tcBorders>
              <w:top w:val="single" w:sz="4" w:space="0" w:color="auto"/>
              <w:left w:val="single" w:sz="4" w:space="0" w:color="auto"/>
              <w:bottom w:val="single" w:sz="4" w:space="0" w:color="auto"/>
              <w:right w:val="single" w:sz="4" w:space="0" w:color="auto"/>
            </w:tcBorders>
            <w:shd w:val="clear" w:color="auto" w:fill="29527F"/>
            <w:vAlign w:val="center"/>
          </w:tcPr>
          <w:p w14:paraId="63A97A19" w14:textId="79B4517A" w:rsidR="00F2350B" w:rsidRPr="009E4200"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9E4200">
              <w:rPr>
                <w:rFonts w:eastAsiaTheme="minorHAnsi" w:cs="Arial"/>
                <w:color w:val="FFFFFF" w:themeColor="background1"/>
                <w:sz w:val="21"/>
              </w:rPr>
              <w:t xml:space="preserve">FY </w:t>
            </w:r>
            <w:r w:rsidR="00F2350B" w:rsidRPr="009E4200">
              <w:rPr>
                <w:rFonts w:eastAsiaTheme="minorHAnsi" w:cs="Arial"/>
                <w:color w:val="FFFFFF" w:themeColor="background1"/>
                <w:sz w:val="21"/>
              </w:rPr>
              <w:t>2021-22</w:t>
            </w:r>
          </w:p>
        </w:tc>
        <w:tc>
          <w:tcPr>
            <w:tcW w:w="780" w:type="pct"/>
            <w:tcBorders>
              <w:top w:val="single" w:sz="4" w:space="0" w:color="auto"/>
              <w:left w:val="single" w:sz="4" w:space="0" w:color="auto"/>
              <w:bottom w:val="single" w:sz="4" w:space="0" w:color="auto"/>
              <w:right w:val="single" w:sz="4" w:space="0" w:color="auto"/>
            </w:tcBorders>
            <w:shd w:val="clear" w:color="auto" w:fill="29527F"/>
            <w:vAlign w:val="center"/>
          </w:tcPr>
          <w:p w14:paraId="77BE0571" w14:textId="15A6A724" w:rsidR="00F2350B" w:rsidRPr="009E4200" w:rsidRDefault="009E4200"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9E4200">
              <w:rPr>
                <w:rFonts w:eastAsiaTheme="minorHAnsi" w:cs="Arial"/>
                <w:color w:val="FFFFFF" w:themeColor="background1"/>
                <w:sz w:val="21"/>
              </w:rPr>
              <w:t xml:space="preserve">FY </w:t>
            </w:r>
            <w:r w:rsidR="00F2350B" w:rsidRPr="009E4200">
              <w:rPr>
                <w:rFonts w:eastAsiaTheme="minorHAnsi" w:cs="Arial"/>
                <w:color w:val="FFFFFF" w:themeColor="background1"/>
                <w:sz w:val="21"/>
              </w:rPr>
              <w:t>2022-23</w:t>
            </w:r>
          </w:p>
        </w:tc>
      </w:tr>
      <w:tr w:rsidR="00F2350B" w:rsidRPr="00373DCC" w14:paraId="1AD13E4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vAlign w:val="center"/>
          </w:tcPr>
          <w:p w14:paraId="5C4905F3"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Reviews commenced – number of ARTG entries</w:t>
            </w:r>
          </w:p>
        </w:tc>
        <w:tc>
          <w:tcPr>
            <w:tcW w:w="780" w:type="pct"/>
            <w:tcBorders>
              <w:top w:val="single" w:sz="4" w:space="0" w:color="auto"/>
              <w:left w:val="single" w:sz="4" w:space="0" w:color="auto"/>
              <w:bottom w:val="single" w:sz="4" w:space="0" w:color="auto"/>
              <w:right w:val="single" w:sz="4" w:space="0" w:color="auto"/>
            </w:tcBorders>
            <w:vAlign w:val="center"/>
          </w:tcPr>
          <w:p w14:paraId="7876160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5,049</w:t>
            </w:r>
          </w:p>
        </w:tc>
        <w:tc>
          <w:tcPr>
            <w:tcW w:w="780" w:type="pct"/>
            <w:tcBorders>
              <w:top w:val="single" w:sz="4" w:space="0" w:color="auto"/>
              <w:left w:val="single" w:sz="4" w:space="0" w:color="auto"/>
              <w:bottom w:val="single" w:sz="4" w:space="0" w:color="auto"/>
              <w:right w:val="single" w:sz="4" w:space="0" w:color="auto"/>
            </w:tcBorders>
            <w:vAlign w:val="center"/>
          </w:tcPr>
          <w:p w14:paraId="6537700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899</w:t>
            </w:r>
          </w:p>
        </w:tc>
      </w:tr>
      <w:tr w:rsidR="00F2350B" w:rsidRPr="00373DCC" w14:paraId="135428C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vAlign w:val="center"/>
          </w:tcPr>
          <w:p w14:paraId="684E975C"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Reviews completed – number of ARTG entries</w:t>
            </w:r>
          </w:p>
        </w:tc>
        <w:tc>
          <w:tcPr>
            <w:tcW w:w="780" w:type="pct"/>
            <w:tcBorders>
              <w:top w:val="single" w:sz="4" w:space="0" w:color="auto"/>
              <w:left w:val="single" w:sz="4" w:space="0" w:color="auto"/>
              <w:bottom w:val="single" w:sz="4" w:space="0" w:color="auto"/>
              <w:right w:val="single" w:sz="4" w:space="0" w:color="auto"/>
            </w:tcBorders>
            <w:vAlign w:val="center"/>
          </w:tcPr>
          <w:p w14:paraId="2A118A6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2,554</w:t>
            </w:r>
          </w:p>
        </w:tc>
        <w:tc>
          <w:tcPr>
            <w:tcW w:w="780" w:type="pct"/>
            <w:tcBorders>
              <w:top w:val="single" w:sz="4" w:space="0" w:color="auto"/>
              <w:left w:val="single" w:sz="4" w:space="0" w:color="auto"/>
              <w:bottom w:val="single" w:sz="4" w:space="0" w:color="auto"/>
              <w:right w:val="single" w:sz="4" w:space="0" w:color="auto"/>
            </w:tcBorders>
            <w:vAlign w:val="center"/>
          </w:tcPr>
          <w:p w14:paraId="7DF74D0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1,592</w:t>
            </w:r>
          </w:p>
        </w:tc>
      </w:tr>
      <w:tr w:rsidR="00F2350B" w:rsidRPr="00373DCC" w14:paraId="615BB60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vAlign w:val="center"/>
          </w:tcPr>
          <w:p w14:paraId="1EACCBD6" w14:textId="77777777" w:rsidR="00F2350B" w:rsidRPr="00373DCC" w:rsidRDefault="00F2350B" w:rsidP="00710B91">
            <w:pPr>
              <w:spacing w:before="0" w:after="0" w:line="240" w:lineRule="atLeast"/>
              <w:contextualSpacing/>
              <w:rPr>
                <w:rFonts w:eastAsiaTheme="minorHAnsi" w:cs="Arial"/>
                <w:szCs w:val="22"/>
              </w:rPr>
            </w:pPr>
            <w:r w:rsidRPr="00373DCC">
              <w:rPr>
                <w:rFonts w:eastAsiaTheme="minorHAnsi" w:cs="Arial"/>
                <w:szCs w:val="22"/>
              </w:rPr>
              <w:t>Reviews on hand – number of ARTG entries</w:t>
            </w:r>
          </w:p>
        </w:tc>
        <w:tc>
          <w:tcPr>
            <w:tcW w:w="780" w:type="pct"/>
            <w:tcBorders>
              <w:top w:val="single" w:sz="4" w:space="0" w:color="auto"/>
              <w:left w:val="single" w:sz="4" w:space="0" w:color="auto"/>
              <w:bottom w:val="single" w:sz="4" w:space="0" w:color="auto"/>
              <w:right w:val="single" w:sz="4" w:space="0" w:color="auto"/>
            </w:tcBorders>
            <w:vAlign w:val="center"/>
          </w:tcPr>
          <w:p w14:paraId="6614820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5,741</w:t>
            </w:r>
          </w:p>
        </w:tc>
        <w:tc>
          <w:tcPr>
            <w:tcW w:w="780" w:type="pct"/>
            <w:tcBorders>
              <w:top w:val="single" w:sz="4" w:space="0" w:color="auto"/>
              <w:left w:val="single" w:sz="4" w:space="0" w:color="auto"/>
              <w:bottom w:val="single" w:sz="4" w:space="0" w:color="auto"/>
              <w:right w:val="single" w:sz="4" w:space="0" w:color="auto"/>
            </w:tcBorders>
            <w:vAlign w:val="center"/>
          </w:tcPr>
          <w:p w14:paraId="3BCDCDC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5,048</w:t>
            </w:r>
          </w:p>
        </w:tc>
      </w:tr>
    </w:tbl>
    <w:p w14:paraId="16627AD1" w14:textId="77777777" w:rsidR="00F2350B" w:rsidRPr="00373DCC" w:rsidRDefault="00F2350B" w:rsidP="00F2350B">
      <w:pPr>
        <w:adjustRightInd w:val="0"/>
        <w:spacing w:after="0" w:line="240" w:lineRule="atLeast"/>
        <w:outlineLvl w:val="3"/>
        <w:rPr>
          <w:rFonts w:eastAsiaTheme="majorEastAsia" w:cs="Arial"/>
          <w:i/>
          <w:iCs/>
          <w:color w:val="00348C" w:themeColor="accent1" w:themeShade="BF"/>
          <w:szCs w:val="22"/>
        </w:rPr>
      </w:pPr>
    </w:p>
    <w:p w14:paraId="5B0E62B7" w14:textId="77777777" w:rsidR="00F2350B" w:rsidRPr="00373DCC" w:rsidRDefault="00F2350B" w:rsidP="00F2350B">
      <w:pPr>
        <w:rPr>
          <w:rFonts w:eastAsiaTheme="majorEastAsia" w:cs="Arial"/>
          <w:i/>
          <w:iCs/>
          <w:color w:val="00348C" w:themeColor="accent1" w:themeShade="BF"/>
          <w:szCs w:val="22"/>
        </w:rPr>
      </w:pPr>
      <w:r w:rsidRPr="00373DCC">
        <w:rPr>
          <w:rFonts w:eastAsiaTheme="majorEastAsia" w:cs="Arial"/>
          <w:i/>
          <w:iCs/>
          <w:color w:val="00348C" w:themeColor="accent1" w:themeShade="BF"/>
          <w:szCs w:val="22"/>
        </w:rPr>
        <w:br w:type="page"/>
      </w:r>
    </w:p>
    <w:p w14:paraId="51EDE890"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lastRenderedPageBreak/>
        <w:t>8.3.2 Applications for consent to supply medical devices that are non-compliant with the Essential Principles</w:t>
      </w:r>
    </w:p>
    <w:p w14:paraId="2EFFAD3D" w14:textId="77777777" w:rsidR="00F2350B" w:rsidRPr="00373DCC" w:rsidRDefault="00F2350B" w:rsidP="00F2350B">
      <w:pPr>
        <w:rPr>
          <w:rFonts w:cs="Arial"/>
          <w:sz w:val="21"/>
          <w:szCs w:val="21"/>
        </w:rPr>
      </w:pPr>
      <w:r w:rsidRPr="00373DCC">
        <w:rPr>
          <w:rFonts w:cs="Arial"/>
          <w:sz w:val="21"/>
          <w:szCs w:val="21"/>
        </w:rPr>
        <w:t>Medical devices are required to comply with the Essential Principles; however, there may be some extenuating circumstances preventing compliance to one or more parts of an Essential Principle for a limited period of time. In those cases, sponsors of the medical devices can apply to the TGA to seek a consent to supply (CtS) the non-compliant medical devices. The CtS applications can include multiple active ARTG entries, as well as medical devices that are included in an application for inclusion in the ARTG.</w:t>
      </w:r>
    </w:p>
    <w:p w14:paraId="21A5B73B" w14:textId="77777777" w:rsidR="00F2350B" w:rsidRPr="00373DCC" w:rsidRDefault="00F2350B" w:rsidP="00F2350B">
      <w:pPr>
        <w:keepNext/>
        <w:spacing w:before="240" w:after="120" w:line="240" w:lineRule="auto"/>
        <w:rPr>
          <w:rFonts w:eastAsia="Cambria" w:cs="Arial"/>
          <w:b/>
          <w:bCs/>
          <w:sz w:val="21"/>
          <w:szCs w:val="21"/>
        </w:rPr>
      </w:pPr>
      <w:bookmarkStart w:id="184" w:name="Table45"/>
      <w:r w:rsidRPr="00373DCC">
        <w:rPr>
          <w:rFonts w:eastAsia="Cambria" w:cs="Arial"/>
          <w:b/>
          <w:sz w:val="21"/>
          <w:szCs w:val="21"/>
        </w:rPr>
        <w:t>Table 45: Applications for consent to supply (CtS) non-compliant medical devices</w:t>
      </w:r>
      <w:bookmarkEnd w:id="184"/>
      <w:r w:rsidRPr="00373DCC">
        <w:rPr>
          <w:rFonts w:eastAsia="Cambria" w:cs="Arial"/>
          <w:b/>
          <w:bCs/>
          <w:sz w:val="21"/>
          <w:szCs w:val="21"/>
        </w:rPr>
        <w:t xml:space="preserve"> </w:t>
      </w:r>
    </w:p>
    <w:tbl>
      <w:tblPr>
        <w:tblStyle w:val="TableTGAblue"/>
        <w:tblW w:w="4950" w:type="pct"/>
        <w:tblLook w:val="04A0" w:firstRow="1" w:lastRow="0" w:firstColumn="1" w:lastColumn="0" w:noHBand="0" w:noVBand="1"/>
      </w:tblPr>
      <w:tblGrid>
        <w:gridCol w:w="7509"/>
        <w:gridCol w:w="1417"/>
      </w:tblGrid>
      <w:tr w:rsidR="00F2350B" w:rsidRPr="00373DCC" w14:paraId="4CFD98B4" w14:textId="77777777" w:rsidTr="003440C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06" w:type="pct"/>
            <w:tcBorders>
              <w:top w:val="nil"/>
              <w:left w:val="single" w:sz="4" w:space="0" w:color="auto"/>
              <w:bottom w:val="single" w:sz="4" w:space="0" w:color="auto"/>
              <w:right w:val="single" w:sz="4" w:space="0" w:color="auto"/>
            </w:tcBorders>
            <w:shd w:val="clear" w:color="auto" w:fill="29527F"/>
            <w:vAlign w:val="center"/>
          </w:tcPr>
          <w:p w14:paraId="6D732381" w14:textId="77777777" w:rsidR="00F2350B" w:rsidRPr="00373DCC" w:rsidRDefault="00F2350B" w:rsidP="00710B91">
            <w:pPr>
              <w:widowControl w:val="0"/>
              <w:spacing w:before="0" w:after="0" w:line="240" w:lineRule="atLeast"/>
              <w:rPr>
                <w:rFonts w:cs="Arial"/>
                <w:color w:val="FFFFFF" w:themeColor="background1"/>
                <w:sz w:val="21"/>
              </w:rPr>
            </w:pPr>
            <w:r w:rsidRPr="00373DCC">
              <w:rPr>
                <w:rFonts w:cs="Arial"/>
                <w:color w:val="FFFFFF" w:themeColor="background1"/>
                <w:sz w:val="21"/>
              </w:rPr>
              <w:t>Consent to supply applications</w:t>
            </w:r>
          </w:p>
        </w:tc>
        <w:tc>
          <w:tcPr>
            <w:tcW w:w="794" w:type="pct"/>
            <w:tcBorders>
              <w:top w:val="single" w:sz="4" w:space="0" w:color="auto"/>
              <w:left w:val="single" w:sz="4" w:space="0" w:color="auto"/>
              <w:bottom w:val="single" w:sz="4" w:space="0" w:color="auto"/>
              <w:right w:val="single" w:sz="4" w:space="0" w:color="auto"/>
            </w:tcBorders>
            <w:shd w:val="clear" w:color="auto" w:fill="29527F"/>
            <w:vAlign w:val="center"/>
          </w:tcPr>
          <w:p w14:paraId="7525FA3B" w14:textId="77777777" w:rsidR="00F2350B" w:rsidRPr="00373DCC" w:rsidRDefault="00F2350B" w:rsidP="00710B9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color w:val="FFFFFF" w:themeColor="background1"/>
                <w:sz w:val="21"/>
              </w:rPr>
              <w:t>2022-23</w:t>
            </w:r>
          </w:p>
        </w:tc>
      </w:tr>
      <w:tr w:rsidR="00F2350B" w:rsidRPr="00373DCC" w14:paraId="7DE97FD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206" w:type="pct"/>
            <w:tcBorders>
              <w:top w:val="single" w:sz="4" w:space="0" w:color="auto"/>
              <w:left w:val="single" w:sz="4" w:space="0" w:color="auto"/>
              <w:bottom w:val="single" w:sz="4" w:space="0" w:color="auto"/>
              <w:right w:val="single" w:sz="4" w:space="0" w:color="auto"/>
            </w:tcBorders>
            <w:vAlign w:val="center"/>
          </w:tcPr>
          <w:p w14:paraId="37D80131"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Total number of CtS applications received</w:t>
            </w:r>
          </w:p>
        </w:tc>
        <w:tc>
          <w:tcPr>
            <w:tcW w:w="794" w:type="pct"/>
            <w:tcBorders>
              <w:top w:val="single" w:sz="4" w:space="0" w:color="auto"/>
              <w:left w:val="single" w:sz="4" w:space="0" w:color="auto"/>
              <w:bottom w:val="single" w:sz="4" w:space="0" w:color="auto"/>
              <w:right w:val="single" w:sz="4" w:space="0" w:color="auto"/>
            </w:tcBorders>
            <w:vAlign w:val="center"/>
          </w:tcPr>
          <w:p w14:paraId="74B2796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99</w:t>
            </w:r>
          </w:p>
        </w:tc>
      </w:tr>
      <w:tr w:rsidR="00F2350B" w:rsidRPr="00373DCC" w14:paraId="5E79F2E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206" w:type="pct"/>
            <w:tcBorders>
              <w:top w:val="single" w:sz="4" w:space="0" w:color="auto"/>
              <w:left w:val="single" w:sz="4" w:space="0" w:color="auto"/>
              <w:bottom w:val="single" w:sz="4" w:space="0" w:color="auto"/>
              <w:right w:val="single" w:sz="4" w:space="0" w:color="auto"/>
            </w:tcBorders>
            <w:vAlign w:val="center"/>
          </w:tcPr>
          <w:p w14:paraId="01DA90A9"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Number of ARTG entries included in the CtS applications</w:t>
            </w:r>
          </w:p>
        </w:tc>
        <w:tc>
          <w:tcPr>
            <w:tcW w:w="794" w:type="pct"/>
            <w:tcBorders>
              <w:top w:val="single" w:sz="4" w:space="0" w:color="auto"/>
              <w:left w:val="single" w:sz="4" w:space="0" w:color="auto"/>
              <w:bottom w:val="single" w:sz="4" w:space="0" w:color="auto"/>
              <w:right w:val="single" w:sz="4" w:space="0" w:color="auto"/>
            </w:tcBorders>
            <w:vAlign w:val="center"/>
          </w:tcPr>
          <w:p w14:paraId="38EC5B5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401</w:t>
            </w:r>
          </w:p>
        </w:tc>
      </w:tr>
      <w:tr w:rsidR="00F2350B" w:rsidRPr="00373DCC" w14:paraId="2FBE6A5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206" w:type="pct"/>
            <w:tcBorders>
              <w:top w:val="single" w:sz="4" w:space="0" w:color="auto"/>
              <w:left w:val="single" w:sz="4" w:space="0" w:color="auto"/>
              <w:bottom w:val="single" w:sz="4" w:space="0" w:color="auto"/>
              <w:right w:val="single" w:sz="4" w:space="0" w:color="auto"/>
            </w:tcBorders>
            <w:vAlign w:val="center"/>
          </w:tcPr>
          <w:p w14:paraId="07694D69"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Number of Applications for Inclusion in the ARTG included in the CtS applications</w:t>
            </w:r>
          </w:p>
        </w:tc>
        <w:tc>
          <w:tcPr>
            <w:tcW w:w="794" w:type="pct"/>
            <w:tcBorders>
              <w:top w:val="single" w:sz="4" w:space="0" w:color="auto"/>
              <w:left w:val="single" w:sz="4" w:space="0" w:color="auto"/>
              <w:bottom w:val="single" w:sz="4" w:space="0" w:color="auto"/>
              <w:right w:val="single" w:sz="4" w:space="0" w:color="auto"/>
            </w:tcBorders>
            <w:vAlign w:val="center"/>
          </w:tcPr>
          <w:p w14:paraId="6DCB6A6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21</w:t>
            </w:r>
          </w:p>
        </w:tc>
      </w:tr>
    </w:tbl>
    <w:p w14:paraId="3702023E" w14:textId="77777777" w:rsidR="00F2350B" w:rsidRPr="00373DCC" w:rsidRDefault="00F2350B" w:rsidP="00F2350B">
      <w:pPr>
        <w:spacing w:after="180" w:line="240" w:lineRule="atLeast"/>
        <w:rPr>
          <w:rFonts w:eastAsia="Cambria" w:cs="Arial"/>
          <w:szCs w:val="22"/>
        </w:rPr>
      </w:pPr>
    </w:p>
    <w:p w14:paraId="631CC350" w14:textId="77777777" w:rsidR="00F2350B" w:rsidRPr="00373DCC" w:rsidRDefault="00F2350B" w:rsidP="00780BC6">
      <w:pPr>
        <w:adjustRightInd w:val="0"/>
        <w:spacing w:after="0" w:line="240" w:lineRule="atLeast"/>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t>8.3.3 Medical device incident reports</w:t>
      </w:r>
    </w:p>
    <w:p w14:paraId="617DB624" w14:textId="77777777" w:rsidR="00F2350B" w:rsidRPr="00373DCC" w:rsidRDefault="00F2350B" w:rsidP="00F2350B">
      <w:pPr>
        <w:rPr>
          <w:rFonts w:cs="Arial"/>
          <w:sz w:val="21"/>
          <w:szCs w:val="21"/>
        </w:rPr>
      </w:pPr>
      <w:r w:rsidRPr="00373DCC">
        <w:rPr>
          <w:rFonts w:cs="Arial"/>
          <w:sz w:val="21"/>
          <w:szCs w:val="21"/>
        </w:rPr>
        <w:t>A medical device incident is an event associated with the use or misuse of a medical device that resulted in or could have resulted in (near-incident): serious injury, illness or death to a patient, healthcare worker or other person. Australian sponsors of medical devices must actively monitor their devices’ post market performance and report incidents to the TGA. Reporting of incidents, or near-incidents, by users is voluntary.</w:t>
      </w:r>
    </w:p>
    <w:p w14:paraId="2EC17A5E" w14:textId="77777777" w:rsidR="00F2350B" w:rsidRPr="00373DCC" w:rsidRDefault="00F2350B" w:rsidP="00F2350B">
      <w:pPr>
        <w:rPr>
          <w:rFonts w:cs="Arial"/>
          <w:b/>
          <w:bCs/>
          <w:sz w:val="21"/>
          <w:szCs w:val="21"/>
        </w:rPr>
      </w:pPr>
      <w:r w:rsidRPr="00373DCC">
        <w:rPr>
          <w:rFonts w:cs="Arial"/>
          <w:sz w:val="21"/>
          <w:szCs w:val="21"/>
        </w:rPr>
        <w:t>The target timeframe for processing medical device incident reports is 90 working days.</w:t>
      </w:r>
    </w:p>
    <w:p w14:paraId="4F802238" w14:textId="77777777" w:rsidR="00F2350B" w:rsidRPr="00373DCC" w:rsidRDefault="00F2350B" w:rsidP="00F2350B">
      <w:pPr>
        <w:keepNext/>
        <w:spacing w:after="120" w:line="240" w:lineRule="auto"/>
        <w:rPr>
          <w:rFonts w:eastAsia="Cambria" w:cs="Arial"/>
          <w:b/>
          <w:bCs/>
          <w:sz w:val="21"/>
          <w:szCs w:val="21"/>
        </w:rPr>
      </w:pPr>
      <w:bookmarkStart w:id="185" w:name="Table46"/>
      <w:r w:rsidRPr="00373DCC">
        <w:rPr>
          <w:rFonts w:eastAsia="Cambria" w:cs="Arial"/>
          <w:b/>
          <w:bCs/>
          <w:sz w:val="21"/>
          <w:szCs w:val="21"/>
        </w:rPr>
        <w:t>Table 46: Number of medical device incident reports and processing times</w:t>
      </w:r>
    </w:p>
    <w:tbl>
      <w:tblPr>
        <w:tblStyle w:val="TableTGAblue"/>
        <w:tblW w:w="5001"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02"/>
        <w:gridCol w:w="1409"/>
        <w:gridCol w:w="1407"/>
      </w:tblGrid>
      <w:tr w:rsidR="00F2350B" w:rsidRPr="00373DCC" w14:paraId="605E5792" w14:textId="77777777" w:rsidTr="00710B91">
        <w:trPr>
          <w:gridBefore w:val="1"/>
          <w:cnfStyle w:val="100000000000" w:firstRow="1" w:lastRow="0" w:firstColumn="0" w:lastColumn="0" w:oddVBand="0" w:evenVBand="0" w:oddHBand="0" w:evenHBand="0" w:firstRowFirstColumn="0" w:firstRowLastColumn="0" w:lastRowFirstColumn="0" w:lastRowLastColumn="0"/>
          <w:wBefore w:w="3439" w:type="pct"/>
          <w:trHeight w:val="340"/>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auto"/>
              <w:left w:val="single" w:sz="4" w:space="0" w:color="auto"/>
              <w:bottom w:val="single" w:sz="4" w:space="0" w:color="auto"/>
              <w:right w:val="single" w:sz="4" w:space="0" w:color="auto"/>
            </w:tcBorders>
            <w:shd w:val="clear" w:color="auto" w:fill="29527F"/>
            <w:vAlign w:val="center"/>
          </w:tcPr>
          <w:bookmarkEnd w:id="185"/>
          <w:p w14:paraId="01AD8F6C" w14:textId="0D1A7818" w:rsidR="00F2350B" w:rsidRPr="00373DCC" w:rsidRDefault="003440CC" w:rsidP="00710B91">
            <w:pPr>
              <w:widowControl w:val="0"/>
              <w:spacing w:line="240" w:lineRule="atLeast"/>
              <w:contextualSpacing/>
              <w:jc w:val="center"/>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2021-22</w:t>
            </w:r>
          </w:p>
        </w:tc>
        <w:tc>
          <w:tcPr>
            <w:tcW w:w="780" w:type="pct"/>
            <w:tcBorders>
              <w:top w:val="single" w:sz="4" w:space="0" w:color="auto"/>
              <w:left w:val="single" w:sz="4" w:space="0" w:color="auto"/>
              <w:bottom w:val="single" w:sz="4" w:space="0" w:color="auto"/>
              <w:right w:val="single" w:sz="4" w:space="0" w:color="auto"/>
            </w:tcBorders>
            <w:shd w:val="clear" w:color="auto" w:fill="29527F"/>
            <w:vAlign w:val="center"/>
          </w:tcPr>
          <w:p w14:paraId="7A63C3E0" w14:textId="0EDD8625" w:rsidR="00F2350B" w:rsidRPr="00373DCC" w:rsidRDefault="003440CC"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00F2350B" w:rsidRPr="00373DCC">
              <w:rPr>
                <w:rFonts w:eastAsiaTheme="minorHAnsi" w:cs="Arial"/>
                <w:color w:val="FFFFFF" w:themeColor="background1"/>
                <w:sz w:val="21"/>
              </w:rPr>
              <w:t>2022-23</w:t>
            </w:r>
          </w:p>
        </w:tc>
      </w:tr>
      <w:tr w:rsidR="00F2350B" w:rsidRPr="00373DCC" w14:paraId="58FD3FE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29527F"/>
            <w:vAlign w:val="center"/>
          </w:tcPr>
          <w:p w14:paraId="1D2CC138" w14:textId="77777777" w:rsidR="00F2350B" w:rsidRPr="00373DCC" w:rsidRDefault="00F2350B" w:rsidP="00710B91">
            <w:pPr>
              <w:spacing w:line="240" w:lineRule="atLeast"/>
              <w:contextualSpacing/>
              <w:rPr>
                <w:rFonts w:eastAsiaTheme="minorHAnsi" w:cs="Arial"/>
                <w:b/>
                <w:color w:val="FFFFFF" w:themeColor="background1"/>
                <w:sz w:val="21"/>
              </w:rPr>
            </w:pPr>
            <w:r w:rsidRPr="00373DCC">
              <w:rPr>
                <w:rFonts w:eastAsiaTheme="minorHAnsi" w:cs="Arial"/>
                <w:b/>
                <w:color w:val="FFFFFF" w:themeColor="background1"/>
                <w:sz w:val="21"/>
              </w:rPr>
              <w:t>Incident report outcomes</w:t>
            </w:r>
          </w:p>
        </w:tc>
      </w:tr>
      <w:tr w:rsidR="00F2350B" w:rsidRPr="00373DCC" w14:paraId="6805479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06899AD3" w14:textId="77777777" w:rsidR="00F2350B" w:rsidRPr="00373DCC" w:rsidRDefault="00F2350B" w:rsidP="00710B91">
            <w:pPr>
              <w:keepNext/>
              <w:keepLines/>
              <w:tabs>
                <w:tab w:val="left" w:pos="907"/>
                <w:tab w:val="left" w:pos="1134"/>
              </w:tabs>
              <w:spacing w:after="180" w:line="240" w:lineRule="atLeast"/>
              <w:outlineLvl w:val="4"/>
              <w:rPr>
                <w:rFonts w:cs="Arial"/>
                <w:sz w:val="21"/>
                <w:vertAlign w:val="superscript"/>
              </w:rPr>
            </w:pPr>
            <w:r w:rsidRPr="00373DCC">
              <w:rPr>
                <w:rFonts w:cs="Arial"/>
                <w:sz w:val="21"/>
              </w:rPr>
              <w:t>Device incident reports</w:t>
            </w:r>
            <w:r w:rsidRPr="00373DCC">
              <w:rPr>
                <w:rFonts w:cs="Arial"/>
                <w:sz w:val="21"/>
                <w:vertAlign w:val="superscript"/>
              </w:rPr>
              <w:t xml:space="preserve"> a</w:t>
            </w:r>
          </w:p>
        </w:tc>
      </w:tr>
      <w:tr w:rsidR="00F2350B" w:rsidRPr="00373DCC" w14:paraId="0890E79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auto"/>
            </w:tcBorders>
          </w:tcPr>
          <w:p w14:paraId="2D97B1B6"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Reports received</w:t>
            </w:r>
          </w:p>
        </w:tc>
        <w:tc>
          <w:tcPr>
            <w:tcW w:w="781" w:type="pct"/>
            <w:tcBorders>
              <w:top w:val="single" w:sz="4" w:space="0" w:color="auto"/>
            </w:tcBorders>
            <w:vAlign w:val="center"/>
          </w:tcPr>
          <w:p w14:paraId="2F896EC1"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8,737</w:t>
            </w:r>
          </w:p>
        </w:tc>
        <w:tc>
          <w:tcPr>
            <w:tcW w:w="780" w:type="pct"/>
            <w:tcBorders>
              <w:top w:val="single" w:sz="4" w:space="0" w:color="auto"/>
            </w:tcBorders>
            <w:vAlign w:val="center"/>
          </w:tcPr>
          <w:p w14:paraId="466AC192"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Pr>
                <w:rFonts w:eastAsiaTheme="minorEastAsia" w:cs="Arial"/>
                <w:sz w:val="21"/>
              </w:rPr>
              <w:t>8,403</w:t>
            </w:r>
          </w:p>
        </w:tc>
      </w:tr>
      <w:tr w:rsidR="00F2350B" w:rsidRPr="00373DCC" w14:paraId="5A00BFE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Pr>
          <w:p w14:paraId="3A124941"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Reports completed</w:t>
            </w:r>
          </w:p>
        </w:tc>
        <w:tc>
          <w:tcPr>
            <w:tcW w:w="781" w:type="pct"/>
            <w:vAlign w:val="center"/>
          </w:tcPr>
          <w:p w14:paraId="6A910692"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7,978</w:t>
            </w:r>
          </w:p>
        </w:tc>
        <w:tc>
          <w:tcPr>
            <w:tcW w:w="780" w:type="pct"/>
            <w:vAlign w:val="center"/>
          </w:tcPr>
          <w:p w14:paraId="58B60593"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6,893</w:t>
            </w:r>
          </w:p>
        </w:tc>
      </w:tr>
      <w:tr w:rsidR="00F2350B" w:rsidRPr="00373DCC" w14:paraId="4FB5E27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002C47" w:themeColor="text2"/>
            </w:tcBorders>
          </w:tcPr>
          <w:p w14:paraId="69CDEEA8"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Reports still in progress</w:t>
            </w:r>
          </w:p>
        </w:tc>
        <w:tc>
          <w:tcPr>
            <w:tcW w:w="781" w:type="pct"/>
            <w:tcBorders>
              <w:bottom w:val="single" w:sz="4" w:space="0" w:color="002C47" w:themeColor="text2"/>
            </w:tcBorders>
            <w:vAlign w:val="center"/>
          </w:tcPr>
          <w:p w14:paraId="1C498DA8"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207</w:t>
            </w:r>
          </w:p>
        </w:tc>
        <w:tc>
          <w:tcPr>
            <w:tcW w:w="780" w:type="pct"/>
            <w:tcBorders>
              <w:bottom w:val="single" w:sz="4" w:space="0" w:color="002C47" w:themeColor="text2"/>
            </w:tcBorders>
            <w:vAlign w:val="center"/>
          </w:tcPr>
          <w:p w14:paraId="4CCC2BB7"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1,509</w:t>
            </w:r>
          </w:p>
        </w:tc>
      </w:tr>
      <w:tr w:rsidR="00F2350B" w:rsidRPr="00373DCC" w14:paraId="09AD6C6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8CADD3"/>
            <w:vAlign w:val="center"/>
          </w:tcPr>
          <w:p w14:paraId="0FBE1161" w14:textId="77777777" w:rsidR="00F2350B" w:rsidRPr="00221A12" w:rsidRDefault="00F2350B" w:rsidP="00710B91">
            <w:pPr>
              <w:keepNext/>
              <w:keepLines/>
              <w:tabs>
                <w:tab w:val="left" w:pos="907"/>
                <w:tab w:val="left" w:pos="1134"/>
              </w:tabs>
              <w:spacing w:after="180" w:line="240" w:lineRule="atLeast"/>
              <w:outlineLvl w:val="4"/>
              <w:rPr>
                <w:rFonts w:cs="Arial"/>
                <w:sz w:val="21"/>
              </w:rPr>
            </w:pPr>
            <w:r w:rsidRPr="00221A12">
              <w:rPr>
                <w:rFonts w:cs="Arial"/>
                <w:sz w:val="21"/>
              </w:rPr>
              <w:t>Processing time</w:t>
            </w:r>
          </w:p>
        </w:tc>
      </w:tr>
      <w:tr w:rsidR="00F2350B" w:rsidRPr="00373DCC" w14:paraId="756E876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Pr>
          <w:p w14:paraId="5D24DE7F"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Mean TGA processing time (days)</w:t>
            </w:r>
          </w:p>
        </w:tc>
        <w:tc>
          <w:tcPr>
            <w:tcW w:w="781" w:type="pct"/>
            <w:vAlign w:val="center"/>
          </w:tcPr>
          <w:p w14:paraId="6A788C9E"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23.2</w:t>
            </w:r>
          </w:p>
        </w:tc>
        <w:tc>
          <w:tcPr>
            <w:tcW w:w="780" w:type="pct"/>
            <w:vAlign w:val="center"/>
          </w:tcPr>
          <w:p w14:paraId="2DB78B7A"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10.7</w:t>
            </w:r>
          </w:p>
        </w:tc>
      </w:tr>
      <w:tr w:rsidR="00F2350B" w:rsidRPr="00373DCC" w14:paraId="0888CD0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Pr>
          <w:p w14:paraId="2C4CA00E"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Median TGA processing time (days)</w:t>
            </w:r>
          </w:p>
        </w:tc>
        <w:tc>
          <w:tcPr>
            <w:tcW w:w="781" w:type="pct"/>
            <w:vAlign w:val="center"/>
          </w:tcPr>
          <w:p w14:paraId="12A510D4"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80" w:type="pct"/>
            <w:vAlign w:val="center"/>
          </w:tcPr>
          <w:p w14:paraId="61836364"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5</w:t>
            </w:r>
          </w:p>
        </w:tc>
      </w:tr>
      <w:tr w:rsidR="00F2350B" w:rsidRPr="00373DCC" w14:paraId="582E841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39" w:type="pct"/>
          </w:tcPr>
          <w:p w14:paraId="032DFC8E" w14:textId="77777777" w:rsidR="00F2350B" w:rsidRPr="00373DCC" w:rsidRDefault="00F2350B" w:rsidP="00710B91">
            <w:pPr>
              <w:spacing w:line="240" w:lineRule="atLeast"/>
              <w:contextualSpacing/>
              <w:rPr>
                <w:rFonts w:eastAsiaTheme="minorHAnsi" w:cs="Arial"/>
                <w:szCs w:val="22"/>
              </w:rPr>
            </w:pPr>
            <w:r w:rsidRPr="00373DCC">
              <w:rPr>
                <w:rFonts w:eastAsiaTheme="minorHAnsi" w:cs="Arial"/>
                <w:szCs w:val="22"/>
              </w:rPr>
              <w:t>Percentage processed within target timeframe</w:t>
            </w:r>
          </w:p>
        </w:tc>
        <w:tc>
          <w:tcPr>
            <w:tcW w:w="781" w:type="pct"/>
            <w:vAlign w:val="center"/>
          </w:tcPr>
          <w:p w14:paraId="163E8EDB"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94%</w:t>
            </w:r>
          </w:p>
        </w:tc>
        <w:tc>
          <w:tcPr>
            <w:tcW w:w="780" w:type="pct"/>
            <w:vAlign w:val="center"/>
          </w:tcPr>
          <w:p w14:paraId="78FB3509" w14:textId="77777777" w:rsidR="00F2350B" w:rsidRPr="00221A12"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80%</w:t>
            </w:r>
          </w:p>
        </w:tc>
      </w:tr>
    </w:tbl>
    <w:p w14:paraId="0B8D6C4D" w14:textId="77777777" w:rsidR="00F2350B" w:rsidRPr="00373DCC" w:rsidRDefault="00F2350B" w:rsidP="00F2350B">
      <w:pPr>
        <w:rPr>
          <w:rFonts w:cs="Arial"/>
          <w:sz w:val="16"/>
          <w:szCs w:val="16"/>
        </w:rPr>
      </w:pPr>
      <w:r w:rsidRPr="00373DCC">
        <w:rPr>
          <w:rFonts w:cs="Arial"/>
          <w:sz w:val="16"/>
          <w:szCs w:val="16"/>
          <w:vertAlign w:val="superscript"/>
        </w:rPr>
        <w:t>a</w:t>
      </w:r>
      <w:r w:rsidRPr="00373DCC">
        <w:rPr>
          <w:rFonts w:cs="Arial"/>
          <w:sz w:val="16"/>
          <w:szCs w:val="16"/>
        </w:rPr>
        <w:t xml:space="preserve"> Each year begins with a number of reports on hand, additional reports are received throughout the financial year and close out some of the reports on hand.</w:t>
      </w:r>
    </w:p>
    <w:p w14:paraId="4B807D92" w14:textId="77777777" w:rsidR="00F2350B" w:rsidRPr="00373DCC" w:rsidRDefault="00F2350B" w:rsidP="00F2350B">
      <w:pPr>
        <w:rPr>
          <w:rFonts w:eastAsia="Cambria" w:cs="Arial"/>
          <w:szCs w:val="22"/>
        </w:rPr>
      </w:pPr>
      <w:r w:rsidRPr="00373DCC">
        <w:rPr>
          <w:rFonts w:eastAsia="Cambria" w:cs="Arial"/>
          <w:szCs w:val="22"/>
        </w:rPr>
        <w:br w:type="page"/>
      </w:r>
    </w:p>
    <w:p w14:paraId="1B5E1B57" w14:textId="77777777" w:rsidR="00F2350B" w:rsidRPr="00373DCC" w:rsidRDefault="00F2350B" w:rsidP="00F2350B">
      <w:pPr>
        <w:keepNext/>
        <w:spacing w:before="240" w:after="120" w:line="240" w:lineRule="auto"/>
        <w:rPr>
          <w:rFonts w:eastAsia="Cambria" w:cs="Arial"/>
          <w:b/>
          <w:bCs/>
          <w:sz w:val="21"/>
          <w:szCs w:val="21"/>
        </w:rPr>
      </w:pPr>
      <w:bookmarkStart w:id="186" w:name="Table47"/>
      <w:r w:rsidRPr="00373DCC">
        <w:rPr>
          <w:rFonts w:eastAsia="Cambria" w:cs="Arial"/>
          <w:b/>
          <w:bCs/>
          <w:sz w:val="21"/>
          <w:szCs w:val="21"/>
        </w:rPr>
        <w:lastRenderedPageBreak/>
        <w:t>Table 47: Medical device incident report outcomes</w:t>
      </w:r>
      <w:r w:rsidRPr="00373DCC">
        <w:rPr>
          <w:rFonts w:eastAsia="Cambria" w:cs="Arial"/>
          <w:b/>
          <w:bCs/>
          <w:sz w:val="21"/>
          <w:szCs w:val="21"/>
          <w:vertAlign w:val="superscript"/>
        </w:rPr>
        <w:t xml:space="preserve"> a</w:t>
      </w:r>
    </w:p>
    <w:tbl>
      <w:tblPr>
        <w:tblStyle w:val="TableTGAblue"/>
        <w:tblW w:w="5000" w:type="pct"/>
        <w:tblLook w:val="04A0" w:firstRow="1" w:lastRow="0" w:firstColumn="1" w:lastColumn="0" w:noHBand="0" w:noVBand="1"/>
      </w:tblPr>
      <w:tblGrid>
        <w:gridCol w:w="6091"/>
        <w:gridCol w:w="1560"/>
        <w:gridCol w:w="1365"/>
      </w:tblGrid>
      <w:tr w:rsidR="0090257F" w:rsidRPr="00373DCC" w14:paraId="1182FFE2" w14:textId="77777777" w:rsidTr="009025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auto"/>
              <w:left w:val="single" w:sz="4" w:space="0" w:color="auto"/>
              <w:bottom w:val="single" w:sz="4" w:space="0" w:color="auto"/>
              <w:right w:val="single" w:sz="4" w:space="0" w:color="auto"/>
            </w:tcBorders>
            <w:shd w:val="clear" w:color="auto" w:fill="29527F"/>
            <w:vAlign w:val="center"/>
          </w:tcPr>
          <w:bookmarkEnd w:id="186"/>
          <w:p w14:paraId="6D848B03" w14:textId="5B4AEC07" w:rsidR="0090257F" w:rsidRPr="00373DCC" w:rsidRDefault="0090257F" w:rsidP="0090257F">
            <w:pPr>
              <w:widowControl w:val="0"/>
              <w:spacing w:line="240" w:lineRule="atLeast"/>
              <w:contextualSpacing/>
              <w:rPr>
                <w:rFonts w:cs="Arial"/>
                <w:b w:val="0"/>
                <w:color w:val="FFFFFF" w:themeColor="background1"/>
                <w:sz w:val="21"/>
              </w:rPr>
            </w:pPr>
            <w:r w:rsidRPr="00373DCC">
              <w:rPr>
                <w:rFonts w:cs="Arial"/>
                <w:sz w:val="21"/>
              </w:rPr>
              <w:t>Incident report outcome</w:t>
            </w:r>
            <w:r>
              <w:rPr>
                <w:rFonts w:eastAsiaTheme="minorHAnsi" w:cs="Arial"/>
                <w:color w:val="FFFFFF" w:themeColor="background1"/>
                <w:sz w:val="21"/>
              </w:rPr>
              <w:t xml:space="preserve"> </w:t>
            </w:r>
          </w:p>
        </w:tc>
        <w:tc>
          <w:tcPr>
            <w:tcW w:w="865" w:type="pct"/>
            <w:tcBorders>
              <w:top w:val="single" w:sz="4" w:space="0" w:color="auto"/>
              <w:left w:val="single" w:sz="4" w:space="0" w:color="auto"/>
              <w:bottom w:val="single" w:sz="4" w:space="0" w:color="auto"/>
              <w:right w:val="single" w:sz="4" w:space="0" w:color="auto"/>
            </w:tcBorders>
            <w:shd w:val="clear" w:color="auto" w:fill="29527F"/>
            <w:vAlign w:val="center"/>
          </w:tcPr>
          <w:p w14:paraId="044B8F28" w14:textId="644DB231" w:rsidR="0090257F" w:rsidRPr="00373DCC" w:rsidRDefault="0090257F"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57" w:type="pct"/>
            <w:tcBorders>
              <w:top w:val="single" w:sz="4" w:space="0" w:color="auto"/>
              <w:left w:val="single" w:sz="4" w:space="0" w:color="auto"/>
              <w:bottom w:val="single" w:sz="4" w:space="0" w:color="auto"/>
              <w:right w:val="single" w:sz="4" w:space="0" w:color="auto"/>
            </w:tcBorders>
            <w:shd w:val="clear" w:color="auto" w:fill="29527F"/>
            <w:vAlign w:val="center"/>
          </w:tcPr>
          <w:p w14:paraId="61BFADFF" w14:textId="4F4118AB" w:rsidR="0090257F" w:rsidRPr="00373DCC" w:rsidRDefault="0090257F" w:rsidP="00710B91">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A378B6" w14:paraId="0EEF1A11"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04F32316"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Reviewed and used for trend analysis purposes</w:t>
            </w:r>
          </w:p>
        </w:tc>
        <w:tc>
          <w:tcPr>
            <w:tcW w:w="865"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7E95C659"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7,337</w:t>
            </w:r>
          </w:p>
        </w:tc>
        <w:tc>
          <w:tcPr>
            <w:tcW w:w="757"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52E74FD9"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6,613</w:t>
            </w:r>
            <w:r w:rsidRPr="00365547">
              <w:rPr>
                <w:rFonts w:eastAsiaTheme="minorEastAsia" w:cs="Arial"/>
                <w:sz w:val="21"/>
              </w:rPr>
              <w:t> </w:t>
            </w:r>
          </w:p>
        </w:tc>
      </w:tr>
      <w:tr w:rsidR="00F2350B" w:rsidRPr="00A378B6" w14:paraId="137C2973"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5C7B6AD"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Reviewed, no further action required</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9B7BCAC"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426</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8CE0AAB"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173</w:t>
            </w:r>
            <w:r w:rsidRPr="00365547">
              <w:rPr>
                <w:rFonts w:eastAsiaTheme="minorEastAsia" w:cs="Arial"/>
                <w:sz w:val="21"/>
              </w:rPr>
              <w:t> </w:t>
            </w:r>
          </w:p>
        </w:tc>
      </w:tr>
      <w:tr w:rsidR="00F2350B" w:rsidRPr="00A378B6" w14:paraId="2E0ADB3B"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D4EE6D6"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recall</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6FA7336"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66</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122C5CC"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9</w:t>
            </w:r>
            <w:r w:rsidRPr="00365547">
              <w:rPr>
                <w:rFonts w:eastAsiaTheme="minorEastAsia" w:cs="Arial"/>
                <w:sz w:val="21"/>
              </w:rPr>
              <w:t> </w:t>
            </w:r>
          </w:p>
        </w:tc>
      </w:tr>
      <w:tr w:rsidR="00F2350B" w:rsidRPr="00A378B6" w14:paraId="7B74D00E"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1894225"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device correction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9BB775F"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90</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7DF455C"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14</w:t>
            </w:r>
            <w:r w:rsidRPr="00365547">
              <w:rPr>
                <w:rFonts w:eastAsiaTheme="minorEastAsia" w:cs="Arial"/>
                <w:sz w:val="21"/>
              </w:rPr>
              <w:t> </w:t>
            </w:r>
          </w:p>
        </w:tc>
      </w:tr>
      <w:tr w:rsidR="00F2350B" w:rsidRPr="00A378B6" w14:paraId="5A60F62F"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B5EB008"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Hazard alert</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A9401FE"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32</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B1D3401"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5</w:t>
            </w:r>
            <w:r w:rsidRPr="00365547">
              <w:rPr>
                <w:rFonts w:eastAsiaTheme="minorEastAsia" w:cs="Arial"/>
                <w:sz w:val="21"/>
              </w:rPr>
              <w:t> </w:t>
            </w:r>
          </w:p>
        </w:tc>
      </w:tr>
      <w:tr w:rsidR="00F2350B" w:rsidRPr="00A378B6" w14:paraId="1FD5C1FD"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4D15199"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notification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D344354"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907EB2B"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0</w:t>
            </w:r>
            <w:r w:rsidRPr="00365547">
              <w:rPr>
                <w:rFonts w:eastAsiaTheme="minorEastAsia" w:cs="Arial"/>
                <w:sz w:val="21"/>
              </w:rPr>
              <w:t> </w:t>
            </w:r>
          </w:p>
        </w:tc>
      </w:tr>
      <w:tr w:rsidR="00F2350B" w:rsidRPr="00A378B6" w14:paraId="50621CE6"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67FD9EE"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Safety alert</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1D86331"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5621F92"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17</w:t>
            </w:r>
            <w:r w:rsidRPr="00365547">
              <w:rPr>
                <w:rFonts w:eastAsiaTheme="minorEastAsia" w:cs="Arial"/>
                <w:sz w:val="21"/>
              </w:rPr>
              <w:t> </w:t>
            </w:r>
          </w:p>
        </w:tc>
      </w:tr>
      <w:tr w:rsidR="00F2350B" w:rsidRPr="00A378B6" w14:paraId="2D82B56F"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EFB7CF1"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enhancement/improvement notice</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0F51E23"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69216D6"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2</w:t>
            </w:r>
            <w:r w:rsidRPr="00365547">
              <w:rPr>
                <w:rFonts w:eastAsiaTheme="minorEastAsia" w:cs="Arial"/>
                <w:sz w:val="21"/>
              </w:rPr>
              <w:t> </w:t>
            </w:r>
          </w:p>
        </w:tc>
      </w:tr>
      <w:tr w:rsidR="00F2350B" w:rsidRPr="00A378B6" w14:paraId="64066B85"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A7724D1"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Instructions for use amended</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7CC0FF7"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A8D2663"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2</w:t>
            </w:r>
            <w:r w:rsidRPr="00365547">
              <w:rPr>
                <w:rFonts w:eastAsiaTheme="minorEastAsia" w:cs="Arial"/>
                <w:sz w:val="21"/>
              </w:rPr>
              <w:t> </w:t>
            </w:r>
          </w:p>
        </w:tc>
      </w:tr>
      <w:tr w:rsidR="00F2350B" w:rsidRPr="00A378B6" w14:paraId="05B19FD9"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557B910"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Referral for post-market review</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1637C4B"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39</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0A42F27"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9</w:t>
            </w:r>
            <w:r w:rsidRPr="00365547">
              <w:rPr>
                <w:rFonts w:eastAsiaTheme="minorEastAsia" w:cs="Arial"/>
                <w:sz w:val="21"/>
              </w:rPr>
              <w:t> </w:t>
            </w:r>
          </w:p>
        </w:tc>
      </w:tr>
      <w:tr w:rsidR="00F2350B" w:rsidRPr="00A378B6" w14:paraId="4658AC4F"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A4DEF8C"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Refer to another TGA Branch or Section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AEB8BAC"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26</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95A4011"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8</w:t>
            </w:r>
            <w:r w:rsidRPr="00365547">
              <w:rPr>
                <w:rFonts w:eastAsiaTheme="minorEastAsia" w:cs="Arial"/>
                <w:sz w:val="21"/>
              </w:rPr>
              <w:t> </w:t>
            </w:r>
          </w:p>
        </w:tc>
      </w:tr>
      <w:tr w:rsidR="00F2350B" w:rsidRPr="00A378B6" w14:paraId="08C61EF6"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2D72E43"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Company warned</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41698D5"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1F1EAB7"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0</w:t>
            </w:r>
            <w:r w:rsidRPr="00365547">
              <w:rPr>
                <w:rFonts w:eastAsiaTheme="minorEastAsia" w:cs="Arial"/>
                <w:sz w:val="21"/>
              </w:rPr>
              <w:t> </w:t>
            </w:r>
          </w:p>
        </w:tc>
      </w:tr>
      <w:tr w:rsidR="00F2350B" w:rsidRPr="00A378B6" w14:paraId="29BDF3F6"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39E8ADA"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suspended from ARTG</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4418B9C"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195C546"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0</w:t>
            </w:r>
            <w:r w:rsidRPr="00365547">
              <w:rPr>
                <w:rFonts w:eastAsiaTheme="minorEastAsia" w:cs="Arial"/>
                <w:sz w:val="21"/>
              </w:rPr>
              <w:t> </w:t>
            </w:r>
          </w:p>
        </w:tc>
      </w:tr>
      <w:tr w:rsidR="00F2350B" w:rsidRPr="00A378B6" w14:paraId="49F8CF77"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744DC8F"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Product cancelled from ARTG</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7CE62FF"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3B88CA8"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3</w:t>
            </w:r>
            <w:r w:rsidRPr="00365547">
              <w:rPr>
                <w:rFonts w:eastAsiaTheme="minorEastAsia" w:cs="Arial"/>
                <w:sz w:val="21"/>
              </w:rPr>
              <w:t> </w:t>
            </w:r>
          </w:p>
        </w:tc>
      </w:tr>
      <w:tr w:rsidR="00F2350B" w:rsidRPr="00A378B6" w14:paraId="26735B30"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93BD82D"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Manufacturing process improvements</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7E12F48"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4DFBD70"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5</w:t>
            </w:r>
            <w:r w:rsidRPr="00365547">
              <w:rPr>
                <w:rFonts w:eastAsiaTheme="minorEastAsia" w:cs="Arial"/>
                <w:sz w:val="21"/>
              </w:rPr>
              <w:t> </w:t>
            </w:r>
          </w:p>
        </w:tc>
      </w:tr>
      <w:tr w:rsidR="00F2350B" w:rsidRPr="00A378B6" w14:paraId="2D881D09"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27E10B0"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Quality system process improvements</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952F805"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F01A79D"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3</w:t>
            </w:r>
            <w:r w:rsidRPr="00365547">
              <w:rPr>
                <w:rFonts w:eastAsiaTheme="minorEastAsia" w:cs="Arial"/>
                <w:sz w:val="21"/>
              </w:rPr>
              <w:t> </w:t>
            </w:r>
          </w:p>
        </w:tc>
      </w:tr>
      <w:tr w:rsidR="00F2350B" w:rsidRPr="00A378B6" w14:paraId="630DC812"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9CEA46E"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Maintenance carried out by the hospital</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786F8B5"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0003569"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w:t>
            </w:r>
            <w:r w:rsidRPr="00365547">
              <w:rPr>
                <w:rFonts w:eastAsiaTheme="minorEastAsia" w:cs="Arial"/>
                <w:sz w:val="21"/>
              </w:rPr>
              <w:t> </w:t>
            </w:r>
          </w:p>
        </w:tc>
      </w:tr>
      <w:tr w:rsidR="00F2350B" w:rsidRPr="00A378B6" w14:paraId="6698CC13"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2C14CF5"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Change to design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CB2147D"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6C8F62D"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2</w:t>
            </w:r>
            <w:r w:rsidRPr="00365547">
              <w:rPr>
                <w:rFonts w:eastAsiaTheme="minorEastAsia" w:cs="Arial"/>
                <w:sz w:val="21"/>
              </w:rPr>
              <w:t> </w:t>
            </w:r>
          </w:p>
        </w:tc>
      </w:tr>
      <w:tr w:rsidR="00F2350B" w:rsidRPr="00A378B6" w14:paraId="3F29CE83"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ED9E9CB"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Not device related</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8EAD202"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3877895"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0</w:t>
            </w:r>
            <w:r w:rsidRPr="00365547">
              <w:rPr>
                <w:rFonts w:eastAsiaTheme="minorEastAsia" w:cs="Arial"/>
                <w:sz w:val="21"/>
              </w:rPr>
              <w:t> </w:t>
            </w:r>
          </w:p>
        </w:tc>
      </w:tr>
      <w:tr w:rsidR="00F2350B" w:rsidRPr="00A378B6" w14:paraId="6EB59E61"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1E43E06"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TGA Publication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C2C3C20"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80B908E"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2</w:t>
            </w:r>
            <w:r w:rsidRPr="00365547">
              <w:rPr>
                <w:rFonts w:eastAsiaTheme="minorEastAsia" w:cs="Arial"/>
                <w:sz w:val="21"/>
              </w:rPr>
              <w:t> </w:t>
            </w:r>
          </w:p>
        </w:tc>
      </w:tr>
      <w:tr w:rsidR="00F2350B" w:rsidRPr="00A378B6" w14:paraId="19C44354"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889E6C0"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User education</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D6622CC"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251DE28"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1</w:t>
            </w:r>
            <w:r w:rsidRPr="00365547">
              <w:rPr>
                <w:rFonts w:eastAsiaTheme="minorEastAsia" w:cs="Arial"/>
                <w:sz w:val="21"/>
              </w:rPr>
              <w:t> </w:t>
            </w:r>
          </w:p>
        </w:tc>
      </w:tr>
      <w:tr w:rsidR="00F2350B" w:rsidRPr="00A378B6" w14:paraId="7351C0EB" w14:textId="77777777" w:rsidTr="00A85E73">
        <w:trPr>
          <w:trHeight w:val="340"/>
        </w:trPr>
        <w:tc>
          <w:tcPr>
            <w:cnfStyle w:val="001000000000" w:firstRow="0" w:lastRow="0" w:firstColumn="1" w:lastColumn="0" w:oddVBand="0" w:evenVBand="0" w:oddHBand="0" w:evenHBand="0" w:firstRowFirstColumn="0" w:firstRowLastColumn="0" w:lastRowFirstColumn="0" w:lastRowLastColumn="0"/>
            <w:tcW w:w="337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957BA19"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Other</w:t>
            </w:r>
          </w:p>
        </w:tc>
        <w:tc>
          <w:tcPr>
            <w:tcW w:w="865"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58B0DA0" w14:textId="77777777" w:rsidR="00F2350B" w:rsidRPr="00373DCC"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w:t>
            </w:r>
          </w:p>
        </w:tc>
        <w:tc>
          <w:tcPr>
            <w:tcW w:w="75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29683F9" w14:textId="77777777" w:rsidR="00F2350B" w:rsidRPr="00365547" w:rsidRDefault="00F2350B" w:rsidP="00710B91">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00D615E3">
              <w:rPr>
                <w:rFonts w:eastAsiaTheme="minorEastAsia" w:cs="Arial"/>
                <w:sz w:val="21"/>
              </w:rPr>
              <w:t>54</w:t>
            </w:r>
            <w:r w:rsidRPr="00365547">
              <w:rPr>
                <w:rFonts w:eastAsiaTheme="minorEastAsia" w:cs="Arial"/>
                <w:sz w:val="21"/>
              </w:rPr>
              <w:t> </w:t>
            </w:r>
          </w:p>
        </w:tc>
      </w:tr>
    </w:tbl>
    <w:p w14:paraId="2262F2EE"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Outcomes are not mutually exclusive.</w:t>
      </w:r>
      <w:r w:rsidRPr="00373DCC">
        <w:rPr>
          <w:rFonts w:eastAsia="Cambria" w:cs="Arial"/>
          <w:sz w:val="16"/>
          <w:szCs w:val="16"/>
        </w:rPr>
        <w:tab/>
      </w:r>
    </w:p>
    <w:p w14:paraId="490E5C2B" w14:textId="77777777" w:rsidR="00F2350B" w:rsidRPr="00373DCC" w:rsidRDefault="00F2350B" w:rsidP="00F2350B">
      <w:pPr>
        <w:widowControl w:val="0"/>
        <w:spacing w:after="0" w:line="0" w:lineRule="atLeast"/>
        <w:rPr>
          <w:rFonts w:eastAsia="Cambria" w:cs="Arial"/>
          <w:sz w:val="16"/>
          <w:szCs w:val="16"/>
        </w:rPr>
      </w:pPr>
    </w:p>
    <w:p w14:paraId="46F2B0F1" w14:textId="77777777" w:rsidR="00F2350B" w:rsidRPr="00373DCC" w:rsidRDefault="00F2350B" w:rsidP="00F2350B">
      <w:pPr>
        <w:spacing w:before="0" w:after="160" w:line="259" w:lineRule="auto"/>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br w:type="page"/>
      </w:r>
    </w:p>
    <w:p w14:paraId="677AE6CA" w14:textId="77777777" w:rsidR="00F2350B" w:rsidRPr="00373DCC" w:rsidRDefault="00F2350B" w:rsidP="00F2350B">
      <w:pPr>
        <w:adjustRightInd w:val="0"/>
        <w:spacing w:after="0" w:line="240" w:lineRule="atLeast"/>
        <w:ind w:left="720"/>
        <w:outlineLvl w:val="3"/>
        <w:rPr>
          <w:rFonts w:eastAsiaTheme="majorEastAsia" w:cs="Arial"/>
          <w:i/>
          <w:iCs/>
          <w:color w:val="00348C" w:themeColor="accent1" w:themeShade="BF"/>
          <w:sz w:val="21"/>
          <w:szCs w:val="21"/>
        </w:rPr>
      </w:pPr>
      <w:r w:rsidRPr="00373DCC">
        <w:rPr>
          <w:rFonts w:eastAsiaTheme="majorEastAsia" w:cs="Arial"/>
          <w:i/>
          <w:iCs/>
          <w:color w:val="00348C" w:themeColor="accent1" w:themeShade="BF"/>
          <w:sz w:val="21"/>
          <w:szCs w:val="21"/>
        </w:rPr>
        <w:lastRenderedPageBreak/>
        <w:t>8.3.4 Devices manufacturing</w:t>
      </w:r>
    </w:p>
    <w:p w14:paraId="70F4BA08" w14:textId="77777777" w:rsidR="00F2350B" w:rsidRPr="00373DCC" w:rsidRDefault="00F2350B" w:rsidP="00F2350B">
      <w:pPr>
        <w:keepNext/>
        <w:spacing w:before="240" w:after="120" w:line="240" w:lineRule="auto"/>
        <w:rPr>
          <w:rFonts w:cs="Arial"/>
          <w:sz w:val="21"/>
          <w:szCs w:val="21"/>
        </w:rPr>
      </w:pPr>
      <w:bookmarkStart w:id="187" w:name="Table48"/>
      <w:r w:rsidRPr="00373DCC">
        <w:rPr>
          <w:rFonts w:eastAsia="Cambria" w:cs="Arial"/>
          <w:b/>
          <w:bCs/>
          <w:sz w:val="21"/>
          <w:szCs w:val="21"/>
        </w:rPr>
        <w:t>Table 48: Outcomes of Quality Management System (QMS) audits of Australian manufacturers</w:t>
      </w:r>
      <w:bookmarkEnd w:id="187"/>
    </w:p>
    <w:tbl>
      <w:tblPr>
        <w:tblW w:w="5078" w:type="pct"/>
        <w:tblCellMar>
          <w:left w:w="0" w:type="dxa"/>
          <w:right w:w="0" w:type="dxa"/>
        </w:tblCellMar>
        <w:tblLook w:val="04A0" w:firstRow="1" w:lastRow="0" w:firstColumn="1" w:lastColumn="0" w:noHBand="0" w:noVBand="1"/>
      </w:tblPr>
      <w:tblGrid>
        <w:gridCol w:w="6277"/>
        <w:gridCol w:w="1439"/>
        <w:gridCol w:w="1441"/>
      </w:tblGrid>
      <w:tr w:rsidR="003440CC" w:rsidRPr="00373DCC" w14:paraId="4120CF18" w14:textId="77777777" w:rsidTr="003440CC">
        <w:trPr>
          <w:cantSplit/>
          <w:trHeight w:val="462"/>
          <w:tblHeader/>
        </w:trPr>
        <w:tc>
          <w:tcPr>
            <w:tcW w:w="3427" w:type="pct"/>
            <w:tcBorders>
              <w:top w:val="nil"/>
              <w:left w:val="nil"/>
              <w:bottom w:val="nil"/>
              <w:right w:val="single" w:sz="8" w:space="0" w:color="auto"/>
            </w:tcBorders>
            <w:shd w:val="clear" w:color="auto" w:fill="FFFFFF"/>
            <w:tcMar>
              <w:top w:w="0" w:type="dxa"/>
              <w:left w:w="108" w:type="dxa"/>
              <w:bottom w:w="0" w:type="dxa"/>
              <w:right w:w="108" w:type="dxa"/>
            </w:tcMar>
            <w:vAlign w:val="center"/>
          </w:tcPr>
          <w:p w14:paraId="7791BF43" w14:textId="77777777" w:rsidR="003440CC" w:rsidRPr="00373DCC" w:rsidRDefault="003440CC" w:rsidP="003440CC">
            <w:pPr>
              <w:spacing w:before="0" w:after="180" w:line="240" w:lineRule="atLeast"/>
              <w:jc w:val="center"/>
              <w:rPr>
                <w:rFonts w:eastAsia="Cambria" w:cs="Arial"/>
                <w:color w:val="FFFFFF"/>
                <w:sz w:val="21"/>
                <w:szCs w:val="21"/>
                <w:lang w:eastAsia="en-AU"/>
              </w:rPr>
            </w:pPr>
          </w:p>
        </w:tc>
        <w:tc>
          <w:tcPr>
            <w:tcW w:w="786" w:type="pct"/>
            <w:tcBorders>
              <w:top w:val="single" w:sz="8" w:space="0" w:color="auto"/>
              <w:left w:val="nil"/>
              <w:bottom w:val="single" w:sz="8" w:space="0" w:color="auto"/>
              <w:right w:val="single" w:sz="8" w:space="0" w:color="auto"/>
            </w:tcBorders>
            <w:shd w:val="clear" w:color="auto" w:fill="29527F"/>
            <w:tcMar>
              <w:top w:w="0" w:type="dxa"/>
              <w:left w:w="108" w:type="dxa"/>
              <w:bottom w:w="0" w:type="dxa"/>
              <w:right w:w="108" w:type="dxa"/>
            </w:tcMar>
            <w:vAlign w:val="center"/>
            <w:hideMark/>
          </w:tcPr>
          <w:p w14:paraId="2D635F02" w14:textId="50448C06" w:rsidR="003440CC" w:rsidRPr="003440CC" w:rsidRDefault="003440CC" w:rsidP="003440CC">
            <w:pPr>
              <w:spacing w:before="0" w:after="0" w:line="240" w:lineRule="atLeast"/>
              <w:jc w:val="center"/>
              <w:rPr>
                <w:rFonts w:cs="Arial"/>
                <w:b/>
                <w:bCs/>
                <w:color w:val="FFFFFF" w:themeColor="background1"/>
                <w:sz w:val="21"/>
              </w:rPr>
            </w:pPr>
            <w:r w:rsidRPr="003440CC">
              <w:rPr>
                <w:rFonts w:cs="Arial"/>
                <w:b/>
                <w:bCs/>
                <w:color w:val="FFFFFF" w:themeColor="background1"/>
                <w:sz w:val="21"/>
              </w:rPr>
              <w:t>FY 2021-22</w:t>
            </w:r>
          </w:p>
        </w:tc>
        <w:tc>
          <w:tcPr>
            <w:tcW w:w="787" w:type="pct"/>
            <w:tcBorders>
              <w:top w:val="single" w:sz="8" w:space="0" w:color="auto"/>
              <w:left w:val="nil"/>
              <w:bottom w:val="single" w:sz="8" w:space="0" w:color="auto"/>
              <w:right w:val="single" w:sz="8" w:space="0" w:color="auto"/>
            </w:tcBorders>
            <w:shd w:val="clear" w:color="auto" w:fill="29527F"/>
            <w:tcMar>
              <w:top w:w="0" w:type="dxa"/>
              <w:left w:w="108" w:type="dxa"/>
              <w:bottom w:w="0" w:type="dxa"/>
              <w:right w:w="108" w:type="dxa"/>
            </w:tcMar>
            <w:vAlign w:val="center"/>
            <w:hideMark/>
          </w:tcPr>
          <w:p w14:paraId="58409855" w14:textId="70BC9E0A" w:rsidR="003440CC" w:rsidRPr="003440CC" w:rsidRDefault="003440CC" w:rsidP="003440CC">
            <w:pPr>
              <w:spacing w:before="0" w:after="0" w:line="240" w:lineRule="atLeast"/>
              <w:jc w:val="center"/>
              <w:rPr>
                <w:rFonts w:cs="Arial"/>
                <w:b/>
                <w:bCs/>
                <w:color w:val="FFFFFF" w:themeColor="background1"/>
                <w:sz w:val="21"/>
              </w:rPr>
            </w:pPr>
            <w:r w:rsidRPr="003440CC">
              <w:rPr>
                <w:rFonts w:cs="Arial"/>
                <w:b/>
                <w:bCs/>
                <w:color w:val="FFFFFF" w:themeColor="background1"/>
                <w:sz w:val="21"/>
              </w:rPr>
              <w:t>FY 2022-23</w:t>
            </w:r>
          </w:p>
        </w:tc>
      </w:tr>
      <w:tr w:rsidR="003440CC" w:rsidRPr="00373DCC" w14:paraId="6399C3E1" w14:textId="77777777" w:rsidTr="00710B91">
        <w:trPr>
          <w:cantSplit/>
          <w:trHeight w:val="340"/>
        </w:trPr>
        <w:tc>
          <w:tcPr>
            <w:tcW w:w="5000" w:type="pct"/>
            <w:gridSpan w:val="3"/>
            <w:tcBorders>
              <w:top w:val="nil"/>
              <w:left w:val="single" w:sz="8" w:space="0" w:color="auto"/>
              <w:bottom w:val="single" w:sz="8" w:space="0" w:color="auto"/>
              <w:right w:val="single" w:sz="8" w:space="0" w:color="002C47"/>
            </w:tcBorders>
            <w:shd w:val="clear" w:color="auto" w:fill="8CADD3"/>
            <w:tcMar>
              <w:top w:w="0" w:type="dxa"/>
              <w:left w:w="108" w:type="dxa"/>
              <w:bottom w:w="0" w:type="dxa"/>
              <w:right w:w="108" w:type="dxa"/>
            </w:tcMar>
            <w:vAlign w:val="center"/>
            <w:hideMark/>
          </w:tcPr>
          <w:p w14:paraId="136D4FC4" w14:textId="77777777" w:rsidR="003440CC" w:rsidRPr="00373DCC" w:rsidRDefault="003440CC" w:rsidP="003440CC">
            <w:pPr>
              <w:spacing w:before="0" w:after="0" w:line="240" w:lineRule="atLeast"/>
              <w:contextualSpacing/>
              <w:rPr>
                <w:rFonts w:cs="Arial"/>
                <w:color w:val="000000"/>
                <w:sz w:val="21"/>
                <w:szCs w:val="21"/>
              </w:rPr>
            </w:pPr>
            <w:r w:rsidRPr="00373DCC">
              <w:rPr>
                <w:rFonts w:cs="Arial"/>
                <w:color w:val="000000"/>
                <w:sz w:val="21"/>
                <w:szCs w:val="21"/>
              </w:rPr>
              <w:t>QMS audits (Australia)</w:t>
            </w:r>
          </w:p>
        </w:tc>
      </w:tr>
      <w:tr w:rsidR="003440CC" w:rsidRPr="00373DCC" w14:paraId="0D1382E6" w14:textId="77777777" w:rsidTr="003440CC">
        <w:trPr>
          <w:cantSplit/>
          <w:trHeight w:val="340"/>
        </w:trPr>
        <w:tc>
          <w:tcPr>
            <w:tcW w:w="3427" w:type="pct"/>
            <w:tcBorders>
              <w:top w:val="nil"/>
              <w:left w:val="single" w:sz="8" w:space="0" w:color="002C47"/>
              <w:bottom w:val="single" w:sz="4" w:space="0" w:color="auto"/>
              <w:right w:val="single" w:sz="8" w:space="0" w:color="auto"/>
            </w:tcBorders>
            <w:tcMar>
              <w:top w:w="0" w:type="dxa"/>
              <w:left w:w="108" w:type="dxa"/>
              <w:bottom w:w="0" w:type="dxa"/>
              <w:right w:w="108" w:type="dxa"/>
            </w:tcMar>
            <w:vAlign w:val="center"/>
            <w:hideMark/>
          </w:tcPr>
          <w:p w14:paraId="1CFC78FD" w14:textId="77777777" w:rsidR="003440CC" w:rsidRPr="00373DCC" w:rsidRDefault="003440CC" w:rsidP="003440CC">
            <w:pPr>
              <w:spacing w:before="0" w:after="0" w:line="240" w:lineRule="atLeast"/>
              <w:contextualSpacing/>
              <w:rPr>
                <w:rFonts w:cs="Arial"/>
                <w:color w:val="000000"/>
                <w:sz w:val="21"/>
                <w:szCs w:val="21"/>
              </w:rPr>
            </w:pPr>
            <w:r w:rsidRPr="00373DCC">
              <w:rPr>
                <w:rFonts w:cs="Arial"/>
                <w:color w:val="000000"/>
                <w:sz w:val="21"/>
                <w:szCs w:val="21"/>
              </w:rPr>
              <w:t>Number of audits completed</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A4B1E" w14:textId="77777777" w:rsidR="003440CC" w:rsidRPr="00373DCC" w:rsidRDefault="003440CC" w:rsidP="003440CC">
            <w:pPr>
              <w:spacing w:before="0" w:after="0" w:line="240" w:lineRule="atLeast"/>
              <w:contextualSpacing/>
              <w:jc w:val="right"/>
              <w:rPr>
                <w:rFonts w:cs="Arial"/>
                <w:color w:val="000000"/>
                <w:sz w:val="21"/>
                <w:szCs w:val="21"/>
                <w:lang w:eastAsia="en-AU"/>
              </w:rPr>
            </w:pPr>
            <w:r w:rsidRPr="00373DCC">
              <w:rPr>
                <w:rFonts w:cs="Arial"/>
                <w:color w:val="000000"/>
                <w:sz w:val="21"/>
                <w:szCs w:val="21"/>
                <w:lang w:eastAsia="en-AU"/>
              </w:rPr>
              <w:t>24</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E08322" w14:textId="77777777" w:rsidR="003440CC" w:rsidRPr="00373DCC" w:rsidRDefault="003440CC" w:rsidP="003440CC">
            <w:pPr>
              <w:spacing w:before="0" w:after="0" w:line="240" w:lineRule="atLeast"/>
              <w:contextualSpacing/>
              <w:jc w:val="right"/>
              <w:rPr>
                <w:rFonts w:cs="Arial"/>
                <w:color w:val="000000"/>
                <w:sz w:val="21"/>
                <w:szCs w:val="21"/>
                <w:lang w:eastAsia="en-AU"/>
              </w:rPr>
            </w:pPr>
            <w:r w:rsidRPr="00373DCC">
              <w:rPr>
                <w:rFonts w:cs="Arial"/>
                <w:color w:val="000000"/>
                <w:sz w:val="21"/>
                <w:szCs w:val="21"/>
                <w:lang w:eastAsia="en-AU"/>
              </w:rPr>
              <w:t>14</w:t>
            </w:r>
          </w:p>
        </w:tc>
      </w:tr>
      <w:tr w:rsidR="003440CC" w:rsidRPr="00373DCC" w14:paraId="53535BB5" w14:textId="77777777" w:rsidTr="003440CC">
        <w:trPr>
          <w:cantSplit/>
          <w:trHeight w:val="340"/>
        </w:trPr>
        <w:tc>
          <w:tcPr>
            <w:tcW w:w="3427" w:type="pct"/>
            <w:tcBorders>
              <w:top w:val="single" w:sz="4" w:space="0" w:color="auto"/>
              <w:left w:val="single" w:sz="8" w:space="0" w:color="002C47"/>
              <w:bottom w:val="single" w:sz="8" w:space="0" w:color="002C47"/>
              <w:right w:val="single" w:sz="8" w:space="0" w:color="auto"/>
            </w:tcBorders>
            <w:tcMar>
              <w:top w:w="0" w:type="dxa"/>
              <w:left w:w="108" w:type="dxa"/>
              <w:bottom w:w="0" w:type="dxa"/>
              <w:right w:w="108" w:type="dxa"/>
            </w:tcMar>
            <w:vAlign w:val="center"/>
            <w:hideMark/>
          </w:tcPr>
          <w:p w14:paraId="40917956" w14:textId="77777777" w:rsidR="003440CC" w:rsidRPr="00373DCC" w:rsidRDefault="003440CC" w:rsidP="003440CC">
            <w:pPr>
              <w:spacing w:before="0" w:after="0" w:line="240" w:lineRule="atLeast"/>
              <w:contextualSpacing/>
              <w:rPr>
                <w:rFonts w:cs="Arial"/>
                <w:color w:val="000000"/>
                <w:sz w:val="21"/>
                <w:szCs w:val="21"/>
                <w:lang w:eastAsia="en-AU"/>
              </w:rPr>
            </w:pPr>
            <w:r w:rsidRPr="00373DCC">
              <w:rPr>
                <w:rFonts w:cs="Arial"/>
                <w:color w:val="000000"/>
                <w:sz w:val="21"/>
                <w:szCs w:val="21"/>
                <w:lang w:eastAsia="en-AU"/>
              </w:rPr>
              <w:t>Satisfactory compliance (of completed audits)</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8B288"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19 (80%)</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5E087"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 xml:space="preserve">13 (93%) </w:t>
            </w:r>
          </w:p>
        </w:tc>
      </w:tr>
      <w:tr w:rsidR="003440CC" w:rsidRPr="00373DCC" w14:paraId="45A2FD39" w14:textId="77777777" w:rsidTr="00710B91">
        <w:trPr>
          <w:cantSplit/>
          <w:trHeight w:val="340"/>
        </w:trPr>
        <w:tc>
          <w:tcPr>
            <w:tcW w:w="3427" w:type="pct"/>
            <w:tcBorders>
              <w:top w:val="nil"/>
              <w:left w:val="single" w:sz="8" w:space="0" w:color="002C47"/>
              <w:bottom w:val="single" w:sz="8" w:space="0" w:color="002C47"/>
              <w:right w:val="single" w:sz="8" w:space="0" w:color="auto"/>
            </w:tcBorders>
            <w:tcMar>
              <w:top w:w="0" w:type="dxa"/>
              <w:left w:w="108" w:type="dxa"/>
              <w:bottom w:w="0" w:type="dxa"/>
              <w:right w:w="108" w:type="dxa"/>
            </w:tcMar>
            <w:vAlign w:val="center"/>
            <w:hideMark/>
          </w:tcPr>
          <w:p w14:paraId="3FF1FF3A" w14:textId="77777777" w:rsidR="003440CC" w:rsidRPr="00373DCC" w:rsidRDefault="003440CC" w:rsidP="003440CC">
            <w:pPr>
              <w:spacing w:before="0" w:after="0" w:line="240" w:lineRule="atLeast"/>
              <w:contextualSpacing/>
              <w:rPr>
                <w:rFonts w:cs="Arial"/>
                <w:color w:val="000000"/>
                <w:sz w:val="21"/>
                <w:szCs w:val="21"/>
                <w:lang w:eastAsia="en-AU"/>
              </w:rPr>
            </w:pPr>
            <w:r w:rsidRPr="00373DCC">
              <w:rPr>
                <w:rFonts w:cs="Arial"/>
                <w:color w:val="000000"/>
                <w:sz w:val="21"/>
                <w:szCs w:val="21"/>
                <w:lang w:eastAsia="en-AU"/>
              </w:rPr>
              <w:t>Marginal compliance (of completed audits)</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9310E"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4 (16%)</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BCFE2"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 xml:space="preserve">1 (7%) </w:t>
            </w:r>
          </w:p>
        </w:tc>
      </w:tr>
      <w:tr w:rsidR="003440CC" w:rsidRPr="00373DCC" w14:paraId="46CA5A7D" w14:textId="77777777" w:rsidTr="00710B91">
        <w:trPr>
          <w:cantSplit/>
          <w:trHeight w:val="340"/>
        </w:trPr>
        <w:tc>
          <w:tcPr>
            <w:tcW w:w="3427" w:type="pct"/>
            <w:tcBorders>
              <w:top w:val="nil"/>
              <w:left w:val="single" w:sz="8" w:space="0" w:color="002C47"/>
              <w:bottom w:val="single" w:sz="8" w:space="0" w:color="002C47"/>
              <w:right w:val="single" w:sz="8" w:space="0" w:color="auto"/>
            </w:tcBorders>
            <w:tcMar>
              <w:top w:w="0" w:type="dxa"/>
              <w:left w:w="108" w:type="dxa"/>
              <w:bottom w:w="0" w:type="dxa"/>
              <w:right w:w="108" w:type="dxa"/>
            </w:tcMar>
            <w:vAlign w:val="center"/>
            <w:hideMark/>
          </w:tcPr>
          <w:p w14:paraId="18D951AB" w14:textId="77777777" w:rsidR="003440CC" w:rsidRPr="00373DCC" w:rsidRDefault="003440CC" w:rsidP="003440CC">
            <w:pPr>
              <w:spacing w:before="0" w:after="0" w:line="240" w:lineRule="atLeast"/>
              <w:contextualSpacing/>
              <w:rPr>
                <w:rFonts w:cs="Arial"/>
                <w:color w:val="000000"/>
                <w:sz w:val="21"/>
                <w:szCs w:val="21"/>
                <w:lang w:eastAsia="en-AU"/>
              </w:rPr>
            </w:pPr>
            <w:r w:rsidRPr="00373DCC">
              <w:rPr>
                <w:rFonts w:cs="Arial"/>
                <w:color w:val="000000"/>
                <w:sz w:val="21"/>
                <w:szCs w:val="21"/>
                <w:lang w:eastAsia="en-AU"/>
              </w:rPr>
              <w:t>Unacceptable compliance (of completed audits)</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EDE6B"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 xml:space="preserve">1 (4%) </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78BC9"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 xml:space="preserve">0 (0%) </w:t>
            </w:r>
          </w:p>
        </w:tc>
      </w:tr>
      <w:tr w:rsidR="003440CC" w:rsidRPr="00373DCC" w14:paraId="450FE4A9" w14:textId="77777777" w:rsidTr="00710B91">
        <w:trPr>
          <w:cantSplit/>
          <w:trHeight w:val="340"/>
        </w:trPr>
        <w:tc>
          <w:tcPr>
            <w:tcW w:w="3427" w:type="pct"/>
            <w:tcBorders>
              <w:top w:val="nil"/>
              <w:left w:val="single" w:sz="8" w:space="0" w:color="002C47"/>
              <w:bottom w:val="single" w:sz="8" w:space="0" w:color="002C47"/>
              <w:right w:val="single" w:sz="8" w:space="0" w:color="auto"/>
            </w:tcBorders>
            <w:tcMar>
              <w:top w:w="0" w:type="dxa"/>
              <w:left w:w="108" w:type="dxa"/>
              <w:bottom w:w="0" w:type="dxa"/>
              <w:right w:w="108" w:type="dxa"/>
            </w:tcMar>
            <w:vAlign w:val="center"/>
            <w:hideMark/>
          </w:tcPr>
          <w:p w14:paraId="5BFE374A" w14:textId="77777777" w:rsidR="003440CC" w:rsidRPr="00373DCC" w:rsidRDefault="003440CC" w:rsidP="003440CC">
            <w:pPr>
              <w:spacing w:before="0" w:after="0" w:line="240" w:lineRule="atLeast"/>
              <w:contextualSpacing/>
              <w:rPr>
                <w:rFonts w:cs="Arial"/>
                <w:color w:val="000000"/>
                <w:sz w:val="21"/>
                <w:szCs w:val="21"/>
              </w:rPr>
            </w:pPr>
            <w:r w:rsidRPr="00373DCC">
              <w:rPr>
                <w:rFonts w:cs="Arial"/>
                <w:color w:val="000000"/>
                <w:sz w:val="21"/>
                <w:szCs w:val="21"/>
              </w:rPr>
              <w:t>Audits not finalised at period end</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BEF78" w14:textId="77777777" w:rsidR="003440CC" w:rsidRPr="00373DCC" w:rsidRDefault="003440CC" w:rsidP="003440CC">
            <w:pPr>
              <w:spacing w:before="0" w:after="0" w:line="240" w:lineRule="atLeast"/>
              <w:contextualSpacing/>
              <w:jc w:val="right"/>
              <w:rPr>
                <w:rFonts w:cs="Arial"/>
                <w:color w:val="000000"/>
                <w:sz w:val="21"/>
                <w:szCs w:val="21"/>
                <w:lang w:eastAsia="en-AU"/>
              </w:rPr>
            </w:pPr>
            <w:r w:rsidRPr="00373DCC">
              <w:rPr>
                <w:rFonts w:cs="Arial"/>
                <w:color w:val="000000"/>
                <w:sz w:val="21"/>
                <w:szCs w:val="21"/>
                <w:lang w:eastAsia="en-AU"/>
              </w:rPr>
              <w:t>6</w:t>
            </w:r>
          </w:p>
        </w:tc>
        <w:tc>
          <w:tcPr>
            <w:tcW w:w="7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EA369" w14:textId="77777777" w:rsidR="003440CC" w:rsidRPr="00373DCC" w:rsidRDefault="003440CC" w:rsidP="003440CC">
            <w:pPr>
              <w:spacing w:before="0" w:after="0" w:line="240" w:lineRule="atLeast"/>
              <w:contextualSpacing/>
              <w:jc w:val="right"/>
              <w:rPr>
                <w:rFonts w:cs="Arial"/>
                <w:color w:val="000000"/>
                <w:sz w:val="21"/>
                <w:szCs w:val="21"/>
                <w:lang w:eastAsia="en-AU"/>
              </w:rPr>
            </w:pPr>
            <w:r w:rsidRPr="00373DCC">
              <w:rPr>
                <w:rFonts w:cs="Arial"/>
                <w:color w:val="000000"/>
                <w:sz w:val="21"/>
                <w:szCs w:val="21"/>
                <w:lang w:eastAsia="en-AU"/>
              </w:rPr>
              <w:t xml:space="preserve">4 </w:t>
            </w:r>
          </w:p>
        </w:tc>
      </w:tr>
      <w:tr w:rsidR="003440CC" w:rsidRPr="00373DCC" w14:paraId="3484200E" w14:textId="77777777" w:rsidTr="00710B91">
        <w:trPr>
          <w:cantSplit/>
          <w:trHeight w:val="340"/>
        </w:trPr>
        <w:tc>
          <w:tcPr>
            <w:tcW w:w="5000" w:type="pct"/>
            <w:gridSpan w:val="3"/>
            <w:tcBorders>
              <w:top w:val="nil"/>
              <w:left w:val="single" w:sz="8" w:space="0" w:color="002C47"/>
              <w:bottom w:val="single" w:sz="8" w:space="0" w:color="002C47"/>
              <w:right w:val="single" w:sz="8" w:space="0" w:color="002C47"/>
            </w:tcBorders>
            <w:shd w:val="clear" w:color="auto" w:fill="8CADD3"/>
            <w:tcMar>
              <w:top w:w="0" w:type="dxa"/>
              <w:left w:w="108" w:type="dxa"/>
              <w:bottom w:w="0" w:type="dxa"/>
              <w:right w:w="108" w:type="dxa"/>
            </w:tcMar>
            <w:vAlign w:val="center"/>
            <w:hideMark/>
          </w:tcPr>
          <w:p w14:paraId="0DC4086E" w14:textId="77777777" w:rsidR="003440CC" w:rsidRPr="00373DCC" w:rsidRDefault="003440CC" w:rsidP="003440CC">
            <w:pPr>
              <w:spacing w:before="0" w:after="0" w:line="240" w:lineRule="atLeast"/>
              <w:contextualSpacing/>
              <w:rPr>
                <w:rFonts w:cs="Arial"/>
                <w:color w:val="000000"/>
                <w:sz w:val="21"/>
                <w:szCs w:val="21"/>
              </w:rPr>
            </w:pPr>
            <w:r w:rsidRPr="00373DCC">
              <w:rPr>
                <w:rFonts w:cs="Arial"/>
                <w:color w:val="000000"/>
                <w:sz w:val="21"/>
                <w:szCs w:val="21"/>
              </w:rPr>
              <w:t>Processing time</w:t>
            </w:r>
          </w:p>
        </w:tc>
      </w:tr>
      <w:tr w:rsidR="003440CC" w:rsidRPr="00373DCC" w14:paraId="45DA4092"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4BCE867D" w14:textId="77777777" w:rsidR="003440CC" w:rsidRPr="00373DCC" w:rsidRDefault="003440CC" w:rsidP="003440CC">
            <w:pPr>
              <w:spacing w:before="0" w:after="0" w:line="240" w:lineRule="atLeast"/>
              <w:contextualSpacing/>
              <w:rPr>
                <w:rFonts w:cs="Arial"/>
                <w:color w:val="000000"/>
                <w:sz w:val="21"/>
                <w:szCs w:val="21"/>
                <w:lang w:eastAsia="en-AU"/>
              </w:rPr>
            </w:pPr>
            <w:r w:rsidRPr="00373DCC">
              <w:rPr>
                <w:rFonts w:cs="Arial"/>
                <w:color w:val="000000"/>
                <w:sz w:val="21"/>
                <w:szCs w:val="21"/>
                <w:lang w:eastAsia="en-AU"/>
              </w:rPr>
              <w:t>Initial audits conducted within 3 months of application</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4D0A353D"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33%</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1BA9381C"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100%</w:t>
            </w:r>
          </w:p>
        </w:tc>
      </w:tr>
      <w:tr w:rsidR="003440CC" w:rsidRPr="00373DCC" w14:paraId="108F3C9E"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60EBF5EE" w14:textId="77777777" w:rsidR="003440CC" w:rsidRPr="00373DCC" w:rsidRDefault="003440CC" w:rsidP="003440CC">
            <w:pPr>
              <w:spacing w:before="0" w:after="0" w:line="240" w:lineRule="atLeast"/>
              <w:contextualSpacing/>
              <w:rPr>
                <w:rFonts w:cs="Arial"/>
                <w:color w:val="000000"/>
                <w:sz w:val="21"/>
                <w:szCs w:val="21"/>
                <w:lang w:eastAsia="en-AU"/>
              </w:rPr>
            </w:pPr>
            <w:r w:rsidRPr="00373DCC">
              <w:rPr>
                <w:rFonts w:cs="Arial"/>
                <w:color w:val="000000"/>
                <w:sz w:val="21"/>
                <w:szCs w:val="21"/>
                <w:lang w:eastAsia="en-AU"/>
              </w:rPr>
              <w:t>Re-audits conducted within 6 months of due date</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5746A3F2"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0%</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4C0C57C0" w14:textId="77777777" w:rsidR="003440CC" w:rsidRPr="00373DCC" w:rsidRDefault="003440CC" w:rsidP="003440CC">
            <w:pPr>
              <w:spacing w:before="0" w:after="0" w:line="240" w:lineRule="atLeast"/>
              <w:jc w:val="right"/>
              <w:rPr>
                <w:rFonts w:cs="Arial"/>
                <w:color w:val="000000"/>
                <w:sz w:val="21"/>
                <w:szCs w:val="21"/>
                <w:lang w:eastAsia="en-AU"/>
              </w:rPr>
            </w:pPr>
            <w:r w:rsidRPr="00373DCC">
              <w:rPr>
                <w:rFonts w:cs="Arial"/>
                <w:color w:val="000000"/>
                <w:sz w:val="21"/>
                <w:szCs w:val="21"/>
                <w:lang w:eastAsia="en-AU"/>
              </w:rPr>
              <w:t>7%</w:t>
            </w:r>
          </w:p>
        </w:tc>
      </w:tr>
    </w:tbl>
    <w:p w14:paraId="62152109" w14:textId="77777777" w:rsidR="00F2350B" w:rsidRPr="00373DCC" w:rsidRDefault="00F2350B" w:rsidP="00F2350B">
      <w:pPr>
        <w:keepNext/>
        <w:spacing w:before="240" w:after="0" w:line="240" w:lineRule="auto"/>
        <w:rPr>
          <w:rFonts w:eastAsia="Cambria" w:cs="Arial"/>
          <w:b/>
          <w:bCs/>
          <w:sz w:val="21"/>
          <w:szCs w:val="21"/>
        </w:rPr>
      </w:pPr>
      <w:bookmarkStart w:id="188" w:name="Table49"/>
      <w:r w:rsidRPr="00373DCC">
        <w:rPr>
          <w:rFonts w:eastAsia="Cambria" w:cs="Arial"/>
          <w:b/>
          <w:bCs/>
          <w:sz w:val="21"/>
          <w:szCs w:val="21"/>
        </w:rPr>
        <w:t>Table 49: Outcomes of QMS audits of overseas manufacturers</w:t>
      </w:r>
    </w:p>
    <w:bookmarkEnd w:id="188"/>
    <w:p w14:paraId="5FA1337B" w14:textId="77777777" w:rsidR="00F2350B" w:rsidRPr="00373DCC" w:rsidRDefault="00F2350B" w:rsidP="00F2350B">
      <w:pPr>
        <w:keepNext/>
        <w:spacing w:after="0" w:line="240" w:lineRule="auto"/>
        <w:rPr>
          <w:rFonts w:eastAsia="Cambria" w:cs="Arial"/>
          <w:b/>
          <w:bCs/>
          <w:sz w:val="21"/>
          <w:szCs w:val="21"/>
        </w:rPr>
      </w:pPr>
    </w:p>
    <w:tbl>
      <w:tblPr>
        <w:tblW w:w="5001" w:type="pct"/>
        <w:tblCellMar>
          <w:left w:w="0" w:type="dxa"/>
          <w:right w:w="0" w:type="dxa"/>
        </w:tblCellMar>
        <w:tblLook w:val="04A0" w:firstRow="1" w:lastRow="0" w:firstColumn="1" w:lastColumn="0" w:noHBand="0" w:noVBand="1"/>
      </w:tblPr>
      <w:tblGrid>
        <w:gridCol w:w="6181"/>
        <w:gridCol w:w="1418"/>
        <w:gridCol w:w="1419"/>
      </w:tblGrid>
      <w:tr w:rsidR="00F2350B" w:rsidRPr="00373DCC" w14:paraId="690DB529" w14:textId="77777777" w:rsidTr="00710B91">
        <w:trPr>
          <w:cantSplit/>
          <w:trHeight w:val="340"/>
          <w:tblHeader/>
        </w:trPr>
        <w:tc>
          <w:tcPr>
            <w:tcW w:w="3427" w:type="pct"/>
            <w:tcBorders>
              <w:top w:val="nil"/>
              <w:left w:val="nil"/>
              <w:bottom w:val="nil"/>
              <w:right w:val="single" w:sz="8" w:space="0" w:color="auto"/>
            </w:tcBorders>
            <w:shd w:val="clear" w:color="auto" w:fill="FFFFFF"/>
            <w:tcMar>
              <w:top w:w="0" w:type="dxa"/>
              <w:left w:w="108" w:type="dxa"/>
              <w:bottom w:w="0" w:type="dxa"/>
              <w:right w:w="108" w:type="dxa"/>
            </w:tcMar>
            <w:vAlign w:val="center"/>
          </w:tcPr>
          <w:p w14:paraId="4640CE06" w14:textId="77777777" w:rsidR="00F2350B" w:rsidRPr="00373DCC" w:rsidRDefault="00F2350B" w:rsidP="00710B91">
            <w:pPr>
              <w:spacing w:before="0" w:after="0" w:line="240" w:lineRule="atLeast"/>
              <w:jc w:val="center"/>
              <w:rPr>
                <w:rFonts w:cs="Arial"/>
                <w:b/>
                <w:bCs/>
                <w:color w:val="FFFFFF"/>
                <w:sz w:val="21"/>
                <w:szCs w:val="21"/>
                <w:lang w:eastAsia="en-AU"/>
              </w:rPr>
            </w:pPr>
          </w:p>
        </w:tc>
        <w:tc>
          <w:tcPr>
            <w:tcW w:w="786" w:type="pct"/>
            <w:tcBorders>
              <w:top w:val="single" w:sz="8" w:space="0" w:color="auto"/>
              <w:left w:val="nil"/>
              <w:bottom w:val="single" w:sz="8" w:space="0" w:color="auto"/>
              <w:right w:val="single" w:sz="8" w:space="0" w:color="auto"/>
            </w:tcBorders>
            <w:shd w:val="clear" w:color="auto" w:fill="29527F"/>
            <w:tcMar>
              <w:top w:w="0" w:type="dxa"/>
              <w:left w:w="108" w:type="dxa"/>
              <w:bottom w:w="0" w:type="dxa"/>
              <w:right w:w="108" w:type="dxa"/>
            </w:tcMar>
            <w:vAlign w:val="center"/>
            <w:hideMark/>
          </w:tcPr>
          <w:p w14:paraId="3F2C9BF0" w14:textId="56AEB5CC" w:rsidR="00F2350B" w:rsidRPr="003440CC" w:rsidRDefault="003440CC" w:rsidP="00710B91">
            <w:pPr>
              <w:spacing w:before="0" w:after="0" w:line="240" w:lineRule="atLeast"/>
              <w:jc w:val="center"/>
              <w:rPr>
                <w:rFonts w:cs="Arial"/>
                <w:b/>
                <w:bCs/>
                <w:color w:val="FFFFFF"/>
                <w:sz w:val="21"/>
                <w:szCs w:val="21"/>
                <w:lang w:eastAsia="en-AU"/>
              </w:rPr>
            </w:pPr>
            <w:r w:rsidRPr="003440CC">
              <w:rPr>
                <w:rFonts w:cs="Arial"/>
                <w:b/>
                <w:bCs/>
                <w:color w:val="FFFFFF" w:themeColor="background1"/>
                <w:sz w:val="21"/>
              </w:rPr>
              <w:t xml:space="preserve">FY </w:t>
            </w:r>
            <w:r w:rsidR="00F2350B" w:rsidRPr="003440CC">
              <w:rPr>
                <w:rFonts w:cs="Arial"/>
                <w:b/>
                <w:bCs/>
                <w:color w:val="FFFFFF"/>
                <w:sz w:val="21"/>
                <w:szCs w:val="21"/>
                <w:lang w:eastAsia="en-AU"/>
              </w:rPr>
              <w:t>2021-22</w:t>
            </w:r>
          </w:p>
        </w:tc>
        <w:tc>
          <w:tcPr>
            <w:tcW w:w="787" w:type="pct"/>
            <w:tcBorders>
              <w:top w:val="single" w:sz="8" w:space="0" w:color="auto"/>
              <w:left w:val="nil"/>
              <w:bottom w:val="single" w:sz="8" w:space="0" w:color="auto"/>
              <w:right w:val="single" w:sz="8" w:space="0" w:color="auto"/>
            </w:tcBorders>
            <w:shd w:val="clear" w:color="auto" w:fill="29527F"/>
            <w:tcMar>
              <w:top w:w="0" w:type="dxa"/>
              <w:left w:w="108" w:type="dxa"/>
              <w:bottom w:w="0" w:type="dxa"/>
              <w:right w:w="108" w:type="dxa"/>
            </w:tcMar>
            <w:vAlign w:val="center"/>
            <w:hideMark/>
          </w:tcPr>
          <w:p w14:paraId="2D672546" w14:textId="07813771" w:rsidR="00F2350B" w:rsidRPr="003440CC" w:rsidRDefault="003440CC" w:rsidP="00710B91">
            <w:pPr>
              <w:spacing w:before="0" w:after="0" w:line="240" w:lineRule="atLeast"/>
              <w:jc w:val="center"/>
              <w:rPr>
                <w:rFonts w:cs="Arial"/>
                <w:b/>
                <w:bCs/>
                <w:color w:val="FFFFFF"/>
                <w:sz w:val="21"/>
                <w:szCs w:val="21"/>
                <w:lang w:eastAsia="en-AU"/>
              </w:rPr>
            </w:pPr>
            <w:r w:rsidRPr="003440CC">
              <w:rPr>
                <w:rFonts w:cs="Arial"/>
                <w:b/>
                <w:bCs/>
                <w:color w:val="FFFFFF" w:themeColor="background1"/>
                <w:sz w:val="21"/>
              </w:rPr>
              <w:t xml:space="preserve">FY </w:t>
            </w:r>
            <w:r w:rsidR="00F2350B" w:rsidRPr="003440CC">
              <w:rPr>
                <w:rFonts w:cs="Arial"/>
                <w:b/>
                <w:bCs/>
                <w:color w:val="FFFFFF"/>
                <w:sz w:val="21"/>
                <w:szCs w:val="21"/>
                <w:lang w:eastAsia="en-AU"/>
              </w:rPr>
              <w:t>2022-23</w:t>
            </w:r>
          </w:p>
        </w:tc>
      </w:tr>
      <w:tr w:rsidR="00F2350B" w:rsidRPr="00373DCC" w14:paraId="443D439D" w14:textId="77777777" w:rsidTr="00710B91">
        <w:trPr>
          <w:cantSplit/>
          <w:trHeight w:val="340"/>
        </w:trPr>
        <w:tc>
          <w:tcPr>
            <w:tcW w:w="5000" w:type="pct"/>
            <w:gridSpan w:val="3"/>
            <w:tcBorders>
              <w:top w:val="nil"/>
              <w:left w:val="single" w:sz="8" w:space="0" w:color="auto"/>
              <w:bottom w:val="single" w:sz="8" w:space="0" w:color="auto"/>
              <w:right w:val="single" w:sz="8" w:space="0" w:color="auto"/>
            </w:tcBorders>
            <w:shd w:val="clear" w:color="auto" w:fill="8CADD3"/>
            <w:tcMar>
              <w:top w:w="0" w:type="dxa"/>
              <w:left w:w="108" w:type="dxa"/>
              <w:bottom w:w="0" w:type="dxa"/>
              <w:right w:w="108" w:type="dxa"/>
            </w:tcMar>
            <w:vAlign w:val="center"/>
            <w:hideMark/>
          </w:tcPr>
          <w:p w14:paraId="79120B02" w14:textId="77777777" w:rsidR="00F2350B" w:rsidRPr="00373DCC" w:rsidRDefault="00F2350B" w:rsidP="00710B91">
            <w:pPr>
              <w:keepNext/>
              <w:spacing w:before="0" w:after="0" w:line="240" w:lineRule="auto"/>
              <w:ind w:left="907" w:hanging="907"/>
              <w:rPr>
                <w:rFonts w:cs="Arial"/>
                <w:color w:val="000000"/>
                <w:sz w:val="21"/>
                <w:szCs w:val="21"/>
              </w:rPr>
            </w:pPr>
            <w:r w:rsidRPr="00373DCC">
              <w:rPr>
                <w:rFonts w:cs="Arial"/>
                <w:color w:val="000000"/>
                <w:sz w:val="21"/>
                <w:szCs w:val="21"/>
              </w:rPr>
              <w:t>QMS audits (overseas)</w:t>
            </w:r>
          </w:p>
        </w:tc>
      </w:tr>
      <w:tr w:rsidR="00F2350B" w:rsidRPr="00373DCC" w14:paraId="64F46BC9"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7D57A97C" w14:textId="77777777" w:rsidR="00F2350B" w:rsidRPr="00373DCC" w:rsidRDefault="00F2350B" w:rsidP="00710B91">
            <w:pPr>
              <w:spacing w:before="0" w:after="0" w:line="240" w:lineRule="auto"/>
              <w:rPr>
                <w:rFonts w:cs="Arial"/>
                <w:color w:val="000000"/>
                <w:sz w:val="21"/>
                <w:szCs w:val="21"/>
                <w:lang w:eastAsia="en-AU"/>
              </w:rPr>
            </w:pPr>
            <w:r w:rsidRPr="00373DCC">
              <w:rPr>
                <w:rFonts w:cs="Arial"/>
                <w:color w:val="000000"/>
                <w:sz w:val="21"/>
                <w:szCs w:val="21"/>
                <w:lang w:eastAsia="en-AU"/>
              </w:rPr>
              <w:t>Number of desktop audits conducted</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270DF6E1"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54</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5DC4E0E4"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32</w:t>
            </w:r>
          </w:p>
        </w:tc>
      </w:tr>
      <w:tr w:rsidR="00F2350B" w:rsidRPr="00373DCC" w14:paraId="48EB375C"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0FD7D983" w14:textId="77777777" w:rsidR="00F2350B" w:rsidRPr="00373DCC" w:rsidRDefault="00F2350B" w:rsidP="00710B91">
            <w:pPr>
              <w:spacing w:before="0" w:after="0" w:line="240" w:lineRule="auto"/>
              <w:rPr>
                <w:rFonts w:cs="Arial"/>
                <w:color w:val="000000"/>
                <w:sz w:val="21"/>
                <w:szCs w:val="21"/>
                <w:lang w:eastAsia="en-AU"/>
              </w:rPr>
            </w:pPr>
            <w:r w:rsidRPr="00373DCC">
              <w:rPr>
                <w:rFonts w:cs="Arial"/>
                <w:color w:val="000000"/>
                <w:sz w:val="21"/>
                <w:szCs w:val="21"/>
                <w:lang w:eastAsia="en-AU"/>
              </w:rPr>
              <w:t>Number of onsite/remote audits completed</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66C021BF"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3</w:t>
            </w:r>
            <w:r w:rsidRPr="00373DCC">
              <w:rPr>
                <w:rFonts w:cs="Arial"/>
                <w:color w:val="000000"/>
                <w:sz w:val="21"/>
                <w:szCs w:val="21"/>
                <w:vertAlign w:val="superscript"/>
                <w:lang w:eastAsia="en-AU"/>
              </w:rPr>
              <w:t xml:space="preserve"> </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73DB8E33"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11</w:t>
            </w:r>
          </w:p>
        </w:tc>
      </w:tr>
      <w:tr w:rsidR="00F2350B" w:rsidRPr="00373DCC" w14:paraId="66335A2B"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02B78F94" w14:textId="77777777" w:rsidR="00F2350B" w:rsidRPr="00373DCC" w:rsidRDefault="00F2350B" w:rsidP="00710B91">
            <w:pPr>
              <w:spacing w:before="0" w:after="0" w:line="240" w:lineRule="auto"/>
              <w:contextualSpacing/>
              <w:rPr>
                <w:rFonts w:cs="Arial"/>
                <w:color w:val="000000"/>
                <w:sz w:val="21"/>
                <w:szCs w:val="21"/>
                <w:lang w:eastAsia="en-AU"/>
              </w:rPr>
            </w:pPr>
            <w:r w:rsidRPr="00373DCC">
              <w:rPr>
                <w:rFonts w:cs="Arial"/>
                <w:color w:val="000000"/>
                <w:sz w:val="21"/>
                <w:szCs w:val="21"/>
                <w:lang w:eastAsia="en-AU"/>
              </w:rPr>
              <w:t>Satisfactory compliance (of completed audits)</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570BDB5C"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2 (67%)</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7CEB33E9"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9 (82%)</w:t>
            </w:r>
          </w:p>
        </w:tc>
      </w:tr>
      <w:tr w:rsidR="00F2350B" w:rsidRPr="00373DCC" w14:paraId="17850776"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5B170C72" w14:textId="77777777" w:rsidR="00F2350B" w:rsidRPr="00373DCC" w:rsidRDefault="00F2350B" w:rsidP="00710B91">
            <w:pPr>
              <w:spacing w:before="0" w:after="0" w:line="240" w:lineRule="auto"/>
              <w:contextualSpacing/>
              <w:rPr>
                <w:rFonts w:cs="Arial"/>
                <w:color w:val="000000"/>
                <w:sz w:val="21"/>
                <w:szCs w:val="21"/>
                <w:lang w:eastAsia="en-AU"/>
              </w:rPr>
            </w:pPr>
            <w:r w:rsidRPr="00373DCC">
              <w:rPr>
                <w:rFonts w:cs="Arial"/>
                <w:color w:val="000000"/>
                <w:sz w:val="21"/>
                <w:szCs w:val="21"/>
                <w:lang w:eastAsia="en-AU"/>
              </w:rPr>
              <w:t>Marginal compliance (of completed audits)</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1E454FAD"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0 (0%)</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640E66A7"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2 (18%)</w:t>
            </w:r>
          </w:p>
        </w:tc>
      </w:tr>
      <w:tr w:rsidR="00F2350B" w:rsidRPr="00373DCC" w14:paraId="30497AB5"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657BF7D5" w14:textId="77777777" w:rsidR="00F2350B" w:rsidRPr="00373DCC" w:rsidRDefault="00F2350B" w:rsidP="00710B91">
            <w:pPr>
              <w:spacing w:before="0" w:after="0" w:line="240" w:lineRule="auto"/>
              <w:contextualSpacing/>
              <w:rPr>
                <w:rFonts w:cs="Arial"/>
                <w:color w:val="000000"/>
                <w:sz w:val="21"/>
                <w:szCs w:val="21"/>
                <w:lang w:eastAsia="en-AU"/>
              </w:rPr>
            </w:pPr>
            <w:r w:rsidRPr="00373DCC">
              <w:rPr>
                <w:rFonts w:cs="Arial"/>
                <w:color w:val="000000"/>
                <w:sz w:val="21"/>
                <w:szCs w:val="21"/>
                <w:lang w:eastAsia="en-AU"/>
              </w:rPr>
              <w:t>Unacceptable compliance (of completed audits)</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5FDF8889"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 xml:space="preserve">1 (33%) </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1D85C7AA"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0 (0%)</w:t>
            </w:r>
          </w:p>
        </w:tc>
      </w:tr>
      <w:tr w:rsidR="00F2350B" w:rsidRPr="00373DCC" w14:paraId="3BEB5EDC"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0DF54334" w14:textId="77777777" w:rsidR="00F2350B" w:rsidRPr="00373DCC" w:rsidRDefault="00F2350B" w:rsidP="00710B91">
            <w:pPr>
              <w:spacing w:before="0" w:after="0" w:line="240" w:lineRule="auto"/>
              <w:rPr>
                <w:rFonts w:cs="Arial"/>
                <w:color w:val="000000"/>
                <w:sz w:val="21"/>
                <w:szCs w:val="21"/>
              </w:rPr>
            </w:pPr>
            <w:r w:rsidRPr="00373DCC">
              <w:rPr>
                <w:rFonts w:cs="Arial"/>
                <w:color w:val="000000"/>
                <w:sz w:val="21"/>
                <w:szCs w:val="21"/>
              </w:rPr>
              <w:t>Audits not finalised at period end</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151FE661"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 xml:space="preserve">4  </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03D5CB78"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 xml:space="preserve">9 </w:t>
            </w:r>
          </w:p>
        </w:tc>
      </w:tr>
      <w:tr w:rsidR="00F2350B" w:rsidRPr="00373DCC" w14:paraId="39894B34" w14:textId="77777777" w:rsidTr="00710B91">
        <w:trPr>
          <w:cantSplit/>
          <w:trHeight w:val="340"/>
        </w:trPr>
        <w:tc>
          <w:tcPr>
            <w:tcW w:w="5000" w:type="pct"/>
            <w:gridSpan w:val="3"/>
            <w:tcBorders>
              <w:top w:val="nil"/>
              <w:left w:val="single" w:sz="8" w:space="0" w:color="002C47"/>
              <w:bottom w:val="single" w:sz="8" w:space="0" w:color="002C47"/>
              <w:right w:val="single" w:sz="8" w:space="0" w:color="002C47"/>
            </w:tcBorders>
            <w:shd w:val="clear" w:color="auto" w:fill="8CADD3"/>
            <w:tcMar>
              <w:top w:w="0" w:type="dxa"/>
              <w:left w:w="108" w:type="dxa"/>
              <w:bottom w:w="0" w:type="dxa"/>
              <w:right w:w="108" w:type="dxa"/>
            </w:tcMar>
            <w:vAlign w:val="center"/>
            <w:hideMark/>
          </w:tcPr>
          <w:p w14:paraId="4FA2F477" w14:textId="77777777" w:rsidR="00F2350B" w:rsidRPr="00373DCC" w:rsidRDefault="00F2350B" w:rsidP="00710B91">
            <w:pPr>
              <w:keepNext/>
              <w:spacing w:before="0" w:after="0" w:line="240" w:lineRule="auto"/>
              <w:ind w:left="907" w:hanging="907"/>
              <w:rPr>
                <w:rFonts w:cs="Arial"/>
                <w:color w:val="000000"/>
                <w:sz w:val="21"/>
                <w:szCs w:val="21"/>
              </w:rPr>
            </w:pPr>
            <w:r w:rsidRPr="00373DCC">
              <w:rPr>
                <w:rFonts w:cs="Arial"/>
                <w:color w:val="000000"/>
                <w:sz w:val="21"/>
                <w:szCs w:val="21"/>
              </w:rPr>
              <w:t>Processing time</w:t>
            </w:r>
          </w:p>
        </w:tc>
      </w:tr>
      <w:tr w:rsidR="00F2350B" w:rsidRPr="00373DCC" w14:paraId="3D2508B9"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6316D8CA" w14:textId="77777777" w:rsidR="00F2350B" w:rsidRPr="00373DCC" w:rsidRDefault="00F2350B" w:rsidP="00710B91">
            <w:pPr>
              <w:spacing w:before="0" w:after="0" w:line="240" w:lineRule="auto"/>
              <w:rPr>
                <w:rFonts w:cs="Arial"/>
                <w:color w:val="000000"/>
                <w:sz w:val="21"/>
                <w:szCs w:val="21"/>
                <w:lang w:eastAsia="en-AU"/>
              </w:rPr>
            </w:pPr>
            <w:r w:rsidRPr="00373DCC">
              <w:rPr>
                <w:rFonts w:cs="Arial"/>
                <w:color w:val="000000"/>
                <w:sz w:val="21"/>
                <w:szCs w:val="21"/>
                <w:lang w:eastAsia="en-AU"/>
              </w:rPr>
              <w:t>Initial certification audits conducted within 6 months of application</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7E87A17C"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67%</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344B05AA"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39%</w:t>
            </w:r>
          </w:p>
        </w:tc>
      </w:tr>
      <w:tr w:rsidR="00F2350B" w:rsidRPr="00373DCC" w14:paraId="1347C958" w14:textId="77777777" w:rsidTr="00710B91">
        <w:trPr>
          <w:cantSplit/>
          <w:trHeight w:val="340"/>
        </w:trPr>
        <w:tc>
          <w:tcPr>
            <w:tcW w:w="3427" w:type="pct"/>
            <w:tcBorders>
              <w:top w:val="nil"/>
              <w:left w:val="single" w:sz="8" w:space="0" w:color="002C47"/>
              <w:bottom w:val="single" w:sz="8" w:space="0" w:color="002C47"/>
              <w:right w:val="single" w:sz="8" w:space="0" w:color="002C47"/>
            </w:tcBorders>
            <w:tcMar>
              <w:top w:w="0" w:type="dxa"/>
              <w:left w:w="108" w:type="dxa"/>
              <w:bottom w:w="0" w:type="dxa"/>
              <w:right w:w="108" w:type="dxa"/>
            </w:tcMar>
            <w:vAlign w:val="center"/>
            <w:hideMark/>
          </w:tcPr>
          <w:p w14:paraId="50CC835D" w14:textId="77777777" w:rsidR="00F2350B" w:rsidRPr="00373DCC" w:rsidRDefault="00F2350B" w:rsidP="00710B91">
            <w:pPr>
              <w:spacing w:before="0" w:after="0" w:line="240" w:lineRule="auto"/>
              <w:rPr>
                <w:rFonts w:cs="Arial"/>
                <w:color w:val="000000"/>
                <w:sz w:val="21"/>
                <w:szCs w:val="21"/>
                <w:lang w:eastAsia="en-AU"/>
              </w:rPr>
            </w:pPr>
            <w:r w:rsidRPr="00373DCC">
              <w:rPr>
                <w:rFonts w:cs="Arial"/>
                <w:color w:val="000000"/>
                <w:sz w:val="21"/>
                <w:szCs w:val="21"/>
                <w:lang w:eastAsia="en-AU"/>
              </w:rPr>
              <w:t>Certification re-audits conducted within 6 months of due date</w:t>
            </w:r>
          </w:p>
        </w:tc>
        <w:tc>
          <w:tcPr>
            <w:tcW w:w="786"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50D85EAD"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0%</w:t>
            </w:r>
          </w:p>
        </w:tc>
        <w:tc>
          <w:tcPr>
            <w:tcW w:w="787" w:type="pct"/>
            <w:tcBorders>
              <w:top w:val="nil"/>
              <w:left w:val="nil"/>
              <w:bottom w:val="single" w:sz="8" w:space="0" w:color="002C47"/>
              <w:right w:val="single" w:sz="8" w:space="0" w:color="002C47"/>
            </w:tcBorders>
            <w:tcMar>
              <w:top w:w="0" w:type="dxa"/>
              <w:left w:w="108" w:type="dxa"/>
              <w:bottom w:w="0" w:type="dxa"/>
              <w:right w:w="108" w:type="dxa"/>
            </w:tcMar>
            <w:vAlign w:val="center"/>
            <w:hideMark/>
          </w:tcPr>
          <w:p w14:paraId="17B4EF29" w14:textId="77777777" w:rsidR="00F2350B" w:rsidRPr="00373DCC" w:rsidRDefault="00F2350B" w:rsidP="00710B91">
            <w:pPr>
              <w:spacing w:before="0" w:after="0" w:line="240" w:lineRule="auto"/>
              <w:jc w:val="right"/>
              <w:rPr>
                <w:rFonts w:cs="Arial"/>
                <w:color w:val="000000"/>
                <w:sz w:val="21"/>
                <w:szCs w:val="21"/>
                <w:lang w:eastAsia="en-AU"/>
              </w:rPr>
            </w:pPr>
            <w:r w:rsidRPr="00373DCC">
              <w:rPr>
                <w:rFonts w:cs="Arial"/>
                <w:color w:val="000000"/>
                <w:sz w:val="21"/>
                <w:szCs w:val="21"/>
                <w:lang w:eastAsia="en-AU"/>
              </w:rPr>
              <w:t>14%</w:t>
            </w:r>
          </w:p>
        </w:tc>
      </w:tr>
    </w:tbl>
    <w:p w14:paraId="4403F974" w14:textId="77777777" w:rsidR="00F2350B" w:rsidRPr="00373DCC" w:rsidRDefault="00F2350B" w:rsidP="00F2350B">
      <w:pPr>
        <w:keepNext/>
        <w:spacing w:before="240" w:after="120" w:line="240" w:lineRule="auto"/>
        <w:rPr>
          <w:rFonts w:eastAsia="Cambria" w:cs="Arial"/>
          <w:b/>
          <w:bCs/>
          <w:sz w:val="21"/>
          <w:szCs w:val="21"/>
        </w:rPr>
      </w:pPr>
      <w:bookmarkStart w:id="189" w:name="Table50"/>
      <w:r w:rsidRPr="00373DCC">
        <w:rPr>
          <w:rFonts w:eastAsia="Cambria" w:cs="Arial"/>
          <w:b/>
          <w:bCs/>
          <w:sz w:val="21"/>
          <w:szCs w:val="21"/>
        </w:rPr>
        <w:t>Table 50: Outcomes of overseas MDSAP (Medical device single audit program) Assessments</w:t>
      </w:r>
    </w:p>
    <w:bookmarkEnd w:id="189"/>
    <w:tbl>
      <w:tblPr>
        <w:tblStyle w:val="TableTGAblue"/>
        <w:tblW w:w="4999" w:type="pct"/>
        <w:tblLook w:val="04A0" w:firstRow="1" w:lastRow="0" w:firstColumn="1" w:lastColumn="0" w:noHBand="0" w:noVBand="1"/>
      </w:tblPr>
      <w:tblGrid>
        <w:gridCol w:w="6183"/>
        <w:gridCol w:w="1418"/>
        <w:gridCol w:w="1418"/>
      </w:tblGrid>
      <w:tr w:rsidR="003440CC" w:rsidRPr="00373DCC" w14:paraId="11E9EA89" w14:textId="77777777" w:rsidTr="00710B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8" w:type="pct"/>
            <w:tcBorders>
              <w:top w:val="nil"/>
              <w:left w:val="nil"/>
              <w:bottom w:val="nil"/>
              <w:right w:val="single" w:sz="4" w:space="0" w:color="auto"/>
            </w:tcBorders>
            <w:shd w:val="clear" w:color="auto" w:fill="FFFFFF" w:themeFill="background1"/>
            <w:vAlign w:val="center"/>
          </w:tcPr>
          <w:p w14:paraId="6785B1BA" w14:textId="77777777" w:rsidR="003440CC" w:rsidRPr="00373DCC" w:rsidRDefault="003440CC" w:rsidP="003440CC">
            <w:pPr>
              <w:widowControl w:val="0"/>
              <w:spacing w:line="240" w:lineRule="atLeast"/>
              <w:contextualSpacing/>
              <w:jc w:val="center"/>
              <w:rPr>
                <w:rFonts w:eastAsiaTheme="minorHAnsi" w:cs="Arial"/>
                <w:color w:val="FFFFFF" w:themeColor="background1"/>
                <w:sz w:val="21"/>
              </w:rPr>
            </w:pP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0F001D91" w14:textId="277DC627" w:rsidR="003440CC" w:rsidRPr="003440CC" w:rsidRDefault="003440CC" w:rsidP="003440CC">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440CC">
              <w:rPr>
                <w:rFonts w:eastAsiaTheme="minorHAnsi" w:cs="Arial"/>
                <w:color w:val="FFFFFF" w:themeColor="background1"/>
                <w:sz w:val="21"/>
              </w:rPr>
              <w:t xml:space="preserve">FY </w:t>
            </w:r>
            <w:r w:rsidRPr="003440CC">
              <w:rPr>
                <w:rFonts w:cs="Arial"/>
                <w:sz w:val="21"/>
              </w:rPr>
              <w:t>2021-22</w:t>
            </w:r>
          </w:p>
        </w:tc>
        <w:tc>
          <w:tcPr>
            <w:tcW w:w="786" w:type="pct"/>
            <w:tcBorders>
              <w:top w:val="single" w:sz="4" w:space="0" w:color="auto"/>
              <w:left w:val="single" w:sz="4" w:space="0" w:color="auto"/>
              <w:bottom w:val="single" w:sz="4" w:space="0" w:color="auto"/>
              <w:right w:val="single" w:sz="4" w:space="0" w:color="auto"/>
            </w:tcBorders>
            <w:shd w:val="clear" w:color="auto" w:fill="29527F"/>
            <w:vAlign w:val="center"/>
          </w:tcPr>
          <w:p w14:paraId="127AF3DC" w14:textId="4D5D87F8" w:rsidR="003440CC" w:rsidRPr="003440CC" w:rsidRDefault="003440CC" w:rsidP="003440CC">
            <w:pPr>
              <w:widowControl w:val="0"/>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440CC">
              <w:rPr>
                <w:rFonts w:eastAsiaTheme="minorHAnsi" w:cs="Arial"/>
                <w:color w:val="FFFFFF" w:themeColor="background1"/>
                <w:sz w:val="21"/>
              </w:rPr>
              <w:t xml:space="preserve">FY </w:t>
            </w:r>
            <w:r w:rsidRPr="003440CC">
              <w:rPr>
                <w:rFonts w:cs="Arial"/>
                <w:sz w:val="21"/>
              </w:rPr>
              <w:t>2022-23</w:t>
            </w:r>
          </w:p>
        </w:tc>
      </w:tr>
      <w:tr w:rsidR="003440CC" w:rsidRPr="00373DCC" w14:paraId="3656D44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38A1E83A" w14:textId="77777777" w:rsidR="003440CC" w:rsidRPr="00373DCC" w:rsidRDefault="003440CC" w:rsidP="003440CC">
            <w:pPr>
              <w:keepNext/>
              <w:keepLines/>
              <w:tabs>
                <w:tab w:val="left" w:pos="907"/>
                <w:tab w:val="left" w:pos="1134"/>
              </w:tabs>
              <w:spacing w:after="180" w:line="240" w:lineRule="atLeast"/>
              <w:outlineLvl w:val="4"/>
              <w:rPr>
                <w:rFonts w:cs="Arial"/>
                <w:sz w:val="21"/>
              </w:rPr>
            </w:pPr>
            <w:r w:rsidRPr="00373DCC">
              <w:rPr>
                <w:rFonts w:cs="Arial"/>
                <w:sz w:val="21"/>
              </w:rPr>
              <w:t>MDSAP Assessments (overseas)</w:t>
            </w:r>
          </w:p>
        </w:tc>
      </w:tr>
      <w:tr w:rsidR="003440CC" w:rsidRPr="00373DCC" w14:paraId="0D01629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left w:val="single" w:sz="4" w:space="0" w:color="002C47"/>
              <w:bottom w:val="single" w:sz="4" w:space="0" w:color="002C47"/>
              <w:right w:val="single" w:sz="4" w:space="0" w:color="002C47"/>
            </w:tcBorders>
            <w:vAlign w:val="center"/>
          </w:tcPr>
          <w:p w14:paraId="3C19C3FD" w14:textId="77777777" w:rsidR="003440CC" w:rsidRPr="00373DCC" w:rsidRDefault="003440CC" w:rsidP="003440CC">
            <w:pPr>
              <w:spacing w:line="240" w:lineRule="atLeast"/>
              <w:contextualSpacing/>
              <w:rPr>
                <w:rFonts w:eastAsiaTheme="minorHAnsi" w:cs="Arial"/>
                <w:sz w:val="21"/>
              </w:rPr>
            </w:pPr>
            <w:r w:rsidRPr="00373DCC">
              <w:rPr>
                <w:rFonts w:eastAsiaTheme="minorHAnsi" w:cs="Arial"/>
                <w:sz w:val="21"/>
              </w:rPr>
              <w:t>Number of auditing organisation assessments</w:t>
            </w:r>
          </w:p>
        </w:tc>
        <w:tc>
          <w:tcPr>
            <w:tcW w:w="786" w:type="pct"/>
            <w:tcBorders>
              <w:top w:val="single" w:sz="4" w:space="0" w:color="auto"/>
              <w:left w:val="single" w:sz="4" w:space="0" w:color="002C47"/>
              <w:bottom w:val="single" w:sz="4" w:space="0" w:color="002C47"/>
              <w:right w:val="single" w:sz="4" w:space="0" w:color="002C47"/>
            </w:tcBorders>
            <w:vAlign w:val="center"/>
          </w:tcPr>
          <w:p w14:paraId="43809CD9" w14:textId="77777777" w:rsidR="003440CC" w:rsidRPr="00373DCC" w:rsidRDefault="003440CC" w:rsidP="003440CC">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w:t>
            </w:r>
          </w:p>
        </w:tc>
        <w:tc>
          <w:tcPr>
            <w:tcW w:w="786" w:type="pct"/>
            <w:tcBorders>
              <w:top w:val="single" w:sz="4" w:space="0" w:color="auto"/>
              <w:left w:val="single" w:sz="4" w:space="0" w:color="002C47"/>
              <w:bottom w:val="single" w:sz="4" w:space="0" w:color="002C47"/>
              <w:right w:val="single" w:sz="4" w:space="0" w:color="002C47"/>
            </w:tcBorders>
            <w:vAlign w:val="center"/>
          </w:tcPr>
          <w:p w14:paraId="380E05CD" w14:textId="77777777" w:rsidR="003440CC" w:rsidRPr="00373DCC" w:rsidRDefault="003440CC" w:rsidP="003440CC">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w:t>
            </w:r>
          </w:p>
        </w:tc>
      </w:tr>
      <w:tr w:rsidR="003440CC" w:rsidRPr="00373DCC" w14:paraId="1D23297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002C47"/>
              <w:left w:val="single" w:sz="4" w:space="0" w:color="002C47"/>
              <w:bottom w:val="single" w:sz="4" w:space="0" w:color="auto"/>
              <w:right w:val="single" w:sz="4" w:space="0" w:color="002C47"/>
            </w:tcBorders>
            <w:vAlign w:val="center"/>
          </w:tcPr>
          <w:p w14:paraId="092F0708" w14:textId="77777777" w:rsidR="003440CC" w:rsidRPr="00373DCC" w:rsidRDefault="003440CC" w:rsidP="003440CC">
            <w:pPr>
              <w:spacing w:line="240" w:lineRule="atLeast"/>
              <w:contextualSpacing/>
              <w:rPr>
                <w:rFonts w:eastAsiaTheme="minorHAnsi" w:cs="Arial"/>
                <w:sz w:val="21"/>
              </w:rPr>
            </w:pPr>
            <w:r w:rsidRPr="00373DCC">
              <w:rPr>
                <w:rFonts w:eastAsiaTheme="minorHAnsi" w:cs="Arial"/>
                <w:sz w:val="21"/>
              </w:rPr>
              <w:t>Number of witnessed manufacturing audits</w:t>
            </w:r>
          </w:p>
        </w:tc>
        <w:tc>
          <w:tcPr>
            <w:tcW w:w="786" w:type="pct"/>
            <w:tcBorders>
              <w:top w:val="single" w:sz="4" w:space="0" w:color="002C47"/>
              <w:left w:val="single" w:sz="4" w:space="0" w:color="002C47"/>
              <w:bottom w:val="single" w:sz="4" w:space="0" w:color="auto"/>
              <w:right w:val="single" w:sz="4" w:space="0" w:color="002C47"/>
            </w:tcBorders>
            <w:vAlign w:val="center"/>
          </w:tcPr>
          <w:p w14:paraId="6C2D73C7" w14:textId="77777777" w:rsidR="003440CC" w:rsidRPr="00373DCC" w:rsidRDefault="003440CC" w:rsidP="003440CC">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w:t>
            </w:r>
          </w:p>
        </w:tc>
        <w:tc>
          <w:tcPr>
            <w:tcW w:w="786" w:type="pct"/>
            <w:tcBorders>
              <w:top w:val="single" w:sz="4" w:space="0" w:color="002C47"/>
              <w:left w:val="single" w:sz="4" w:space="0" w:color="002C47"/>
              <w:bottom w:val="single" w:sz="4" w:space="0" w:color="auto"/>
              <w:right w:val="single" w:sz="4" w:space="0" w:color="002C47"/>
            </w:tcBorders>
            <w:vAlign w:val="center"/>
          </w:tcPr>
          <w:p w14:paraId="26BF8A23" w14:textId="77777777" w:rsidR="003440CC" w:rsidRPr="00373DCC" w:rsidRDefault="003440CC" w:rsidP="003440CC">
            <w:pPr>
              <w:widowControl w:val="0"/>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w:t>
            </w:r>
          </w:p>
        </w:tc>
      </w:tr>
    </w:tbl>
    <w:p w14:paraId="68FAC8BE"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1"/>
          <w:szCs w:val="21"/>
          <w:lang w:eastAsia="en-AU"/>
        </w:rPr>
      </w:pPr>
    </w:p>
    <w:p w14:paraId="77F40D4B" w14:textId="77777777" w:rsidR="00F2350B" w:rsidRPr="00373DCC" w:rsidRDefault="00F2350B" w:rsidP="00F2350B">
      <w:pPr>
        <w:rPr>
          <w:rFonts w:eastAsiaTheme="majorEastAsia" w:cs="Arial"/>
          <w:b/>
          <w:color w:val="00348C" w:themeColor="accent1" w:themeShade="BF"/>
          <w:sz w:val="21"/>
          <w:szCs w:val="21"/>
          <w:lang w:eastAsia="en-AU"/>
        </w:rPr>
      </w:pPr>
      <w:r w:rsidRPr="00373DCC">
        <w:rPr>
          <w:rFonts w:eastAsiaTheme="majorEastAsia" w:cs="Arial"/>
          <w:b/>
          <w:color w:val="00348C" w:themeColor="accent1" w:themeShade="BF"/>
          <w:sz w:val="21"/>
          <w:szCs w:val="21"/>
          <w:lang w:eastAsia="en-AU"/>
        </w:rPr>
        <w:br w:type="page"/>
      </w:r>
    </w:p>
    <w:p w14:paraId="68AEE224"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190" w:name="_Toc153550478"/>
      <w:r w:rsidRPr="00373DCC">
        <w:rPr>
          <w:rFonts w:eastAsiaTheme="majorEastAsia" w:cs="Arial"/>
          <w:b/>
          <w:color w:val="00348C" w:themeColor="accent1" w:themeShade="BF"/>
          <w:sz w:val="28"/>
          <w:szCs w:val="28"/>
          <w:lang w:eastAsia="en-AU"/>
        </w:rPr>
        <w:lastRenderedPageBreak/>
        <w:t>9. Exports</w:t>
      </w:r>
      <w:bookmarkEnd w:id="190"/>
    </w:p>
    <w:p w14:paraId="18266E80"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191" w:name="_Toc153441500"/>
      <w:bookmarkStart w:id="192" w:name="_Toc153441651"/>
      <w:bookmarkStart w:id="193" w:name="_Toc153550166"/>
      <w:bookmarkStart w:id="194" w:name="_Toc153550331"/>
      <w:bookmarkStart w:id="195" w:name="_Toc153550479"/>
      <w:bookmarkEnd w:id="191"/>
      <w:bookmarkEnd w:id="192"/>
      <w:bookmarkEnd w:id="193"/>
      <w:bookmarkEnd w:id="194"/>
      <w:bookmarkEnd w:id="195"/>
    </w:p>
    <w:p w14:paraId="1569DBCD" w14:textId="08C5FD06" w:rsidR="00F2350B" w:rsidRPr="00373DCC" w:rsidRDefault="00F2350B" w:rsidP="00B633E2">
      <w:pPr>
        <w:pStyle w:val="Heading3-numbered"/>
        <w:numPr>
          <w:ilvl w:val="1"/>
          <w:numId w:val="32"/>
        </w:numPr>
        <w:rPr>
          <w:rFonts w:ascii="Arial" w:hAnsi="Arial" w:cs="Arial"/>
          <w:bCs w:val="0"/>
          <w:szCs w:val="22"/>
        </w:rPr>
      </w:pPr>
      <w:bookmarkStart w:id="196" w:name="_Toc153550480"/>
      <w:r w:rsidRPr="00373DCC">
        <w:rPr>
          <w:rFonts w:ascii="Arial" w:hAnsi="Arial" w:cs="Arial"/>
        </w:rPr>
        <w:t>Export only products</w:t>
      </w:r>
      <w:bookmarkEnd w:id="196"/>
    </w:p>
    <w:p w14:paraId="1921FCE6" w14:textId="77777777" w:rsidR="00F2350B" w:rsidRPr="00373DCC" w:rsidRDefault="00F2350B" w:rsidP="00F2350B">
      <w:pPr>
        <w:keepNext/>
        <w:keepLines/>
        <w:adjustRightInd w:val="0"/>
        <w:spacing w:before="360" w:after="120" w:line="240" w:lineRule="auto"/>
        <w:outlineLvl w:val="2"/>
        <w:rPr>
          <w:rFonts w:eastAsia="Times New Roman" w:cs="Arial"/>
          <w:color w:val="29527F"/>
          <w:sz w:val="21"/>
          <w:szCs w:val="21"/>
          <w:lang w:val="en"/>
          <w14:textFill>
            <w14:solidFill>
              <w14:srgbClr w14:val="29527F">
                <w14:lumMod w14:val="90000"/>
                <w14:lumOff w14:val="10000"/>
              </w14:srgbClr>
            </w14:solidFill>
          </w14:textFill>
        </w:rPr>
      </w:pPr>
      <w:bookmarkStart w:id="197" w:name="_Toc153550481"/>
      <w:bookmarkStart w:id="198" w:name="Table51"/>
      <w:r w:rsidRPr="00373DCC">
        <w:rPr>
          <w:rFonts w:eastAsia="Cambria" w:cs="Arial"/>
          <w:b/>
          <w:bCs/>
          <w:sz w:val="21"/>
          <w:szCs w:val="21"/>
        </w:rPr>
        <w:t>Table 51: Number of approved applications for export-only medicines and export certifications and relevant processing time for July 2022 to June 2023</w:t>
      </w:r>
      <w:bookmarkEnd w:id="197"/>
    </w:p>
    <w:bookmarkEnd w:id="198"/>
    <w:tbl>
      <w:tblPr>
        <w:tblStyle w:val="TableTGAblue"/>
        <w:tblW w:w="10196" w:type="dxa"/>
        <w:tblLayout w:type="fixed"/>
        <w:tblLook w:val="04A0" w:firstRow="1" w:lastRow="0" w:firstColumn="1" w:lastColumn="0" w:noHBand="0" w:noVBand="1"/>
      </w:tblPr>
      <w:tblGrid>
        <w:gridCol w:w="3498"/>
        <w:gridCol w:w="1271"/>
        <w:gridCol w:w="1272"/>
        <w:gridCol w:w="1589"/>
        <w:gridCol w:w="1271"/>
        <w:gridCol w:w="1295"/>
      </w:tblGrid>
      <w:tr w:rsidR="00F2350B" w:rsidRPr="00373DCC" w14:paraId="105D4633" w14:textId="77777777" w:rsidTr="00710B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98" w:type="dxa"/>
            <w:vMerge w:val="restart"/>
            <w:tcBorders>
              <w:top w:val="nil"/>
              <w:left w:val="nil"/>
              <w:right w:val="single" w:sz="2" w:space="0" w:color="002C47"/>
            </w:tcBorders>
            <w:shd w:val="clear" w:color="auto" w:fill="FFFFFF" w:themeFill="background1"/>
            <w:vAlign w:val="center"/>
          </w:tcPr>
          <w:p w14:paraId="47EFCA96" w14:textId="77777777" w:rsidR="00F2350B" w:rsidRPr="00373DCC" w:rsidRDefault="00F2350B" w:rsidP="00710B91">
            <w:pPr>
              <w:spacing w:before="0" w:after="0" w:line="240" w:lineRule="atLeast"/>
              <w:contextualSpacing/>
              <w:rPr>
                <w:rFonts w:eastAsiaTheme="minorHAnsi" w:cs="Arial"/>
                <w:sz w:val="21"/>
              </w:rPr>
            </w:pPr>
          </w:p>
          <w:p w14:paraId="553BBDD3" w14:textId="77777777" w:rsidR="00F2350B" w:rsidRPr="00373DCC" w:rsidRDefault="00F2350B" w:rsidP="00710B91">
            <w:pPr>
              <w:spacing w:before="0" w:after="0" w:line="240" w:lineRule="atLeast"/>
              <w:jc w:val="center"/>
              <w:rPr>
                <w:rFonts w:cs="Arial"/>
                <w:sz w:val="21"/>
              </w:rPr>
            </w:pPr>
          </w:p>
        </w:tc>
        <w:tc>
          <w:tcPr>
            <w:tcW w:w="1271" w:type="dxa"/>
            <w:tcBorders>
              <w:top w:val="single" w:sz="2" w:space="0" w:color="002C47"/>
              <w:left w:val="single" w:sz="2" w:space="0" w:color="002C47"/>
              <w:right w:val="single" w:sz="2" w:space="0" w:color="002C47"/>
            </w:tcBorders>
            <w:shd w:val="clear" w:color="auto" w:fill="29527F"/>
            <w:vAlign w:val="center"/>
          </w:tcPr>
          <w:p w14:paraId="6FEE1F9E" w14:textId="77777777" w:rsidR="00F2350B" w:rsidRPr="00373DCC" w:rsidRDefault="00F2350B" w:rsidP="00710B91">
            <w:pPr>
              <w:keepLines/>
              <w:tabs>
                <w:tab w:val="left" w:pos="1021"/>
                <w:tab w:val="left" w:pos="1134"/>
              </w:tabs>
              <w:spacing w:before="0" w:after="0"/>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2021-2022</w:t>
            </w:r>
          </w:p>
        </w:tc>
        <w:tc>
          <w:tcPr>
            <w:tcW w:w="1271" w:type="dxa"/>
            <w:tcBorders>
              <w:top w:val="single" w:sz="2" w:space="0" w:color="002C47"/>
              <w:left w:val="single" w:sz="2" w:space="0" w:color="002C47"/>
              <w:right w:val="single" w:sz="2" w:space="0" w:color="002C47"/>
            </w:tcBorders>
            <w:shd w:val="clear" w:color="auto" w:fill="29527F"/>
            <w:vAlign w:val="center"/>
          </w:tcPr>
          <w:p w14:paraId="1D3FD3AE" w14:textId="77777777" w:rsidR="00F2350B" w:rsidRPr="00373DCC" w:rsidRDefault="00F2350B" w:rsidP="00710B91">
            <w:pPr>
              <w:keepLines/>
              <w:tabs>
                <w:tab w:val="left" w:pos="1021"/>
                <w:tab w:val="left" w:pos="1134"/>
              </w:tabs>
              <w:spacing w:before="0" w:after="0"/>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2022-2023</w:t>
            </w:r>
          </w:p>
        </w:tc>
        <w:tc>
          <w:tcPr>
            <w:tcW w:w="1589" w:type="dxa"/>
            <w:vMerge w:val="restart"/>
            <w:tcBorders>
              <w:top w:val="single" w:sz="2" w:space="0" w:color="002C47"/>
              <w:left w:val="single" w:sz="2" w:space="0" w:color="002C47"/>
              <w:right w:val="single" w:sz="2" w:space="0" w:color="002C47"/>
            </w:tcBorders>
            <w:shd w:val="clear" w:color="auto" w:fill="29527F"/>
            <w:vAlign w:val="center"/>
          </w:tcPr>
          <w:p w14:paraId="34A8879D" w14:textId="77777777" w:rsidR="00F2350B" w:rsidRPr="00373DCC" w:rsidRDefault="00F2350B" w:rsidP="00710B91">
            <w:pPr>
              <w:keepLines/>
              <w:tabs>
                <w:tab w:val="left" w:pos="1021"/>
                <w:tab w:val="left" w:pos="1134"/>
              </w:tabs>
              <w:spacing w:before="0" w:after="0"/>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Target processing time (days)</w:t>
            </w:r>
          </w:p>
        </w:tc>
        <w:tc>
          <w:tcPr>
            <w:tcW w:w="1271" w:type="dxa"/>
            <w:tcBorders>
              <w:top w:val="single" w:sz="2" w:space="0" w:color="002C47"/>
              <w:left w:val="single" w:sz="2" w:space="0" w:color="002C47"/>
              <w:right w:val="single" w:sz="2" w:space="0" w:color="002C47"/>
            </w:tcBorders>
            <w:shd w:val="clear" w:color="auto" w:fill="29527F"/>
            <w:vAlign w:val="center"/>
          </w:tcPr>
          <w:p w14:paraId="40675DDD" w14:textId="77777777" w:rsidR="00F2350B" w:rsidRPr="00373DCC" w:rsidRDefault="00F2350B" w:rsidP="00710B91">
            <w:pPr>
              <w:keepLines/>
              <w:tabs>
                <w:tab w:val="left" w:pos="1021"/>
                <w:tab w:val="left" w:pos="1134"/>
              </w:tabs>
              <w:spacing w:before="0" w:after="0"/>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2021-22</w:t>
            </w:r>
          </w:p>
        </w:tc>
        <w:tc>
          <w:tcPr>
            <w:tcW w:w="1294" w:type="dxa"/>
            <w:tcBorders>
              <w:top w:val="single" w:sz="2" w:space="0" w:color="002C47"/>
              <w:left w:val="single" w:sz="2" w:space="0" w:color="002C47"/>
              <w:right w:val="single" w:sz="2" w:space="0" w:color="002C47"/>
            </w:tcBorders>
            <w:shd w:val="clear" w:color="auto" w:fill="29527F"/>
            <w:vAlign w:val="center"/>
          </w:tcPr>
          <w:p w14:paraId="5888BA3B" w14:textId="77777777" w:rsidR="00F2350B" w:rsidRPr="00373DCC" w:rsidRDefault="00F2350B" w:rsidP="00710B91">
            <w:pPr>
              <w:keepLines/>
              <w:tabs>
                <w:tab w:val="left" w:pos="1021"/>
                <w:tab w:val="left" w:pos="1134"/>
              </w:tabs>
              <w:spacing w:before="0" w:after="0"/>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2022-23</w:t>
            </w:r>
          </w:p>
        </w:tc>
      </w:tr>
      <w:tr w:rsidR="00F2350B" w:rsidRPr="00373DCC" w14:paraId="0842D62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98" w:type="dxa"/>
            <w:vMerge/>
            <w:tcBorders>
              <w:left w:val="nil"/>
              <w:bottom w:val="single" w:sz="4" w:space="0" w:color="auto"/>
              <w:right w:val="single" w:sz="2" w:space="0" w:color="002C47"/>
            </w:tcBorders>
            <w:shd w:val="clear" w:color="auto" w:fill="FFFFFF" w:themeFill="background1"/>
            <w:vAlign w:val="center"/>
          </w:tcPr>
          <w:p w14:paraId="655AC10E" w14:textId="77777777" w:rsidR="00F2350B" w:rsidRPr="00373DCC" w:rsidRDefault="00F2350B" w:rsidP="00710B91">
            <w:pPr>
              <w:spacing w:before="0" w:after="0" w:line="240" w:lineRule="atLeast"/>
              <w:contextualSpacing/>
              <w:rPr>
                <w:rFonts w:eastAsiaTheme="minorHAnsi" w:cs="Arial"/>
                <w:b/>
                <w:sz w:val="21"/>
              </w:rPr>
            </w:pPr>
          </w:p>
        </w:tc>
        <w:tc>
          <w:tcPr>
            <w:tcW w:w="2543" w:type="dxa"/>
            <w:gridSpan w:val="2"/>
            <w:tcBorders>
              <w:left w:val="single" w:sz="2" w:space="0" w:color="002C47"/>
              <w:bottom w:val="single" w:sz="4" w:space="0" w:color="auto"/>
              <w:right w:val="single" w:sz="2" w:space="0" w:color="002C47"/>
            </w:tcBorders>
            <w:shd w:val="clear" w:color="auto" w:fill="C6D4E9"/>
            <w:vAlign w:val="center"/>
          </w:tcPr>
          <w:p w14:paraId="65AD2E92" w14:textId="77777777" w:rsidR="00F2350B" w:rsidRPr="00373DCC" w:rsidRDefault="00F2350B" w:rsidP="00710B91">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b/>
                <w:bCs/>
                <w:sz w:val="21"/>
              </w:rPr>
            </w:pPr>
            <w:r w:rsidRPr="00373DCC">
              <w:rPr>
                <w:rFonts w:cs="Arial"/>
                <w:b/>
                <w:bCs/>
                <w:sz w:val="21"/>
              </w:rPr>
              <w:t>Total approved</w:t>
            </w:r>
          </w:p>
        </w:tc>
        <w:tc>
          <w:tcPr>
            <w:tcW w:w="1589" w:type="dxa"/>
            <w:vMerge/>
            <w:tcBorders>
              <w:left w:val="single" w:sz="2" w:space="0" w:color="002C47"/>
              <w:bottom w:val="single" w:sz="4" w:space="0" w:color="auto"/>
              <w:right w:val="single" w:sz="2" w:space="0" w:color="002C47"/>
            </w:tcBorders>
            <w:shd w:val="clear" w:color="auto" w:fill="7DAEFF" w:themeFill="accent1" w:themeFillTint="66"/>
            <w:vAlign w:val="center"/>
          </w:tcPr>
          <w:p w14:paraId="3FE073E0" w14:textId="77777777" w:rsidR="00F2350B" w:rsidRPr="00373DCC" w:rsidRDefault="00F2350B" w:rsidP="00710B91">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1"/>
              </w:rPr>
            </w:pPr>
          </w:p>
        </w:tc>
        <w:tc>
          <w:tcPr>
            <w:tcW w:w="2566" w:type="dxa"/>
            <w:gridSpan w:val="2"/>
            <w:tcBorders>
              <w:top w:val="single" w:sz="2" w:space="0" w:color="002C47"/>
              <w:left w:val="single" w:sz="2" w:space="0" w:color="002C47"/>
              <w:bottom w:val="single" w:sz="4" w:space="0" w:color="auto"/>
              <w:right w:val="single" w:sz="2" w:space="0" w:color="002C47"/>
            </w:tcBorders>
            <w:shd w:val="clear" w:color="auto" w:fill="C6D4E9"/>
            <w:vAlign w:val="center"/>
          </w:tcPr>
          <w:p w14:paraId="20CA343D" w14:textId="77777777" w:rsidR="00F2350B" w:rsidRPr="00373DCC" w:rsidRDefault="00F2350B" w:rsidP="00710B91">
            <w:pPr>
              <w:keepNext/>
              <w:keepLines/>
              <w:tabs>
                <w:tab w:val="left" w:pos="1021"/>
                <w:tab w:val="left" w:pos="1134"/>
              </w:tabs>
              <w:spacing w:before="0" w:after="0"/>
              <w:jc w:val="center"/>
              <w:outlineLvl w:val="4"/>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1"/>
              </w:rPr>
            </w:pPr>
            <w:r w:rsidRPr="00373DCC">
              <w:rPr>
                <w:rFonts w:cs="Arial"/>
                <w:b/>
                <w:bCs/>
                <w:sz w:val="21"/>
              </w:rPr>
              <w:t>Average processing time (days)</w:t>
            </w:r>
          </w:p>
        </w:tc>
      </w:tr>
      <w:tr w:rsidR="00F2350B" w:rsidRPr="00373DCC" w14:paraId="41BCA42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0196" w:type="dxa"/>
            <w:gridSpan w:val="6"/>
            <w:tcBorders>
              <w:top w:val="single" w:sz="4" w:space="0" w:color="auto"/>
              <w:left w:val="single" w:sz="4" w:space="0" w:color="auto"/>
              <w:bottom w:val="single" w:sz="4" w:space="0" w:color="auto"/>
              <w:right w:val="single" w:sz="4" w:space="0" w:color="auto"/>
            </w:tcBorders>
            <w:shd w:val="clear" w:color="auto" w:fill="8CADD3"/>
            <w:vAlign w:val="center"/>
          </w:tcPr>
          <w:p w14:paraId="071EC01C"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Export-only medicines</w:t>
            </w:r>
          </w:p>
        </w:tc>
      </w:tr>
      <w:tr w:rsidR="00F2350B" w:rsidRPr="00373DCC" w14:paraId="0B3BA32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98" w:type="dxa"/>
            <w:tcBorders>
              <w:top w:val="single" w:sz="4" w:space="0" w:color="auto"/>
              <w:left w:val="single" w:sz="4" w:space="0" w:color="auto"/>
              <w:bottom w:val="single" w:sz="4" w:space="0" w:color="auto"/>
              <w:right w:val="single" w:sz="4" w:space="0" w:color="auto"/>
            </w:tcBorders>
            <w:vAlign w:val="center"/>
          </w:tcPr>
          <w:p w14:paraId="7CF2258F" w14:textId="77777777" w:rsidR="00F2350B" w:rsidRPr="00373DCC" w:rsidRDefault="00F2350B" w:rsidP="00710B91">
            <w:pPr>
              <w:spacing w:before="0" w:after="0"/>
              <w:rPr>
                <w:rFonts w:cs="Arial"/>
                <w:sz w:val="21"/>
              </w:rPr>
            </w:pPr>
            <w:r w:rsidRPr="00373DCC">
              <w:rPr>
                <w:rFonts w:cs="Arial"/>
                <w:sz w:val="21"/>
              </w:rPr>
              <w:t>New applications</w:t>
            </w:r>
          </w:p>
        </w:tc>
        <w:tc>
          <w:tcPr>
            <w:tcW w:w="1271" w:type="dxa"/>
            <w:tcBorders>
              <w:top w:val="single" w:sz="4" w:space="0" w:color="auto"/>
              <w:left w:val="single" w:sz="4" w:space="0" w:color="auto"/>
              <w:bottom w:val="single" w:sz="4" w:space="0" w:color="auto"/>
              <w:right w:val="single" w:sz="4" w:space="0" w:color="auto"/>
            </w:tcBorders>
            <w:vAlign w:val="center"/>
          </w:tcPr>
          <w:p w14:paraId="7097E465"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286</w:t>
            </w:r>
          </w:p>
        </w:tc>
        <w:tc>
          <w:tcPr>
            <w:tcW w:w="1271" w:type="dxa"/>
            <w:tcBorders>
              <w:top w:val="single" w:sz="4" w:space="0" w:color="auto"/>
              <w:left w:val="single" w:sz="4" w:space="0" w:color="auto"/>
              <w:bottom w:val="single" w:sz="4" w:space="0" w:color="auto"/>
              <w:right w:val="single" w:sz="4" w:space="0" w:color="auto"/>
            </w:tcBorders>
            <w:vAlign w:val="center"/>
          </w:tcPr>
          <w:p w14:paraId="0E21E3DE"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308</w:t>
            </w:r>
          </w:p>
        </w:tc>
        <w:tc>
          <w:tcPr>
            <w:tcW w:w="1589" w:type="dxa"/>
            <w:tcBorders>
              <w:top w:val="single" w:sz="4" w:space="0" w:color="auto"/>
              <w:left w:val="single" w:sz="4" w:space="0" w:color="auto"/>
              <w:bottom w:val="single" w:sz="4" w:space="0" w:color="auto"/>
              <w:right w:val="single" w:sz="4" w:space="0" w:color="auto"/>
            </w:tcBorders>
            <w:vAlign w:val="center"/>
          </w:tcPr>
          <w:p w14:paraId="452F61C9"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w:t>
            </w:r>
          </w:p>
        </w:tc>
        <w:tc>
          <w:tcPr>
            <w:tcW w:w="1271" w:type="dxa"/>
            <w:tcBorders>
              <w:top w:val="single" w:sz="4" w:space="0" w:color="auto"/>
              <w:left w:val="single" w:sz="4" w:space="0" w:color="auto"/>
              <w:bottom w:val="single" w:sz="4" w:space="0" w:color="auto"/>
              <w:right w:val="single" w:sz="4" w:space="0" w:color="auto"/>
            </w:tcBorders>
            <w:vAlign w:val="center"/>
          </w:tcPr>
          <w:p w14:paraId="45C74751"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29</w:t>
            </w:r>
          </w:p>
        </w:tc>
        <w:tc>
          <w:tcPr>
            <w:tcW w:w="1294" w:type="dxa"/>
            <w:tcBorders>
              <w:top w:val="single" w:sz="4" w:space="0" w:color="auto"/>
              <w:left w:val="single" w:sz="4" w:space="0" w:color="auto"/>
              <w:bottom w:val="single" w:sz="4" w:space="0" w:color="auto"/>
              <w:right w:val="single" w:sz="4" w:space="0" w:color="auto"/>
            </w:tcBorders>
            <w:vAlign w:val="center"/>
          </w:tcPr>
          <w:p w14:paraId="0907CC77"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w:t>
            </w:r>
          </w:p>
        </w:tc>
      </w:tr>
      <w:tr w:rsidR="00F2350B" w:rsidRPr="00373DCC" w14:paraId="5CDF5BD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98" w:type="dxa"/>
            <w:tcBorders>
              <w:top w:val="single" w:sz="4" w:space="0" w:color="auto"/>
              <w:left w:val="single" w:sz="4" w:space="0" w:color="auto"/>
              <w:bottom w:val="single" w:sz="4" w:space="0" w:color="auto"/>
              <w:right w:val="single" w:sz="4" w:space="0" w:color="auto"/>
            </w:tcBorders>
            <w:vAlign w:val="center"/>
          </w:tcPr>
          <w:p w14:paraId="09EE2825" w14:textId="77777777" w:rsidR="00F2350B" w:rsidRPr="00373DCC" w:rsidRDefault="00F2350B" w:rsidP="00710B91">
            <w:pPr>
              <w:spacing w:before="0" w:after="0"/>
              <w:rPr>
                <w:rFonts w:cs="Arial"/>
                <w:sz w:val="21"/>
              </w:rPr>
            </w:pPr>
            <w:r w:rsidRPr="00373DCC">
              <w:rPr>
                <w:rFonts w:cs="Arial"/>
                <w:sz w:val="21"/>
              </w:rPr>
              <w:t>Variation and grouping applications</w:t>
            </w:r>
          </w:p>
        </w:tc>
        <w:tc>
          <w:tcPr>
            <w:tcW w:w="1271" w:type="dxa"/>
            <w:tcBorders>
              <w:top w:val="single" w:sz="4" w:space="0" w:color="auto"/>
              <w:left w:val="single" w:sz="4" w:space="0" w:color="auto"/>
              <w:bottom w:val="single" w:sz="4" w:space="0" w:color="auto"/>
              <w:right w:val="single" w:sz="4" w:space="0" w:color="auto"/>
            </w:tcBorders>
            <w:vAlign w:val="center"/>
          </w:tcPr>
          <w:p w14:paraId="1086D049"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147</w:t>
            </w:r>
          </w:p>
        </w:tc>
        <w:tc>
          <w:tcPr>
            <w:tcW w:w="1271" w:type="dxa"/>
            <w:tcBorders>
              <w:top w:val="single" w:sz="4" w:space="0" w:color="auto"/>
              <w:left w:val="single" w:sz="4" w:space="0" w:color="auto"/>
              <w:bottom w:val="single" w:sz="4" w:space="0" w:color="auto"/>
              <w:right w:val="single" w:sz="4" w:space="0" w:color="auto"/>
            </w:tcBorders>
            <w:vAlign w:val="center"/>
          </w:tcPr>
          <w:p w14:paraId="1EF146E1"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129</w:t>
            </w:r>
          </w:p>
        </w:tc>
        <w:tc>
          <w:tcPr>
            <w:tcW w:w="1589" w:type="dxa"/>
            <w:tcBorders>
              <w:top w:val="single" w:sz="4" w:space="0" w:color="auto"/>
              <w:left w:val="single" w:sz="4" w:space="0" w:color="auto"/>
              <w:bottom w:val="single" w:sz="4" w:space="0" w:color="auto"/>
              <w:right w:val="single" w:sz="4" w:space="0" w:color="auto"/>
            </w:tcBorders>
            <w:vAlign w:val="center"/>
          </w:tcPr>
          <w:p w14:paraId="2938EEB8"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30</w:t>
            </w:r>
          </w:p>
        </w:tc>
        <w:tc>
          <w:tcPr>
            <w:tcW w:w="1271" w:type="dxa"/>
            <w:tcBorders>
              <w:top w:val="single" w:sz="4" w:space="0" w:color="auto"/>
              <w:left w:val="single" w:sz="4" w:space="0" w:color="auto"/>
              <w:bottom w:val="single" w:sz="4" w:space="0" w:color="auto"/>
              <w:right w:val="single" w:sz="4" w:space="0" w:color="auto"/>
            </w:tcBorders>
            <w:vAlign w:val="center"/>
          </w:tcPr>
          <w:p w14:paraId="082ADF8A"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20</w:t>
            </w:r>
          </w:p>
        </w:tc>
        <w:tc>
          <w:tcPr>
            <w:tcW w:w="1294" w:type="dxa"/>
            <w:tcBorders>
              <w:top w:val="single" w:sz="4" w:space="0" w:color="auto"/>
              <w:left w:val="single" w:sz="4" w:space="0" w:color="auto"/>
              <w:bottom w:val="single" w:sz="4" w:space="0" w:color="auto"/>
              <w:right w:val="single" w:sz="4" w:space="0" w:color="auto"/>
            </w:tcBorders>
            <w:vAlign w:val="center"/>
          </w:tcPr>
          <w:p w14:paraId="6FCE6AAD"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19</w:t>
            </w:r>
          </w:p>
        </w:tc>
      </w:tr>
      <w:tr w:rsidR="00F2350B" w:rsidRPr="00373DCC" w14:paraId="0B8B52F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0196" w:type="dxa"/>
            <w:gridSpan w:val="6"/>
            <w:tcBorders>
              <w:top w:val="single" w:sz="4" w:space="0" w:color="auto"/>
              <w:left w:val="single" w:sz="4" w:space="0" w:color="auto"/>
              <w:bottom w:val="single" w:sz="4" w:space="0" w:color="auto"/>
              <w:right w:val="single" w:sz="4" w:space="0" w:color="auto"/>
            </w:tcBorders>
            <w:shd w:val="clear" w:color="auto" w:fill="8CADD3"/>
            <w:vAlign w:val="center"/>
          </w:tcPr>
          <w:p w14:paraId="7FD43893"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Export certification</w:t>
            </w:r>
          </w:p>
        </w:tc>
      </w:tr>
      <w:tr w:rsidR="00F2350B" w:rsidRPr="00373DCC" w14:paraId="6571E12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98" w:type="dxa"/>
            <w:tcBorders>
              <w:top w:val="single" w:sz="4" w:space="0" w:color="auto"/>
              <w:left w:val="single" w:sz="4" w:space="0" w:color="auto"/>
              <w:bottom w:val="single" w:sz="4" w:space="0" w:color="auto"/>
              <w:right w:val="single" w:sz="4" w:space="0" w:color="auto"/>
            </w:tcBorders>
            <w:vAlign w:val="center"/>
          </w:tcPr>
          <w:p w14:paraId="7AF9C4FC" w14:textId="77777777" w:rsidR="00F2350B" w:rsidRPr="00373DCC" w:rsidRDefault="00F2350B" w:rsidP="00710B91">
            <w:pPr>
              <w:spacing w:before="0" w:after="0"/>
              <w:rPr>
                <w:rFonts w:cs="Arial"/>
                <w:sz w:val="21"/>
              </w:rPr>
            </w:pPr>
            <w:r w:rsidRPr="00373DCC">
              <w:rPr>
                <w:rFonts w:cs="Arial"/>
                <w:sz w:val="21"/>
              </w:rPr>
              <w:t>Medicines</w:t>
            </w:r>
          </w:p>
        </w:tc>
        <w:tc>
          <w:tcPr>
            <w:tcW w:w="1271" w:type="dxa"/>
            <w:tcBorders>
              <w:top w:val="single" w:sz="4" w:space="0" w:color="auto"/>
              <w:left w:val="single" w:sz="4" w:space="0" w:color="auto"/>
              <w:bottom w:val="single" w:sz="4" w:space="0" w:color="auto"/>
              <w:right w:val="single" w:sz="4" w:space="0" w:color="auto"/>
            </w:tcBorders>
            <w:vAlign w:val="center"/>
          </w:tcPr>
          <w:p w14:paraId="5B06E4CA"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1,622</w:t>
            </w:r>
          </w:p>
        </w:tc>
        <w:tc>
          <w:tcPr>
            <w:tcW w:w="1271" w:type="dxa"/>
            <w:tcBorders>
              <w:top w:val="single" w:sz="4" w:space="0" w:color="auto"/>
              <w:left w:val="single" w:sz="4" w:space="0" w:color="auto"/>
              <w:bottom w:val="single" w:sz="4" w:space="0" w:color="auto"/>
              <w:right w:val="single" w:sz="4" w:space="0" w:color="auto"/>
            </w:tcBorders>
            <w:vAlign w:val="center"/>
          </w:tcPr>
          <w:p w14:paraId="3284134B"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1958</w:t>
            </w:r>
          </w:p>
        </w:tc>
        <w:tc>
          <w:tcPr>
            <w:tcW w:w="1589" w:type="dxa"/>
            <w:tcBorders>
              <w:top w:val="single" w:sz="4" w:space="0" w:color="auto"/>
              <w:left w:val="single" w:sz="4" w:space="0" w:color="auto"/>
              <w:bottom w:val="single" w:sz="4" w:space="0" w:color="auto"/>
              <w:right w:val="single" w:sz="4" w:space="0" w:color="auto"/>
            </w:tcBorders>
            <w:vAlign w:val="center"/>
          </w:tcPr>
          <w:p w14:paraId="0FE4EC08"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w:t>
            </w:r>
          </w:p>
        </w:tc>
        <w:tc>
          <w:tcPr>
            <w:tcW w:w="1271" w:type="dxa"/>
            <w:tcBorders>
              <w:top w:val="single" w:sz="4" w:space="0" w:color="auto"/>
              <w:left w:val="single" w:sz="4" w:space="0" w:color="auto"/>
              <w:bottom w:val="single" w:sz="4" w:space="0" w:color="auto"/>
              <w:right w:val="single" w:sz="4" w:space="0" w:color="auto"/>
            </w:tcBorders>
            <w:vAlign w:val="center"/>
          </w:tcPr>
          <w:p w14:paraId="5C3FA2D5"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w:t>
            </w:r>
          </w:p>
        </w:tc>
        <w:tc>
          <w:tcPr>
            <w:tcW w:w="1294" w:type="dxa"/>
            <w:tcBorders>
              <w:top w:val="single" w:sz="4" w:space="0" w:color="auto"/>
              <w:left w:val="single" w:sz="4" w:space="0" w:color="auto"/>
              <w:bottom w:val="single" w:sz="4" w:space="0" w:color="auto"/>
              <w:right w:val="single" w:sz="4" w:space="0" w:color="auto"/>
            </w:tcBorders>
            <w:vAlign w:val="center"/>
          </w:tcPr>
          <w:p w14:paraId="10569A80"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w:t>
            </w:r>
          </w:p>
        </w:tc>
      </w:tr>
      <w:tr w:rsidR="00F2350B" w:rsidRPr="00373DCC" w14:paraId="5CBE034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98" w:type="dxa"/>
            <w:tcBorders>
              <w:top w:val="single" w:sz="4" w:space="0" w:color="auto"/>
              <w:left w:val="single" w:sz="4" w:space="0" w:color="auto"/>
              <w:bottom w:val="single" w:sz="4" w:space="0" w:color="auto"/>
              <w:right w:val="single" w:sz="4" w:space="0" w:color="auto"/>
            </w:tcBorders>
            <w:vAlign w:val="center"/>
          </w:tcPr>
          <w:p w14:paraId="5CD7D8BB" w14:textId="77777777" w:rsidR="00F2350B" w:rsidRPr="00373DCC" w:rsidRDefault="00F2350B" w:rsidP="00710B91">
            <w:pPr>
              <w:spacing w:before="0" w:after="0"/>
              <w:rPr>
                <w:rFonts w:cs="Arial"/>
                <w:sz w:val="21"/>
              </w:rPr>
            </w:pPr>
            <w:r w:rsidRPr="00373DCC">
              <w:rPr>
                <w:rFonts w:cs="Arial"/>
                <w:sz w:val="21"/>
              </w:rPr>
              <w:t>Medical devices</w:t>
            </w:r>
          </w:p>
        </w:tc>
        <w:tc>
          <w:tcPr>
            <w:tcW w:w="1271" w:type="dxa"/>
            <w:tcBorders>
              <w:top w:val="single" w:sz="4" w:space="0" w:color="auto"/>
              <w:left w:val="single" w:sz="4" w:space="0" w:color="auto"/>
              <w:bottom w:val="single" w:sz="4" w:space="0" w:color="auto"/>
              <w:right w:val="single" w:sz="4" w:space="0" w:color="auto"/>
            </w:tcBorders>
            <w:vAlign w:val="center"/>
          </w:tcPr>
          <w:p w14:paraId="5FA25AEB"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547</w:t>
            </w:r>
            <w:r w:rsidRPr="00373DCC">
              <w:rPr>
                <w:rFonts w:cs="Arial"/>
                <w:sz w:val="21"/>
                <w:vertAlign w:val="superscript"/>
              </w:rPr>
              <w:t>a</w:t>
            </w:r>
          </w:p>
        </w:tc>
        <w:tc>
          <w:tcPr>
            <w:tcW w:w="1271" w:type="dxa"/>
            <w:tcBorders>
              <w:top w:val="single" w:sz="4" w:space="0" w:color="auto"/>
              <w:left w:val="single" w:sz="4" w:space="0" w:color="auto"/>
              <w:bottom w:val="single" w:sz="4" w:space="0" w:color="auto"/>
              <w:right w:val="single" w:sz="4" w:space="0" w:color="auto"/>
            </w:tcBorders>
            <w:vAlign w:val="center"/>
          </w:tcPr>
          <w:p w14:paraId="7286D32B"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393</w:t>
            </w:r>
            <w:r w:rsidRPr="00373DCC">
              <w:rPr>
                <w:rFonts w:cs="Arial"/>
                <w:sz w:val="21"/>
                <w:vertAlign w:val="superscript"/>
              </w:rPr>
              <w:t>a</w:t>
            </w:r>
          </w:p>
        </w:tc>
        <w:tc>
          <w:tcPr>
            <w:tcW w:w="1589" w:type="dxa"/>
            <w:tcBorders>
              <w:top w:val="single" w:sz="4" w:space="0" w:color="auto"/>
              <w:left w:val="single" w:sz="4" w:space="0" w:color="auto"/>
              <w:bottom w:val="single" w:sz="4" w:space="0" w:color="auto"/>
              <w:right w:val="single" w:sz="4" w:space="0" w:color="auto"/>
            </w:tcBorders>
            <w:vAlign w:val="center"/>
          </w:tcPr>
          <w:p w14:paraId="396004BE"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w:t>
            </w:r>
          </w:p>
        </w:tc>
        <w:tc>
          <w:tcPr>
            <w:tcW w:w="1271" w:type="dxa"/>
            <w:tcBorders>
              <w:top w:val="single" w:sz="4" w:space="0" w:color="auto"/>
              <w:left w:val="single" w:sz="4" w:space="0" w:color="auto"/>
              <w:bottom w:val="single" w:sz="4" w:space="0" w:color="auto"/>
              <w:right w:val="single" w:sz="4" w:space="0" w:color="auto"/>
            </w:tcBorders>
            <w:vAlign w:val="center"/>
          </w:tcPr>
          <w:p w14:paraId="33A2CB0F"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w:t>
            </w:r>
          </w:p>
        </w:tc>
        <w:tc>
          <w:tcPr>
            <w:tcW w:w="1294" w:type="dxa"/>
            <w:tcBorders>
              <w:top w:val="single" w:sz="4" w:space="0" w:color="auto"/>
              <w:left w:val="single" w:sz="4" w:space="0" w:color="auto"/>
              <w:bottom w:val="single" w:sz="4" w:space="0" w:color="auto"/>
              <w:right w:val="single" w:sz="4" w:space="0" w:color="auto"/>
            </w:tcBorders>
            <w:vAlign w:val="center"/>
          </w:tcPr>
          <w:p w14:paraId="0754D6B8" w14:textId="77777777" w:rsidR="00F2350B" w:rsidRPr="00373DCC" w:rsidRDefault="00F2350B" w:rsidP="00710B91">
            <w:p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5</w:t>
            </w:r>
          </w:p>
        </w:tc>
      </w:tr>
    </w:tbl>
    <w:p w14:paraId="00905147" w14:textId="77777777" w:rsidR="00F2350B" w:rsidRPr="00373DCC" w:rsidRDefault="00F2350B" w:rsidP="00F2350B">
      <w:pPr>
        <w:spacing w:before="0" w:after="0"/>
        <w:rPr>
          <w:rFonts w:cs="Arial"/>
          <w:sz w:val="16"/>
          <w:szCs w:val="16"/>
          <w:lang w:eastAsia="en-AU"/>
        </w:rPr>
      </w:pPr>
      <w:r w:rsidRPr="00373DCC">
        <w:rPr>
          <w:rFonts w:cs="Arial"/>
          <w:sz w:val="16"/>
          <w:szCs w:val="16"/>
          <w:vertAlign w:val="superscript"/>
          <w:lang w:eastAsia="en-AU"/>
        </w:rPr>
        <w:t>a</w:t>
      </w:r>
      <w:r w:rsidRPr="00373DCC">
        <w:rPr>
          <w:rFonts w:cs="Arial"/>
          <w:sz w:val="16"/>
          <w:szCs w:val="16"/>
          <w:lang w:eastAsia="en-AU"/>
        </w:rPr>
        <w:t xml:space="preserve"> Accurate data available with more professional data collection procedures</w:t>
      </w:r>
    </w:p>
    <w:p w14:paraId="3B8AB0CA" w14:textId="77777777" w:rsidR="00F2350B" w:rsidRPr="00373DCC" w:rsidRDefault="00F2350B" w:rsidP="00F2350B">
      <w:pPr>
        <w:rPr>
          <w:rFonts w:cs="Arial"/>
          <w:szCs w:val="22"/>
          <w:lang w:eastAsia="en-AU"/>
        </w:rPr>
      </w:pPr>
    </w:p>
    <w:p w14:paraId="52ACFE5D" w14:textId="77777777" w:rsidR="00F2350B" w:rsidRPr="00373DCC" w:rsidRDefault="00F2350B" w:rsidP="00F2350B">
      <w:pPr>
        <w:rPr>
          <w:rFonts w:eastAsia="Times New Roman" w:cs="Arial"/>
          <w:b/>
          <w:color w:val="004672" w:themeColor="text2" w:themeTint="E6"/>
          <w:sz w:val="28"/>
          <w:szCs w:val="28"/>
          <w:lang w:eastAsia="en-AU"/>
        </w:rPr>
      </w:pPr>
      <w:r w:rsidRPr="00373DCC">
        <w:rPr>
          <w:rFonts w:eastAsia="Times New Roman" w:cs="Arial"/>
          <w:b/>
          <w:color w:val="004672" w:themeColor="text2" w:themeTint="E6"/>
          <w:sz w:val="28"/>
          <w:szCs w:val="28"/>
          <w:lang w:eastAsia="en-AU"/>
        </w:rPr>
        <w:br w:type="page"/>
      </w:r>
    </w:p>
    <w:p w14:paraId="51A717F1"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199" w:name="_Toc153550482"/>
      <w:r w:rsidRPr="00373DCC">
        <w:rPr>
          <w:rFonts w:eastAsiaTheme="majorEastAsia" w:cs="Arial"/>
          <w:b/>
          <w:color w:val="00348C" w:themeColor="accent1" w:themeShade="BF"/>
          <w:sz w:val="28"/>
          <w:szCs w:val="28"/>
          <w:lang w:eastAsia="en-AU"/>
        </w:rPr>
        <w:lastRenderedPageBreak/>
        <w:t>10. Access to Unapproved Therapeutic Goods</w:t>
      </w:r>
      <w:bookmarkEnd w:id="199"/>
    </w:p>
    <w:p w14:paraId="124E5072"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200" w:name="_Toc153441504"/>
      <w:bookmarkStart w:id="201" w:name="_Toc153441655"/>
      <w:bookmarkStart w:id="202" w:name="_Toc153550170"/>
      <w:bookmarkStart w:id="203" w:name="_Toc153550335"/>
      <w:bookmarkStart w:id="204" w:name="_Toc153550483"/>
      <w:bookmarkEnd w:id="200"/>
      <w:bookmarkEnd w:id="201"/>
      <w:bookmarkEnd w:id="202"/>
      <w:bookmarkEnd w:id="203"/>
      <w:bookmarkEnd w:id="204"/>
    </w:p>
    <w:p w14:paraId="6170DB5C" w14:textId="3F4D6B9B" w:rsidR="00F2350B" w:rsidRPr="00373DCC" w:rsidRDefault="00F2350B" w:rsidP="00B633E2">
      <w:pPr>
        <w:pStyle w:val="Heading3-numbered"/>
        <w:numPr>
          <w:ilvl w:val="1"/>
          <w:numId w:val="32"/>
        </w:numPr>
        <w:rPr>
          <w:rFonts w:ascii="Arial" w:hAnsi="Arial" w:cs="Arial"/>
        </w:rPr>
      </w:pPr>
      <w:bookmarkStart w:id="205" w:name="_Toc153550484"/>
      <w:r w:rsidRPr="00373DCC">
        <w:rPr>
          <w:rFonts w:ascii="Arial" w:hAnsi="Arial" w:cs="Arial"/>
        </w:rPr>
        <w:t>Special Access Scheme</w:t>
      </w:r>
      <w:bookmarkEnd w:id="205"/>
    </w:p>
    <w:p w14:paraId="419C503C" w14:textId="77777777" w:rsidR="00F2350B" w:rsidRPr="00373DCC" w:rsidRDefault="00F2350B" w:rsidP="00F2350B">
      <w:pPr>
        <w:rPr>
          <w:rFonts w:cs="Arial"/>
          <w:sz w:val="21"/>
          <w:szCs w:val="21"/>
        </w:rPr>
      </w:pPr>
      <w:r w:rsidRPr="00373DCC">
        <w:rPr>
          <w:rFonts w:cs="Arial"/>
          <w:sz w:val="21"/>
          <w:szCs w:val="21"/>
        </w:rPr>
        <w:t>The Special Access Scheme (SAS) refers to arrangements which provide for the import and/or supply of an unapproved therapeutic good for a single patient, on a case-by-case basis. For this reporting period, 3 pathways existed under the scheme, and they are categorised as follows:</w:t>
      </w:r>
    </w:p>
    <w:p w14:paraId="24BED249" w14:textId="77777777" w:rsidR="00F2350B" w:rsidRPr="00373DCC" w:rsidRDefault="00F2350B" w:rsidP="00F2350B">
      <w:pPr>
        <w:rPr>
          <w:rFonts w:cs="Arial"/>
          <w:sz w:val="21"/>
          <w:szCs w:val="21"/>
        </w:rPr>
      </w:pPr>
      <w:r w:rsidRPr="00373DCC">
        <w:rPr>
          <w:rFonts w:cs="Arial"/>
          <w:sz w:val="21"/>
          <w:szCs w:val="21"/>
        </w:rPr>
        <w:t xml:space="preserve">Category A is a </w:t>
      </w:r>
      <w:r w:rsidRPr="00373DCC">
        <w:rPr>
          <w:rFonts w:cs="Arial"/>
          <w:b/>
          <w:sz w:val="21"/>
          <w:szCs w:val="21"/>
        </w:rPr>
        <w:t xml:space="preserve">notification pathway </w:t>
      </w:r>
      <w:r w:rsidRPr="00373DCC">
        <w:rPr>
          <w:rFonts w:cs="Arial"/>
          <w:sz w:val="21"/>
          <w:szCs w:val="21"/>
        </w:rPr>
        <w:t>which can only be accessed by medical practitioners for patients who are seriously ill with a condition from which death is reasonably likely to occur within a matter of months, or from which premature death is reasonably likely to occur in the absence of early treatment.</w:t>
      </w:r>
    </w:p>
    <w:p w14:paraId="4795EEBF" w14:textId="77777777" w:rsidR="00F2350B" w:rsidRPr="00373DCC" w:rsidRDefault="00F2350B" w:rsidP="00F2350B">
      <w:pPr>
        <w:rPr>
          <w:rFonts w:cs="Arial"/>
          <w:sz w:val="21"/>
          <w:szCs w:val="21"/>
        </w:rPr>
      </w:pPr>
      <w:r w:rsidRPr="00373DCC">
        <w:rPr>
          <w:rFonts w:cs="Arial"/>
          <w:sz w:val="21"/>
          <w:szCs w:val="21"/>
        </w:rPr>
        <w:t xml:space="preserve">Category B is an </w:t>
      </w:r>
      <w:r w:rsidRPr="00373DCC">
        <w:rPr>
          <w:rFonts w:cs="Arial"/>
          <w:b/>
          <w:sz w:val="21"/>
          <w:szCs w:val="21"/>
        </w:rPr>
        <w:t xml:space="preserve">application pathway </w:t>
      </w:r>
      <w:r w:rsidRPr="00373DCC">
        <w:rPr>
          <w:rFonts w:cs="Arial"/>
          <w:sz w:val="21"/>
          <w:szCs w:val="21"/>
        </w:rPr>
        <w:t>which can be accessed by health practitioners for patients who do not fit the Category A definition. An approval letter from the TGA is required before the goods may be accessed.</w:t>
      </w:r>
    </w:p>
    <w:p w14:paraId="5DF4E004" w14:textId="77777777" w:rsidR="00F2350B" w:rsidRPr="00373DCC" w:rsidRDefault="00F2350B" w:rsidP="00F2350B">
      <w:pPr>
        <w:rPr>
          <w:rFonts w:cs="Arial"/>
          <w:sz w:val="21"/>
          <w:szCs w:val="21"/>
        </w:rPr>
      </w:pPr>
      <w:r w:rsidRPr="00373DCC">
        <w:rPr>
          <w:rFonts w:cs="Arial"/>
          <w:sz w:val="21"/>
          <w:szCs w:val="21"/>
        </w:rPr>
        <w:t xml:space="preserve">Category C is a </w:t>
      </w:r>
      <w:r w:rsidRPr="00373DCC">
        <w:rPr>
          <w:rFonts w:cs="Arial"/>
          <w:b/>
          <w:bCs/>
          <w:sz w:val="21"/>
          <w:szCs w:val="21"/>
        </w:rPr>
        <w:t>notification pathway</w:t>
      </w:r>
      <w:r w:rsidRPr="00373DCC">
        <w:rPr>
          <w:rFonts w:cs="Arial"/>
          <w:sz w:val="21"/>
          <w:szCs w:val="21"/>
        </w:rPr>
        <w:t xml:space="preserve"> which allows health practitioners to supply goods that are deemed to have an established history of use without first seeking prior approval. The goods deemed to have an established history of use are specified in a list along with their indications and the type of health practitioner authorised to supply these products.</w:t>
      </w:r>
    </w:p>
    <w:p w14:paraId="1642D000" w14:textId="77777777" w:rsidR="00F2350B" w:rsidRPr="00373DCC" w:rsidRDefault="00F2350B" w:rsidP="00F2350B">
      <w:pPr>
        <w:rPr>
          <w:rFonts w:cs="Arial"/>
          <w:sz w:val="21"/>
          <w:szCs w:val="21"/>
        </w:rPr>
      </w:pPr>
      <w:r w:rsidRPr="00373DCC">
        <w:rPr>
          <w:rFonts w:cs="Arial"/>
          <w:sz w:val="21"/>
          <w:szCs w:val="21"/>
        </w:rPr>
        <w:t>Any unapproved therapeutic good can potentially be supplied via the SAS although drugs listed in Schedule 9 of the Poisons Standard are forbidden from supply in most states and territories.</w:t>
      </w:r>
    </w:p>
    <w:p w14:paraId="1C323B9C" w14:textId="77777777" w:rsidR="00F2350B" w:rsidRPr="00373DCC" w:rsidRDefault="00F2350B" w:rsidP="00F2350B">
      <w:pPr>
        <w:keepNext/>
        <w:spacing w:before="240" w:after="120" w:line="240" w:lineRule="auto"/>
        <w:rPr>
          <w:rFonts w:eastAsia="Cambria" w:cs="Arial"/>
          <w:b/>
          <w:bCs/>
          <w:sz w:val="21"/>
          <w:szCs w:val="21"/>
        </w:rPr>
      </w:pPr>
      <w:bookmarkStart w:id="206" w:name="Table52"/>
      <w:r w:rsidRPr="00373DCC">
        <w:rPr>
          <w:rFonts w:eastAsia="Cambria" w:cs="Arial"/>
          <w:b/>
          <w:sz w:val="21"/>
          <w:szCs w:val="21"/>
        </w:rPr>
        <w:t xml:space="preserve">Table </w:t>
      </w:r>
      <w:r w:rsidRPr="00373DCC">
        <w:rPr>
          <w:rFonts w:eastAsia="Cambria" w:cs="Arial"/>
          <w:b/>
          <w:bCs/>
          <w:sz w:val="21"/>
          <w:szCs w:val="21"/>
        </w:rPr>
        <w:t>52:</w:t>
      </w:r>
      <w:r w:rsidRPr="00373DCC">
        <w:rPr>
          <w:rFonts w:eastAsia="Cambria" w:cs="Arial"/>
          <w:b/>
          <w:sz w:val="21"/>
          <w:szCs w:val="21"/>
        </w:rPr>
        <w:t xml:space="preserve"> SAS medicine notifications and applications</w:t>
      </w:r>
    </w:p>
    <w:bookmarkEnd w:id="206"/>
    <w:tbl>
      <w:tblPr>
        <w:tblW w:w="5000" w:type="pct"/>
        <w:tblLook w:val="04A0" w:firstRow="1" w:lastRow="0" w:firstColumn="1" w:lastColumn="0" w:noHBand="0" w:noVBand="1"/>
      </w:tblPr>
      <w:tblGrid>
        <w:gridCol w:w="5387"/>
        <w:gridCol w:w="1842"/>
        <w:gridCol w:w="1792"/>
      </w:tblGrid>
      <w:tr w:rsidR="0090257F" w:rsidRPr="00373DCC" w14:paraId="42CB258E" w14:textId="77777777" w:rsidTr="006B3369">
        <w:trPr>
          <w:trHeight w:val="340"/>
        </w:trPr>
        <w:tc>
          <w:tcPr>
            <w:tcW w:w="2986" w:type="pct"/>
            <w:tcBorders>
              <w:top w:val="nil"/>
              <w:left w:val="nil"/>
              <w:right w:val="single" w:sz="4" w:space="0" w:color="auto"/>
            </w:tcBorders>
            <w:shd w:val="clear" w:color="auto" w:fill="auto"/>
            <w:vAlign w:val="center"/>
            <w:hideMark/>
          </w:tcPr>
          <w:p w14:paraId="4E259E92" w14:textId="77777777" w:rsidR="0090257F" w:rsidRPr="00373DCC" w:rsidRDefault="0090257F" w:rsidP="0090257F">
            <w:pPr>
              <w:widowControl w:val="0"/>
              <w:spacing w:before="0" w:after="0" w:line="240" w:lineRule="auto"/>
              <w:rPr>
                <w:rFonts w:eastAsia="Times New Roman" w:cs="Arial"/>
                <w:sz w:val="21"/>
                <w:szCs w:val="21"/>
                <w:lang w:eastAsia="en-AU"/>
              </w:rPr>
            </w:pPr>
          </w:p>
        </w:tc>
        <w:tc>
          <w:tcPr>
            <w:tcW w:w="1021"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0A899335"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14412B25" w14:textId="5AE10549"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993"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320D3F1A"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2320F7B2" w14:textId="413A9CD1"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54A1FBF6" w14:textId="77777777" w:rsidTr="00710B91">
        <w:trPr>
          <w:trHeight w:val="340"/>
        </w:trPr>
        <w:tc>
          <w:tcPr>
            <w:tcW w:w="5000" w:type="pct"/>
            <w:gridSpan w:val="3"/>
            <w:tcBorders>
              <w:top w:val="single" w:sz="4" w:space="0" w:color="auto"/>
              <w:left w:val="single" w:sz="4" w:space="0" w:color="auto"/>
              <w:bottom w:val="single" w:sz="6" w:space="0" w:color="auto"/>
              <w:right w:val="single" w:sz="4" w:space="0" w:color="auto"/>
            </w:tcBorders>
            <w:shd w:val="clear" w:color="auto" w:fill="8CADD3"/>
            <w:vAlign w:val="center"/>
            <w:hideMark/>
          </w:tcPr>
          <w:p w14:paraId="197C67AC" w14:textId="77777777" w:rsidR="00F2350B" w:rsidRPr="00373DCC" w:rsidRDefault="00F2350B" w:rsidP="00710B91">
            <w:pPr>
              <w:tabs>
                <w:tab w:val="left" w:pos="907"/>
                <w:tab w:val="left" w:pos="1134"/>
              </w:tabs>
              <w:spacing w:before="0" w:after="0" w:line="240" w:lineRule="atLeast"/>
              <w:outlineLvl w:val="4"/>
              <w:rPr>
                <w:rFonts w:eastAsia="Cambria" w:cs="Arial"/>
                <w:color w:val="000000"/>
                <w:sz w:val="21"/>
                <w:szCs w:val="21"/>
                <w:lang w:eastAsia="en-AU"/>
              </w:rPr>
            </w:pPr>
            <w:r w:rsidRPr="00373DCC">
              <w:rPr>
                <w:rFonts w:eastAsia="Cambria" w:cs="Arial"/>
                <w:color w:val="000000"/>
                <w:sz w:val="21"/>
                <w:szCs w:val="21"/>
                <w:lang w:eastAsia="en-AU"/>
              </w:rPr>
              <w:t>Category A notifications</w:t>
            </w:r>
          </w:p>
        </w:tc>
      </w:tr>
      <w:tr w:rsidR="00F2350B" w:rsidRPr="00373DCC" w14:paraId="78417BD0" w14:textId="77777777" w:rsidTr="00710B91">
        <w:trPr>
          <w:trHeight w:val="340"/>
        </w:trPr>
        <w:tc>
          <w:tcPr>
            <w:tcW w:w="2986" w:type="pct"/>
            <w:tcBorders>
              <w:top w:val="single" w:sz="6" w:space="0" w:color="auto"/>
              <w:left w:val="single" w:sz="4" w:space="0" w:color="auto"/>
              <w:bottom w:val="single" w:sz="4" w:space="0" w:color="auto"/>
              <w:right w:val="single" w:sz="6" w:space="0" w:color="auto"/>
            </w:tcBorders>
            <w:shd w:val="clear" w:color="auto" w:fill="C6D4E9"/>
            <w:vAlign w:val="center"/>
            <w:hideMark/>
          </w:tcPr>
          <w:p w14:paraId="654BFB56"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Total Category A notifications</w:t>
            </w:r>
          </w:p>
        </w:tc>
        <w:tc>
          <w:tcPr>
            <w:tcW w:w="1021" w:type="pct"/>
            <w:tcBorders>
              <w:top w:val="single" w:sz="6" w:space="0" w:color="auto"/>
              <w:left w:val="single" w:sz="6" w:space="0" w:color="auto"/>
              <w:bottom w:val="single" w:sz="4" w:space="0" w:color="auto"/>
              <w:right w:val="single" w:sz="6" w:space="0" w:color="auto"/>
            </w:tcBorders>
            <w:shd w:val="clear" w:color="auto" w:fill="C6D4E9"/>
            <w:vAlign w:val="center"/>
          </w:tcPr>
          <w:p w14:paraId="2EF5EC75" w14:textId="77777777" w:rsidR="00F2350B" w:rsidRPr="00373DCC" w:rsidRDefault="00F2350B" w:rsidP="00710B91">
            <w:pPr>
              <w:spacing w:before="0" w:after="0" w:line="240" w:lineRule="atLeast"/>
              <w:contextualSpacing/>
              <w:jc w:val="right"/>
              <w:rPr>
                <w:rFonts w:cs="Arial"/>
                <w:sz w:val="21"/>
                <w:szCs w:val="21"/>
                <w:lang w:eastAsia="en-AU"/>
              </w:rPr>
            </w:pPr>
            <w:r w:rsidRPr="48ECC65F">
              <w:rPr>
                <w:rFonts w:cs="Arial"/>
                <w:sz w:val="21"/>
                <w:szCs w:val="21"/>
                <w:lang w:eastAsia="en-AU"/>
              </w:rPr>
              <w:t>25,305 (15%)</w:t>
            </w:r>
          </w:p>
        </w:tc>
        <w:tc>
          <w:tcPr>
            <w:tcW w:w="993" w:type="pct"/>
            <w:tcBorders>
              <w:top w:val="single" w:sz="6" w:space="0" w:color="auto"/>
              <w:left w:val="single" w:sz="6" w:space="0" w:color="auto"/>
              <w:bottom w:val="single" w:sz="4" w:space="0" w:color="auto"/>
              <w:right w:val="single" w:sz="4" w:space="0" w:color="auto"/>
            </w:tcBorders>
            <w:shd w:val="clear" w:color="auto" w:fill="C6D4E9"/>
            <w:vAlign w:val="center"/>
          </w:tcPr>
          <w:p w14:paraId="2B7D12A8"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32,962 (16%)</w:t>
            </w:r>
          </w:p>
        </w:tc>
      </w:tr>
      <w:tr w:rsidR="00F2350B" w:rsidRPr="00373DCC" w14:paraId="0F5AB3C4" w14:textId="77777777" w:rsidTr="00710B9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0337D107" w14:textId="77777777" w:rsidR="00F2350B" w:rsidRPr="00373DCC" w:rsidRDefault="00F2350B" w:rsidP="00710B91">
            <w:pPr>
              <w:tabs>
                <w:tab w:val="left" w:pos="907"/>
                <w:tab w:val="left" w:pos="1134"/>
              </w:tabs>
              <w:spacing w:before="0" w:after="0" w:line="240" w:lineRule="atLeast"/>
              <w:outlineLvl w:val="4"/>
              <w:rPr>
                <w:rFonts w:eastAsia="Cambria" w:cs="Arial"/>
                <w:color w:val="000000"/>
                <w:sz w:val="21"/>
                <w:szCs w:val="21"/>
                <w:lang w:eastAsia="en-AU"/>
              </w:rPr>
            </w:pPr>
            <w:r w:rsidRPr="00373DCC">
              <w:rPr>
                <w:rFonts w:eastAsia="Cambria" w:cs="Arial"/>
                <w:color w:val="000000"/>
                <w:sz w:val="21"/>
                <w:szCs w:val="21"/>
                <w:lang w:eastAsia="en-AU"/>
              </w:rPr>
              <w:t>Category B a</w:t>
            </w:r>
            <w:r w:rsidRPr="00373DCC">
              <w:rPr>
                <w:rFonts w:eastAsia="Cambria" w:cs="Arial"/>
                <w:color w:val="000000"/>
                <w:sz w:val="21"/>
                <w:szCs w:val="21"/>
                <w:shd w:val="clear" w:color="auto" w:fill="8CADD3"/>
                <w:lang w:eastAsia="en-AU"/>
              </w:rPr>
              <w:t>pplications</w:t>
            </w:r>
          </w:p>
        </w:tc>
      </w:tr>
      <w:tr w:rsidR="00F2350B" w:rsidRPr="00373DCC" w14:paraId="5315466C"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auto"/>
            <w:vAlign w:val="center"/>
            <w:hideMark/>
          </w:tcPr>
          <w:p w14:paraId="25AF1EDA"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Approved</w:t>
            </w:r>
          </w:p>
        </w:tc>
        <w:tc>
          <w:tcPr>
            <w:tcW w:w="1021" w:type="pct"/>
            <w:tcBorders>
              <w:top w:val="nil"/>
              <w:left w:val="nil"/>
              <w:bottom w:val="single" w:sz="4" w:space="0" w:color="auto"/>
              <w:right w:val="single" w:sz="4" w:space="0" w:color="auto"/>
            </w:tcBorders>
            <w:shd w:val="clear" w:color="auto" w:fill="auto"/>
            <w:vAlign w:val="center"/>
          </w:tcPr>
          <w:p w14:paraId="4A3F67F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121,938 (98%)</w:t>
            </w:r>
          </w:p>
        </w:tc>
        <w:tc>
          <w:tcPr>
            <w:tcW w:w="993" w:type="pct"/>
            <w:tcBorders>
              <w:top w:val="nil"/>
              <w:left w:val="nil"/>
              <w:bottom w:val="single" w:sz="4" w:space="0" w:color="auto"/>
              <w:right w:val="single" w:sz="4" w:space="0" w:color="auto"/>
            </w:tcBorders>
            <w:shd w:val="clear" w:color="auto" w:fill="auto"/>
            <w:vAlign w:val="center"/>
          </w:tcPr>
          <w:p w14:paraId="7D842F3E"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131,585 (98%)</w:t>
            </w:r>
          </w:p>
        </w:tc>
      </w:tr>
      <w:tr w:rsidR="00F2350B" w:rsidRPr="00373DCC" w14:paraId="045BC59D"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auto"/>
            <w:vAlign w:val="center"/>
            <w:hideMark/>
          </w:tcPr>
          <w:p w14:paraId="723B8276"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Cancelled</w:t>
            </w:r>
          </w:p>
        </w:tc>
        <w:tc>
          <w:tcPr>
            <w:tcW w:w="1021" w:type="pct"/>
            <w:tcBorders>
              <w:top w:val="nil"/>
              <w:left w:val="nil"/>
              <w:bottom w:val="single" w:sz="4" w:space="0" w:color="auto"/>
              <w:right w:val="single" w:sz="4" w:space="0" w:color="auto"/>
            </w:tcBorders>
            <w:shd w:val="clear" w:color="auto" w:fill="auto"/>
            <w:vAlign w:val="center"/>
          </w:tcPr>
          <w:p w14:paraId="7008D1EA"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78 (&lt;1%)</w:t>
            </w:r>
          </w:p>
        </w:tc>
        <w:tc>
          <w:tcPr>
            <w:tcW w:w="993" w:type="pct"/>
            <w:tcBorders>
              <w:top w:val="nil"/>
              <w:left w:val="nil"/>
              <w:bottom w:val="single" w:sz="4" w:space="0" w:color="auto"/>
              <w:right w:val="single" w:sz="4" w:space="0" w:color="auto"/>
            </w:tcBorders>
            <w:shd w:val="clear" w:color="auto" w:fill="auto"/>
            <w:vAlign w:val="center"/>
          </w:tcPr>
          <w:p w14:paraId="1D69F153"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305 (&lt;1%)</w:t>
            </w:r>
          </w:p>
        </w:tc>
      </w:tr>
      <w:tr w:rsidR="00F2350B" w:rsidRPr="00373DCC" w14:paraId="4FCBD875"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auto"/>
            <w:vAlign w:val="center"/>
          </w:tcPr>
          <w:p w14:paraId="4FB8BDF3"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Withdrawn</w:t>
            </w:r>
          </w:p>
        </w:tc>
        <w:tc>
          <w:tcPr>
            <w:tcW w:w="1021" w:type="pct"/>
            <w:tcBorders>
              <w:top w:val="nil"/>
              <w:left w:val="nil"/>
              <w:bottom w:val="single" w:sz="4" w:space="0" w:color="auto"/>
              <w:right w:val="single" w:sz="4" w:space="0" w:color="auto"/>
            </w:tcBorders>
            <w:shd w:val="clear" w:color="auto" w:fill="auto"/>
            <w:vAlign w:val="center"/>
          </w:tcPr>
          <w:p w14:paraId="7D5BE9AB"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665 (&lt;1 %)</w:t>
            </w:r>
          </w:p>
        </w:tc>
        <w:tc>
          <w:tcPr>
            <w:tcW w:w="993" w:type="pct"/>
            <w:tcBorders>
              <w:top w:val="nil"/>
              <w:left w:val="nil"/>
              <w:bottom w:val="single" w:sz="4" w:space="0" w:color="auto"/>
              <w:right w:val="single" w:sz="4" w:space="0" w:color="auto"/>
            </w:tcBorders>
            <w:shd w:val="clear" w:color="auto" w:fill="auto"/>
            <w:vAlign w:val="center"/>
          </w:tcPr>
          <w:p w14:paraId="4A202F85"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1,480 (1%)</w:t>
            </w:r>
          </w:p>
        </w:tc>
      </w:tr>
      <w:tr w:rsidR="00F2350B" w:rsidRPr="00373DCC" w14:paraId="15510913"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auto"/>
            <w:vAlign w:val="center"/>
            <w:hideMark/>
          </w:tcPr>
          <w:p w14:paraId="5A3BE3DC"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Rejected</w:t>
            </w:r>
          </w:p>
        </w:tc>
        <w:tc>
          <w:tcPr>
            <w:tcW w:w="1021" w:type="pct"/>
            <w:tcBorders>
              <w:top w:val="nil"/>
              <w:left w:val="nil"/>
              <w:bottom w:val="single" w:sz="4" w:space="0" w:color="auto"/>
              <w:right w:val="single" w:sz="4" w:space="0" w:color="auto"/>
            </w:tcBorders>
            <w:shd w:val="clear" w:color="auto" w:fill="auto"/>
            <w:vAlign w:val="center"/>
          </w:tcPr>
          <w:p w14:paraId="46A14337"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0 (0%)</w:t>
            </w:r>
          </w:p>
        </w:tc>
        <w:tc>
          <w:tcPr>
            <w:tcW w:w="993" w:type="pct"/>
            <w:tcBorders>
              <w:top w:val="nil"/>
              <w:left w:val="nil"/>
              <w:bottom w:val="single" w:sz="4" w:space="0" w:color="auto"/>
              <w:right w:val="single" w:sz="4" w:space="0" w:color="auto"/>
            </w:tcBorders>
            <w:shd w:val="clear" w:color="auto" w:fill="auto"/>
            <w:vAlign w:val="center"/>
          </w:tcPr>
          <w:p w14:paraId="339C7C15"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13 (&lt;1%)</w:t>
            </w:r>
          </w:p>
        </w:tc>
      </w:tr>
      <w:tr w:rsidR="00F2350B" w:rsidRPr="00373DCC" w14:paraId="3A0107DC"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auto"/>
            <w:vAlign w:val="center"/>
            <w:hideMark/>
          </w:tcPr>
          <w:p w14:paraId="60D5D067"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Pending at end of reporting period</w:t>
            </w:r>
          </w:p>
        </w:tc>
        <w:tc>
          <w:tcPr>
            <w:tcW w:w="1021" w:type="pct"/>
            <w:tcBorders>
              <w:top w:val="nil"/>
              <w:left w:val="nil"/>
              <w:bottom w:val="single" w:sz="4" w:space="0" w:color="auto"/>
              <w:right w:val="single" w:sz="4" w:space="0" w:color="auto"/>
            </w:tcBorders>
            <w:shd w:val="clear" w:color="auto" w:fill="auto"/>
            <w:vAlign w:val="center"/>
          </w:tcPr>
          <w:p w14:paraId="05A8E998"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1,411 (1%)</w:t>
            </w:r>
          </w:p>
        </w:tc>
        <w:tc>
          <w:tcPr>
            <w:tcW w:w="993" w:type="pct"/>
            <w:tcBorders>
              <w:top w:val="nil"/>
              <w:left w:val="nil"/>
              <w:bottom w:val="single" w:sz="4" w:space="0" w:color="auto"/>
              <w:right w:val="single" w:sz="4" w:space="0" w:color="auto"/>
            </w:tcBorders>
            <w:shd w:val="clear" w:color="auto" w:fill="auto"/>
            <w:vAlign w:val="center"/>
          </w:tcPr>
          <w:p w14:paraId="3C162E75"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1,088 (1%)</w:t>
            </w:r>
          </w:p>
        </w:tc>
      </w:tr>
      <w:tr w:rsidR="00F2350B" w:rsidRPr="00373DCC" w14:paraId="30CB815D" w14:textId="77777777" w:rsidTr="00710B91">
        <w:trPr>
          <w:trHeight w:val="340"/>
        </w:trPr>
        <w:tc>
          <w:tcPr>
            <w:tcW w:w="2986" w:type="pct"/>
            <w:tcBorders>
              <w:top w:val="nil"/>
              <w:left w:val="single" w:sz="4" w:space="0" w:color="auto"/>
              <w:bottom w:val="single" w:sz="4" w:space="0" w:color="auto"/>
              <w:right w:val="single" w:sz="4" w:space="0" w:color="auto"/>
            </w:tcBorders>
            <w:shd w:val="clear" w:color="auto" w:fill="C6D4E9"/>
            <w:vAlign w:val="center"/>
          </w:tcPr>
          <w:p w14:paraId="54975617"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Total Category B applications</w:t>
            </w:r>
          </w:p>
        </w:tc>
        <w:tc>
          <w:tcPr>
            <w:tcW w:w="1021" w:type="pct"/>
            <w:tcBorders>
              <w:top w:val="nil"/>
              <w:left w:val="nil"/>
              <w:bottom w:val="single" w:sz="4" w:space="0" w:color="auto"/>
              <w:right w:val="single" w:sz="4" w:space="0" w:color="auto"/>
            </w:tcBorders>
            <w:shd w:val="clear" w:color="auto" w:fill="C6D4E9"/>
            <w:vAlign w:val="center"/>
          </w:tcPr>
          <w:p w14:paraId="4CCEA205" w14:textId="77777777" w:rsidR="00F2350B" w:rsidRPr="00373DCC" w:rsidRDefault="00F2350B" w:rsidP="00710B91">
            <w:pPr>
              <w:spacing w:before="0" w:after="0" w:line="240" w:lineRule="atLeast"/>
              <w:contextualSpacing/>
              <w:jc w:val="right"/>
              <w:rPr>
                <w:rFonts w:cs="Arial"/>
                <w:sz w:val="21"/>
                <w:szCs w:val="21"/>
                <w:lang w:eastAsia="en-AU"/>
              </w:rPr>
            </w:pPr>
            <w:r w:rsidRPr="00373DCC">
              <w:rPr>
                <w:rFonts w:cs="Arial"/>
                <w:sz w:val="21"/>
                <w:szCs w:val="21"/>
                <w:lang w:eastAsia="en-AU"/>
              </w:rPr>
              <w:t>124,092 (74%)</w:t>
            </w:r>
          </w:p>
        </w:tc>
        <w:tc>
          <w:tcPr>
            <w:tcW w:w="993" w:type="pct"/>
            <w:tcBorders>
              <w:top w:val="nil"/>
              <w:left w:val="nil"/>
              <w:bottom w:val="single" w:sz="4" w:space="0" w:color="auto"/>
              <w:right w:val="single" w:sz="4" w:space="0" w:color="auto"/>
            </w:tcBorders>
            <w:shd w:val="clear" w:color="auto" w:fill="C6D4E9"/>
            <w:vAlign w:val="center"/>
          </w:tcPr>
          <w:p w14:paraId="2E2A88B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134,471 (67%)</w:t>
            </w:r>
          </w:p>
        </w:tc>
      </w:tr>
      <w:tr w:rsidR="00F2350B" w:rsidRPr="00373DCC" w14:paraId="3998C6DC" w14:textId="77777777" w:rsidTr="00710B9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0A2E9F0F" w14:textId="77777777" w:rsidR="00F2350B" w:rsidRPr="00373DCC" w:rsidRDefault="00F2350B" w:rsidP="00710B91">
            <w:pPr>
              <w:tabs>
                <w:tab w:val="left" w:pos="907"/>
                <w:tab w:val="left" w:pos="1134"/>
              </w:tabs>
              <w:spacing w:before="0" w:after="0" w:line="240" w:lineRule="atLeast"/>
              <w:outlineLvl w:val="4"/>
              <w:rPr>
                <w:rFonts w:eastAsia="Cambria" w:cs="Arial"/>
                <w:sz w:val="21"/>
                <w:szCs w:val="21"/>
                <w:lang w:eastAsia="en-AU"/>
              </w:rPr>
            </w:pPr>
            <w:r w:rsidRPr="00373DCC">
              <w:rPr>
                <w:rFonts w:eastAsia="Cambria" w:cs="Arial"/>
                <w:color w:val="000000"/>
                <w:sz w:val="21"/>
                <w:szCs w:val="21"/>
              </w:rPr>
              <w:t>Category C notifications</w:t>
            </w:r>
          </w:p>
        </w:tc>
      </w:tr>
      <w:tr w:rsidR="00F2350B" w:rsidRPr="00373DCC" w14:paraId="5D515194" w14:textId="77777777" w:rsidTr="00710B91">
        <w:trPr>
          <w:trHeight w:val="340"/>
        </w:trPr>
        <w:tc>
          <w:tcPr>
            <w:tcW w:w="2986" w:type="pct"/>
            <w:tcBorders>
              <w:top w:val="single" w:sz="4" w:space="0" w:color="auto"/>
              <w:left w:val="single" w:sz="4" w:space="0" w:color="auto"/>
              <w:bottom w:val="single" w:sz="4" w:space="0" w:color="auto"/>
              <w:right w:val="single" w:sz="4" w:space="0" w:color="auto"/>
            </w:tcBorders>
            <w:shd w:val="clear" w:color="auto" w:fill="C6D4E9"/>
            <w:vAlign w:val="center"/>
          </w:tcPr>
          <w:p w14:paraId="3511B98B"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Total Category C notifications</w:t>
            </w:r>
          </w:p>
        </w:tc>
        <w:tc>
          <w:tcPr>
            <w:tcW w:w="1021" w:type="pct"/>
            <w:tcBorders>
              <w:top w:val="single" w:sz="4" w:space="0" w:color="auto"/>
              <w:left w:val="nil"/>
              <w:bottom w:val="single" w:sz="4" w:space="0" w:color="auto"/>
              <w:right w:val="single" w:sz="4" w:space="0" w:color="auto"/>
            </w:tcBorders>
            <w:shd w:val="clear" w:color="auto" w:fill="C6D4E9"/>
            <w:vAlign w:val="center"/>
          </w:tcPr>
          <w:p w14:paraId="0407D840" w14:textId="77777777" w:rsidR="00F2350B" w:rsidRPr="00373DCC" w:rsidDel="00037610" w:rsidRDefault="00F2350B" w:rsidP="00710B91">
            <w:pPr>
              <w:widowControl w:val="0"/>
              <w:spacing w:before="0" w:after="0" w:line="240" w:lineRule="atLeast"/>
              <w:contextualSpacing/>
              <w:jc w:val="right"/>
              <w:rPr>
                <w:rFonts w:cs="Arial"/>
                <w:bCs/>
                <w:sz w:val="21"/>
                <w:szCs w:val="21"/>
                <w:lang w:eastAsia="en-AU"/>
              </w:rPr>
            </w:pPr>
            <w:r w:rsidRPr="00373DCC">
              <w:rPr>
                <w:rFonts w:cs="Arial"/>
                <w:bCs/>
                <w:sz w:val="21"/>
                <w:szCs w:val="21"/>
                <w:lang w:eastAsia="en-AU"/>
              </w:rPr>
              <w:t>19,399 (12%)</w:t>
            </w:r>
          </w:p>
        </w:tc>
        <w:tc>
          <w:tcPr>
            <w:tcW w:w="993" w:type="pct"/>
            <w:tcBorders>
              <w:top w:val="single" w:sz="4" w:space="0" w:color="auto"/>
              <w:left w:val="nil"/>
              <w:bottom w:val="single" w:sz="4" w:space="0" w:color="auto"/>
              <w:right w:val="single" w:sz="4" w:space="0" w:color="auto"/>
            </w:tcBorders>
            <w:shd w:val="clear" w:color="auto" w:fill="C6D4E9"/>
            <w:vAlign w:val="center"/>
          </w:tcPr>
          <w:p w14:paraId="3BFFBF0E" w14:textId="77777777" w:rsidR="00F2350B" w:rsidRPr="00373DCC" w:rsidRDefault="00F2350B" w:rsidP="00710B91">
            <w:pPr>
              <w:widowControl w:val="0"/>
              <w:spacing w:before="0" w:after="0" w:line="240" w:lineRule="atLeast"/>
              <w:contextualSpacing/>
              <w:jc w:val="right"/>
              <w:rPr>
                <w:rFonts w:cs="Arial"/>
                <w:bCs/>
                <w:sz w:val="21"/>
                <w:szCs w:val="21"/>
                <w:lang w:eastAsia="en-AU"/>
              </w:rPr>
            </w:pPr>
            <w:r w:rsidRPr="00373DCC">
              <w:rPr>
                <w:rFonts w:cs="Arial"/>
                <w:sz w:val="21"/>
                <w:szCs w:val="21"/>
                <w:lang w:eastAsia="en-AU"/>
              </w:rPr>
              <w:t>32,646 (16%)</w:t>
            </w:r>
          </w:p>
        </w:tc>
      </w:tr>
      <w:tr w:rsidR="00F2350B" w:rsidRPr="00373DCC" w14:paraId="74FD04C8" w14:textId="77777777" w:rsidTr="00710B91">
        <w:trPr>
          <w:trHeight w:val="340"/>
        </w:trPr>
        <w:tc>
          <w:tcPr>
            <w:tcW w:w="2986" w:type="pct"/>
            <w:tcBorders>
              <w:top w:val="single" w:sz="4" w:space="0" w:color="auto"/>
              <w:left w:val="single" w:sz="4" w:space="0" w:color="auto"/>
              <w:bottom w:val="single" w:sz="4" w:space="0" w:color="auto"/>
              <w:right w:val="single" w:sz="4" w:space="0" w:color="auto"/>
            </w:tcBorders>
            <w:shd w:val="clear" w:color="auto" w:fill="C6D4E9"/>
            <w:vAlign w:val="center"/>
          </w:tcPr>
          <w:p w14:paraId="13B37E46"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Total SAS notifications/applications received (all categories)</w:t>
            </w:r>
          </w:p>
        </w:tc>
        <w:tc>
          <w:tcPr>
            <w:tcW w:w="1021" w:type="pct"/>
            <w:tcBorders>
              <w:top w:val="single" w:sz="4" w:space="0" w:color="auto"/>
              <w:left w:val="nil"/>
              <w:bottom w:val="single" w:sz="4" w:space="0" w:color="auto"/>
              <w:right w:val="single" w:sz="4" w:space="0" w:color="auto"/>
            </w:tcBorders>
            <w:shd w:val="clear" w:color="auto" w:fill="C6D4E9"/>
            <w:vAlign w:val="center"/>
          </w:tcPr>
          <w:p w14:paraId="67FFFF4C" w14:textId="77777777" w:rsidR="00F2350B" w:rsidRPr="00373DCC" w:rsidRDefault="00F2350B" w:rsidP="00710B91">
            <w:pPr>
              <w:spacing w:before="0" w:after="0" w:line="240" w:lineRule="atLeast"/>
              <w:contextualSpacing/>
              <w:jc w:val="right"/>
              <w:rPr>
                <w:rFonts w:cs="Arial"/>
                <w:bCs/>
                <w:sz w:val="21"/>
                <w:szCs w:val="21"/>
                <w:lang w:eastAsia="en-AU"/>
              </w:rPr>
            </w:pPr>
            <w:r w:rsidRPr="00373DCC">
              <w:rPr>
                <w:rFonts w:cs="Arial"/>
                <w:bCs/>
                <w:sz w:val="21"/>
                <w:szCs w:val="21"/>
                <w:lang w:eastAsia="en-AU"/>
              </w:rPr>
              <w:t>168,796 (100%)</w:t>
            </w:r>
          </w:p>
        </w:tc>
        <w:tc>
          <w:tcPr>
            <w:tcW w:w="993" w:type="pct"/>
            <w:tcBorders>
              <w:top w:val="single" w:sz="4" w:space="0" w:color="auto"/>
              <w:left w:val="nil"/>
              <w:bottom w:val="single" w:sz="4" w:space="0" w:color="auto"/>
              <w:right w:val="single" w:sz="4" w:space="0" w:color="auto"/>
            </w:tcBorders>
            <w:shd w:val="clear" w:color="auto" w:fill="C6D4E9"/>
            <w:vAlign w:val="center"/>
          </w:tcPr>
          <w:p w14:paraId="62F1E577" w14:textId="77777777" w:rsidR="00F2350B" w:rsidRPr="00373DCC" w:rsidRDefault="00F2350B" w:rsidP="00710B91">
            <w:pPr>
              <w:widowControl w:val="0"/>
              <w:spacing w:before="0" w:after="0" w:line="240" w:lineRule="atLeast"/>
              <w:contextualSpacing/>
              <w:jc w:val="right"/>
              <w:rPr>
                <w:rFonts w:cs="Arial"/>
                <w:bCs/>
                <w:sz w:val="21"/>
                <w:szCs w:val="21"/>
                <w:lang w:eastAsia="en-AU"/>
              </w:rPr>
            </w:pPr>
            <w:r w:rsidRPr="00373DCC">
              <w:rPr>
                <w:rFonts w:cs="Arial"/>
                <w:sz w:val="21"/>
                <w:szCs w:val="21"/>
                <w:lang w:eastAsia="en-AU"/>
              </w:rPr>
              <w:t>200,079 (100%)</w:t>
            </w:r>
          </w:p>
        </w:tc>
      </w:tr>
    </w:tbl>
    <w:p w14:paraId="29AD64D8" w14:textId="77777777" w:rsidR="00F2350B" w:rsidRPr="00373DCC" w:rsidRDefault="00F2350B" w:rsidP="00F2350B">
      <w:pPr>
        <w:rPr>
          <w:rFonts w:eastAsia="Cambria" w:cs="Arial"/>
          <w:b/>
          <w:szCs w:val="22"/>
        </w:rPr>
      </w:pPr>
    </w:p>
    <w:p w14:paraId="7C02736E" w14:textId="77777777" w:rsidR="00F2350B" w:rsidRPr="00373DCC" w:rsidRDefault="00F2350B" w:rsidP="00F2350B">
      <w:pPr>
        <w:rPr>
          <w:rFonts w:eastAsia="Cambria" w:cs="Arial"/>
          <w:b/>
          <w:szCs w:val="22"/>
        </w:rPr>
      </w:pPr>
      <w:bookmarkStart w:id="207" w:name="Table53"/>
      <w:r w:rsidRPr="00373DCC">
        <w:rPr>
          <w:rFonts w:eastAsia="Cambria" w:cs="Arial"/>
          <w:b/>
          <w:szCs w:val="22"/>
        </w:rPr>
        <w:br w:type="page"/>
      </w:r>
    </w:p>
    <w:p w14:paraId="05132F50" w14:textId="77777777" w:rsidR="00F2350B" w:rsidRPr="00373DCC" w:rsidRDefault="00F2350B" w:rsidP="00F2350B">
      <w:pPr>
        <w:rPr>
          <w:rFonts w:eastAsia="Cambria" w:cs="Arial"/>
          <w:b/>
          <w:bCs/>
          <w:sz w:val="21"/>
          <w:szCs w:val="21"/>
        </w:rPr>
      </w:pPr>
      <w:r w:rsidRPr="00373DCC">
        <w:rPr>
          <w:rFonts w:eastAsia="Cambria" w:cs="Arial"/>
          <w:b/>
          <w:sz w:val="21"/>
          <w:szCs w:val="21"/>
        </w:rPr>
        <w:lastRenderedPageBreak/>
        <w:t xml:space="preserve">Table </w:t>
      </w:r>
      <w:r w:rsidRPr="00373DCC">
        <w:rPr>
          <w:rFonts w:eastAsia="Cambria" w:cs="Arial"/>
          <w:b/>
          <w:bCs/>
          <w:sz w:val="21"/>
          <w:szCs w:val="21"/>
        </w:rPr>
        <w:t>53:</w:t>
      </w:r>
      <w:r w:rsidRPr="00373DCC">
        <w:rPr>
          <w:rFonts w:eastAsia="Cambria" w:cs="Arial"/>
          <w:b/>
          <w:sz w:val="21"/>
          <w:szCs w:val="21"/>
        </w:rPr>
        <w:t xml:space="preserve"> SAS medical device notifications and applications</w:t>
      </w:r>
    </w:p>
    <w:bookmarkEnd w:id="207"/>
    <w:tbl>
      <w:tblPr>
        <w:tblW w:w="5000" w:type="pct"/>
        <w:tblLook w:val="04A0" w:firstRow="1" w:lastRow="0" w:firstColumn="1" w:lastColumn="0" w:noHBand="0" w:noVBand="1"/>
      </w:tblPr>
      <w:tblGrid>
        <w:gridCol w:w="5811"/>
        <w:gridCol w:w="1561"/>
        <w:gridCol w:w="1649"/>
      </w:tblGrid>
      <w:tr w:rsidR="0090257F" w:rsidRPr="00373DCC" w14:paraId="196DB99C" w14:textId="77777777" w:rsidTr="00D322B0">
        <w:trPr>
          <w:trHeight w:val="340"/>
        </w:trPr>
        <w:tc>
          <w:tcPr>
            <w:tcW w:w="3221" w:type="pct"/>
            <w:tcBorders>
              <w:top w:val="nil"/>
              <w:left w:val="nil"/>
              <w:right w:val="single" w:sz="4" w:space="0" w:color="auto"/>
            </w:tcBorders>
            <w:shd w:val="clear" w:color="auto" w:fill="auto"/>
            <w:vAlign w:val="center"/>
            <w:hideMark/>
          </w:tcPr>
          <w:p w14:paraId="4C0AB65A" w14:textId="77777777" w:rsidR="0090257F" w:rsidRPr="00373DCC" w:rsidRDefault="0090257F" w:rsidP="0090257F">
            <w:pPr>
              <w:widowControl w:val="0"/>
              <w:spacing w:before="0" w:after="0" w:line="240" w:lineRule="auto"/>
              <w:rPr>
                <w:rFonts w:eastAsia="Times New Roman" w:cs="Arial"/>
                <w:sz w:val="21"/>
                <w:szCs w:val="21"/>
                <w:lang w:eastAsia="en-AU"/>
              </w:rPr>
            </w:pPr>
          </w:p>
        </w:tc>
        <w:tc>
          <w:tcPr>
            <w:tcW w:w="865"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206292C2"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52026D91" w14:textId="00A4D0B5"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914"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3E8F1A5C"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42322978" w14:textId="12F318DC"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36F3CC75" w14:textId="77777777" w:rsidTr="00710B9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114C4B5C" w14:textId="77777777" w:rsidR="00F2350B" w:rsidRPr="00373DCC" w:rsidRDefault="00F2350B" w:rsidP="00710B91">
            <w:pPr>
              <w:tabs>
                <w:tab w:val="left" w:pos="907"/>
                <w:tab w:val="left" w:pos="1134"/>
              </w:tabs>
              <w:spacing w:before="0" w:after="0" w:line="240" w:lineRule="atLeast"/>
              <w:outlineLvl w:val="4"/>
              <w:rPr>
                <w:rFonts w:eastAsia="Cambria" w:cs="Arial"/>
                <w:color w:val="000000"/>
                <w:sz w:val="21"/>
                <w:szCs w:val="21"/>
                <w:lang w:eastAsia="en-AU"/>
              </w:rPr>
            </w:pPr>
            <w:r w:rsidRPr="00373DCC">
              <w:rPr>
                <w:rFonts w:eastAsia="Cambria" w:cs="Arial"/>
                <w:color w:val="000000"/>
                <w:sz w:val="21"/>
                <w:szCs w:val="21"/>
                <w:lang w:eastAsia="en-AU"/>
              </w:rPr>
              <w:t>Category A notifications</w:t>
            </w:r>
          </w:p>
        </w:tc>
      </w:tr>
      <w:tr w:rsidR="00F2350B" w:rsidRPr="00373DCC" w14:paraId="46842C05"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C6D4E9"/>
            <w:vAlign w:val="center"/>
            <w:hideMark/>
          </w:tcPr>
          <w:p w14:paraId="41F77BA5"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Total Category A notifications</w:t>
            </w:r>
          </w:p>
        </w:tc>
        <w:tc>
          <w:tcPr>
            <w:tcW w:w="865" w:type="pct"/>
            <w:tcBorders>
              <w:top w:val="nil"/>
              <w:left w:val="nil"/>
              <w:bottom w:val="single" w:sz="4" w:space="0" w:color="auto"/>
              <w:right w:val="single" w:sz="4" w:space="0" w:color="auto"/>
            </w:tcBorders>
            <w:shd w:val="clear" w:color="auto" w:fill="C6D4E9"/>
            <w:vAlign w:val="center"/>
            <w:hideMark/>
          </w:tcPr>
          <w:p w14:paraId="4E4F4C4C"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3,662 (43%)</w:t>
            </w:r>
          </w:p>
        </w:tc>
        <w:tc>
          <w:tcPr>
            <w:tcW w:w="914" w:type="pct"/>
            <w:tcBorders>
              <w:top w:val="nil"/>
              <w:left w:val="nil"/>
              <w:bottom w:val="single" w:sz="4" w:space="0" w:color="auto"/>
              <w:right w:val="single" w:sz="4" w:space="0" w:color="auto"/>
            </w:tcBorders>
            <w:shd w:val="clear" w:color="auto" w:fill="C6D4E9"/>
            <w:vAlign w:val="center"/>
          </w:tcPr>
          <w:p w14:paraId="532ED3E7"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48ECC65F">
              <w:rPr>
                <w:rFonts w:cs="Arial"/>
                <w:sz w:val="21"/>
                <w:szCs w:val="21"/>
                <w:lang w:eastAsia="en-AU"/>
              </w:rPr>
              <w:t>4,999 (40%)</w:t>
            </w:r>
          </w:p>
        </w:tc>
      </w:tr>
      <w:tr w:rsidR="00F2350B" w:rsidRPr="00373DCC" w14:paraId="39B323D8" w14:textId="77777777" w:rsidTr="00710B9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57999342" w14:textId="77777777" w:rsidR="00F2350B" w:rsidRPr="00373DCC" w:rsidRDefault="00F2350B" w:rsidP="00710B91">
            <w:pPr>
              <w:tabs>
                <w:tab w:val="left" w:pos="907"/>
                <w:tab w:val="left" w:pos="1134"/>
              </w:tabs>
              <w:spacing w:before="0" w:after="0" w:line="240" w:lineRule="atLeast"/>
              <w:outlineLvl w:val="4"/>
              <w:rPr>
                <w:rFonts w:eastAsia="Cambria" w:cs="Arial"/>
                <w:sz w:val="21"/>
                <w:szCs w:val="21"/>
                <w:lang w:eastAsia="en-AU"/>
              </w:rPr>
            </w:pPr>
            <w:r w:rsidRPr="00373DCC">
              <w:rPr>
                <w:rFonts w:eastAsia="Cambria" w:cs="Arial"/>
                <w:color w:val="000000"/>
                <w:sz w:val="21"/>
                <w:szCs w:val="21"/>
              </w:rPr>
              <w:t>Category B applications</w:t>
            </w:r>
          </w:p>
        </w:tc>
      </w:tr>
      <w:tr w:rsidR="00F2350B" w:rsidRPr="00373DCC" w14:paraId="13DA8488"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auto"/>
            <w:vAlign w:val="center"/>
            <w:hideMark/>
          </w:tcPr>
          <w:p w14:paraId="2872D948"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Approved</w:t>
            </w:r>
          </w:p>
        </w:tc>
        <w:tc>
          <w:tcPr>
            <w:tcW w:w="865" w:type="pct"/>
            <w:tcBorders>
              <w:top w:val="nil"/>
              <w:left w:val="nil"/>
              <w:bottom w:val="single" w:sz="4" w:space="0" w:color="auto"/>
              <w:right w:val="single" w:sz="4" w:space="0" w:color="auto"/>
            </w:tcBorders>
            <w:shd w:val="clear" w:color="auto" w:fill="auto"/>
            <w:vAlign w:val="center"/>
          </w:tcPr>
          <w:p w14:paraId="59066164"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3,559 (93%)</w:t>
            </w:r>
          </w:p>
        </w:tc>
        <w:tc>
          <w:tcPr>
            <w:tcW w:w="914" w:type="pct"/>
            <w:tcBorders>
              <w:top w:val="nil"/>
              <w:left w:val="nil"/>
              <w:bottom w:val="single" w:sz="4" w:space="0" w:color="auto"/>
              <w:right w:val="single" w:sz="4" w:space="0" w:color="auto"/>
            </w:tcBorders>
            <w:shd w:val="clear" w:color="auto" w:fill="auto"/>
            <w:vAlign w:val="center"/>
          </w:tcPr>
          <w:p w14:paraId="64D3290B"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5,471 (90%)</w:t>
            </w:r>
          </w:p>
        </w:tc>
      </w:tr>
      <w:tr w:rsidR="00F2350B" w:rsidRPr="00373DCC" w14:paraId="3DB6987F"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auto"/>
            <w:vAlign w:val="center"/>
            <w:hideMark/>
          </w:tcPr>
          <w:p w14:paraId="411B20B6"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Cancelled</w:t>
            </w:r>
          </w:p>
        </w:tc>
        <w:tc>
          <w:tcPr>
            <w:tcW w:w="865" w:type="pct"/>
            <w:tcBorders>
              <w:top w:val="nil"/>
              <w:left w:val="nil"/>
              <w:bottom w:val="single" w:sz="4" w:space="0" w:color="auto"/>
              <w:right w:val="single" w:sz="4" w:space="0" w:color="auto"/>
            </w:tcBorders>
            <w:shd w:val="clear" w:color="auto" w:fill="auto"/>
            <w:vAlign w:val="center"/>
          </w:tcPr>
          <w:p w14:paraId="48C2AEA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23 (&lt;1%)</w:t>
            </w:r>
          </w:p>
        </w:tc>
        <w:tc>
          <w:tcPr>
            <w:tcW w:w="914" w:type="pct"/>
            <w:tcBorders>
              <w:top w:val="nil"/>
              <w:left w:val="nil"/>
              <w:bottom w:val="single" w:sz="4" w:space="0" w:color="auto"/>
              <w:right w:val="single" w:sz="4" w:space="0" w:color="auto"/>
            </w:tcBorders>
            <w:shd w:val="clear" w:color="auto" w:fill="auto"/>
            <w:vAlign w:val="center"/>
          </w:tcPr>
          <w:p w14:paraId="6FB2E98C"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64 (1%)</w:t>
            </w:r>
          </w:p>
        </w:tc>
      </w:tr>
      <w:tr w:rsidR="00F2350B" w:rsidRPr="00373DCC" w14:paraId="6FF713E5"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auto"/>
            <w:vAlign w:val="center"/>
          </w:tcPr>
          <w:p w14:paraId="210504B3"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Withdrawn</w:t>
            </w:r>
          </w:p>
        </w:tc>
        <w:tc>
          <w:tcPr>
            <w:tcW w:w="865" w:type="pct"/>
            <w:tcBorders>
              <w:top w:val="nil"/>
              <w:left w:val="nil"/>
              <w:bottom w:val="single" w:sz="4" w:space="0" w:color="auto"/>
              <w:right w:val="single" w:sz="4" w:space="0" w:color="auto"/>
            </w:tcBorders>
            <w:shd w:val="clear" w:color="auto" w:fill="auto"/>
            <w:vAlign w:val="center"/>
          </w:tcPr>
          <w:p w14:paraId="58920238"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64 (2%)</w:t>
            </w:r>
          </w:p>
        </w:tc>
        <w:tc>
          <w:tcPr>
            <w:tcW w:w="914" w:type="pct"/>
            <w:tcBorders>
              <w:top w:val="nil"/>
              <w:left w:val="nil"/>
              <w:bottom w:val="single" w:sz="4" w:space="0" w:color="auto"/>
              <w:right w:val="single" w:sz="4" w:space="0" w:color="auto"/>
            </w:tcBorders>
            <w:shd w:val="clear" w:color="auto" w:fill="auto"/>
            <w:vAlign w:val="center"/>
          </w:tcPr>
          <w:p w14:paraId="746C0B3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81 (1%)</w:t>
            </w:r>
          </w:p>
        </w:tc>
      </w:tr>
      <w:tr w:rsidR="00F2350B" w:rsidRPr="00373DCC" w14:paraId="5244E896"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auto"/>
            <w:vAlign w:val="center"/>
            <w:hideMark/>
          </w:tcPr>
          <w:p w14:paraId="74C32D00"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Rejected</w:t>
            </w:r>
          </w:p>
        </w:tc>
        <w:tc>
          <w:tcPr>
            <w:tcW w:w="865" w:type="pct"/>
            <w:tcBorders>
              <w:top w:val="nil"/>
              <w:left w:val="nil"/>
              <w:bottom w:val="single" w:sz="4" w:space="0" w:color="auto"/>
              <w:right w:val="single" w:sz="4" w:space="0" w:color="auto"/>
            </w:tcBorders>
            <w:shd w:val="clear" w:color="auto" w:fill="auto"/>
            <w:vAlign w:val="center"/>
          </w:tcPr>
          <w:p w14:paraId="7EA26018"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 (&lt;1%)</w:t>
            </w:r>
          </w:p>
        </w:tc>
        <w:tc>
          <w:tcPr>
            <w:tcW w:w="914" w:type="pct"/>
            <w:tcBorders>
              <w:top w:val="nil"/>
              <w:left w:val="nil"/>
              <w:bottom w:val="single" w:sz="4" w:space="0" w:color="auto"/>
              <w:right w:val="single" w:sz="4" w:space="0" w:color="auto"/>
            </w:tcBorders>
            <w:shd w:val="clear" w:color="auto" w:fill="auto"/>
            <w:vAlign w:val="center"/>
          </w:tcPr>
          <w:p w14:paraId="364D65BE"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9 (&lt;1%)</w:t>
            </w:r>
          </w:p>
        </w:tc>
      </w:tr>
      <w:tr w:rsidR="00F2350B" w:rsidRPr="00373DCC" w14:paraId="44A826CF" w14:textId="77777777" w:rsidTr="00710B91">
        <w:trPr>
          <w:trHeight w:val="340"/>
        </w:trPr>
        <w:tc>
          <w:tcPr>
            <w:tcW w:w="3221" w:type="pct"/>
            <w:tcBorders>
              <w:top w:val="nil"/>
              <w:left w:val="single" w:sz="4" w:space="0" w:color="auto"/>
              <w:bottom w:val="single" w:sz="4" w:space="0" w:color="auto"/>
              <w:right w:val="single" w:sz="4" w:space="0" w:color="auto"/>
            </w:tcBorders>
            <w:shd w:val="clear" w:color="auto" w:fill="auto"/>
            <w:vAlign w:val="center"/>
            <w:hideMark/>
          </w:tcPr>
          <w:p w14:paraId="389BB608" w14:textId="77777777" w:rsidR="00F2350B" w:rsidRPr="00373DCC" w:rsidRDefault="00F2350B" w:rsidP="00710B91">
            <w:pPr>
              <w:spacing w:before="0" w:after="0" w:line="240" w:lineRule="atLeast"/>
              <w:ind w:left="142"/>
              <w:contextualSpacing/>
              <w:rPr>
                <w:rFonts w:cs="Arial"/>
                <w:sz w:val="21"/>
                <w:szCs w:val="21"/>
                <w:lang w:eastAsia="en-AU"/>
              </w:rPr>
            </w:pPr>
            <w:r w:rsidRPr="00373DCC">
              <w:rPr>
                <w:rFonts w:cs="Arial"/>
                <w:sz w:val="21"/>
                <w:szCs w:val="21"/>
                <w:lang w:eastAsia="en-AU"/>
              </w:rPr>
              <w:t>Pending at end of reporting period</w:t>
            </w:r>
          </w:p>
        </w:tc>
        <w:tc>
          <w:tcPr>
            <w:tcW w:w="865" w:type="pct"/>
            <w:tcBorders>
              <w:top w:val="nil"/>
              <w:left w:val="nil"/>
              <w:bottom w:val="single" w:sz="4" w:space="0" w:color="auto"/>
              <w:right w:val="single" w:sz="4" w:space="0" w:color="auto"/>
            </w:tcBorders>
            <w:shd w:val="clear" w:color="auto" w:fill="auto"/>
            <w:vAlign w:val="center"/>
          </w:tcPr>
          <w:p w14:paraId="48A32E31"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196 (5%)</w:t>
            </w:r>
          </w:p>
        </w:tc>
        <w:tc>
          <w:tcPr>
            <w:tcW w:w="914" w:type="pct"/>
            <w:tcBorders>
              <w:top w:val="nil"/>
              <w:left w:val="nil"/>
              <w:bottom w:val="single" w:sz="4" w:space="0" w:color="auto"/>
              <w:right w:val="single" w:sz="4" w:space="0" w:color="auto"/>
            </w:tcBorders>
            <w:shd w:val="clear" w:color="auto" w:fill="auto"/>
            <w:vAlign w:val="center"/>
          </w:tcPr>
          <w:p w14:paraId="372FED1C"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441 (7%)</w:t>
            </w:r>
          </w:p>
        </w:tc>
      </w:tr>
      <w:tr w:rsidR="00F2350B" w:rsidRPr="00373DCC" w14:paraId="5D730301" w14:textId="77777777" w:rsidTr="00710B91">
        <w:trPr>
          <w:trHeight w:val="340"/>
        </w:trPr>
        <w:tc>
          <w:tcPr>
            <w:tcW w:w="3221"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01E5B2A9"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rPr>
              <w:t>Total Category B applications</w:t>
            </w:r>
          </w:p>
        </w:tc>
        <w:tc>
          <w:tcPr>
            <w:tcW w:w="865" w:type="pct"/>
            <w:tcBorders>
              <w:top w:val="single" w:sz="4" w:space="0" w:color="auto"/>
              <w:left w:val="single" w:sz="6" w:space="0" w:color="auto"/>
              <w:bottom w:val="single" w:sz="6" w:space="0" w:color="auto"/>
              <w:right w:val="single" w:sz="6" w:space="0" w:color="auto"/>
            </w:tcBorders>
            <w:shd w:val="clear" w:color="auto" w:fill="C6D4E9"/>
            <w:vAlign w:val="center"/>
          </w:tcPr>
          <w:p w14:paraId="6403C09A"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3,845 (45%)</w:t>
            </w:r>
          </w:p>
        </w:tc>
        <w:tc>
          <w:tcPr>
            <w:tcW w:w="914" w:type="pct"/>
            <w:tcBorders>
              <w:top w:val="single" w:sz="4" w:space="0" w:color="auto"/>
              <w:left w:val="single" w:sz="6" w:space="0" w:color="auto"/>
              <w:bottom w:val="single" w:sz="6" w:space="0" w:color="auto"/>
              <w:right w:val="single" w:sz="4" w:space="0" w:color="auto"/>
            </w:tcBorders>
            <w:shd w:val="clear" w:color="auto" w:fill="C6D4E9"/>
            <w:vAlign w:val="center"/>
          </w:tcPr>
          <w:p w14:paraId="7F00D18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6,066 (48%)</w:t>
            </w:r>
          </w:p>
        </w:tc>
      </w:tr>
      <w:tr w:rsidR="00F2350B" w:rsidRPr="00373DCC" w14:paraId="6548D56B" w14:textId="77777777" w:rsidTr="00710B91">
        <w:trPr>
          <w:trHeight w:val="340"/>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20472AFC" w14:textId="77777777" w:rsidR="00F2350B" w:rsidRPr="00373DCC" w:rsidRDefault="00F2350B" w:rsidP="00710B91">
            <w:pPr>
              <w:tabs>
                <w:tab w:val="left" w:pos="907"/>
                <w:tab w:val="left" w:pos="1134"/>
              </w:tabs>
              <w:spacing w:before="0" w:after="0" w:line="240" w:lineRule="atLeast"/>
              <w:outlineLvl w:val="4"/>
              <w:rPr>
                <w:rFonts w:eastAsia="Cambria" w:cs="Arial"/>
                <w:sz w:val="21"/>
                <w:szCs w:val="21"/>
                <w:lang w:eastAsia="en-AU"/>
              </w:rPr>
            </w:pPr>
            <w:r w:rsidRPr="00373DCC">
              <w:rPr>
                <w:rFonts w:eastAsia="Cambria" w:cs="Arial"/>
                <w:color w:val="000000"/>
                <w:sz w:val="21"/>
                <w:szCs w:val="21"/>
              </w:rPr>
              <w:t>Category C notifications</w:t>
            </w:r>
          </w:p>
        </w:tc>
      </w:tr>
      <w:tr w:rsidR="00F2350B" w:rsidRPr="00373DCC" w14:paraId="17039F86" w14:textId="77777777" w:rsidTr="00710B91">
        <w:trPr>
          <w:trHeight w:val="340"/>
        </w:trPr>
        <w:tc>
          <w:tcPr>
            <w:tcW w:w="3221" w:type="pct"/>
            <w:tcBorders>
              <w:top w:val="single" w:sz="6" w:space="0" w:color="auto"/>
              <w:left w:val="single" w:sz="4" w:space="0" w:color="auto"/>
              <w:bottom w:val="single" w:sz="6" w:space="0" w:color="auto"/>
              <w:right w:val="single" w:sz="6" w:space="0" w:color="auto"/>
            </w:tcBorders>
            <w:shd w:val="clear" w:color="auto" w:fill="C6D4E9"/>
            <w:vAlign w:val="center"/>
          </w:tcPr>
          <w:p w14:paraId="36305BD7" w14:textId="77777777" w:rsidR="00F2350B" w:rsidRPr="00373DCC" w:rsidRDefault="00F2350B" w:rsidP="00710B91">
            <w:pPr>
              <w:tabs>
                <w:tab w:val="left" w:pos="907"/>
                <w:tab w:val="left" w:pos="1134"/>
              </w:tabs>
              <w:spacing w:before="0" w:after="0" w:line="240" w:lineRule="atLeast"/>
              <w:outlineLvl w:val="4"/>
              <w:rPr>
                <w:rFonts w:eastAsia="Cambria" w:cs="Arial"/>
                <w:bCs/>
                <w:color w:val="000000"/>
                <w:sz w:val="21"/>
                <w:szCs w:val="21"/>
              </w:rPr>
            </w:pPr>
            <w:r w:rsidRPr="00373DCC">
              <w:rPr>
                <w:rFonts w:eastAsia="Cambria" w:cs="Arial"/>
                <w:bCs/>
                <w:color w:val="000000"/>
                <w:sz w:val="21"/>
                <w:szCs w:val="21"/>
                <w:lang w:eastAsia="en-AU"/>
              </w:rPr>
              <w:t>Total Category C notifications</w:t>
            </w:r>
          </w:p>
        </w:tc>
        <w:tc>
          <w:tcPr>
            <w:tcW w:w="865" w:type="pct"/>
            <w:tcBorders>
              <w:top w:val="single" w:sz="6" w:space="0" w:color="auto"/>
              <w:left w:val="single" w:sz="6" w:space="0" w:color="auto"/>
              <w:bottom w:val="single" w:sz="6" w:space="0" w:color="auto"/>
              <w:right w:val="single" w:sz="6" w:space="0" w:color="auto"/>
            </w:tcBorders>
            <w:shd w:val="clear" w:color="auto" w:fill="C6D4E9"/>
            <w:vAlign w:val="center"/>
          </w:tcPr>
          <w:p w14:paraId="78400525"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1,107 (13%)</w:t>
            </w:r>
          </w:p>
        </w:tc>
        <w:tc>
          <w:tcPr>
            <w:tcW w:w="914" w:type="pct"/>
            <w:tcBorders>
              <w:top w:val="single" w:sz="6" w:space="0" w:color="auto"/>
              <w:left w:val="single" w:sz="6" w:space="0" w:color="auto"/>
              <w:bottom w:val="single" w:sz="6" w:space="0" w:color="auto"/>
              <w:right w:val="single" w:sz="4" w:space="0" w:color="auto"/>
            </w:tcBorders>
            <w:shd w:val="clear" w:color="auto" w:fill="C6D4E9"/>
            <w:vAlign w:val="center"/>
          </w:tcPr>
          <w:p w14:paraId="4B124591"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1,540 (12%)</w:t>
            </w:r>
          </w:p>
        </w:tc>
      </w:tr>
      <w:tr w:rsidR="00F2350B" w:rsidRPr="00373DCC" w14:paraId="22234973" w14:textId="77777777" w:rsidTr="00710B91">
        <w:trPr>
          <w:trHeight w:val="340"/>
        </w:trPr>
        <w:tc>
          <w:tcPr>
            <w:tcW w:w="3221" w:type="pct"/>
            <w:tcBorders>
              <w:top w:val="single" w:sz="6" w:space="0" w:color="auto"/>
              <w:left w:val="single" w:sz="4" w:space="0" w:color="auto"/>
              <w:bottom w:val="single" w:sz="6" w:space="0" w:color="auto"/>
              <w:right w:val="single" w:sz="6" w:space="0" w:color="auto"/>
            </w:tcBorders>
            <w:shd w:val="clear" w:color="auto" w:fill="C6D4E9"/>
            <w:vAlign w:val="center"/>
          </w:tcPr>
          <w:p w14:paraId="010B94FA" w14:textId="77777777" w:rsidR="00F2350B" w:rsidRPr="00373DCC" w:rsidRDefault="00F2350B" w:rsidP="00710B91">
            <w:pPr>
              <w:tabs>
                <w:tab w:val="left" w:pos="907"/>
                <w:tab w:val="left" w:pos="1134"/>
              </w:tabs>
              <w:spacing w:before="0" w:after="0" w:line="240" w:lineRule="atLeast"/>
              <w:outlineLvl w:val="4"/>
              <w:rPr>
                <w:rFonts w:eastAsia="Cambria" w:cs="Arial"/>
                <w:bCs/>
                <w:color w:val="000000"/>
                <w:sz w:val="21"/>
                <w:szCs w:val="21"/>
              </w:rPr>
            </w:pPr>
            <w:r w:rsidRPr="00373DCC">
              <w:rPr>
                <w:rFonts w:eastAsia="Cambria" w:cs="Arial"/>
                <w:bCs/>
                <w:color w:val="000000"/>
                <w:sz w:val="21"/>
                <w:szCs w:val="21"/>
                <w:lang w:eastAsia="en-AU"/>
              </w:rPr>
              <w:t>Total SAS notifications/applications received (all categories)</w:t>
            </w:r>
          </w:p>
        </w:tc>
        <w:tc>
          <w:tcPr>
            <w:tcW w:w="865" w:type="pct"/>
            <w:tcBorders>
              <w:top w:val="single" w:sz="6" w:space="0" w:color="auto"/>
              <w:left w:val="single" w:sz="6" w:space="0" w:color="auto"/>
              <w:bottom w:val="single" w:sz="6" w:space="0" w:color="auto"/>
              <w:right w:val="single" w:sz="6" w:space="0" w:color="auto"/>
            </w:tcBorders>
            <w:shd w:val="clear" w:color="auto" w:fill="C6D4E9"/>
            <w:vAlign w:val="center"/>
          </w:tcPr>
          <w:p w14:paraId="345EDE43" w14:textId="77777777" w:rsidR="00F2350B" w:rsidRPr="00373DCC" w:rsidRDefault="00F2350B" w:rsidP="00710B91">
            <w:pPr>
              <w:spacing w:before="0" w:after="0" w:line="240" w:lineRule="atLeast"/>
              <w:contextualSpacing/>
              <w:jc w:val="right"/>
              <w:rPr>
                <w:rFonts w:cs="Arial"/>
                <w:sz w:val="21"/>
                <w:szCs w:val="21"/>
                <w:lang w:eastAsia="en-AU"/>
              </w:rPr>
            </w:pPr>
            <w:r w:rsidRPr="00373DCC">
              <w:rPr>
                <w:rFonts w:cs="Arial"/>
                <w:sz w:val="21"/>
                <w:szCs w:val="21"/>
                <w:lang w:eastAsia="en-AU"/>
              </w:rPr>
              <w:t>8,614 (100%)</w:t>
            </w:r>
          </w:p>
        </w:tc>
        <w:tc>
          <w:tcPr>
            <w:tcW w:w="914" w:type="pct"/>
            <w:tcBorders>
              <w:top w:val="single" w:sz="6" w:space="0" w:color="auto"/>
              <w:left w:val="single" w:sz="6" w:space="0" w:color="auto"/>
              <w:bottom w:val="single" w:sz="6" w:space="0" w:color="auto"/>
              <w:right w:val="single" w:sz="4" w:space="0" w:color="auto"/>
            </w:tcBorders>
            <w:shd w:val="clear" w:color="auto" w:fill="C6D4E9"/>
            <w:vAlign w:val="center"/>
          </w:tcPr>
          <w:p w14:paraId="368186F6"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12,605 (100%)</w:t>
            </w:r>
          </w:p>
        </w:tc>
      </w:tr>
    </w:tbl>
    <w:p w14:paraId="3EC573E1" w14:textId="77777777" w:rsidR="00F2350B" w:rsidRPr="00373DCC" w:rsidRDefault="00F2350B" w:rsidP="00F2350B">
      <w:pPr>
        <w:keepNext/>
        <w:spacing w:before="240" w:after="120" w:line="240" w:lineRule="auto"/>
        <w:rPr>
          <w:rFonts w:eastAsia="Cambria" w:cs="Arial"/>
          <w:b/>
          <w:szCs w:val="22"/>
        </w:rPr>
      </w:pPr>
    </w:p>
    <w:p w14:paraId="37FB53EF" w14:textId="38731CCD" w:rsidR="00F2350B" w:rsidRDefault="00F2350B" w:rsidP="00F2350B">
      <w:pPr>
        <w:keepNext/>
        <w:spacing w:before="240" w:after="120" w:line="240" w:lineRule="auto"/>
        <w:rPr>
          <w:rFonts w:eastAsia="Cambria" w:cs="Arial"/>
          <w:b/>
          <w:sz w:val="21"/>
          <w:szCs w:val="21"/>
        </w:rPr>
      </w:pPr>
      <w:bookmarkStart w:id="208" w:name="Table54"/>
      <w:r w:rsidRPr="00373DCC">
        <w:rPr>
          <w:rFonts w:eastAsia="Cambria" w:cs="Arial"/>
          <w:b/>
          <w:sz w:val="21"/>
          <w:szCs w:val="21"/>
        </w:rPr>
        <w:t xml:space="preserve">Table </w:t>
      </w:r>
      <w:r w:rsidRPr="00373DCC">
        <w:rPr>
          <w:rFonts w:eastAsia="Cambria" w:cs="Arial"/>
          <w:b/>
          <w:bCs/>
          <w:sz w:val="21"/>
          <w:szCs w:val="21"/>
        </w:rPr>
        <w:t>54:</w:t>
      </w:r>
      <w:r w:rsidRPr="00373DCC">
        <w:rPr>
          <w:rFonts w:eastAsia="Cambria" w:cs="Arial"/>
          <w:b/>
          <w:sz w:val="21"/>
          <w:szCs w:val="21"/>
        </w:rPr>
        <w:t xml:space="preserve"> SAS biological notifications and applications</w:t>
      </w:r>
    </w:p>
    <w:tbl>
      <w:tblPr>
        <w:tblW w:w="5000" w:type="pct"/>
        <w:tblLook w:val="04A0" w:firstRow="1" w:lastRow="0" w:firstColumn="1" w:lastColumn="0" w:noHBand="0" w:noVBand="1"/>
      </w:tblPr>
      <w:tblGrid>
        <w:gridCol w:w="5954"/>
        <w:gridCol w:w="1559"/>
        <w:gridCol w:w="1508"/>
      </w:tblGrid>
      <w:tr w:rsidR="0090257F" w:rsidRPr="00373DCC" w14:paraId="2D515D13" w14:textId="77777777" w:rsidTr="00354A2E">
        <w:trPr>
          <w:trHeight w:val="340"/>
        </w:trPr>
        <w:tc>
          <w:tcPr>
            <w:tcW w:w="3300" w:type="pct"/>
            <w:tcBorders>
              <w:top w:val="nil"/>
              <w:left w:val="nil"/>
              <w:bottom w:val="nil"/>
              <w:right w:val="single" w:sz="4" w:space="0" w:color="auto"/>
            </w:tcBorders>
            <w:shd w:val="clear" w:color="auto" w:fill="auto"/>
            <w:vAlign w:val="center"/>
            <w:hideMark/>
          </w:tcPr>
          <w:p w14:paraId="32ABF852" w14:textId="77777777" w:rsidR="0090257F" w:rsidRPr="00373DCC" w:rsidRDefault="0090257F" w:rsidP="0090257F">
            <w:pPr>
              <w:widowControl w:val="0"/>
              <w:spacing w:after="0" w:line="240" w:lineRule="auto"/>
              <w:rPr>
                <w:rFonts w:eastAsia="Times New Roman" w:cs="Arial"/>
                <w:sz w:val="21"/>
                <w:szCs w:val="21"/>
                <w:lang w:eastAsia="en-AU"/>
              </w:rPr>
            </w:pPr>
          </w:p>
        </w:tc>
        <w:tc>
          <w:tcPr>
            <w:tcW w:w="864"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11E6C465"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0A622E12" w14:textId="5D091927" w:rsidR="0090257F" w:rsidRPr="00373D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836"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228701C5"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738E1891" w14:textId="305BAEFF" w:rsidR="0090257F" w:rsidRPr="00373D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507827" w:rsidRPr="00373DCC" w14:paraId="0BD07D89" w14:textId="77777777" w:rsidTr="00354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0D6CF03" w14:textId="77777777" w:rsidR="00507827" w:rsidRPr="00373DCC" w:rsidRDefault="00507827" w:rsidP="00354A2E">
            <w:pPr>
              <w:tabs>
                <w:tab w:val="left" w:pos="907"/>
                <w:tab w:val="left" w:pos="1134"/>
              </w:tabs>
              <w:spacing w:after="0" w:line="240" w:lineRule="atLeast"/>
              <w:outlineLvl w:val="4"/>
              <w:rPr>
                <w:rFonts w:eastAsia="Cambria" w:cs="Arial"/>
                <w:color w:val="000000"/>
                <w:sz w:val="21"/>
                <w:szCs w:val="21"/>
                <w:lang w:eastAsia="en-AU"/>
              </w:rPr>
            </w:pPr>
            <w:r w:rsidRPr="00373DCC">
              <w:rPr>
                <w:rFonts w:eastAsia="Cambria" w:cs="Arial"/>
                <w:color w:val="000000"/>
                <w:sz w:val="21"/>
                <w:szCs w:val="21"/>
                <w:lang w:eastAsia="en-AU"/>
              </w:rPr>
              <w:t>Category A notifications</w:t>
            </w:r>
          </w:p>
        </w:tc>
      </w:tr>
      <w:tr w:rsidR="00507827" w:rsidRPr="00373DCC" w14:paraId="19AA9633"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C6D4E9"/>
            <w:vAlign w:val="center"/>
            <w:hideMark/>
          </w:tcPr>
          <w:p w14:paraId="586CA345" w14:textId="77777777" w:rsidR="00507827" w:rsidRPr="00373DCC" w:rsidRDefault="00507827" w:rsidP="00354A2E">
            <w:pPr>
              <w:spacing w:after="0" w:line="240" w:lineRule="atLeast"/>
              <w:ind w:left="142"/>
              <w:contextualSpacing/>
              <w:rPr>
                <w:rFonts w:cs="Arial"/>
                <w:sz w:val="21"/>
                <w:szCs w:val="21"/>
                <w:lang w:eastAsia="en-AU"/>
              </w:rPr>
            </w:pPr>
            <w:r w:rsidRPr="00373DCC">
              <w:rPr>
                <w:rFonts w:cs="Arial"/>
                <w:sz w:val="21"/>
                <w:szCs w:val="21"/>
                <w:lang w:eastAsia="en-AU"/>
              </w:rPr>
              <w:t>Total Category A notifications</w:t>
            </w:r>
          </w:p>
        </w:tc>
        <w:tc>
          <w:tcPr>
            <w:tcW w:w="864" w:type="pct"/>
            <w:tcBorders>
              <w:top w:val="nil"/>
              <w:left w:val="nil"/>
              <w:bottom w:val="single" w:sz="4" w:space="0" w:color="auto"/>
              <w:right w:val="single" w:sz="4" w:space="0" w:color="auto"/>
            </w:tcBorders>
            <w:shd w:val="clear" w:color="auto" w:fill="C6D4E9"/>
            <w:vAlign w:val="center"/>
            <w:hideMark/>
          </w:tcPr>
          <w:p w14:paraId="5AC0783D" w14:textId="77777777" w:rsidR="00507827" w:rsidRPr="00373DCC" w:rsidRDefault="00507827" w:rsidP="00354A2E">
            <w:pPr>
              <w:widowControl w:val="0"/>
              <w:spacing w:after="0" w:line="240" w:lineRule="atLeast"/>
              <w:contextualSpacing/>
              <w:jc w:val="right"/>
              <w:rPr>
                <w:rFonts w:cs="Arial"/>
                <w:sz w:val="21"/>
                <w:szCs w:val="21"/>
                <w:lang w:eastAsia="en-AU"/>
              </w:rPr>
            </w:pPr>
            <w:r w:rsidRPr="00373DCC">
              <w:rPr>
                <w:rFonts w:cs="Arial"/>
                <w:sz w:val="21"/>
                <w:szCs w:val="21"/>
                <w:lang w:eastAsia="en-AU"/>
              </w:rPr>
              <w:t>74 (7%)</w:t>
            </w:r>
          </w:p>
        </w:tc>
        <w:tc>
          <w:tcPr>
            <w:tcW w:w="836" w:type="pct"/>
            <w:tcBorders>
              <w:top w:val="nil"/>
              <w:left w:val="nil"/>
              <w:bottom w:val="single" w:sz="4" w:space="0" w:color="auto"/>
              <w:right w:val="single" w:sz="4" w:space="0" w:color="auto"/>
            </w:tcBorders>
            <w:shd w:val="clear" w:color="auto" w:fill="C6D4E9"/>
            <w:vAlign w:val="center"/>
            <w:hideMark/>
          </w:tcPr>
          <w:p w14:paraId="24D1A4C3" w14:textId="77777777" w:rsidR="00507827" w:rsidRPr="00373DCC" w:rsidRDefault="00507827" w:rsidP="00354A2E">
            <w:pPr>
              <w:widowControl w:val="0"/>
              <w:spacing w:after="0" w:line="240" w:lineRule="atLeast"/>
              <w:contextualSpacing/>
              <w:jc w:val="right"/>
              <w:rPr>
                <w:rFonts w:cs="Arial"/>
                <w:sz w:val="21"/>
                <w:szCs w:val="21"/>
                <w:lang w:eastAsia="en-AU"/>
              </w:rPr>
            </w:pPr>
            <w:r w:rsidRPr="48ECC65F">
              <w:rPr>
                <w:rFonts w:cs="Arial"/>
                <w:sz w:val="21"/>
                <w:szCs w:val="21"/>
                <w:lang w:eastAsia="en-AU"/>
              </w:rPr>
              <w:t>132 (5%)</w:t>
            </w:r>
          </w:p>
        </w:tc>
      </w:tr>
      <w:tr w:rsidR="00507827" w:rsidRPr="00373DCC" w14:paraId="772EE18B" w14:textId="77777777" w:rsidTr="00354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050CF56" w14:textId="77777777" w:rsidR="00507827" w:rsidRPr="00373DCC" w:rsidRDefault="00507827" w:rsidP="00354A2E">
            <w:pPr>
              <w:tabs>
                <w:tab w:val="left" w:pos="907"/>
                <w:tab w:val="left" w:pos="1134"/>
              </w:tabs>
              <w:spacing w:after="0" w:line="240" w:lineRule="atLeast"/>
              <w:outlineLvl w:val="4"/>
              <w:rPr>
                <w:rFonts w:eastAsia="Cambria" w:cs="Arial"/>
                <w:color w:val="000000"/>
                <w:sz w:val="21"/>
                <w:szCs w:val="21"/>
              </w:rPr>
            </w:pPr>
            <w:r w:rsidRPr="00373DCC">
              <w:rPr>
                <w:rFonts w:eastAsia="Cambria" w:cs="Arial"/>
                <w:color w:val="000000"/>
                <w:sz w:val="21"/>
                <w:szCs w:val="21"/>
              </w:rPr>
              <w:t>Category B applications</w:t>
            </w:r>
          </w:p>
        </w:tc>
      </w:tr>
      <w:tr w:rsidR="00507827" w:rsidRPr="00373DCC" w14:paraId="4F7B8D42"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auto"/>
            <w:vAlign w:val="center"/>
            <w:hideMark/>
          </w:tcPr>
          <w:p w14:paraId="5C8F8063" w14:textId="77777777" w:rsidR="00507827" w:rsidRPr="00373DCC" w:rsidRDefault="00507827" w:rsidP="00354A2E">
            <w:pPr>
              <w:spacing w:after="0" w:line="240" w:lineRule="atLeast"/>
              <w:ind w:left="142"/>
              <w:contextualSpacing/>
              <w:rPr>
                <w:rFonts w:cs="Arial"/>
                <w:sz w:val="21"/>
                <w:szCs w:val="21"/>
              </w:rPr>
            </w:pPr>
            <w:r w:rsidRPr="00373DCC">
              <w:rPr>
                <w:rFonts w:cs="Arial"/>
                <w:sz w:val="21"/>
                <w:szCs w:val="21"/>
              </w:rPr>
              <w:t>Approved</w:t>
            </w:r>
          </w:p>
        </w:tc>
        <w:tc>
          <w:tcPr>
            <w:tcW w:w="864" w:type="pct"/>
            <w:tcBorders>
              <w:top w:val="nil"/>
              <w:left w:val="nil"/>
              <w:bottom w:val="single" w:sz="4" w:space="0" w:color="auto"/>
              <w:right w:val="single" w:sz="4" w:space="0" w:color="auto"/>
            </w:tcBorders>
            <w:shd w:val="clear" w:color="auto" w:fill="auto"/>
            <w:vAlign w:val="center"/>
          </w:tcPr>
          <w:p w14:paraId="083D4F94"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239 (73%)</w:t>
            </w:r>
          </w:p>
        </w:tc>
        <w:tc>
          <w:tcPr>
            <w:tcW w:w="836" w:type="pct"/>
            <w:tcBorders>
              <w:top w:val="nil"/>
              <w:left w:val="nil"/>
              <w:bottom w:val="single" w:sz="4" w:space="0" w:color="auto"/>
              <w:right w:val="single" w:sz="4" w:space="0" w:color="auto"/>
            </w:tcBorders>
            <w:shd w:val="clear" w:color="auto" w:fill="auto"/>
            <w:vAlign w:val="center"/>
          </w:tcPr>
          <w:p w14:paraId="33228CAD" w14:textId="77777777" w:rsidR="00507827" w:rsidRPr="00373DCC" w:rsidRDefault="00507827" w:rsidP="00354A2E">
            <w:pPr>
              <w:keepLines/>
              <w:widowControl w:val="0"/>
              <w:spacing w:after="0" w:line="240" w:lineRule="atLeast"/>
              <w:contextualSpacing/>
              <w:jc w:val="right"/>
              <w:rPr>
                <w:rFonts w:cs="Arial"/>
                <w:sz w:val="21"/>
                <w:szCs w:val="21"/>
              </w:rPr>
            </w:pPr>
            <w:r w:rsidRPr="00373DCC">
              <w:rPr>
                <w:rFonts w:cs="Arial"/>
                <w:sz w:val="21"/>
                <w:szCs w:val="21"/>
                <w:lang w:eastAsia="en-AU"/>
              </w:rPr>
              <w:t>339 (75%)</w:t>
            </w:r>
          </w:p>
        </w:tc>
      </w:tr>
      <w:tr w:rsidR="00507827" w:rsidRPr="00373DCC" w14:paraId="090854DB"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auto"/>
            <w:vAlign w:val="center"/>
            <w:hideMark/>
          </w:tcPr>
          <w:p w14:paraId="51E6F099" w14:textId="77777777" w:rsidR="00507827" w:rsidRPr="00373DCC" w:rsidRDefault="00507827" w:rsidP="00354A2E">
            <w:pPr>
              <w:spacing w:after="0" w:line="240" w:lineRule="atLeast"/>
              <w:ind w:left="142"/>
              <w:contextualSpacing/>
              <w:rPr>
                <w:rFonts w:cs="Arial"/>
                <w:sz w:val="21"/>
                <w:szCs w:val="21"/>
              </w:rPr>
            </w:pPr>
            <w:r w:rsidRPr="00373DCC">
              <w:rPr>
                <w:rFonts w:cs="Arial"/>
                <w:sz w:val="21"/>
                <w:szCs w:val="21"/>
              </w:rPr>
              <w:t>Cancelled</w:t>
            </w:r>
          </w:p>
        </w:tc>
        <w:tc>
          <w:tcPr>
            <w:tcW w:w="864" w:type="pct"/>
            <w:tcBorders>
              <w:top w:val="nil"/>
              <w:left w:val="nil"/>
              <w:bottom w:val="single" w:sz="4" w:space="0" w:color="auto"/>
              <w:right w:val="single" w:sz="4" w:space="0" w:color="auto"/>
            </w:tcBorders>
            <w:shd w:val="clear" w:color="auto" w:fill="auto"/>
            <w:vAlign w:val="center"/>
          </w:tcPr>
          <w:p w14:paraId="23A8EC55"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14 (4%)</w:t>
            </w:r>
          </w:p>
        </w:tc>
        <w:tc>
          <w:tcPr>
            <w:tcW w:w="836" w:type="pct"/>
            <w:tcBorders>
              <w:top w:val="nil"/>
              <w:left w:val="nil"/>
              <w:bottom w:val="single" w:sz="4" w:space="0" w:color="auto"/>
              <w:right w:val="single" w:sz="4" w:space="0" w:color="auto"/>
            </w:tcBorders>
            <w:shd w:val="clear" w:color="auto" w:fill="auto"/>
            <w:vAlign w:val="center"/>
          </w:tcPr>
          <w:p w14:paraId="227F4F0C"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43 (10%)</w:t>
            </w:r>
          </w:p>
        </w:tc>
      </w:tr>
      <w:tr w:rsidR="00507827" w:rsidRPr="00373DCC" w14:paraId="6377DAEE"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auto"/>
            <w:vAlign w:val="center"/>
          </w:tcPr>
          <w:p w14:paraId="1FAC12B4" w14:textId="77777777" w:rsidR="00507827" w:rsidRPr="00373DCC" w:rsidRDefault="00507827" w:rsidP="00354A2E">
            <w:pPr>
              <w:spacing w:after="0" w:line="240" w:lineRule="atLeast"/>
              <w:ind w:left="142"/>
              <w:contextualSpacing/>
              <w:rPr>
                <w:rFonts w:cs="Arial"/>
                <w:sz w:val="21"/>
                <w:szCs w:val="21"/>
              </w:rPr>
            </w:pPr>
            <w:r w:rsidRPr="00373DCC">
              <w:rPr>
                <w:rFonts w:cs="Arial"/>
                <w:sz w:val="21"/>
                <w:szCs w:val="21"/>
              </w:rPr>
              <w:t>Withdrawn</w:t>
            </w:r>
          </w:p>
        </w:tc>
        <w:tc>
          <w:tcPr>
            <w:tcW w:w="864" w:type="pct"/>
            <w:tcBorders>
              <w:top w:val="nil"/>
              <w:left w:val="nil"/>
              <w:bottom w:val="single" w:sz="4" w:space="0" w:color="auto"/>
              <w:right w:val="single" w:sz="4" w:space="0" w:color="auto"/>
            </w:tcBorders>
            <w:shd w:val="clear" w:color="auto" w:fill="auto"/>
            <w:vAlign w:val="center"/>
          </w:tcPr>
          <w:p w14:paraId="27563F43"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64 (20%)</w:t>
            </w:r>
          </w:p>
        </w:tc>
        <w:tc>
          <w:tcPr>
            <w:tcW w:w="836" w:type="pct"/>
            <w:tcBorders>
              <w:top w:val="nil"/>
              <w:left w:val="nil"/>
              <w:bottom w:val="single" w:sz="4" w:space="0" w:color="auto"/>
              <w:right w:val="single" w:sz="4" w:space="0" w:color="auto"/>
            </w:tcBorders>
            <w:shd w:val="clear" w:color="auto" w:fill="auto"/>
            <w:vAlign w:val="center"/>
          </w:tcPr>
          <w:p w14:paraId="32C5A5D6"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58 (13%)</w:t>
            </w:r>
          </w:p>
        </w:tc>
      </w:tr>
      <w:tr w:rsidR="00507827" w:rsidRPr="00373DCC" w14:paraId="523CD560"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auto"/>
            <w:vAlign w:val="center"/>
            <w:hideMark/>
          </w:tcPr>
          <w:p w14:paraId="0816D4A6" w14:textId="77777777" w:rsidR="00507827" w:rsidRPr="00373DCC" w:rsidRDefault="00507827" w:rsidP="00354A2E">
            <w:pPr>
              <w:spacing w:after="0" w:line="240" w:lineRule="atLeast"/>
              <w:ind w:left="142"/>
              <w:contextualSpacing/>
              <w:rPr>
                <w:rFonts w:cs="Arial"/>
                <w:sz w:val="21"/>
                <w:szCs w:val="21"/>
              </w:rPr>
            </w:pPr>
            <w:r w:rsidRPr="00373DCC">
              <w:rPr>
                <w:rFonts w:cs="Arial"/>
                <w:sz w:val="21"/>
                <w:szCs w:val="21"/>
              </w:rPr>
              <w:t>Rejected</w:t>
            </w:r>
          </w:p>
        </w:tc>
        <w:tc>
          <w:tcPr>
            <w:tcW w:w="864" w:type="pct"/>
            <w:tcBorders>
              <w:top w:val="nil"/>
              <w:left w:val="nil"/>
              <w:bottom w:val="single" w:sz="4" w:space="0" w:color="auto"/>
              <w:right w:val="single" w:sz="4" w:space="0" w:color="auto"/>
            </w:tcBorders>
            <w:shd w:val="clear" w:color="auto" w:fill="auto"/>
            <w:vAlign w:val="center"/>
          </w:tcPr>
          <w:p w14:paraId="6EE8A544"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0 (0%)</w:t>
            </w:r>
          </w:p>
        </w:tc>
        <w:tc>
          <w:tcPr>
            <w:tcW w:w="836" w:type="pct"/>
            <w:tcBorders>
              <w:top w:val="nil"/>
              <w:left w:val="nil"/>
              <w:bottom w:val="single" w:sz="4" w:space="0" w:color="auto"/>
              <w:right w:val="single" w:sz="4" w:space="0" w:color="auto"/>
            </w:tcBorders>
            <w:shd w:val="clear" w:color="auto" w:fill="auto"/>
            <w:vAlign w:val="center"/>
          </w:tcPr>
          <w:p w14:paraId="6E190E0C"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0 (0%)</w:t>
            </w:r>
          </w:p>
        </w:tc>
      </w:tr>
      <w:tr w:rsidR="00507827" w:rsidRPr="00373DCC" w14:paraId="51E98C86" w14:textId="77777777" w:rsidTr="00354A2E">
        <w:trPr>
          <w:trHeight w:val="340"/>
        </w:trPr>
        <w:tc>
          <w:tcPr>
            <w:tcW w:w="3300" w:type="pct"/>
            <w:tcBorders>
              <w:top w:val="nil"/>
              <w:left w:val="single" w:sz="4" w:space="0" w:color="auto"/>
              <w:bottom w:val="single" w:sz="4" w:space="0" w:color="auto"/>
              <w:right w:val="single" w:sz="4" w:space="0" w:color="auto"/>
            </w:tcBorders>
            <w:shd w:val="clear" w:color="auto" w:fill="auto"/>
            <w:vAlign w:val="center"/>
            <w:hideMark/>
          </w:tcPr>
          <w:p w14:paraId="02D296D3" w14:textId="77777777" w:rsidR="00507827" w:rsidRPr="00373DCC" w:rsidRDefault="00507827" w:rsidP="00354A2E">
            <w:pPr>
              <w:spacing w:after="0" w:line="240" w:lineRule="atLeast"/>
              <w:ind w:left="142"/>
              <w:contextualSpacing/>
              <w:rPr>
                <w:rFonts w:cs="Arial"/>
                <w:b/>
                <w:sz w:val="21"/>
                <w:szCs w:val="21"/>
              </w:rPr>
            </w:pPr>
            <w:r w:rsidRPr="00373DCC">
              <w:rPr>
                <w:rFonts w:cs="Arial"/>
                <w:sz w:val="21"/>
                <w:szCs w:val="21"/>
              </w:rPr>
              <w:t>Pending at end of reporting period</w:t>
            </w:r>
          </w:p>
        </w:tc>
        <w:tc>
          <w:tcPr>
            <w:tcW w:w="864" w:type="pct"/>
            <w:tcBorders>
              <w:top w:val="nil"/>
              <w:left w:val="nil"/>
              <w:bottom w:val="single" w:sz="4" w:space="0" w:color="auto"/>
              <w:right w:val="single" w:sz="4" w:space="0" w:color="auto"/>
            </w:tcBorders>
            <w:shd w:val="clear" w:color="auto" w:fill="auto"/>
            <w:vAlign w:val="center"/>
          </w:tcPr>
          <w:p w14:paraId="63F0D30C"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9 (3%)</w:t>
            </w:r>
          </w:p>
        </w:tc>
        <w:tc>
          <w:tcPr>
            <w:tcW w:w="836" w:type="pct"/>
            <w:tcBorders>
              <w:top w:val="nil"/>
              <w:left w:val="nil"/>
              <w:bottom w:val="single" w:sz="4" w:space="0" w:color="auto"/>
              <w:right w:val="single" w:sz="4" w:space="0" w:color="auto"/>
            </w:tcBorders>
            <w:shd w:val="clear" w:color="auto" w:fill="auto"/>
            <w:vAlign w:val="center"/>
          </w:tcPr>
          <w:p w14:paraId="28DD6E9F"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12 (3%)</w:t>
            </w:r>
          </w:p>
        </w:tc>
      </w:tr>
      <w:tr w:rsidR="00507827" w:rsidRPr="00373DCC" w14:paraId="37A2B7C6" w14:textId="77777777" w:rsidTr="00354A2E">
        <w:trPr>
          <w:trHeight w:val="340"/>
        </w:trPr>
        <w:tc>
          <w:tcPr>
            <w:tcW w:w="3300"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07C0C474" w14:textId="77777777" w:rsidR="00507827" w:rsidRPr="00373DCC" w:rsidRDefault="00507827" w:rsidP="00354A2E">
            <w:pPr>
              <w:spacing w:after="0" w:line="240" w:lineRule="atLeast"/>
              <w:contextualSpacing/>
              <w:rPr>
                <w:rFonts w:cs="Arial"/>
                <w:sz w:val="21"/>
                <w:szCs w:val="21"/>
              </w:rPr>
            </w:pPr>
            <w:r w:rsidRPr="00373DCC">
              <w:rPr>
                <w:rFonts w:cs="Arial"/>
                <w:sz w:val="21"/>
                <w:szCs w:val="21"/>
              </w:rPr>
              <w:t>Total Category B applications</w:t>
            </w:r>
          </w:p>
        </w:tc>
        <w:tc>
          <w:tcPr>
            <w:tcW w:w="864" w:type="pct"/>
            <w:tcBorders>
              <w:top w:val="single" w:sz="4" w:space="0" w:color="auto"/>
              <w:left w:val="single" w:sz="6" w:space="0" w:color="auto"/>
              <w:bottom w:val="single" w:sz="6" w:space="0" w:color="auto"/>
              <w:right w:val="single" w:sz="6" w:space="0" w:color="auto"/>
            </w:tcBorders>
            <w:shd w:val="clear" w:color="auto" w:fill="C6D4E9"/>
            <w:vAlign w:val="center"/>
          </w:tcPr>
          <w:p w14:paraId="093D4C78"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326 (31%)</w:t>
            </w:r>
          </w:p>
        </w:tc>
        <w:tc>
          <w:tcPr>
            <w:tcW w:w="836" w:type="pct"/>
            <w:tcBorders>
              <w:top w:val="single" w:sz="4" w:space="0" w:color="auto"/>
              <w:left w:val="single" w:sz="6" w:space="0" w:color="auto"/>
              <w:bottom w:val="single" w:sz="6" w:space="0" w:color="auto"/>
              <w:right w:val="single" w:sz="4" w:space="0" w:color="auto"/>
            </w:tcBorders>
            <w:shd w:val="clear" w:color="auto" w:fill="C6D4E9"/>
            <w:vAlign w:val="center"/>
          </w:tcPr>
          <w:p w14:paraId="0FAB3F29"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452 (16%)</w:t>
            </w:r>
          </w:p>
        </w:tc>
      </w:tr>
      <w:tr w:rsidR="00507827" w:rsidRPr="00373DCC" w14:paraId="229BF2B7" w14:textId="77777777" w:rsidTr="00354A2E">
        <w:trPr>
          <w:trHeight w:val="340"/>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78710363" w14:textId="77777777" w:rsidR="00507827" w:rsidRPr="00373DCC" w:rsidRDefault="00507827" w:rsidP="00354A2E">
            <w:pPr>
              <w:tabs>
                <w:tab w:val="left" w:pos="907"/>
                <w:tab w:val="left" w:pos="1134"/>
              </w:tabs>
              <w:spacing w:after="0" w:line="240" w:lineRule="atLeast"/>
              <w:outlineLvl w:val="4"/>
              <w:rPr>
                <w:rFonts w:eastAsia="Cambria" w:cs="Arial"/>
                <w:sz w:val="21"/>
                <w:szCs w:val="21"/>
              </w:rPr>
            </w:pPr>
            <w:r w:rsidRPr="00373DCC">
              <w:rPr>
                <w:rFonts w:eastAsia="Cambria" w:cs="Arial"/>
                <w:color w:val="000000"/>
                <w:sz w:val="21"/>
                <w:szCs w:val="21"/>
              </w:rPr>
              <w:t>Category C notifications</w:t>
            </w:r>
          </w:p>
        </w:tc>
      </w:tr>
      <w:tr w:rsidR="00507827" w:rsidRPr="00373DCC" w14:paraId="4EB7CD50" w14:textId="77777777" w:rsidTr="00354A2E">
        <w:trPr>
          <w:trHeight w:val="340"/>
        </w:trPr>
        <w:tc>
          <w:tcPr>
            <w:tcW w:w="3300" w:type="pct"/>
            <w:tcBorders>
              <w:top w:val="single" w:sz="6" w:space="0" w:color="auto"/>
              <w:left w:val="single" w:sz="4" w:space="0" w:color="auto"/>
              <w:bottom w:val="single" w:sz="6" w:space="0" w:color="auto"/>
              <w:right w:val="single" w:sz="6" w:space="0" w:color="auto"/>
            </w:tcBorders>
            <w:shd w:val="clear" w:color="auto" w:fill="C6D4E9"/>
            <w:vAlign w:val="center"/>
          </w:tcPr>
          <w:p w14:paraId="53BB12CC" w14:textId="77777777" w:rsidR="00507827" w:rsidRPr="00373DCC" w:rsidRDefault="00507827" w:rsidP="00354A2E">
            <w:pPr>
              <w:spacing w:after="0" w:line="240" w:lineRule="atLeast"/>
              <w:contextualSpacing/>
              <w:rPr>
                <w:rFonts w:cs="Arial"/>
                <w:sz w:val="21"/>
                <w:szCs w:val="21"/>
              </w:rPr>
            </w:pPr>
            <w:r w:rsidRPr="00373DCC">
              <w:rPr>
                <w:rFonts w:cs="Arial"/>
                <w:sz w:val="21"/>
                <w:szCs w:val="21"/>
              </w:rPr>
              <w:t>Total Category C notifications</w:t>
            </w:r>
          </w:p>
        </w:tc>
        <w:tc>
          <w:tcPr>
            <w:tcW w:w="864" w:type="pct"/>
            <w:tcBorders>
              <w:top w:val="single" w:sz="6" w:space="0" w:color="auto"/>
              <w:left w:val="single" w:sz="6" w:space="0" w:color="auto"/>
              <w:bottom w:val="single" w:sz="6" w:space="0" w:color="auto"/>
              <w:right w:val="single" w:sz="6" w:space="0" w:color="auto"/>
            </w:tcBorders>
            <w:shd w:val="clear" w:color="auto" w:fill="C6D4E9"/>
            <w:vAlign w:val="center"/>
          </w:tcPr>
          <w:p w14:paraId="4ACCFE6A"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663 (62%)</w:t>
            </w:r>
          </w:p>
        </w:tc>
        <w:tc>
          <w:tcPr>
            <w:tcW w:w="836" w:type="pct"/>
            <w:tcBorders>
              <w:top w:val="single" w:sz="6" w:space="0" w:color="auto"/>
              <w:left w:val="single" w:sz="6" w:space="0" w:color="auto"/>
              <w:bottom w:val="single" w:sz="6" w:space="0" w:color="auto"/>
              <w:right w:val="single" w:sz="4" w:space="0" w:color="auto"/>
            </w:tcBorders>
            <w:shd w:val="clear" w:color="auto" w:fill="C6D4E9"/>
            <w:vAlign w:val="center"/>
          </w:tcPr>
          <w:p w14:paraId="35490E56"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2,219 (79%)</w:t>
            </w:r>
          </w:p>
        </w:tc>
      </w:tr>
      <w:tr w:rsidR="00507827" w:rsidRPr="00373DCC" w14:paraId="41144E6E" w14:textId="77777777" w:rsidTr="00354A2E">
        <w:trPr>
          <w:trHeight w:val="340"/>
        </w:trPr>
        <w:tc>
          <w:tcPr>
            <w:tcW w:w="3300" w:type="pct"/>
            <w:tcBorders>
              <w:top w:val="single" w:sz="6" w:space="0" w:color="auto"/>
              <w:left w:val="single" w:sz="4" w:space="0" w:color="auto"/>
              <w:bottom w:val="single" w:sz="6" w:space="0" w:color="auto"/>
              <w:right w:val="single" w:sz="6" w:space="0" w:color="auto"/>
            </w:tcBorders>
            <w:shd w:val="clear" w:color="auto" w:fill="C6D4E9"/>
            <w:vAlign w:val="center"/>
          </w:tcPr>
          <w:p w14:paraId="7C4C4841" w14:textId="77777777" w:rsidR="00507827" w:rsidRPr="00373DCC" w:rsidRDefault="00507827" w:rsidP="00354A2E">
            <w:pPr>
              <w:spacing w:after="0" w:line="240" w:lineRule="atLeast"/>
              <w:contextualSpacing/>
              <w:rPr>
                <w:rFonts w:cs="Arial"/>
                <w:sz w:val="21"/>
                <w:szCs w:val="21"/>
              </w:rPr>
            </w:pPr>
            <w:r w:rsidRPr="00373DCC">
              <w:rPr>
                <w:rFonts w:cs="Arial"/>
                <w:sz w:val="21"/>
                <w:szCs w:val="21"/>
                <w:lang w:eastAsia="en-AU"/>
              </w:rPr>
              <w:t>Total SAS notifications/applications received (all categories)</w:t>
            </w:r>
          </w:p>
        </w:tc>
        <w:tc>
          <w:tcPr>
            <w:tcW w:w="864" w:type="pct"/>
            <w:tcBorders>
              <w:top w:val="single" w:sz="6" w:space="0" w:color="auto"/>
              <w:left w:val="single" w:sz="6" w:space="0" w:color="auto"/>
              <w:bottom w:val="single" w:sz="6" w:space="0" w:color="auto"/>
              <w:right w:val="single" w:sz="6" w:space="0" w:color="auto"/>
            </w:tcBorders>
            <w:shd w:val="clear" w:color="auto" w:fill="C6D4E9"/>
            <w:vAlign w:val="center"/>
          </w:tcPr>
          <w:p w14:paraId="157CEFC9"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1,063 (100%)</w:t>
            </w:r>
          </w:p>
        </w:tc>
        <w:tc>
          <w:tcPr>
            <w:tcW w:w="836" w:type="pct"/>
            <w:tcBorders>
              <w:top w:val="single" w:sz="6" w:space="0" w:color="auto"/>
              <w:left w:val="single" w:sz="6" w:space="0" w:color="auto"/>
              <w:bottom w:val="single" w:sz="6" w:space="0" w:color="auto"/>
              <w:right w:val="single" w:sz="4" w:space="0" w:color="auto"/>
            </w:tcBorders>
            <w:shd w:val="clear" w:color="auto" w:fill="C6D4E9"/>
            <w:vAlign w:val="center"/>
          </w:tcPr>
          <w:p w14:paraId="7507A365" w14:textId="77777777" w:rsidR="00507827" w:rsidRPr="00373DCC" w:rsidRDefault="00507827" w:rsidP="00354A2E">
            <w:pPr>
              <w:widowControl w:val="0"/>
              <w:spacing w:after="0" w:line="240" w:lineRule="atLeast"/>
              <w:contextualSpacing/>
              <w:jc w:val="right"/>
              <w:rPr>
                <w:rFonts w:cs="Arial"/>
                <w:sz w:val="21"/>
                <w:szCs w:val="21"/>
              </w:rPr>
            </w:pPr>
            <w:r w:rsidRPr="00373DCC">
              <w:rPr>
                <w:rFonts w:cs="Arial"/>
                <w:sz w:val="21"/>
                <w:szCs w:val="21"/>
                <w:lang w:eastAsia="en-AU"/>
              </w:rPr>
              <w:t>2,803 (100%)</w:t>
            </w:r>
          </w:p>
        </w:tc>
      </w:tr>
    </w:tbl>
    <w:p w14:paraId="1634E589" w14:textId="397DC9D5" w:rsidR="00507827" w:rsidRDefault="00507827" w:rsidP="00F2350B">
      <w:pPr>
        <w:keepNext/>
        <w:spacing w:before="240" w:after="120" w:line="240" w:lineRule="auto"/>
        <w:rPr>
          <w:rFonts w:eastAsia="Cambria" w:cs="Arial"/>
          <w:b/>
          <w:bCs/>
          <w:sz w:val="21"/>
          <w:szCs w:val="21"/>
        </w:rPr>
      </w:pPr>
    </w:p>
    <w:p w14:paraId="29B4BE9B" w14:textId="77777777" w:rsidR="00507827" w:rsidRDefault="00507827">
      <w:pPr>
        <w:spacing w:before="0" w:after="160" w:line="259" w:lineRule="auto"/>
        <w:rPr>
          <w:rFonts w:eastAsia="Cambria" w:cs="Arial"/>
          <w:b/>
          <w:bCs/>
          <w:sz w:val="21"/>
          <w:szCs w:val="21"/>
        </w:rPr>
      </w:pPr>
      <w:r>
        <w:rPr>
          <w:rFonts w:eastAsia="Cambria" w:cs="Arial"/>
          <w:b/>
          <w:bCs/>
          <w:sz w:val="21"/>
          <w:szCs w:val="21"/>
        </w:rPr>
        <w:br w:type="page"/>
      </w:r>
    </w:p>
    <w:p w14:paraId="7D3AD164" w14:textId="650C21A8" w:rsidR="00F2350B" w:rsidRPr="00373DCC" w:rsidRDefault="00F2350B" w:rsidP="00B633E2">
      <w:pPr>
        <w:pStyle w:val="Heading3-numbered"/>
        <w:numPr>
          <w:ilvl w:val="1"/>
          <w:numId w:val="32"/>
        </w:numPr>
        <w:rPr>
          <w:rFonts w:ascii="Arial" w:hAnsi="Arial" w:cs="Arial"/>
        </w:rPr>
      </w:pPr>
      <w:bookmarkStart w:id="209" w:name="_Toc153550485"/>
      <w:bookmarkEnd w:id="208"/>
      <w:r w:rsidRPr="00373DCC">
        <w:rPr>
          <w:rFonts w:ascii="Arial" w:hAnsi="Arial" w:cs="Arial"/>
        </w:rPr>
        <w:lastRenderedPageBreak/>
        <w:t>Clinical trials</w:t>
      </w:r>
      <w:bookmarkEnd w:id="209"/>
    </w:p>
    <w:p w14:paraId="547FF61E" w14:textId="77777777" w:rsidR="00F2350B" w:rsidRPr="00373DCC" w:rsidRDefault="00F2350B" w:rsidP="00F2350B">
      <w:pPr>
        <w:rPr>
          <w:rFonts w:cs="Arial"/>
          <w:sz w:val="21"/>
          <w:szCs w:val="21"/>
        </w:rPr>
      </w:pPr>
      <w:r w:rsidRPr="00373DCC">
        <w:rPr>
          <w:rFonts w:cs="Arial"/>
          <w:sz w:val="21"/>
          <w:szCs w:val="21"/>
        </w:rPr>
        <w:t xml:space="preserve">The Clinical Trial Notifications scheme provides an avenue through which unapproved therapeutic goods </w:t>
      </w:r>
      <w:r w:rsidRPr="00373DCC">
        <w:rPr>
          <w:rFonts w:cs="Arial"/>
          <w:color w:val="000000"/>
          <w:sz w:val="21"/>
          <w:szCs w:val="21"/>
        </w:rPr>
        <w:t>may be supplied for use solely for clinical trials</w:t>
      </w:r>
      <w:r w:rsidRPr="00373DCC">
        <w:rPr>
          <w:rFonts w:cs="Arial"/>
          <w:sz w:val="21"/>
          <w:szCs w:val="21"/>
        </w:rPr>
        <w:t>. Unapproved therapeutic goods can include biologicals, devices or medicines or a combination of any of the 3 types of goods.</w:t>
      </w:r>
    </w:p>
    <w:p w14:paraId="4C11C26D" w14:textId="77777777" w:rsidR="00F2350B" w:rsidRPr="00373DCC" w:rsidRDefault="00F2350B" w:rsidP="00F2350B">
      <w:pPr>
        <w:keepNext/>
        <w:spacing w:before="240" w:after="120" w:line="240" w:lineRule="auto"/>
        <w:rPr>
          <w:rFonts w:eastAsia="Cambria" w:cs="Arial"/>
          <w:b/>
          <w:bCs/>
          <w:sz w:val="21"/>
          <w:szCs w:val="21"/>
        </w:rPr>
      </w:pPr>
      <w:bookmarkStart w:id="210" w:name="Table55"/>
      <w:r w:rsidRPr="00373DCC">
        <w:rPr>
          <w:rFonts w:eastAsia="Cambria" w:cs="Arial"/>
          <w:b/>
          <w:bCs/>
          <w:sz w:val="21"/>
          <w:szCs w:val="21"/>
        </w:rPr>
        <w:t>Table 55: Number of notifications for new clinical trials involving unapproved therapeutic goods received by therapeutic good type</w:t>
      </w:r>
    </w:p>
    <w:tbl>
      <w:tblPr>
        <w:tblW w:w="5000" w:type="pct"/>
        <w:tblLook w:val="04A0" w:firstRow="1" w:lastRow="0" w:firstColumn="1" w:lastColumn="0" w:noHBand="0" w:noVBand="1"/>
      </w:tblPr>
      <w:tblGrid>
        <w:gridCol w:w="5954"/>
        <w:gridCol w:w="1586"/>
        <w:gridCol w:w="1481"/>
      </w:tblGrid>
      <w:tr w:rsidR="0090257F" w:rsidRPr="00373DCC" w14:paraId="5373C790" w14:textId="77777777" w:rsidTr="0090257F">
        <w:trPr>
          <w:trHeight w:val="404"/>
        </w:trPr>
        <w:tc>
          <w:tcPr>
            <w:tcW w:w="3300" w:type="pct"/>
            <w:tcBorders>
              <w:top w:val="nil"/>
              <w:left w:val="nil"/>
              <w:right w:val="nil"/>
            </w:tcBorders>
            <w:shd w:val="clear" w:color="auto" w:fill="29527F"/>
            <w:noWrap/>
            <w:vAlign w:val="center"/>
            <w:hideMark/>
          </w:tcPr>
          <w:bookmarkEnd w:id="210"/>
          <w:p w14:paraId="605CAE28" w14:textId="4BB2CF10" w:rsidR="0090257F" w:rsidRPr="00373DCC" w:rsidRDefault="0090257F" w:rsidP="0090257F">
            <w:pPr>
              <w:widowControl w:val="0"/>
              <w:spacing w:after="0" w:line="240" w:lineRule="auto"/>
              <w:rPr>
                <w:rFonts w:eastAsia="Times New Roman" w:cs="Arial"/>
                <w:color w:val="000000"/>
                <w:szCs w:val="22"/>
                <w:lang w:eastAsia="en-AU"/>
              </w:rPr>
            </w:pPr>
            <w:r w:rsidRPr="0090257F">
              <w:rPr>
                <w:rFonts w:eastAsia="Cambria" w:cs="Arial"/>
                <w:b/>
                <w:color w:val="FFFFFF"/>
                <w:sz w:val="21"/>
                <w:szCs w:val="21"/>
                <w:lang w:eastAsia="en-AU"/>
              </w:rPr>
              <w:t>Therapeutic good type</w:t>
            </w:r>
          </w:p>
        </w:tc>
        <w:tc>
          <w:tcPr>
            <w:tcW w:w="879" w:type="pct"/>
            <w:tcBorders>
              <w:top w:val="single" w:sz="4" w:space="0" w:color="auto"/>
              <w:left w:val="single" w:sz="4" w:space="0" w:color="auto"/>
              <w:bottom w:val="single" w:sz="4" w:space="0" w:color="auto"/>
              <w:right w:val="single" w:sz="4" w:space="0" w:color="auto"/>
            </w:tcBorders>
            <w:shd w:val="clear" w:color="auto" w:fill="29527F"/>
            <w:vAlign w:val="center"/>
          </w:tcPr>
          <w:p w14:paraId="5012A458"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5E921736" w14:textId="76379EA1" w:rsidR="0090257F" w:rsidRPr="003440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821" w:type="pct"/>
            <w:tcBorders>
              <w:top w:val="single" w:sz="4" w:space="0" w:color="auto"/>
              <w:left w:val="single" w:sz="4" w:space="0" w:color="auto"/>
              <w:bottom w:val="single" w:sz="4" w:space="0" w:color="auto"/>
              <w:right w:val="single" w:sz="4" w:space="0" w:color="auto"/>
            </w:tcBorders>
            <w:shd w:val="clear" w:color="auto" w:fill="29527F"/>
            <w:vAlign w:val="center"/>
          </w:tcPr>
          <w:p w14:paraId="3C78D446"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259154ED" w14:textId="02745AC0" w:rsidR="0090257F" w:rsidRPr="003440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5365C2A2"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E2718" w14:textId="77777777" w:rsidR="00F2350B" w:rsidRPr="00373DCC" w:rsidRDefault="00F2350B" w:rsidP="00710B91">
            <w:pPr>
              <w:keepLines/>
              <w:spacing w:after="0" w:line="240" w:lineRule="atLeast"/>
              <w:contextualSpacing/>
              <w:rPr>
                <w:rFonts w:cs="Arial"/>
                <w:szCs w:val="22"/>
              </w:rPr>
            </w:pPr>
            <w:r w:rsidRPr="00373DCC">
              <w:rPr>
                <w:rFonts w:cs="Arial"/>
                <w:szCs w:val="22"/>
              </w:rPr>
              <w:t>Medicine</w:t>
            </w:r>
          </w:p>
        </w:tc>
        <w:tc>
          <w:tcPr>
            <w:tcW w:w="879" w:type="pct"/>
            <w:tcBorders>
              <w:top w:val="single" w:sz="4" w:space="0" w:color="auto"/>
              <w:left w:val="nil"/>
              <w:bottom w:val="single" w:sz="4" w:space="0" w:color="auto"/>
              <w:right w:val="single" w:sz="4" w:space="0" w:color="auto"/>
            </w:tcBorders>
            <w:vAlign w:val="center"/>
          </w:tcPr>
          <w:p w14:paraId="358E7E63"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483 (41%)</w:t>
            </w:r>
          </w:p>
        </w:tc>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37E6C" w14:textId="77777777" w:rsidR="00F2350B" w:rsidRPr="00373DCC" w:rsidRDefault="00F2350B" w:rsidP="00710B91">
            <w:pPr>
              <w:keepLines/>
              <w:spacing w:after="0" w:line="240" w:lineRule="atLeast"/>
              <w:contextualSpacing/>
              <w:jc w:val="right"/>
              <w:rPr>
                <w:rFonts w:cs="Arial"/>
              </w:rPr>
            </w:pPr>
            <w:r w:rsidRPr="48ECC65F">
              <w:rPr>
                <w:rFonts w:cs="Arial"/>
              </w:rPr>
              <w:t>390 (37%)</w:t>
            </w:r>
            <w:r w:rsidRPr="00373DCC">
              <w:rPr>
                <w:rFonts w:cs="Arial"/>
              </w:rPr>
              <w:t xml:space="preserve"> </w:t>
            </w:r>
          </w:p>
        </w:tc>
      </w:tr>
      <w:tr w:rsidR="00F2350B" w:rsidRPr="00373DCC" w14:paraId="145771F6"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8B30C" w14:textId="77777777" w:rsidR="00F2350B" w:rsidRPr="00373DCC" w:rsidRDefault="00F2350B" w:rsidP="00710B91">
            <w:pPr>
              <w:keepLines/>
              <w:spacing w:after="0" w:line="240" w:lineRule="atLeast"/>
              <w:contextualSpacing/>
              <w:rPr>
                <w:rFonts w:cs="Arial"/>
                <w:szCs w:val="22"/>
              </w:rPr>
            </w:pPr>
            <w:r w:rsidRPr="00373DCC">
              <w:rPr>
                <w:rFonts w:cs="Arial"/>
                <w:szCs w:val="22"/>
              </w:rPr>
              <w:t>Device</w:t>
            </w:r>
            <w:r w:rsidRPr="00373DCC">
              <w:rPr>
                <w:rFonts w:cs="Arial"/>
                <w:szCs w:val="22"/>
                <w:vertAlign w:val="superscript"/>
              </w:rPr>
              <w:t xml:space="preserve"> </w:t>
            </w:r>
          </w:p>
        </w:tc>
        <w:tc>
          <w:tcPr>
            <w:tcW w:w="879" w:type="pct"/>
            <w:tcBorders>
              <w:top w:val="single" w:sz="4" w:space="0" w:color="auto"/>
              <w:left w:val="nil"/>
              <w:bottom w:val="single" w:sz="4" w:space="0" w:color="auto"/>
              <w:right w:val="single" w:sz="4" w:space="0" w:color="auto"/>
            </w:tcBorders>
            <w:vAlign w:val="center"/>
          </w:tcPr>
          <w:p w14:paraId="57297FF1"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166 (14%)</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6E1E1D50"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161 (015%)</w:t>
            </w:r>
          </w:p>
        </w:tc>
      </w:tr>
      <w:tr w:rsidR="00F2350B" w:rsidRPr="00373DCC" w14:paraId="39100AF5"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BB36B" w14:textId="77777777" w:rsidR="00F2350B" w:rsidRPr="00373DCC" w:rsidRDefault="00F2350B" w:rsidP="00710B91">
            <w:pPr>
              <w:keepLines/>
              <w:spacing w:after="0" w:line="240" w:lineRule="atLeast"/>
              <w:contextualSpacing/>
              <w:rPr>
                <w:rFonts w:cs="Arial"/>
                <w:szCs w:val="22"/>
              </w:rPr>
            </w:pPr>
            <w:r w:rsidRPr="00373DCC">
              <w:rPr>
                <w:rFonts w:cs="Arial"/>
                <w:szCs w:val="22"/>
              </w:rPr>
              <w:t>Biological</w:t>
            </w:r>
          </w:p>
        </w:tc>
        <w:tc>
          <w:tcPr>
            <w:tcW w:w="879" w:type="pct"/>
            <w:tcBorders>
              <w:top w:val="single" w:sz="4" w:space="0" w:color="auto"/>
              <w:left w:val="nil"/>
              <w:bottom w:val="single" w:sz="4" w:space="0" w:color="auto"/>
              <w:right w:val="single" w:sz="4" w:space="0" w:color="auto"/>
            </w:tcBorders>
            <w:vAlign w:val="center"/>
          </w:tcPr>
          <w:p w14:paraId="30DF13E5"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10 (1%)</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790B1420"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9 (1%)</w:t>
            </w:r>
          </w:p>
        </w:tc>
      </w:tr>
      <w:tr w:rsidR="00F2350B" w:rsidRPr="00373DCC" w14:paraId="49117845"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1323F" w14:textId="77777777" w:rsidR="00F2350B" w:rsidRPr="00373DCC" w:rsidRDefault="00F2350B" w:rsidP="00710B91">
            <w:pPr>
              <w:keepLines/>
              <w:spacing w:after="0" w:line="240" w:lineRule="atLeast"/>
              <w:contextualSpacing/>
              <w:rPr>
                <w:rFonts w:cs="Arial"/>
                <w:szCs w:val="22"/>
              </w:rPr>
            </w:pPr>
            <w:r w:rsidRPr="00373DCC">
              <w:rPr>
                <w:rFonts w:cs="Arial"/>
                <w:szCs w:val="22"/>
              </w:rPr>
              <w:t>Medicine and device</w:t>
            </w:r>
          </w:p>
        </w:tc>
        <w:tc>
          <w:tcPr>
            <w:tcW w:w="879" w:type="pct"/>
            <w:tcBorders>
              <w:top w:val="single" w:sz="4" w:space="0" w:color="auto"/>
              <w:left w:val="nil"/>
              <w:bottom w:val="single" w:sz="4" w:space="0" w:color="auto"/>
              <w:right w:val="single" w:sz="4" w:space="0" w:color="auto"/>
            </w:tcBorders>
            <w:vAlign w:val="center"/>
          </w:tcPr>
          <w:p w14:paraId="72715B2C"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514 (43%)</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01C3A159" w14:textId="77777777" w:rsidR="00F2350B" w:rsidRPr="00373DCC" w:rsidRDefault="00F2350B" w:rsidP="00710B91">
            <w:pPr>
              <w:spacing w:after="180" w:line="240" w:lineRule="atLeast"/>
              <w:contextualSpacing/>
              <w:jc w:val="right"/>
              <w:rPr>
                <w:rFonts w:cs="Arial"/>
                <w:szCs w:val="22"/>
              </w:rPr>
            </w:pPr>
            <w:r w:rsidRPr="00373DCC">
              <w:rPr>
                <w:rFonts w:cs="Arial"/>
                <w:szCs w:val="22"/>
              </w:rPr>
              <w:t>477 (45%)</w:t>
            </w:r>
          </w:p>
        </w:tc>
      </w:tr>
      <w:tr w:rsidR="00F2350B" w:rsidRPr="00373DCC" w14:paraId="36CE6D8B"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FDDF7" w14:textId="77777777" w:rsidR="00F2350B" w:rsidRPr="00373DCC" w:rsidRDefault="00F2350B" w:rsidP="00710B91">
            <w:pPr>
              <w:keepLines/>
              <w:spacing w:after="0" w:line="240" w:lineRule="atLeast"/>
              <w:contextualSpacing/>
              <w:rPr>
                <w:rFonts w:cs="Arial"/>
                <w:szCs w:val="22"/>
              </w:rPr>
            </w:pPr>
            <w:r w:rsidRPr="00373DCC">
              <w:rPr>
                <w:rFonts w:cs="Arial"/>
                <w:szCs w:val="22"/>
              </w:rPr>
              <w:t>Device and biological</w:t>
            </w:r>
          </w:p>
        </w:tc>
        <w:tc>
          <w:tcPr>
            <w:tcW w:w="879" w:type="pct"/>
            <w:tcBorders>
              <w:top w:val="single" w:sz="4" w:space="0" w:color="auto"/>
              <w:left w:val="nil"/>
              <w:bottom w:val="single" w:sz="4" w:space="0" w:color="auto"/>
              <w:right w:val="single" w:sz="4" w:space="0" w:color="auto"/>
            </w:tcBorders>
            <w:vAlign w:val="center"/>
          </w:tcPr>
          <w:p w14:paraId="3333109E"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4 (&lt;1%)</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4911469A"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5 (&lt;1%)</w:t>
            </w:r>
          </w:p>
        </w:tc>
      </w:tr>
      <w:tr w:rsidR="00F2350B" w:rsidRPr="00373DCC" w14:paraId="3E427F3F"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D410B" w14:textId="77777777" w:rsidR="00F2350B" w:rsidRPr="00373DCC" w:rsidRDefault="00F2350B" w:rsidP="00710B91">
            <w:pPr>
              <w:keepLines/>
              <w:spacing w:after="0" w:line="240" w:lineRule="atLeast"/>
              <w:contextualSpacing/>
              <w:rPr>
                <w:rFonts w:cs="Arial"/>
                <w:szCs w:val="22"/>
              </w:rPr>
            </w:pPr>
            <w:r w:rsidRPr="00373DCC">
              <w:rPr>
                <w:rFonts w:cs="Arial"/>
                <w:szCs w:val="22"/>
              </w:rPr>
              <w:t>Medicine and biological</w:t>
            </w:r>
          </w:p>
        </w:tc>
        <w:tc>
          <w:tcPr>
            <w:tcW w:w="879" w:type="pct"/>
            <w:tcBorders>
              <w:top w:val="single" w:sz="4" w:space="0" w:color="auto"/>
              <w:left w:val="nil"/>
              <w:bottom w:val="single" w:sz="4" w:space="0" w:color="auto"/>
              <w:right w:val="single" w:sz="4" w:space="0" w:color="auto"/>
            </w:tcBorders>
            <w:vAlign w:val="center"/>
          </w:tcPr>
          <w:p w14:paraId="36C50AC7"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4 (&lt;1%)</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403B4E95"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2 (&lt;1%)</w:t>
            </w:r>
          </w:p>
        </w:tc>
      </w:tr>
      <w:tr w:rsidR="00F2350B" w:rsidRPr="00373DCC" w14:paraId="5125D3FE"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87AEA" w14:textId="77777777" w:rsidR="00F2350B" w:rsidRPr="00373DCC" w:rsidRDefault="00F2350B" w:rsidP="00710B91">
            <w:pPr>
              <w:keepLines/>
              <w:spacing w:after="0" w:line="240" w:lineRule="atLeast"/>
              <w:contextualSpacing/>
              <w:rPr>
                <w:rFonts w:cs="Arial"/>
                <w:szCs w:val="22"/>
              </w:rPr>
            </w:pPr>
            <w:r w:rsidRPr="00373DCC">
              <w:rPr>
                <w:rFonts w:cs="Arial"/>
                <w:szCs w:val="22"/>
              </w:rPr>
              <w:t>Medicine, device and biological</w:t>
            </w:r>
          </w:p>
        </w:tc>
        <w:tc>
          <w:tcPr>
            <w:tcW w:w="879" w:type="pct"/>
            <w:tcBorders>
              <w:top w:val="single" w:sz="4" w:space="0" w:color="auto"/>
              <w:left w:val="nil"/>
              <w:bottom w:val="single" w:sz="4" w:space="0" w:color="auto"/>
              <w:right w:val="single" w:sz="4" w:space="0" w:color="auto"/>
            </w:tcBorders>
            <w:vAlign w:val="center"/>
          </w:tcPr>
          <w:p w14:paraId="7E30337A"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4 (&lt;1%)</w:t>
            </w:r>
          </w:p>
        </w:tc>
        <w:tc>
          <w:tcPr>
            <w:tcW w:w="821" w:type="pct"/>
            <w:tcBorders>
              <w:top w:val="single" w:sz="4" w:space="0" w:color="auto"/>
              <w:left w:val="single" w:sz="4" w:space="0" w:color="auto"/>
              <w:bottom w:val="single" w:sz="4" w:space="0" w:color="auto"/>
              <w:right w:val="single" w:sz="4" w:space="0" w:color="auto"/>
            </w:tcBorders>
            <w:shd w:val="clear" w:color="auto" w:fill="auto"/>
            <w:noWrap/>
          </w:tcPr>
          <w:p w14:paraId="1A33D2AC"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6 (&lt;1%)</w:t>
            </w:r>
          </w:p>
        </w:tc>
      </w:tr>
      <w:tr w:rsidR="00F2350B" w:rsidRPr="00373DCC" w14:paraId="26354D80" w14:textId="77777777" w:rsidTr="00710B91">
        <w:trPr>
          <w:trHeight w:val="295"/>
        </w:trPr>
        <w:tc>
          <w:tcPr>
            <w:tcW w:w="3300"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3342AA5D" w14:textId="77777777" w:rsidR="00F2350B" w:rsidRPr="00373DCC" w:rsidRDefault="00F2350B" w:rsidP="00710B91">
            <w:pPr>
              <w:keepLines/>
              <w:spacing w:after="0" w:line="240" w:lineRule="atLeast"/>
              <w:contextualSpacing/>
              <w:rPr>
                <w:rFonts w:cs="Arial"/>
                <w:szCs w:val="22"/>
              </w:rPr>
            </w:pPr>
            <w:r w:rsidRPr="00373DCC">
              <w:rPr>
                <w:rFonts w:cs="Arial"/>
                <w:szCs w:val="22"/>
              </w:rPr>
              <w:t>Total</w:t>
            </w:r>
          </w:p>
        </w:tc>
        <w:tc>
          <w:tcPr>
            <w:tcW w:w="879" w:type="pct"/>
            <w:tcBorders>
              <w:top w:val="single" w:sz="4" w:space="0" w:color="auto"/>
              <w:left w:val="nil"/>
              <w:bottom w:val="single" w:sz="4" w:space="0" w:color="auto"/>
              <w:right w:val="single" w:sz="4" w:space="0" w:color="auto"/>
            </w:tcBorders>
            <w:shd w:val="clear" w:color="auto" w:fill="C6D4E9"/>
            <w:vAlign w:val="center"/>
          </w:tcPr>
          <w:p w14:paraId="1F8E8BA0"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lang w:eastAsia="en-AU"/>
              </w:rPr>
              <w:t>1,185 (100%)</w:t>
            </w:r>
          </w:p>
        </w:tc>
        <w:tc>
          <w:tcPr>
            <w:tcW w:w="821" w:type="pct"/>
            <w:tcBorders>
              <w:top w:val="single" w:sz="4" w:space="0" w:color="auto"/>
              <w:left w:val="single" w:sz="4" w:space="0" w:color="auto"/>
              <w:bottom w:val="single" w:sz="4" w:space="0" w:color="auto"/>
              <w:right w:val="single" w:sz="4" w:space="0" w:color="auto"/>
            </w:tcBorders>
            <w:shd w:val="clear" w:color="auto" w:fill="C6D4E9"/>
          </w:tcPr>
          <w:p w14:paraId="3A8F4ACC" w14:textId="77777777" w:rsidR="00F2350B" w:rsidRPr="00373DCC" w:rsidRDefault="00F2350B" w:rsidP="00710B91">
            <w:pPr>
              <w:keepLines/>
              <w:spacing w:after="0" w:line="240" w:lineRule="atLeast"/>
              <w:contextualSpacing/>
              <w:jc w:val="right"/>
              <w:rPr>
                <w:rFonts w:cs="Arial"/>
                <w:szCs w:val="22"/>
              </w:rPr>
            </w:pPr>
            <w:r w:rsidRPr="00373DCC">
              <w:rPr>
                <w:rFonts w:cs="Arial"/>
                <w:szCs w:val="22"/>
              </w:rPr>
              <w:t>1050 (100%)</w:t>
            </w:r>
          </w:p>
        </w:tc>
      </w:tr>
    </w:tbl>
    <w:p w14:paraId="65EAF5B9" w14:textId="77777777" w:rsidR="00F2350B" w:rsidRPr="00373DCC" w:rsidRDefault="00F2350B" w:rsidP="00F2350B">
      <w:pPr>
        <w:spacing w:before="360"/>
        <w:rPr>
          <w:rFonts w:eastAsia="Cambria" w:cs="Arial"/>
          <w:b/>
          <w:bCs/>
          <w:sz w:val="21"/>
          <w:szCs w:val="21"/>
        </w:rPr>
      </w:pPr>
      <w:bookmarkStart w:id="211" w:name="Table56"/>
      <w:r w:rsidRPr="00373DCC">
        <w:rPr>
          <w:rFonts w:eastAsia="Cambria" w:cs="Arial"/>
          <w:b/>
          <w:bCs/>
          <w:sz w:val="21"/>
          <w:szCs w:val="21"/>
        </w:rPr>
        <w:t>Table 56: Number of new clinical trial notifications involving unapproved therapeutic goods received by phase</w:t>
      </w:r>
    </w:p>
    <w:tbl>
      <w:tblPr>
        <w:tblW w:w="5000" w:type="pct"/>
        <w:tblLook w:val="04A0" w:firstRow="1" w:lastRow="0" w:firstColumn="1" w:lastColumn="0" w:noHBand="0" w:noVBand="1"/>
      </w:tblPr>
      <w:tblGrid>
        <w:gridCol w:w="5920"/>
        <w:gridCol w:w="1483"/>
        <w:gridCol w:w="1618"/>
      </w:tblGrid>
      <w:tr w:rsidR="0090257F" w:rsidRPr="00373DCC" w14:paraId="5DB81888" w14:textId="77777777" w:rsidTr="0090257F">
        <w:trPr>
          <w:trHeight w:val="471"/>
        </w:trPr>
        <w:tc>
          <w:tcPr>
            <w:tcW w:w="3281" w:type="pct"/>
            <w:tcBorders>
              <w:top w:val="nil"/>
              <w:left w:val="nil"/>
              <w:right w:val="nil"/>
            </w:tcBorders>
            <w:shd w:val="clear" w:color="auto" w:fill="29527F"/>
            <w:noWrap/>
            <w:vAlign w:val="center"/>
            <w:hideMark/>
          </w:tcPr>
          <w:bookmarkEnd w:id="211"/>
          <w:p w14:paraId="01E1AC54" w14:textId="56103D8D" w:rsidR="0090257F" w:rsidRPr="00373DCC" w:rsidRDefault="0090257F" w:rsidP="0090257F">
            <w:pPr>
              <w:widowControl w:val="0"/>
              <w:spacing w:after="0" w:line="240" w:lineRule="auto"/>
              <w:rPr>
                <w:rFonts w:eastAsia="Times New Roman" w:cs="Arial"/>
                <w:color w:val="000000"/>
                <w:sz w:val="21"/>
                <w:szCs w:val="21"/>
                <w:lang w:eastAsia="en-AU"/>
              </w:rPr>
            </w:pPr>
            <w:r w:rsidRPr="0090257F">
              <w:rPr>
                <w:rFonts w:eastAsia="Cambria" w:cs="Arial"/>
                <w:b/>
                <w:color w:val="FFFFFF"/>
                <w:sz w:val="21"/>
                <w:szCs w:val="21"/>
                <w:lang w:eastAsia="en-AU"/>
              </w:rPr>
              <w:t>Clinical trial type</w:t>
            </w:r>
          </w:p>
        </w:tc>
        <w:tc>
          <w:tcPr>
            <w:tcW w:w="822" w:type="pct"/>
            <w:tcBorders>
              <w:top w:val="single" w:sz="4" w:space="0" w:color="auto"/>
              <w:left w:val="single" w:sz="4" w:space="0" w:color="auto"/>
              <w:bottom w:val="single" w:sz="4" w:space="0" w:color="auto"/>
              <w:right w:val="single" w:sz="4" w:space="0" w:color="auto"/>
            </w:tcBorders>
            <w:shd w:val="clear" w:color="auto" w:fill="29527F"/>
            <w:vAlign w:val="center"/>
          </w:tcPr>
          <w:p w14:paraId="19B294CD"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499CB821" w14:textId="73034F0B" w:rsidR="0090257F" w:rsidRPr="00373D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897" w:type="pct"/>
            <w:tcBorders>
              <w:top w:val="single" w:sz="4" w:space="0" w:color="auto"/>
              <w:left w:val="single" w:sz="4" w:space="0" w:color="auto"/>
              <w:bottom w:val="single" w:sz="4" w:space="0" w:color="auto"/>
              <w:right w:val="single" w:sz="4" w:space="0" w:color="auto"/>
            </w:tcBorders>
            <w:shd w:val="clear" w:color="auto" w:fill="29527F"/>
            <w:vAlign w:val="center"/>
          </w:tcPr>
          <w:p w14:paraId="48E77E8D"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1C50AAE0" w14:textId="73EED584" w:rsidR="0090257F" w:rsidRPr="00373DCC" w:rsidRDefault="0090257F" w:rsidP="0090257F">
            <w:pPr>
              <w:widowControl w:val="0"/>
              <w:spacing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6D102D66"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C3CB"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Phase 1</w:t>
            </w:r>
          </w:p>
        </w:tc>
        <w:tc>
          <w:tcPr>
            <w:tcW w:w="822" w:type="pct"/>
            <w:tcBorders>
              <w:top w:val="single" w:sz="4" w:space="0" w:color="auto"/>
              <w:left w:val="nil"/>
              <w:bottom w:val="single" w:sz="4" w:space="0" w:color="auto"/>
              <w:right w:val="single" w:sz="4" w:space="0" w:color="auto"/>
            </w:tcBorders>
            <w:vAlign w:val="center"/>
          </w:tcPr>
          <w:p w14:paraId="49454113"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377 (32%)</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E5930"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346 (33%)</w:t>
            </w:r>
          </w:p>
        </w:tc>
      </w:tr>
      <w:tr w:rsidR="00F2350B" w:rsidRPr="00373DCC" w14:paraId="45D65B2B"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A8D48"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Phase 2</w:t>
            </w:r>
          </w:p>
        </w:tc>
        <w:tc>
          <w:tcPr>
            <w:tcW w:w="822" w:type="pct"/>
            <w:tcBorders>
              <w:top w:val="single" w:sz="4" w:space="0" w:color="auto"/>
              <w:left w:val="nil"/>
              <w:bottom w:val="single" w:sz="4" w:space="0" w:color="auto"/>
              <w:right w:val="single" w:sz="4" w:space="0" w:color="auto"/>
            </w:tcBorders>
            <w:vAlign w:val="center"/>
          </w:tcPr>
          <w:p w14:paraId="49FABF79"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303 (26%)</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06744"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263 (25%)</w:t>
            </w:r>
          </w:p>
        </w:tc>
      </w:tr>
      <w:tr w:rsidR="00F2350B" w:rsidRPr="00373DCC" w14:paraId="4F6D104B"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54B1"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Phase 3</w:t>
            </w:r>
          </w:p>
        </w:tc>
        <w:tc>
          <w:tcPr>
            <w:tcW w:w="822" w:type="pct"/>
            <w:tcBorders>
              <w:top w:val="single" w:sz="4" w:space="0" w:color="auto"/>
              <w:left w:val="nil"/>
              <w:bottom w:val="single" w:sz="4" w:space="0" w:color="auto"/>
              <w:right w:val="single" w:sz="4" w:space="0" w:color="auto"/>
            </w:tcBorders>
            <w:vAlign w:val="center"/>
          </w:tcPr>
          <w:p w14:paraId="48E1DC7F"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273 (23%)</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4D7F2"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229 (22%)</w:t>
            </w:r>
          </w:p>
        </w:tc>
      </w:tr>
      <w:tr w:rsidR="00F2350B" w:rsidRPr="00373DCC" w14:paraId="7FAF0001"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DB9F"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Phase 4</w:t>
            </w:r>
          </w:p>
        </w:tc>
        <w:tc>
          <w:tcPr>
            <w:tcW w:w="822" w:type="pct"/>
            <w:tcBorders>
              <w:top w:val="single" w:sz="4" w:space="0" w:color="auto"/>
              <w:left w:val="nil"/>
              <w:bottom w:val="single" w:sz="4" w:space="0" w:color="auto"/>
              <w:right w:val="single" w:sz="4" w:space="0" w:color="auto"/>
            </w:tcBorders>
            <w:vAlign w:val="center"/>
          </w:tcPr>
          <w:p w14:paraId="55F43C73"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53 (4%)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FF1E1"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37 (4%)</w:t>
            </w:r>
          </w:p>
        </w:tc>
      </w:tr>
      <w:tr w:rsidR="00F2350B" w:rsidRPr="00373DCC" w14:paraId="1C5246A1"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01A33"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Device</w:t>
            </w:r>
          </w:p>
        </w:tc>
        <w:tc>
          <w:tcPr>
            <w:tcW w:w="822" w:type="pct"/>
            <w:tcBorders>
              <w:top w:val="single" w:sz="4" w:space="0" w:color="auto"/>
              <w:left w:val="nil"/>
              <w:bottom w:val="single" w:sz="4" w:space="0" w:color="auto"/>
              <w:right w:val="single" w:sz="4" w:space="0" w:color="auto"/>
            </w:tcBorders>
            <w:vAlign w:val="center"/>
          </w:tcPr>
          <w:p w14:paraId="541A0FD6"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172 (14%)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E6195"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164 (16%)</w:t>
            </w:r>
          </w:p>
        </w:tc>
      </w:tr>
      <w:tr w:rsidR="00F2350B" w:rsidRPr="00373DCC" w14:paraId="74EF6533"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C5C7E"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Bioavailability/equivalence</w:t>
            </w:r>
          </w:p>
        </w:tc>
        <w:tc>
          <w:tcPr>
            <w:tcW w:w="822" w:type="pct"/>
            <w:tcBorders>
              <w:top w:val="single" w:sz="4" w:space="0" w:color="auto"/>
              <w:left w:val="nil"/>
              <w:bottom w:val="single" w:sz="4" w:space="0" w:color="auto"/>
              <w:right w:val="single" w:sz="4" w:space="0" w:color="auto"/>
            </w:tcBorders>
            <w:vAlign w:val="center"/>
          </w:tcPr>
          <w:p w14:paraId="2725049F"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7 (1%)</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F201A"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11 (1%)</w:t>
            </w:r>
          </w:p>
        </w:tc>
      </w:tr>
      <w:tr w:rsidR="00F2350B" w:rsidRPr="00373DCC" w14:paraId="46A05856" w14:textId="77777777" w:rsidTr="00710B91">
        <w:trPr>
          <w:trHeight w:val="340"/>
        </w:trPr>
        <w:tc>
          <w:tcPr>
            <w:tcW w:w="3281"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1F0A5AFA" w14:textId="77777777" w:rsidR="00F2350B" w:rsidRPr="00373DCC" w:rsidRDefault="00F2350B" w:rsidP="00710B91">
            <w:pPr>
              <w:spacing w:after="0" w:line="240" w:lineRule="atLeast"/>
              <w:contextualSpacing/>
              <w:rPr>
                <w:rFonts w:cs="Arial"/>
                <w:sz w:val="21"/>
                <w:szCs w:val="21"/>
              </w:rPr>
            </w:pPr>
            <w:r w:rsidRPr="00373DCC">
              <w:rPr>
                <w:rFonts w:cs="Arial"/>
                <w:sz w:val="21"/>
                <w:szCs w:val="21"/>
              </w:rPr>
              <w:t>Total</w:t>
            </w:r>
          </w:p>
        </w:tc>
        <w:tc>
          <w:tcPr>
            <w:tcW w:w="822" w:type="pct"/>
            <w:tcBorders>
              <w:top w:val="single" w:sz="4" w:space="0" w:color="auto"/>
              <w:left w:val="nil"/>
              <w:bottom w:val="single" w:sz="4" w:space="0" w:color="auto"/>
              <w:right w:val="single" w:sz="4" w:space="0" w:color="auto"/>
            </w:tcBorders>
            <w:shd w:val="clear" w:color="auto" w:fill="C6D4E9"/>
            <w:vAlign w:val="center"/>
          </w:tcPr>
          <w:p w14:paraId="6B50EFA0"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lang w:eastAsia="en-AU"/>
              </w:rPr>
              <w:t>1,185 (100%)</w:t>
            </w:r>
          </w:p>
        </w:tc>
        <w:tc>
          <w:tcPr>
            <w:tcW w:w="897" w:type="pct"/>
            <w:tcBorders>
              <w:top w:val="single" w:sz="4" w:space="0" w:color="auto"/>
              <w:left w:val="single" w:sz="4" w:space="0" w:color="auto"/>
              <w:bottom w:val="single" w:sz="4" w:space="0" w:color="auto"/>
              <w:right w:val="single" w:sz="4" w:space="0" w:color="auto"/>
            </w:tcBorders>
            <w:shd w:val="clear" w:color="auto" w:fill="C6D4E9"/>
            <w:vAlign w:val="center"/>
          </w:tcPr>
          <w:p w14:paraId="1B05BFEB" w14:textId="77777777" w:rsidR="00F2350B" w:rsidRPr="00373DCC" w:rsidRDefault="00F2350B" w:rsidP="00710B91">
            <w:pPr>
              <w:widowControl w:val="0"/>
              <w:spacing w:after="0" w:line="240" w:lineRule="atLeast"/>
              <w:contextualSpacing/>
              <w:jc w:val="right"/>
              <w:rPr>
                <w:rFonts w:cs="Arial"/>
                <w:sz w:val="21"/>
                <w:szCs w:val="21"/>
              </w:rPr>
            </w:pPr>
            <w:r w:rsidRPr="00373DCC">
              <w:rPr>
                <w:rFonts w:cs="Arial"/>
                <w:sz w:val="21"/>
                <w:szCs w:val="21"/>
              </w:rPr>
              <w:t>1050 (100%)</w:t>
            </w:r>
          </w:p>
        </w:tc>
      </w:tr>
    </w:tbl>
    <w:p w14:paraId="3AE53F86" w14:textId="77777777" w:rsidR="00507827" w:rsidRDefault="00507827" w:rsidP="00F2350B">
      <w:pPr>
        <w:keepNext/>
        <w:spacing w:before="240" w:after="120" w:line="240" w:lineRule="auto"/>
        <w:rPr>
          <w:rFonts w:eastAsia="Cambria" w:cs="Arial"/>
          <w:b/>
          <w:bCs/>
          <w:sz w:val="21"/>
          <w:szCs w:val="21"/>
        </w:rPr>
      </w:pPr>
      <w:bookmarkStart w:id="212" w:name="Table57"/>
    </w:p>
    <w:p w14:paraId="59038071" w14:textId="77777777" w:rsidR="00507827" w:rsidRDefault="00507827">
      <w:pPr>
        <w:spacing w:before="0" w:after="160" w:line="259" w:lineRule="auto"/>
        <w:rPr>
          <w:rFonts w:eastAsia="Cambria" w:cs="Arial"/>
          <w:b/>
          <w:bCs/>
          <w:sz w:val="21"/>
          <w:szCs w:val="21"/>
        </w:rPr>
      </w:pPr>
      <w:r>
        <w:rPr>
          <w:rFonts w:eastAsia="Cambria" w:cs="Arial"/>
          <w:b/>
          <w:bCs/>
          <w:sz w:val="21"/>
          <w:szCs w:val="21"/>
        </w:rPr>
        <w:br w:type="page"/>
      </w:r>
    </w:p>
    <w:p w14:paraId="1069BD67" w14:textId="07C2D8CA"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lastRenderedPageBreak/>
        <w:t>Table 57: Number of notifications for new clinical trials and variations to previously notified clinical trials, including non-fee attracting variations, involving unapproved therapeutic goods received by therapeutic good type</w:t>
      </w:r>
    </w:p>
    <w:tbl>
      <w:tblPr>
        <w:tblW w:w="5000" w:type="pct"/>
        <w:tblLayout w:type="fixed"/>
        <w:tblLook w:val="04A0" w:firstRow="1" w:lastRow="0" w:firstColumn="1" w:lastColumn="0" w:noHBand="0" w:noVBand="1"/>
      </w:tblPr>
      <w:tblGrid>
        <w:gridCol w:w="5671"/>
        <w:gridCol w:w="1674"/>
        <w:gridCol w:w="1676"/>
      </w:tblGrid>
      <w:tr w:rsidR="0090257F" w:rsidRPr="00373DCC" w14:paraId="1359F9CE" w14:textId="77777777" w:rsidTr="0090257F">
        <w:trPr>
          <w:trHeight w:val="340"/>
        </w:trPr>
        <w:tc>
          <w:tcPr>
            <w:tcW w:w="3143" w:type="pct"/>
            <w:tcBorders>
              <w:top w:val="nil"/>
              <w:left w:val="nil"/>
              <w:right w:val="nil"/>
            </w:tcBorders>
            <w:shd w:val="clear" w:color="auto" w:fill="29527F"/>
            <w:noWrap/>
            <w:vAlign w:val="center"/>
            <w:hideMark/>
          </w:tcPr>
          <w:bookmarkEnd w:id="212"/>
          <w:p w14:paraId="4393C9F2" w14:textId="715AF822" w:rsidR="0090257F" w:rsidRPr="00373DCC" w:rsidRDefault="0090257F" w:rsidP="0090257F">
            <w:pPr>
              <w:widowControl w:val="0"/>
              <w:spacing w:before="0" w:after="0" w:line="240" w:lineRule="auto"/>
              <w:rPr>
                <w:rFonts w:eastAsia="Times New Roman" w:cs="Arial"/>
                <w:color w:val="000000"/>
                <w:sz w:val="21"/>
                <w:szCs w:val="21"/>
                <w:lang w:eastAsia="en-AU"/>
              </w:rPr>
            </w:pPr>
            <w:r w:rsidRPr="0090257F">
              <w:rPr>
                <w:rFonts w:eastAsia="Cambria" w:cs="Arial"/>
                <w:b/>
                <w:color w:val="FFFFFF"/>
                <w:sz w:val="21"/>
                <w:szCs w:val="21"/>
                <w:lang w:eastAsia="en-AU"/>
              </w:rPr>
              <w:t>Therapeutic good type</w:t>
            </w:r>
          </w:p>
        </w:tc>
        <w:tc>
          <w:tcPr>
            <w:tcW w:w="928" w:type="pct"/>
            <w:tcBorders>
              <w:top w:val="single" w:sz="4" w:space="0" w:color="auto"/>
              <w:left w:val="single" w:sz="4" w:space="0" w:color="auto"/>
              <w:bottom w:val="single" w:sz="4" w:space="0" w:color="auto"/>
              <w:right w:val="single" w:sz="4" w:space="0" w:color="auto"/>
            </w:tcBorders>
            <w:shd w:val="clear" w:color="auto" w:fill="29527F"/>
            <w:vAlign w:val="center"/>
          </w:tcPr>
          <w:p w14:paraId="10E4F5CF"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17B7253A" w14:textId="3AB6B8B4"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929" w:type="pct"/>
            <w:tcBorders>
              <w:top w:val="single" w:sz="4" w:space="0" w:color="auto"/>
              <w:left w:val="single" w:sz="4" w:space="0" w:color="auto"/>
              <w:bottom w:val="single" w:sz="4" w:space="0" w:color="auto"/>
              <w:right w:val="single" w:sz="4" w:space="0" w:color="auto"/>
            </w:tcBorders>
            <w:shd w:val="clear" w:color="auto" w:fill="29527F"/>
            <w:vAlign w:val="center"/>
          </w:tcPr>
          <w:p w14:paraId="25E0AE21"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681BF384" w14:textId="3784F158" w:rsidR="0090257F" w:rsidRPr="00373DCC" w:rsidRDefault="0090257F" w:rsidP="0090257F">
            <w:pPr>
              <w:widowControl w:val="0"/>
              <w:spacing w:before="0" w:after="0" w:line="240" w:lineRule="atLeast"/>
              <w:contextualSpacing/>
              <w:jc w:val="center"/>
              <w:rPr>
                <w:rFonts w:cs="Arial"/>
                <w:b/>
                <w:bCs/>
                <w:color w:val="FFFFFF" w:themeColor="background1"/>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7D2C92C5"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220FE"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Medicine</w:t>
            </w:r>
          </w:p>
        </w:tc>
        <w:tc>
          <w:tcPr>
            <w:tcW w:w="928" w:type="pct"/>
            <w:tcBorders>
              <w:top w:val="single" w:sz="4" w:space="0" w:color="auto"/>
              <w:left w:val="nil"/>
              <w:bottom w:val="single" w:sz="4" w:space="0" w:color="auto"/>
              <w:right w:val="single" w:sz="4" w:space="0" w:color="auto"/>
            </w:tcBorders>
            <w:vAlign w:val="center"/>
          </w:tcPr>
          <w:p w14:paraId="35285284"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1,278 (32%)</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26C2B"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w:t>
            </w:r>
            <w:r>
              <w:rPr>
                <w:rFonts w:cs="Arial"/>
                <w:sz w:val="21"/>
                <w:szCs w:val="21"/>
              </w:rPr>
              <w:t>,</w:t>
            </w:r>
            <w:r w:rsidRPr="00373DCC">
              <w:rPr>
                <w:rFonts w:cs="Arial"/>
                <w:sz w:val="21"/>
                <w:szCs w:val="21"/>
              </w:rPr>
              <w:t>159 (32%)</w:t>
            </w:r>
          </w:p>
        </w:tc>
      </w:tr>
      <w:tr w:rsidR="00F2350B" w:rsidRPr="00373DCC" w14:paraId="4D14D2A4"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79803"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Device</w:t>
            </w:r>
            <w:r w:rsidRPr="00373DCC">
              <w:rPr>
                <w:rFonts w:cs="Arial"/>
                <w:sz w:val="21"/>
                <w:szCs w:val="21"/>
                <w:vertAlign w:val="superscript"/>
              </w:rPr>
              <w:t xml:space="preserve"> </w:t>
            </w:r>
          </w:p>
        </w:tc>
        <w:tc>
          <w:tcPr>
            <w:tcW w:w="928" w:type="pct"/>
            <w:tcBorders>
              <w:top w:val="single" w:sz="4" w:space="0" w:color="auto"/>
              <w:left w:val="nil"/>
              <w:bottom w:val="single" w:sz="4" w:space="0" w:color="auto"/>
              <w:right w:val="single" w:sz="4" w:space="0" w:color="auto"/>
            </w:tcBorders>
            <w:vAlign w:val="center"/>
          </w:tcPr>
          <w:p w14:paraId="685F7C16"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320 (8%)</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83F65"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323 (9%)</w:t>
            </w:r>
          </w:p>
        </w:tc>
      </w:tr>
      <w:tr w:rsidR="00F2350B" w:rsidRPr="00373DCC" w14:paraId="753DD142"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1CC53"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Biological</w:t>
            </w:r>
          </w:p>
        </w:tc>
        <w:tc>
          <w:tcPr>
            <w:tcW w:w="928" w:type="pct"/>
            <w:tcBorders>
              <w:top w:val="single" w:sz="4" w:space="0" w:color="auto"/>
              <w:left w:val="nil"/>
              <w:bottom w:val="single" w:sz="4" w:space="0" w:color="auto"/>
              <w:right w:val="single" w:sz="4" w:space="0" w:color="auto"/>
            </w:tcBorders>
            <w:vAlign w:val="center"/>
          </w:tcPr>
          <w:p w14:paraId="1B685177"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16 (&lt;1%)</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9F662"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24 (&lt;1%)</w:t>
            </w:r>
          </w:p>
        </w:tc>
      </w:tr>
      <w:tr w:rsidR="00F2350B" w:rsidRPr="00373DCC" w14:paraId="313087A9"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1D200"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Medicine and device</w:t>
            </w:r>
          </w:p>
        </w:tc>
        <w:tc>
          <w:tcPr>
            <w:tcW w:w="928" w:type="pct"/>
            <w:tcBorders>
              <w:top w:val="single" w:sz="4" w:space="0" w:color="auto"/>
              <w:left w:val="nil"/>
              <w:bottom w:val="single" w:sz="4" w:space="0" w:color="auto"/>
              <w:right w:val="single" w:sz="4" w:space="0" w:color="auto"/>
            </w:tcBorders>
            <w:vAlign w:val="center"/>
          </w:tcPr>
          <w:p w14:paraId="7832421B"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2,344 (59%)</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F0C88"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2</w:t>
            </w:r>
            <w:r>
              <w:rPr>
                <w:rFonts w:cs="Arial"/>
                <w:sz w:val="21"/>
                <w:szCs w:val="21"/>
              </w:rPr>
              <w:t>,</w:t>
            </w:r>
            <w:r w:rsidRPr="00373DCC">
              <w:rPr>
                <w:rFonts w:cs="Arial"/>
                <w:sz w:val="21"/>
                <w:szCs w:val="21"/>
              </w:rPr>
              <w:t>117 (58%)</w:t>
            </w:r>
          </w:p>
        </w:tc>
      </w:tr>
      <w:tr w:rsidR="00F2350B" w:rsidRPr="00373DCC" w14:paraId="628B2561"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13876"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Device and biological</w:t>
            </w:r>
          </w:p>
        </w:tc>
        <w:tc>
          <w:tcPr>
            <w:tcW w:w="928" w:type="pct"/>
            <w:tcBorders>
              <w:top w:val="single" w:sz="4" w:space="0" w:color="auto"/>
              <w:left w:val="nil"/>
              <w:bottom w:val="single" w:sz="4" w:space="0" w:color="auto"/>
              <w:right w:val="single" w:sz="4" w:space="0" w:color="auto"/>
            </w:tcBorders>
            <w:vAlign w:val="center"/>
          </w:tcPr>
          <w:p w14:paraId="4E6FC715"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10 (&lt;1%)</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53DA8"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16 (&lt;1%)</w:t>
            </w:r>
          </w:p>
        </w:tc>
      </w:tr>
      <w:tr w:rsidR="00F2350B" w:rsidRPr="00373DCC" w14:paraId="47A35519"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5E1CB"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Medicine and biological</w:t>
            </w:r>
          </w:p>
        </w:tc>
        <w:tc>
          <w:tcPr>
            <w:tcW w:w="928" w:type="pct"/>
            <w:tcBorders>
              <w:top w:val="single" w:sz="4" w:space="0" w:color="auto"/>
              <w:left w:val="nil"/>
              <w:bottom w:val="single" w:sz="4" w:space="0" w:color="auto"/>
              <w:right w:val="single" w:sz="4" w:space="0" w:color="auto"/>
            </w:tcBorders>
            <w:vAlign w:val="center"/>
          </w:tcPr>
          <w:p w14:paraId="3B53DD45"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7 (&lt;1%)</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C8692"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6 (&lt;1%)</w:t>
            </w:r>
          </w:p>
        </w:tc>
      </w:tr>
      <w:tr w:rsidR="00F2350B" w:rsidRPr="00373DCC" w14:paraId="2AB15BFA"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4738D" w14:textId="77777777" w:rsidR="00F2350B" w:rsidRPr="00373DCC" w:rsidRDefault="00F2350B" w:rsidP="00710B91">
            <w:pPr>
              <w:spacing w:before="0" w:after="0" w:line="240" w:lineRule="atLeast"/>
              <w:contextualSpacing/>
              <w:rPr>
                <w:rFonts w:cs="Arial"/>
                <w:sz w:val="21"/>
                <w:szCs w:val="21"/>
                <w:lang w:eastAsia="en-AU"/>
              </w:rPr>
            </w:pPr>
            <w:r w:rsidRPr="00373DCC">
              <w:rPr>
                <w:rFonts w:cs="Arial"/>
                <w:sz w:val="21"/>
                <w:szCs w:val="21"/>
                <w:lang w:eastAsia="en-AU"/>
              </w:rPr>
              <w:t>Medicine, device and biological</w:t>
            </w:r>
          </w:p>
        </w:tc>
        <w:tc>
          <w:tcPr>
            <w:tcW w:w="928" w:type="pct"/>
            <w:tcBorders>
              <w:top w:val="single" w:sz="4" w:space="0" w:color="auto"/>
              <w:left w:val="nil"/>
              <w:bottom w:val="single" w:sz="4" w:space="0" w:color="auto"/>
              <w:right w:val="single" w:sz="4" w:space="0" w:color="auto"/>
            </w:tcBorders>
            <w:vAlign w:val="center"/>
          </w:tcPr>
          <w:p w14:paraId="25D1CF67"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24 (&lt;1%)</w:t>
            </w:r>
          </w:p>
        </w:tc>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E5A76"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22 (&lt;1%)</w:t>
            </w:r>
          </w:p>
        </w:tc>
      </w:tr>
      <w:tr w:rsidR="00F2350B" w:rsidRPr="00373DCC" w14:paraId="750BA73E" w14:textId="77777777" w:rsidTr="00710B91">
        <w:trPr>
          <w:trHeight w:val="340"/>
        </w:trPr>
        <w:tc>
          <w:tcPr>
            <w:tcW w:w="3143"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71224A14"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Total</w:t>
            </w:r>
          </w:p>
        </w:tc>
        <w:tc>
          <w:tcPr>
            <w:tcW w:w="928" w:type="pct"/>
            <w:tcBorders>
              <w:top w:val="single" w:sz="4" w:space="0" w:color="auto"/>
              <w:left w:val="nil"/>
              <w:bottom w:val="single" w:sz="4" w:space="0" w:color="auto"/>
              <w:right w:val="single" w:sz="4" w:space="0" w:color="auto"/>
            </w:tcBorders>
            <w:shd w:val="clear" w:color="auto" w:fill="C6D4E9"/>
            <w:vAlign w:val="center"/>
          </w:tcPr>
          <w:p w14:paraId="4B80CD50"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3,999 (100%)</w:t>
            </w:r>
          </w:p>
        </w:tc>
        <w:tc>
          <w:tcPr>
            <w:tcW w:w="929" w:type="pct"/>
            <w:tcBorders>
              <w:top w:val="single" w:sz="4" w:space="0" w:color="auto"/>
              <w:left w:val="single" w:sz="4" w:space="0" w:color="auto"/>
              <w:bottom w:val="single" w:sz="4" w:space="0" w:color="auto"/>
              <w:right w:val="single" w:sz="4" w:space="0" w:color="auto"/>
            </w:tcBorders>
            <w:shd w:val="clear" w:color="auto" w:fill="C6D4E9"/>
            <w:vAlign w:val="center"/>
          </w:tcPr>
          <w:p w14:paraId="27514D35"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3667 (100%)</w:t>
            </w:r>
          </w:p>
        </w:tc>
      </w:tr>
    </w:tbl>
    <w:p w14:paraId="5B1BF02E" w14:textId="77777777" w:rsidR="00F2350B" w:rsidRPr="00373DCC" w:rsidRDefault="00F2350B" w:rsidP="00F2350B">
      <w:pPr>
        <w:keepNext/>
        <w:spacing w:before="240" w:after="120" w:line="240" w:lineRule="auto"/>
        <w:rPr>
          <w:rFonts w:eastAsia="Cambria" w:cs="Arial"/>
          <w:b/>
          <w:bCs/>
          <w:sz w:val="21"/>
          <w:szCs w:val="21"/>
        </w:rPr>
      </w:pPr>
      <w:bookmarkStart w:id="213" w:name="Table58"/>
      <w:r w:rsidRPr="00373DCC">
        <w:rPr>
          <w:rFonts w:eastAsia="Cambria" w:cs="Arial"/>
          <w:b/>
          <w:bCs/>
          <w:sz w:val="21"/>
          <w:szCs w:val="21"/>
        </w:rPr>
        <w:t>Table 58: Number of new clinical trials and variations</w:t>
      </w:r>
      <w:r w:rsidRPr="00373DCC">
        <w:rPr>
          <w:rFonts w:eastAsia="Cambria" w:cs="Arial"/>
          <w:b/>
          <w:bCs/>
          <w:sz w:val="21"/>
          <w:szCs w:val="21"/>
          <w:vertAlign w:val="superscript"/>
        </w:rPr>
        <w:t xml:space="preserve"> </w:t>
      </w:r>
      <w:r w:rsidRPr="00373DCC">
        <w:rPr>
          <w:rFonts w:eastAsia="Cambria" w:cs="Arial"/>
          <w:b/>
          <w:bCs/>
          <w:sz w:val="21"/>
          <w:szCs w:val="21"/>
        </w:rPr>
        <w:t>to previously notified clinical trials involving unapproved therapeutic goods received by phase</w:t>
      </w:r>
    </w:p>
    <w:tbl>
      <w:tblPr>
        <w:tblW w:w="5028" w:type="pct"/>
        <w:jc w:val="right"/>
        <w:tblLayout w:type="fixed"/>
        <w:tblLook w:val="04A0" w:firstRow="1" w:lastRow="0" w:firstColumn="1" w:lastColumn="0" w:noHBand="0" w:noVBand="1"/>
      </w:tblPr>
      <w:tblGrid>
        <w:gridCol w:w="5672"/>
        <w:gridCol w:w="1700"/>
        <w:gridCol w:w="1700"/>
      </w:tblGrid>
      <w:tr w:rsidR="0090257F" w:rsidRPr="00373DCC" w14:paraId="5F13D072" w14:textId="77777777" w:rsidTr="0090257F">
        <w:trPr>
          <w:trHeight w:val="340"/>
          <w:jc w:val="right"/>
        </w:trPr>
        <w:tc>
          <w:tcPr>
            <w:tcW w:w="3126" w:type="pct"/>
            <w:tcBorders>
              <w:top w:val="nil"/>
              <w:left w:val="nil"/>
              <w:bottom w:val="nil"/>
              <w:right w:val="nil"/>
            </w:tcBorders>
            <w:shd w:val="clear" w:color="auto" w:fill="29527F"/>
            <w:noWrap/>
            <w:vAlign w:val="center"/>
            <w:hideMark/>
          </w:tcPr>
          <w:bookmarkEnd w:id="213"/>
          <w:p w14:paraId="59D9FBE3" w14:textId="44971766" w:rsidR="0090257F" w:rsidRPr="0090257F" w:rsidRDefault="0090257F" w:rsidP="0090257F">
            <w:pPr>
              <w:widowControl w:val="0"/>
              <w:spacing w:before="0" w:after="0" w:line="240" w:lineRule="atLeast"/>
              <w:contextualSpacing/>
              <w:rPr>
                <w:rFonts w:eastAsia="Cambria" w:cs="Arial"/>
                <w:b/>
                <w:color w:val="FFFFFF"/>
                <w:sz w:val="21"/>
                <w:szCs w:val="21"/>
                <w:lang w:eastAsia="en-AU"/>
              </w:rPr>
            </w:pPr>
            <w:r w:rsidRPr="0090257F">
              <w:rPr>
                <w:rFonts w:eastAsia="Cambria" w:cs="Arial"/>
                <w:b/>
                <w:color w:val="FFFFFF"/>
                <w:sz w:val="21"/>
                <w:szCs w:val="21"/>
                <w:lang w:eastAsia="en-AU"/>
              </w:rPr>
              <w:t>Phases</w:t>
            </w:r>
          </w:p>
        </w:tc>
        <w:tc>
          <w:tcPr>
            <w:tcW w:w="937" w:type="pct"/>
            <w:tcBorders>
              <w:top w:val="single" w:sz="4" w:space="0" w:color="auto"/>
              <w:left w:val="single" w:sz="4" w:space="0" w:color="auto"/>
              <w:bottom w:val="single" w:sz="4" w:space="0" w:color="auto"/>
              <w:right w:val="single" w:sz="4" w:space="0" w:color="auto"/>
            </w:tcBorders>
            <w:shd w:val="clear" w:color="auto" w:fill="29527F"/>
            <w:vAlign w:val="center"/>
          </w:tcPr>
          <w:p w14:paraId="7F765B54"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2021-22</w:t>
            </w:r>
          </w:p>
          <w:p w14:paraId="1AA111E1" w14:textId="7A9AA065" w:rsidR="0090257F" w:rsidRPr="0090257F" w:rsidRDefault="0090257F" w:rsidP="0090257F">
            <w:pPr>
              <w:widowControl w:val="0"/>
              <w:spacing w:before="0" w:after="0" w:line="240" w:lineRule="atLeast"/>
              <w:contextualSpacing/>
              <w:jc w:val="center"/>
              <w:rPr>
                <w:rFonts w:eastAsia="Cambria" w:cs="Arial"/>
                <w:b/>
                <w:color w:val="FFFFFF"/>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c>
          <w:tcPr>
            <w:tcW w:w="937"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6C5A242E" w14:textId="77777777" w:rsidR="0090257F" w:rsidRPr="0090257F" w:rsidRDefault="0090257F" w:rsidP="0090257F">
            <w:pPr>
              <w:widowControl w:val="0"/>
              <w:spacing w:before="0" w:after="0" w:line="240" w:lineRule="atLeast"/>
              <w:contextualSpacing/>
              <w:jc w:val="center"/>
              <w:outlineLvl w:val="4"/>
              <w:rPr>
                <w:rFonts w:eastAsia="Cambria" w:cs="Arial"/>
                <w:b/>
                <w:color w:val="FFFFFF"/>
                <w:sz w:val="21"/>
                <w:szCs w:val="21"/>
                <w:lang w:eastAsia="en-AU"/>
              </w:rPr>
            </w:pPr>
            <w:r w:rsidRPr="0090257F">
              <w:rPr>
                <w:rFonts w:eastAsia="Cambria" w:cs="Arial"/>
                <w:b/>
                <w:color w:val="FFFFFF"/>
                <w:sz w:val="21"/>
                <w:szCs w:val="21"/>
                <w:lang w:eastAsia="en-AU"/>
              </w:rPr>
              <w:t>FY 2022-23</w:t>
            </w:r>
          </w:p>
          <w:p w14:paraId="3037931F" w14:textId="592AD9AB" w:rsidR="0090257F" w:rsidRPr="0090257F" w:rsidRDefault="0090257F" w:rsidP="0090257F">
            <w:pPr>
              <w:widowControl w:val="0"/>
              <w:spacing w:before="0" w:after="0" w:line="240" w:lineRule="atLeast"/>
              <w:contextualSpacing/>
              <w:jc w:val="center"/>
              <w:rPr>
                <w:rFonts w:eastAsia="Cambria" w:cs="Arial"/>
                <w:b/>
                <w:color w:val="FFFFFF"/>
                <w:sz w:val="21"/>
                <w:szCs w:val="21"/>
                <w:lang w:eastAsia="en-AU"/>
              </w:rPr>
            </w:pPr>
            <w:r w:rsidRPr="0090257F">
              <w:rPr>
                <w:rFonts w:eastAsia="Cambria" w:cs="Arial"/>
                <w:b/>
                <w:color w:val="FFFFFF"/>
                <w:sz w:val="21"/>
                <w:szCs w:val="21"/>
                <w:lang w:eastAsia="en-AU"/>
              </w:rPr>
              <w:t xml:space="preserve">Number </w:t>
            </w:r>
            <w:r w:rsidRPr="0090257F">
              <w:rPr>
                <w:rFonts w:eastAsia="Cambria" w:cs="Arial"/>
                <w:b/>
                <w:color w:val="FFFFFF"/>
                <w:sz w:val="21"/>
                <w:szCs w:val="21"/>
                <w:lang w:eastAsia="en-AU"/>
              </w:rPr>
              <w:br/>
              <w:t>(% of Total)</w:t>
            </w:r>
          </w:p>
        </w:tc>
      </w:tr>
      <w:tr w:rsidR="00F2350B" w:rsidRPr="00373DCC" w14:paraId="17A0F7B5"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29D9"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Phase 1</w:t>
            </w:r>
          </w:p>
        </w:tc>
        <w:tc>
          <w:tcPr>
            <w:tcW w:w="937" w:type="pct"/>
            <w:tcBorders>
              <w:top w:val="single" w:sz="4" w:space="0" w:color="auto"/>
              <w:left w:val="nil"/>
              <w:bottom w:val="single" w:sz="4" w:space="0" w:color="auto"/>
              <w:right w:val="single" w:sz="4" w:space="0" w:color="auto"/>
            </w:tcBorders>
            <w:vAlign w:val="center"/>
          </w:tcPr>
          <w:p w14:paraId="21F6489E"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1,200 (30%)</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CA6A0"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w:t>
            </w:r>
            <w:r>
              <w:rPr>
                <w:rFonts w:cs="Arial"/>
                <w:sz w:val="21"/>
                <w:szCs w:val="21"/>
              </w:rPr>
              <w:t>,</w:t>
            </w:r>
            <w:r w:rsidRPr="00373DCC">
              <w:rPr>
                <w:rFonts w:cs="Arial"/>
                <w:sz w:val="21"/>
                <w:szCs w:val="21"/>
              </w:rPr>
              <w:t>069 (29%)</w:t>
            </w:r>
          </w:p>
        </w:tc>
      </w:tr>
      <w:tr w:rsidR="00F2350B" w:rsidRPr="00373DCC" w14:paraId="20CEBEC6"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9B59"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Phase 2</w:t>
            </w:r>
          </w:p>
        </w:tc>
        <w:tc>
          <w:tcPr>
            <w:tcW w:w="937" w:type="pct"/>
            <w:tcBorders>
              <w:top w:val="single" w:sz="4" w:space="0" w:color="auto"/>
              <w:left w:val="nil"/>
              <w:bottom w:val="single" w:sz="4" w:space="0" w:color="auto"/>
              <w:right w:val="single" w:sz="4" w:space="0" w:color="auto"/>
            </w:tcBorders>
            <w:vAlign w:val="center"/>
          </w:tcPr>
          <w:p w14:paraId="109356D8"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1,024 (26%)</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75A43"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954 (26%)</w:t>
            </w:r>
          </w:p>
        </w:tc>
      </w:tr>
      <w:tr w:rsidR="00F2350B" w:rsidRPr="00373DCC" w14:paraId="1BDC4489"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7657"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Phase 3</w:t>
            </w:r>
          </w:p>
        </w:tc>
        <w:tc>
          <w:tcPr>
            <w:tcW w:w="937" w:type="pct"/>
            <w:tcBorders>
              <w:top w:val="single" w:sz="4" w:space="0" w:color="auto"/>
              <w:left w:val="nil"/>
              <w:bottom w:val="single" w:sz="4" w:space="0" w:color="auto"/>
              <w:right w:val="single" w:sz="4" w:space="0" w:color="auto"/>
            </w:tcBorders>
            <w:vAlign w:val="center"/>
          </w:tcPr>
          <w:p w14:paraId="6CBDBB39"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1,311 (33%)</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46ED2"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w:t>
            </w:r>
            <w:r>
              <w:rPr>
                <w:rFonts w:cs="Arial"/>
                <w:sz w:val="21"/>
                <w:szCs w:val="21"/>
              </w:rPr>
              <w:t>,</w:t>
            </w:r>
            <w:r w:rsidRPr="00373DCC">
              <w:rPr>
                <w:rFonts w:cs="Arial"/>
                <w:sz w:val="21"/>
                <w:szCs w:val="21"/>
              </w:rPr>
              <w:t>167 (32%)</w:t>
            </w:r>
          </w:p>
        </w:tc>
      </w:tr>
      <w:tr w:rsidR="00F2350B" w:rsidRPr="00373DCC" w14:paraId="6EAAF6CC"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DF1DE"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Phase 4</w:t>
            </w:r>
          </w:p>
        </w:tc>
        <w:tc>
          <w:tcPr>
            <w:tcW w:w="937" w:type="pct"/>
            <w:tcBorders>
              <w:top w:val="single" w:sz="4" w:space="0" w:color="auto"/>
              <w:left w:val="nil"/>
              <w:bottom w:val="single" w:sz="4" w:space="0" w:color="auto"/>
              <w:right w:val="single" w:sz="4" w:space="0" w:color="auto"/>
            </w:tcBorders>
            <w:vAlign w:val="center"/>
          </w:tcPr>
          <w:p w14:paraId="1F74B109"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117 (3%)</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86296"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120 (3%)</w:t>
            </w:r>
          </w:p>
        </w:tc>
      </w:tr>
      <w:tr w:rsidR="00F2350B" w:rsidRPr="00373DCC" w14:paraId="082A8FAF"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D5F0"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Device</w:t>
            </w:r>
          </w:p>
        </w:tc>
        <w:tc>
          <w:tcPr>
            <w:tcW w:w="937" w:type="pct"/>
            <w:tcBorders>
              <w:top w:val="single" w:sz="4" w:space="0" w:color="auto"/>
              <w:left w:val="nil"/>
              <w:bottom w:val="single" w:sz="4" w:space="0" w:color="auto"/>
              <w:right w:val="single" w:sz="4" w:space="0" w:color="auto"/>
            </w:tcBorders>
            <w:vAlign w:val="center"/>
          </w:tcPr>
          <w:p w14:paraId="137E2C56"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338 (8%)</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7920B"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341 (9%)</w:t>
            </w:r>
          </w:p>
        </w:tc>
      </w:tr>
      <w:tr w:rsidR="00F2350B" w:rsidRPr="00373DCC" w14:paraId="23458F31"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DE53"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Bioavailability/equivalence</w:t>
            </w:r>
          </w:p>
        </w:tc>
        <w:tc>
          <w:tcPr>
            <w:tcW w:w="937" w:type="pct"/>
            <w:tcBorders>
              <w:top w:val="single" w:sz="4" w:space="0" w:color="auto"/>
              <w:left w:val="nil"/>
              <w:bottom w:val="single" w:sz="4" w:space="0" w:color="auto"/>
              <w:right w:val="single" w:sz="4" w:space="0" w:color="auto"/>
            </w:tcBorders>
            <w:vAlign w:val="center"/>
          </w:tcPr>
          <w:p w14:paraId="451C075E"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9 (&lt;1%)</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38C98"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rPr>
              <w:t>16 (&lt;10%)</w:t>
            </w:r>
          </w:p>
        </w:tc>
      </w:tr>
      <w:tr w:rsidR="00F2350B" w:rsidRPr="00373DCC" w14:paraId="36CC083E" w14:textId="77777777" w:rsidTr="0090257F">
        <w:trPr>
          <w:trHeight w:val="340"/>
          <w:jc w:val="right"/>
        </w:trPr>
        <w:tc>
          <w:tcPr>
            <w:tcW w:w="3126"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3E931AD3" w14:textId="77777777" w:rsidR="00F2350B" w:rsidRPr="00373DCC" w:rsidRDefault="00F2350B" w:rsidP="00710B91">
            <w:pPr>
              <w:spacing w:before="0" w:after="0" w:line="240" w:lineRule="atLeast"/>
              <w:contextualSpacing/>
              <w:rPr>
                <w:rFonts w:cs="Arial"/>
                <w:sz w:val="21"/>
                <w:szCs w:val="21"/>
              </w:rPr>
            </w:pPr>
            <w:r w:rsidRPr="00373DCC">
              <w:rPr>
                <w:rFonts w:cs="Arial"/>
                <w:sz w:val="21"/>
                <w:szCs w:val="21"/>
              </w:rPr>
              <w:t>Total</w:t>
            </w:r>
          </w:p>
        </w:tc>
        <w:tc>
          <w:tcPr>
            <w:tcW w:w="937" w:type="pct"/>
            <w:tcBorders>
              <w:top w:val="single" w:sz="4" w:space="0" w:color="auto"/>
              <w:left w:val="nil"/>
              <w:bottom w:val="single" w:sz="4" w:space="0" w:color="auto"/>
              <w:right w:val="single" w:sz="4" w:space="0" w:color="auto"/>
            </w:tcBorders>
            <w:shd w:val="clear" w:color="auto" w:fill="C6D4E9"/>
            <w:vAlign w:val="center"/>
          </w:tcPr>
          <w:p w14:paraId="2C78EA31" w14:textId="77777777" w:rsidR="00F2350B" w:rsidRPr="00373DCC" w:rsidRDefault="00F2350B" w:rsidP="00710B91">
            <w:pPr>
              <w:widowControl w:val="0"/>
              <w:spacing w:before="0" w:after="0" w:line="240" w:lineRule="atLeast"/>
              <w:contextualSpacing/>
              <w:jc w:val="right"/>
              <w:rPr>
                <w:rFonts w:cs="Arial"/>
                <w:sz w:val="21"/>
                <w:szCs w:val="21"/>
              </w:rPr>
            </w:pPr>
            <w:r w:rsidRPr="00373DCC">
              <w:rPr>
                <w:rFonts w:cs="Arial"/>
                <w:sz w:val="21"/>
                <w:szCs w:val="21"/>
                <w:lang w:eastAsia="en-AU"/>
              </w:rPr>
              <w:t>3,999 (100%)</w:t>
            </w:r>
          </w:p>
        </w:tc>
        <w:tc>
          <w:tcPr>
            <w:tcW w:w="937" w:type="pct"/>
            <w:tcBorders>
              <w:top w:val="single" w:sz="4" w:space="0" w:color="auto"/>
              <w:left w:val="single" w:sz="4" w:space="0" w:color="auto"/>
              <w:bottom w:val="single" w:sz="4" w:space="0" w:color="auto"/>
              <w:right w:val="single" w:sz="4" w:space="0" w:color="auto"/>
            </w:tcBorders>
            <w:shd w:val="clear" w:color="auto" w:fill="C6D4E9"/>
            <w:vAlign w:val="center"/>
          </w:tcPr>
          <w:p w14:paraId="35BD35F7" w14:textId="77777777" w:rsidR="00F2350B" w:rsidRPr="00373DCC" w:rsidRDefault="00F2350B" w:rsidP="00710B91">
            <w:pPr>
              <w:widowControl w:val="0"/>
              <w:spacing w:before="0" w:after="0" w:line="240" w:lineRule="atLeast"/>
              <w:contextualSpacing/>
              <w:jc w:val="right"/>
              <w:rPr>
                <w:rFonts w:cs="Arial"/>
                <w:sz w:val="21"/>
                <w:szCs w:val="21"/>
                <w:lang w:eastAsia="en-AU"/>
              </w:rPr>
            </w:pPr>
            <w:r w:rsidRPr="00373DCC">
              <w:rPr>
                <w:rFonts w:cs="Arial"/>
                <w:sz w:val="21"/>
                <w:szCs w:val="21"/>
                <w:lang w:eastAsia="en-AU"/>
              </w:rPr>
              <w:t>3667 (100%)</w:t>
            </w:r>
          </w:p>
        </w:tc>
      </w:tr>
    </w:tbl>
    <w:p w14:paraId="4C64FF40" w14:textId="77777777" w:rsidR="00F2350B" w:rsidRPr="00373DCC" w:rsidRDefault="00F2350B" w:rsidP="00B633E2">
      <w:pPr>
        <w:pStyle w:val="Heading3-numbered"/>
        <w:numPr>
          <w:ilvl w:val="1"/>
          <w:numId w:val="32"/>
        </w:numPr>
        <w:rPr>
          <w:rFonts w:ascii="Arial" w:hAnsi="Arial" w:cs="Arial"/>
        </w:rPr>
      </w:pPr>
      <w:bookmarkStart w:id="214" w:name="_Toc153550486"/>
      <w:r w:rsidRPr="00373DCC">
        <w:rPr>
          <w:rFonts w:ascii="Arial" w:hAnsi="Arial" w:cs="Arial"/>
        </w:rPr>
        <w:t>10.3 Authorised Prescribers</w:t>
      </w:r>
      <w:bookmarkEnd w:id="214"/>
    </w:p>
    <w:p w14:paraId="59A11416" w14:textId="77777777" w:rsidR="00F2350B" w:rsidRPr="00373DCC" w:rsidRDefault="00F2350B" w:rsidP="00F2350B">
      <w:pPr>
        <w:rPr>
          <w:rFonts w:cs="Arial"/>
          <w:sz w:val="21"/>
          <w:szCs w:val="21"/>
        </w:rPr>
      </w:pPr>
      <w:r w:rsidRPr="00373DCC">
        <w:rPr>
          <w:rFonts w:cs="Arial"/>
          <w:sz w:val="21"/>
          <w:szCs w:val="21"/>
        </w:rPr>
        <w:t>The Authorised Prescriber Scheme allows approved medical practitioners authority to prescribe a specified unapproved therapeutic good(s) to patients who are identified by their medical condition.</w:t>
      </w:r>
    </w:p>
    <w:p w14:paraId="138C8808" w14:textId="77777777" w:rsidR="00F2350B" w:rsidRPr="00373DCC" w:rsidRDefault="00F2350B" w:rsidP="00F2350B">
      <w:pPr>
        <w:keepNext/>
        <w:spacing w:before="240" w:after="120" w:line="240" w:lineRule="auto"/>
        <w:rPr>
          <w:rFonts w:eastAsia="Cambria" w:cs="Arial"/>
          <w:b/>
          <w:bCs/>
          <w:sz w:val="21"/>
          <w:szCs w:val="21"/>
        </w:rPr>
      </w:pPr>
      <w:bookmarkStart w:id="215" w:name="Table59"/>
      <w:r w:rsidRPr="00373DCC">
        <w:rPr>
          <w:rFonts w:eastAsia="Cambria" w:cs="Arial"/>
          <w:b/>
          <w:bCs/>
          <w:sz w:val="21"/>
          <w:szCs w:val="21"/>
        </w:rPr>
        <w:t>Table 59: Authorised Prescriber approvals for medicines, medical devices and biologicals</w:t>
      </w:r>
    </w:p>
    <w:tbl>
      <w:tblPr>
        <w:tblStyle w:val="TableTGAblue"/>
        <w:tblW w:w="4950" w:type="pct"/>
        <w:tblLook w:val="04A0" w:firstRow="1" w:lastRow="0" w:firstColumn="1" w:lastColumn="0" w:noHBand="0" w:noVBand="1"/>
      </w:tblPr>
      <w:tblGrid>
        <w:gridCol w:w="5529"/>
        <w:gridCol w:w="1702"/>
        <w:gridCol w:w="1700"/>
      </w:tblGrid>
      <w:tr w:rsidR="005C7371" w:rsidRPr="00373DCC" w14:paraId="20DE724D"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5" w:type="pct"/>
            <w:tcBorders>
              <w:top w:val="nil"/>
              <w:left w:val="nil"/>
              <w:bottom w:val="nil"/>
              <w:right w:val="single" w:sz="4" w:space="0" w:color="auto"/>
            </w:tcBorders>
            <w:shd w:val="clear" w:color="auto" w:fill="29527F"/>
            <w:vAlign w:val="center"/>
          </w:tcPr>
          <w:bookmarkEnd w:id="215"/>
          <w:p w14:paraId="114B4DF0" w14:textId="224F4EF1" w:rsidR="005C7371" w:rsidRPr="00373DCC" w:rsidRDefault="005C7371" w:rsidP="005C7371">
            <w:pPr>
              <w:widowControl w:val="0"/>
              <w:spacing w:before="0" w:after="0" w:line="240" w:lineRule="atLeast"/>
              <w:contextualSpacing/>
              <w:rPr>
                <w:rFonts w:eastAsiaTheme="minorHAnsi" w:cs="Arial"/>
                <w:sz w:val="21"/>
              </w:rPr>
            </w:pPr>
            <w:r w:rsidRPr="00373DCC">
              <w:rPr>
                <w:rFonts w:cs="Arial"/>
                <w:sz w:val="21"/>
              </w:rPr>
              <w:t>Approvals by therapeutic good type</w:t>
            </w:r>
          </w:p>
        </w:tc>
        <w:tc>
          <w:tcPr>
            <w:tcW w:w="953" w:type="pct"/>
            <w:tcBorders>
              <w:top w:val="single" w:sz="4" w:space="0" w:color="auto"/>
              <w:left w:val="single" w:sz="4" w:space="0" w:color="auto"/>
              <w:bottom w:val="single" w:sz="4" w:space="0" w:color="auto"/>
              <w:right w:val="single" w:sz="4" w:space="0" w:color="auto"/>
            </w:tcBorders>
            <w:shd w:val="clear" w:color="auto" w:fill="29527F"/>
            <w:vAlign w:val="center"/>
          </w:tcPr>
          <w:p w14:paraId="4321A69C"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10F9980D" w14:textId="7D017E18" w:rsidR="005C7371" w:rsidRPr="00373DCC" w:rsidRDefault="005C7371" w:rsidP="005C737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c>
          <w:tcPr>
            <w:tcW w:w="952" w:type="pct"/>
            <w:tcBorders>
              <w:top w:val="single" w:sz="4" w:space="0" w:color="auto"/>
              <w:left w:val="single" w:sz="4" w:space="0" w:color="auto"/>
              <w:bottom w:val="single" w:sz="4" w:space="0" w:color="auto"/>
              <w:right w:val="single" w:sz="4" w:space="0" w:color="auto"/>
            </w:tcBorders>
            <w:shd w:val="clear" w:color="auto" w:fill="29527F"/>
            <w:vAlign w:val="center"/>
          </w:tcPr>
          <w:p w14:paraId="2652F401"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524AF679" w14:textId="576791D8" w:rsidR="005C7371" w:rsidRPr="00373DCC" w:rsidRDefault="005C7371" w:rsidP="005C737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r>
      <w:tr w:rsidR="00F2350B" w:rsidRPr="00373DCC" w14:paraId="62663D3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095" w:type="pct"/>
            <w:tcBorders>
              <w:top w:val="single" w:sz="4" w:space="0" w:color="auto"/>
              <w:left w:val="single" w:sz="4" w:space="0" w:color="002C47"/>
              <w:bottom w:val="single" w:sz="4" w:space="0" w:color="002C47"/>
              <w:right w:val="single" w:sz="4" w:space="0" w:color="002C47"/>
            </w:tcBorders>
            <w:vAlign w:val="center"/>
          </w:tcPr>
          <w:p w14:paraId="3BCC0B6E"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Number of approvals for medicines</w:t>
            </w:r>
          </w:p>
        </w:tc>
        <w:tc>
          <w:tcPr>
            <w:tcW w:w="953" w:type="pct"/>
            <w:tcBorders>
              <w:top w:val="single" w:sz="4" w:space="0" w:color="auto"/>
              <w:left w:val="single" w:sz="4" w:space="0" w:color="002C47"/>
              <w:bottom w:val="single" w:sz="4" w:space="0" w:color="002C47"/>
              <w:right w:val="single" w:sz="4" w:space="0" w:color="002C47"/>
            </w:tcBorders>
            <w:vAlign w:val="center"/>
          </w:tcPr>
          <w:p w14:paraId="1DDF441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11,895 (98%)</w:t>
            </w:r>
          </w:p>
        </w:tc>
        <w:tc>
          <w:tcPr>
            <w:tcW w:w="952" w:type="pct"/>
            <w:tcBorders>
              <w:top w:val="single" w:sz="4" w:space="0" w:color="auto"/>
              <w:left w:val="single" w:sz="4" w:space="0" w:color="002C47"/>
              <w:bottom w:val="single" w:sz="4" w:space="0" w:color="002C47"/>
              <w:right w:val="single" w:sz="4" w:space="0" w:color="002C47"/>
            </w:tcBorders>
            <w:vAlign w:val="center"/>
          </w:tcPr>
          <w:p w14:paraId="19440AF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13,641 (98%)</w:t>
            </w:r>
          </w:p>
        </w:tc>
      </w:tr>
      <w:tr w:rsidR="00F2350B" w:rsidRPr="00373DCC" w14:paraId="3EF67DD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095" w:type="pct"/>
            <w:tcBorders>
              <w:top w:val="single" w:sz="4" w:space="0" w:color="002C47"/>
              <w:left w:val="single" w:sz="4" w:space="0" w:color="002C47"/>
              <w:bottom w:val="single" w:sz="4" w:space="0" w:color="auto"/>
              <w:right w:val="single" w:sz="4" w:space="0" w:color="002C47"/>
            </w:tcBorders>
            <w:vAlign w:val="center"/>
          </w:tcPr>
          <w:p w14:paraId="07472E64"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Number of approvals for medical devices</w:t>
            </w:r>
          </w:p>
        </w:tc>
        <w:tc>
          <w:tcPr>
            <w:tcW w:w="953" w:type="pct"/>
            <w:tcBorders>
              <w:top w:val="single" w:sz="4" w:space="0" w:color="002C47"/>
              <w:left w:val="single" w:sz="4" w:space="0" w:color="002C47"/>
              <w:bottom w:val="single" w:sz="4" w:space="0" w:color="auto"/>
              <w:right w:val="single" w:sz="4" w:space="0" w:color="002C47"/>
            </w:tcBorders>
            <w:vAlign w:val="center"/>
          </w:tcPr>
          <w:p w14:paraId="50CB69C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277 (2%)</w:t>
            </w:r>
          </w:p>
        </w:tc>
        <w:tc>
          <w:tcPr>
            <w:tcW w:w="952" w:type="pct"/>
            <w:tcBorders>
              <w:top w:val="single" w:sz="4" w:space="0" w:color="002C47"/>
              <w:left w:val="single" w:sz="4" w:space="0" w:color="002C47"/>
              <w:bottom w:val="single" w:sz="4" w:space="0" w:color="auto"/>
              <w:right w:val="single" w:sz="4" w:space="0" w:color="002C47"/>
            </w:tcBorders>
            <w:vAlign w:val="center"/>
          </w:tcPr>
          <w:p w14:paraId="26A5BAA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235 (2%)</w:t>
            </w:r>
          </w:p>
        </w:tc>
      </w:tr>
      <w:tr w:rsidR="00F2350B" w:rsidRPr="00373DCC" w14:paraId="59B9218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095" w:type="pct"/>
            <w:tcBorders>
              <w:top w:val="single" w:sz="4" w:space="0" w:color="auto"/>
              <w:left w:val="single" w:sz="4" w:space="0" w:color="auto"/>
              <w:bottom w:val="single" w:sz="4" w:space="0" w:color="auto"/>
              <w:right w:val="single" w:sz="6" w:space="0" w:color="auto"/>
            </w:tcBorders>
            <w:vAlign w:val="center"/>
          </w:tcPr>
          <w:p w14:paraId="1145C360" w14:textId="77777777" w:rsidR="00F2350B" w:rsidRPr="00373DCC" w:rsidRDefault="00F2350B" w:rsidP="00710B91">
            <w:pPr>
              <w:tabs>
                <w:tab w:val="left" w:pos="7371"/>
              </w:tabs>
              <w:spacing w:before="0" w:after="0" w:line="240" w:lineRule="atLeast"/>
              <w:contextualSpacing/>
              <w:rPr>
                <w:rFonts w:eastAsiaTheme="minorHAnsi" w:cs="Arial"/>
                <w:sz w:val="21"/>
              </w:rPr>
            </w:pPr>
            <w:r w:rsidRPr="00373DCC">
              <w:rPr>
                <w:rFonts w:eastAsiaTheme="minorHAnsi" w:cs="Arial"/>
                <w:sz w:val="21"/>
              </w:rPr>
              <w:t>Number of approvals for biologicals</w:t>
            </w:r>
          </w:p>
        </w:tc>
        <w:tc>
          <w:tcPr>
            <w:tcW w:w="953" w:type="pct"/>
            <w:tcBorders>
              <w:top w:val="single" w:sz="4" w:space="0" w:color="auto"/>
              <w:left w:val="single" w:sz="6" w:space="0" w:color="auto"/>
              <w:bottom w:val="single" w:sz="4" w:space="0" w:color="auto"/>
              <w:right w:val="single" w:sz="6" w:space="0" w:color="auto"/>
            </w:tcBorders>
            <w:vAlign w:val="center"/>
          </w:tcPr>
          <w:p w14:paraId="3C64E46F" w14:textId="77777777" w:rsidR="00F2350B" w:rsidRPr="00373DCC" w:rsidRDefault="00F2350B" w:rsidP="00710B91">
            <w:pPr>
              <w:widowControl w:val="0"/>
              <w:tabs>
                <w:tab w:val="left" w:pos="7371"/>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952" w:type="pct"/>
            <w:tcBorders>
              <w:top w:val="single" w:sz="4" w:space="0" w:color="auto"/>
              <w:left w:val="single" w:sz="6" w:space="0" w:color="auto"/>
              <w:bottom w:val="single" w:sz="4" w:space="0" w:color="auto"/>
              <w:right w:val="single" w:sz="4" w:space="0" w:color="auto"/>
            </w:tcBorders>
            <w:vAlign w:val="center"/>
          </w:tcPr>
          <w:p w14:paraId="059C56C3" w14:textId="77777777" w:rsidR="00F2350B" w:rsidRPr="00373DCC" w:rsidRDefault="00F2350B" w:rsidP="00710B91">
            <w:pPr>
              <w:widowControl w:val="0"/>
              <w:tabs>
                <w:tab w:val="left" w:pos="7371"/>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63A403A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095" w:type="pct"/>
            <w:tcBorders>
              <w:top w:val="single" w:sz="4" w:space="0" w:color="auto"/>
              <w:left w:val="single" w:sz="4" w:space="0" w:color="auto"/>
              <w:bottom w:val="single" w:sz="4" w:space="0" w:color="auto"/>
              <w:right w:val="single" w:sz="6" w:space="0" w:color="auto"/>
            </w:tcBorders>
            <w:shd w:val="clear" w:color="auto" w:fill="C6D4E9"/>
            <w:vAlign w:val="center"/>
          </w:tcPr>
          <w:p w14:paraId="2E48E63B" w14:textId="77777777" w:rsidR="00F2350B" w:rsidRPr="00373DCC" w:rsidRDefault="00F2350B" w:rsidP="00710B91">
            <w:pPr>
              <w:tabs>
                <w:tab w:val="left" w:pos="7371"/>
              </w:tabs>
              <w:spacing w:before="0" w:after="0" w:line="240" w:lineRule="atLeast"/>
              <w:contextualSpacing/>
              <w:rPr>
                <w:rFonts w:eastAsiaTheme="minorHAnsi" w:cs="Arial"/>
                <w:sz w:val="21"/>
              </w:rPr>
            </w:pPr>
            <w:r w:rsidRPr="00373DCC">
              <w:rPr>
                <w:rFonts w:eastAsiaTheme="minorHAnsi" w:cs="Arial"/>
                <w:sz w:val="21"/>
              </w:rPr>
              <w:t>Total</w:t>
            </w:r>
          </w:p>
        </w:tc>
        <w:tc>
          <w:tcPr>
            <w:tcW w:w="953" w:type="pct"/>
            <w:tcBorders>
              <w:top w:val="single" w:sz="4" w:space="0" w:color="auto"/>
              <w:left w:val="single" w:sz="6" w:space="0" w:color="auto"/>
              <w:bottom w:val="single" w:sz="4" w:space="0" w:color="auto"/>
              <w:right w:val="single" w:sz="6" w:space="0" w:color="auto"/>
            </w:tcBorders>
            <w:shd w:val="clear" w:color="auto" w:fill="C6D4E9"/>
            <w:vAlign w:val="center"/>
          </w:tcPr>
          <w:p w14:paraId="3DB52E44" w14:textId="77777777" w:rsidR="00F2350B" w:rsidRPr="00373DCC" w:rsidRDefault="00F2350B" w:rsidP="00710B91">
            <w:pPr>
              <w:widowControl w:val="0"/>
              <w:tabs>
                <w:tab w:val="left" w:pos="7371"/>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12,172 (100%)</w:t>
            </w:r>
          </w:p>
        </w:tc>
        <w:tc>
          <w:tcPr>
            <w:tcW w:w="952" w:type="pct"/>
            <w:tcBorders>
              <w:top w:val="single" w:sz="4" w:space="0" w:color="auto"/>
              <w:left w:val="single" w:sz="6" w:space="0" w:color="auto"/>
              <w:bottom w:val="single" w:sz="4" w:space="0" w:color="auto"/>
              <w:right w:val="single" w:sz="4" w:space="0" w:color="auto"/>
            </w:tcBorders>
            <w:shd w:val="clear" w:color="auto" w:fill="C6D4E9"/>
            <w:vAlign w:val="center"/>
          </w:tcPr>
          <w:p w14:paraId="6ABCAF75" w14:textId="77777777" w:rsidR="00F2350B" w:rsidRPr="00373DCC" w:rsidRDefault="00F2350B" w:rsidP="00710B91">
            <w:pPr>
              <w:widowControl w:val="0"/>
              <w:tabs>
                <w:tab w:val="left" w:pos="7371"/>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13,876 (100%)</w:t>
            </w:r>
          </w:p>
        </w:tc>
      </w:tr>
    </w:tbl>
    <w:p w14:paraId="262D09F1" w14:textId="77777777" w:rsidR="00F2350B" w:rsidRPr="00373DCC" w:rsidRDefault="00F2350B" w:rsidP="00F2350B">
      <w:pPr>
        <w:spacing w:after="180" w:line="240" w:lineRule="atLeast"/>
        <w:rPr>
          <w:rFonts w:eastAsia="Cambria" w:cs="Arial"/>
          <w:sz w:val="28"/>
          <w:szCs w:val="28"/>
        </w:rPr>
      </w:pPr>
    </w:p>
    <w:p w14:paraId="2D859D0C"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16" w:name="_Toc153550487"/>
      <w:r w:rsidRPr="00373DCC">
        <w:rPr>
          <w:rFonts w:eastAsiaTheme="majorEastAsia" w:cs="Arial"/>
          <w:b/>
          <w:color w:val="00348C" w:themeColor="accent1" w:themeShade="BF"/>
          <w:sz w:val="28"/>
          <w:szCs w:val="28"/>
          <w:lang w:eastAsia="en-AU"/>
        </w:rPr>
        <w:lastRenderedPageBreak/>
        <w:t>11. Medicines and Biologicals Manufacturing</w:t>
      </w:r>
      <w:bookmarkEnd w:id="216"/>
    </w:p>
    <w:p w14:paraId="79E6B304"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217" w:name="_Toc153441509"/>
      <w:bookmarkStart w:id="218" w:name="_Toc153441660"/>
      <w:bookmarkStart w:id="219" w:name="_Toc153550175"/>
      <w:bookmarkStart w:id="220" w:name="_Toc153550340"/>
      <w:bookmarkStart w:id="221" w:name="_Toc153550488"/>
      <w:bookmarkEnd w:id="217"/>
      <w:bookmarkEnd w:id="218"/>
      <w:bookmarkEnd w:id="219"/>
      <w:bookmarkEnd w:id="220"/>
      <w:bookmarkEnd w:id="221"/>
    </w:p>
    <w:p w14:paraId="226EA29B" w14:textId="6B157782" w:rsidR="00F2350B" w:rsidRPr="00373DCC" w:rsidRDefault="00F2350B" w:rsidP="00B633E2">
      <w:pPr>
        <w:pStyle w:val="Heading3-numbered"/>
        <w:numPr>
          <w:ilvl w:val="1"/>
          <w:numId w:val="32"/>
        </w:numPr>
        <w:rPr>
          <w:rFonts w:ascii="Arial" w:hAnsi="Arial" w:cs="Arial"/>
        </w:rPr>
      </w:pPr>
      <w:bookmarkStart w:id="222" w:name="_Toc153550489"/>
      <w:r w:rsidRPr="00373DCC">
        <w:rPr>
          <w:rFonts w:ascii="Arial" w:hAnsi="Arial" w:cs="Arial"/>
        </w:rPr>
        <w:t>Manufacturing licences issued to Australian manufacturers</w:t>
      </w:r>
      <w:bookmarkEnd w:id="222"/>
    </w:p>
    <w:p w14:paraId="0960DB6B" w14:textId="77777777" w:rsidR="00F2350B" w:rsidRPr="00373DCC" w:rsidRDefault="00F2350B" w:rsidP="00F2350B">
      <w:pPr>
        <w:keepNext/>
        <w:spacing w:before="240" w:after="120" w:line="240" w:lineRule="auto"/>
        <w:rPr>
          <w:rFonts w:eastAsia="Cambria" w:cs="Arial"/>
          <w:b/>
          <w:bCs/>
          <w:sz w:val="21"/>
          <w:szCs w:val="21"/>
        </w:rPr>
      </w:pPr>
      <w:bookmarkStart w:id="223" w:name="Table60"/>
      <w:r w:rsidRPr="00373DCC">
        <w:rPr>
          <w:rFonts w:eastAsia="Cambria" w:cs="Arial"/>
          <w:b/>
          <w:bCs/>
          <w:sz w:val="21"/>
          <w:szCs w:val="21"/>
        </w:rPr>
        <w:t>Table 60: Status of manufacturing licence applications</w:t>
      </w:r>
    </w:p>
    <w:tbl>
      <w:tblPr>
        <w:tblStyle w:val="TableTGAblue"/>
        <w:tblW w:w="5000" w:type="pct"/>
        <w:tblLook w:val="04A0" w:firstRow="1" w:lastRow="0" w:firstColumn="1" w:lastColumn="0" w:noHBand="0" w:noVBand="1"/>
      </w:tblPr>
      <w:tblGrid>
        <w:gridCol w:w="6181"/>
        <w:gridCol w:w="1420"/>
        <w:gridCol w:w="1420"/>
      </w:tblGrid>
      <w:tr w:rsidR="005C7371" w:rsidRPr="00373DCC" w14:paraId="36F5B3A0" w14:textId="77777777" w:rsidTr="0050782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6" w:type="pct"/>
            <w:tcBorders>
              <w:top w:val="nil"/>
              <w:left w:val="nil"/>
              <w:right w:val="single" w:sz="4" w:space="0" w:color="auto"/>
            </w:tcBorders>
            <w:shd w:val="clear" w:color="auto" w:fill="FFFFFF" w:themeFill="background1"/>
            <w:vAlign w:val="center"/>
          </w:tcPr>
          <w:bookmarkEnd w:id="223"/>
          <w:p w14:paraId="63CE59CE" w14:textId="3865E983" w:rsidR="005C7371" w:rsidRPr="00373DCC" w:rsidRDefault="005C7371" w:rsidP="005C7371">
            <w:pPr>
              <w:widowControl w:val="0"/>
              <w:spacing w:before="0" w:after="0" w:line="240" w:lineRule="atLeast"/>
              <w:contextualSpacing/>
              <w:rPr>
                <w:rFonts w:eastAsiaTheme="minorHAnsi" w:cs="Arial"/>
                <w:color w:val="FFFFFF" w:themeColor="background1"/>
                <w:sz w:val="21"/>
              </w:rPr>
            </w:pPr>
            <w:r w:rsidRPr="00373DCC">
              <w:rPr>
                <w:rFonts w:cs="Arial"/>
                <w:sz w:val="21"/>
              </w:rPr>
              <w:t>Licence status (Australia)</w:t>
            </w:r>
            <w:r w:rsidRPr="00373DCC">
              <w:rPr>
                <w:rFonts w:cs="Arial"/>
                <w:sz w:val="21"/>
                <w:vertAlign w:val="superscript"/>
              </w:rPr>
              <w:t xml:space="preserve"> a</w:t>
            </w:r>
          </w:p>
        </w:tc>
        <w:tc>
          <w:tcPr>
            <w:tcW w:w="787"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581C3006"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7E582E0A" w14:textId="4C6B2B99" w:rsidR="005C7371" w:rsidRPr="005C7371" w:rsidRDefault="005C7371" w:rsidP="005C737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c>
          <w:tcPr>
            <w:tcW w:w="787"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7AF18A3F"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17EB3FA7" w14:textId="1F5197BD" w:rsidR="005C7371" w:rsidRPr="005C7371" w:rsidRDefault="005C7371" w:rsidP="005C7371">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r>
      <w:tr w:rsidR="00F2350B" w:rsidRPr="00373DCC" w14:paraId="4E62E7F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auto"/>
              <w:left w:val="single" w:sz="4" w:space="0" w:color="002C47"/>
              <w:bottom w:val="single" w:sz="4" w:space="0" w:color="002C47"/>
              <w:right w:val="single" w:sz="4" w:space="0" w:color="002C47"/>
            </w:tcBorders>
            <w:vAlign w:val="center"/>
            <w:hideMark/>
          </w:tcPr>
          <w:p w14:paraId="3844A65E"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New licences granted</w:t>
            </w:r>
          </w:p>
        </w:tc>
        <w:tc>
          <w:tcPr>
            <w:tcW w:w="787" w:type="pct"/>
            <w:tcBorders>
              <w:top w:val="single" w:sz="4" w:space="0" w:color="auto"/>
              <w:left w:val="single" w:sz="4" w:space="0" w:color="002C47"/>
              <w:bottom w:val="single" w:sz="4" w:space="0" w:color="002C47"/>
              <w:right w:val="single" w:sz="4" w:space="0" w:color="002C47"/>
            </w:tcBorders>
            <w:vAlign w:val="center"/>
            <w:hideMark/>
          </w:tcPr>
          <w:p w14:paraId="3CAF2BD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 (16%)</w:t>
            </w:r>
          </w:p>
        </w:tc>
        <w:tc>
          <w:tcPr>
            <w:tcW w:w="787" w:type="pct"/>
            <w:tcBorders>
              <w:top w:val="single" w:sz="4" w:space="0" w:color="auto"/>
              <w:left w:val="single" w:sz="4" w:space="0" w:color="002C47"/>
              <w:bottom w:val="single" w:sz="4" w:space="0" w:color="002C47"/>
              <w:right w:val="single" w:sz="4" w:space="0" w:color="002C47"/>
            </w:tcBorders>
            <w:vAlign w:val="center"/>
            <w:hideMark/>
          </w:tcPr>
          <w:p w14:paraId="273243E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 (14%)</w:t>
            </w:r>
          </w:p>
        </w:tc>
      </w:tr>
      <w:tr w:rsidR="00F2350B" w:rsidRPr="00373DCC" w14:paraId="7221009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vAlign w:val="center"/>
            <w:hideMark/>
          </w:tcPr>
          <w:p w14:paraId="436A4879"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Withdrawn application</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5F6B1DF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57 (67%)</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2B68E4D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68 (69%)</w:t>
            </w:r>
          </w:p>
        </w:tc>
      </w:tr>
      <w:tr w:rsidR="00F2350B" w:rsidRPr="00373DCC" w14:paraId="0F986EC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vAlign w:val="center"/>
            <w:hideMark/>
          </w:tcPr>
          <w:p w14:paraId="771FDEC4"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Revoked licences – at request of licence holder</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1CB1FD9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(12%)</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735B45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 (14%)</w:t>
            </w:r>
          </w:p>
        </w:tc>
      </w:tr>
      <w:tr w:rsidR="00F2350B" w:rsidRPr="00373DCC" w14:paraId="1B32E2A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vAlign w:val="center"/>
            <w:hideMark/>
          </w:tcPr>
          <w:p w14:paraId="65DE6B95"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Revoked licences – TGA</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20D2222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3875D32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77A8382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vAlign w:val="center"/>
            <w:hideMark/>
          </w:tcPr>
          <w:p w14:paraId="0A2DE5D5"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Suspended – at request of licence holder</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1DD6C298"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(5%)</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52F40D1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7463D32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vAlign w:val="center"/>
            <w:hideMark/>
          </w:tcPr>
          <w:p w14:paraId="0B7FEEFE"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Suspended – TGA</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4600354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787" w:type="pct"/>
            <w:tcBorders>
              <w:top w:val="single" w:sz="4" w:space="0" w:color="002C47"/>
              <w:left w:val="single" w:sz="4" w:space="0" w:color="002C47"/>
              <w:bottom w:val="single" w:sz="4" w:space="0" w:color="002C47"/>
              <w:right w:val="single" w:sz="4" w:space="0" w:color="002C47"/>
            </w:tcBorders>
            <w:vAlign w:val="center"/>
            <w:hideMark/>
          </w:tcPr>
          <w:p w14:paraId="1107D42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58A7A2B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34A9902F" w14:textId="77777777" w:rsidR="00F2350B" w:rsidRPr="00373DCC" w:rsidRDefault="00F2350B" w:rsidP="00710B91">
            <w:pPr>
              <w:spacing w:before="0" w:after="0" w:line="240" w:lineRule="atLeast"/>
              <w:contextualSpacing/>
              <w:rPr>
                <w:rFonts w:eastAsiaTheme="minorHAnsi" w:cs="Arial"/>
                <w:bCs/>
                <w:sz w:val="21"/>
              </w:rPr>
            </w:pPr>
            <w:r w:rsidRPr="00373DCC">
              <w:rPr>
                <w:rFonts w:eastAsiaTheme="minorHAnsi" w:cs="Arial"/>
                <w:bCs/>
                <w:sz w:val="21"/>
              </w:rPr>
              <w:t>Total</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680D3A4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85 (100%)</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5E82BD5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97 (100%)</w:t>
            </w:r>
          </w:p>
        </w:tc>
      </w:tr>
    </w:tbl>
    <w:p w14:paraId="321AA2C5"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As at 30 June 2023, there were 265 Australian companies holding manufacturing licences covering 413 sites.</w:t>
      </w:r>
      <w:r w:rsidRPr="00373DCC">
        <w:rPr>
          <w:rFonts w:eastAsia="Cambria" w:cs="Arial"/>
          <w:sz w:val="16"/>
          <w:szCs w:val="16"/>
        </w:rPr>
        <w:br/>
      </w:r>
    </w:p>
    <w:p w14:paraId="42E33A4E" w14:textId="77777777" w:rsidR="00F2350B" w:rsidRPr="00373DCC" w:rsidRDefault="00F2350B" w:rsidP="00F2350B">
      <w:pPr>
        <w:keepNext/>
        <w:spacing w:before="240" w:after="120" w:line="240" w:lineRule="auto"/>
        <w:rPr>
          <w:rFonts w:eastAsia="Cambria" w:cs="Arial"/>
          <w:b/>
          <w:bCs/>
          <w:sz w:val="21"/>
          <w:szCs w:val="21"/>
        </w:rPr>
      </w:pPr>
      <w:bookmarkStart w:id="224" w:name="Table61"/>
      <w:r w:rsidRPr="00373DCC">
        <w:rPr>
          <w:rFonts w:eastAsia="Cambria" w:cs="Arial"/>
          <w:b/>
          <w:sz w:val="21"/>
          <w:szCs w:val="21"/>
        </w:rPr>
        <w:t xml:space="preserve">Table </w:t>
      </w:r>
      <w:r w:rsidRPr="00373DCC">
        <w:rPr>
          <w:rFonts w:eastAsia="Cambria" w:cs="Arial"/>
          <w:b/>
          <w:bCs/>
          <w:sz w:val="21"/>
          <w:szCs w:val="21"/>
        </w:rPr>
        <w:t>61:</w:t>
      </w:r>
      <w:r w:rsidRPr="00373DCC">
        <w:rPr>
          <w:rFonts w:eastAsia="Cambria" w:cs="Arial"/>
          <w:b/>
          <w:sz w:val="21"/>
          <w:szCs w:val="21"/>
        </w:rPr>
        <w:t xml:space="preserve"> Outcomes of inspections of Australian manufacturers</w:t>
      </w:r>
    </w:p>
    <w:tbl>
      <w:tblPr>
        <w:tblW w:w="8974" w:type="dxa"/>
        <w:tblInd w:w="108" w:type="dxa"/>
        <w:tblLook w:val="04A0" w:firstRow="1" w:lastRow="0" w:firstColumn="1" w:lastColumn="0" w:noHBand="0" w:noVBand="1"/>
      </w:tblPr>
      <w:tblGrid>
        <w:gridCol w:w="5279"/>
        <w:gridCol w:w="1843"/>
        <w:gridCol w:w="1852"/>
      </w:tblGrid>
      <w:tr w:rsidR="00507827" w:rsidRPr="00373DCC" w14:paraId="18791D09" w14:textId="77777777" w:rsidTr="000E79E4">
        <w:trPr>
          <w:trHeight w:val="388"/>
        </w:trPr>
        <w:tc>
          <w:tcPr>
            <w:tcW w:w="5279" w:type="dxa"/>
            <w:vMerge w:val="restart"/>
            <w:tcBorders>
              <w:top w:val="nil"/>
              <w:left w:val="nil"/>
              <w:right w:val="single" w:sz="4" w:space="0" w:color="auto"/>
            </w:tcBorders>
            <w:vAlign w:val="center"/>
            <w:hideMark/>
          </w:tcPr>
          <w:bookmarkEnd w:id="224"/>
          <w:p w14:paraId="5EB33AB9" w14:textId="77777777" w:rsidR="00507827" w:rsidRPr="00373DCC" w:rsidRDefault="00507827" w:rsidP="00507827">
            <w:pPr>
              <w:spacing w:before="0" w:after="0" w:line="240" w:lineRule="auto"/>
              <w:rPr>
                <w:rFonts w:eastAsia="Times New Roman" w:cs="Arial"/>
                <w:color w:val="FFFFFF"/>
                <w:sz w:val="21"/>
                <w:szCs w:val="21"/>
                <w:lang w:eastAsia="en-AU"/>
              </w:rPr>
            </w:pPr>
            <w:r w:rsidRPr="00373DCC">
              <w:rPr>
                <w:rFonts w:eastAsia="Times New Roman" w:cs="Arial"/>
                <w:color w:val="FFFFFF"/>
                <w:sz w:val="21"/>
                <w:szCs w:val="21"/>
                <w:lang w:eastAsia="en-AU"/>
              </w:rPr>
              <w:t> </w:t>
            </w:r>
          </w:p>
          <w:p w14:paraId="22409AE7" w14:textId="1CE0BE13" w:rsidR="00507827" w:rsidRPr="00373DCC" w:rsidRDefault="00507827" w:rsidP="00710B91">
            <w:pPr>
              <w:spacing w:before="0" w:after="0" w:line="240" w:lineRule="auto"/>
              <w:rPr>
                <w:rFonts w:eastAsia="Times New Roman" w:cs="Arial"/>
                <w:color w:val="FFFFFF"/>
                <w:sz w:val="21"/>
                <w:szCs w:val="21"/>
                <w:lang w:eastAsia="en-AU"/>
              </w:rPr>
            </w:pPr>
            <w:r w:rsidRPr="00373DCC">
              <w:rPr>
                <w:rFonts w:eastAsia="Times New Roman" w:cs="Arial"/>
                <w:color w:val="FFFFFF"/>
                <w:sz w:val="21"/>
                <w:szCs w:val="21"/>
                <w:lang w:eastAsia="en-AU"/>
              </w:rPr>
              <w:t> </w:t>
            </w:r>
          </w:p>
        </w:tc>
        <w:tc>
          <w:tcPr>
            <w:tcW w:w="1843" w:type="dxa"/>
            <w:tcBorders>
              <w:top w:val="single" w:sz="4" w:space="0" w:color="auto"/>
              <w:left w:val="single" w:sz="4" w:space="0" w:color="auto"/>
              <w:bottom w:val="single" w:sz="4" w:space="0" w:color="auto"/>
              <w:right w:val="single" w:sz="4" w:space="0" w:color="auto"/>
            </w:tcBorders>
            <w:shd w:val="clear" w:color="auto" w:fill="29527F"/>
            <w:vAlign w:val="center"/>
            <w:hideMark/>
          </w:tcPr>
          <w:p w14:paraId="23835E38" w14:textId="2ADE9702" w:rsidR="00507827" w:rsidRPr="00507827" w:rsidRDefault="00507827" w:rsidP="00507827">
            <w:pPr>
              <w:spacing w:before="0" w:after="0" w:line="240" w:lineRule="auto"/>
              <w:jc w:val="center"/>
              <w:rPr>
                <w:rFonts w:eastAsia="Times New Roman" w:cs="Arial"/>
                <w:b/>
                <w:bCs/>
                <w:color w:val="000000"/>
                <w:sz w:val="21"/>
                <w:szCs w:val="21"/>
                <w:lang w:eastAsia="en-AU"/>
              </w:rPr>
            </w:pPr>
            <w:r w:rsidRPr="00507827">
              <w:rPr>
                <w:rFonts w:cs="Arial"/>
                <w:b/>
                <w:bCs/>
                <w:color w:val="FFFFFF" w:themeColor="background1"/>
                <w:sz w:val="21"/>
              </w:rPr>
              <w:t>FY 2021-22</w:t>
            </w:r>
          </w:p>
        </w:tc>
        <w:tc>
          <w:tcPr>
            <w:tcW w:w="1852" w:type="dxa"/>
            <w:tcBorders>
              <w:top w:val="single" w:sz="8" w:space="0" w:color="auto"/>
              <w:left w:val="single" w:sz="4" w:space="0" w:color="auto"/>
              <w:bottom w:val="nil"/>
              <w:right w:val="nil"/>
            </w:tcBorders>
            <w:shd w:val="clear" w:color="auto" w:fill="29527F"/>
            <w:vAlign w:val="center"/>
            <w:hideMark/>
          </w:tcPr>
          <w:p w14:paraId="01C25D12" w14:textId="0890B794" w:rsidR="00507827" w:rsidRPr="00507827" w:rsidRDefault="00507827" w:rsidP="00507827">
            <w:pPr>
              <w:spacing w:before="0" w:after="0" w:line="240" w:lineRule="auto"/>
              <w:jc w:val="center"/>
              <w:rPr>
                <w:rFonts w:eastAsia="Times New Roman" w:cs="Arial"/>
                <w:b/>
                <w:bCs/>
                <w:color w:val="000000"/>
                <w:sz w:val="21"/>
                <w:szCs w:val="21"/>
                <w:lang w:eastAsia="en-AU"/>
              </w:rPr>
            </w:pPr>
            <w:r w:rsidRPr="00507827">
              <w:rPr>
                <w:rFonts w:cs="Arial"/>
                <w:b/>
                <w:bCs/>
                <w:color w:val="FFFFFF" w:themeColor="background1"/>
                <w:sz w:val="21"/>
              </w:rPr>
              <w:t>FY 2022-23</w:t>
            </w:r>
          </w:p>
        </w:tc>
      </w:tr>
      <w:tr w:rsidR="00507827" w:rsidRPr="00373DCC" w14:paraId="325E00D9" w14:textId="77777777" w:rsidTr="000E79E4">
        <w:trPr>
          <w:trHeight w:val="340"/>
        </w:trPr>
        <w:tc>
          <w:tcPr>
            <w:tcW w:w="5279" w:type="dxa"/>
            <w:vMerge/>
            <w:tcBorders>
              <w:left w:val="nil"/>
              <w:bottom w:val="single" w:sz="4" w:space="0" w:color="auto"/>
              <w:right w:val="single" w:sz="4" w:space="0" w:color="auto"/>
            </w:tcBorders>
            <w:vAlign w:val="center"/>
            <w:hideMark/>
          </w:tcPr>
          <w:p w14:paraId="275560D7" w14:textId="2613BFD6" w:rsidR="00507827" w:rsidRPr="00373DCC" w:rsidRDefault="00507827" w:rsidP="00710B91">
            <w:pPr>
              <w:spacing w:before="0" w:after="0" w:line="240" w:lineRule="auto"/>
              <w:rPr>
                <w:rFonts w:eastAsia="Times New Roman" w:cs="Arial"/>
                <w:color w:val="FFFFFF"/>
                <w:sz w:val="21"/>
                <w:szCs w:val="21"/>
                <w:lang w:eastAsia="en-AU"/>
              </w:rPr>
            </w:pPr>
          </w:p>
        </w:tc>
        <w:tc>
          <w:tcPr>
            <w:tcW w:w="3695" w:type="dxa"/>
            <w:gridSpan w:val="2"/>
            <w:tcBorders>
              <w:top w:val="single" w:sz="4" w:space="0" w:color="auto"/>
              <w:left w:val="single" w:sz="4" w:space="0" w:color="auto"/>
              <w:bottom w:val="single" w:sz="4" w:space="0" w:color="auto"/>
              <w:right w:val="single" w:sz="4" w:space="0" w:color="auto"/>
            </w:tcBorders>
            <w:shd w:val="clear" w:color="auto" w:fill="C6D4E9"/>
            <w:vAlign w:val="center"/>
            <w:hideMark/>
          </w:tcPr>
          <w:p w14:paraId="1170E06A" w14:textId="77777777" w:rsidR="00507827" w:rsidRPr="005C7371" w:rsidRDefault="00507827" w:rsidP="00710B91">
            <w:pPr>
              <w:spacing w:before="0" w:after="0" w:line="240" w:lineRule="auto"/>
              <w:jc w:val="center"/>
              <w:rPr>
                <w:rFonts w:eastAsia="Times New Roman" w:cs="Arial"/>
                <w:color w:val="000000"/>
                <w:sz w:val="21"/>
                <w:szCs w:val="21"/>
                <w:lang w:eastAsia="en-AU"/>
              </w:rPr>
            </w:pPr>
            <w:r w:rsidRPr="005C7371">
              <w:rPr>
                <w:rFonts w:eastAsia="Times New Roman" w:cs="Arial"/>
                <w:color w:val="000000"/>
                <w:sz w:val="21"/>
                <w:szCs w:val="21"/>
                <w:lang w:eastAsia="en-AU"/>
              </w:rPr>
              <w:t>Number (% of Total)</w:t>
            </w:r>
          </w:p>
        </w:tc>
      </w:tr>
      <w:tr w:rsidR="00F2350B" w:rsidRPr="00373DCC" w14:paraId="291BB5E2" w14:textId="77777777" w:rsidTr="00710B91">
        <w:trPr>
          <w:trHeight w:val="340"/>
        </w:trPr>
        <w:tc>
          <w:tcPr>
            <w:tcW w:w="8974" w:type="dxa"/>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5B536377"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Compliance status (Australia)</w:t>
            </w:r>
          </w:p>
        </w:tc>
      </w:tr>
      <w:tr w:rsidR="00F2350B" w:rsidRPr="00373DCC" w14:paraId="4189A440"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271D56E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Number of inspections conducted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9C81F0"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Times New Roman" w:cs="Arial"/>
                <w:sz w:val="21"/>
                <w:szCs w:val="21"/>
                <w:lang w:eastAsia="en-AU"/>
              </w:rPr>
              <w:t>139</w:t>
            </w:r>
          </w:p>
        </w:tc>
        <w:tc>
          <w:tcPr>
            <w:tcW w:w="1852" w:type="dxa"/>
            <w:tcBorders>
              <w:top w:val="single" w:sz="4" w:space="0" w:color="auto"/>
              <w:left w:val="single" w:sz="4" w:space="0" w:color="auto"/>
              <w:bottom w:val="single" w:sz="4" w:space="0" w:color="auto"/>
              <w:right w:val="single" w:sz="4" w:space="0" w:color="auto"/>
            </w:tcBorders>
            <w:vAlign w:val="center"/>
            <w:hideMark/>
          </w:tcPr>
          <w:p w14:paraId="2E31A4BD"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Times New Roman" w:cs="Arial"/>
                <w:sz w:val="21"/>
                <w:szCs w:val="21"/>
                <w:lang w:eastAsia="en-AU"/>
              </w:rPr>
              <w:t>132</w:t>
            </w:r>
          </w:p>
        </w:tc>
      </w:tr>
      <w:tr w:rsidR="00F2350B" w:rsidRPr="00373DCC" w14:paraId="1B60CD17"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586F10E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Satisfactory compliance (of completed inspections)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E94098" w14:textId="77777777" w:rsidR="00F2350B" w:rsidRPr="00373DCC" w:rsidRDefault="00F2350B" w:rsidP="00710B91">
            <w:pPr>
              <w:spacing w:before="0" w:after="0" w:line="240" w:lineRule="auto"/>
              <w:jc w:val="right"/>
              <w:rPr>
                <w:rFonts w:eastAsia="Times New Roman" w:cs="Arial"/>
                <w:sz w:val="21"/>
                <w:szCs w:val="21"/>
                <w:lang w:eastAsia="en-AU"/>
              </w:rPr>
            </w:pPr>
            <w:r w:rsidRPr="48ECC65F">
              <w:rPr>
                <w:rFonts w:eastAsia="Cambria" w:cs="Arial"/>
                <w:sz w:val="21"/>
                <w:szCs w:val="21"/>
                <w:lang w:eastAsia="en-AU"/>
              </w:rPr>
              <w:t>99 (71%)</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FE1A9"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98 (74%)</w:t>
            </w:r>
          </w:p>
        </w:tc>
      </w:tr>
      <w:tr w:rsidR="00F2350B" w:rsidRPr="00373DCC" w14:paraId="6BCA6B24"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6BA8A3C6"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Marginal compliance (of completed inspections)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9FDA84"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25 (18%)</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ECFE5"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21 (16%)</w:t>
            </w:r>
          </w:p>
        </w:tc>
      </w:tr>
      <w:tr w:rsidR="00F2350B" w:rsidRPr="00373DCC" w14:paraId="0E328F1A"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4F7D3418"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Unacceptable (of completed inspections)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446BD7"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7 (5%)</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9D8E5"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2 (2%)</w:t>
            </w:r>
          </w:p>
        </w:tc>
      </w:tr>
      <w:tr w:rsidR="00F2350B" w:rsidRPr="00373DCC" w14:paraId="5923D813"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44A89DFB"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 xml:space="preserve">Compliance under assessment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C16F3E"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8 (5%)</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D554D1"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11 (8%)</w:t>
            </w:r>
          </w:p>
        </w:tc>
      </w:tr>
      <w:tr w:rsidR="00F2350B" w:rsidRPr="00373DCC" w14:paraId="62D6AACF" w14:textId="77777777" w:rsidTr="00710B91">
        <w:trPr>
          <w:trHeight w:val="340"/>
        </w:trPr>
        <w:tc>
          <w:tcPr>
            <w:tcW w:w="8974" w:type="dxa"/>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F253E5F"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Processing time</w:t>
            </w:r>
          </w:p>
        </w:tc>
      </w:tr>
      <w:tr w:rsidR="00F2350B" w:rsidRPr="00373DCC" w14:paraId="51F48877"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6063C168"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Initial inspections conducted within 3 months of application</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DFF966F"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9 of 15 (60%)</w:t>
            </w:r>
            <w:r w:rsidRPr="00373DCC">
              <w:rPr>
                <w:rFonts w:eastAsia="Cambria" w:cs="Arial"/>
                <w:sz w:val="21"/>
                <w:szCs w:val="21"/>
                <w:vertAlign w:val="superscript"/>
              </w:rPr>
              <w:t>a</w:t>
            </w:r>
            <w:r w:rsidRPr="00373DCC">
              <w:rPr>
                <w:rFonts w:eastAsia="Cambria" w:cs="Arial"/>
                <w:sz w:val="21"/>
                <w:szCs w:val="21"/>
                <w:lang w:eastAsia="en-AU"/>
              </w:rPr>
              <w:t xml:space="preserve"> </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B107F"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10 of 15 (67%)</w:t>
            </w:r>
            <w:r w:rsidRPr="00373DCC">
              <w:rPr>
                <w:rFonts w:eastAsia="Cambria" w:cs="Arial"/>
                <w:sz w:val="21"/>
                <w:szCs w:val="21"/>
                <w:vertAlign w:val="superscript"/>
              </w:rPr>
              <w:t>b</w:t>
            </w:r>
          </w:p>
        </w:tc>
      </w:tr>
      <w:tr w:rsidR="00F2350B" w:rsidRPr="00373DCC" w14:paraId="38F868A6" w14:textId="77777777" w:rsidTr="00710B91">
        <w:trPr>
          <w:trHeight w:val="340"/>
        </w:trPr>
        <w:tc>
          <w:tcPr>
            <w:tcW w:w="5279" w:type="dxa"/>
            <w:tcBorders>
              <w:top w:val="single" w:sz="4" w:space="0" w:color="auto"/>
              <w:left w:val="single" w:sz="4" w:space="0" w:color="auto"/>
              <w:bottom w:val="single" w:sz="4" w:space="0" w:color="auto"/>
              <w:right w:val="single" w:sz="4" w:space="0" w:color="auto"/>
            </w:tcBorders>
            <w:vAlign w:val="center"/>
            <w:hideMark/>
          </w:tcPr>
          <w:p w14:paraId="2D241D24"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Re-inspections conducted within 6 months of due date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7EC033"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34 of 95 (36%)</w:t>
            </w:r>
            <w:r w:rsidRPr="00373DCC">
              <w:rPr>
                <w:rFonts w:eastAsia="Cambria" w:cs="Arial"/>
                <w:sz w:val="21"/>
                <w:szCs w:val="21"/>
                <w:vertAlign w:val="superscript"/>
              </w:rPr>
              <w:t>c</w:t>
            </w:r>
          </w:p>
        </w:tc>
        <w:tc>
          <w:tcPr>
            <w:tcW w:w="1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0415D" w14:textId="77777777" w:rsidR="00F2350B" w:rsidRPr="00373DCC" w:rsidRDefault="00F2350B" w:rsidP="00710B91">
            <w:pPr>
              <w:spacing w:before="0" w:after="0" w:line="240" w:lineRule="auto"/>
              <w:jc w:val="right"/>
              <w:rPr>
                <w:rFonts w:eastAsia="Times New Roman" w:cs="Arial"/>
                <w:b/>
                <w:sz w:val="21"/>
                <w:szCs w:val="21"/>
                <w:lang w:eastAsia="en-AU"/>
              </w:rPr>
            </w:pPr>
            <w:r w:rsidRPr="00373DCC">
              <w:rPr>
                <w:rFonts w:eastAsia="Cambria" w:cs="Arial"/>
                <w:sz w:val="21"/>
                <w:szCs w:val="21"/>
                <w:lang w:eastAsia="en-AU"/>
              </w:rPr>
              <w:t xml:space="preserve">16 of 90 (18%) </w:t>
            </w:r>
          </w:p>
        </w:tc>
      </w:tr>
    </w:tbl>
    <w:p w14:paraId="2CD3764E" w14:textId="77777777" w:rsidR="00F2350B" w:rsidRPr="00373DCC" w:rsidRDefault="00F2350B" w:rsidP="00F2350B">
      <w:pPr>
        <w:spacing w:before="0" w:after="0" w:line="0" w:lineRule="atLeast"/>
        <w:ind w:left="142"/>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Six domestic initial inspections did not achieve the three-month processing timeframe in 2021-22 due to manufacturers not being ready for inspection.</w:t>
      </w:r>
    </w:p>
    <w:p w14:paraId="476E6B8C" w14:textId="77777777" w:rsidR="00F2350B" w:rsidRPr="00373DCC" w:rsidRDefault="00F2350B" w:rsidP="00F2350B">
      <w:pPr>
        <w:spacing w:before="0" w:after="0" w:line="0" w:lineRule="atLeast"/>
        <w:ind w:left="142"/>
        <w:rPr>
          <w:rFonts w:eastAsia="Cambria" w:cs="Arial"/>
          <w:sz w:val="16"/>
          <w:szCs w:val="16"/>
        </w:rPr>
      </w:pPr>
      <w:r w:rsidRPr="00373DCC">
        <w:rPr>
          <w:rFonts w:eastAsia="Cambria" w:cs="Arial"/>
          <w:sz w:val="16"/>
          <w:szCs w:val="16"/>
          <w:vertAlign w:val="superscript"/>
        </w:rPr>
        <w:t xml:space="preserve">b </w:t>
      </w:r>
      <w:r w:rsidRPr="00373DCC">
        <w:rPr>
          <w:rFonts w:eastAsia="Cambria" w:cs="Arial"/>
          <w:sz w:val="16"/>
          <w:szCs w:val="16"/>
        </w:rPr>
        <w:t>The 2022-23 data do not include inspections that were delayed at the request of the manufacturer.</w:t>
      </w:r>
    </w:p>
    <w:p w14:paraId="7220B232" w14:textId="77777777" w:rsidR="00F2350B" w:rsidRPr="00373DCC" w:rsidRDefault="00F2350B" w:rsidP="00F2350B">
      <w:pPr>
        <w:spacing w:before="0" w:after="0" w:line="0" w:lineRule="atLeast"/>
        <w:ind w:left="142"/>
        <w:rPr>
          <w:rFonts w:eastAsia="Cambria" w:cs="Arial"/>
          <w:sz w:val="16"/>
          <w:szCs w:val="16"/>
        </w:rPr>
      </w:pPr>
      <w:r w:rsidRPr="00373DCC">
        <w:rPr>
          <w:rFonts w:eastAsia="Cambria" w:cs="Arial"/>
          <w:sz w:val="16"/>
          <w:szCs w:val="16"/>
          <w:vertAlign w:val="superscript"/>
        </w:rPr>
        <w:t>c</w:t>
      </w:r>
      <w:r w:rsidRPr="00373DCC">
        <w:rPr>
          <w:rFonts w:eastAsia="Cambria" w:cs="Arial"/>
          <w:sz w:val="16"/>
          <w:szCs w:val="16"/>
        </w:rPr>
        <w:t xml:space="preserve"> Twenty-six of the delayed re-inspections were blood and biological manufacturers. </w:t>
      </w:r>
    </w:p>
    <w:p w14:paraId="6B612E49" w14:textId="77777777" w:rsidR="00F2350B" w:rsidRPr="00373DCC" w:rsidRDefault="00F2350B" w:rsidP="00F2350B">
      <w:pPr>
        <w:spacing w:before="0" w:after="0"/>
        <w:ind w:left="142"/>
        <w:rPr>
          <w:rFonts w:eastAsia="Times New Roman" w:cs="Arial"/>
          <w:bCs/>
          <w:color w:val="29527F"/>
          <w:szCs w:val="22"/>
          <w:lang w:val="en"/>
          <w14:textFill>
            <w14:solidFill>
              <w14:srgbClr w14:val="29527F">
                <w14:lumMod w14:val="90000"/>
                <w14:lumOff w14:val="10000"/>
              </w14:srgbClr>
            </w14:solidFill>
          </w14:textFill>
        </w:rPr>
      </w:pPr>
      <w:r w:rsidRPr="00373DCC">
        <w:rPr>
          <w:rFonts w:eastAsia="Times New Roman" w:cs="Arial"/>
          <w:bCs/>
          <w:color w:val="29527F"/>
          <w:szCs w:val="22"/>
          <w:lang w:val="en"/>
          <w14:textFill>
            <w14:solidFill>
              <w14:srgbClr w14:val="29527F">
                <w14:lumMod w14:val="90000"/>
                <w14:lumOff w14:val="10000"/>
              </w14:srgbClr>
            </w14:solidFill>
          </w14:textFill>
        </w:rPr>
        <w:br w:type="page"/>
      </w:r>
    </w:p>
    <w:p w14:paraId="0A3985C2" w14:textId="77777777" w:rsidR="00F2350B" w:rsidRPr="00373DCC" w:rsidRDefault="00F2350B" w:rsidP="00B633E2">
      <w:pPr>
        <w:pStyle w:val="Heading3-numbered"/>
        <w:numPr>
          <w:ilvl w:val="1"/>
          <w:numId w:val="32"/>
        </w:numPr>
        <w:rPr>
          <w:rFonts w:ascii="Arial" w:hAnsi="Arial" w:cs="Arial"/>
        </w:rPr>
      </w:pPr>
      <w:bookmarkStart w:id="225" w:name="_Toc153550490"/>
      <w:r w:rsidRPr="00373DCC">
        <w:rPr>
          <w:rFonts w:ascii="Arial" w:hAnsi="Arial" w:cs="Arial"/>
        </w:rPr>
        <w:lastRenderedPageBreak/>
        <w:t>Approval (certification) of overseas manufacturers</w:t>
      </w:r>
      <w:bookmarkEnd w:id="225"/>
    </w:p>
    <w:p w14:paraId="5BCD11DB" w14:textId="77777777" w:rsidR="00F2350B" w:rsidRPr="00373DCC" w:rsidRDefault="00F2350B" w:rsidP="00F2350B">
      <w:pPr>
        <w:keepNext/>
        <w:spacing w:before="240" w:after="120" w:line="240" w:lineRule="auto"/>
        <w:rPr>
          <w:rFonts w:eastAsia="Cambria" w:cs="Arial"/>
          <w:b/>
          <w:bCs/>
          <w:sz w:val="21"/>
          <w:szCs w:val="21"/>
        </w:rPr>
      </w:pPr>
      <w:bookmarkStart w:id="226" w:name="Table62"/>
      <w:r w:rsidRPr="00373DCC">
        <w:rPr>
          <w:rFonts w:eastAsia="Cambria" w:cs="Arial"/>
          <w:b/>
          <w:bCs/>
          <w:sz w:val="21"/>
          <w:szCs w:val="21"/>
        </w:rPr>
        <w:t>Table 62: Manufacturing certification application by status (overseas)</w:t>
      </w:r>
    </w:p>
    <w:bookmarkEnd w:id="226"/>
    <w:tbl>
      <w:tblPr>
        <w:tblStyle w:val="TableTGAblue"/>
        <w:tblW w:w="14949" w:type="pct"/>
        <w:tblLook w:val="04A0" w:firstRow="1" w:lastRow="0" w:firstColumn="1" w:lastColumn="0" w:noHBand="0" w:noVBand="1"/>
      </w:tblPr>
      <w:tblGrid>
        <w:gridCol w:w="6068"/>
        <w:gridCol w:w="1527"/>
        <w:gridCol w:w="1424"/>
        <w:gridCol w:w="8976"/>
        <w:gridCol w:w="8976"/>
      </w:tblGrid>
      <w:tr w:rsidR="00507827" w:rsidRPr="00373DCC" w14:paraId="0CC702D0" w14:textId="77777777" w:rsidTr="00B83A6A">
        <w:trPr>
          <w:gridAfter w:val="2"/>
          <w:cnfStyle w:val="100000000000" w:firstRow="1" w:lastRow="0" w:firstColumn="0" w:lastColumn="0" w:oddVBand="0" w:evenVBand="0" w:oddHBand="0" w:evenHBand="0" w:firstRowFirstColumn="0" w:firstRowLastColumn="0" w:lastRowFirstColumn="0" w:lastRowLastColumn="0"/>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vMerge w:val="restart"/>
            <w:tcBorders>
              <w:top w:val="nil"/>
              <w:left w:val="nil"/>
              <w:right w:val="single" w:sz="4" w:space="0" w:color="auto"/>
            </w:tcBorders>
            <w:shd w:val="clear" w:color="auto" w:fill="FFFFFF" w:themeFill="background1"/>
            <w:vAlign w:val="center"/>
          </w:tcPr>
          <w:p w14:paraId="6532E91B" w14:textId="77777777" w:rsidR="00507827" w:rsidRPr="00373DCC" w:rsidRDefault="00507827" w:rsidP="00507827">
            <w:pPr>
              <w:widowControl w:val="0"/>
              <w:spacing w:before="0" w:after="0" w:line="240" w:lineRule="atLeast"/>
              <w:contextualSpacing/>
              <w:jc w:val="center"/>
              <w:rPr>
                <w:rFonts w:eastAsiaTheme="minorHAnsi" w:cs="Arial"/>
                <w:color w:val="FFFFFF" w:themeColor="background1"/>
                <w:sz w:val="21"/>
              </w:rPr>
            </w:pPr>
          </w:p>
        </w:tc>
        <w:tc>
          <w:tcPr>
            <w:tcW w:w="283"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6D2595E2" w14:textId="7260DF13" w:rsidR="00507827" w:rsidRPr="00373DCC" w:rsidRDefault="00507827" w:rsidP="00507827">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264"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55F40094" w14:textId="7A2E726B" w:rsidR="00507827" w:rsidRPr="00373DCC" w:rsidRDefault="00507827" w:rsidP="00507827">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507827" w:rsidRPr="00373DCC" w14:paraId="53C7AC7F" w14:textId="77777777" w:rsidTr="00B83A6A">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vMerge/>
            <w:tcBorders>
              <w:left w:val="nil"/>
              <w:bottom w:val="single" w:sz="4" w:space="0" w:color="auto"/>
              <w:right w:val="single" w:sz="4" w:space="0" w:color="auto"/>
            </w:tcBorders>
            <w:vAlign w:val="center"/>
          </w:tcPr>
          <w:p w14:paraId="438B09A0" w14:textId="77777777" w:rsidR="00507827" w:rsidRPr="00373DCC" w:rsidRDefault="00507827" w:rsidP="00710B91">
            <w:pPr>
              <w:widowControl w:val="0"/>
              <w:spacing w:before="0" w:after="0" w:line="240" w:lineRule="atLeast"/>
              <w:contextualSpacing/>
              <w:rPr>
                <w:rFonts w:eastAsiaTheme="minorHAnsi" w:cs="Arial"/>
                <w:color w:val="FFFFFF" w:themeColor="background1"/>
                <w:sz w:val="21"/>
              </w:rPr>
            </w:pPr>
          </w:p>
        </w:tc>
        <w:tc>
          <w:tcPr>
            <w:tcW w:w="547" w:type="pct"/>
            <w:gridSpan w:val="2"/>
            <w:tcBorders>
              <w:top w:val="single" w:sz="4" w:space="0" w:color="002C47"/>
              <w:left w:val="single" w:sz="4" w:space="0" w:color="auto"/>
              <w:bottom w:val="single" w:sz="4" w:space="0" w:color="auto"/>
              <w:right w:val="single" w:sz="4" w:space="0" w:color="002C47"/>
            </w:tcBorders>
            <w:shd w:val="clear" w:color="auto" w:fill="C6D4E9"/>
            <w:vAlign w:val="center"/>
            <w:hideMark/>
          </w:tcPr>
          <w:p w14:paraId="47FD197D" w14:textId="77777777" w:rsidR="00507827" w:rsidRPr="005C7371" w:rsidRDefault="00507827" w:rsidP="00710B91">
            <w:pPr>
              <w:widowControl w:val="0"/>
              <w:spacing w:before="0" w:after="0"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eastAsiaTheme="minorHAnsi" w:cs="Arial"/>
                <w:bCs/>
                <w:sz w:val="21"/>
              </w:rPr>
            </w:pPr>
            <w:r w:rsidRPr="005C7371">
              <w:rPr>
                <w:rFonts w:eastAsiaTheme="minorHAnsi" w:cs="Arial"/>
                <w:bCs/>
                <w:sz w:val="21"/>
              </w:rPr>
              <w:t>Number (% of Total)</w:t>
            </w:r>
          </w:p>
        </w:tc>
      </w:tr>
      <w:tr w:rsidR="00F2350B" w:rsidRPr="00373DCC" w14:paraId="384AE1D8"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2E31670B"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Applications (overseas)</w:t>
            </w:r>
            <w:r w:rsidRPr="00373DCC">
              <w:rPr>
                <w:rFonts w:cs="Arial"/>
                <w:sz w:val="21"/>
                <w:vertAlign w:val="superscript"/>
              </w:rPr>
              <w:t xml:space="preserve"> a</w:t>
            </w:r>
          </w:p>
        </w:tc>
      </w:tr>
      <w:tr w:rsidR="00F2350B" w:rsidRPr="00373DCC" w14:paraId="74552D20"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auto"/>
              <w:left w:val="single" w:sz="4" w:space="0" w:color="002C47"/>
              <w:bottom w:val="single" w:sz="4" w:space="0" w:color="002C47"/>
              <w:right w:val="single" w:sz="4" w:space="0" w:color="002C47"/>
            </w:tcBorders>
            <w:vAlign w:val="center"/>
            <w:hideMark/>
          </w:tcPr>
          <w:p w14:paraId="2BC6F4EF" w14:textId="77777777" w:rsidR="00F2350B" w:rsidRPr="00373DCC" w:rsidRDefault="00F2350B" w:rsidP="00710B91">
            <w:pPr>
              <w:spacing w:before="0" w:after="0" w:line="240" w:lineRule="atLeast"/>
              <w:contextualSpacing/>
              <w:rPr>
                <w:rFonts w:eastAsiaTheme="minorHAnsi" w:cs="Arial"/>
                <w:sz w:val="21"/>
                <w:vertAlign w:val="superscript"/>
              </w:rPr>
            </w:pPr>
            <w:r w:rsidRPr="00373DCC">
              <w:rPr>
                <w:rFonts w:eastAsiaTheme="minorHAnsi" w:cs="Arial"/>
                <w:sz w:val="21"/>
              </w:rPr>
              <w:t>New applications received</w:t>
            </w:r>
            <w:r w:rsidRPr="00373DCC">
              <w:rPr>
                <w:rFonts w:eastAsiaTheme="minorHAnsi" w:cs="Arial"/>
                <w:sz w:val="21"/>
                <w:vertAlign w:val="superscript"/>
              </w:rPr>
              <w:t xml:space="preserve"> b</w:t>
            </w:r>
          </w:p>
        </w:tc>
        <w:tc>
          <w:tcPr>
            <w:tcW w:w="283" w:type="pct"/>
            <w:tcBorders>
              <w:top w:val="single" w:sz="4" w:space="0" w:color="auto"/>
              <w:left w:val="single" w:sz="4" w:space="0" w:color="002C47"/>
              <w:bottom w:val="single" w:sz="4" w:space="0" w:color="002C47"/>
              <w:right w:val="single" w:sz="4" w:space="0" w:color="002C47"/>
            </w:tcBorders>
            <w:vAlign w:val="center"/>
            <w:hideMark/>
          </w:tcPr>
          <w:p w14:paraId="0AAF4A0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71 (61%)</w:t>
            </w:r>
          </w:p>
        </w:tc>
        <w:tc>
          <w:tcPr>
            <w:tcW w:w="264" w:type="pct"/>
            <w:tcBorders>
              <w:top w:val="single" w:sz="4" w:space="0" w:color="auto"/>
              <w:left w:val="single" w:sz="4" w:space="0" w:color="002C47"/>
              <w:bottom w:val="single" w:sz="4" w:space="0" w:color="002C47"/>
              <w:right w:val="single" w:sz="4" w:space="0" w:color="002C47"/>
            </w:tcBorders>
            <w:vAlign w:val="center"/>
            <w:hideMark/>
          </w:tcPr>
          <w:p w14:paraId="01B7697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52 (48%)</w:t>
            </w:r>
          </w:p>
        </w:tc>
      </w:tr>
      <w:tr w:rsidR="00F2350B" w:rsidRPr="00373DCC" w14:paraId="5ADECA99"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auto"/>
              <w:right w:val="single" w:sz="4" w:space="0" w:color="002C47"/>
            </w:tcBorders>
            <w:vAlign w:val="center"/>
            <w:hideMark/>
          </w:tcPr>
          <w:p w14:paraId="02B1285B" w14:textId="77777777" w:rsidR="00F2350B" w:rsidRPr="00373DCC" w:rsidRDefault="00F2350B" w:rsidP="00710B91">
            <w:pPr>
              <w:spacing w:before="0" w:after="0" w:line="240" w:lineRule="atLeast"/>
              <w:contextualSpacing/>
              <w:rPr>
                <w:rFonts w:eastAsiaTheme="minorHAnsi" w:cs="Arial"/>
                <w:sz w:val="21"/>
                <w:vertAlign w:val="superscript"/>
              </w:rPr>
            </w:pPr>
            <w:r w:rsidRPr="00373DCC">
              <w:rPr>
                <w:rFonts w:eastAsiaTheme="minorHAnsi" w:cs="Arial"/>
                <w:sz w:val="21"/>
              </w:rPr>
              <w:t>Re-inspection applications</w:t>
            </w:r>
            <w:r w:rsidRPr="00373DCC">
              <w:rPr>
                <w:rFonts w:eastAsiaTheme="minorHAnsi" w:cs="Arial"/>
                <w:sz w:val="21"/>
                <w:vertAlign w:val="superscript"/>
              </w:rPr>
              <w:t xml:space="preserve"> b</w:t>
            </w:r>
          </w:p>
        </w:tc>
        <w:tc>
          <w:tcPr>
            <w:tcW w:w="283" w:type="pct"/>
            <w:tcBorders>
              <w:top w:val="single" w:sz="4" w:space="0" w:color="002C47"/>
              <w:left w:val="single" w:sz="4" w:space="0" w:color="002C47"/>
              <w:bottom w:val="single" w:sz="4" w:space="0" w:color="auto"/>
              <w:right w:val="single" w:sz="4" w:space="0" w:color="002C47"/>
            </w:tcBorders>
            <w:vAlign w:val="center"/>
            <w:hideMark/>
          </w:tcPr>
          <w:p w14:paraId="6165DBA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46 (39%)</w:t>
            </w:r>
          </w:p>
        </w:tc>
        <w:tc>
          <w:tcPr>
            <w:tcW w:w="264" w:type="pct"/>
            <w:tcBorders>
              <w:top w:val="single" w:sz="4" w:space="0" w:color="002C47"/>
              <w:left w:val="single" w:sz="4" w:space="0" w:color="002C47"/>
              <w:bottom w:val="single" w:sz="4" w:space="0" w:color="auto"/>
              <w:right w:val="single" w:sz="4" w:space="0" w:color="002C47"/>
            </w:tcBorders>
            <w:vAlign w:val="center"/>
            <w:hideMark/>
          </w:tcPr>
          <w:p w14:paraId="1BA9C45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57 (52%)</w:t>
            </w:r>
          </w:p>
        </w:tc>
      </w:tr>
      <w:tr w:rsidR="00F2350B" w:rsidRPr="00373DCC" w14:paraId="6A8FD409"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auto"/>
              <w:right w:val="single" w:sz="4" w:space="0" w:color="002C47"/>
            </w:tcBorders>
            <w:shd w:val="clear" w:color="auto" w:fill="C6D4E9"/>
            <w:vAlign w:val="center"/>
            <w:hideMark/>
          </w:tcPr>
          <w:p w14:paraId="300F2CDE" w14:textId="77777777" w:rsidR="00F2350B" w:rsidRPr="00373DCC" w:rsidRDefault="00F2350B" w:rsidP="00710B91">
            <w:pPr>
              <w:spacing w:before="0" w:after="0" w:line="240" w:lineRule="atLeast"/>
              <w:contextualSpacing/>
              <w:rPr>
                <w:rFonts w:eastAsiaTheme="minorHAnsi" w:cs="Arial"/>
                <w:b/>
                <w:sz w:val="21"/>
              </w:rPr>
            </w:pPr>
            <w:r w:rsidRPr="00373DCC">
              <w:rPr>
                <w:rFonts w:eastAsiaTheme="minorHAnsi" w:cs="Arial"/>
                <w:sz w:val="21"/>
              </w:rPr>
              <w:t>Total</w:t>
            </w:r>
            <w:r w:rsidRPr="00373DCC">
              <w:rPr>
                <w:rFonts w:eastAsiaTheme="minorHAnsi" w:cs="Arial"/>
                <w:b/>
                <w:sz w:val="21"/>
              </w:rPr>
              <w:t xml:space="preserve"> </w:t>
            </w:r>
            <w:r w:rsidRPr="00373DCC">
              <w:rPr>
                <w:rFonts w:eastAsiaTheme="minorHAnsi" w:cs="Arial"/>
                <w:sz w:val="21"/>
              </w:rPr>
              <w:t>applications</w:t>
            </w:r>
          </w:p>
        </w:tc>
        <w:tc>
          <w:tcPr>
            <w:tcW w:w="283" w:type="pct"/>
            <w:tcBorders>
              <w:top w:val="single" w:sz="4" w:space="0" w:color="002C47"/>
              <w:left w:val="single" w:sz="4" w:space="0" w:color="002C47"/>
              <w:bottom w:val="single" w:sz="4" w:space="0" w:color="auto"/>
              <w:right w:val="single" w:sz="4" w:space="0" w:color="002C47"/>
            </w:tcBorders>
            <w:shd w:val="clear" w:color="auto" w:fill="C6D4E9"/>
            <w:vAlign w:val="center"/>
            <w:hideMark/>
          </w:tcPr>
          <w:p w14:paraId="51391FF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117 (100%)</w:t>
            </w:r>
          </w:p>
        </w:tc>
        <w:tc>
          <w:tcPr>
            <w:tcW w:w="264" w:type="pct"/>
            <w:tcBorders>
              <w:top w:val="single" w:sz="4" w:space="0" w:color="002C47"/>
              <w:left w:val="single" w:sz="4" w:space="0" w:color="002C47"/>
              <w:bottom w:val="single" w:sz="4" w:space="0" w:color="auto"/>
              <w:right w:val="single" w:sz="4" w:space="0" w:color="002C47"/>
            </w:tcBorders>
            <w:shd w:val="clear" w:color="auto" w:fill="C6D4E9"/>
            <w:vAlign w:val="center"/>
            <w:hideMark/>
          </w:tcPr>
          <w:p w14:paraId="178BD5A5"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109 (100%)</w:t>
            </w:r>
          </w:p>
        </w:tc>
      </w:tr>
      <w:tr w:rsidR="00F2350B" w:rsidRPr="00373DCC" w14:paraId="77C7F9B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2AC646D8"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Applications completed</w:t>
            </w:r>
          </w:p>
        </w:tc>
        <w:tc>
          <w:tcPr>
            <w:tcW w:w="1664" w:type="pct"/>
            <w:tcBorders>
              <w:top w:val="nil"/>
              <w:left w:val="single" w:sz="4" w:space="0" w:color="auto"/>
              <w:bottom w:val="nil"/>
              <w:right w:val="nil"/>
            </w:tcBorders>
            <w:vAlign w:val="center"/>
          </w:tcPr>
          <w:p w14:paraId="1398A3B0" w14:textId="77777777" w:rsidR="00F2350B" w:rsidRPr="00373DCC" w:rsidRDefault="00F2350B" w:rsidP="00710B91">
            <w:pPr>
              <w:spacing w:before="0" w:after="0"/>
              <w:cnfStyle w:val="000000000000" w:firstRow="0" w:lastRow="0" w:firstColumn="0" w:lastColumn="0" w:oddVBand="0" w:evenVBand="0" w:oddHBand="0" w:evenHBand="0" w:firstRowFirstColumn="0" w:firstRowLastColumn="0" w:lastRowFirstColumn="0" w:lastRowLastColumn="0"/>
              <w:rPr>
                <w:rFonts w:cs="Arial"/>
                <w:sz w:val="21"/>
              </w:rPr>
            </w:pPr>
          </w:p>
        </w:tc>
        <w:tc>
          <w:tcPr>
            <w:tcW w:w="1664" w:type="pct"/>
            <w:tcBorders>
              <w:top w:val="single" w:sz="8" w:space="0" w:color="002C47"/>
              <w:left w:val="nil"/>
              <w:bottom w:val="single" w:sz="8" w:space="0" w:color="002C47"/>
              <w:right w:val="single" w:sz="8" w:space="0" w:color="002C47"/>
            </w:tcBorders>
            <w:vAlign w:val="center"/>
            <w:hideMark/>
          </w:tcPr>
          <w:p w14:paraId="61CC5AE5" w14:textId="77777777" w:rsidR="00F2350B" w:rsidRPr="00373DCC" w:rsidRDefault="00F2350B" w:rsidP="00ED1A1F">
            <w:pPr>
              <w:keepNext/>
              <w:keepLines/>
              <w:numPr>
                <w:ilvl w:val="0"/>
                <w:numId w:val="23"/>
              </w:numPr>
              <w:tabs>
                <w:tab w:val="left" w:pos="907"/>
                <w:tab w:val="left" w:pos="1134"/>
              </w:tabs>
              <w:spacing w:before="0" w:after="0" w:line="240" w:lineRule="atLeast"/>
              <w:ind w:left="0" w:hanging="907"/>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 (0%)</w:t>
            </w:r>
          </w:p>
        </w:tc>
      </w:tr>
      <w:tr w:rsidR="00F2350B" w:rsidRPr="00373DCC" w14:paraId="12569A73"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auto"/>
              <w:left w:val="single" w:sz="4" w:space="0" w:color="002C47"/>
              <w:bottom w:val="single" w:sz="4" w:space="0" w:color="002C47"/>
              <w:right w:val="single" w:sz="4" w:space="0" w:color="002C47"/>
            </w:tcBorders>
            <w:vAlign w:val="center"/>
            <w:hideMark/>
          </w:tcPr>
          <w:p w14:paraId="4DC43C0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Certified</w:t>
            </w:r>
          </w:p>
        </w:tc>
        <w:tc>
          <w:tcPr>
            <w:tcW w:w="283" w:type="pct"/>
            <w:tcBorders>
              <w:top w:val="single" w:sz="4" w:space="0" w:color="auto"/>
              <w:left w:val="single" w:sz="4" w:space="0" w:color="002C47"/>
              <w:bottom w:val="single" w:sz="4" w:space="0" w:color="002C47"/>
              <w:right w:val="single" w:sz="4" w:space="0" w:color="002C47"/>
            </w:tcBorders>
            <w:vAlign w:val="center"/>
            <w:hideMark/>
          </w:tcPr>
          <w:p w14:paraId="7C406C5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71 (60%)</w:t>
            </w:r>
          </w:p>
        </w:tc>
        <w:tc>
          <w:tcPr>
            <w:tcW w:w="264" w:type="pct"/>
            <w:tcBorders>
              <w:top w:val="single" w:sz="4" w:space="0" w:color="auto"/>
              <w:left w:val="single" w:sz="4" w:space="0" w:color="002C47"/>
              <w:bottom w:val="single" w:sz="4" w:space="0" w:color="002C47"/>
              <w:right w:val="single" w:sz="4" w:space="0" w:color="002C47"/>
            </w:tcBorders>
            <w:vAlign w:val="center"/>
            <w:hideMark/>
          </w:tcPr>
          <w:p w14:paraId="4E89AA4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124 (65%)</w:t>
            </w:r>
          </w:p>
        </w:tc>
      </w:tr>
      <w:tr w:rsidR="00F2350B" w:rsidRPr="00373DCC" w14:paraId="2314132E"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002C47"/>
              <w:right w:val="single" w:sz="4" w:space="0" w:color="002C47"/>
            </w:tcBorders>
            <w:vAlign w:val="center"/>
            <w:hideMark/>
          </w:tcPr>
          <w:p w14:paraId="1F6FDEC8"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Rejected</w:t>
            </w:r>
            <w:r w:rsidRPr="00373DCC">
              <w:rPr>
                <w:rFonts w:eastAsiaTheme="minorHAnsi" w:cs="Arial"/>
                <w:sz w:val="21"/>
                <w:vertAlign w:val="superscript"/>
              </w:rPr>
              <w:t xml:space="preserve"> c</w:t>
            </w:r>
          </w:p>
        </w:tc>
        <w:tc>
          <w:tcPr>
            <w:tcW w:w="283" w:type="pct"/>
            <w:tcBorders>
              <w:top w:val="single" w:sz="4" w:space="0" w:color="002C47"/>
              <w:left w:val="single" w:sz="4" w:space="0" w:color="002C47"/>
              <w:bottom w:val="single" w:sz="4" w:space="0" w:color="002C47"/>
              <w:right w:val="single" w:sz="4" w:space="0" w:color="002C47"/>
            </w:tcBorders>
            <w:vAlign w:val="center"/>
            <w:hideMark/>
          </w:tcPr>
          <w:p w14:paraId="21C2708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48 (40%)</w:t>
            </w:r>
          </w:p>
        </w:tc>
        <w:tc>
          <w:tcPr>
            <w:tcW w:w="264" w:type="pct"/>
            <w:tcBorders>
              <w:top w:val="single" w:sz="4" w:space="0" w:color="002C47"/>
              <w:left w:val="single" w:sz="4" w:space="0" w:color="002C47"/>
              <w:bottom w:val="single" w:sz="4" w:space="0" w:color="002C47"/>
              <w:right w:val="single" w:sz="4" w:space="0" w:color="002C47"/>
            </w:tcBorders>
            <w:vAlign w:val="center"/>
            <w:hideMark/>
          </w:tcPr>
          <w:p w14:paraId="3B64BF8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68 (35%)</w:t>
            </w:r>
          </w:p>
        </w:tc>
      </w:tr>
      <w:tr w:rsidR="00F2350B" w:rsidRPr="00373DCC" w14:paraId="511B6C46"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54309896" w14:textId="77777777" w:rsidR="00F2350B" w:rsidRPr="00373DCC" w:rsidRDefault="00F2350B" w:rsidP="00710B91">
            <w:pPr>
              <w:tabs>
                <w:tab w:val="center" w:pos="3084"/>
              </w:tabs>
              <w:spacing w:before="0" w:after="0" w:line="240" w:lineRule="atLeast"/>
              <w:contextualSpacing/>
              <w:rPr>
                <w:rFonts w:eastAsiaTheme="minorHAnsi" w:cs="Arial"/>
                <w:sz w:val="21"/>
              </w:rPr>
            </w:pPr>
            <w:r w:rsidRPr="00373DCC">
              <w:rPr>
                <w:rFonts w:eastAsiaTheme="minorHAnsi" w:cs="Arial"/>
                <w:sz w:val="21"/>
              </w:rPr>
              <w:t>Total completed</w:t>
            </w:r>
            <w:r w:rsidRPr="00373DCC">
              <w:rPr>
                <w:rFonts w:eastAsiaTheme="minorHAnsi" w:cs="Arial"/>
                <w:sz w:val="21"/>
              </w:rPr>
              <w:tab/>
            </w:r>
          </w:p>
        </w:tc>
        <w:tc>
          <w:tcPr>
            <w:tcW w:w="283"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675A9A4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119 (100%)</w:t>
            </w:r>
          </w:p>
        </w:tc>
        <w:tc>
          <w:tcPr>
            <w:tcW w:w="264"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19DD128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192 (100%)</w:t>
            </w:r>
          </w:p>
        </w:tc>
      </w:tr>
    </w:tbl>
    <w:p w14:paraId="2415A6FA" w14:textId="77777777" w:rsidR="00F2350B" w:rsidRPr="00373DCC" w:rsidRDefault="00F2350B" w:rsidP="00F2350B">
      <w:pPr>
        <w:spacing w:before="0" w:after="0" w:line="240" w:lineRule="auto"/>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As at 30 June 2023, there were 148 overseas manufacturers covering 178 manufacturing sites that are subject to TGA inspection.</w:t>
      </w:r>
    </w:p>
    <w:p w14:paraId="6DB38DB9" w14:textId="77777777" w:rsidR="00F2350B" w:rsidRPr="00373DCC" w:rsidRDefault="00F2350B" w:rsidP="00F2350B">
      <w:pPr>
        <w:spacing w:before="0" w:after="0" w:line="240" w:lineRule="auto"/>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Refers to applications that generated an inspection, undertaken by the TGA.</w:t>
      </w:r>
    </w:p>
    <w:p w14:paraId="1C50E84C"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c</w:t>
      </w:r>
      <w:r w:rsidRPr="00373DCC">
        <w:rPr>
          <w:rFonts w:eastAsia="Cambria" w:cs="Arial"/>
          <w:sz w:val="16"/>
          <w:szCs w:val="16"/>
        </w:rPr>
        <w:t xml:space="preserve"> Rejections include withdrawn applications and applications that were submitted where an inspection was not required.</w:t>
      </w:r>
    </w:p>
    <w:p w14:paraId="66EC6946" w14:textId="77777777" w:rsidR="00F2350B" w:rsidRPr="00373DCC" w:rsidRDefault="00F2350B" w:rsidP="00F2350B">
      <w:pPr>
        <w:keepNext/>
        <w:spacing w:before="240" w:after="120" w:line="240" w:lineRule="auto"/>
        <w:rPr>
          <w:rFonts w:eastAsia="Cambria" w:cs="Arial"/>
          <w:b/>
          <w:bCs/>
          <w:sz w:val="21"/>
          <w:szCs w:val="21"/>
        </w:rPr>
      </w:pPr>
      <w:bookmarkStart w:id="227" w:name="Table63"/>
      <w:r w:rsidRPr="00373DCC">
        <w:rPr>
          <w:rFonts w:eastAsia="Cambria" w:cs="Arial"/>
          <w:b/>
          <w:sz w:val="21"/>
          <w:szCs w:val="21"/>
        </w:rPr>
        <w:t xml:space="preserve">Table </w:t>
      </w:r>
      <w:r w:rsidRPr="00373DCC">
        <w:rPr>
          <w:rFonts w:eastAsia="Cambria" w:cs="Arial"/>
          <w:b/>
          <w:bCs/>
          <w:sz w:val="21"/>
          <w:szCs w:val="21"/>
        </w:rPr>
        <w:t>63:</w:t>
      </w:r>
      <w:r w:rsidRPr="00373DCC">
        <w:rPr>
          <w:rFonts w:eastAsia="Cambria" w:cs="Arial"/>
          <w:b/>
          <w:sz w:val="21"/>
          <w:szCs w:val="21"/>
        </w:rPr>
        <w:t xml:space="preserve"> Outcomes of inspections of overseas manufacturers</w:t>
      </w:r>
    </w:p>
    <w:tbl>
      <w:tblPr>
        <w:tblW w:w="9106" w:type="dxa"/>
        <w:tblInd w:w="108" w:type="dxa"/>
        <w:tblLook w:val="04A0" w:firstRow="1" w:lastRow="0" w:firstColumn="1" w:lastColumn="0" w:noHBand="0" w:noVBand="1"/>
      </w:tblPr>
      <w:tblGrid>
        <w:gridCol w:w="5988"/>
        <w:gridCol w:w="1558"/>
        <w:gridCol w:w="1560"/>
      </w:tblGrid>
      <w:tr w:rsidR="00507827" w:rsidRPr="00373DCC" w14:paraId="44C233D8" w14:textId="77777777" w:rsidTr="00C42FB4">
        <w:trPr>
          <w:trHeight w:val="340"/>
        </w:trPr>
        <w:tc>
          <w:tcPr>
            <w:tcW w:w="5988" w:type="dxa"/>
            <w:vMerge w:val="restart"/>
            <w:tcBorders>
              <w:top w:val="nil"/>
              <w:left w:val="nil"/>
              <w:right w:val="single" w:sz="4" w:space="0" w:color="auto"/>
            </w:tcBorders>
            <w:vAlign w:val="center"/>
            <w:hideMark/>
          </w:tcPr>
          <w:bookmarkEnd w:id="227"/>
          <w:p w14:paraId="168F8F14" w14:textId="353C1B95" w:rsidR="00507827" w:rsidRPr="00373DCC" w:rsidRDefault="00507827" w:rsidP="00710B91">
            <w:pPr>
              <w:spacing w:before="0" w:after="0" w:line="240" w:lineRule="auto"/>
              <w:rPr>
                <w:rFonts w:eastAsia="Cambria" w:cs="Arial"/>
                <w:sz w:val="21"/>
                <w:szCs w:val="21"/>
              </w:rPr>
            </w:pPr>
            <w:r w:rsidRPr="00373DCC">
              <w:rPr>
                <w:rFonts w:eastAsia="Times New Roman" w:cs="Arial"/>
                <w:color w:val="FFFFFF"/>
                <w:sz w:val="21"/>
                <w:szCs w:val="21"/>
                <w:lang w:eastAsia="en-AU"/>
              </w:rPr>
              <w:t> </w:t>
            </w:r>
          </w:p>
        </w:tc>
        <w:tc>
          <w:tcPr>
            <w:tcW w:w="1558" w:type="dxa"/>
            <w:tcBorders>
              <w:top w:val="single" w:sz="4" w:space="0" w:color="auto"/>
              <w:left w:val="single" w:sz="4" w:space="0" w:color="auto"/>
              <w:bottom w:val="single" w:sz="4" w:space="0" w:color="auto"/>
              <w:right w:val="single" w:sz="4" w:space="0" w:color="auto"/>
            </w:tcBorders>
            <w:shd w:val="clear" w:color="auto" w:fill="29527F"/>
            <w:vAlign w:val="center"/>
            <w:hideMark/>
          </w:tcPr>
          <w:p w14:paraId="1C70B448" w14:textId="6D64B898" w:rsidR="00507827" w:rsidRPr="00507827" w:rsidRDefault="00507827" w:rsidP="00507827">
            <w:pPr>
              <w:spacing w:before="0" w:after="0" w:line="240" w:lineRule="auto"/>
              <w:jc w:val="center"/>
              <w:rPr>
                <w:rFonts w:eastAsia="Times New Roman" w:cs="Arial"/>
                <w:b/>
                <w:bCs/>
                <w:color w:val="000000"/>
                <w:sz w:val="21"/>
                <w:szCs w:val="21"/>
                <w:lang w:eastAsia="en-AU"/>
              </w:rPr>
            </w:pPr>
            <w:r w:rsidRPr="00507827">
              <w:rPr>
                <w:rFonts w:cs="Arial"/>
                <w:b/>
                <w:bCs/>
                <w:color w:val="FFFFFF" w:themeColor="background1"/>
                <w:sz w:val="21"/>
              </w:rPr>
              <w:t>FY 2021-22</w:t>
            </w:r>
          </w:p>
        </w:tc>
        <w:tc>
          <w:tcPr>
            <w:tcW w:w="1560" w:type="dxa"/>
            <w:tcBorders>
              <w:top w:val="single" w:sz="4" w:space="0" w:color="auto"/>
              <w:left w:val="single" w:sz="4" w:space="0" w:color="auto"/>
              <w:bottom w:val="single" w:sz="4" w:space="0" w:color="auto"/>
              <w:right w:val="single" w:sz="4" w:space="0" w:color="auto"/>
            </w:tcBorders>
            <w:shd w:val="clear" w:color="auto" w:fill="29527F"/>
            <w:vAlign w:val="center"/>
            <w:hideMark/>
          </w:tcPr>
          <w:p w14:paraId="2AC0E29C" w14:textId="4F19DDFA" w:rsidR="00507827" w:rsidRPr="00507827" w:rsidRDefault="00507827" w:rsidP="00507827">
            <w:pPr>
              <w:spacing w:before="0" w:after="0" w:line="240" w:lineRule="auto"/>
              <w:jc w:val="center"/>
              <w:rPr>
                <w:rFonts w:eastAsia="Times New Roman" w:cs="Arial"/>
                <w:b/>
                <w:bCs/>
                <w:color w:val="000000"/>
                <w:sz w:val="21"/>
                <w:szCs w:val="21"/>
                <w:lang w:eastAsia="en-AU"/>
              </w:rPr>
            </w:pPr>
            <w:r w:rsidRPr="00507827">
              <w:rPr>
                <w:rFonts w:cs="Arial"/>
                <w:b/>
                <w:bCs/>
                <w:color w:val="FFFFFF" w:themeColor="background1"/>
                <w:sz w:val="21"/>
              </w:rPr>
              <w:t>FY 2022-23</w:t>
            </w:r>
          </w:p>
        </w:tc>
      </w:tr>
      <w:tr w:rsidR="00507827" w:rsidRPr="00373DCC" w14:paraId="742F75B1" w14:textId="77777777" w:rsidTr="00C42FB4">
        <w:trPr>
          <w:trHeight w:val="340"/>
        </w:trPr>
        <w:tc>
          <w:tcPr>
            <w:tcW w:w="5988" w:type="dxa"/>
            <w:vMerge/>
            <w:tcBorders>
              <w:left w:val="nil"/>
              <w:bottom w:val="single" w:sz="4" w:space="0" w:color="auto"/>
              <w:right w:val="single" w:sz="4" w:space="0" w:color="auto"/>
            </w:tcBorders>
            <w:vAlign w:val="center"/>
            <w:hideMark/>
          </w:tcPr>
          <w:p w14:paraId="42ED35C4" w14:textId="1E0EB4D5" w:rsidR="00507827" w:rsidRPr="00373DCC" w:rsidRDefault="00507827" w:rsidP="00710B91">
            <w:pPr>
              <w:spacing w:before="0" w:after="0" w:line="240" w:lineRule="auto"/>
              <w:rPr>
                <w:rFonts w:eastAsia="Times New Roman" w:cs="Arial"/>
                <w:color w:val="FFFFFF"/>
                <w:sz w:val="21"/>
                <w:szCs w:val="21"/>
                <w:lang w:eastAsia="en-AU"/>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C6D4E9"/>
            <w:vAlign w:val="center"/>
            <w:hideMark/>
          </w:tcPr>
          <w:p w14:paraId="21347313" w14:textId="77777777" w:rsidR="00507827" w:rsidRPr="005C7371" w:rsidRDefault="00507827" w:rsidP="00710B91">
            <w:pPr>
              <w:spacing w:before="0" w:after="0" w:line="240" w:lineRule="auto"/>
              <w:jc w:val="center"/>
              <w:rPr>
                <w:rFonts w:eastAsia="Times New Roman" w:cs="Arial"/>
                <w:color w:val="000000"/>
                <w:sz w:val="21"/>
                <w:szCs w:val="21"/>
                <w:lang w:eastAsia="en-AU"/>
              </w:rPr>
            </w:pPr>
            <w:r w:rsidRPr="005C7371">
              <w:rPr>
                <w:rFonts w:eastAsia="Times New Roman" w:cs="Arial"/>
                <w:color w:val="000000"/>
                <w:sz w:val="21"/>
                <w:szCs w:val="21"/>
                <w:lang w:eastAsia="en-AU"/>
              </w:rPr>
              <w:t>Number (% of Total)</w:t>
            </w:r>
          </w:p>
        </w:tc>
      </w:tr>
      <w:tr w:rsidR="00F2350B" w:rsidRPr="00373DCC" w14:paraId="63E412F5" w14:textId="77777777" w:rsidTr="00710B91">
        <w:trPr>
          <w:trHeight w:val="340"/>
        </w:trPr>
        <w:tc>
          <w:tcPr>
            <w:tcW w:w="9106" w:type="dxa"/>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5BC306A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Inspection status (overseas)</w:t>
            </w:r>
          </w:p>
        </w:tc>
      </w:tr>
      <w:tr w:rsidR="00F2350B" w:rsidRPr="00373DCC" w14:paraId="48B5C376"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3FB8215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Number of inspections conducted</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5E4B6E4"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Times New Roman" w:cs="Arial"/>
                <w:sz w:val="21"/>
                <w:szCs w:val="21"/>
                <w:lang w:eastAsia="en-AU"/>
              </w:rPr>
              <w:t>104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4914F6"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Times New Roman" w:cs="Arial"/>
                <w:sz w:val="21"/>
                <w:szCs w:val="21"/>
                <w:lang w:eastAsia="en-AU"/>
              </w:rPr>
              <w:t>118</w:t>
            </w:r>
          </w:p>
        </w:tc>
      </w:tr>
      <w:tr w:rsidR="00F2350B" w:rsidRPr="00373DCC" w14:paraId="2917D782"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00185227"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Satisfactory compliance (of completed inspections)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01442D6"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80 (77%)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4ED13"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85 (72%)</w:t>
            </w:r>
          </w:p>
        </w:tc>
      </w:tr>
      <w:tr w:rsidR="00F2350B" w:rsidRPr="00373DCC" w14:paraId="771F2BBF"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12B35565"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Marginal compliance (of completed inspections)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4DFBBE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17 (16%)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7D626"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20 (17%)</w:t>
            </w:r>
          </w:p>
        </w:tc>
      </w:tr>
      <w:tr w:rsidR="00F2350B" w:rsidRPr="00373DCC" w14:paraId="1037A613"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01DE2438"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Unacceptable (of completed inspections)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2202620"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2 (2%)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372CA"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0 (0%)</w:t>
            </w:r>
          </w:p>
        </w:tc>
      </w:tr>
      <w:tr w:rsidR="00F2350B" w:rsidRPr="00373DCC" w14:paraId="49652A4C"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41EACF97"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Compliance under assessment at period end</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2A9F88"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5 (0%)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70FC7"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13 (11%)</w:t>
            </w:r>
          </w:p>
        </w:tc>
      </w:tr>
      <w:tr w:rsidR="00F2350B" w:rsidRPr="00373DCC" w14:paraId="318FBA47" w14:textId="77777777" w:rsidTr="00710B91">
        <w:trPr>
          <w:trHeight w:val="340"/>
        </w:trPr>
        <w:tc>
          <w:tcPr>
            <w:tcW w:w="9106" w:type="dxa"/>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91479C1" w14:textId="77777777" w:rsidR="00F2350B" w:rsidRPr="00373DCC" w:rsidRDefault="00F2350B" w:rsidP="00710B91">
            <w:pPr>
              <w:spacing w:before="0" w:after="0" w:line="240" w:lineRule="auto"/>
              <w:rPr>
                <w:rFonts w:eastAsia="Times New Roman" w:cs="Arial"/>
                <w:bCs/>
                <w:color w:val="000000"/>
                <w:sz w:val="21"/>
                <w:szCs w:val="21"/>
                <w:lang w:eastAsia="en-AU"/>
              </w:rPr>
            </w:pPr>
            <w:r w:rsidRPr="00373DCC">
              <w:rPr>
                <w:rFonts w:eastAsia="Times New Roman" w:cs="Arial"/>
                <w:bCs/>
                <w:color w:val="000000"/>
                <w:sz w:val="21"/>
                <w:szCs w:val="21"/>
                <w:lang w:eastAsia="en-AU"/>
              </w:rPr>
              <w:t>Processing time</w:t>
            </w:r>
          </w:p>
        </w:tc>
      </w:tr>
      <w:tr w:rsidR="00F2350B" w:rsidRPr="00373DCC" w14:paraId="67BC8994"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71EA1579"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Initial certification inspections conducted within 6 months of application</w:t>
            </w:r>
            <w:r w:rsidRPr="00373DCC">
              <w:rPr>
                <w:rFonts w:eastAsia="Times New Roman" w:cs="Arial"/>
                <w:sz w:val="21"/>
                <w:szCs w:val="21"/>
                <w:vertAlign w:val="superscript"/>
                <w:lang w:eastAsia="en-AU"/>
              </w:rPr>
              <w:t xml:space="preserve"> </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46C170"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8 of 37 (22%)</w:t>
            </w:r>
            <w:r w:rsidRPr="00373DCC">
              <w:rPr>
                <w:rFonts w:eastAsia="Times New Roman" w:cs="Arial"/>
                <w:sz w:val="21"/>
                <w:szCs w:val="21"/>
                <w:vertAlign w:val="superscript"/>
                <w:lang w:eastAsia="en-AU"/>
              </w:rPr>
              <w:t>a</w:t>
            </w:r>
            <w:r w:rsidRPr="00373DCC">
              <w:rPr>
                <w:rFonts w:eastAsia="Cambria" w:cs="Arial"/>
                <w:sz w:val="21"/>
                <w:szCs w:val="21"/>
                <w:vertAlign w:val="superscript"/>
                <w:lang w:eastAsia="en-AU"/>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7B08C"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9 of 33 (27%)</w:t>
            </w:r>
            <w:r w:rsidRPr="00373DCC">
              <w:rPr>
                <w:rFonts w:eastAsia="Cambria" w:cs="Arial"/>
                <w:sz w:val="21"/>
                <w:szCs w:val="21"/>
                <w:vertAlign w:val="superscript"/>
                <w:lang w:eastAsia="en-AU"/>
              </w:rPr>
              <w:t>b</w:t>
            </w:r>
            <w:r w:rsidRPr="00373DCC">
              <w:rPr>
                <w:rFonts w:eastAsia="Cambria" w:cs="Arial"/>
                <w:sz w:val="21"/>
                <w:szCs w:val="21"/>
                <w:lang w:eastAsia="en-AU"/>
              </w:rPr>
              <w:t xml:space="preserve"> </w:t>
            </w:r>
          </w:p>
        </w:tc>
      </w:tr>
      <w:tr w:rsidR="00F2350B" w:rsidRPr="00373DCC" w14:paraId="76D26CF7" w14:textId="77777777" w:rsidTr="00710B91">
        <w:trPr>
          <w:trHeight w:val="340"/>
        </w:trPr>
        <w:tc>
          <w:tcPr>
            <w:tcW w:w="5988" w:type="dxa"/>
            <w:tcBorders>
              <w:top w:val="single" w:sz="4" w:space="0" w:color="auto"/>
              <w:left w:val="single" w:sz="4" w:space="0" w:color="auto"/>
              <w:bottom w:val="single" w:sz="4" w:space="0" w:color="auto"/>
              <w:right w:val="single" w:sz="4" w:space="0" w:color="auto"/>
            </w:tcBorders>
            <w:vAlign w:val="center"/>
            <w:hideMark/>
          </w:tcPr>
          <w:p w14:paraId="46F6DEBD" w14:textId="77777777" w:rsidR="00F2350B" w:rsidRPr="00373DCC" w:rsidRDefault="00F2350B" w:rsidP="00710B91">
            <w:pPr>
              <w:spacing w:before="0" w:after="0" w:line="240" w:lineRule="auto"/>
              <w:rPr>
                <w:rFonts w:eastAsia="Times New Roman" w:cs="Arial"/>
                <w:color w:val="000000"/>
                <w:sz w:val="21"/>
                <w:szCs w:val="21"/>
                <w:lang w:eastAsia="en-AU"/>
              </w:rPr>
            </w:pPr>
            <w:r w:rsidRPr="00373DCC">
              <w:rPr>
                <w:rFonts w:eastAsia="Times New Roman" w:cs="Arial"/>
                <w:color w:val="000000"/>
                <w:sz w:val="21"/>
                <w:szCs w:val="21"/>
                <w:lang w:eastAsia="en-AU"/>
              </w:rPr>
              <w:t>Certification re-inspections conducted within 6 months of due date</w:t>
            </w:r>
            <w:r w:rsidRPr="00373DCC">
              <w:rPr>
                <w:rFonts w:eastAsia="Times New Roman" w:cs="Arial"/>
                <w:sz w:val="21"/>
                <w:szCs w:val="21"/>
                <w:vertAlign w:val="superscript"/>
                <w:lang w:eastAsia="en-AU"/>
              </w:rPr>
              <w:t xml:space="preserve"> </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7CBD427" w14:textId="77777777" w:rsidR="00F2350B" w:rsidRPr="00373DCC" w:rsidRDefault="00F2350B" w:rsidP="00710B91">
            <w:pPr>
              <w:spacing w:before="0" w:after="0" w:line="240" w:lineRule="auto"/>
              <w:jc w:val="right"/>
              <w:rPr>
                <w:rFonts w:eastAsia="Times New Roman" w:cs="Arial"/>
                <w:sz w:val="21"/>
                <w:szCs w:val="21"/>
                <w:lang w:eastAsia="en-AU"/>
              </w:rPr>
            </w:pPr>
            <w:r w:rsidRPr="00373DCC">
              <w:rPr>
                <w:rFonts w:eastAsia="Cambria" w:cs="Arial"/>
                <w:sz w:val="21"/>
                <w:szCs w:val="21"/>
                <w:lang w:eastAsia="en-AU"/>
              </w:rPr>
              <w:t xml:space="preserve">2 of 66 (3%) </w:t>
            </w:r>
            <w:r w:rsidRPr="00373DCC">
              <w:rPr>
                <w:rFonts w:eastAsia="Cambria" w:cs="Arial"/>
                <w:sz w:val="21"/>
                <w:szCs w:val="21"/>
                <w:vertAlign w:val="superscript"/>
                <w:lang w:eastAsia="en-AU"/>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68754" w14:textId="77777777" w:rsidR="00F2350B" w:rsidRPr="00373DCC" w:rsidRDefault="00F2350B" w:rsidP="00710B91">
            <w:pPr>
              <w:spacing w:before="0" w:after="0" w:line="240" w:lineRule="auto"/>
              <w:jc w:val="right"/>
              <w:rPr>
                <w:rFonts w:eastAsia="Times New Roman" w:cs="Arial"/>
                <w:color w:val="000000"/>
                <w:sz w:val="21"/>
                <w:szCs w:val="21"/>
                <w:lang w:eastAsia="en-AU"/>
              </w:rPr>
            </w:pPr>
            <w:r w:rsidRPr="00373DCC">
              <w:rPr>
                <w:rFonts w:eastAsia="Cambria" w:cs="Arial"/>
                <w:sz w:val="21"/>
                <w:szCs w:val="21"/>
                <w:lang w:eastAsia="en-AU"/>
              </w:rPr>
              <w:t xml:space="preserve">4 of 66 (6%) </w:t>
            </w:r>
          </w:p>
        </w:tc>
      </w:tr>
    </w:tbl>
    <w:p w14:paraId="01AB3C91" w14:textId="77777777" w:rsidR="00F2350B" w:rsidRPr="00373DCC" w:rsidRDefault="00F2350B" w:rsidP="00F2350B">
      <w:pPr>
        <w:spacing w:before="0" w:after="0" w:line="0" w:lineRule="atLeast"/>
        <w:ind w:left="142"/>
        <w:rPr>
          <w:rFonts w:eastAsia="Segoe UI Semilight" w:cs="Arial"/>
          <w:sz w:val="16"/>
          <w:szCs w:val="16"/>
        </w:rPr>
      </w:pPr>
      <w:r w:rsidRPr="00373DCC">
        <w:rPr>
          <w:rFonts w:eastAsia="Segoe UI Semilight" w:cs="Arial"/>
          <w:sz w:val="16"/>
          <w:szCs w:val="16"/>
          <w:vertAlign w:val="superscript"/>
        </w:rPr>
        <w:t>a</w:t>
      </w:r>
      <w:r w:rsidRPr="00373DCC">
        <w:rPr>
          <w:rFonts w:eastAsia="Segoe UI Semilight" w:cs="Arial"/>
          <w:sz w:val="16"/>
          <w:szCs w:val="16"/>
        </w:rPr>
        <w:t xml:space="preserve"> Twenty-nine overseas initial inspections did not achieve the six-month processing timeframe due to manufacturers not being ready for inspection.</w:t>
      </w:r>
    </w:p>
    <w:p w14:paraId="213F2B78" w14:textId="77777777" w:rsidR="00F2350B" w:rsidRPr="00373DCC" w:rsidRDefault="00F2350B" w:rsidP="00F2350B">
      <w:pPr>
        <w:spacing w:before="0" w:after="0" w:line="0" w:lineRule="atLeast"/>
        <w:ind w:left="142"/>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The 2022-23 data do not include inspections that were delayed at the request of the manufacturer.</w:t>
      </w:r>
    </w:p>
    <w:p w14:paraId="0F735531" w14:textId="77777777" w:rsidR="00F2350B" w:rsidRPr="00373DCC" w:rsidRDefault="00F2350B" w:rsidP="00F2350B">
      <w:pPr>
        <w:rPr>
          <w:rFonts w:eastAsia="Times New Roman" w:cs="Arial"/>
          <w:bCs/>
          <w:color w:val="29527F"/>
          <w:szCs w:val="22"/>
          <w:lang w:val="en"/>
          <w14:textFill>
            <w14:solidFill>
              <w14:srgbClr w14:val="29527F">
                <w14:lumMod w14:val="90000"/>
                <w14:lumOff w14:val="10000"/>
              </w14:srgbClr>
            </w14:solidFill>
          </w14:textFill>
        </w:rPr>
      </w:pPr>
      <w:r w:rsidRPr="00373DCC">
        <w:rPr>
          <w:rFonts w:cs="Arial"/>
          <w:szCs w:val="22"/>
        </w:rPr>
        <w:br w:type="page"/>
      </w:r>
    </w:p>
    <w:p w14:paraId="569804ED" w14:textId="77777777" w:rsidR="00F2350B" w:rsidRPr="00373DCC" w:rsidRDefault="00F2350B" w:rsidP="00B633E2">
      <w:pPr>
        <w:pStyle w:val="Heading3-numbered"/>
        <w:numPr>
          <w:ilvl w:val="1"/>
          <w:numId w:val="32"/>
        </w:numPr>
        <w:rPr>
          <w:rFonts w:ascii="Arial" w:hAnsi="Arial" w:cs="Arial"/>
        </w:rPr>
      </w:pPr>
      <w:bookmarkStart w:id="228" w:name="_Toc153550491"/>
      <w:r w:rsidRPr="00373DCC">
        <w:rPr>
          <w:rFonts w:ascii="Arial" w:hAnsi="Arial" w:cs="Arial"/>
        </w:rPr>
        <w:lastRenderedPageBreak/>
        <w:t>Good Manufacturing Practice (GMP) clearances</w:t>
      </w:r>
      <w:bookmarkEnd w:id="228"/>
    </w:p>
    <w:p w14:paraId="2101E6EB" w14:textId="77777777" w:rsidR="00F2350B" w:rsidRPr="00373DCC" w:rsidRDefault="00F2350B" w:rsidP="00F2350B">
      <w:pPr>
        <w:keepNext/>
        <w:spacing w:before="0" w:after="0" w:line="240" w:lineRule="auto"/>
        <w:rPr>
          <w:rFonts w:eastAsia="Cambria" w:cs="Arial"/>
          <w:b/>
          <w:bCs/>
          <w:sz w:val="21"/>
          <w:szCs w:val="21"/>
        </w:rPr>
      </w:pPr>
      <w:bookmarkStart w:id="229" w:name="Table64"/>
      <w:r w:rsidRPr="00373DCC">
        <w:rPr>
          <w:rFonts w:eastAsia="Cambria" w:cs="Arial"/>
          <w:b/>
          <w:bCs/>
          <w:sz w:val="21"/>
          <w:szCs w:val="21"/>
        </w:rPr>
        <w:t>Table 64: GMP clearance application status</w:t>
      </w:r>
    </w:p>
    <w:p w14:paraId="610491A5" w14:textId="77777777" w:rsidR="00F2350B" w:rsidRPr="00373DCC" w:rsidRDefault="00F2350B" w:rsidP="00F2350B">
      <w:pPr>
        <w:keepNext/>
        <w:spacing w:before="0" w:after="0" w:line="240" w:lineRule="auto"/>
        <w:rPr>
          <w:rFonts w:eastAsia="Cambria" w:cs="Arial"/>
          <w:b/>
          <w:bCs/>
          <w:sz w:val="21"/>
          <w:szCs w:val="21"/>
        </w:rPr>
      </w:pPr>
    </w:p>
    <w:bookmarkEnd w:id="229"/>
    <w:tbl>
      <w:tblPr>
        <w:tblStyle w:val="TableTGAblue"/>
        <w:tblW w:w="14953" w:type="pct"/>
        <w:tblLook w:val="04A0" w:firstRow="1" w:lastRow="0" w:firstColumn="1" w:lastColumn="0" w:noHBand="0" w:noVBand="1"/>
      </w:tblPr>
      <w:tblGrid>
        <w:gridCol w:w="5952"/>
        <w:gridCol w:w="1527"/>
        <w:gridCol w:w="1543"/>
        <w:gridCol w:w="8978"/>
        <w:gridCol w:w="8978"/>
      </w:tblGrid>
      <w:tr w:rsidR="00507827" w:rsidRPr="00373DCC" w14:paraId="1330BE00" w14:textId="77777777" w:rsidTr="009315F6">
        <w:trPr>
          <w:gridAfter w:val="2"/>
          <w:cnfStyle w:val="100000000000" w:firstRow="1" w:lastRow="0" w:firstColumn="0" w:lastColumn="0" w:oddVBand="0" w:evenVBand="0" w:oddHBand="0" w:evenHBand="0" w:firstRowFirstColumn="0" w:firstRowLastColumn="0" w:lastRowFirstColumn="0" w:lastRowLastColumn="0"/>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vMerge w:val="restart"/>
            <w:tcBorders>
              <w:top w:val="nil"/>
              <w:left w:val="nil"/>
              <w:right w:val="single" w:sz="4" w:space="0" w:color="auto"/>
            </w:tcBorders>
            <w:shd w:val="clear" w:color="auto" w:fill="FFFFFF" w:themeFill="background1"/>
            <w:vAlign w:val="center"/>
          </w:tcPr>
          <w:p w14:paraId="075463B3" w14:textId="77777777" w:rsidR="00507827" w:rsidRPr="00373DCC" w:rsidRDefault="00507827" w:rsidP="00507827">
            <w:pPr>
              <w:widowControl w:val="0"/>
              <w:spacing w:before="0" w:after="0" w:line="240" w:lineRule="atLeast"/>
              <w:contextualSpacing/>
              <w:jc w:val="center"/>
              <w:rPr>
                <w:rFonts w:eastAsiaTheme="minorHAnsi" w:cs="Arial"/>
                <w:color w:val="FFFFFF" w:themeColor="background1"/>
                <w:sz w:val="21"/>
              </w:rPr>
            </w:pPr>
          </w:p>
        </w:tc>
        <w:tc>
          <w:tcPr>
            <w:tcW w:w="283"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4B818E10" w14:textId="060B8767" w:rsidR="00507827" w:rsidRPr="00373DCC" w:rsidRDefault="00507827" w:rsidP="00507827">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286"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4433D2F4" w14:textId="1EE8DC4F" w:rsidR="00507827" w:rsidRPr="00373DCC" w:rsidRDefault="00507827" w:rsidP="00507827">
            <w:pPr>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vertAlign w:val="superscript"/>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507827" w:rsidRPr="00373DCC" w14:paraId="7570AB9D" w14:textId="77777777" w:rsidTr="009315F6">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vMerge/>
            <w:tcBorders>
              <w:left w:val="nil"/>
              <w:bottom w:val="single" w:sz="4" w:space="0" w:color="002C47"/>
              <w:right w:val="single" w:sz="4" w:space="0" w:color="auto"/>
            </w:tcBorders>
            <w:vAlign w:val="center"/>
          </w:tcPr>
          <w:p w14:paraId="025FFBFB" w14:textId="77777777" w:rsidR="00507827" w:rsidRPr="00373DCC" w:rsidRDefault="00507827" w:rsidP="00710B91">
            <w:pPr>
              <w:widowControl w:val="0"/>
              <w:spacing w:before="0" w:after="0" w:line="240" w:lineRule="atLeast"/>
              <w:contextualSpacing/>
              <w:rPr>
                <w:rFonts w:eastAsiaTheme="minorHAnsi" w:cs="Arial"/>
                <w:color w:val="FFFFFF" w:themeColor="background1"/>
                <w:sz w:val="21"/>
              </w:rPr>
            </w:pPr>
          </w:p>
        </w:tc>
        <w:tc>
          <w:tcPr>
            <w:tcW w:w="569" w:type="pct"/>
            <w:gridSpan w:val="2"/>
            <w:tcBorders>
              <w:top w:val="single" w:sz="4" w:space="0" w:color="002C47"/>
              <w:left w:val="single" w:sz="4" w:space="0" w:color="auto"/>
              <w:bottom w:val="single" w:sz="4" w:space="0" w:color="002C47"/>
              <w:right w:val="single" w:sz="4" w:space="0" w:color="002C47"/>
            </w:tcBorders>
            <w:shd w:val="clear" w:color="auto" w:fill="C6D4E9"/>
            <w:vAlign w:val="center"/>
            <w:hideMark/>
          </w:tcPr>
          <w:p w14:paraId="37529025" w14:textId="77777777" w:rsidR="00507827" w:rsidRPr="005C7371" w:rsidRDefault="00507827" w:rsidP="00710B91">
            <w:pPr>
              <w:widowControl w:val="0"/>
              <w:spacing w:before="0" w:after="0"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eastAsiaTheme="minorHAnsi" w:cs="Arial"/>
                <w:bCs/>
                <w:sz w:val="21"/>
              </w:rPr>
            </w:pPr>
            <w:r w:rsidRPr="005C7371">
              <w:rPr>
                <w:rFonts w:eastAsiaTheme="minorHAnsi" w:cs="Arial"/>
                <w:bCs/>
                <w:sz w:val="21"/>
              </w:rPr>
              <w:t>Number (% of Total completed)</w:t>
            </w:r>
          </w:p>
        </w:tc>
      </w:tr>
      <w:tr w:rsidR="00F2350B" w:rsidRPr="00373DCC" w14:paraId="04C2CE01" w14:textId="77777777" w:rsidTr="00507827">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tcBorders>
              <w:top w:val="single" w:sz="4" w:space="0" w:color="002C47"/>
              <w:left w:val="single" w:sz="4" w:space="0" w:color="002C47"/>
              <w:bottom w:val="single" w:sz="8" w:space="0" w:color="auto"/>
              <w:right w:val="single" w:sz="4" w:space="0" w:color="002C47"/>
            </w:tcBorders>
            <w:shd w:val="clear" w:color="auto" w:fill="8CADD3"/>
            <w:vAlign w:val="center"/>
            <w:hideMark/>
          </w:tcPr>
          <w:p w14:paraId="7E74A483"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Applications received</w:t>
            </w:r>
          </w:p>
        </w:tc>
        <w:tc>
          <w:tcPr>
            <w:tcW w:w="283" w:type="pct"/>
            <w:tcBorders>
              <w:top w:val="single" w:sz="4" w:space="0" w:color="002C47"/>
              <w:left w:val="single" w:sz="4" w:space="0" w:color="002C47"/>
              <w:bottom w:val="single" w:sz="8" w:space="0" w:color="auto"/>
              <w:right w:val="single" w:sz="4" w:space="0" w:color="002C47"/>
            </w:tcBorders>
            <w:shd w:val="clear" w:color="auto" w:fill="FFFFFF" w:themeFill="background1"/>
            <w:vAlign w:val="center"/>
            <w:hideMark/>
          </w:tcPr>
          <w:p w14:paraId="5BD826C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9,007</w:t>
            </w:r>
          </w:p>
        </w:tc>
        <w:tc>
          <w:tcPr>
            <w:tcW w:w="286" w:type="pct"/>
            <w:tcBorders>
              <w:top w:val="single" w:sz="4" w:space="0" w:color="002C47"/>
              <w:left w:val="single" w:sz="4" w:space="0" w:color="002C47"/>
              <w:bottom w:val="single" w:sz="8" w:space="0" w:color="auto"/>
              <w:right w:val="single" w:sz="4" w:space="0" w:color="002C47"/>
            </w:tcBorders>
            <w:shd w:val="clear" w:color="auto" w:fill="FFFFFF" w:themeFill="background1"/>
            <w:vAlign w:val="center"/>
            <w:hideMark/>
          </w:tcPr>
          <w:p w14:paraId="0E55985D"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11,511</w:t>
            </w:r>
          </w:p>
        </w:tc>
      </w:tr>
      <w:tr w:rsidR="00F2350B" w:rsidRPr="00373DCC" w14:paraId="264C5D1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72" w:type="pct"/>
            <w:gridSpan w:val="3"/>
            <w:tcBorders>
              <w:top w:val="single" w:sz="8" w:space="0" w:color="auto"/>
              <w:left w:val="single" w:sz="4" w:space="0" w:color="auto"/>
              <w:bottom w:val="single" w:sz="4" w:space="0" w:color="auto"/>
              <w:right w:val="single" w:sz="4" w:space="0" w:color="auto"/>
            </w:tcBorders>
            <w:shd w:val="clear" w:color="auto" w:fill="8CADD3"/>
            <w:vAlign w:val="center"/>
            <w:hideMark/>
          </w:tcPr>
          <w:p w14:paraId="4065A1E7" w14:textId="77777777" w:rsidR="00F2350B" w:rsidRPr="00373DCC" w:rsidRDefault="00F2350B" w:rsidP="00710B91">
            <w:pPr>
              <w:tabs>
                <w:tab w:val="left" w:pos="907"/>
                <w:tab w:val="left" w:pos="1134"/>
              </w:tabs>
              <w:spacing w:before="0" w:after="0" w:line="240" w:lineRule="atLeast"/>
              <w:outlineLvl w:val="4"/>
              <w:rPr>
                <w:rFonts w:cs="Arial"/>
                <w:sz w:val="21"/>
              </w:rPr>
            </w:pPr>
            <w:r w:rsidRPr="00373DCC">
              <w:rPr>
                <w:rFonts w:cs="Arial"/>
                <w:sz w:val="21"/>
              </w:rPr>
              <w:t>Applications completed</w:t>
            </w:r>
          </w:p>
        </w:tc>
        <w:tc>
          <w:tcPr>
            <w:tcW w:w="1664" w:type="pct"/>
            <w:tcBorders>
              <w:top w:val="nil"/>
              <w:left w:val="single" w:sz="4" w:space="0" w:color="auto"/>
              <w:bottom w:val="nil"/>
              <w:right w:val="nil"/>
            </w:tcBorders>
            <w:vAlign w:val="center"/>
          </w:tcPr>
          <w:p w14:paraId="1600F4D6" w14:textId="77777777" w:rsidR="00F2350B" w:rsidRPr="00373DCC" w:rsidRDefault="00F2350B" w:rsidP="00710B91">
            <w:pPr>
              <w:spacing w:before="0" w:after="0"/>
              <w:cnfStyle w:val="000000000000" w:firstRow="0" w:lastRow="0" w:firstColumn="0" w:lastColumn="0" w:oddVBand="0" w:evenVBand="0" w:oddHBand="0" w:evenHBand="0" w:firstRowFirstColumn="0" w:firstRowLastColumn="0" w:lastRowFirstColumn="0" w:lastRowLastColumn="0"/>
              <w:rPr>
                <w:rFonts w:cs="Arial"/>
                <w:sz w:val="21"/>
              </w:rPr>
            </w:pPr>
          </w:p>
        </w:tc>
        <w:tc>
          <w:tcPr>
            <w:tcW w:w="1664" w:type="pct"/>
            <w:tcBorders>
              <w:top w:val="single" w:sz="8" w:space="0" w:color="002C47"/>
              <w:left w:val="nil"/>
              <w:bottom w:val="single" w:sz="8" w:space="0" w:color="002C47"/>
              <w:right w:val="single" w:sz="8" w:space="0" w:color="002C47"/>
            </w:tcBorders>
            <w:vAlign w:val="center"/>
            <w:hideMark/>
          </w:tcPr>
          <w:p w14:paraId="3DBD6805" w14:textId="77777777" w:rsidR="00F2350B" w:rsidRPr="00373DCC" w:rsidRDefault="00F2350B" w:rsidP="00ED1A1F">
            <w:pPr>
              <w:numPr>
                <w:ilvl w:val="0"/>
                <w:numId w:val="24"/>
              </w:numPr>
              <w:tabs>
                <w:tab w:val="left" w:pos="907"/>
                <w:tab w:val="left" w:pos="1134"/>
              </w:tabs>
              <w:spacing w:before="0" w:after="0" w:line="240" w:lineRule="atLeast"/>
              <w:ind w:left="0" w:hanging="907"/>
              <w:outlineLvl w:val="4"/>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Applications completed</w:t>
            </w:r>
          </w:p>
        </w:tc>
      </w:tr>
      <w:tr w:rsidR="00F2350B" w:rsidRPr="00373DCC" w14:paraId="54A74F58"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tcBorders>
              <w:top w:val="single" w:sz="4" w:space="0" w:color="auto"/>
              <w:left w:val="single" w:sz="4" w:space="0" w:color="002C47"/>
              <w:bottom w:val="single" w:sz="4" w:space="0" w:color="002C47"/>
              <w:right w:val="single" w:sz="4" w:space="0" w:color="002C47"/>
            </w:tcBorders>
            <w:vAlign w:val="center"/>
            <w:hideMark/>
          </w:tcPr>
          <w:p w14:paraId="5A9BE397"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Approved</w:t>
            </w:r>
          </w:p>
        </w:tc>
        <w:tc>
          <w:tcPr>
            <w:tcW w:w="283" w:type="pct"/>
            <w:tcBorders>
              <w:top w:val="single" w:sz="4" w:space="0" w:color="auto"/>
              <w:left w:val="single" w:sz="4" w:space="0" w:color="002C47"/>
              <w:bottom w:val="single" w:sz="4" w:space="0" w:color="002C47"/>
              <w:right w:val="single" w:sz="4" w:space="0" w:color="002C47"/>
            </w:tcBorders>
            <w:vAlign w:val="center"/>
            <w:hideMark/>
          </w:tcPr>
          <w:p w14:paraId="29770674"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8,103 (91%)</w:t>
            </w:r>
          </w:p>
        </w:tc>
        <w:tc>
          <w:tcPr>
            <w:tcW w:w="286" w:type="pct"/>
            <w:tcBorders>
              <w:top w:val="single" w:sz="4" w:space="0" w:color="auto"/>
              <w:left w:val="single" w:sz="4" w:space="0" w:color="002C47"/>
              <w:bottom w:val="single" w:sz="4" w:space="0" w:color="002C47"/>
              <w:right w:val="single" w:sz="4" w:space="0" w:color="002C47"/>
            </w:tcBorders>
            <w:vAlign w:val="center"/>
            <w:hideMark/>
          </w:tcPr>
          <w:p w14:paraId="563F4783"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8,714 (90%)</w:t>
            </w:r>
          </w:p>
        </w:tc>
      </w:tr>
      <w:tr w:rsidR="00F2350B" w:rsidRPr="00373DCC" w14:paraId="73BF2D69"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tcBorders>
              <w:top w:val="single" w:sz="4" w:space="0" w:color="002C47"/>
              <w:left w:val="single" w:sz="4" w:space="0" w:color="002C47"/>
              <w:bottom w:val="single" w:sz="4" w:space="0" w:color="002C47"/>
              <w:right w:val="single" w:sz="4" w:space="0" w:color="002C47"/>
            </w:tcBorders>
            <w:vAlign w:val="center"/>
            <w:hideMark/>
          </w:tcPr>
          <w:p w14:paraId="319BCC3F" w14:textId="77777777" w:rsidR="00F2350B" w:rsidRPr="00373DCC" w:rsidRDefault="00F2350B" w:rsidP="00710B91">
            <w:pPr>
              <w:spacing w:before="0" w:after="0" w:line="240" w:lineRule="atLeast"/>
              <w:ind w:left="284"/>
              <w:contextualSpacing/>
              <w:rPr>
                <w:rFonts w:eastAsiaTheme="minorHAnsi" w:cs="Arial"/>
                <w:sz w:val="21"/>
              </w:rPr>
            </w:pPr>
            <w:r w:rsidRPr="00373DCC">
              <w:rPr>
                <w:rFonts w:eastAsiaTheme="minorHAnsi" w:cs="Arial"/>
                <w:sz w:val="21"/>
              </w:rPr>
              <w:t>Rejected</w:t>
            </w:r>
          </w:p>
        </w:tc>
        <w:tc>
          <w:tcPr>
            <w:tcW w:w="283" w:type="pct"/>
            <w:tcBorders>
              <w:top w:val="single" w:sz="4" w:space="0" w:color="002C47"/>
              <w:left w:val="single" w:sz="4" w:space="0" w:color="002C47"/>
              <w:bottom w:val="single" w:sz="4" w:space="0" w:color="002C47"/>
              <w:right w:val="single" w:sz="4" w:space="0" w:color="002C47"/>
            </w:tcBorders>
            <w:vAlign w:val="center"/>
            <w:hideMark/>
          </w:tcPr>
          <w:p w14:paraId="40F7483B"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799 (9%)</w:t>
            </w:r>
          </w:p>
        </w:tc>
        <w:tc>
          <w:tcPr>
            <w:tcW w:w="286" w:type="pct"/>
            <w:tcBorders>
              <w:top w:val="single" w:sz="4" w:space="0" w:color="002C47"/>
              <w:left w:val="single" w:sz="4" w:space="0" w:color="002C47"/>
              <w:bottom w:val="single" w:sz="4" w:space="0" w:color="002C47"/>
              <w:right w:val="single" w:sz="4" w:space="0" w:color="002C47"/>
            </w:tcBorders>
            <w:vAlign w:val="center"/>
            <w:hideMark/>
          </w:tcPr>
          <w:p w14:paraId="699AD3E0"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996 (10%)</w:t>
            </w:r>
          </w:p>
        </w:tc>
      </w:tr>
      <w:tr w:rsidR="00F2350B" w:rsidRPr="00373DCC" w14:paraId="5E5E1B6F" w14:textId="77777777" w:rsidTr="00710B91">
        <w:trPr>
          <w:gridAfter w:val="2"/>
          <w:wAfter w:w="3328" w:type="pct"/>
          <w:trHeight w:val="340"/>
        </w:trPr>
        <w:tc>
          <w:tcPr>
            <w:cnfStyle w:val="001000000000" w:firstRow="0" w:lastRow="0" w:firstColumn="1" w:lastColumn="0" w:oddVBand="0" w:evenVBand="0" w:oddHBand="0" w:evenHBand="0" w:firstRowFirstColumn="0" w:firstRowLastColumn="0" w:lastRowFirstColumn="0" w:lastRowLastColumn="0"/>
            <w:tcW w:w="1103"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083E0AB6" w14:textId="77777777" w:rsidR="00F2350B" w:rsidRPr="00373DCC" w:rsidRDefault="00F2350B" w:rsidP="00710B91">
            <w:pPr>
              <w:spacing w:before="0" w:after="0" w:line="240" w:lineRule="atLeast"/>
              <w:ind w:left="142"/>
              <w:contextualSpacing/>
              <w:rPr>
                <w:rFonts w:eastAsiaTheme="minorHAnsi" w:cs="Arial"/>
                <w:sz w:val="21"/>
              </w:rPr>
            </w:pPr>
            <w:r w:rsidRPr="00373DCC">
              <w:rPr>
                <w:rFonts w:eastAsiaTheme="minorHAnsi" w:cs="Arial"/>
                <w:sz w:val="21"/>
              </w:rPr>
              <w:t>Total completed</w:t>
            </w:r>
          </w:p>
        </w:tc>
        <w:tc>
          <w:tcPr>
            <w:tcW w:w="283"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4F2D9B7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8,902 (100%)</w:t>
            </w:r>
          </w:p>
        </w:tc>
        <w:tc>
          <w:tcPr>
            <w:tcW w:w="286" w:type="pct"/>
            <w:tcBorders>
              <w:top w:val="single" w:sz="4" w:space="0" w:color="002C47"/>
              <w:left w:val="single" w:sz="4" w:space="0" w:color="002C47"/>
              <w:bottom w:val="single" w:sz="4" w:space="0" w:color="002C47"/>
              <w:right w:val="single" w:sz="4" w:space="0" w:color="002C47"/>
            </w:tcBorders>
            <w:shd w:val="clear" w:color="auto" w:fill="C6D4E9"/>
            <w:vAlign w:val="center"/>
            <w:hideMark/>
          </w:tcPr>
          <w:p w14:paraId="23B12827"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9,710 (100%)</w:t>
            </w:r>
          </w:p>
        </w:tc>
      </w:tr>
    </w:tbl>
    <w:p w14:paraId="5B4F6529" w14:textId="77777777" w:rsidR="00F2350B" w:rsidRPr="00373DCC" w:rsidRDefault="00F2350B" w:rsidP="00F2350B">
      <w:pPr>
        <w:keepNext/>
        <w:spacing w:before="0" w:after="0" w:line="240" w:lineRule="auto"/>
        <w:rPr>
          <w:rFonts w:eastAsia="Cambria" w:cs="Arial"/>
          <w:b/>
          <w:bCs/>
          <w:sz w:val="21"/>
          <w:szCs w:val="21"/>
        </w:rPr>
      </w:pPr>
      <w:bookmarkStart w:id="230" w:name="Table65"/>
    </w:p>
    <w:p w14:paraId="0FE8CF0F" w14:textId="77777777" w:rsidR="00F2350B" w:rsidRPr="00373DCC" w:rsidRDefault="00F2350B" w:rsidP="00F2350B">
      <w:pPr>
        <w:keepNext/>
        <w:spacing w:before="0" w:after="0" w:line="240" w:lineRule="auto"/>
        <w:rPr>
          <w:rFonts w:eastAsia="Cambria" w:cs="Arial"/>
          <w:b/>
          <w:bCs/>
          <w:sz w:val="21"/>
          <w:szCs w:val="21"/>
        </w:rPr>
      </w:pPr>
      <w:r w:rsidRPr="00373DCC">
        <w:rPr>
          <w:rFonts w:eastAsia="Cambria" w:cs="Arial"/>
          <w:b/>
          <w:bCs/>
          <w:sz w:val="21"/>
          <w:szCs w:val="21"/>
        </w:rPr>
        <w:t>Table 65: Number of GMP clearance applications received and completed by type from 1 July 2022 to 30 June 2023</w:t>
      </w:r>
    </w:p>
    <w:p w14:paraId="715C1AE8" w14:textId="77777777" w:rsidR="00F2350B" w:rsidRPr="00373DCC" w:rsidRDefault="00F2350B" w:rsidP="00F2350B">
      <w:pPr>
        <w:keepNext/>
        <w:spacing w:before="0" w:after="0" w:line="240" w:lineRule="auto"/>
        <w:rPr>
          <w:rFonts w:eastAsia="Cambria" w:cs="Arial"/>
          <w:b/>
          <w:bCs/>
          <w:sz w:val="21"/>
          <w:szCs w:val="21"/>
        </w:rPr>
      </w:pPr>
    </w:p>
    <w:tbl>
      <w:tblPr>
        <w:tblStyle w:val="TableTGAblue"/>
        <w:tblW w:w="5000" w:type="pct"/>
        <w:tblLook w:val="04A0" w:firstRow="1" w:lastRow="0" w:firstColumn="1" w:lastColumn="0" w:noHBand="0" w:noVBand="1"/>
      </w:tblPr>
      <w:tblGrid>
        <w:gridCol w:w="3006"/>
        <w:gridCol w:w="3004"/>
        <w:gridCol w:w="3006"/>
      </w:tblGrid>
      <w:tr w:rsidR="00F2350B" w:rsidRPr="00373DCC" w14:paraId="4BDF3EC8" w14:textId="77777777" w:rsidTr="0050782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auto"/>
              <w:bottom w:val="single" w:sz="4" w:space="0" w:color="auto"/>
              <w:right w:val="single" w:sz="4" w:space="0" w:color="auto"/>
            </w:tcBorders>
            <w:shd w:val="clear" w:color="auto" w:fill="29527F"/>
            <w:vAlign w:val="center"/>
            <w:hideMark/>
          </w:tcPr>
          <w:bookmarkEnd w:id="230"/>
          <w:p w14:paraId="758139C7" w14:textId="77777777" w:rsidR="00F2350B" w:rsidRPr="00373DCC" w:rsidRDefault="00F2350B" w:rsidP="00710B91">
            <w:pPr>
              <w:keepLines/>
              <w:tabs>
                <w:tab w:val="left" w:pos="907"/>
                <w:tab w:val="left" w:pos="1134"/>
              </w:tabs>
              <w:spacing w:before="0" w:after="0" w:line="240" w:lineRule="atLeast"/>
              <w:jc w:val="center"/>
              <w:outlineLvl w:val="4"/>
              <w:rPr>
                <w:rFonts w:cs="Arial"/>
                <w:bCs/>
                <w:color w:val="FFFFFF" w:themeColor="background1"/>
                <w:sz w:val="21"/>
              </w:rPr>
            </w:pPr>
            <w:r w:rsidRPr="00373DCC">
              <w:rPr>
                <w:rFonts w:cs="Arial"/>
                <w:bCs/>
                <w:color w:val="FFFFFF" w:themeColor="background1"/>
                <w:sz w:val="21"/>
              </w:rPr>
              <w:t>Application Category</w:t>
            </w:r>
          </w:p>
        </w:tc>
        <w:tc>
          <w:tcPr>
            <w:tcW w:w="1666"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79927F1A"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 received</w:t>
            </w:r>
          </w:p>
        </w:tc>
        <w:tc>
          <w:tcPr>
            <w:tcW w:w="1667"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0422F35F"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 completed</w:t>
            </w:r>
          </w:p>
        </w:tc>
      </w:tr>
      <w:tr w:rsidR="00F2350B" w:rsidRPr="00373DCC" w14:paraId="28277CA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002C47"/>
              <w:bottom w:val="single" w:sz="4" w:space="0" w:color="002C47"/>
              <w:right w:val="single" w:sz="4" w:space="0" w:color="002C47"/>
            </w:tcBorders>
            <w:vAlign w:val="center"/>
            <w:hideMark/>
          </w:tcPr>
          <w:p w14:paraId="4E784C22"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Cancel</w:t>
            </w:r>
          </w:p>
        </w:tc>
        <w:tc>
          <w:tcPr>
            <w:tcW w:w="1666" w:type="pct"/>
            <w:tcBorders>
              <w:top w:val="single" w:sz="4" w:space="0" w:color="auto"/>
              <w:left w:val="single" w:sz="4" w:space="0" w:color="002C47"/>
              <w:bottom w:val="single" w:sz="4" w:space="0" w:color="002C47"/>
              <w:right w:val="single" w:sz="4" w:space="0" w:color="002C47"/>
            </w:tcBorders>
            <w:vAlign w:val="center"/>
            <w:hideMark/>
          </w:tcPr>
          <w:p w14:paraId="780D872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w:t>
            </w:r>
          </w:p>
        </w:tc>
        <w:tc>
          <w:tcPr>
            <w:tcW w:w="1667" w:type="pct"/>
            <w:tcBorders>
              <w:top w:val="single" w:sz="4" w:space="0" w:color="auto"/>
              <w:left w:val="single" w:sz="4" w:space="0" w:color="002C47"/>
              <w:bottom w:val="single" w:sz="4" w:space="0" w:color="002C47"/>
              <w:right w:val="single" w:sz="4" w:space="0" w:color="002C47"/>
            </w:tcBorders>
            <w:vAlign w:val="center"/>
            <w:hideMark/>
          </w:tcPr>
          <w:p w14:paraId="3A068BA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w:t>
            </w:r>
          </w:p>
        </w:tc>
      </w:tr>
      <w:tr w:rsidR="00F2350B" w:rsidRPr="00373DCC" w14:paraId="22842C8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002C47"/>
              <w:right w:val="single" w:sz="4" w:space="0" w:color="002C47"/>
            </w:tcBorders>
            <w:vAlign w:val="center"/>
            <w:hideMark/>
          </w:tcPr>
          <w:p w14:paraId="0DE4D780"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Extend</w:t>
            </w:r>
          </w:p>
        </w:tc>
        <w:tc>
          <w:tcPr>
            <w:tcW w:w="1666" w:type="pct"/>
            <w:tcBorders>
              <w:top w:val="single" w:sz="4" w:space="0" w:color="002C47"/>
              <w:left w:val="single" w:sz="4" w:space="0" w:color="002C47"/>
              <w:bottom w:val="single" w:sz="4" w:space="0" w:color="002C47"/>
              <w:right w:val="single" w:sz="4" w:space="0" w:color="002C47"/>
            </w:tcBorders>
            <w:vAlign w:val="center"/>
            <w:hideMark/>
          </w:tcPr>
          <w:p w14:paraId="1F2C0705"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5,364</w:t>
            </w:r>
          </w:p>
        </w:tc>
        <w:tc>
          <w:tcPr>
            <w:tcW w:w="1667" w:type="pct"/>
            <w:tcBorders>
              <w:top w:val="single" w:sz="4" w:space="0" w:color="002C47"/>
              <w:left w:val="single" w:sz="4" w:space="0" w:color="002C47"/>
              <w:bottom w:val="single" w:sz="4" w:space="0" w:color="002C47"/>
              <w:right w:val="single" w:sz="4" w:space="0" w:color="002C47"/>
            </w:tcBorders>
            <w:vAlign w:val="center"/>
            <w:hideMark/>
          </w:tcPr>
          <w:p w14:paraId="77160329"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4,646</w:t>
            </w:r>
          </w:p>
        </w:tc>
      </w:tr>
      <w:tr w:rsidR="00F2350B" w:rsidRPr="00373DCC" w14:paraId="0AB4C19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002C47"/>
              <w:right w:val="single" w:sz="4" w:space="0" w:color="002C47"/>
            </w:tcBorders>
            <w:vAlign w:val="center"/>
            <w:hideMark/>
          </w:tcPr>
          <w:p w14:paraId="43AC77BB"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New</w:t>
            </w:r>
          </w:p>
        </w:tc>
        <w:tc>
          <w:tcPr>
            <w:tcW w:w="1666" w:type="pct"/>
            <w:tcBorders>
              <w:top w:val="single" w:sz="4" w:space="0" w:color="002C47"/>
              <w:left w:val="single" w:sz="4" w:space="0" w:color="002C47"/>
              <w:bottom w:val="single" w:sz="4" w:space="0" w:color="002C47"/>
              <w:right w:val="single" w:sz="4" w:space="0" w:color="002C47"/>
            </w:tcBorders>
            <w:vAlign w:val="center"/>
            <w:hideMark/>
          </w:tcPr>
          <w:p w14:paraId="4A7A081D"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1,599</w:t>
            </w:r>
          </w:p>
        </w:tc>
        <w:tc>
          <w:tcPr>
            <w:tcW w:w="1667" w:type="pct"/>
            <w:tcBorders>
              <w:top w:val="single" w:sz="4" w:space="0" w:color="002C47"/>
              <w:left w:val="single" w:sz="4" w:space="0" w:color="002C47"/>
              <w:bottom w:val="single" w:sz="4" w:space="0" w:color="002C47"/>
              <w:right w:val="single" w:sz="4" w:space="0" w:color="002C47"/>
            </w:tcBorders>
            <w:vAlign w:val="center"/>
            <w:hideMark/>
          </w:tcPr>
          <w:p w14:paraId="46962FCE"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1,321</w:t>
            </w:r>
          </w:p>
        </w:tc>
      </w:tr>
      <w:tr w:rsidR="00F2350B" w:rsidRPr="00373DCC" w14:paraId="212F9F2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002C47"/>
              <w:left w:val="single" w:sz="4" w:space="0" w:color="002C47"/>
              <w:bottom w:val="single" w:sz="4" w:space="0" w:color="auto"/>
              <w:right w:val="single" w:sz="4" w:space="0" w:color="002C47"/>
            </w:tcBorders>
            <w:vAlign w:val="center"/>
            <w:hideMark/>
          </w:tcPr>
          <w:p w14:paraId="53726EFA"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Reactivate</w:t>
            </w:r>
          </w:p>
        </w:tc>
        <w:tc>
          <w:tcPr>
            <w:tcW w:w="1666" w:type="pct"/>
            <w:tcBorders>
              <w:top w:val="single" w:sz="4" w:space="0" w:color="002C47"/>
              <w:left w:val="single" w:sz="4" w:space="0" w:color="002C47"/>
              <w:bottom w:val="single" w:sz="4" w:space="0" w:color="auto"/>
              <w:right w:val="single" w:sz="4" w:space="0" w:color="002C47"/>
            </w:tcBorders>
            <w:vAlign w:val="center"/>
            <w:hideMark/>
          </w:tcPr>
          <w:p w14:paraId="68185977"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97</w:t>
            </w:r>
          </w:p>
        </w:tc>
        <w:tc>
          <w:tcPr>
            <w:tcW w:w="1667" w:type="pct"/>
            <w:tcBorders>
              <w:top w:val="single" w:sz="4" w:space="0" w:color="002C47"/>
              <w:left w:val="single" w:sz="4" w:space="0" w:color="002C47"/>
              <w:bottom w:val="single" w:sz="4" w:space="0" w:color="auto"/>
              <w:right w:val="single" w:sz="4" w:space="0" w:color="002C47"/>
            </w:tcBorders>
            <w:vAlign w:val="center"/>
            <w:hideMark/>
          </w:tcPr>
          <w:p w14:paraId="092D129C"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83</w:t>
            </w:r>
          </w:p>
        </w:tc>
      </w:tr>
      <w:tr w:rsidR="00F2350B" w:rsidRPr="00373DCC" w14:paraId="1EC0A58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left w:val="single" w:sz="4" w:space="0" w:color="auto"/>
              <w:bottom w:val="single" w:sz="4" w:space="0" w:color="auto"/>
              <w:right w:val="single" w:sz="4" w:space="0" w:color="auto"/>
            </w:tcBorders>
            <w:vAlign w:val="center"/>
            <w:hideMark/>
          </w:tcPr>
          <w:p w14:paraId="3AF847C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Variation</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1E7274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4,451</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BDB14FA"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3,657</w:t>
            </w:r>
          </w:p>
        </w:tc>
      </w:tr>
    </w:tbl>
    <w:p w14:paraId="5F9AABF7" w14:textId="77777777" w:rsidR="00F2350B" w:rsidRPr="00373DCC" w:rsidRDefault="00F2350B" w:rsidP="00F2350B">
      <w:pPr>
        <w:keepNext/>
        <w:spacing w:before="0" w:after="0" w:line="240" w:lineRule="auto"/>
        <w:rPr>
          <w:rFonts w:eastAsia="Cambria" w:cs="Arial"/>
          <w:b/>
          <w:bCs/>
          <w:sz w:val="21"/>
          <w:szCs w:val="21"/>
        </w:rPr>
      </w:pPr>
      <w:bookmarkStart w:id="231" w:name="Table66"/>
    </w:p>
    <w:p w14:paraId="4BC41BF7" w14:textId="77777777" w:rsidR="00F2350B" w:rsidRPr="00373DCC" w:rsidRDefault="00F2350B" w:rsidP="00F2350B">
      <w:pPr>
        <w:keepNext/>
        <w:spacing w:before="0" w:after="0" w:line="240" w:lineRule="auto"/>
        <w:rPr>
          <w:rFonts w:eastAsia="Cambria" w:cs="Arial"/>
          <w:b/>
          <w:bCs/>
          <w:sz w:val="21"/>
          <w:szCs w:val="21"/>
        </w:rPr>
      </w:pPr>
      <w:r w:rsidRPr="00373DCC">
        <w:rPr>
          <w:rFonts w:eastAsia="Cambria" w:cs="Arial"/>
          <w:b/>
          <w:bCs/>
          <w:sz w:val="21"/>
          <w:szCs w:val="21"/>
        </w:rPr>
        <w:t>Table 66: Number of GMP clearance applications actioned by pathway from 1 July 2022 to 30 June 2023</w:t>
      </w:r>
    </w:p>
    <w:p w14:paraId="3D71A886" w14:textId="77777777" w:rsidR="00F2350B" w:rsidRPr="00373DCC" w:rsidRDefault="00F2350B" w:rsidP="00F2350B">
      <w:pPr>
        <w:keepNext/>
        <w:spacing w:before="0" w:after="0" w:line="240" w:lineRule="auto"/>
        <w:rPr>
          <w:rFonts w:eastAsia="Cambria" w:cs="Arial"/>
          <w:b/>
          <w:bCs/>
          <w:sz w:val="21"/>
          <w:szCs w:val="21"/>
        </w:rPr>
      </w:pPr>
    </w:p>
    <w:tbl>
      <w:tblPr>
        <w:tblStyle w:val="TableTGAblue"/>
        <w:tblW w:w="5091" w:type="pct"/>
        <w:tblInd w:w="-113" w:type="dxa"/>
        <w:tblLook w:val="04A0" w:firstRow="1" w:lastRow="0" w:firstColumn="1" w:lastColumn="0" w:noHBand="0" w:noVBand="1"/>
      </w:tblPr>
      <w:tblGrid>
        <w:gridCol w:w="1674"/>
        <w:gridCol w:w="1477"/>
        <w:gridCol w:w="1920"/>
        <w:gridCol w:w="2124"/>
        <w:gridCol w:w="1985"/>
      </w:tblGrid>
      <w:tr w:rsidR="00F2350B" w:rsidRPr="00373DCC" w14:paraId="054D032A" w14:textId="77777777" w:rsidTr="00507827">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auto"/>
              <w:bottom w:val="single" w:sz="4" w:space="0" w:color="auto"/>
              <w:right w:val="single" w:sz="4" w:space="0" w:color="auto"/>
            </w:tcBorders>
            <w:shd w:val="clear" w:color="auto" w:fill="29527F"/>
            <w:vAlign w:val="center"/>
            <w:hideMark/>
          </w:tcPr>
          <w:bookmarkEnd w:id="231"/>
          <w:p w14:paraId="4C5AF5B2" w14:textId="77777777" w:rsidR="00F2350B" w:rsidRPr="00373DCC" w:rsidRDefault="00F2350B" w:rsidP="00710B91">
            <w:pPr>
              <w:keepLines/>
              <w:tabs>
                <w:tab w:val="left" w:pos="907"/>
                <w:tab w:val="left" w:pos="1134"/>
              </w:tabs>
              <w:spacing w:before="0" w:after="0" w:line="240" w:lineRule="atLeast"/>
              <w:jc w:val="center"/>
              <w:outlineLvl w:val="4"/>
              <w:rPr>
                <w:rFonts w:cs="Arial"/>
                <w:bCs/>
                <w:color w:val="FFFFFF" w:themeColor="background1"/>
                <w:sz w:val="21"/>
              </w:rPr>
            </w:pPr>
            <w:r w:rsidRPr="00373DCC">
              <w:rPr>
                <w:rFonts w:cs="Arial"/>
                <w:bCs/>
                <w:color w:val="FFFFFF" w:themeColor="background1"/>
                <w:sz w:val="21"/>
              </w:rPr>
              <w:t>Pathway</w:t>
            </w:r>
          </w:p>
        </w:tc>
        <w:tc>
          <w:tcPr>
            <w:tcW w:w="804"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58907F69" w14:textId="77777777" w:rsidR="00F2350B" w:rsidRPr="00373DCC" w:rsidRDefault="00F2350B" w:rsidP="00710B91">
            <w:pPr>
              <w:keepLines/>
              <w:tabs>
                <w:tab w:val="left" w:pos="720"/>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 received</w:t>
            </w:r>
          </w:p>
        </w:tc>
        <w:tc>
          <w:tcPr>
            <w:tcW w:w="1046"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3A74BF81"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 completed</w:t>
            </w:r>
          </w:p>
        </w:tc>
        <w:tc>
          <w:tcPr>
            <w:tcW w:w="1157"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2BE381F8"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w:t>
            </w:r>
          </w:p>
          <w:p w14:paraId="51FDD338"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Approved</w:t>
            </w:r>
          </w:p>
        </w:tc>
        <w:tc>
          <w:tcPr>
            <w:tcW w:w="1081" w:type="pct"/>
            <w:tcBorders>
              <w:top w:val="single" w:sz="4" w:space="0" w:color="auto"/>
              <w:left w:val="single" w:sz="4" w:space="0" w:color="auto"/>
              <w:bottom w:val="single" w:sz="4" w:space="0" w:color="auto"/>
              <w:right w:val="single" w:sz="4" w:space="0" w:color="auto"/>
            </w:tcBorders>
            <w:shd w:val="clear" w:color="auto" w:fill="29527F"/>
            <w:vAlign w:val="center"/>
            <w:hideMark/>
          </w:tcPr>
          <w:p w14:paraId="119CFA2A"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Applications</w:t>
            </w:r>
          </w:p>
          <w:p w14:paraId="4E35E989" w14:textId="77777777" w:rsidR="00F2350B" w:rsidRPr="00373DCC" w:rsidRDefault="00F2350B" w:rsidP="00710B91">
            <w:pPr>
              <w:keepLines/>
              <w:tabs>
                <w:tab w:val="left" w:pos="907"/>
                <w:tab w:val="left" w:pos="1134"/>
              </w:tabs>
              <w:spacing w:before="0" w:after="0" w:line="240" w:lineRule="atLeast"/>
              <w:jc w:val="center"/>
              <w:outlineLvl w:val="4"/>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1"/>
              </w:rPr>
            </w:pPr>
            <w:r w:rsidRPr="00373DCC">
              <w:rPr>
                <w:rFonts w:cs="Arial"/>
                <w:bCs/>
                <w:color w:val="FFFFFF" w:themeColor="background1"/>
                <w:sz w:val="21"/>
              </w:rPr>
              <w:t>not approved</w:t>
            </w:r>
          </w:p>
        </w:tc>
      </w:tr>
      <w:tr w:rsidR="00F2350B" w:rsidRPr="00373DCC" w14:paraId="6A553694" w14:textId="77777777" w:rsidTr="00507827">
        <w:trPr>
          <w:trHeight w:val="340"/>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auto"/>
              <w:left w:val="single" w:sz="4" w:space="0" w:color="002C47"/>
              <w:bottom w:val="single" w:sz="4" w:space="0" w:color="002C47"/>
              <w:right w:val="single" w:sz="4" w:space="0" w:color="002C47"/>
            </w:tcBorders>
            <w:vAlign w:val="center"/>
            <w:hideMark/>
          </w:tcPr>
          <w:p w14:paraId="767F264A"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Compliance Verification</w:t>
            </w:r>
          </w:p>
        </w:tc>
        <w:tc>
          <w:tcPr>
            <w:tcW w:w="804" w:type="pct"/>
            <w:tcBorders>
              <w:top w:val="single" w:sz="4" w:space="0" w:color="auto"/>
              <w:left w:val="single" w:sz="4" w:space="0" w:color="002C47"/>
              <w:bottom w:val="single" w:sz="4" w:space="0" w:color="002C47"/>
              <w:right w:val="single" w:sz="4" w:space="0" w:color="002C47"/>
            </w:tcBorders>
            <w:vAlign w:val="center"/>
            <w:hideMark/>
          </w:tcPr>
          <w:p w14:paraId="06ECE264"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1,927</w:t>
            </w:r>
          </w:p>
        </w:tc>
        <w:tc>
          <w:tcPr>
            <w:tcW w:w="1046" w:type="pct"/>
            <w:tcBorders>
              <w:top w:val="single" w:sz="4" w:space="0" w:color="auto"/>
              <w:left w:val="single" w:sz="4" w:space="0" w:color="002C47"/>
              <w:bottom w:val="single" w:sz="4" w:space="0" w:color="002C47"/>
              <w:right w:val="single" w:sz="4" w:space="0" w:color="002C47"/>
            </w:tcBorders>
            <w:vAlign w:val="center"/>
            <w:hideMark/>
          </w:tcPr>
          <w:p w14:paraId="48B5D36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1,083</w:t>
            </w:r>
          </w:p>
        </w:tc>
        <w:tc>
          <w:tcPr>
            <w:tcW w:w="1157" w:type="pct"/>
            <w:tcBorders>
              <w:top w:val="single" w:sz="4" w:space="0" w:color="auto"/>
              <w:left w:val="single" w:sz="4" w:space="0" w:color="002C47"/>
              <w:bottom w:val="single" w:sz="4" w:space="0" w:color="002C47"/>
              <w:right w:val="single" w:sz="4" w:space="0" w:color="002C47"/>
            </w:tcBorders>
            <w:vAlign w:val="center"/>
            <w:hideMark/>
          </w:tcPr>
          <w:p w14:paraId="027BA4F5"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1,055</w:t>
            </w:r>
          </w:p>
        </w:tc>
        <w:tc>
          <w:tcPr>
            <w:tcW w:w="1081" w:type="pct"/>
            <w:tcBorders>
              <w:top w:val="single" w:sz="4" w:space="0" w:color="auto"/>
              <w:left w:val="single" w:sz="4" w:space="0" w:color="002C47"/>
              <w:bottom w:val="single" w:sz="4" w:space="0" w:color="002C47"/>
              <w:right w:val="single" w:sz="4" w:space="0" w:color="002C47"/>
            </w:tcBorders>
            <w:vAlign w:val="center"/>
            <w:hideMark/>
          </w:tcPr>
          <w:p w14:paraId="5C74079F"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28</w:t>
            </w:r>
          </w:p>
        </w:tc>
      </w:tr>
      <w:tr w:rsidR="00F2350B" w:rsidRPr="00373DCC" w14:paraId="4396A764" w14:textId="77777777" w:rsidTr="00507827">
        <w:trPr>
          <w:trHeight w:val="340"/>
        </w:trPr>
        <w:tc>
          <w:tcPr>
            <w:cnfStyle w:val="001000000000" w:firstRow="0" w:lastRow="0" w:firstColumn="1" w:lastColumn="0" w:oddVBand="0" w:evenVBand="0" w:oddHBand="0" w:evenHBand="0" w:firstRowFirstColumn="0" w:firstRowLastColumn="0" w:lastRowFirstColumn="0" w:lastRowLastColumn="0"/>
            <w:tcW w:w="912" w:type="pct"/>
            <w:tcBorders>
              <w:top w:val="single" w:sz="4" w:space="0" w:color="002C47"/>
              <w:left w:val="single" w:sz="4" w:space="0" w:color="002C47"/>
              <w:bottom w:val="single" w:sz="4" w:space="0" w:color="002C47"/>
              <w:right w:val="single" w:sz="4" w:space="0" w:color="002C47"/>
            </w:tcBorders>
            <w:vAlign w:val="center"/>
            <w:hideMark/>
          </w:tcPr>
          <w:p w14:paraId="621BB81C" w14:textId="77777777" w:rsidR="00F2350B" w:rsidRPr="00373DCC" w:rsidRDefault="00F2350B" w:rsidP="00710B91">
            <w:pPr>
              <w:spacing w:before="0" w:after="0" w:line="240" w:lineRule="atLeast"/>
              <w:contextualSpacing/>
              <w:rPr>
                <w:rFonts w:eastAsiaTheme="minorHAnsi" w:cs="Arial"/>
                <w:sz w:val="21"/>
              </w:rPr>
            </w:pPr>
            <w:r w:rsidRPr="00373DCC">
              <w:rPr>
                <w:rFonts w:eastAsiaTheme="minorHAnsi" w:cs="Arial"/>
                <w:sz w:val="21"/>
              </w:rPr>
              <w:t>Mutual Recognition Agreement</w:t>
            </w:r>
          </w:p>
        </w:tc>
        <w:tc>
          <w:tcPr>
            <w:tcW w:w="804" w:type="pct"/>
            <w:tcBorders>
              <w:top w:val="single" w:sz="4" w:space="0" w:color="002C47"/>
              <w:left w:val="single" w:sz="4" w:space="0" w:color="002C47"/>
              <w:bottom w:val="single" w:sz="4" w:space="0" w:color="002C47"/>
              <w:right w:val="single" w:sz="4" w:space="0" w:color="002C47"/>
            </w:tcBorders>
            <w:vAlign w:val="center"/>
            <w:hideMark/>
          </w:tcPr>
          <w:p w14:paraId="5C72FD09" w14:textId="77777777" w:rsidR="00F2350B" w:rsidRPr="00373DCC" w:rsidRDefault="00F2350B" w:rsidP="00710B91">
            <w:pPr>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3,390</w:t>
            </w:r>
          </w:p>
        </w:tc>
        <w:tc>
          <w:tcPr>
            <w:tcW w:w="1046" w:type="pct"/>
            <w:tcBorders>
              <w:top w:val="single" w:sz="4" w:space="0" w:color="002C47"/>
              <w:left w:val="single" w:sz="4" w:space="0" w:color="002C47"/>
              <w:bottom w:val="single" w:sz="4" w:space="0" w:color="002C47"/>
              <w:right w:val="single" w:sz="4" w:space="0" w:color="002C47"/>
            </w:tcBorders>
            <w:vAlign w:val="center"/>
            <w:hideMark/>
          </w:tcPr>
          <w:p w14:paraId="42622D91"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3,058</w:t>
            </w:r>
          </w:p>
        </w:tc>
        <w:tc>
          <w:tcPr>
            <w:tcW w:w="1157" w:type="pct"/>
            <w:tcBorders>
              <w:top w:val="single" w:sz="4" w:space="0" w:color="002C47"/>
              <w:left w:val="single" w:sz="4" w:space="0" w:color="002C47"/>
              <w:bottom w:val="single" w:sz="4" w:space="0" w:color="002C47"/>
              <w:right w:val="single" w:sz="4" w:space="0" w:color="002C47"/>
            </w:tcBorders>
            <w:vAlign w:val="center"/>
            <w:hideMark/>
          </w:tcPr>
          <w:p w14:paraId="4B7AF1B6"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2,902</w:t>
            </w:r>
          </w:p>
        </w:tc>
        <w:tc>
          <w:tcPr>
            <w:tcW w:w="1081" w:type="pct"/>
            <w:tcBorders>
              <w:top w:val="single" w:sz="4" w:space="0" w:color="002C47"/>
              <w:left w:val="single" w:sz="4" w:space="0" w:color="002C47"/>
              <w:bottom w:val="single" w:sz="4" w:space="0" w:color="002C47"/>
              <w:right w:val="single" w:sz="4" w:space="0" w:color="002C47"/>
            </w:tcBorders>
            <w:vAlign w:val="center"/>
            <w:hideMark/>
          </w:tcPr>
          <w:p w14:paraId="4697AB62" w14:textId="77777777" w:rsidR="00F2350B" w:rsidRPr="00373DCC" w:rsidRDefault="00F2350B" w:rsidP="00710B91">
            <w:pPr>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156</w:t>
            </w:r>
          </w:p>
        </w:tc>
      </w:tr>
    </w:tbl>
    <w:p w14:paraId="05A08A89" w14:textId="77777777" w:rsidR="00F2350B" w:rsidRPr="00373DCC" w:rsidRDefault="00F2350B" w:rsidP="00F2350B">
      <w:pPr>
        <w:keepNext/>
        <w:spacing w:before="0" w:after="0" w:line="240" w:lineRule="auto"/>
        <w:rPr>
          <w:rFonts w:eastAsia="Cambria" w:cs="Arial"/>
          <w:b/>
          <w:sz w:val="21"/>
          <w:szCs w:val="21"/>
        </w:rPr>
      </w:pPr>
    </w:p>
    <w:p w14:paraId="7AEF7020" w14:textId="77777777" w:rsidR="00F2350B" w:rsidRPr="00373DCC" w:rsidRDefault="00F2350B" w:rsidP="00F2350B">
      <w:pPr>
        <w:spacing w:before="0" w:after="0"/>
        <w:rPr>
          <w:rFonts w:eastAsiaTheme="majorEastAsia" w:cs="Arial"/>
          <w:b/>
          <w:color w:val="00348C" w:themeColor="accent1" w:themeShade="BF"/>
          <w:sz w:val="21"/>
          <w:szCs w:val="21"/>
          <w:lang w:eastAsia="en-AU"/>
        </w:rPr>
      </w:pPr>
      <w:r w:rsidRPr="00373DCC">
        <w:rPr>
          <w:rFonts w:eastAsiaTheme="majorEastAsia" w:cs="Arial"/>
          <w:b/>
          <w:color w:val="00348C" w:themeColor="accent1" w:themeShade="BF"/>
          <w:sz w:val="21"/>
          <w:szCs w:val="21"/>
          <w:lang w:eastAsia="en-AU"/>
        </w:rPr>
        <w:br w:type="page"/>
      </w:r>
    </w:p>
    <w:p w14:paraId="4EAD6AF8"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32" w:name="_Toc153550492"/>
      <w:r w:rsidRPr="00373DCC">
        <w:rPr>
          <w:rFonts w:eastAsiaTheme="majorEastAsia" w:cs="Arial"/>
          <w:b/>
          <w:color w:val="00348C" w:themeColor="accent1" w:themeShade="BF"/>
          <w:sz w:val="28"/>
          <w:szCs w:val="28"/>
          <w:lang w:eastAsia="en-AU"/>
        </w:rPr>
        <w:lastRenderedPageBreak/>
        <w:t>12. Recalls</w:t>
      </w:r>
      <w:bookmarkEnd w:id="232"/>
    </w:p>
    <w:p w14:paraId="6DED82EF" w14:textId="77777777" w:rsidR="00F2350B" w:rsidRPr="00373DCC" w:rsidRDefault="00F2350B" w:rsidP="00B633E2">
      <w:pPr>
        <w:pStyle w:val="ListParagraph"/>
        <w:keepNext/>
        <w:numPr>
          <w:ilvl w:val="0"/>
          <w:numId w:val="32"/>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233" w:name="_Toc153441514"/>
      <w:bookmarkStart w:id="234" w:name="_Toc153441665"/>
      <w:bookmarkStart w:id="235" w:name="_Toc153550180"/>
      <w:bookmarkStart w:id="236" w:name="_Toc153550345"/>
      <w:bookmarkStart w:id="237" w:name="_Toc153550493"/>
      <w:bookmarkEnd w:id="233"/>
      <w:bookmarkEnd w:id="234"/>
      <w:bookmarkEnd w:id="235"/>
      <w:bookmarkEnd w:id="236"/>
      <w:bookmarkEnd w:id="237"/>
    </w:p>
    <w:p w14:paraId="4BC4F8AB" w14:textId="04D9C21B" w:rsidR="00F2350B" w:rsidRPr="00373DCC" w:rsidRDefault="00F2350B" w:rsidP="00B633E2">
      <w:pPr>
        <w:pStyle w:val="Heading3-numbered"/>
        <w:numPr>
          <w:ilvl w:val="1"/>
          <w:numId w:val="32"/>
        </w:numPr>
        <w:rPr>
          <w:rFonts w:ascii="Arial" w:hAnsi="Arial" w:cs="Arial"/>
        </w:rPr>
      </w:pPr>
      <w:bookmarkStart w:id="238" w:name="_Toc153550494"/>
      <w:r w:rsidRPr="00373DCC">
        <w:rPr>
          <w:rFonts w:ascii="Arial" w:hAnsi="Arial" w:cs="Arial"/>
        </w:rPr>
        <w:t>Medicine recalls</w:t>
      </w:r>
      <w:bookmarkEnd w:id="238"/>
    </w:p>
    <w:p w14:paraId="5E849D0C" w14:textId="77777777" w:rsidR="00F2350B" w:rsidRPr="00373DCC" w:rsidRDefault="00F2350B" w:rsidP="00F2350B">
      <w:pPr>
        <w:keepNext/>
        <w:spacing w:before="240" w:after="120" w:line="240" w:lineRule="auto"/>
        <w:rPr>
          <w:rFonts w:eastAsia="Cambria" w:cs="Arial"/>
          <w:b/>
          <w:bCs/>
          <w:sz w:val="21"/>
          <w:szCs w:val="21"/>
        </w:rPr>
      </w:pPr>
      <w:bookmarkStart w:id="239" w:name="Table67"/>
      <w:r w:rsidRPr="00373DCC">
        <w:rPr>
          <w:rFonts w:eastAsia="Cambria" w:cs="Arial"/>
          <w:b/>
          <w:sz w:val="21"/>
          <w:szCs w:val="21"/>
        </w:rPr>
        <w:t xml:space="preserve">Table </w:t>
      </w:r>
      <w:r w:rsidRPr="00373DCC">
        <w:rPr>
          <w:rFonts w:eastAsia="Cambria" w:cs="Arial"/>
          <w:b/>
          <w:bCs/>
          <w:sz w:val="21"/>
          <w:szCs w:val="21"/>
        </w:rPr>
        <w:t>67:</w:t>
      </w:r>
      <w:r w:rsidRPr="00373DCC">
        <w:rPr>
          <w:rFonts w:eastAsia="Cambria" w:cs="Arial"/>
          <w:b/>
          <w:sz w:val="21"/>
          <w:szCs w:val="21"/>
        </w:rPr>
        <w:t xml:space="preserve"> Medicine recalls by reason for recall</w:t>
      </w:r>
    </w:p>
    <w:tbl>
      <w:tblPr>
        <w:tblStyle w:val="TableTGAblue"/>
        <w:tblW w:w="5000" w:type="pct"/>
        <w:tblLook w:val="04A0" w:firstRow="1" w:lastRow="0" w:firstColumn="1" w:lastColumn="0" w:noHBand="0" w:noVBand="1"/>
      </w:tblPr>
      <w:tblGrid>
        <w:gridCol w:w="6212"/>
        <w:gridCol w:w="1404"/>
        <w:gridCol w:w="1405"/>
      </w:tblGrid>
      <w:tr w:rsidR="005C7371" w:rsidRPr="00373DCC" w14:paraId="4005F525"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right w:val="single" w:sz="4" w:space="0" w:color="auto"/>
            </w:tcBorders>
            <w:shd w:val="clear" w:color="auto" w:fill="29527F"/>
            <w:vAlign w:val="center"/>
          </w:tcPr>
          <w:bookmarkEnd w:id="239"/>
          <w:p w14:paraId="2089C8E7" w14:textId="1676F667" w:rsidR="005C7371" w:rsidRPr="00373DCC" w:rsidRDefault="005C7371" w:rsidP="005C7371">
            <w:pPr>
              <w:widowControl w:val="0"/>
              <w:spacing w:before="0" w:after="0" w:line="240" w:lineRule="atLeast"/>
              <w:contextualSpacing/>
              <w:outlineLvl w:val="4"/>
              <w:rPr>
                <w:rFonts w:eastAsiaTheme="minorHAnsi" w:cs="Arial"/>
                <w:color w:val="FFFFFF" w:themeColor="background1"/>
                <w:sz w:val="21"/>
              </w:rPr>
            </w:pPr>
            <w:r w:rsidRPr="00373DCC">
              <w:rPr>
                <w:rFonts w:cs="Arial"/>
                <w:sz w:val="21"/>
              </w:rPr>
              <w:t>Reason for recall</w:t>
            </w:r>
          </w:p>
        </w:tc>
        <w:tc>
          <w:tcPr>
            <w:tcW w:w="778" w:type="pct"/>
            <w:tcBorders>
              <w:top w:val="single" w:sz="4" w:space="0" w:color="auto"/>
              <w:left w:val="single" w:sz="4" w:space="0" w:color="auto"/>
              <w:bottom w:val="single" w:sz="4" w:space="0" w:color="auto"/>
              <w:right w:val="single" w:sz="4" w:space="0" w:color="auto"/>
            </w:tcBorders>
            <w:shd w:val="clear" w:color="auto" w:fill="29527F"/>
            <w:vAlign w:val="center"/>
          </w:tcPr>
          <w:p w14:paraId="27D58A3E"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60ECFCD7" w14:textId="462545EA" w:rsidR="005C7371" w:rsidRPr="00373DCC"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c>
          <w:tcPr>
            <w:tcW w:w="779" w:type="pct"/>
            <w:tcBorders>
              <w:top w:val="single" w:sz="4" w:space="0" w:color="auto"/>
              <w:left w:val="single" w:sz="4" w:space="0" w:color="auto"/>
              <w:bottom w:val="single" w:sz="4" w:space="0" w:color="auto"/>
              <w:right w:val="single" w:sz="4" w:space="0" w:color="auto"/>
            </w:tcBorders>
            <w:shd w:val="clear" w:color="auto" w:fill="29527F"/>
            <w:vAlign w:val="center"/>
          </w:tcPr>
          <w:p w14:paraId="28C7F98D" w14:textId="77777777" w:rsidR="005C7371"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7EACA369" w14:textId="1ABD6234" w:rsidR="005C7371" w:rsidRPr="00373DCC" w:rsidRDefault="005C7371" w:rsidP="005C7371">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r>
      <w:tr w:rsidR="00F2350B" w:rsidRPr="00373DCC" w14:paraId="66766F3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vAlign w:val="center"/>
          </w:tcPr>
          <w:p w14:paraId="3710F036"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Adverse reactions</w:t>
            </w:r>
          </w:p>
        </w:tc>
        <w:tc>
          <w:tcPr>
            <w:tcW w:w="778" w:type="pct"/>
            <w:tcBorders>
              <w:top w:val="single" w:sz="4" w:space="0" w:color="auto"/>
              <w:left w:val="single" w:sz="4" w:space="0" w:color="002C47"/>
              <w:bottom w:val="single" w:sz="4" w:space="0" w:color="002C47"/>
              <w:right w:val="single" w:sz="4" w:space="0" w:color="002C47"/>
            </w:tcBorders>
            <w:vAlign w:val="center"/>
          </w:tcPr>
          <w:p w14:paraId="1FDC23DB"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c>
          <w:tcPr>
            <w:tcW w:w="779" w:type="pct"/>
            <w:tcBorders>
              <w:top w:val="single" w:sz="4" w:space="0" w:color="auto"/>
              <w:left w:val="single" w:sz="4" w:space="0" w:color="002C47"/>
              <w:bottom w:val="single" w:sz="4" w:space="0" w:color="002C47"/>
              <w:right w:val="single" w:sz="4" w:space="0" w:color="002C47"/>
            </w:tcBorders>
            <w:vAlign w:val="center"/>
          </w:tcPr>
          <w:p w14:paraId="5B585309"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 (10%)</w:t>
            </w:r>
          </w:p>
        </w:tc>
      </w:tr>
      <w:tr w:rsidR="00F2350B" w:rsidRPr="00373DCC" w14:paraId="23E2619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6896515F"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Foreign matter</w:t>
            </w:r>
          </w:p>
        </w:tc>
        <w:tc>
          <w:tcPr>
            <w:tcW w:w="778" w:type="pct"/>
            <w:tcBorders>
              <w:top w:val="single" w:sz="4" w:space="0" w:color="002C47"/>
              <w:left w:val="single" w:sz="4" w:space="0" w:color="002C47"/>
              <w:bottom w:val="single" w:sz="4" w:space="0" w:color="002C47"/>
              <w:right w:val="single" w:sz="4" w:space="0" w:color="002C47"/>
            </w:tcBorders>
            <w:vAlign w:val="center"/>
          </w:tcPr>
          <w:p w14:paraId="69BC9E06"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(5%)</w:t>
            </w:r>
          </w:p>
        </w:tc>
        <w:tc>
          <w:tcPr>
            <w:tcW w:w="779" w:type="pct"/>
            <w:tcBorders>
              <w:top w:val="single" w:sz="4" w:space="0" w:color="002C47"/>
              <w:left w:val="single" w:sz="4" w:space="0" w:color="002C47"/>
              <w:bottom w:val="single" w:sz="4" w:space="0" w:color="002C47"/>
              <w:right w:val="single" w:sz="4" w:space="0" w:color="002C47"/>
            </w:tcBorders>
            <w:vAlign w:val="center"/>
          </w:tcPr>
          <w:p w14:paraId="04073755"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4892330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3EC7A48B"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Illegal supply</w:t>
            </w:r>
          </w:p>
        </w:tc>
        <w:tc>
          <w:tcPr>
            <w:tcW w:w="778" w:type="pct"/>
            <w:tcBorders>
              <w:top w:val="single" w:sz="4" w:space="0" w:color="002C47"/>
              <w:left w:val="single" w:sz="4" w:space="0" w:color="002C47"/>
              <w:bottom w:val="single" w:sz="4" w:space="0" w:color="002C47"/>
              <w:right w:val="single" w:sz="4" w:space="0" w:color="002C47"/>
            </w:tcBorders>
            <w:vAlign w:val="center"/>
          </w:tcPr>
          <w:p w14:paraId="0C00408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w:t>
            </w:r>
          </w:p>
        </w:tc>
        <w:tc>
          <w:tcPr>
            <w:tcW w:w="779" w:type="pct"/>
            <w:tcBorders>
              <w:top w:val="single" w:sz="4" w:space="0" w:color="002C47"/>
              <w:left w:val="single" w:sz="4" w:space="0" w:color="002C47"/>
              <w:bottom w:val="single" w:sz="4" w:space="0" w:color="002C47"/>
              <w:right w:val="single" w:sz="4" w:space="0" w:color="002C47"/>
            </w:tcBorders>
            <w:vAlign w:val="center"/>
          </w:tcPr>
          <w:p w14:paraId="00B8B206"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6A90A84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2BBC326B"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Impurity</w:t>
            </w:r>
          </w:p>
        </w:tc>
        <w:tc>
          <w:tcPr>
            <w:tcW w:w="778" w:type="pct"/>
            <w:tcBorders>
              <w:top w:val="single" w:sz="4" w:space="0" w:color="002C47"/>
              <w:left w:val="single" w:sz="4" w:space="0" w:color="002C47"/>
              <w:bottom w:val="single" w:sz="4" w:space="0" w:color="002C47"/>
              <w:right w:val="single" w:sz="4" w:space="0" w:color="002C47"/>
            </w:tcBorders>
            <w:vAlign w:val="center"/>
          </w:tcPr>
          <w:p w14:paraId="6DE6EB84"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(13%)</w:t>
            </w:r>
          </w:p>
        </w:tc>
        <w:tc>
          <w:tcPr>
            <w:tcW w:w="779" w:type="pct"/>
            <w:tcBorders>
              <w:top w:val="single" w:sz="4" w:space="0" w:color="002C47"/>
              <w:left w:val="single" w:sz="4" w:space="0" w:color="002C47"/>
              <w:bottom w:val="single" w:sz="4" w:space="0" w:color="002C47"/>
              <w:right w:val="single" w:sz="4" w:space="0" w:color="002C47"/>
            </w:tcBorders>
            <w:vAlign w:val="center"/>
          </w:tcPr>
          <w:p w14:paraId="4EE60D14"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 (7%)</w:t>
            </w:r>
          </w:p>
        </w:tc>
      </w:tr>
      <w:tr w:rsidR="00F2350B" w:rsidRPr="00373DCC" w14:paraId="4DFD78F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4A94C133"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Labelling or Instructions</w:t>
            </w:r>
          </w:p>
        </w:tc>
        <w:tc>
          <w:tcPr>
            <w:tcW w:w="778" w:type="pct"/>
            <w:tcBorders>
              <w:top w:val="single" w:sz="4" w:space="0" w:color="002C47"/>
              <w:left w:val="single" w:sz="4" w:space="0" w:color="002C47"/>
              <w:bottom w:val="single" w:sz="4" w:space="0" w:color="002C47"/>
              <w:right w:val="single" w:sz="4" w:space="0" w:color="002C47"/>
            </w:tcBorders>
            <w:vAlign w:val="center"/>
          </w:tcPr>
          <w:p w14:paraId="47C4A2B6"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24 (31%)</w:t>
            </w:r>
          </w:p>
        </w:tc>
        <w:tc>
          <w:tcPr>
            <w:tcW w:w="779" w:type="pct"/>
            <w:tcBorders>
              <w:top w:val="single" w:sz="4" w:space="0" w:color="002C47"/>
              <w:left w:val="single" w:sz="4" w:space="0" w:color="002C47"/>
              <w:bottom w:val="single" w:sz="4" w:space="0" w:color="002C47"/>
              <w:right w:val="single" w:sz="4" w:space="0" w:color="002C47"/>
            </w:tcBorders>
            <w:vAlign w:val="center"/>
          </w:tcPr>
          <w:p w14:paraId="5DA2EA25"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 (27%)</w:t>
            </w:r>
          </w:p>
        </w:tc>
      </w:tr>
      <w:tr w:rsidR="00F2350B" w:rsidRPr="00373DCC" w14:paraId="2A0A239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1016684F"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Mechanical or Physical defect</w:t>
            </w:r>
          </w:p>
        </w:tc>
        <w:tc>
          <w:tcPr>
            <w:tcW w:w="778" w:type="pct"/>
            <w:tcBorders>
              <w:top w:val="single" w:sz="4" w:space="0" w:color="002C47"/>
              <w:left w:val="single" w:sz="4" w:space="0" w:color="002C47"/>
              <w:bottom w:val="single" w:sz="4" w:space="0" w:color="002C47"/>
              <w:right w:val="single" w:sz="4" w:space="0" w:color="002C47"/>
            </w:tcBorders>
            <w:vAlign w:val="center"/>
          </w:tcPr>
          <w:p w14:paraId="46AC6A9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(5%)</w:t>
            </w:r>
          </w:p>
        </w:tc>
        <w:tc>
          <w:tcPr>
            <w:tcW w:w="779" w:type="pct"/>
            <w:tcBorders>
              <w:top w:val="single" w:sz="4" w:space="0" w:color="002C47"/>
              <w:left w:val="single" w:sz="4" w:space="0" w:color="002C47"/>
              <w:bottom w:val="single" w:sz="4" w:space="0" w:color="002C47"/>
              <w:right w:val="single" w:sz="4" w:space="0" w:color="002C47"/>
            </w:tcBorders>
            <w:vAlign w:val="center"/>
          </w:tcPr>
          <w:p w14:paraId="5F826FDC"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15 (14%)</w:t>
            </w:r>
          </w:p>
        </w:tc>
      </w:tr>
      <w:tr w:rsidR="00F2350B" w:rsidRPr="00373DCC" w14:paraId="5F3950F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62032094"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Microbial/Fungal contamination</w:t>
            </w:r>
          </w:p>
        </w:tc>
        <w:tc>
          <w:tcPr>
            <w:tcW w:w="778" w:type="pct"/>
            <w:tcBorders>
              <w:top w:val="single" w:sz="4" w:space="0" w:color="002C47"/>
              <w:left w:val="single" w:sz="4" w:space="0" w:color="002C47"/>
              <w:bottom w:val="single" w:sz="4" w:space="0" w:color="002C47"/>
              <w:right w:val="single" w:sz="4" w:space="0" w:color="002C47"/>
            </w:tcBorders>
            <w:vAlign w:val="center"/>
          </w:tcPr>
          <w:p w14:paraId="2D05C2BB"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 (8%)</w:t>
            </w:r>
          </w:p>
        </w:tc>
        <w:tc>
          <w:tcPr>
            <w:tcW w:w="779" w:type="pct"/>
            <w:tcBorders>
              <w:top w:val="single" w:sz="4" w:space="0" w:color="002C47"/>
              <w:left w:val="single" w:sz="4" w:space="0" w:color="002C47"/>
              <w:bottom w:val="single" w:sz="4" w:space="0" w:color="002C47"/>
              <w:right w:val="single" w:sz="4" w:space="0" w:color="002C47"/>
            </w:tcBorders>
            <w:vAlign w:val="center"/>
          </w:tcPr>
          <w:p w14:paraId="510C482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r>
      <w:tr w:rsidR="00F2350B" w:rsidRPr="00373DCC" w14:paraId="4C6D0E4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34E50308"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Observed difference</w:t>
            </w:r>
          </w:p>
        </w:tc>
        <w:tc>
          <w:tcPr>
            <w:tcW w:w="778" w:type="pct"/>
            <w:tcBorders>
              <w:top w:val="single" w:sz="4" w:space="0" w:color="002C47"/>
              <w:left w:val="single" w:sz="4" w:space="0" w:color="002C47"/>
              <w:bottom w:val="single" w:sz="4" w:space="0" w:color="002C47"/>
              <w:right w:val="single" w:sz="4" w:space="0" w:color="002C47"/>
            </w:tcBorders>
            <w:vAlign w:val="center"/>
          </w:tcPr>
          <w:p w14:paraId="50B20CD1"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(2%)</w:t>
            </w:r>
          </w:p>
        </w:tc>
        <w:tc>
          <w:tcPr>
            <w:tcW w:w="779" w:type="pct"/>
            <w:tcBorders>
              <w:top w:val="single" w:sz="4" w:space="0" w:color="002C47"/>
              <w:left w:val="single" w:sz="4" w:space="0" w:color="002C47"/>
              <w:bottom w:val="single" w:sz="4" w:space="0" w:color="002C47"/>
              <w:right w:val="single" w:sz="4" w:space="0" w:color="002C47"/>
            </w:tcBorders>
            <w:vAlign w:val="center"/>
          </w:tcPr>
          <w:p w14:paraId="59A28FA2"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71B106A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0ECA484A"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Packaging or closure defect</w:t>
            </w:r>
          </w:p>
        </w:tc>
        <w:tc>
          <w:tcPr>
            <w:tcW w:w="778" w:type="pct"/>
            <w:tcBorders>
              <w:top w:val="single" w:sz="4" w:space="0" w:color="002C47"/>
              <w:left w:val="single" w:sz="4" w:space="0" w:color="002C47"/>
              <w:bottom w:val="single" w:sz="4" w:space="0" w:color="002C47"/>
              <w:right w:val="single" w:sz="4" w:space="0" w:color="002C47"/>
            </w:tcBorders>
            <w:vAlign w:val="center"/>
          </w:tcPr>
          <w:p w14:paraId="0143E7B9"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 (13%)</w:t>
            </w:r>
          </w:p>
        </w:tc>
        <w:tc>
          <w:tcPr>
            <w:tcW w:w="779" w:type="pct"/>
            <w:tcBorders>
              <w:top w:val="single" w:sz="4" w:space="0" w:color="002C47"/>
              <w:left w:val="single" w:sz="4" w:space="0" w:color="002C47"/>
              <w:bottom w:val="single" w:sz="4" w:space="0" w:color="002C47"/>
              <w:right w:val="single" w:sz="4" w:space="0" w:color="002C47"/>
            </w:tcBorders>
            <w:vAlign w:val="center"/>
          </w:tcPr>
          <w:p w14:paraId="251D5776" w14:textId="77777777" w:rsidR="00F2350B" w:rsidRPr="00373DCC" w:rsidDel="00A418F5"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 (8%)</w:t>
            </w:r>
          </w:p>
        </w:tc>
      </w:tr>
      <w:tr w:rsidR="00F2350B" w:rsidRPr="00373DCC" w14:paraId="660F295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2F58661B"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Potency</w:t>
            </w:r>
          </w:p>
        </w:tc>
        <w:tc>
          <w:tcPr>
            <w:tcW w:w="778" w:type="pct"/>
            <w:tcBorders>
              <w:top w:val="single" w:sz="4" w:space="0" w:color="002C47"/>
              <w:left w:val="single" w:sz="4" w:space="0" w:color="002C47"/>
              <w:bottom w:val="single" w:sz="4" w:space="0" w:color="002C47"/>
              <w:right w:val="single" w:sz="4" w:space="0" w:color="002C47"/>
            </w:tcBorders>
            <w:vAlign w:val="center"/>
          </w:tcPr>
          <w:p w14:paraId="6D51F598"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(4%)</w:t>
            </w:r>
          </w:p>
        </w:tc>
        <w:tc>
          <w:tcPr>
            <w:tcW w:w="779" w:type="pct"/>
            <w:tcBorders>
              <w:top w:val="single" w:sz="4" w:space="0" w:color="002C47"/>
              <w:left w:val="single" w:sz="4" w:space="0" w:color="002C47"/>
              <w:bottom w:val="single" w:sz="4" w:space="0" w:color="002C47"/>
              <w:right w:val="single" w:sz="4" w:space="0" w:color="002C47"/>
            </w:tcBorders>
            <w:vAlign w:val="center"/>
          </w:tcPr>
          <w:p w14:paraId="7C47B59C"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(3%)</w:t>
            </w:r>
          </w:p>
        </w:tc>
      </w:tr>
      <w:tr w:rsidR="00F2350B" w:rsidRPr="00373DCC" w14:paraId="4F76476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6EB2D330"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Sterility</w:t>
            </w:r>
          </w:p>
        </w:tc>
        <w:tc>
          <w:tcPr>
            <w:tcW w:w="778" w:type="pct"/>
            <w:tcBorders>
              <w:top w:val="single" w:sz="4" w:space="0" w:color="002C47"/>
              <w:left w:val="single" w:sz="4" w:space="0" w:color="002C47"/>
              <w:bottom w:val="single" w:sz="4" w:space="0" w:color="002C47"/>
              <w:right w:val="single" w:sz="4" w:space="0" w:color="002C47"/>
            </w:tcBorders>
            <w:vAlign w:val="center"/>
          </w:tcPr>
          <w:p w14:paraId="5D5CC2AF"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(4%)</w:t>
            </w:r>
          </w:p>
        </w:tc>
        <w:tc>
          <w:tcPr>
            <w:tcW w:w="779" w:type="pct"/>
            <w:tcBorders>
              <w:top w:val="single" w:sz="4" w:space="0" w:color="002C47"/>
              <w:left w:val="single" w:sz="4" w:space="0" w:color="002C47"/>
              <w:bottom w:val="single" w:sz="4" w:space="0" w:color="002C47"/>
              <w:right w:val="single" w:sz="4" w:space="0" w:color="002C47"/>
            </w:tcBorders>
            <w:vAlign w:val="center"/>
          </w:tcPr>
          <w:p w14:paraId="4AA5A34B"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 (1%)</w:t>
            </w:r>
          </w:p>
        </w:tc>
      </w:tr>
      <w:tr w:rsidR="00F2350B" w:rsidRPr="00373DCC" w14:paraId="292A08E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079E9F2E"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Variable content</w:t>
            </w:r>
          </w:p>
        </w:tc>
        <w:tc>
          <w:tcPr>
            <w:tcW w:w="778" w:type="pct"/>
            <w:tcBorders>
              <w:top w:val="single" w:sz="4" w:space="0" w:color="002C47"/>
              <w:left w:val="single" w:sz="4" w:space="0" w:color="002C47"/>
              <w:bottom w:val="single" w:sz="4" w:space="0" w:color="002C47"/>
              <w:right w:val="single" w:sz="4" w:space="0" w:color="002C47"/>
            </w:tcBorders>
            <w:vAlign w:val="center"/>
          </w:tcPr>
          <w:p w14:paraId="6B4D49E0"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(4%)</w:t>
            </w:r>
          </w:p>
        </w:tc>
        <w:tc>
          <w:tcPr>
            <w:tcW w:w="779" w:type="pct"/>
            <w:tcBorders>
              <w:top w:val="single" w:sz="4" w:space="0" w:color="002C47"/>
              <w:left w:val="single" w:sz="4" w:space="0" w:color="002C47"/>
              <w:bottom w:val="single" w:sz="4" w:space="0" w:color="002C47"/>
              <w:right w:val="single" w:sz="4" w:space="0" w:color="002C47"/>
            </w:tcBorders>
            <w:vAlign w:val="center"/>
          </w:tcPr>
          <w:p w14:paraId="0F180FFD" w14:textId="77777777" w:rsidR="00F2350B" w:rsidRPr="00373DCC" w:rsidDel="00D73FD1"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 (13%)</w:t>
            </w:r>
          </w:p>
        </w:tc>
      </w:tr>
      <w:tr w:rsidR="00F2350B" w:rsidRPr="00373DCC" w14:paraId="174F63A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4CA40492"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Other</w:t>
            </w:r>
            <w:r w:rsidRPr="00373DCC">
              <w:rPr>
                <w:rFonts w:eastAsiaTheme="minorHAnsi" w:cs="Arial"/>
                <w:sz w:val="21"/>
                <w:vertAlign w:val="superscript"/>
              </w:rPr>
              <w:t xml:space="preserve"> a</w:t>
            </w:r>
            <w:r w:rsidRPr="00373DCC" w:rsidDel="004C4BA4">
              <w:rPr>
                <w:rFonts w:eastAsiaTheme="minorHAnsi" w:cs="Arial"/>
                <w:sz w:val="21"/>
                <w:vertAlign w:val="superscript"/>
              </w:rPr>
              <w:t xml:space="preserve"> </w:t>
            </w:r>
          </w:p>
        </w:tc>
        <w:tc>
          <w:tcPr>
            <w:tcW w:w="778" w:type="pct"/>
            <w:tcBorders>
              <w:top w:val="single" w:sz="4" w:space="0" w:color="002C47"/>
              <w:left w:val="single" w:sz="4" w:space="0" w:color="002C47"/>
              <w:bottom w:val="single" w:sz="4" w:space="0" w:color="002C47"/>
              <w:right w:val="single" w:sz="4" w:space="0" w:color="002C47"/>
            </w:tcBorders>
            <w:vAlign w:val="center"/>
          </w:tcPr>
          <w:p w14:paraId="4B50248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 (8%)</w:t>
            </w:r>
          </w:p>
        </w:tc>
        <w:tc>
          <w:tcPr>
            <w:tcW w:w="779" w:type="pct"/>
            <w:tcBorders>
              <w:top w:val="single" w:sz="4" w:space="0" w:color="002C47"/>
              <w:left w:val="single" w:sz="4" w:space="0" w:color="002C47"/>
              <w:bottom w:val="single" w:sz="4" w:space="0" w:color="002C47"/>
              <w:right w:val="single" w:sz="4" w:space="0" w:color="002C47"/>
            </w:tcBorders>
            <w:vAlign w:val="center"/>
          </w:tcPr>
          <w:p w14:paraId="5C969141"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9(9%)</w:t>
            </w:r>
          </w:p>
        </w:tc>
      </w:tr>
      <w:tr w:rsidR="00F2350B" w:rsidRPr="00373DCC" w14:paraId="7A73D6E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BADB203"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1930278"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78 (100%)</w:t>
            </w:r>
          </w:p>
        </w:tc>
        <w:tc>
          <w:tcPr>
            <w:tcW w:w="77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FD28637"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106 (100%)</w:t>
            </w:r>
          </w:p>
        </w:tc>
      </w:tr>
    </w:tbl>
    <w:p w14:paraId="49083D8D"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‘Other’ includes bioavailability, diagnostic inaccuracy, disintegration or dissolution, GMP non-compliance, preservative efficacy, therapeutic inefficiency, viral/prion contamination, wrong product, and unknown.</w:t>
      </w:r>
    </w:p>
    <w:p w14:paraId="5C2E17C6" w14:textId="77777777" w:rsidR="00F2350B" w:rsidRPr="00373DCC" w:rsidRDefault="00F2350B" w:rsidP="00B633E2">
      <w:pPr>
        <w:pStyle w:val="Heading3-numbered"/>
        <w:numPr>
          <w:ilvl w:val="1"/>
          <w:numId w:val="32"/>
        </w:numPr>
        <w:rPr>
          <w:rFonts w:ascii="Arial" w:hAnsi="Arial" w:cs="Arial"/>
        </w:rPr>
      </w:pPr>
      <w:bookmarkStart w:id="240" w:name="_Toc153550495"/>
      <w:r w:rsidRPr="00373DCC">
        <w:rPr>
          <w:rFonts w:ascii="Arial" w:hAnsi="Arial" w:cs="Arial"/>
        </w:rPr>
        <w:t>Medical device recalls</w:t>
      </w:r>
      <w:bookmarkEnd w:id="240"/>
    </w:p>
    <w:p w14:paraId="6F52E0B1" w14:textId="77777777" w:rsidR="00F2350B" w:rsidRPr="00373DCC" w:rsidRDefault="00F2350B" w:rsidP="00F2350B">
      <w:pPr>
        <w:keepNext/>
        <w:spacing w:before="240" w:after="120" w:line="240" w:lineRule="auto"/>
        <w:rPr>
          <w:rFonts w:eastAsia="Cambria" w:cs="Arial"/>
          <w:b/>
          <w:bCs/>
          <w:sz w:val="21"/>
          <w:szCs w:val="21"/>
        </w:rPr>
      </w:pPr>
      <w:bookmarkStart w:id="241" w:name="Table68"/>
      <w:r w:rsidRPr="00373DCC">
        <w:rPr>
          <w:rFonts w:eastAsia="Cambria" w:cs="Arial"/>
          <w:b/>
          <w:sz w:val="21"/>
          <w:szCs w:val="21"/>
        </w:rPr>
        <w:t xml:space="preserve">Table </w:t>
      </w:r>
      <w:r w:rsidRPr="00373DCC">
        <w:rPr>
          <w:rFonts w:eastAsia="Cambria" w:cs="Arial"/>
          <w:b/>
          <w:bCs/>
          <w:sz w:val="21"/>
          <w:szCs w:val="21"/>
        </w:rPr>
        <w:t>68:</w:t>
      </w:r>
      <w:r w:rsidRPr="00373DCC">
        <w:rPr>
          <w:rFonts w:eastAsia="Cambria" w:cs="Arial"/>
          <w:b/>
          <w:sz w:val="21"/>
          <w:szCs w:val="21"/>
        </w:rPr>
        <w:t xml:space="preserve"> Medical device (including IVDs) recalls by reason for recall</w:t>
      </w:r>
    </w:p>
    <w:tbl>
      <w:tblPr>
        <w:tblStyle w:val="TableTGAblue"/>
        <w:tblW w:w="5000" w:type="pct"/>
        <w:tblLook w:val="04A0" w:firstRow="1" w:lastRow="0" w:firstColumn="1" w:lastColumn="0" w:noHBand="0" w:noVBand="1"/>
      </w:tblPr>
      <w:tblGrid>
        <w:gridCol w:w="6212"/>
        <w:gridCol w:w="1404"/>
        <w:gridCol w:w="1405"/>
      </w:tblGrid>
      <w:tr w:rsidR="00507827" w:rsidRPr="00373DCC" w14:paraId="3632A50D"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nil"/>
              <w:left w:val="nil"/>
              <w:right w:val="single" w:sz="4" w:space="0" w:color="auto"/>
            </w:tcBorders>
            <w:shd w:val="clear" w:color="auto" w:fill="29527F"/>
            <w:vAlign w:val="center"/>
          </w:tcPr>
          <w:bookmarkEnd w:id="241"/>
          <w:p w14:paraId="5982D75E" w14:textId="5EF689BF" w:rsidR="00507827" w:rsidRPr="00373DCC" w:rsidRDefault="005C7371" w:rsidP="00507827">
            <w:pPr>
              <w:widowControl w:val="0"/>
              <w:spacing w:before="0" w:after="0" w:line="240" w:lineRule="atLeast"/>
              <w:outlineLvl w:val="4"/>
              <w:rPr>
                <w:rFonts w:cs="Arial"/>
                <w:color w:val="FFFFFF" w:themeColor="background1"/>
                <w:sz w:val="21"/>
              </w:rPr>
            </w:pPr>
            <w:r w:rsidRPr="00373DCC">
              <w:rPr>
                <w:rFonts w:cs="Arial"/>
                <w:sz w:val="21"/>
              </w:rPr>
              <w:t>Reason for recall</w:t>
            </w:r>
          </w:p>
        </w:tc>
        <w:tc>
          <w:tcPr>
            <w:tcW w:w="778" w:type="pct"/>
            <w:tcBorders>
              <w:top w:val="single" w:sz="4" w:space="0" w:color="auto"/>
              <w:left w:val="single" w:sz="4" w:space="0" w:color="auto"/>
              <w:bottom w:val="single" w:sz="4" w:space="0" w:color="auto"/>
              <w:right w:val="single" w:sz="4" w:space="0" w:color="auto"/>
            </w:tcBorders>
            <w:shd w:val="clear" w:color="auto" w:fill="29527F"/>
            <w:vAlign w:val="center"/>
          </w:tcPr>
          <w:p w14:paraId="7D3E81EC" w14:textId="77777777" w:rsidR="00507827" w:rsidRDefault="00507827" w:rsidP="00507827">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0B8D0EBD" w14:textId="52292BC0" w:rsidR="005C7371" w:rsidRPr="00373DCC" w:rsidRDefault="005C7371" w:rsidP="00507827">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c>
          <w:tcPr>
            <w:tcW w:w="779" w:type="pct"/>
            <w:tcBorders>
              <w:top w:val="single" w:sz="4" w:space="0" w:color="auto"/>
              <w:left w:val="single" w:sz="4" w:space="0" w:color="auto"/>
              <w:bottom w:val="single" w:sz="4" w:space="0" w:color="auto"/>
              <w:right w:val="single" w:sz="4" w:space="0" w:color="auto"/>
            </w:tcBorders>
            <w:shd w:val="clear" w:color="auto" w:fill="29527F"/>
            <w:vAlign w:val="center"/>
          </w:tcPr>
          <w:p w14:paraId="7BEB1B1B" w14:textId="77777777" w:rsidR="00507827" w:rsidRDefault="00507827" w:rsidP="00507827">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b w:val="0"/>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3D7B171E" w14:textId="7A0CA52A" w:rsidR="005C7371" w:rsidRPr="00373DCC" w:rsidRDefault="005C7371" w:rsidP="00507827">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sz w:val="21"/>
              </w:rPr>
              <w:t xml:space="preserve">Number </w:t>
            </w:r>
            <w:r>
              <w:rPr>
                <w:rFonts w:eastAsiaTheme="minorHAnsi" w:cs="Arial"/>
                <w:sz w:val="21"/>
              </w:rPr>
              <w:br/>
            </w:r>
            <w:r w:rsidRPr="00373DCC">
              <w:rPr>
                <w:rFonts w:eastAsiaTheme="minorHAnsi" w:cs="Arial"/>
                <w:sz w:val="21"/>
              </w:rPr>
              <w:t>(% of Total)</w:t>
            </w:r>
          </w:p>
        </w:tc>
      </w:tr>
      <w:tr w:rsidR="00F2350B" w:rsidRPr="00373DCC" w14:paraId="65FE090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vAlign w:val="center"/>
          </w:tcPr>
          <w:p w14:paraId="4A5C6DEE"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Adverse incidents</w:t>
            </w:r>
          </w:p>
        </w:tc>
        <w:tc>
          <w:tcPr>
            <w:tcW w:w="778" w:type="pct"/>
            <w:tcBorders>
              <w:top w:val="single" w:sz="4" w:space="0" w:color="auto"/>
              <w:left w:val="single" w:sz="4" w:space="0" w:color="002C47"/>
              <w:bottom w:val="single" w:sz="4" w:space="0" w:color="002C47"/>
              <w:right w:val="single" w:sz="4" w:space="0" w:color="002C47"/>
            </w:tcBorders>
            <w:vAlign w:val="center"/>
          </w:tcPr>
          <w:p w14:paraId="56F22877"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 (&lt;1%)</w:t>
            </w:r>
          </w:p>
        </w:tc>
        <w:tc>
          <w:tcPr>
            <w:tcW w:w="779" w:type="pct"/>
            <w:tcBorders>
              <w:top w:val="single" w:sz="4" w:space="0" w:color="auto"/>
              <w:left w:val="single" w:sz="4" w:space="0" w:color="002C47"/>
              <w:bottom w:val="single" w:sz="4" w:space="0" w:color="002C47"/>
              <w:right w:val="single" w:sz="4" w:space="0" w:color="002C47"/>
            </w:tcBorders>
            <w:vAlign w:val="center"/>
          </w:tcPr>
          <w:p w14:paraId="23073161"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(&lt;1%)</w:t>
            </w:r>
          </w:p>
        </w:tc>
      </w:tr>
      <w:tr w:rsidR="00F2350B" w:rsidRPr="00373DCC" w14:paraId="195B4BC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5DADA451"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Diagnostic inaccuracy</w:t>
            </w:r>
          </w:p>
        </w:tc>
        <w:tc>
          <w:tcPr>
            <w:tcW w:w="778" w:type="pct"/>
            <w:tcBorders>
              <w:top w:val="single" w:sz="4" w:space="0" w:color="002C47"/>
              <w:left w:val="single" w:sz="4" w:space="0" w:color="002C47"/>
              <w:bottom w:val="single" w:sz="4" w:space="0" w:color="002C47"/>
              <w:right w:val="single" w:sz="4" w:space="0" w:color="002C47"/>
            </w:tcBorders>
            <w:vAlign w:val="center"/>
          </w:tcPr>
          <w:p w14:paraId="69858F8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25 (4%)</w:t>
            </w:r>
          </w:p>
        </w:tc>
        <w:tc>
          <w:tcPr>
            <w:tcW w:w="779" w:type="pct"/>
            <w:tcBorders>
              <w:top w:val="single" w:sz="4" w:space="0" w:color="002C47"/>
              <w:left w:val="single" w:sz="4" w:space="0" w:color="002C47"/>
              <w:bottom w:val="single" w:sz="4" w:space="0" w:color="002C47"/>
              <w:right w:val="single" w:sz="4" w:space="0" w:color="002C47"/>
            </w:tcBorders>
            <w:vAlign w:val="center"/>
          </w:tcPr>
          <w:p w14:paraId="43E09259"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23(4%)</w:t>
            </w:r>
          </w:p>
        </w:tc>
      </w:tr>
      <w:tr w:rsidR="00F2350B" w:rsidRPr="00373DCC" w14:paraId="195C345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5E76FD43"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Electrical defect</w:t>
            </w:r>
          </w:p>
        </w:tc>
        <w:tc>
          <w:tcPr>
            <w:tcW w:w="778" w:type="pct"/>
            <w:tcBorders>
              <w:top w:val="single" w:sz="4" w:space="0" w:color="002C47"/>
              <w:left w:val="single" w:sz="4" w:space="0" w:color="002C47"/>
              <w:bottom w:val="single" w:sz="4" w:space="0" w:color="002C47"/>
              <w:right w:val="single" w:sz="4" w:space="0" w:color="002C47"/>
            </w:tcBorders>
            <w:vAlign w:val="center"/>
          </w:tcPr>
          <w:p w14:paraId="15DEE9BB"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 (2%)</w:t>
            </w:r>
          </w:p>
        </w:tc>
        <w:tc>
          <w:tcPr>
            <w:tcW w:w="779" w:type="pct"/>
            <w:tcBorders>
              <w:top w:val="single" w:sz="4" w:space="0" w:color="002C47"/>
              <w:left w:val="single" w:sz="4" w:space="0" w:color="002C47"/>
              <w:bottom w:val="single" w:sz="4" w:space="0" w:color="002C47"/>
              <w:right w:val="single" w:sz="4" w:space="0" w:color="002C47"/>
            </w:tcBorders>
            <w:vAlign w:val="center"/>
          </w:tcPr>
          <w:p w14:paraId="23B95E1D"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14(3%)</w:t>
            </w:r>
          </w:p>
        </w:tc>
      </w:tr>
      <w:tr w:rsidR="00F2350B" w:rsidRPr="00373DCC" w14:paraId="4412781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01508AC2"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Illegal supply</w:t>
            </w:r>
          </w:p>
        </w:tc>
        <w:tc>
          <w:tcPr>
            <w:tcW w:w="778" w:type="pct"/>
            <w:tcBorders>
              <w:top w:val="single" w:sz="4" w:space="0" w:color="002C47"/>
              <w:left w:val="single" w:sz="4" w:space="0" w:color="002C47"/>
              <w:bottom w:val="single" w:sz="4" w:space="0" w:color="002C47"/>
              <w:right w:val="single" w:sz="4" w:space="0" w:color="002C47"/>
            </w:tcBorders>
            <w:vAlign w:val="center"/>
          </w:tcPr>
          <w:p w14:paraId="09E7DAD8"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c>
          <w:tcPr>
            <w:tcW w:w="779" w:type="pct"/>
            <w:tcBorders>
              <w:top w:val="single" w:sz="4" w:space="0" w:color="002C47"/>
              <w:left w:val="single" w:sz="4" w:space="0" w:color="002C47"/>
              <w:bottom w:val="single" w:sz="4" w:space="0" w:color="002C47"/>
              <w:right w:val="single" w:sz="4" w:space="0" w:color="002C47"/>
            </w:tcBorders>
            <w:vAlign w:val="center"/>
          </w:tcPr>
          <w:p w14:paraId="1EC343F3"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0F17EC3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1395CC08"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Labelling and packaging</w:t>
            </w:r>
          </w:p>
        </w:tc>
        <w:tc>
          <w:tcPr>
            <w:tcW w:w="778" w:type="pct"/>
            <w:tcBorders>
              <w:top w:val="single" w:sz="4" w:space="0" w:color="002C47"/>
              <w:left w:val="single" w:sz="4" w:space="0" w:color="002C47"/>
              <w:bottom w:val="single" w:sz="4" w:space="0" w:color="002C47"/>
              <w:right w:val="single" w:sz="4" w:space="0" w:color="002C47"/>
            </w:tcBorders>
            <w:vAlign w:val="center"/>
          </w:tcPr>
          <w:p w14:paraId="74C11D94"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115 (17%)</w:t>
            </w:r>
          </w:p>
        </w:tc>
        <w:tc>
          <w:tcPr>
            <w:tcW w:w="779" w:type="pct"/>
            <w:tcBorders>
              <w:top w:val="single" w:sz="4" w:space="0" w:color="002C47"/>
              <w:left w:val="single" w:sz="4" w:space="0" w:color="002C47"/>
              <w:bottom w:val="single" w:sz="4" w:space="0" w:color="002C47"/>
              <w:right w:val="single" w:sz="4" w:space="0" w:color="002C47"/>
            </w:tcBorders>
            <w:vAlign w:val="center"/>
          </w:tcPr>
          <w:p w14:paraId="2F98AC54"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89 (17%)</w:t>
            </w:r>
          </w:p>
        </w:tc>
      </w:tr>
      <w:tr w:rsidR="00F2350B" w:rsidRPr="00373DCC" w14:paraId="4693334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23CD70FE"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Mechanical and physical defects</w:t>
            </w:r>
          </w:p>
        </w:tc>
        <w:tc>
          <w:tcPr>
            <w:tcW w:w="778" w:type="pct"/>
            <w:tcBorders>
              <w:top w:val="single" w:sz="4" w:space="0" w:color="002C47"/>
              <w:left w:val="single" w:sz="4" w:space="0" w:color="002C47"/>
              <w:bottom w:val="single" w:sz="4" w:space="0" w:color="002C47"/>
              <w:right w:val="single" w:sz="4" w:space="0" w:color="002C47"/>
            </w:tcBorders>
            <w:vAlign w:val="center"/>
          </w:tcPr>
          <w:p w14:paraId="1B747B8B"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285 (43%)</w:t>
            </w:r>
          </w:p>
        </w:tc>
        <w:tc>
          <w:tcPr>
            <w:tcW w:w="779" w:type="pct"/>
            <w:tcBorders>
              <w:top w:val="single" w:sz="4" w:space="0" w:color="002C47"/>
              <w:left w:val="single" w:sz="4" w:space="0" w:color="002C47"/>
              <w:bottom w:val="single" w:sz="4" w:space="0" w:color="002C47"/>
              <w:right w:val="single" w:sz="4" w:space="0" w:color="002C47"/>
            </w:tcBorders>
            <w:vAlign w:val="center"/>
          </w:tcPr>
          <w:p w14:paraId="5EB450F8"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271 (51%)</w:t>
            </w:r>
          </w:p>
        </w:tc>
      </w:tr>
      <w:tr w:rsidR="00F2350B" w:rsidRPr="00373DCC" w14:paraId="1B6C663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18221371"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Software defects</w:t>
            </w:r>
          </w:p>
        </w:tc>
        <w:tc>
          <w:tcPr>
            <w:tcW w:w="778" w:type="pct"/>
            <w:tcBorders>
              <w:top w:val="single" w:sz="4" w:space="0" w:color="002C47"/>
              <w:left w:val="single" w:sz="4" w:space="0" w:color="002C47"/>
              <w:bottom w:val="single" w:sz="4" w:space="0" w:color="002C47"/>
              <w:right w:val="single" w:sz="4" w:space="0" w:color="002C47"/>
            </w:tcBorders>
            <w:vAlign w:val="center"/>
          </w:tcPr>
          <w:p w14:paraId="6E508CD2"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170 (26%)</w:t>
            </w:r>
          </w:p>
        </w:tc>
        <w:tc>
          <w:tcPr>
            <w:tcW w:w="779" w:type="pct"/>
            <w:tcBorders>
              <w:top w:val="single" w:sz="4" w:space="0" w:color="002C47"/>
              <w:left w:val="single" w:sz="4" w:space="0" w:color="002C47"/>
              <w:bottom w:val="single" w:sz="4" w:space="0" w:color="002C47"/>
              <w:right w:val="single" w:sz="4" w:space="0" w:color="002C47"/>
            </w:tcBorders>
            <w:vAlign w:val="center"/>
          </w:tcPr>
          <w:p w14:paraId="23374C07"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87 (16%)</w:t>
            </w:r>
          </w:p>
        </w:tc>
      </w:tr>
      <w:tr w:rsidR="00F2350B" w:rsidRPr="00373DCC" w14:paraId="1D63DBF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2899EBE7"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Sterility</w:t>
            </w:r>
          </w:p>
        </w:tc>
        <w:tc>
          <w:tcPr>
            <w:tcW w:w="778" w:type="pct"/>
            <w:tcBorders>
              <w:top w:val="single" w:sz="4" w:space="0" w:color="002C47"/>
              <w:left w:val="single" w:sz="4" w:space="0" w:color="002C47"/>
              <w:bottom w:val="single" w:sz="4" w:space="0" w:color="002C47"/>
              <w:right w:val="single" w:sz="4" w:space="0" w:color="002C47"/>
            </w:tcBorders>
            <w:vAlign w:val="center"/>
          </w:tcPr>
          <w:p w14:paraId="33FBBEEE"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 (2%)</w:t>
            </w:r>
          </w:p>
        </w:tc>
        <w:tc>
          <w:tcPr>
            <w:tcW w:w="779" w:type="pct"/>
            <w:tcBorders>
              <w:top w:val="single" w:sz="4" w:space="0" w:color="002C47"/>
              <w:left w:val="single" w:sz="4" w:space="0" w:color="002C47"/>
              <w:bottom w:val="single" w:sz="4" w:space="0" w:color="002C47"/>
              <w:right w:val="single" w:sz="4" w:space="0" w:color="002C47"/>
            </w:tcBorders>
            <w:vAlign w:val="center"/>
          </w:tcPr>
          <w:p w14:paraId="5BD88B46"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 (1%)</w:t>
            </w:r>
          </w:p>
        </w:tc>
      </w:tr>
      <w:tr w:rsidR="00F2350B" w:rsidRPr="00373DCC" w14:paraId="24EBF01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vAlign w:val="center"/>
          </w:tcPr>
          <w:p w14:paraId="1AFA5CE9"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Other</w:t>
            </w:r>
            <w:r w:rsidRPr="00373DCC">
              <w:rPr>
                <w:rFonts w:eastAsiaTheme="minorHAnsi" w:cs="Arial"/>
                <w:sz w:val="21"/>
                <w:vertAlign w:val="superscript"/>
              </w:rPr>
              <w:t xml:space="preserve"> a</w:t>
            </w:r>
          </w:p>
        </w:tc>
        <w:tc>
          <w:tcPr>
            <w:tcW w:w="778" w:type="pct"/>
            <w:tcBorders>
              <w:top w:val="single" w:sz="4" w:space="0" w:color="002C47"/>
              <w:left w:val="single" w:sz="4" w:space="0" w:color="002C47"/>
              <w:bottom w:val="single" w:sz="4" w:space="0" w:color="002C47"/>
              <w:right w:val="single" w:sz="4" w:space="0" w:color="002C47"/>
            </w:tcBorders>
            <w:vAlign w:val="center"/>
          </w:tcPr>
          <w:p w14:paraId="11CB29BE"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43 (6%)</w:t>
            </w:r>
          </w:p>
        </w:tc>
        <w:tc>
          <w:tcPr>
            <w:tcW w:w="779" w:type="pct"/>
            <w:tcBorders>
              <w:top w:val="single" w:sz="4" w:space="0" w:color="002C47"/>
              <w:left w:val="single" w:sz="4" w:space="0" w:color="002C47"/>
              <w:bottom w:val="single" w:sz="4" w:space="0" w:color="002C47"/>
              <w:right w:val="single" w:sz="4" w:space="0" w:color="002C47"/>
            </w:tcBorders>
            <w:vAlign w:val="center"/>
          </w:tcPr>
          <w:p w14:paraId="3A0D225C"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45 (8%)</w:t>
            </w:r>
          </w:p>
        </w:tc>
      </w:tr>
      <w:tr w:rsidR="00F2350B" w:rsidRPr="00373DCC" w14:paraId="3B2FF67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A65DBC7" w14:textId="77777777" w:rsidR="00F2350B" w:rsidRPr="00373DCC" w:rsidRDefault="00F2350B" w:rsidP="00710B91">
            <w:pPr>
              <w:widowControl w:val="0"/>
              <w:spacing w:before="0" w:after="0" w:line="240" w:lineRule="atLeast"/>
              <w:contextualSpacing/>
              <w:outlineLvl w:val="4"/>
              <w:rPr>
                <w:rFonts w:eastAsiaTheme="minorHAnsi" w:cs="Arial"/>
                <w:sz w:val="21"/>
              </w:rPr>
            </w:pPr>
            <w:r w:rsidRPr="00373DCC">
              <w:rPr>
                <w:rFonts w:eastAsiaTheme="minorHAnsi" w:cs="Arial"/>
                <w:sz w:val="21"/>
              </w:rPr>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0AD10B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664 (100%)</w:t>
            </w:r>
          </w:p>
        </w:tc>
        <w:tc>
          <w:tcPr>
            <w:tcW w:w="779"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A67623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536 (100%)</w:t>
            </w:r>
          </w:p>
        </w:tc>
      </w:tr>
    </w:tbl>
    <w:p w14:paraId="3A0EAC00" w14:textId="77777777" w:rsidR="00F2350B" w:rsidRPr="00373DCC" w:rsidRDefault="00F2350B" w:rsidP="00F2350B">
      <w:pPr>
        <w:widowControl w:val="0"/>
        <w:spacing w:before="0" w:after="0" w:line="0" w:lineRule="atLeast"/>
        <w:rPr>
          <w:rFonts w:eastAsia="Cambria" w:cs="Arial"/>
          <w:sz w:val="16"/>
          <w:szCs w:val="16"/>
          <w:vertAlign w:val="superscript"/>
        </w:rPr>
      </w:pPr>
      <w:r w:rsidRPr="00373DCC">
        <w:rPr>
          <w:rFonts w:eastAsia="Cambria" w:cs="Arial"/>
          <w:sz w:val="16"/>
          <w:szCs w:val="16"/>
          <w:vertAlign w:val="superscript"/>
        </w:rPr>
        <w:t>a.</w:t>
      </w:r>
      <w:r w:rsidRPr="00373DCC">
        <w:rPr>
          <w:rFonts w:eastAsia="Cambria" w:cs="Arial"/>
          <w:sz w:val="16"/>
          <w:szCs w:val="16"/>
        </w:rPr>
        <w:t>Other’ includes , foreign matter, impurity, microbial contamination, observed differences, therapeutic performance, variable content, wrong product and unknown.</w:t>
      </w:r>
      <w:r w:rsidRPr="00373DCC">
        <w:rPr>
          <w:rFonts w:eastAsia="Cambria" w:cs="Arial"/>
          <w:sz w:val="16"/>
          <w:szCs w:val="16"/>
          <w:vertAlign w:val="superscript"/>
        </w:rPr>
        <w:t>.</w:t>
      </w:r>
    </w:p>
    <w:p w14:paraId="5FE954B7" w14:textId="77777777" w:rsidR="00F2350B" w:rsidRPr="00373DCC" w:rsidRDefault="00F2350B" w:rsidP="00B633E2">
      <w:pPr>
        <w:pStyle w:val="Heading3-numbered"/>
        <w:numPr>
          <w:ilvl w:val="1"/>
          <w:numId w:val="32"/>
        </w:numPr>
        <w:rPr>
          <w:rFonts w:ascii="Arial" w:hAnsi="Arial" w:cs="Arial"/>
        </w:rPr>
      </w:pPr>
      <w:bookmarkStart w:id="242" w:name="_Toc153550496"/>
      <w:r w:rsidRPr="00373DCC">
        <w:rPr>
          <w:rFonts w:ascii="Arial" w:hAnsi="Arial" w:cs="Arial"/>
        </w:rPr>
        <w:lastRenderedPageBreak/>
        <w:t>Blood and Biological recalls</w:t>
      </w:r>
      <w:bookmarkEnd w:id="242"/>
    </w:p>
    <w:p w14:paraId="1563CCB8" w14:textId="77777777" w:rsidR="00F2350B" w:rsidRPr="00373DCC" w:rsidRDefault="00F2350B" w:rsidP="00F2350B">
      <w:pPr>
        <w:keepNext/>
        <w:spacing w:before="240" w:after="120" w:line="240" w:lineRule="auto"/>
        <w:rPr>
          <w:rFonts w:eastAsia="Cambria" w:cs="Arial"/>
          <w:b/>
          <w:bCs/>
          <w:sz w:val="21"/>
          <w:szCs w:val="21"/>
        </w:rPr>
      </w:pPr>
      <w:bookmarkStart w:id="243" w:name="Table69"/>
      <w:r w:rsidRPr="00373DCC">
        <w:rPr>
          <w:rFonts w:eastAsia="Cambria" w:cs="Arial"/>
          <w:b/>
          <w:sz w:val="21"/>
          <w:szCs w:val="21"/>
        </w:rPr>
        <w:t xml:space="preserve">Table </w:t>
      </w:r>
      <w:r w:rsidRPr="00373DCC">
        <w:rPr>
          <w:rFonts w:eastAsia="Cambria" w:cs="Arial"/>
          <w:b/>
          <w:bCs/>
          <w:sz w:val="21"/>
          <w:szCs w:val="21"/>
        </w:rPr>
        <w:t>69:</w:t>
      </w:r>
      <w:r w:rsidRPr="00373DCC">
        <w:rPr>
          <w:rFonts w:eastAsia="Cambria" w:cs="Arial"/>
          <w:b/>
          <w:sz w:val="21"/>
          <w:szCs w:val="21"/>
        </w:rPr>
        <w:t xml:space="preserve"> Blood recalls</w:t>
      </w:r>
    </w:p>
    <w:bookmarkEnd w:id="243"/>
    <w:tbl>
      <w:tblPr>
        <w:tblStyle w:val="TableTGAblue"/>
        <w:tblW w:w="5000" w:type="pct"/>
        <w:tblLook w:val="04A0" w:firstRow="1" w:lastRow="0" w:firstColumn="1" w:lastColumn="0" w:noHBand="0" w:noVBand="1"/>
      </w:tblPr>
      <w:tblGrid>
        <w:gridCol w:w="6165"/>
        <w:gridCol w:w="1420"/>
        <w:gridCol w:w="1436"/>
      </w:tblGrid>
      <w:tr w:rsidR="00507827" w:rsidRPr="00373DCC" w14:paraId="348E6574" w14:textId="77777777" w:rsidTr="00507827">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nil"/>
              <w:right w:val="single" w:sz="4" w:space="0" w:color="auto"/>
            </w:tcBorders>
            <w:shd w:val="clear" w:color="auto" w:fill="FFFFFF" w:themeFill="background1"/>
            <w:vAlign w:val="center"/>
          </w:tcPr>
          <w:p w14:paraId="30B17953" w14:textId="77777777" w:rsidR="00507827" w:rsidRPr="00373DCC" w:rsidRDefault="00507827" w:rsidP="00507827">
            <w:pPr>
              <w:keepLines/>
              <w:widowControl w:val="0"/>
              <w:spacing w:before="0" w:after="0" w:line="240" w:lineRule="atLeast"/>
              <w:contextualSpacing/>
              <w:outlineLvl w:val="4"/>
              <w:rPr>
                <w:rFonts w:eastAsiaTheme="minorHAnsi" w:cs="Arial"/>
                <w:color w:val="FFFFFF" w:themeColor="background1"/>
                <w:sz w:val="21"/>
              </w:rPr>
            </w:pPr>
          </w:p>
        </w:tc>
        <w:tc>
          <w:tcPr>
            <w:tcW w:w="787" w:type="pct"/>
            <w:tcBorders>
              <w:top w:val="single" w:sz="4" w:space="0" w:color="auto"/>
              <w:left w:val="single" w:sz="4" w:space="0" w:color="auto"/>
              <w:bottom w:val="single" w:sz="4" w:space="0" w:color="002C47"/>
              <w:right w:val="single" w:sz="4" w:space="0" w:color="auto"/>
            </w:tcBorders>
            <w:shd w:val="clear" w:color="auto" w:fill="29527F"/>
            <w:vAlign w:val="center"/>
          </w:tcPr>
          <w:p w14:paraId="23882DC3" w14:textId="3587C0C7" w:rsidR="00507827" w:rsidRPr="00373DCC" w:rsidRDefault="00507827" w:rsidP="00507827">
            <w:pPr>
              <w:keepLines/>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96" w:type="pct"/>
            <w:tcBorders>
              <w:top w:val="single" w:sz="4" w:space="0" w:color="auto"/>
              <w:left w:val="single" w:sz="4" w:space="0" w:color="auto"/>
              <w:bottom w:val="single" w:sz="4" w:space="0" w:color="002C47"/>
              <w:right w:val="single" w:sz="4" w:space="0" w:color="auto"/>
            </w:tcBorders>
            <w:shd w:val="clear" w:color="auto" w:fill="29527F"/>
            <w:vAlign w:val="center"/>
          </w:tcPr>
          <w:p w14:paraId="3A5045B1" w14:textId="4B6274B6" w:rsidR="00507827" w:rsidRPr="00373DCC" w:rsidRDefault="00507827" w:rsidP="00507827">
            <w:pPr>
              <w:keepLines/>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36FC315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vAlign w:val="center"/>
          </w:tcPr>
          <w:p w14:paraId="64A0EB86" w14:textId="77777777" w:rsidR="00F2350B" w:rsidRPr="00373DCC" w:rsidRDefault="00F2350B" w:rsidP="00710B91">
            <w:pPr>
              <w:keepLines/>
              <w:widowControl w:val="0"/>
              <w:spacing w:before="0" w:after="0" w:line="240" w:lineRule="atLeast"/>
              <w:contextualSpacing/>
              <w:outlineLvl w:val="4"/>
              <w:rPr>
                <w:rFonts w:eastAsiaTheme="minorHAnsi" w:cs="Arial"/>
                <w:sz w:val="21"/>
              </w:rPr>
            </w:pPr>
            <w:r w:rsidRPr="00373DCC">
              <w:rPr>
                <w:rFonts w:eastAsiaTheme="minorHAnsi" w:cs="Arial"/>
                <w:sz w:val="21"/>
              </w:rPr>
              <w:t>Recalls to hospital level</w:t>
            </w:r>
          </w:p>
        </w:tc>
        <w:tc>
          <w:tcPr>
            <w:tcW w:w="787" w:type="pct"/>
            <w:tcBorders>
              <w:top w:val="single" w:sz="4" w:space="0" w:color="002C47"/>
              <w:left w:val="single" w:sz="4" w:space="0" w:color="002C47"/>
              <w:bottom w:val="single" w:sz="4" w:space="0" w:color="002C47"/>
              <w:right w:val="single" w:sz="4" w:space="0" w:color="002C47"/>
            </w:tcBorders>
            <w:vAlign w:val="center"/>
          </w:tcPr>
          <w:p w14:paraId="0C785DEE" w14:textId="77777777" w:rsidR="00F2350B" w:rsidRPr="00373DCC" w:rsidRDefault="00F2350B" w:rsidP="00710B91">
            <w:pPr>
              <w:keepLines/>
              <w:widowControl w:val="0"/>
              <w:tabs>
                <w:tab w:val="left" w:pos="1290"/>
              </w:tab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71</w:t>
            </w:r>
          </w:p>
        </w:tc>
        <w:tc>
          <w:tcPr>
            <w:tcW w:w="796" w:type="pct"/>
            <w:tcBorders>
              <w:top w:val="single" w:sz="4" w:space="0" w:color="002C47"/>
              <w:left w:val="single" w:sz="4" w:space="0" w:color="002C47"/>
              <w:bottom w:val="single" w:sz="4" w:space="0" w:color="002C47"/>
              <w:right w:val="single" w:sz="4" w:space="0" w:color="002C47"/>
            </w:tcBorders>
            <w:vAlign w:val="center"/>
          </w:tcPr>
          <w:p w14:paraId="00B83CAC" w14:textId="77777777" w:rsidR="00F2350B" w:rsidRPr="00373DCC" w:rsidRDefault="00F2350B" w:rsidP="00710B91">
            <w:pPr>
              <w:keepLines/>
              <w:widowControl w:val="0"/>
              <w:tabs>
                <w:tab w:val="left" w:pos="1290"/>
              </w:tab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54</w:t>
            </w:r>
          </w:p>
        </w:tc>
      </w:tr>
    </w:tbl>
    <w:p w14:paraId="03FE439C" w14:textId="77777777" w:rsidR="00F2350B" w:rsidRPr="00373DCC" w:rsidRDefault="00F2350B" w:rsidP="00F2350B">
      <w:pPr>
        <w:keepNext/>
        <w:keepLines/>
        <w:widowControl w:val="0"/>
        <w:tabs>
          <w:tab w:val="left" w:pos="907"/>
          <w:tab w:val="left" w:pos="1134"/>
        </w:tabs>
        <w:spacing w:before="360" w:after="120" w:line="240" w:lineRule="atLeast"/>
        <w:ind w:left="907" w:hanging="907"/>
        <w:outlineLvl w:val="4"/>
        <w:rPr>
          <w:rFonts w:eastAsia="Cambria" w:cs="Arial"/>
          <w:sz w:val="21"/>
          <w:szCs w:val="21"/>
        </w:rPr>
      </w:pPr>
    </w:p>
    <w:p w14:paraId="4C74648E" w14:textId="77777777" w:rsidR="00F2350B" w:rsidRPr="00373DCC" w:rsidRDefault="00F2350B" w:rsidP="00F2350B">
      <w:pPr>
        <w:keepNext/>
        <w:spacing w:before="240" w:after="120" w:line="240" w:lineRule="auto"/>
        <w:rPr>
          <w:rFonts w:eastAsia="Cambria" w:cs="Arial"/>
          <w:b/>
          <w:bCs/>
          <w:sz w:val="21"/>
          <w:szCs w:val="21"/>
        </w:rPr>
      </w:pPr>
      <w:bookmarkStart w:id="244" w:name="Table70"/>
      <w:r w:rsidRPr="00373DCC">
        <w:rPr>
          <w:rFonts w:eastAsia="Cambria" w:cs="Arial"/>
          <w:b/>
          <w:sz w:val="21"/>
          <w:szCs w:val="21"/>
        </w:rPr>
        <w:t xml:space="preserve">Table </w:t>
      </w:r>
      <w:r w:rsidRPr="00373DCC">
        <w:rPr>
          <w:rFonts w:eastAsia="Cambria" w:cs="Arial"/>
          <w:b/>
          <w:bCs/>
          <w:sz w:val="21"/>
          <w:szCs w:val="21"/>
        </w:rPr>
        <w:t>70:</w:t>
      </w:r>
      <w:r w:rsidRPr="00373DCC">
        <w:rPr>
          <w:rFonts w:eastAsia="Cambria" w:cs="Arial"/>
          <w:b/>
          <w:sz w:val="21"/>
          <w:szCs w:val="21"/>
        </w:rPr>
        <w:t xml:space="preserve"> Biological recalls</w:t>
      </w:r>
    </w:p>
    <w:bookmarkEnd w:id="244"/>
    <w:tbl>
      <w:tblPr>
        <w:tblStyle w:val="TableTGAblue"/>
        <w:tblW w:w="5000" w:type="pct"/>
        <w:tblLook w:val="04A0" w:firstRow="1" w:lastRow="0" w:firstColumn="1" w:lastColumn="0" w:noHBand="0" w:noVBand="1"/>
      </w:tblPr>
      <w:tblGrid>
        <w:gridCol w:w="6165"/>
        <w:gridCol w:w="1420"/>
        <w:gridCol w:w="1436"/>
      </w:tblGrid>
      <w:tr w:rsidR="00507827" w:rsidRPr="00373DCC" w14:paraId="22F20A40" w14:textId="77777777" w:rsidTr="0050782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17" w:type="pct"/>
            <w:tcBorders>
              <w:top w:val="nil"/>
              <w:left w:val="nil"/>
              <w:bottom w:val="nil"/>
              <w:right w:val="single" w:sz="4" w:space="0" w:color="auto"/>
            </w:tcBorders>
            <w:shd w:val="clear" w:color="auto" w:fill="FFFFFF" w:themeFill="background1"/>
            <w:vAlign w:val="center"/>
          </w:tcPr>
          <w:p w14:paraId="28426DDC" w14:textId="77777777" w:rsidR="00507827" w:rsidRPr="00373DCC" w:rsidRDefault="00507827" w:rsidP="00507827">
            <w:pPr>
              <w:keepLines/>
              <w:widowControl w:val="0"/>
              <w:spacing w:before="0" w:after="0" w:line="240" w:lineRule="atLeast"/>
              <w:contextualSpacing/>
              <w:rPr>
                <w:rFonts w:eastAsiaTheme="minorHAnsi" w:cs="Arial"/>
                <w:color w:val="FFFFFF" w:themeColor="background1"/>
                <w:sz w:val="21"/>
              </w:rPr>
            </w:pPr>
          </w:p>
        </w:tc>
        <w:tc>
          <w:tcPr>
            <w:tcW w:w="787" w:type="pct"/>
            <w:tcBorders>
              <w:top w:val="single" w:sz="4" w:space="0" w:color="auto"/>
              <w:left w:val="single" w:sz="4" w:space="0" w:color="auto"/>
              <w:bottom w:val="single" w:sz="4" w:space="0" w:color="002C47"/>
              <w:right w:val="single" w:sz="4" w:space="0" w:color="auto"/>
            </w:tcBorders>
            <w:shd w:val="clear" w:color="auto" w:fill="29527F"/>
            <w:vAlign w:val="center"/>
          </w:tcPr>
          <w:p w14:paraId="177D5556" w14:textId="5DD3B0F4" w:rsidR="00507827" w:rsidRPr="00373DCC" w:rsidRDefault="00507827" w:rsidP="00507827">
            <w:pPr>
              <w:keepLines/>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96" w:type="pct"/>
            <w:tcBorders>
              <w:top w:val="single" w:sz="4" w:space="0" w:color="auto"/>
              <w:left w:val="single" w:sz="4" w:space="0" w:color="auto"/>
              <w:bottom w:val="single" w:sz="4" w:space="0" w:color="002C47"/>
              <w:right w:val="single" w:sz="4" w:space="0" w:color="auto"/>
            </w:tcBorders>
            <w:shd w:val="clear" w:color="auto" w:fill="29527F"/>
            <w:vAlign w:val="center"/>
          </w:tcPr>
          <w:p w14:paraId="3E3F7180" w14:textId="1818F9A8" w:rsidR="00507827" w:rsidRPr="00373DCC" w:rsidRDefault="00507827" w:rsidP="00507827">
            <w:pPr>
              <w:keepLines/>
              <w:widowControl w:val="0"/>
              <w:spacing w:before="0" w:after="0"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21D1CDE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vAlign w:val="center"/>
          </w:tcPr>
          <w:p w14:paraId="37F1391D" w14:textId="77777777" w:rsidR="00F2350B" w:rsidRPr="00373DCC" w:rsidRDefault="00F2350B" w:rsidP="00710B91">
            <w:pPr>
              <w:keepLines/>
              <w:widowControl w:val="0"/>
              <w:spacing w:before="0" w:after="0" w:line="240" w:lineRule="atLeast"/>
              <w:contextualSpacing/>
              <w:rPr>
                <w:rFonts w:eastAsiaTheme="minorHAnsi" w:cs="Arial"/>
                <w:sz w:val="21"/>
              </w:rPr>
            </w:pPr>
            <w:r w:rsidRPr="00373DCC">
              <w:rPr>
                <w:rFonts w:eastAsiaTheme="minorHAnsi" w:cs="Arial"/>
                <w:sz w:val="21"/>
              </w:rPr>
              <w:t>Recalls to hospital level</w:t>
            </w:r>
          </w:p>
        </w:tc>
        <w:tc>
          <w:tcPr>
            <w:tcW w:w="787" w:type="pct"/>
            <w:tcBorders>
              <w:top w:val="single" w:sz="4" w:space="0" w:color="002C47"/>
              <w:left w:val="single" w:sz="4" w:space="0" w:color="002C47"/>
              <w:bottom w:val="single" w:sz="4" w:space="0" w:color="002C47"/>
              <w:right w:val="single" w:sz="4" w:space="0" w:color="002C47"/>
            </w:tcBorders>
            <w:vAlign w:val="center"/>
          </w:tcPr>
          <w:p w14:paraId="3C28EC65" w14:textId="77777777" w:rsidR="00F2350B" w:rsidRPr="00373DCC" w:rsidRDefault="00F2350B" w:rsidP="00710B91">
            <w:pPr>
              <w:keepLines/>
              <w:widowControl w:val="0"/>
              <w:tabs>
                <w:tab w:val="left" w:pos="1290"/>
              </w:tabs>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w:t>
            </w:r>
          </w:p>
        </w:tc>
        <w:tc>
          <w:tcPr>
            <w:tcW w:w="796" w:type="pct"/>
            <w:tcBorders>
              <w:top w:val="single" w:sz="4" w:space="0" w:color="002C47"/>
              <w:left w:val="single" w:sz="4" w:space="0" w:color="002C47"/>
              <w:bottom w:val="single" w:sz="4" w:space="0" w:color="002C47"/>
              <w:right w:val="single" w:sz="4" w:space="0" w:color="002C47"/>
            </w:tcBorders>
            <w:vAlign w:val="center"/>
          </w:tcPr>
          <w:p w14:paraId="0901B6E3" w14:textId="77777777" w:rsidR="00F2350B" w:rsidRPr="00373DCC" w:rsidRDefault="00F2350B" w:rsidP="00710B91">
            <w:pPr>
              <w:keepLines/>
              <w:widowControl w:val="0"/>
              <w:spacing w:before="0" w:after="0"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18</w:t>
            </w:r>
          </w:p>
        </w:tc>
      </w:tr>
    </w:tbl>
    <w:p w14:paraId="08D5BE10"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1"/>
          <w:szCs w:val="21"/>
          <w:lang w:eastAsia="en-AU"/>
        </w:rPr>
      </w:pPr>
    </w:p>
    <w:p w14:paraId="0AE931CD" w14:textId="77777777" w:rsidR="00F2350B" w:rsidRPr="00373DCC" w:rsidRDefault="00F2350B" w:rsidP="00F2350B">
      <w:pPr>
        <w:rPr>
          <w:rFonts w:eastAsia="Times New Roman" w:cs="Arial"/>
          <w:bCs/>
          <w:color w:val="004672" w:themeColor="text2" w:themeTint="E6"/>
          <w:szCs w:val="22"/>
          <w:lang w:eastAsia="en-AU"/>
        </w:rPr>
      </w:pPr>
      <w:r w:rsidRPr="00373DCC">
        <w:rPr>
          <w:rFonts w:eastAsia="Cambria" w:cs="Arial"/>
          <w:szCs w:val="22"/>
        </w:rPr>
        <w:br w:type="page"/>
      </w:r>
    </w:p>
    <w:p w14:paraId="2F282B9D"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45" w:name="_Toc153550497"/>
      <w:r w:rsidRPr="00373DCC">
        <w:rPr>
          <w:rFonts w:eastAsiaTheme="majorEastAsia" w:cs="Arial"/>
          <w:b/>
          <w:color w:val="00348C" w:themeColor="accent1" w:themeShade="BF"/>
          <w:sz w:val="28"/>
          <w:szCs w:val="28"/>
          <w:lang w:eastAsia="en-AU"/>
        </w:rPr>
        <w:lastRenderedPageBreak/>
        <w:t>13. Laboratory Testing</w:t>
      </w:r>
      <w:bookmarkEnd w:id="245"/>
    </w:p>
    <w:p w14:paraId="331DEAF8" w14:textId="77777777" w:rsidR="00F2350B" w:rsidRPr="00373DCC" w:rsidRDefault="00F2350B" w:rsidP="00F2350B">
      <w:pPr>
        <w:rPr>
          <w:rFonts w:cs="Arial"/>
          <w:sz w:val="21"/>
          <w:szCs w:val="21"/>
        </w:rPr>
      </w:pPr>
      <w:r w:rsidRPr="00373DCC">
        <w:rPr>
          <w:rFonts w:cs="Arial"/>
          <w:sz w:val="21"/>
          <w:szCs w:val="21"/>
        </w:rPr>
        <w:t>Our laboratories conduct post-market monitoring and compliance testing, investigations, and reviews, as well as market authorisation assessment of therapeutic goods.</w:t>
      </w:r>
    </w:p>
    <w:p w14:paraId="1DCC0A22" w14:textId="77777777" w:rsidR="00F2350B" w:rsidRPr="00373DCC" w:rsidRDefault="00F2350B" w:rsidP="00F2350B">
      <w:pPr>
        <w:rPr>
          <w:rFonts w:cs="Arial"/>
          <w:sz w:val="21"/>
          <w:szCs w:val="21"/>
        </w:rPr>
      </w:pPr>
      <w:r w:rsidRPr="00373DCC">
        <w:rPr>
          <w:rFonts w:cs="Arial"/>
          <w:sz w:val="21"/>
          <w:szCs w:val="21"/>
        </w:rPr>
        <w:t xml:space="preserve">A risk management approach, consistent with </w:t>
      </w:r>
      <w:r w:rsidRPr="00373DCC">
        <w:rPr>
          <w:rFonts w:cs="Arial"/>
          <w:i/>
          <w:sz w:val="21"/>
          <w:szCs w:val="21"/>
        </w:rPr>
        <w:t>ISO 31000: Risk Management principals and guidelines,</w:t>
      </w:r>
      <w:r w:rsidRPr="00373DCC">
        <w:rPr>
          <w:rFonts w:cs="Arial"/>
          <w:sz w:val="21"/>
          <w:szCs w:val="21"/>
        </w:rPr>
        <w:t xml:space="preserve"> is used to prioritise products with a higher risk of not complying with the required quality standards. This risk-based, targeted approach to testing is reflected in the failure rates reported in the table below.</w:t>
      </w:r>
    </w:p>
    <w:p w14:paraId="37AD6C41" w14:textId="77777777" w:rsidR="00F2350B" w:rsidRPr="00373DCC" w:rsidRDefault="00F2350B" w:rsidP="00F2350B">
      <w:pPr>
        <w:rPr>
          <w:rFonts w:cs="Arial"/>
          <w:sz w:val="21"/>
          <w:szCs w:val="21"/>
        </w:rPr>
      </w:pPr>
      <w:r w:rsidRPr="00373DCC">
        <w:rPr>
          <w:rFonts w:cs="Arial"/>
          <w:sz w:val="21"/>
          <w:szCs w:val="21"/>
        </w:rPr>
        <w:t>During the 2022-23 period, the TGA Laboratories relocated to a new, purpose-built facility, designed and built over the preceding three-year period. The new laboratories facility was designed to maximise functionality and future-proof the facility to meet new and emerging testing capacity and capability for ensuring the quality of therapeutic goods. The relocation process required further prioritisation of testing in accordance with the TGA Laboratory’s established risk management approach.  The testing schedule during this reporting period focussed on high-risk product groups, and delayed testing of lower risk product groups, resulting in a decrease in the overall number of samples tested for the 2022-23 period.</w:t>
      </w:r>
    </w:p>
    <w:p w14:paraId="131ED268" w14:textId="77777777" w:rsidR="00F2350B" w:rsidRPr="00373DCC" w:rsidRDefault="00F2350B" w:rsidP="00F2350B">
      <w:pPr>
        <w:rPr>
          <w:rFonts w:cs="Arial"/>
          <w:color w:val="000000"/>
          <w:sz w:val="21"/>
          <w:szCs w:val="21"/>
        </w:rPr>
      </w:pPr>
      <w:r w:rsidRPr="00373DCC">
        <w:rPr>
          <w:rFonts w:cs="Arial"/>
          <w:color w:val="000000"/>
          <w:sz w:val="21"/>
          <w:szCs w:val="21"/>
        </w:rPr>
        <w:t xml:space="preserve">The TGA Laboratories have now completed the testing for the post market review of face masks, which are medical devices.  The peak of this testing occurred in previous years. This explains the difference in medical device testing between 2021-22 and 2022-23. Further information regarding this testing can be found on the </w:t>
      </w:r>
      <w:hyperlink r:id="rId48" w:history="1">
        <w:r w:rsidRPr="00373DCC">
          <w:rPr>
            <w:rFonts w:cs="Arial"/>
            <w:color w:val="004672" w:themeColor="text2" w:themeTint="E6"/>
            <w:sz w:val="21"/>
            <w:szCs w:val="21"/>
            <w:u w:val="single"/>
          </w:rPr>
          <w:t>testing of face masks and respirators webpage</w:t>
        </w:r>
      </w:hyperlink>
      <w:r w:rsidRPr="00373DCC">
        <w:rPr>
          <w:rFonts w:cs="Arial"/>
          <w:color w:val="000000"/>
          <w:sz w:val="21"/>
          <w:szCs w:val="21"/>
        </w:rPr>
        <w:t>.</w:t>
      </w:r>
    </w:p>
    <w:p w14:paraId="207A9CA0" w14:textId="77777777" w:rsidR="00F2350B" w:rsidRPr="00373DCC" w:rsidRDefault="00F2350B" w:rsidP="00F2350B">
      <w:pPr>
        <w:rPr>
          <w:rFonts w:cs="Arial"/>
          <w:color w:val="000000"/>
          <w:sz w:val="21"/>
          <w:szCs w:val="21"/>
        </w:rPr>
      </w:pPr>
      <w:r w:rsidRPr="00373DCC">
        <w:rPr>
          <w:rFonts w:cs="Arial"/>
          <w:color w:val="000000"/>
          <w:sz w:val="21"/>
          <w:szCs w:val="21"/>
        </w:rPr>
        <w:t>The 2022-23 reporting period had a decrease in the number of prescription medicines tested.  This decrease was due to our efforts focused on the evaluation and release of COVID19 and other vaccines, and the availability of our testing facilities, some of which were impacted by the relocation process.</w:t>
      </w:r>
    </w:p>
    <w:p w14:paraId="1AD76C7C" w14:textId="77777777" w:rsidR="00F2350B" w:rsidRPr="00373DCC" w:rsidRDefault="00F2350B" w:rsidP="00F2350B">
      <w:pPr>
        <w:rPr>
          <w:rFonts w:cs="Arial"/>
          <w:color w:val="000000"/>
          <w:sz w:val="21"/>
          <w:szCs w:val="21"/>
        </w:rPr>
      </w:pPr>
      <w:r w:rsidRPr="00373DCC">
        <w:rPr>
          <w:rFonts w:cs="Arial"/>
          <w:color w:val="000000"/>
          <w:sz w:val="21"/>
          <w:szCs w:val="21"/>
        </w:rPr>
        <w:t>Compliance with normal testing timeframes has also been affected by the building relocation, as well as ongoing testing efforts in relation to the COVID-19 pandemic.</w:t>
      </w:r>
    </w:p>
    <w:p w14:paraId="55699A07" w14:textId="77777777" w:rsidR="00F2350B" w:rsidRPr="00373DCC" w:rsidRDefault="00F2350B" w:rsidP="00F2350B">
      <w:pPr>
        <w:spacing w:after="160" w:line="259" w:lineRule="auto"/>
        <w:rPr>
          <w:rFonts w:cs="Arial"/>
          <w:color w:val="000000"/>
          <w:sz w:val="21"/>
          <w:szCs w:val="21"/>
        </w:rPr>
      </w:pPr>
      <w:r w:rsidRPr="00373DCC">
        <w:rPr>
          <w:rFonts w:cs="Arial"/>
          <w:color w:val="000000"/>
          <w:sz w:val="21"/>
          <w:szCs w:val="21"/>
        </w:rPr>
        <w:br w:type="page"/>
      </w:r>
    </w:p>
    <w:p w14:paraId="4F46D53C" w14:textId="77777777" w:rsidR="00F2350B" w:rsidRPr="00373DCC" w:rsidRDefault="00F2350B" w:rsidP="00F2350B">
      <w:pPr>
        <w:keepNext/>
        <w:spacing w:before="240" w:after="120" w:line="240" w:lineRule="auto"/>
        <w:rPr>
          <w:rFonts w:eastAsia="Cambria" w:cs="Arial"/>
          <w:b/>
          <w:bCs/>
          <w:sz w:val="21"/>
          <w:szCs w:val="21"/>
        </w:rPr>
      </w:pPr>
      <w:bookmarkStart w:id="246" w:name="Table71"/>
      <w:r w:rsidRPr="00373DCC">
        <w:rPr>
          <w:rFonts w:eastAsia="Cambria" w:cs="Arial"/>
          <w:b/>
          <w:sz w:val="21"/>
          <w:szCs w:val="21"/>
        </w:rPr>
        <w:lastRenderedPageBreak/>
        <w:t xml:space="preserve">Table </w:t>
      </w:r>
      <w:r w:rsidRPr="00373DCC">
        <w:rPr>
          <w:rFonts w:eastAsia="Cambria" w:cs="Arial"/>
          <w:b/>
          <w:bCs/>
          <w:sz w:val="21"/>
          <w:szCs w:val="21"/>
        </w:rPr>
        <w:t>71:</w:t>
      </w:r>
      <w:r w:rsidRPr="00373DCC">
        <w:rPr>
          <w:rFonts w:eastAsia="Cambria" w:cs="Arial"/>
          <w:b/>
          <w:sz w:val="21"/>
          <w:szCs w:val="21"/>
        </w:rPr>
        <w:t xml:space="preserve"> Samples and products tested by type of therapeutic good and percentage which failed</w:t>
      </w:r>
    </w:p>
    <w:tbl>
      <w:tblPr>
        <w:tblStyle w:val="TableTGAblue1"/>
        <w:tblW w:w="5002" w:type="pct"/>
        <w:tblLook w:val="04A0" w:firstRow="1" w:lastRow="0" w:firstColumn="1" w:lastColumn="0" w:noHBand="0" w:noVBand="1"/>
      </w:tblPr>
      <w:tblGrid>
        <w:gridCol w:w="4670"/>
        <w:gridCol w:w="1508"/>
        <w:gridCol w:w="1422"/>
        <w:gridCol w:w="1420"/>
      </w:tblGrid>
      <w:tr w:rsidR="00507827" w:rsidRPr="00373DCC" w14:paraId="21DCDD13" w14:textId="77777777" w:rsidTr="00507827">
        <w:trPr>
          <w:gridBefore w:val="2"/>
          <w:cnfStyle w:val="100000000000" w:firstRow="1" w:lastRow="0" w:firstColumn="0" w:lastColumn="0" w:oddVBand="0" w:evenVBand="0" w:oddHBand="0" w:evenHBand="0" w:firstRowFirstColumn="0" w:firstRowLastColumn="0" w:lastRowFirstColumn="0" w:lastRowLastColumn="0"/>
          <w:wBefore w:w="3425" w:type="pct"/>
          <w:trHeight w:val="381"/>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left w:val="single" w:sz="4" w:space="0" w:color="auto"/>
              <w:bottom w:val="single" w:sz="4" w:space="0" w:color="auto"/>
            </w:tcBorders>
            <w:shd w:val="clear" w:color="auto" w:fill="29527F"/>
            <w:vAlign w:val="center"/>
          </w:tcPr>
          <w:bookmarkEnd w:id="246"/>
          <w:p w14:paraId="6B6F3EB4" w14:textId="4BE2198A" w:rsidR="00507827" w:rsidRPr="00373DCC" w:rsidRDefault="00507827" w:rsidP="00507827">
            <w:pPr>
              <w:keepLines/>
              <w:widowControl w:val="0"/>
              <w:spacing w:before="0" w:after="0" w:line="240" w:lineRule="atLeast"/>
              <w:contextualSpacing/>
              <w:jc w:val="center"/>
              <w:outlineLvl w:val="4"/>
              <w:rPr>
                <w:rFonts w:eastAsiaTheme="minorHAnsi" w:cs="Arial"/>
                <w:szCs w:val="22"/>
              </w:rPr>
            </w:pPr>
            <w:r>
              <w:rPr>
                <w:rFonts w:eastAsiaTheme="minorHAnsi" w:cs="Arial"/>
                <w:sz w:val="21"/>
              </w:rPr>
              <w:t xml:space="preserve">FY </w:t>
            </w:r>
            <w:r w:rsidRPr="00373DCC">
              <w:rPr>
                <w:rFonts w:eastAsiaTheme="minorHAnsi" w:cs="Arial"/>
                <w:sz w:val="21"/>
              </w:rPr>
              <w:t>2021-22</w:t>
            </w:r>
          </w:p>
        </w:tc>
        <w:tc>
          <w:tcPr>
            <w:tcW w:w="787" w:type="pct"/>
            <w:tcBorders>
              <w:top w:val="single" w:sz="4" w:space="0" w:color="auto"/>
              <w:left w:val="single" w:sz="4" w:space="0" w:color="auto"/>
              <w:bottom w:val="single" w:sz="4" w:space="0" w:color="auto"/>
              <w:right w:val="single" w:sz="4" w:space="0" w:color="auto"/>
            </w:tcBorders>
            <w:shd w:val="clear" w:color="auto" w:fill="29527F"/>
            <w:vAlign w:val="center"/>
          </w:tcPr>
          <w:p w14:paraId="25C56C6A" w14:textId="1684C3BB" w:rsidR="00507827" w:rsidRPr="00373DCC" w:rsidRDefault="00507827" w:rsidP="00507827">
            <w:pPr>
              <w:keepLines/>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Cs w:val="22"/>
              </w:rPr>
            </w:pPr>
            <w:r>
              <w:rPr>
                <w:rFonts w:eastAsiaTheme="minorHAnsi" w:cs="Arial"/>
                <w:sz w:val="21"/>
              </w:rPr>
              <w:t xml:space="preserve">FY </w:t>
            </w:r>
            <w:r w:rsidRPr="00373DCC">
              <w:rPr>
                <w:rFonts w:eastAsiaTheme="minorHAnsi" w:cs="Arial"/>
                <w:sz w:val="21"/>
              </w:rPr>
              <w:t>2022-23</w:t>
            </w:r>
          </w:p>
        </w:tc>
      </w:tr>
      <w:tr w:rsidR="00F2350B" w:rsidRPr="00373DCC" w14:paraId="7166197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8CADD3"/>
            <w:vAlign w:val="center"/>
          </w:tcPr>
          <w:p w14:paraId="5094A40B" w14:textId="77777777" w:rsidR="00F2350B" w:rsidRPr="00373DCC" w:rsidRDefault="00F2350B" w:rsidP="00710B91">
            <w:pPr>
              <w:keepNext/>
              <w:keepLines/>
              <w:tabs>
                <w:tab w:val="left" w:pos="907"/>
                <w:tab w:val="left" w:pos="1134"/>
              </w:tabs>
              <w:spacing w:before="0" w:after="0" w:line="240" w:lineRule="atLeast"/>
              <w:outlineLvl w:val="4"/>
              <w:rPr>
                <w:rFonts w:cs="Arial"/>
                <w:szCs w:val="22"/>
              </w:rPr>
            </w:pPr>
            <w:r w:rsidRPr="00373DCC">
              <w:rPr>
                <w:rFonts w:cs="Arial"/>
                <w:szCs w:val="22"/>
              </w:rPr>
              <w:t>Therapeutic good type</w:t>
            </w:r>
          </w:p>
        </w:tc>
      </w:tr>
      <w:tr w:rsidR="00F2350B" w:rsidRPr="00373DCC" w14:paraId="4869CE3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74EB60B6"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Prescription medicines</w:t>
            </w:r>
          </w:p>
        </w:tc>
        <w:tc>
          <w:tcPr>
            <w:tcW w:w="836"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04EA23C7"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256B2DEF"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900</w:t>
            </w:r>
          </w:p>
        </w:tc>
        <w:tc>
          <w:tcPr>
            <w:tcW w:w="787" w:type="pc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1BCDFCD9"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125</w:t>
            </w:r>
          </w:p>
        </w:tc>
      </w:tr>
      <w:tr w:rsidR="00F2350B" w:rsidRPr="00373DCC" w14:paraId="64DD35C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1E184B4D"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50D9B78"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61223E9"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0F868E7"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w:t>
            </w:r>
          </w:p>
        </w:tc>
      </w:tr>
      <w:tr w:rsidR="00F2350B" w:rsidRPr="00373DCC" w14:paraId="33C090E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565785A"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OTC medicines</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0C6D2BC"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68F5F6D"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54C8615"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34</w:t>
            </w:r>
          </w:p>
        </w:tc>
      </w:tr>
      <w:tr w:rsidR="00F2350B" w:rsidRPr="00373DCC" w14:paraId="657F19B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7D847789"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DEABFC0"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1CB01B1"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40CAE15"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50%</w:t>
            </w:r>
          </w:p>
        </w:tc>
      </w:tr>
      <w:tr w:rsidR="00F2350B" w:rsidRPr="00373DCC" w14:paraId="6B27E1B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80B7E1D"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Complementary medicines</w:t>
            </w:r>
            <w:r w:rsidRPr="00373DCC">
              <w:rPr>
                <w:rFonts w:eastAsiaTheme="minorHAnsi" w:cs="Arial"/>
                <w:szCs w:val="22"/>
                <w:vertAlign w:val="superscript"/>
              </w:rPr>
              <w:t xml:space="preserve"> a</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BF2148C"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10B1BEC"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53</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23AF723"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32</w:t>
            </w:r>
          </w:p>
        </w:tc>
      </w:tr>
      <w:tr w:rsidR="00F2350B" w:rsidRPr="00373DCC" w14:paraId="0E2D36E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740B07D0"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637AAC6"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09F63A5"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9%</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DBE7220"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w:t>
            </w:r>
          </w:p>
        </w:tc>
      </w:tr>
      <w:tr w:rsidR="00F2350B" w:rsidRPr="00373DCC" w14:paraId="705D5CE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79F217D"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Medical devices</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ED4AAC1"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FA768C9"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1,738</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46BA31D"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409</w:t>
            </w:r>
          </w:p>
        </w:tc>
      </w:tr>
      <w:tr w:rsidR="00F2350B" w:rsidRPr="00373DCC" w14:paraId="0A29B76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48C32F04"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2EF7F67"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8F748D1"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35%</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1B14ED3"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20%</w:t>
            </w:r>
          </w:p>
        </w:tc>
      </w:tr>
      <w:tr w:rsidR="00F2350B" w:rsidRPr="00373DCC" w14:paraId="0D9D38C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D6E3147"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External</w:t>
            </w:r>
            <w:r w:rsidRPr="00373DCC">
              <w:rPr>
                <w:rFonts w:eastAsiaTheme="minorHAnsi" w:cs="Arial"/>
                <w:szCs w:val="22"/>
                <w:vertAlign w:val="superscript"/>
              </w:rPr>
              <w:t xml:space="preserve"> a</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765647A"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7CC520B"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8</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47452E7"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w:t>
            </w:r>
          </w:p>
        </w:tc>
      </w:tr>
      <w:tr w:rsidR="00F2350B" w:rsidRPr="00373DCC" w14:paraId="7828F0D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639790AA"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895C550"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4BF7C0F"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13%</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10717CD"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0%</w:t>
            </w:r>
          </w:p>
        </w:tc>
      </w:tr>
      <w:tr w:rsidR="00F2350B" w:rsidRPr="00373DCC" w14:paraId="13F900E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right w:val="single" w:sz="4" w:space="0" w:color="002C47" w:themeColor="text2"/>
            </w:tcBorders>
            <w:vAlign w:val="center"/>
          </w:tcPr>
          <w:p w14:paraId="55AC01A8"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Pacific Medicines Testing Program</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2C8619F"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C55F791"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26</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907313F"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66</w:t>
            </w:r>
          </w:p>
        </w:tc>
      </w:tr>
      <w:tr w:rsidR="00F2350B" w:rsidRPr="00373DCC" w14:paraId="60F9CDB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52A353B0"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ECE5742"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CF67464"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9%</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5DBEC02"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23%</w:t>
            </w:r>
          </w:p>
        </w:tc>
      </w:tr>
      <w:tr w:rsidR="00F2350B" w:rsidRPr="00373DCC" w14:paraId="5796894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A568A4C"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Unregistered</w:t>
            </w:r>
            <w:r w:rsidRPr="00373DCC">
              <w:rPr>
                <w:rFonts w:eastAsiaTheme="minorHAnsi" w:cs="Arial"/>
                <w:szCs w:val="22"/>
                <w:vertAlign w:val="superscript"/>
              </w:rPr>
              <w:t xml:space="preserve"> b</w:t>
            </w: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504801F"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Total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8B3D810"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371</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674BD7F"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401</w:t>
            </w:r>
          </w:p>
        </w:tc>
      </w:tr>
      <w:tr w:rsidR="00F2350B" w:rsidRPr="00373DCC" w14:paraId="7086339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589" w:type="pct"/>
            <w:vMerge/>
            <w:vAlign w:val="center"/>
          </w:tcPr>
          <w:p w14:paraId="451C4D77" w14:textId="77777777" w:rsidR="00F2350B" w:rsidRPr="00373DCC" w:rsidRDefault="00F2350B" w:rsidP="00710B91">
            <w:pPr>
              <w:keepLines/>
              <w:spacing w:before="0" w:after="0"/>
              <w:contextualSpacing/>
              <w:outlineLvl w:val="4"/>
              <w:rPr>
                <w:rFonts w:eastAsiaTheme="minorHAnsi" w:cs="Arial"/>
                <w:szCs w:val="22"/>
              </w:rPr>
            </w:pPr>
          </w:p>
        </w:tc>
        <w:tc>
          <w:tcPr>
            <w:tcW w:w="836"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9D4B9AD" w14:textId="77777777" w:rsidR="00F2350B" w:rsidRPr="00373DCC" w:rsidRDefault="00F2350B" w:rsidP="00710B91">
            <w:pPr>
              <w:keepLines/>
              <w:spacing w:before="0" w:after="0"/>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0E40DD2"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73%</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7F3014F"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75%</w:t>
            </w:r>
          </w:p>
        </w:tc>
      </w:tr>
      <w:tr w:rsidR="00F2350B" w:rsidRPr="00373DCC" w14:paraId="5730159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6776771B"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Total samples (excluding AHQ samples)</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46C430D5"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Arial"/>
              </w:rPr>
            </w:pPr>
            <w:r w:rsidRPr="48ECC65F">
              <w:rPr>
                <w:rFonts w:eastAsiaTheme="minorEastAsia" w:cs="Arial"/>
              </w:rPr>
              <w:t>3096</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6F92360A"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1074</w:t>
            </w:r>
          </w:p>
        </w:tc>
      </w:tr>
      <w:tr w:rsidR="00F2350B" w:rsidRPr="00373DCC" w14:paraId="0A8D8A0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6AB93AB6" w14:textId="77777777" w:rsidR="00F2350B" w:rsidRPr="00373DCC" w:rsidRDefault="00F2350B" w:rsidP="00710B91">
            <w:pPr>
              <w:keepLines/>
              <w:spacing w:before="0" w:after="0"/>
              <w:contextualSpacing/>
              <w:outlineLvl w:val="4"/>
              <w:rPr>
                <w:rFonts w:eastAsiaTheme="minorHAnsi" w:cs="Arial"/>
                <w:szCs w:val="22"/>
              </w:rPr>
            </w:pPr>
            <w:r w:rsidRPr="00373DCC">
              <w:rPr>
                <w:rFonts w:eastAsiaTheme="minorHAnsi" w:cs="Arial"/>
                <w:szCs w:val="22"/>
              </w:rPr>
              <w:t>Total samples</w:t>
            </w:r>
            <w:r w:rsidRPr="00373DCC">
              <w:rPr>
                <w:rFonts w:eastAsiaTheme="minorHAnsi" w:cs="Arial"/>
                <w:szCs w:val="22"/>
                <w:vertAlign w:val="superscript"/>
              </w:rPr>
              <w:t xml:space="preserve"> c</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5F0E57CB"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Arial"/>
              </w:rPr>
            </w:pPr>
            <w:r w:rsidRPr="48ECC65F">
              <w:rPr>
                <w:rFonts w:eastAsiaTheme="minorEastAsia" w:cs="Arial"/>
              </w:rPr>
              <w:t>3449</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444AF45E"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1230</w:t>
            </w:r>
          </w:p>
        </w:tc>
      </w:tr>
      <w:tr w:rsidR="00F2350B" w:rsidRPr="00373DCC" w14:paraId="7905072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72F4D3C8" w14:textId="77777777" w:rsidR="00F2350B" w:rsidRPr="00373DCC" w:rsidRDefault="00F2350B" w:rsidP="00710B91">
            <w:pPr>
              <w:keepLines/>
              <w:widowControl w:val="0"/>
              <w:spacing w:before="0" w:after="0"/>
              <w:contextualSpacing/>
              <w:outlineLvl w:val="4"/>
              <w:rPr>
                <w:rFonts w:eastAsiaTheme="minorHAnsi" w:cs="Arial"/>
                <w:szCs w:val="22"/>
              </w:rPr>
            </w:pPr>
            <w:r w:rsidRPr="00373DCC">
              <w:rPr>
                <w:rFonts w:eastAsiaTheme="minorHAnsi" w:cs="Arial"/>
                <w:szCs w:val="22"/>
              </w:rPr>
              <w:t>Percentage fail</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356D8410"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Arial"/>
              </w:rPr>
            </w:pPr>
            <w:r w:rsidRPr="48ECC65F">
              <w:rPr>
                <w:rFonts w:eastAsiaTheme="minorEastAsia" w:cs="Arial"/>
              </w:rPr>
              <w:t>30%</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45701C93"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39%</w:t>
            </w:r>
          </w:p>
        </w:tc>
      </w:tr>
      <w:tr w:rsidR="00F2350B" w:rsidRPr="00373DCC" w14:paraId="61EA555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50F0FFAC" w14:textId="77777777" w:rsidR="00F2350B" w:rsidRPr="00373DCC" w:rsidRDefault="00F2350B" w:rsidP="00710B91">
            <w:pPr>
              <w:keepLines/>
              <w:widowControl w:val="0"/>
              <w:spacing w:before="0" w:after="0"/>
              <w:contextualSpacing/>
              <w:outlineLvl w:val="4"/>
              <w:rPr>
                <w:rFonts w:eastAsiaTheme="minorHAnsi" w:cs="Arial"/>
                <w:szCs w:val="22"/>
              </w:rPr>
            </w:pPr>
            <w:r w:rsidRPr="00373DCC">
              <w:rPr>
                <w:rFonts w:eastAsiaTheme="minorHAnsi" w:cs="Arial"/>
                <w:szCs w:val="22"/>
              </w:rPr>
              <w:t>Total number of products tested</w:t>
            </w:r>
            <w:r w:rsidRPr="00373DCC">
              <w:rPr>
                <w:rFonts w:eastAsiaTheme="minorHAnsi" w:cs="Arial"/>
                <w:szCs w:val="22"/>
                <w:vertAlign w:val="superscript"/>
              </w:rPr>
              <w:t xml:space="preserve"> d </w:t>
            </w:r>
          </w:p>
        </w:tc>
        <w:tc>
          <w:tcPr>
            <w:tcW w:w="788"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488D377C"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Arial"/>
              </w:rPr>
            </w:pPr>
            <w:r w:rsidRPr="48ECC65F">
              <w:rPr>
                <w:rFonts w:eastAsiaTheme="minorEastAsia" w:cs="Arial"/>
              </w:rPr>
              <w:t>1345</w:t>
            </w:r>
          </w:p>
        </w:tc>
        <w:tc>
          <w:tcPr>
            <w:tcW w:w="787" w:type="pct"/>
            <w:tcBorders>
              <w:top w:val="single" w:sz="4" w:space="0" w:color="002C47" w:themeColor="text2"/>
              <w:left w:val="single" w:sz="4" w:space="0" w:color="002C47" w:themeColor="text2"/>
              <w:bottom w:val="single" w:sz="4" w:space="0" w:color="002C47" w:themeColor="text2"/>
              <w:right w:val="single" w:sz="4" w:space="0" w:color="002C47" w:themeColor="text2"/>
            </w:tcBorders>
            <w:shd w:val="clear" w:color="auto" w:fill="C6D4E9"/>
            <w:vAlign w:val="center"/>
          </w:tcPr>
          <w:p w14:paraId="6C966D41" w14:textId="77777777" w:rsidR="00F2350B" w:rsidRPr="00373DCC" w:rsidRDefault="00F2350B" w:rsidP="00710B91">
            <w:pPr>
              <w:keepLines/>
              <w:widowControl w:val="0"/>
              <w:spacing w:before="0" w:after="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Cs w:val="22"/>
              </w:rPr>
            </w:pPr>
            <w:r w:rsidRPr="00373DCC">
              <w:rPr>
                <w:rFonts w:eastAsiaTheme="minorHAnsi" w:cs="Arial"/>
                <w:szCs w:val="22"/>
              </w:rPr>
              <w:t>621</w:t>
            </w:r>
          </w:p>
        </w:tc>
      </w:tr>
    </w:tbl>
    <w:p w14:paraId="75D7E442" w14:textId="77777777" w:rsidR="00F2350B" w:rsidRPr="00373DCC" w:rsidRDefault="00F2350B" w:rsidP="00F2350B">
      <w:pPr>
        <w:keepNext/>
        <w:keepLines/>
        <w:widowControl w:val="0"/>
        <w:spacing w:before="0" w:after="0" w:line="0" w:lineRule="atLeast"/>
        <w:ind w:left="284" w:hanging="284"/>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ab/>
        <w:t>Performed on request for overseas regulators, and encompasses medicines and medical devices.</w:t>
      </w:r>
    </w:p>
    <w:p w14:paraId="765C9E07" w14:textId="77777777" w:rsidR="00F2350B" w:rsidRPr="00373DCC" w:rsidRDefault="00F2350B" w:rsidP="00F2350B">
      <w:pPr>
        <w:keepNext/>
        <w:keepLines/>
        <w:widowControl w:val="0"/>
        <w:spacing w:before="0" w:after="0" w:line="0" w:lineRule="atLeast"/>
        <w:ind w:left="284" w:hanging="284"/>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ab/>
        <w:t>‘Unregistered’ refers to products that meet the definition of therapeutic goods but are not included on the ARTG or otherwise specifically exempted from this requirement in the legislation. This often includes adulterated complementary medicines or counterfeit products.</w:t>
      </w:r>
    </w:p>
    <w:p w14:paraId="5A275BAB" w14:textId="77777777" w:rsidR="00F2350B" w:rsidRPr="00373DCC" w:rsidRDefault="00F2350B" w:rsidP="00F2350B">
      <w:pPr>
        <w:keepNext/>
        <w:keepLines/>
        <w:widowControl w:val="0"/>
        <w:spacing w:before="0" w:after="0" w:line="0" w:lineRule="atLeast"/>
        <w:ind w:left="284" w:hanging="284"/>
        <w:rPr>
          <w:rFonts w:eastAsia="Cambria" w:cs="Arial"/>
          <w:sz w:val="16"/>
          <w:szCs w:val="16"/>
        </w:rPr>
      </w:pPr>
      <w:r w:rsidRPr="00373DCC">
        <w:rPr>
          <w:rFonts w:eastAsia="Cambria" w:cs="Arial"/>
          <w:sz w:val="16"/>
          <w:szCs w:val="16"/>
          <w:vertAlign w:val="superscript"/>
        </w:rPr>
        <w:t>c</w:t>
      </w:r>
      <w:r w:rsidRPr="00373DCC">
        <w:rPr>
          <w:rFonts w:eastAsia="Cambria" w:cs="Arial"/>
          <w:sz w:val="16"/>
          <w:szCs w:val="16"/>
        </w:rPr>
        <w:tab/>
        <w:t>Includes accreditation, harmonisation and quality control (AHQ) samples.</w:t>
      </w:r>
    </w:p>
    <w:p w14:paraId="32F482F8" w14:textId="77777777" w:rsidR="00F2350B" w:rsidRPr="00373DCC" w:rsidRDefault="00F2350B" w:rsidP="00F2350B">
      <w:pPr>
        <w:keepNext/>
        <w:keepLines/>
        <w:widowControl w:val="0"/>
        <w:spacing w:before="0" w:after="0" w:line="0" w:lineRule="atLeast"/>
        <w:ind w:left="284" w:hanging="284"/>
        <w:rPr>
          <w:rFonts w:eastAsia="Cambria" w:cs="Arial"/>
          <w:sz w:val="16"/>
          <w:szCs w:val="16"/>
        </w:rPr>
      </w:pPr>
      <w:r w:rsidRPr="00373DCC">
        <w:rPr>
          <w:rFonts w:eastAsia="Cambria" w:cs="Arial"/>
          <w:sz w:val="16"/>
          <w:szCs w:val="16"/>
          <w:vertAlign w:val="superscript"/>
        </w:rPr>
        <w:t>d</w:t>
      </w:r>
      <w:r w:rsidRPr="00373DCC">
        <w:rPr>
          <w:rFonts w:eastAsia="Cambria" w:cs="Arial"/>
          <w:sz w:val="16"/>
          <w:szCs w:val="16"/>
        </w:rPr>
        <w:tab/>
        <w:t>We</w:t>
      </w:r>
      <w:r w:rsidRPr="00373DCC" w:rsidDel="00BC36B5">
        <w:rPr>
          <w:rFonts w:eastAsia="Cambria" w:cs="Arial"/>
          <w:sz w:val="16"/>
          <w:szCs w:val="16"/>
        </w:rPr>
        <w:t xml:space="preserve"> may test a number of samples of each product per reporting period.</w:t>
      </w:r>
    </w:p>
    <w:p w14:paraId="69512162" w14:textId="77777777" w:rsidR="00F2350B" w:rsidRPr="00373DCC" w:rsidRDefault="00F2350B" w:rsidP="00F2350B">
      <w:pPr>
        <w:keepNext/>
        <w:spacing w:before="240" w:after="120" w:line="240" w:lineRule="auto"/>
        <w:rPr>
          <w:rFonts w:eastAsia="Cambria" w:cs="Arial"/>
          <w:b/>
          <w:szCs w:val="22"/>
        </w:rPr>
      </w:pPr>
      <w:bookmarkStart w:id="247" w:name="Table72"/>
    </w:p>
    <w:p w14:paraId="687A9CC4"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sz w:val="21"/>
          <w:szCs w:val="21"/>
        </w:rPr>
        <w:t xml:space="preserve">Table </w:t>
      </w:r>
      <w:r w:rsidRPr="00373DCC">
        <w:rPr>
          <w:rFonts w:eastAsia="Cambria" w:cs="Arial"/>
          <w:b/>
          <w:bCs/>
          <w:sz w:val="21"/>
          <w:szCs w:val="21"/>
        </w:rPr>
        <w:t>72:</w:t>
      </w:r>
      <w:r w:rsidRPr="00373DCC">
        <w:rPr>
          <w:rFonts w:eastAsia="Cambria" w:cs="Arial"/>
          <w:b/>
          <w:sz w:val="21"/>
          <w:szCs w:val="21"/>
        </w:rPr>
        <w:t xml:space="preserve"> Samples that failed laboratory testing by reason for July 2022 to June 2023</w:t>
      </w:r>
    </w:p>
    <w:bookmarkEnd w:id="247"/>
    <w:tbl>
      <w:tblPr>
        <w:tblStyle w:val="TableTGAblue2"/>
        <w:tblW w:w="5018" w:type="pct"/>
        <w:tblLook w:val="04A0" w:firstRow="1" w:lastRow="0" w:firstColumn="1" w:lastColumn="0" w:noHBand="0" w:noVBand="1"/>
      </w:tblPr>
      <w:tblGrid>
        <w:gridCol w:w="3625"/>
        <w:gridCol w:w="485"/>
        <w:gridCol w:w="485"/>
        <w:gridCol w:w="485"/>
        <w:gridCol w:w="567"/>
        <w:gridCol w:w="485"/>
        <w:gridCol w:w="531"/>
        <w:gridCol w:w="992"/>
        <w:gridCol w:w="1398"/>
      </w:tblGrid>
      <w:tr w:rsidR="00F2350B" w:rsidRPr="00373DCC" w14:paraId="1187271F" w14:textId="77777777" w:rsidTr="00710B91">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single" w:sz="4" w:space="0" w:color="002C47"/>
              <w:right w:val="single" w:sz="4" w:space="0" w:color="000000"/>
            </w:tcBorders>
            <w:shd w:val="clear" w:color="auto" w:fill="FFFFFF" w:themeFill="background1"/>
            <w:vAlign w:val="center"/>
          </w:tcPr>
          <w:p w14:paraId="42DD082F" w14:textId="77777777" w:rsidR="00F2350B" w:rsidRPr="00373DCC" w:rsidRDefault="00F2350B" w:rsidP="00710B91">
            <w:pPr>
              <w:keepNext w:val="0"/>
              <w:widowControl w:val="0"/>
              <w:outlineLvl w:val="4"/>
              <w:rPr>
                <w:rFonts w:cs="Arial"/>
                <w:color w:val="000000"/>
                <w:sz w:val="21"/>
              </w:rPr>
            </w:pPr>
          </w:p>
        </w:tc>
        <w:tc>
          <w:tcPr>
            <w:tcW w:w="268"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348FCC04"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Medical devices</w:t>
            </w:r>
          </w:p>
        </w:tc>
        <w:tc>
          <w:tcPr>
            <w:tcW w:w="268"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0B92803C"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OTC medicines</w:t>
            </w:r>
          </w:p>
        </w:tc>
        <w:tc>
          <w:tcPr>
            <w:tcW w:w="268"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0E4E3BEA"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Prescription medicines</w:t>
            </w:r>
          </w:p>
        </w:tc>
        <w:tc>
          <w:tcPr>
            <w:tcW w:w="313"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6A5D49BC"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Unregistered products</w:t>
            </w:r>
          </w:p>
        </w:tc>
        <w:tc>
          <w:tcPr>
            <w:tcW w:w="268"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17E2A750"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Complementary medicines</w:t>
            </w:r>
          </w:p>
        </w:tc>
        <w:tc>
          <w:tcPr>
            <w:tcW w:w="293"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6D395EC2"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External</w:t>
            </w:r>
          </w:p>
        </w:tc>
        <w:tc>
          <w:tcPr>
            <w:tcW w:w="548"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4CF5293E"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Pacific Medicines Testing Program</w:t>
            </w:r>
          </w:p>
        </w:tc>
        <w:tc>
          <w:tcPr>
            <w:tcW w:w="772" w:type="pct"/>
            <w:tcBorders>
              <w:top w:val="single" w:sz="4" w:space="0" w:color="000000"/>
              <w:left w:val="single" w:sz="4" w:space="0" w:color="000000"/>
              <w:bottom w:val="single" w:sz="4" w:space="0" w:color="000000"/>
              <w:right w:val="single" w:sz="4" w:space="0" w:color="000000"/>
            </w:tcBorders>
            <w:shd w:val="clear" w:color="auto" w:fill="29527F"/>
            <w:textDirection w:val="btLr"/>
            <w:vAlign w:val="center"/>
          </w:tcPr>
          <w:p w14:paraId="743C1799"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Total</w:t>
            </w:r>
          </w:p>
          <w:p w14:paraId="40622DE3" w14:textId="77777777" w:rsidR="00F2350B" w:rsidRPr="00373DCC" w:rsidRDefault="00F2350B" w:rsidP="00710B91">
            <w:pPr>
              <w:keepNext w:val="0"/>
              <w:widowControl w:val="0"/>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 fail)</w:t>
            </w:r>
          </w:p>
        </w:tc>
      </w:tr>
      <w:tr w:rsidR="00F2350B" w:rsidRPr="00373DCC" w14:paraId="6B94EA8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08F498F2"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Contamination</w:t>
            </w:r>
          </w:p>
        </w:tc>
        <w:tc>
          <w:tcPr>
            <w:tcW w:w="268" w:type="pct"/>
            <w:tcBorders>
              <w:top w:val="single" w:sz="4" w:space="0" w:color="000000"/>
              <w:left w:val="single" w:sz="4" w:space="0" w:color="002C47"/>
              <w:bottom w:val="single" w:sz="4" w:space="0" w:color="002C47"/>
              <w:right w:val="single" w:sz="4" w:space="0" w:color="002C47"/>
            </w:tcBorders>
            <w:vAlign w:val="center"/>
          </w:tcPr>
          <w:p w14:paraId="2A9C36B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0000"/>
              <w:left w:val="single" w:sz="4" w:space="0" w:color="002C47"/>
              <w:bottom w:val="single" w:sz="4" w:space="0" w:color="002C47"/>
              <w:right w:val="single" w:sz="4" w:space="0" w:color="002C47"/>
            </w:tcBorders>
            <w:vAlign w:val="center"/>
          </w:tcPr>
          <w:p w14:paraId="45EC945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68" w:type="pct"/>
            <w:tcBorders>
              <w:top w:val="single" w:sz="4" w:space="0" w:color="000000"/>
              <w:left w:val="single" w:sz="4" w:space="0" w:color="002C47"/>
              <w:bottom w:val="single" w:sz="4" w:space="0" w:color="002C47"/>
              <w:right w:val="single" w:sz="4" w:space="0" w:color="002C47"/>
            </w:tcBorders>
            <w:vAlign w:val="center"/>
          </w:tcPr>
          <w:p w14:paraId="20031FAD"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313" w:type="pct"/>
            <w:tcBorders>
              <w:top w:val="single" w:sz="4" w:space="0" w:color="000000"/>
              <w:left w:val="single" w:sz="4" w:space="0" w:color="002C47"/>
              <w:bottom w:val="single" w:sz="4" w:space="0" w:color="002C47"/>
              <w:right w:val="single" w:sz="4" w:space="0" w:color="002C47"/>
            </w:tcBorders>
            <w:vAlign w:val="center"/>
          </w:tcPr>
          <w:p w14:paraId="32E2FC6D"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0000"/>
              <w:left w:val="single" w:sz="4" w:space="0" w:color="002C47"/>
              <w:bottom w:val="single" w:sz="4" w:space="0" w:color="002C47"/>
              <w:right w:val="single" w:sz="4" w:space="0" w:color="002C47"/>
            </w:tcBorders>
            <w:vAlign w:val="center"/>
          </w:tcPr>
          <w:p w14:paraId="48FAAD80"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1</w:t>
            </w:r>
          </w:p>
        </w:tc>
        <w:tc>
          <w:tcPr>
            <w:tcW w:w="293" w:type="pct"/>
            <w:tcBorders>
              <w:top w:val="single" w:sz="4" w:space="0" w:color="000000"/>
              <w:left w:val="single" w:sz="4" w:space="0" w:color="002C47"/>
              <w:bottom w:val="single" w:sz="4" w:space="0" w:color="002C47"/>
              <w:right w:val="single" w:sz="4" w:space="0" w:color="002C47"/>
            </w:tcBorders>
            <w:vAlign w:val="center"/>
          </w:tcPr>
          <w:p w14:paraId="53DEE16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0000"/>
              <w:left w:val="single" w:sz="4" w:space="0" w:color="002C47"/>
              <w:bottom w:val="single" w:sz="4" w:space="0" w:color="002C47"/>
              <w:right w:val="single" w:sz="4" w:space="0" w:color="002C47"/>
            </w:tcBorders>
            <w:vAlign w:val="center"/>
          </w:tcPr>
          <w:p w14:paraId="287A7826"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772" w:type="pct"/>
            <w:tcBorders>
              <w:top w:val="single" w:sz="4" w:space="0" w:color="000000"/>
              <w:left w:val="single" w:sz="4" w:space="0" w:color="002C47"/>
              <w:bottom w:val="single" w:sz="4" w:space="0" w:color="002C47"/>
              <w:right w:val="single" w:sz="4" w:space="0" w:color="002C47"/>
            </w:tcBorders>
            <w:shd w:val="clear" w:color="auto" w:fill="C6D4E9"/>
            <w:vAlign w:val="center"/>
          </w:tcPr>
          <w:p w14:paraId="7D601F12"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w:t>
            </w:r>
            <w:r w:rsidRPr="00373DCC">
              <w:rPr>
                <w:rFonts w:eastAsiaTheme="minorHAnsi" w:cs="Arial"/>
                <w:color w:val="auto"/>
                <w:sz w:val="21"/>
              </w:rPr>
              <w:t xml:space="preserve"> (</w:t>
            </w:r>
            <w:r w:rsidRPr="00373DCC">
              <w:rPr>
                <w:rFonts w:eastAsiaTheme="minorHAnsi" w:cs="Arial"/>
                <w:sz w:val="21"/>
              </w:rPr>
              <w:t>&lt;1</w:t>
            </w:r>
            <w:r w:rsidRPr="00373DCC">
              <w:rPr>
                <w:rFonts w:eastAsiaTheme="minorHAnsi" w:cs="Arial"/>
                <w:color w:val="auto"/>
                <w:sz w:val="21"/>
              </w:rPr>
              <w:t>%)</w:t>
            </w:r>
          </w:p>
        </w:tc>
      </w:tr>
      <w:tr w:rsidR="00F2350B" w:rsidRPr="00373DCC" w14:paraId="60F1FB1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4AF51F2B"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Formulation</w:t>
            </w:r>
          </w:p>
        </w:tc>
        <w:tc>
          <w:tcPr>
            <w:tcW w:w="268" w:type="pct"/>
            <w:tcBorders>
              <w:top w:val="single" w:sz="4" w:space="0" w:color="002C47"/>
              <w:left w:val="single" w:sz="4" w:space="0" w:color="002C47"/>
              <w:bottom w:val="single" w:sz="4" w:space="0" w:color="002C47"/>
              <w:right w:val="single" w:sz="4" w:space="0" w:color="002C47"/>
            </w:tcBorders>
            <w:vAlign w:val="center"/>
          </w:tcPr>
          <w:p w14:paraId="38B9996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433EC3A8"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1</w:t>
            </w:r>
          </w:p>
        </w:tc>
        <w:tc>
          <w:tcPr>
            <w:tcW w:w="268" w:type="pct"/>
            <w:tcBorders>
              <w:top w:val="single" w:sz="4" w:space="0" w:color="002C47"/>
              <w:left w:val="single" w:sz="4" w:space="0" w:color="002C47"/>
              <w:bottom w:val="single" w:sz="4" w:space="0" w:color="002C47"/>
              <w:right w:val="single" w:sz="4" w:space="0" w:color="002C47"/>
            </w:tcBorders>
            <w:vAlign w:val="center"/>
          </w:tcPr>
          <w:p w14:paraId="59E4E98F"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3</w:t>
            </w:r>
          </w:p>
        </w:tc>
        <w:tc>
          <w:tcPr>
            <w:tcW w:w="313" w:type="pct"/>
            <w:tcBorders>
              <w:top w:val="single" w:sz="4" w:space="0" w:color="002C47"/>
              <w:left w:val="single" w:sz="4" w:space="0" w:color="002C47"/>
              <w:bottom w:val="single" w:sz="4" w:space="0" w:color="002C47"/>
              <w:right w:val="single" w:sz="4" w:space="0" w:color="002C47"/>
            </w:tcBorders>
            <w:vAlign w:val="center"/>
          </w:tcPr>
          <w:p w14:paraId="3DE0F182"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290</w:t>
            </w:r>
          </w:p>
        </w:tc>
        <w:tc>
          <w:tcPr>
            <w:tcW w:w="268" w:type="pct"/>
            <w:tcBorders>
              <w:top w:val="single" w:sz="4" w:space="0" w:color="002C47"/>
              <w:left w:val="single" w:sz="4" w:space="0" w:color="002C47"/>
              <w:bottom w:val="single" w:sz="4" w:space="0" w:color="002C47"/>
              <w:right w:val="single" w:sz="4" w:space="0" w:color="002C47"/>
            </w:tcBorders>
            <w:vAlign w:val="center"/>
          </w:tcPr>
          <w:p w14:paraId="799DEAE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1</w:t>
            </w:r>
          </w:p>
        </w:tc>
        <w:tc>
          <w:tcPr>
            <w:tcW w:w="293" w:type="pct"/>
            <w:tcBorders>
              <w:top w:val="single" w:sz="4" w:space="0" w:color="002C47"/>
              <w:left w:val="single" w:sz="4" w:space="0" w:color="002C47"/>
              <w:bottom w:val="single" w:sz="4" w:space="0" w:color="002C47"/>
              <w:right w:val="single" w:sz="4" w:space="0" w:color="002C47"/>
            </w:tcBorders>
            <w:vAlign w:val="center"/>
          </w:tcPr>
          <w:p w14:paraId="3A49A896"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vAlign w:val="center"/>
          </w:tcPr>
          <w:p w14:paraId="36D56852"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13</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40FE5D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308</w:t>
            </w:r>
            <w:r w:rsidRPr="00373DCC">
              <w:rPr>
                <w:rFonts w:eastAsiaTheme="minorHAnsi" w:cs="Arial"/>
                <w:color w:val="auto"/>
                <w:sz w:val="21"/>
              </w:rPr>
              <w:t xml:space="preserve"> (</w:t>
            </w:r>
            <w:r w:rsidRPr="00373DCC">
              <w:rPr>
                <w:rFonts w:eastAsiaTheme="minorHAnsi" w:cs="Arial"/>
                <w:sz w:val="21"/>
              </w:rPr>
              <w:t>74</w:t>
            </w:r>
            <w:r w:rsidRPr="00373DCC">
              <w:rPr>
                <w:rFonts w:eastAsiaTheme="minorHAnsi" w:cs="Arial"/>
                <w:color w:val="auto"/>
                <w:sz w:val="21"/>
              </w:rPr>
              <w:t>%)</w:t>
            </w:r>
          </w:p>
        </w:tc>
      </w:tr>
      <w:tr w:rsidR="00F2350B" w:rsidRPr="00373DCC" w14:paraId="375C3D8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3E3B91B4"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Label and packaging deficiencies</w:t>
            </w:r>
          </w:p>
        </w:tc>
        <w:tc>
          <w:tcPr>
            <w:tcW w:w="268" w:type="pct"/>
            <w:tcBorders>
              <w:top w:val="single" w:sz="4" w:space="0" w:color="002C47"/>
              <w:left w:val="single" w:sz="4" w:space="0" w:color="002C47"/>
              <w:bottom w:val="single" w:sz="4" w:space="0" w:color="002C47"/>
              <w:right w:val="single" w:sz="4" w:space="0" w:color="002C47"/>
            </w:tcBorders>
            <w:vAlign w:val="center"/>
          </w:tcPr>
          <w:p w14:paraId="0E517E2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17</w:t>
            </w:r>
          </w:p>
        </w:tc>
        <w:tc>
          <w:tcPr>
            <w:tcW w:w="268" w:type="pct"/>
            <w:tcBorders>
              <w:top w:val="single" w:sz="4" w:space="0" w:color="002C47"/>
              <w:left w:val="single" w:sz="4" w:space="0" w:color="002C47"/>
              <w:bottom w:val="single" w:sz="4" w:space="0" w:color="002C47"/>
              <w:right w:val="single" w:sz="4" w:space="0" w:color="002C47"/>
            </w:tcBorders>
            <w:vAlign w:val="center"/>
          </w:tcPr>
          <w:p w14:paraId="6760ACB9"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02CF354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313" w:type="pct"/>
            <w:tcBorders>
              <w:top w:val="single" w:sz="4" w:space="0" w:color="002C47"/>
              <w:left w:val="single" w:sz="4" w:space="0" w:color="002C47"/>
              <w:bottom w:val="single" w:sz="4" w:space="0" w:color="002C47"/>
              <w:right w:val="single" w:sz="4" w:space="0" w:color="002C47"/>
            </w:tcBorders>
            <w:vAlign w:val="center"/>
          </w:tcPr>
          <w:p w14:paraId="623B0F1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0EBE2D8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93" w:type="pct"/>
            <w:tcBorders>
              <w:top w:val="single" w:sz="4" w:space="0" w:color="002C47"/>
              <w:left w:val="single" w:sz="4" w:space="0" w:color="002C47"/>
              <w:bottom w:val="single" w:sz="4" w:space="0" w:color="002C47"/>
              <w:right w:val="single" w:sz="4" w:space="0" w:color="002C47"/>
            </w:tcBorders>
            <w:vAlign w:val="center"/>
          </w:tcPr>
          <w:p w14:paraId="30E5C540"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vAlign w:val="center"/>
          </w:tcPr>
          <w:p w14:paraId="79CCF1F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66BF9D5"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17</w:t>
            </w:r>
            <w:r w:rsidRPr="00373DCC">
              <w:rPr>
                <w:rFonts w:eastAsiaTheme="minorHAnsi" w:cs="Arial"/>
                <w:color w:val="auto"/>
                <w:sz w:val="21"/>
              </w:rPr>
              <w:t xml:space="preserve"> (</w:t>
            </w:r>
            <w:r w:rsidRPr="00373DCC">
              <w:rPr>
                <w:rFonts w:eastAsiaTheme="minorHAnsi" w:cs="Arial"/>
                <w:sz w:val="21"/>
              </w:rPr>
              <w:t>4</w:t>
            </w:r>
            <w:r w:rsidRPr="00373DCC">
              <w:rPr>
                <w:rFonts w:eastAsiaTheme="minorHAnsi" w:cs="Arial"/>
                <w:color w:val="auto"/>
                <w:sz w:val="21"/>
              </w:rPr>
              <w:t>%)</w:t>
            </w:r>
          </w:p>
        </w:tc>
      </w:tr>
      <w:tr w:rsidR="00F2350B" w:rsidRPr="00373DCC" w14:paraId="72CDA01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68B0C253"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Performance</w:t>
            </w:r>
            <w:r w:rsidRPr="00373DCC">
              <w:rPr>
                <w:rFonts w:eastAsiaTheme="minorHAnsi" w:cs="Arial"/>
                <w:sz w:val="21"/>
                <w:vertAlign w:val="superscript"/>
              </w:rPr>
              <w:t xml:space="preserve"> a</w:t>
            </w:r>
          </w:p>
        </w:tc>
        <w:tc>
          <w:tcPr>
            <w:tcW w:w="268" w:type="pct"/>
            <w:tcBorders>
              <w:top w:val="single" w:sz="4" w:space="0" w:color="002C47"/>
              <w:left w:val="single" w:sz="4" w:space="0" w:color="002C47"/>
              <w:bottom w:val="single" w:sz="4" w:space="0" w:color="002C47"/>
              <w:right w:val="single" w:sz="4" w:space="0" w:color="002C47"/>
            </w:tcBorders>
            <w:vAlign w:val="center"/>
          </w:tcPr>
          <w:p w14:paraId="601BCE08"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63</w:t>
            </w:r>
          </w:p>
        </w:tc>
        <w:tc>
          <w:tcPr>
            <w:tcW w:w="268" w:type="pct"/>
            <w:tcBorders>
              <w:top w:val="single" w:sz="4" w:space="0" w:color="002C47"/>
              <w:left w:val="single" w:sz="4" w:space="0" w:color="002C47"/>
              <w:bottom w:val="single" w:sz="4" w:space="0" w:color="002C47"/>
              <w:right w:val="single" w:sz="4" w:space="0" w:color="002C47"/>
            </w:tcBorders>
            <w:vAlign w:val="center"/>
          </w:tcPr>
          <w:p w14:paraId="25BBE79E"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16</w:t>
            </w:r>
          </w:p>
        </w:tc>
        <w:tc>
          <w:tcPr>
            <w:tcW w:w="268" w:type="pct"/>
            <w:tcBorders>
              <w:top w:val="single" w:sz="4" w:space="0" w:color="002C47"/>
              <w:left w:val="single" w:sz="4" w:space="0" w:color="002C47"/>
              <w:bottom w:val="single" w:sz="4" w:space="0" w:color="002C47"/>
              <w:right w:val="single" w:sz="4" w:space="0" w:color="002C47"/>
            </w:tcBorders>
            <w:vAlign w:val="center"/>
          </w:tcPr>
          <w:p w14:paraId="34B162A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313" w:type="pct"/>
            <w:tcBorders>
              <w:top w:val="single" w:sz="4" w:space="0" w:color="002C47"/>
              <w:left w:val="single" w:sz="4" w:space="0" w:color="002C47"/>
              <w:bottom w:val="single" w:sz="4" w:space="0" w:color="002C47"/>
              <w:right w:val="single" w:sz="4" w:space="0" w:color="002C47"/>
            </w:tcBorders>
            <w:vAlign w:val="center"/>
          </w:tcPr>
          <w:p w14:paraId="14227AB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09CB3E84"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93" w:type="pct"/>
            <w:tcBorders>
              <w:top w:val="single" w:sz="4" w:space="0" w:color="002C47"/>
              <w:left w:val="single" w:sz="4" w:space="0" w:color="002C47"/>
              <w:bottom w:val="single" w:sz="4" w:space="0" w:color="002C47"/>
              <w:right w:val="single" w:sz="4" w:space="0" w:color="002C47"/>
            </w:tcBorders>
            <w:vAlign w:val="center"/>
          </w:tcPr>
          <w:p w14:paraId="5529F49D"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vAlign w:val="center"/>
          </w:tcPr>
          <w:p w14:paraId="459A20BF"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4E726F0"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80</w:t>
            </w:r>
            <w:r w:rsidRPr="00373DCC">
              <w:rPr>
                <w:rFonts w:eastAsiaTheme="minorHAnsi" w:cs="Arial"/>
                <w:color w:val="auto"/>
                <w:sz w:val="21"/>
              </w:rPr>
              <w:t xml:space="preserve"> (</w:t>
            </w:r>
            <w:r w:rsidRPr="00373DCC">
              <w:rPr>
                <w:rFonts w:eastAsiaTheme="minorHAnsi" w:cs="Arial"/>
                <w:sz w:val="21"/>
              </w:rPr>
              <w:t>19</w:t>
            </w:r>
            <w:r w:rsidRPr="00373DCC">
              <w:rPr>
                <w:rFonts w:eastAsiaTheme="minorHAnsi" w:cs="Arial"/>
                <w:color w:val="auto"/>
                <w:sz w:val="21"/>
              </w:rPr>
              <w:t>%)</w:t>
            </w:r>
          </w:p>
        </w:tc>
      </w:tr>
      <w:tr w:rsidR="00F2350B" w:rsidRPr="00373DCC" w14:paraId="363617B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5582DF67"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lastRenderedPageBreak/>
              <w:t>Physical or mechanical properties</w:t>
            </w:r>
          </w:p>
        </w:tc>
        <w:tc>
          <w:tcPr>
            <w:tcW w:w="268" w:type="pct"/>
            <w:tcBorders>
              <w:top w:val="single" w:sz="4" w:space="0" w:color="002C47"/>
              <w:left w:val="single" w:sz="4" w:space="0" w:color="002C47"/>
              <w:bottom w:val="single" w:sz="4" w:space="0" w:color="002C47"/>
              <w:right w:val="single" w:sz="4" w:space="0" w:color="002C47"/>
            </w:tcBorders>
            <w:vAlign w:val="center"/>
          </w:tcPr>
          <w:p w14:paraId="18C15ED8"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4D60319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7E5ABB93"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313" w:type="pct"/>
            <w:tcBorders>
              <w:top w:val="single" w:sz="4" w:space="0" w:color="002C47"/>
              <w:left w:val="single" w:sz="4" w:space="0" w:color="002C47"/>
              <w:bottom w:val="single" w:sz="4" w:space="0" w:color="002C47"/>
              <w:right w:val="single" w:sz="4" w:space="0" w:color="002C47"/>
            </w:tcBorders>
            <w:vAlign w:val="center"/>
          </w:tcPr>
          <w:p w14:paraId="79DAFB2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60E2C21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93" w:type="pct"/>
            <w:tcBorders>
              <w:top w:val="single" w:sz="4" w:space="0" w:color="002C47"/>
              <w:left w:val="single" w:sz="4" w:space="0" w:color="002C47"/>
              <w:bottom w:val="single" w:sz="4" w:space="0" w:color="002C47"/>
              <w:right w:val="single" w:sz="4" w:space="0" w:color="002C47"/>
            </w:tcBorders>
            <w:vAlign w:val="center"/>
          </w:tcPr>
          <w:p w14:paraId="763CD6F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vAlign w:val="center"/>
          </w:tcPr>
          <w:p w14:paraId="171020DF"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0C9BBC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w:t>
            </w:r>
            <w:r w:rsidRPr="00373DCC">
              <w:rPr>
                <w:rFonts w:eastAsiaTheme="minorHAnsi" w:cs="Arial"/>
                <w:color w:val="auto"/>
                <w:sz w:val="21"/>
              </w:rPr>
              <w:t xml:space="preserve"> (</w:t>
            </w:r>
            <w:r w:rsidRPr="00373DCC">
              <w:rPr>
                <w:rFonts w:eastAsiaTheme="minorHAnsi" w:cs="Arial"/>
                <w:sz w:val="21"/>
              </w:rPr>
              <w:t>&lt;1</w:t>
            </w:r>
            <w:r w:rsidRPr="00373DCC">
              <w:rPr>
                <w:rFonts w:eastAsiaTheme="minorHAnsi" w:cs="Arial"/>
                <w:color w:val="auto"/>
                <w:sz w:val="21"/>
              </w:rPr>
              <w:t>%)</w:t>
            </w:r>
          </w:p>
        </w:tc>
      </w:tr>
      <w:tr w:rsidR="00F2350B" w:rsidRPr="00373DCC" w14:paraId="0BA622B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vAlign w:val="center"/>
          </w:tcPr>
          <w:p w14:paraId="543981F4"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Unregistered</w:t>
            </w:r>
          </w:p>
        </w:tc>
        <w:tc>
          <w:tcPr>
            <w:tcW w:w="268" w:type="pct"/>
            <w:tcBorders>
              <w:top w:val="single" w:sz="4" w:space="0" w:color="002C47"/>
              <w:left w:val="single" w:sz="4" w:space="0" w:color="002C47"/>
              <w:bottom w:val="single" w:sz="4" w:space="0" w:color="002C47"/>
              <w:right w:val="single" w:sz="4" w:space="0" w:color="002C47"/>
            </w:tcBorders>
            <w:vAlign w:val="center"/>
          </w:tcPr>
          <w:p w14:paraId="3D3B54BE"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282ED47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68" w:type="pct"/>
            <w:tcBorders>
              <w:top w:val="single" w:sz="4" w:space="0" w:color="002C47"/>
              <w:left w:val="single" w:sz="4" w:space="0" w:color="002C47"/>
              <w:bottom w:val="single" w:sz="4" w:space="0" w:color="002C47"/>
              <w:right w:val="single" w:sz="4" w:space="0" w:color="002C47"/>
            </w:tcBorders>
            <w:vAlign w:val="center"/>
          </w:tcPr>
          <w:p w14:paraId="2799B219"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313" w:type="pct"/>
            <w:tcBorders>
              <w:top w:val="single" w:sz="4" w:space="0" w:color="002C47"/>
              <w:left w:val="single" w:sz="4" w:space="0" w:color="002C47"/>
              <w:bottom w:val="single" w:sz="4" w:space="0" w:color="002C47"/>
              <w:right w:val="single" w:sz="4" w:space="0" w:color="002C47"/>
            </w:tcBorders>
            <w:vAlign w:val="center"/>
          </w:tcPr>
          <w:p w14:paraId="4E522CE4"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10</w:t>
            </w:r>
          </w:p>
        </w:tc>
        <w:tc>
          <w:tcPr>
            <w:tcW w:w="268" w:type="pct"/>
            <w:tcBorders>
              <w:top w:val="single" w:sz="4" w:space="0" w:color="002C47"/>
              <w:left w:val="single" w:sz="4" w:space="0" w:color="002C47"/>
              <w:bottom w:val="single" w:sz="4" w:space="0" w:color="002C47"/>
              <w:right w:val="single" w:sz="4" w:space="0" w:color="002C47"/>
            </w:tcBorders>
            <w:vAlign w:val="center"/>
          </w:tcPr>
          <w:p w14:paraId="41910F6E"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293" w:type="pct"/>
            <w:tcBorders>
              <w:top w:val="single" w:sz="4" w:space="0" w:color="002C47"/>
              <w:left w:val="single" w:sz="4" w:space="0" w:color="002C47"/>
              <w:bottom w:val="single" w:sz="4" w:space="0" w:color="002C47"/>
              <w:right w:val="single" w:sz="4" w:space="0" w:color="002C47"/>
            </w:tcBorders>
            <w:vAlign w:val="center"/>
          </w:tcPr>
          <w:p w14:paraId="7509B850"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vAlign w:val="center"/>
          </w:tcPr>
          <w:p w14:paraId="10F0CE99"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0</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1328F0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10</w:t>
            </w:r>
            <w:r w:rsidRPr="00373DCC">
              <w:rPr>
                <w:rFonts w:eastAsiaTheme="minorHAnsi" w:cs="Arial"/>
                <w:color w:val="auto"/>
                <w:sz w:val="21"/>
              </w:rPr>
              <w:t xml:space="preserve"> (</w:t>
            </w:r>
            <w:r w:rsidRPr="00373DCC">
              <w:rPr>
                <w:rFonts w:eastAsiaTheme="minorHAnsi" w:cs="Arial"/>
                <w:sz w:val="21"/>
              </w:rPr>
              <w:t>2</w:t>
            </w:r>
            <w:r w:rsidRPr="00373DCC">
              <w:rPr>
                <w:rFonts w:eastAsiaTheme="minorHAnsi" w:cs="Arial"/>
                <w:color w:val="auto"/>
                <w:sz w:val="21"/>
              </w:rPr>
              <w:t>%)</w:t>
            </w:r>
          </w:p>
        </w:tc>
      </w:tr>
      <w:tr w:rsidR="00F2350B" w:rsidRPr="00373DCC" w14:paraId="1F3CF3C6"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200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F8F77A9" w14:textId="77777777" w:rsidR="00F2350B" w:rsidRPr="00373DCC" w:rsidRDefault="00F2350B" w:rsidP="00710B91">
            <w:pPr>
              <w:contextualSpacing/>
              <w:outlineLvl w:val="4"/>
              <w:rPr>
                <w:rFonts w:eastAsiaTheme="minorHAnsi" w:cs="Arial"/>
                <w:sz w:val="21"/>
              </w:rPr>
            </w:pPr>
            <w:r w:rsidRPr="00373DCC">
              <w:rPr>
                <w:rFonts w:eastAsiaTheme="minorHAnsi" w:cs="Arial"/>
                <w:sz w:val="21"/>
              </w:rPr>
              <w:t>Total</w:t>
            </w:r>
          </w:p>
        </w:tc>
        <w:tc>
          <w:tcPr>
            <w:tcW w:w="26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DEE9348"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80</w:t>
            </w:r>
          </w:p>
        </w:tc>
        <w:tc>
          <w:tcPr>
            <w:tcW w:w="26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494FD36"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17</w:t>
            </w:r>
          </w:p>
        </w:tc>
        <w:tc>
          <w:tcPr>
            <w:tcW w:w="26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2C2C21A"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3</w:t>
            </w:r>
          </w:p>
        </w:tc>
        <w:tc>
          <w:tcPr>
            <w:tcW w:w="31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649D5634"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300</w:t>
            </w:r>
          </w:p>
        </w:tc>
        <w:tc>
          <w:tcPr>
            <w:tcW w:w="26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3010547"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2</w:t>
            </w:r>
          </w:p>
        </w:tc>
        <w:tc>
          <w:tcPr>
            <w:tcW w:w="29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93415F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color w:val="auto"/>
                <w:sz w:val="21"/>
              </w:rPr>
              <w:t>0</w:t>
            </w:r>
          </w:p>
        </w:tc>
        <w:tc>
          <w:tcPr>
            <w:tcW w:w="54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E3C504C"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15</w:t>
            </w:r>
          </w:p>
        </w:tc>
        <w:tc>
          <w:tcPr>
            <w:tcW w:w="772"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AE145BB" w14:textId="77777777" w:rsidR="00F2350B" w:rsidRPr="00373DCC" w:rsidRDefault="00F2350B" w:rsidP="00710B91">
            <w:pPr>
              <w:widowControl w:val="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417</w:t>
            </w:r>
            <w:r w:rsidRPr="00373DCC">
              <w:rPr>
                <w:rFonts w:eastAsiaTheme="minorHAnsi" w:cs="Arial"/>
                <w:color w:val="auto"/>
                <w:sz w:val="21"/>
              </w:rPr>
              <w:t xml:space="preserve"> </w:t>
            </w:r>
          </w:p>
        </w:tc>
      </w:tr>
    </w:tbl>
    <w:p w14:paraId="0060A86F" w14:textId="77777777" w:rsidR="00F2350B" w:rsidRPr="00373DCC" w:rsidRDefault="00F2350B" w:rsidP="00F2350B">
      <w:pPr>
        <w:keepLines/>
        <w:widowControl w:val="0"/>
        <w:spacing w:before="0" w:after="0" w:line="240" w:lineRule="auto"/>
        <w:ind w:left="284" w:hanging="284"/>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Performance means failure of the product to meet criteria/requirements critical to the intended purpose of the goods.</w:t>
      </w:r>
    </w:p>
    <w:p w14:paraId="172A51F7" w14:textId="77777777" w:rsidR="00F2350B" w:rsidRPr="00373DCC" w:rsidRDefault="00F2350B" w:rsidP="00F2350B">
      <w:pPr>
        <w:rPr>
          <w:rFonts w:eastAsia="Cambria" w:cs="Arial"/>
          <w:b/>
          <w:szCs w:val="22"/>
        </w:rPr>
      </w:pPr>
    </w:p>
    <w:p w14:paraId="4D972794" w14:textId="77777777" w:rsidR="00F2350B" w:rsidRPr="00373DCC" w:rsidRDefault="00F2350B" w:rsidP="00F2350B">
      <w:pPr>
        <w:keepNext/>
        <w:spacing w:before="240" w:after="120" w:line="240" w:lineRule="auto"/>
        <w:rPr>
          <w:rFonts w:eastAsia="Cambria" w:cs="Arial"/>
          <w:b/>
          <w:bCs/>
          <w:sz w:val="21"/>
          <w:szCs w:val="21"/>
        </w:rPr>
      </w:pPr>
      <w:bookmarkStart w:id="248" w:name="Table73"/>
      <w:r w:rsidRPr="00373DCC">
        <w:rPr>
          <w:rFonts w:eastAsia="Cambria" w:cs="Arial"/>
          <w:b/>
          <w:sz w:val="21"/>
          <w:szCs w:val="21"/>
        </w:rPr>
        <w:t xml:space="preserve">Table </w:t>
      </w:r>
      <w:r w:rsidRPr="00373DCC">
        <w:rPr>
          <w:rFonts w:eastAsia="Cambria" w:cs="Arial"/>
          <w:b/>
          <w:bCs/>
          <w:sz w:val="21"/>
          <w:szCs w:val="21"/>
        </w:rPr>
        <w:t>73:</w:t>
      </w:r>
      <w:r w:rsidRPr="00373DCC">
        <w:rPr>
          <w:rFonts w:eastAsia="Cambria" w:cs="Arial"/>
          <w:b/>
          <w:sz w:val="21"/>
          <w:szCs w:val="21"/>
        </w:rPr>
        <w:t xml:space="preserve"> Batch release and export certification</w:t>
      </w:r>
    </w:p>
    <w:tbl>
      <w:tblPr>
        <w:tblStyle w:val="TableTGAblue4"/>
        <w:tblW w:w="5000" w:type="pct"/>
        <w:tblInd w:w="-5"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807"/>
        <w:gridCol w:w="304"/>
        <w:gridCol w:w="1452"/>
        <w:gridCol w:w="1443"/>
      </w:tblGrid>
      <w:tr w:rsidR="005C7371" w:rsidRPr="00373DCC" w14:paraId="6FC1FA42"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4" w:type="pct"/>
            <w:shd w:val="clear" w:color="auto" w:fill="29527F"/>
            <w:vAlign w:val="center"/>
          </w:tcPr>
          <w:bookmarkEnd w:id="248"/>
          <w:p w14:paraId="1D82DBE4" w14:textId="0DD4AD90" w:rsidR="005C7371" w:rsidRPr="00373DCC" w:rsidRDefault="005C7371" w:rsidP="005C7371">
            <w:pPr>
              <w:widowControl w:val="0"/>
              <w:spacing w:before="0" w:after="0"/>
              <w:contextualSpacing/>
              <w:rPr>
                <w:rFonts w:cs="Arial"/>
                <w:b w:val="0"/>
                <w:color w:val="FFFFFF" w:themeColor="background1"/>
                <w:sz w:val="21"/>
              </w:rPr>
            </w:pPr>
            <w:r w:rsidRPr="00373DCC">
              <w:rPr>
                <w:rFonts w:cs="Arial"/>
                <w:sz w:val="21"/>
              </w:rPr>
              <w:t>Batch releases and certifications</w:t>
            </w:r>
            <w:r>
              <w:rPr>
                <w:rFonts w:eastAsiaTheme="minorHAnsi" w:cs="Arial"/>
                <w:color w:val="FFFFFF" w:themeColor="background1"/>
                <w:sz w:val="21"/>
              </w:rPr>
              <w:t xml:space="preserve"> </w:t>
            </w:r>
          </w:p>
        </w:tc>
        <w:tc>
          <w:tcPr>
            <w:tcW w:w="975" w:type="pct"/>
            <w:gridSpan w:val="2"/>
            <w:shd w:val="clear" w:color="auto" w:fill="29527F"/>
            <w:vAlign w:val="center"/>
          </w:tcPr>
          <w:p w14:paraId="3AD63F79" w14:textId="331329B5" w:rsidR="005C7371" w:rsidRPr="00373DCC" w:rsidRDefault="005C7371" w:rsidP="005C7371">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801" w:type="pct"/>
            <w:shd w:val="clear" w:color="auto" w:fill="29527F"/>
            <w:vAlign w:val="center"/>
          </w:tcPr>
          <w:p w14:paraId="484DE7CA" w14:textId="1AF05719" w:rsidR="005C7371" w:rsidRPr="00373DCC" w:rsidRDefault="005C7371" w:rsidP="005C7371">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0EF24A42" w14:textId="77777777" w:rsidTr="005C7371">
        <w:trPr>
          <w:trHeight w:val="340"/>
        </w:trPr>
        <w:tc>
          <w:tcPr>
            <w:cnfStyle w:val="001000000000" w:firstRow="0" w:lastRow="0" w:firstColumn="1" w:lastColumn="0" w:oddVBand="0" w:evenVBand="0" w:oddHBand="0" w:evenHBand="0" w:firstRowFirstColumn="0" w:firstRowLastColumn="0" w:lastRowFirstColumn="0" w:lastRowLastColumn="0"/>
            <w:tcW w:w="3393" w:type="pct"/>
            <w:gridSpan w:val="2"/>
            <w:tcBorders>
              <w:top w:val="single" w:sz="4" w:space="0" w:color="auto"/>
            </w:tcBorders>
            <w:vAlign w:val="center"/>
          </w:tcPr>
          <w:p w14:paraId="1B5A9E7D"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Batch release</w:t>
            </w:r>
            <w:r w:rsidRPr="00373DCC">
              <w:rPr>
                <w:rFonts w:eastAsiaTheme="minorHAnsi" w:cs="Arial"/>
                <w:sz w:val="21"/>
                <w:vertAlign w:val="superscript"/>
              </w:rPr>
              <w:t xml:space="preserve"> a</w:t>
            </w:r>
          </w:p>
        </w:tc>
        <w:tc>
          <w:tcPr>
            <w:tcW w:w="806" w:type="pct"/>
            <w:tcBorders>
              <w:top w:val="single" w:sz="4" w:space="0" w:color="auto"/>
            </w:tcBorders>
            <w:vAlign w:val="center"/>
          </w:tcPr>
          <w:p w14:paraId="7E7ED4E2"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588</w:t>
            </w:r>
          </w:p>
        </w:tc>
        <w:tc>
          <w:tcPr>
            <w:tcW w:w="801" w:type="pct"/>
            <w:tcBorders>
              <w:top w:val="single" w:sz="4" w:space="0" w:color="auto"/>
            </w:tcBorders>
            <w:vAlign w:val="center"/>
          </w:tcPr>
          <w:p w14:paraId="62B9DA23"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649</w:t>
            </w:r>
          </w:p>
        </w:tc>
      </w:tr>
      <w:tr w:rsidR="00F2350B" w:rsidRPr="00373DCC" w14:paraId="1E5EFECA" w14:textId="77777777" w:rsidTr="005C7371">
        <w:trPr>
          <w:trHeight w:val="340"/>
        </w:trPr>
        <w:tc>
          <w:tcPr>
            <w:cnfStyle w:val="001000000000" w:firstRow="0" w:lastRow="0" w:firstColumn="1" w:lastColumn="0" w:oddVBand="0" w:evenVBand="0" w:oddHBand="0" w:evenHBand="0" w:firstRowFirstColumn="0" w:firstRowLastColumn="0" w:lastRowFirstColumn="0" w:lastRowLastColumn="0"/>
            <w:tcW w:w="3393" w:type="pct"/>
            <w:gridSpan w:val="2"/>
            <w:vAlign w:val="center"/>
          </w:tcPr>
          <w:p w14:paraId="00177BC8" w14:textId="77777777" w:rsidR="00F2350B" w:rsidRPr="00373DCC" w:rsidRDefault="00F2350B" w:rsidP="00710B91">
            <w:pPr>
              <w:spacing w:before="0" w:after="0"/>
              <w:contextualSpacing/>
              <w:rPr>
                <w:rFonts w:eastAsiaTheme="minorHAnsi" w:cs="Arial"/>
                <w:sz w:val="21"/>
              </w:rPr>
            </w:pPr>
            <w:r w:rsidRPr="00373DCC">
              <w:rPr>
                <w:rFonts w:eastAsiaTheme="minorHAnsi" w:cs="Arial"/>
                <w:sz w:val="21"/>
              </w:rPr>
              <w:t>Export certification</w:t>
            </w:r>
            <w:r w:rsidRPr="00373DCC">
              <w:rPr>
                <w:rFonts w:eastAsiaTheme="minorHAnsi" w:cs="Arial"/>
                <w:sz w:val="21"/>
                <w:vertAlign w:val="superscript"/>
              </w:rPr>
              <w:t xml:space="preserve"> b</w:t>
            </w:r>
          </w:p>
        </w:tc>
        <w:tc>
          <w:tcPr>
            <w:tcW w:w="806" w:type="pct"/>
            <w:vAlign w:val="center"/>
          </w:tcPr>
          <w:p w14:paraId="1FF444CE"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18</w:t>
            </w:r>
          </w:p>
        </w:tc>
        <w:tc>
          <w:tcPr>
            <w:tcW w:w="801" w:type="pct"/>
            <w:vAlign w:val="center"/>
          </w:tcPr>
          <w:p w14:paraId="79005F90" w14:textId="77777777" w:rsidR="00F2350B" w:rsidRPr="00373DCC" w:rsidRDefault="00F2350B" w:rsidP="00710B91">
            <w:pPr>
              <w:widowControl w:val="0"/>
              <w:spacing w:before="0" w:after="0"/>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color w:val="auto"/>
                <w:sz w:val="21"/>
              </w:rPr>
            </w:pPr>
            <w:r w:rsidRPr="00373DCC">
              <w:rPr>
                <w:rFonts w:eastAsiaTheme="minorHAnsi" w:cs="Arial"/>
                <w:sz w:val="21"/>
              </w:rPr>
              <w:t>18</w:t>
            </w:r>
          </w:p>
        </w:tc>
      </w:tr>
    </w:tbl>
    <w:p w14:paraId="3D615F61" w14:textId="77777777" w:rsidR="00F2350B" w:rsidRPr="00373DCC" w:rsidRDefault="00F2350B" w:rsidP="00F2350B">
      <w:pPr>
        <w:widowControl w:val="0"/>
        <w:spacing w:before="0" w:after="0" w:line="240" w:lineRule="auto"/>
        <w:ind w:left="284" w:hanging="284"/>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ab/>
        <w:t>Evaluation of batch release documentation for vaccines, biotechnology and blood products.</w:t>
      </w:r>
    </w:p>
    <w:p w14:paraId="5B94D777" w14:textId="77777777" w:rsidR="00F2350B" w:rsidRPr="00373DCC" w:rsidRDefault="00F2350B" w:rsidP="00F2350B">
      <w:pPr>
        <w:widowControl w:val="0"/>
        <w:spacing w:before="0" w:after="0" w:line="240" w:lineRule="auto"/>
        <w:ind w:left="284" w:hanging="284"/>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ab/>
        <w:t>Certification of biological products being exported from Australian manufacturers to overseas markets.</w:t>
      </w:r>
    </w:p>
    <w:p w14:paraId="781AD827" w14:textId="77777777" w:rsidR="00F2350B" w:rsidRPr="00373DCC" w:rsidRDefault="00F2350B" w:rsidP="00F2350B">
      <w:pPr>
        <w:widowControl w:val="0"/>
        <w:spacing w:after="180" w:line="240" w:lineRule="atLeast"/>
        <w:rPr>
          <w:rFonts w:eastAsia="Cambria" w:cs="Arial"/>
          <w:b/>
          <w:bCs/>
          <w:sz w:val="21"/>
          <w:szCs w:val="21"/>
        </w:rPr>
      </w:pPr>
      <w:r w:rsidRPr="00373DCC">
        <w:rPr>
          <w:rFonts w:eastAsia="Cambria" w:cs="Arial"/>
          <w:sz w:val="21"/>
          <w:szCs w:val="21"/>
        </w:rPr>
        <w:t>The TGA provides the World Health Organisation compliant certificates for batches of biological products to be exported by Australian manufacturers to overseas markets.</w:t>
      </w:r>
    </w:p>
    <w:p w14:paraId="38E34DE6" w14:textId="77777777" w:rsidR="00F2350B" w:rsidRPr="00373DCC" w:rsidRDefault="00F2350B" w:rsidP="00F2350B">
      <w:pPr>
        <w:keepNext/>
        <w:spacing w:before="0" w:after="0" w:line="240" w:lineRule="auto"/>
        <w:rPr>
          <w:rFonts w:eastAsia="Cambria" w:cs="Arial"/>
          <w:b/>
          <w:sz w:val="21"/>
          <w:szCs w:val="21"/>
        </w:rPr>
      </w:pPr>
      <w:bookmarkStart w:id="249" w:name="Table74"/>
      <w:r w:rsidRPr="00373DCC">
        <w:rPr>
          <w:rFonts w:eastAsia="Cambria" w:cs="Arial"/>
          <w:b/>
          <w:sz w:val="21"/>
          <w:szCs w:val="21"/>
        </w:rPr>
        <w:t xml:space="preserve">Table </w:t>
      </w:r>
      <w:r w:rsidRPr="00373DCC">
        <w:rPr>
          <w:rFonts w:eastAsia="Cambria" w:cs="Arial"/>
          <w:b/>
          <w:bCs/>
          <w:sz w:val="21"/>
          <w:szCs w:val="21"/>
        </w:rPr>
        <w:t>74:</w:t>
      </w:r>
      <w:r w:rsidRPr="00373DCC">
        <w:rPr>
          <w:rFonts w:eastAsia="Cambria" w:cs="Arial"/>
          <w:b/>
          <w:sz w:val="21"/>
          <w:szCs w:val="21"/>
        </w:rPr>
        <w:t xml:space="preserve"> Target timeframes in working days for laboratory testing by priority and testing type</w:t>
      </w:r>
    </w:p>
    <w:p w14:paraId="0330429B" w14:textId="77777777" w:rsidR="00F2350B" w:rsidRPr="00373DCC" w:rsidRDefault="00F2350B" w:rsidP="00F2350B">
      <w:pPr>
        <w:keepNext/>
        <w:spacing w:before="0" w:after="0" w:line="240" w:lineRule="auto"/>
        <w:rPr>
          <w:rFonts w:eastAsia="Cambria" w:cs="Arial"/>
          <w:b/>
          <w:bCs/>
          <w:sz w:val="21"/>
          <w:szCs w:val="21"/>
        </w:rPr>
      </w:pPr>
    </w:p>
    <w:tbl>
      <w:tblPr>
        <w:tblStyle w:val="TableTGAblue1"/>
        <w:tblW w:w="5000" w:type="pct"/>
        <w:tblLook w:val="04A0" w:firstRow="1" w:lastRow="0" w:firstColumn="1" w:lastColumn="0" w:noHBand="0" w:noVBand="1"/>
      </w:tblPr>
      <w:tblGrid>
        <w:gridCol w:w="1971"/>
        <w:gridCol w:w="2398"/>
        <w:gridCol w:w="2393"/>
        <w:gridCol w:w="2254"/>
      </w:tblGrid>
      <w:tr w:rsidR="00F2350B" w:rsidRPr="00373DCC" w14:paraId="4E8B7A5E" w14:textId="77777777" w:rsidTr="00710B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auto"/>
              <w:left w:val="single" w:sz="4" w:space="0" w:color="auto"/>
              <w:bottom w:val="single" w:sz="4" w:space="0" w:color="002C47"/>
              <w:right w:val="single" w:sz="4" w:space="0" w:color="auto"/>
            </w:tcBorders>
            <w:shd w:val="clear" w:color="auto" w:fill="29527F"/>
            <w:vAlign w:val="center"/>
          </w:tcPr>
          <w:bookmarkEnd w:id="249"/>
          <w:p w14:paraId="6D77E3D0" w14:textId="77777777" w:rsidR="00F2350B" w:rsidRPr="00373DCC" w:rsidRDefault="00F2350B" w:rsidP="00710B91">
            <w:pPr>
              <w:widowControl w:val="0"/>
              <w:spacing w:line="240" w:lineRule="atLeast"/>
              <w:jc w:val="center"/>
              <w:rPr>
                <w:rFonts w:cs="Arial"/>
                <w:sz w:val="21"/>
              </w:rPr>
            </w:pPr>
            <w:r w:rsidRPr="00373DCC">
              <w:rPr>
                <w:rFonts w:cs="Arial"/>
                <w:sz w:val="21"/>
              </w:rPr>
              <w:t>Priority of testing</w:t>
            </w:r>
          </w:p>
        </w:tc>
        <w:tc>
          <w:tcPr>
            <w:tcW w:w="1330" w:type="pct"/>
            <w:tcBorders>
              <w:top w:val="single" w:sz="4" w:space="0" w:color="auto"/>
              <w:left w:val="single" w:sz="4" w:space="0" w:color="auto"/>
              <w:bottom w:val="single" w:sz="4" w:space="0" w:color="002C47"/>
              <w:right w:val="single" w:sz="4" w:space="0" w:color="auto"/>
            </w:tcBorders>
            <w:shd w:val="clear" w:color="auto" w:fill="29527F"/>
            <w:vAlign w:val="center"/>
          </w:tcPr>
          <w:p w14:paraId="2B6B828D" w14:textId="77777777" w:rsidR="00F2350B" w:rsidRPr="00373DCC" w:rsidRDefault="00F2350B" w:rsidP="00710B91">
            <w:pPr>
              <w:widowControl w:val="0"/>
              <w:spacing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sidRPr="00373DCC">
              <w:rPr>
                <w:rFonts w:cs="Arial"/>
                <w:sz w:val="21"/>
              </w:rPr>
              <w:t>Biochemical/</w:t>
            </w:r>
          </w:p>
          <w:p w14:paraId="567C197D" w14:textId="77777777" w:rsidR="00F2350B" w:rsidRPr="00373DCC" w:rsidRDefault="00F2350B" w:rsidP="00710B91">
            <w:pPr>
              <w:widowControl w:val="0"/>
              <w:spacing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sidRPr="00373DCC">
              <w:rPr>
                <w:rFonts w:cs="Arial"/>
                <w:sz w:val="21"/>
              </w:rPr>
              <w:t>chemical testing</w:t>
            </w:r>
          </w:p>
        </w:tc>
        <w:tc>
          <w:tcPr>
            <w:tcW w:w="1327" w:type="pct"/>
            <w:tcBorders>
              <w:top w:val="single" w:sz="4" w:space="0" w:color="auto"/>
              <w:left w:val="single" w:sz="4" w:space="0" w:color="auto"/>
              <w:bottom w:val="single" w:sz="4" w:space="0" w:color="002C47"/>
              <w:right w:val="single" w:sz="4" w:space="0" w:color="auto"/>
            </w:tcBorders>
            <w:shd w:val="clear" w:color="auto" w:fill="29527F"/>
            <w:vAlign w:val="center"/>
          </w:tcPr>
          <w:p w14:paraId="71EAA813" w14:textId="77777777" w:rsidR="00F2350B" w:rsidRPr="00373DCC" w:rsidRDefault="00F2350B" w:rsidP="00710B91">
            <w:pPr>
              <w:widowControl w:val="0"/>
              <w:spacing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sidRPr="00373DCC">
              <w:rPr>
                <w:rFonts w:cs="Arial"/>
                <w:sz w:val="21"/>
              </w:rPr>
              <w:t>Microbiological testing</w:t>
            </w:r>
          </w:p>
        </w:tc>
        <w:tc>
          <w:tcPr>
            <w:tcW w:w="1250" w:type="pct"/>
            <w:tcBorders>
              <w:top w:val="single" w:sz="4" w:space="0" w:color="auto"/>
              <w:left w:val="single" w:sz="4" w:space="0" w:color="auto"/>
              <w:bottom w:val="single" w:sz="4" w:space="0" w:color="002C47"/>
              <w:right w:val="single" w:sz="4" w:space="0" w:color="auto"/>
            </w:tcBorders>
            <w:shd w:val="clear" w:color="auto" w:fill="29527F"/>
            <w:vAlign w:val="center"/>
          </w:tcPr>
          <w:p w14:paraId="523ECEAC" w14:textId="77777777" w:rsidR="00F2350B" w:rsidRPr="00373DCC" w:rsidRDefault="00F2350B" w:rsidP="00710B91">
            <w:pPr>
              <w:widowControl w:val="0"/>
              <w:spacing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sidRPr="00373DCC">
              <w:rPr>
                <w:rFonts w:cs="Arial"/>
                <w:sz w:val="21"/>
              </w:rPr>
              <w:t>Medical device testing</w:t>
            </w:r>
          </w:p>
        </w:tc>
      </w:tr>
      <w:tr w:rsidR="00F2350B" w:rsidRPr="00373DCC" w14:paraId="445990DE"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57E258D7"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Urgent</w:t>
            </w:r>
            <w:r w:rsidRPr="00373DCC">
              <w:rPr>
                <w:rFonts w:eastAsiaTheme="minorHAnsi" w:cs="Arial"/>
                <w:sz w:val="21"/>
                <w:vertAlign w:val="superscript"/>
              </w:rPr>
              <w:t xml:space="preserve"> a</w:t>
            </w:r>
          </w:p>
        </w:tc>
        <w:tc>
          <w:tcPr>
            <w:tcW w:w="1330" w:type="pct"/>
            <w:tcBorders>
              <w:top w:val="single" w:sz="4" w:space="0" w:color="002C47"/>
              <w:left w:val="single" w:sz="4" w:space="0" w:color="002C47"/>
              <w:bottom w:val="single" w:sz="4" w:space="0" w:color="002C47"/>
              <w:right w:val="single" w:sz="4" w:space="0" w:color="002C47"/>
            </w:tcBorders>
            <w:vAlign w:val="center"/>
          </w:tcPr>
          <w:p w14:paraId="21771124"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 (95% of target times to be met)</w:t>
            </w:r>
          </w:p>
        </w:tc>
        <w:tc>
          <w:tcPr>
            <w:tcW w:w="1327" w:type="pct"/>
            <w:tcBorders>
              <w:top w:val="single" w:sz="4" w:space="0" w:color="002C47"/>
              <w:left w:val="single" w:sz="4" w:space="0" w:color="002C47"/>
              <w:bottom w:val="single" w:sz="4" w:space="0" w:color="002C47"/>
              <w:right w:val="single" w:sz="4" w:space="0" w:color="002C47"/>
            </w:tcBorders>
            <w:vAlign w:val="center"/>
          </w:tcPr>
          <w:p w14:paraId="6FD94E2B"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40 (95% of target times to be met)</w:t>
            </w:r>
          </w:p>
        </w:tc>
        <w:tc>
          <w:tcPr>
            <w:tcW w:w="1250" w:type="pct"/>
            <w:tcBorders>
              <w:top w:val="single" w:sz="4" w:space="0" w:color="002C47"/>
              <w:left w:val="single" w:sz="4" w:space="0" w:color="002C47"/>
              <w:bottom w:val="single" w:sz="4" w:space="0" w:color="002C47"/>
              <w:right w:val="single" w:sz="4" w:space="0" w:color="002C47"/>
            </w:tcBorders>
            <w:vAlign w:val="center"/>
          </w:tcPr>
          <w:p w14:paraId="7E98BB62"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20 (95% of target times to be met)</w:t>
            </w:r>
          </w:p>
        </w:tc>
      </w:tr>
      <w:tr w:rsidR="00F2350B" w:rsidRPr="00373DCC" w14:paraId="1F4B7C7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3B176EA3"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Priority</w:t>
            </w:r>
          </w:p>
        </w:tc>
        <w:tc>
          <w:tcPr>
            <w:tcW w:w="1330" w:type="pct"/>
            <w:tcBorders>
              <w:top w:val="single" w:sz="4" w:space="0" w:color="002C47"/>
              <w:left w:val="single" w:sz="4" w:space="0" w:color="002C47"/>
              <w:bottom w:val="single" w:sz="4" w:space="0" w:color="002C47"/>
              <w:right w:val="single" w:sz="4" w:space="0" w:color="002C47"/>
            </w:tcBorders>
            <w:vAlign w:val="center"/>
          </w:tcPr>
          <w:p w14:paraId="0CFC42D4"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40 (80% of target times to be met)</w:t>
            </w:r>
          </w:p>
        </w:tc>
        <w:tc>
          <w:tcPr>
            <w:tcW w:w="1327" w:type="pct"/>
            <w:tcBorders>
              <w:top w:val="single" w:sz="4" w:space="0" w:color="002C47"/>
              <w:left w:val="single" w:sz="4" w:space="0" w:color="002C47"/>
              <w:bottom w:val="single" w:sz="4" w:space="0" w:color="002C47"/>
              <w:right w:val="single" w:sz="4" w:space="0" w:color="002C47"/>
            </w:tcBorders>
            <w:vAlign w:val="center"/>
          </w:tcPr>
          <w:p w14:paraId="449C69CD"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 (80% of target times to be met)</w:t>
            </w:r>
          </w:p>
        </w:tc>
        <w:tc>
          <w:tcPr>
            <w:tcW w:w="1250" w:type="pct"/>
            <w:tcBorders>
              <w:top w:val="single" w:sz="4" w:space="0" w:color="002C47"/>
              <w:left w:val="single" w:sz="4" w:space="0" w:color="002C47"/>
              <w:bottom w:val="single" w:sz="4" w:space="0" w:color="002C47"/>
              <w:right w:val="single" w:sz="4" w:space="0" w:color="002C47"/>
            </w:tcBorders>
            <w:vAlign w:val="center"/>
          </w:tcPr>
          <w:p w14:paraId="3F93AC73"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40 (80% of target times to be met)</w:t>
            </w:r>
          </w:p>
        </w:tc>
      </w:tr>
      <w:tr w:rsidR="00F2350B" w:rsidRPr="00373DCC" w14:paraId="2C05D86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002C47"/>
              <w:left w:val="single" w:sz="4" w:space="0" w:color="002C47"/>
              <w:bottom w:val="single" w:sz="4" w:space="0" w:color="002C47"/>
              <w:right w:val="single" w:sz="4" w:space="0" w:color="002C47"/>
            </w:tcBorders>
            <w:vAlign w:val="center"/>
          </w:tcPr>
          <w:p w14:paraId="2DF3908B" w14:textId="77777777" w:rsidR="00F2350B" w:rsidRPr="00373DCC" w:rsidRDefault="00F2350B" w:rsidP="00710B91">
            <w:pPr>
              <w:spacing w:line="240" w:lineRule="atLeast"/>
              <w:contextualSpacing/>
              <w:rPr>
                <w:rFonts w:eastAsiaTheme="minorHAnsi" w:cs="Arial"/>
                <w:sz w:val="21"/>
              </w:rPr>
            </w:pPr>
            <w:r w:rsidRPr="00373DCC">
              <w:rPr>
                <w:rFonts w:eastAsiaTheme="minorHAnsi" w:cs="Arial"/>
                <w:sz w:val="21"/>
              </w:rPr>
              <w:t>Routine</w:t>
            </w:r>
          </w:p>
        </w:tc>
        <w:tc>
          <w:tcPr>
            <w:tcW w:w="1330" w:type="pct"/>
            <w:tcBorders>
              <w:top w:val="single" w:sz="4" w:space="0" w:color="002C47"/>
              <w:left w:val="single" w:sz="4" w:space="0" w:color="002C47"/>
              <w:bottom w:val="single" w:sz="4" w:space="0" w:color="002C47"/>
              <w:right w:val="single" w:sz="4" w:space="0" w:color="002C47"/>
            </w:tcBorders>
            <w:vAlign w:val="center"/>
          </w:tcPr>
          <w:p w14:paraId="73FCE2C2"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w:t>
            </w:r>
          </w:p>
        </w:tc>
        <w:tc>
          <w:tcPr>
            <w:tcW w:w="1327" w:type="pct"/>
            <w:tcBorders>
              <w:top w:val="single" w:sz="4" w:space="0" w:color="002C47"/>
              <w:left w:val="single" w:sz="4" w:space="0" w:color="002C47"/>
              <w:bottom w:val="single" w:sz="4" w:space="0" w:color="002C47"/>
              <w:right w:val="single" w:sz="4" w:space="0" w:color="002C47"/>
            </w:tcBorders>
            <w:vAlign w:val="center"/>
          </w:tcPr>
          <w:p w14:paraId="47942A81"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w:t>
            </w:r>
          </w:p>
        </w:tc>
        <w:tc>
          <w:tcPr>
            <w:tcW w:w="1250" w:type="pct"/>
            <w:tcBorders>
              <w:top w:val="single" w:sz="4" w:space="0" w:color="002C47"/>
              <w:left w:val="single" w:sz="4" w:space="0" w:color="002C47"/>
              <w:bottom w:val="single" w:sz="4" w:space="0" w:color="002C47"/>
              <w:right w:val="single" w:sz="4" w:space="0" w:color="002C47"/>
            </w:tcBorders>
            <w:vAlign w:val="center"/>
          </w:tcPr>
          <w:p w14:paraId="1A2F84C9" w14:textId="77777777" w:rsidR="00F2350B" w:rsidRPr="00373DCC" w:rsidRDefault="00F2350B" w:rsidP="00710B91">
            <w:pPr>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50</w:t>
            </w:r>
          </w:p>
        </w:tc>
      </w:tr>
    </w:tbl>
    <w:p w14:paraId="774BC8E6" w14:textId="77777777" w:rsidR="00F2350B" w:rsidRPr="00373DCC" w:rsidRDefault="00F2350B" w:rsidP="00F2350B">
      <w:pPr>
        <w:widowControl w:val="0"/>
        <w:spacing w:before="0" w:after="0" w:line="240" w:lineRule="auto"/>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Testing on products linked to potential public safety concerns are assigned to the ‘Urgent’ testing category. Urgent testing may impact on the timeframes for priority and routine testing. Priority is given to testing of products with the highest risk of a quality deficiency.</w:t>
      </w:r>
    </w:p>
    <w:p w14:paraId="32D1DC8F" w14:textId="77777777" w:rsidR="00507827" w:rsidRDefault="00507827">
      <w:pPr>
        <w:spacing w:before="0" w:after="160" w:line="259" w:lineRule="auto"/>
        <w:rPr>
          <w:rFonts w:eastAsia="Cambria" w:cs="Arial"/>
          <w:b/>
          <w:sz w:val="21"/>
          <w:szCs w:val="21"/>
        </w:rPr>
      </w:pPr>
      <w:bookmarkStart w:id="250" w:name="Table75"/>
      <w:r>
        <w:rPr>
          <w:rFonts w:eastAsia="Cambria" w:cs="Arial"/>
          <w:b/>
          <w:sz w:val="21"/>
          <w:szCs w:val="21"/>
        </w:rPr>
        <w:br w:type="page"/>
      </w:r>
    </w:p>
    <w:p w14:paraId="31670575" w14:textId="7EF908C1"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sz w:val="21"/>
          <w:szCs w:val="21"/>
        </w:rPr>
        <w:lastRenderedPageBreak/>
        <w:t xml:space="preserve">Table </w:t>
      </w:r>
      <w:r w:rsidRPr="00373DCC">
        <w:rPr>
          <w:rFonts w:eastAsia="Cambria" w:cs="Arial"/>
          <w:b/>
          <w:bCs/>
          <w:sz w:val="21"/>
          <w:szCs w:val="21"/>
        </w:rPr>
        <w:t>75:</w:t>
      </w:r>
      <w:r w:rsidRPr="00373DCC">
        <w:rPr>
          <w:rFonts w:eastAsia="Cambria" w:cs="Arial"/>
          <w:b/>
          <w:sz w:val="21"/>
          <w:szCs w:val="21"/>
        </w:rPr>
        <w:t xml:space="preserve"> Compliance with testing timeframes</w:t>
      </w:r>
      <w:r w:rsidRPr="00373DCC">
        <w:rPr>
          <w:rFonts w:eastAsia="Cambria" w:cs="Arial"/>
          <w:b/>
          <w:sz w:val="21"/>
          <w:szCs w:val="21"/>
          <w:vertAlign w:val="superscript"/>
        </w:rPr>
        <w:t>a</w:t>
      </w:r>
      <w:r w:rsidRPr="00373DCC">
        <w:rPr>
          <w:rFonts w:eastAsia="Cambria" w:cs="Arial"/>
          <w:b/>
          <w:sz w:val="21"/>
          <w:szCs w:val="21"/>
        </w:rPr>
        <w:t xml:space="preserve"> for July 2022 to June 2023</w:t>
      </w:r>
    </w:p>
    <w:tbl>
      <w:tblPr>
        <w:tblStyle w:val="TableTGAblue3"/>
        <w:tblW w:w="5000" w:type="pct"/>
        <w:tblLook w:val="04A0" w:firstRow="1" w:lastRow="0" w:firstColumn="1" w:lastColumn="0" w:noHBand="0" w:noVBand="1"/>
      </w:tblPr>
      <w:tblGrid>
        <w:gridCol w:w="4372"/>
        <w:gridCol w:w="2398"/>
        <w:gridCol w:w="2251"/>
      </w:tblGrid>
      <w:tr w:rsidR="00F2350B" w:rsidRPr="00373DCC" w14:paraId="6604FF90" w14:textId="77777777" w:rsidTr="0050782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72" w:type="dxa"/>
            <w:tcBorders>
              <w:top w:val="nil"/>
              <w:left w:val="nil"/>
              <w:bottom w:val="nil"/>
              <w:right w:val="single" w:sz="4" w:space="0" w:color="auto"/>
            </w:tcBorders>
            <w:shd w:val="clear" w:color="auto" w:fill="29527F"/>
            <w:vAlign w:val="center"/>
          </w:tcPr>
          <w:bookmarkEnd w:id="250"/>
          <w:p w14:paraId="5849348A" w14:textId="1C977A9A" w:rsidR="00F2350B" w:rsidRPr="00373DCC" w:rsidRDefault="00507827" w:rsidP="00710B91">
            <w:pPr>
              <w:widowControl w:val="0"/>
              <w:tabs>
                <w:tab w:val="left" w:pos="1764"/>
              </w:tabs>
              <w:spacing w:line="240" w:lineRule="atLeast"/>
              <w:outlineLvl w:val="4"/>
              <w:rPr>
                <w:rFonts w:cs="Arial"/>
                <w:color w:val="000000"/>
                <w:sz w:val="21"/>
              </w:rPr>
            </w:pPr>
            <w:r w:rsidRPr="00373DCC">
              <w:rPr>
                <w:rFonts w:cs="Arial"/>
                <w:sz w:val="21"/>
              </w:rPr>
              <w:t>Therapeutic good type</w:t>
            </w:r>
            <w:r w:rsidRPr="00373DCC">
              <w:rPr>
                <w:rFonts w:cs="Arial"/>
                <w:sz w:val="21"/>
                <w:vertAlign w:val="superscript"/>
              </w:rPr>
              <w:t xml:space="preserve"> b</w:t>
            </w:r>
          </w:p>
        </w:tc>
        <w:tc>
          <w:tcPr>
            <w:tcW w:w="2398" w:type="dxa"/>
            <w:tcBorders>
              <w:top w:val="single" w:sz="4" w:space="0" w:color="auto"/>
              <w:left w:val="single" w:sz="4" w:space="0" w:color="auto"/>
              <w:bottom w:val="single" w:sz="4" w:space="0" w:color="auto"/>
              <w:right w:val="single" w:sz="4" w:space="0" w:color="auto"/>
            </w:tcBorders>
            <w:shd w:val="clear" w:color="auto" w:fill="29527F"/>
            <w:vAlign w:val="center"/>
          </w:tcPr>
          <w:p w14:paraId="0B718693" w14:textId="77777777" w:rsidR="00F2350B" w:rsidRPr="00373DCC" w:rsidRDefault="00F2350B" w:rsidP="00710B91">
            <w:pPr>
              <w:widowControl w:val="0"/>
              <w:spacing w:line="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color w:val="FFFFFF" w:themeColor="background1"/>
                <w:sz w:val="21"/>
              </w:rPr>
              <w:t>Priority</w:t>
            </w:r>
          </w:p>
        </w:tc>
        <w:tc>
          <w:tcPr>
            <w:tcW w:w="2251" w:type="dxa"/>
            <w:tcBorders>
              <w:top w:val="single" w:sz="4" w:space="0" w:color="auto"/>
              <w:left w:val="single" w:sz="4" w:space="0" w:color="auto"/>
              <w:bottom w:val="single" w:sz="4" w:space="0" w:color="auto"/>
              <w:right w:val="single" w:sz="4" w:space="0" w:color="auto"/>
            </w:tcBorders>
            <w:shd w:val="clear" w:color="auto" w:fill="29527F"/>
            <w:vAlign w:val="center"/>
          </w:tcPr>
          <w:p w14:paraId="1D447338" w14:textId="77777777" w:rsidR="00F2350B" w:rsidRPr="00373DCC" w:rsidRDefault="00F2350B" w:rsidP="00710B91">
            <w:pPr>
              <w:widowControl w:val="0"/>
              <w:spacing w:line="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sidRPr="00373DCC">
              <w:rPr>
                <w:rFonts w:eastAsiaTheme="minorHAnsi" w:cs="Arial"/>
                <w:color w:val="FFFFFF" w:themeColor="background1"/>
                <w:sz w:val="21"/>
              </w:rPr>
              <w:t>Number (% of Total)</w:t>
            </w:r>
          </w:p>
        </w:tc>
      </w:tr>
      <w:tr w:rsidR="00F2350B" w:rsidRPr="00373DCC" w14:paraId="4CDD6E4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42B48E50" w14:textId="77777777" w:rsidR="00F2350B" w:rsidRPr="00373DCC" w:rsidRDefault="00F2350B" w:rsidP="00710B91">
            <w:pPr>
              <w:spacing w:line="240" w:lineRule="atLeast"/>
              <w:contextualSpacing/>
              <w:outlineLvl w:val="4"/>
              <w:rPr>
                <w:rFonts w:eastAsiaTheme="minorHAnsi" w:cs="Arial"/>
                <w:sz w:val="21"/>
              </w:rPr>
            </w:pPr>
            <w:r w:rsidRPr="00373DCC">
              <w:rPr>
                <w:rFonts w:eastAsiaTheme="minorHAnsi" w:cs="Arial"/>
                <w:sz w:val="21"/>
              </w:rPr>
              <w:t>Medical devices</w:t>
            </w:r>
          </w:p>
        </w:tc>
        <w:tc>
          <w:tcPr>
            <w:tcW w:w="2398" w:type="dxa"/>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23C45A65"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Routine</w:t>
            </w:r>
          </w:p>
        </w:tc>
        <w:tc>
          <w:tcPr>
            <w:tcW w:w="2251" w:type="dxa"/>
            <w:tcBorders>
              <w:top w:val="single" w:sz="4" w:space="0" w:color="auto"/>
              <w:left w:val="single" w:sz="4" w:space="0" w:color="002C47" w:themeColor="text2"/>
              <w:bottom w:val="single" w:sz="4" w:space="0" w:color="002C47" w:themeColor="text2"/>
              <w:right w:val="single" w:sz="4" w:space="0" w:color="002C47" w:themeColor="text2"/>
            </w:tcBorders>
            <w:vAlign w:val="center"/>
          </w:tcPr>
          <w:p w14:paraId="3ECCAB89"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395 (48%)</w:t>
            </w:r>
          </w:p>
        </w:tc>
      </w:tr>
      <w:tr w:rsidR="00F2350B" w:rsidRPr="00373DCC" w14:paraId="297AF4A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65DB7207"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EB25C26"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Priority</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B85DCF9"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 (57%)</w:t>
            </w:r>
          </w:p>
        </w:tc>
      </w:tr>
      <w:tr w:rsidR="00F2350B" w:rsidRPr="00373DCC" w14:paraId="73305A2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6D088D59"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C2371A2"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Urgent</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6CB600A"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10F4709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0FEF052" w14:textId="77777777" w:rsidR="00F2350B" w:rsidRPr="00373DCC" w:rsidRDefault="00F2350B" w:rsidP="00710B91">
            <w:pPr>
              <w:spacing w:line="240" w:lineRule="atLeast"/>
              <w:contextualSpacing/>
              <w:outlineLvl w:val="4"/>
              <w:rPr>
                <w:rFonts w:eastAsiaTheme="minorHAnsi" w:cs="Arial"/>
                <w:sz w:val="21"/>
              </w:rPr>
            </w:pPr>
            <w:r w:rsidRPr="00373DCC">
              <w:rPr>
                <w:rFonts w:eastAsiaTheme="minorHAnsi" w:cs="Arial"/>
                <w:sz w:val="21"/>
              </w:rPr>
              <w:t>OTC medicines</w:t>
            </w: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F563A26"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Routine</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A01C521"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26 (12%)</w:t>
            </w:r>
          </w:p>
        </w:tc>
      </w:tr>
      <w:tr w:rsidR="00F2350B" w:rsidRPr="00373DCC" w14:paraId="038B7D3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0C90E08D"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D032677"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Priority</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CE76145"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 (13%)</w:t>
            </w:r>
          </w:p>
        </w:tc>
      </w:tr>
      <w:tr w:rsidR="00F2350B" w:rsidRPr="00373DCC" w14:paraId="5AD950A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194E94A6"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6A96198"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Urgent</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B11F463"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EastAsia" w:cs="Arial"/>
                <w:sz w:val="21"/>
              </w:rPr>
            </w:pPr>
            <w:r w:rsidRPr="48ECC65F">
              <w:rPr>
                <w:rFonts w:eastAsiaTheme="minorEastAsia" w:cs="Arial"/>
                <w:sz w:val="21"/>
              </w:rPr>
              <w:t>0 (0%)</w:t>
            </w:r>
          </w:p>
        </w:tc>
      </w:tr>
      <w:tr w:rsidR="00F2350B" w:rsidRPr="00373DCC" w14:paraId="56D6466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DF81CF0" w14:textId="77777777" w:rsidR="00F2350B" w:rsidRPr="00373DCC" w:rsidRDefault="00F2350B" w:rsidP="00710B91">
            <w:pPr>
              <w:spacing w:line="240" w:lineRule="atLeast"/>
              <w:contextualSpacing/>
              <w:outlineLvl w:val="4"/>
              <w:rPr>
                <w:rFonts w:eastAsiaTheme="minorHAnsi" w:cs="Arial"/>
                <w:sz w:val="21"/>
              </w:rPr>
            </w:pPr>
            <w:r w:rsidRPr="00373DCC">
              <w:rPr>
                <w:rFonts w:eastAsiaTheme="minorHAnsi" w:cs="Arial"/>
                <w:sz w:val="21"/>
              </w:rPr>
              <w:t>Prescription medicines</w:t>
            </w: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27B1036"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Routine</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629A61C"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(80%)</w:t>
            </w:r>
          </w:p>
        </w:tc>
      </w:tr>
      <w:tr w:rsidR="00F2350B" w:rsidRPr="00373DCC" w14:paraId="04D1755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7556D8A4"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FC210E1"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Priority</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730E409B"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(60%)</w:t>
            </w:r>
          </w:p>
        </w:tc>
      </w:tr>
      <w:tr w:rsidR="00F2350B" w:rsidRPr="00373DCC" w14:paraId="6EC85C5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728F6E55"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388AA05"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Urgent</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CEF2E1A"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2DDAB25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78B0E42" w14:textId="77777777" w:rsidR="00F2350B" w:rsidRPr="00373DCC" w:rsidRDefault="00F2350B" w:rsidP="00710B91">
            <w:pPr>
              <w:spacing w:line="240" w:lineRule="atLeast"/>
              <w:contextualSpacing/>
              <w:outlineLvl w:val="4"/>
              <w:rPr>
                <w:rFonts w:eastAsiaTheme="minorHAnsi" w:cs="Arial"/>
                <w:sz w:val="21"/>
              </w:rPr>
            </w:pPr>
            <w:r w:rsidRPr="00373DCC">
              <w:rPr>
                <w:rFonts w:eastAsiaTheme="minorHAnsi" w:cs="Arial"/>
                <w:sz w:val="21"/>
              </w:rPr>
              <w:t>Complementary Medicines</w:t>
            </w: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CAECAAD"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Routine</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8A21A60"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 (0%)</w:t>
            </w:r>
          </w:p>
        </w:tc>
      </w:tr>
      <w:tr w:rsidR="00F2350B" w:rsidRPr="00373DCC" w14:paraId="24B0F4D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39F76DF2"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441B04F"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Priority</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715A6E8"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29 (0%)</w:t>
            </w:r>
          </w:p>
        </w:tc>
      </w:tr>
      <w:tr w:rsidR="00F2350B" w:rsidRPr="00373DCC" w14:paraId="400723D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33ACA3EF" w14:textId="77777777" w:rsidR="00F2350B" w:rsidRPr="00373DCC" w:rsidRDefault="00F2350B" w:rsidP="00710B91">
            <w:pPr>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0119CF89"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Urgent</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63B67BA"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0 (0%)</w:t>
            </w:r>
          </w:p>
        </w:tc>
      </w:tr>
      <w:tr w:rsidR="00F2350B" w:rsidRPr="00373DCC" w14:paraId="230A3B3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restart"/>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CF5AE50" w14:textId="77777777" w:rsidR="00F2350B" w:rsidRPr="00373DCC" w:rsidRDefault="00F2350B" w:rsidP="00710B91">
            <w:pPr>
              <w:spacing w:line="240" w:lineRule="atLeast"/>
              <w:contextualSpacing/>
              <w:outlineLvl w:val="4"/>
              <w:rPr>
                <w:rFonts w:eastAsiaTheme="minorHAnsi" w:cs="Arial"/>
                <w:sz w:val="21"/>
              </w:rPr>
            </w:pPr>
            <w:r w:rsidRPr="00373DCC">
              <w:rPr>
                <w:rFonts w:eastAsiaTheme="minorHAnsi" w:cs="Arial"/>
                <w:sz w:val="21"/>
              </w:rPr>
              <w:t>Unregistered products</w:t>
            </w: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282D2568"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Routine</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6700C173"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80 (50%)</w:t>
            </w:r>
          </w:p>
        </w:tc>
      </w:tr>
      <w:tr w:rsidR="00F2350B" w:rsidRPr="00373DCC" w14:paraId="4305F32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5A8F3A32" w14:textId="77777777" w:rsidR="00F2350B" w:rsidRPr="00373DCC" w:rsidRDefault="00F2350B" w:rsidP="00710B91">
            <w:pPr>
              <w:widowControl w:val="0"/>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43B8825B"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Priority</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186DB002"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278(55%)</w:t>
            </w:r>
          </w:p>
        </w:tc>
      </w:tr>
      <w:tr w:rsidR="00F2350B" w:rsidRPr="00373DCC" w14:paraId="3ED3248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4372" w:type="dxa"/>
            <w:vMerge/>
            <w:vAlign w:val="center"/>
          </w:tcPr>
          <w:p w14:paraId="564CE785" w14:textId="77777777" w:rsidR="00F2350B" w:rsidRPr="00373DCC" w:rsidRDefault="00F2350B" w:rsidP="00710B91">
            <w:pPr>
              <w:widowControl w:val="0"/>
              <w:spacing w:line="240" w:lineRule="atLeast"/>
              <w:contextualSpacing/>
              <w:outlineLvl w:val="4"/>
              <w:rPr>
                <w:rFonts w:eastAsiaTheme="minorHAnsi" w:cs="Arial"/>
                <w:sz w:val="21"/>
              </w:rPr>
            </w:pPr>
          </w:p>
        </w:tc>
        <w:tc>
          <w:tcPr>
            <w:tcW w:w="2398"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5F5AAB70" w14:textId="77777777" w:rsidR="00F2350B" w:rsidRPr="00373DCC" w:rsidRDefault="00F2350B" w:rsidP="00710B91">
            <w:pPr>
              <w:widowControl w:val="0"/>
              <w:spacing w:line="240" w:lineRule="atLeast"/>
              <w:contextualSpacing/>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Urgent</w:t>
            </w:r>
          </w:p>
        </w:tc>
        <w:tc>
          <w:tcPr>
            <w:tcW w:w="2251" w:type="dxa"/>
            <w:tcBorders>
              <w:top w:val="single" w:sz="4" w:space="0" w:color="002C47" w:themeColor="text2"/>
              <w:left w:val="single" w:sz="4" w:space="0" w:color="002C47" w:themeColor="text2"/>
              <w:bottom w:val="single" w:sz="4" w:space="0" w:color="002C47" w:themeColor="text2"/>
              <w:right w:val="single" w:sz="4" w:space="0" w:color="002C47" w:themeColor="text2"/>
            </w:tcBorders>
            <w:vAlign w:val="center"/>
          </w:tcPr>
          <w:p w14:paraId="346FC486" w14:textId="77777777" w:rsidR="00F2350B" w:rsidRPr="00373DCC" w:rsidRDefault="00F2350B" w:rsidP="00710B91">
            <w:pPr>
              <w:widowControl w:val="0"/>
              <w:spacing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39 (0%)</w:t>
            </w:r>
          </w:p>
        </w:tc>
      </w:tr>
    </w:tbl>
    <w:p w14:paraId="452DB67F"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Samples involving complex biological assays are excluded from the target turnaround timeframes.</w:t>
      </w:r>
    </w:p>
    <w:p w14:paraId="05BF035A"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Low numbers of samples within categories may affect compliance percentages.</w:t>
      </w:r>
    </w:p>
    <w:p w14:paraId="0BF045AD" w14:textId="77777777" w:rsidR="00F2350B" w:rsidRPr="00373DCC" w:rsidRDefault="00F2350B" w:rsidP="00F2350B">
      <w:pPr>
        <w:rPr>
          <w:rFonts w:eastAsia="Cambria" w:cs="Arial"/>
          <w:b/>
          <w:bCs/>
          <w:szCs w:val="22"/>
        </w:rPr>
      </w:pPr>
    </w:p>
    <w:p w14:paraId="1BADB73F" w14:textId="77777777" w:rsidR="00F2350B" w:rsidRPr="00373DCC" w:rsidRDefault="00F2350B" w:rsidP="00F2350B">
      <w:pPr>
        <w:spacing w:before="0" w:after="160" w:line="259" w:lineRule="auto"/>
        <w:rPr>
          <w:rFonts w:eastAsiaTheme="majorEastAsia" w:cs="Arial"/>
          <w:b/>
          <w:color w:val="00348C" w:themeColor="accent1" w:themeShade="BF"/>
          <w:sz w:val="28"/>
          <w:szCs w:val="28"/>
          <w:lang w:eastAsia="en-AU"/>
        </w:rPr>
      </w:pPr>
      <w:r w:rsidRPr="00373DCC">
        <w:rPr>
          <w:rFonts w:eastAsiaTheme="majorEastAsia" w:cs="Arial"/>
          <w:b/>
          <w:color w:val="00348C" w:themeColor="accent1" w:themeShade="BF"/>
          <w:sz w:val="28"/>
          <w:szCs w:val="28"/>
          <w:lang w:eastAsia="en-AU"/>
        </w:rPr>
        <w:br w:type="page"/>
      </w:r>
    </w:p>
    <w:p w14:paraId="725BA49B"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51" w:name="_Toc153550498"/>
      <w:r w:rsidRPr="00373DCC">
        <w:rPr>
          <w:rFonts w:eastAsiaTheme="majorEastAsia" w:cs="Arial"/>
          <w:b/>
          <w:color w:val="00348C" w:themeColor="accent1" w:themeShade="BF"/>
          <w:sz w:val="28"/>
          <w:szCs w:val="28"/>
          <w:lang w:eastAsia="en-AU"/>
        </w:rPr>
        <w:lastRenderedPageBreak/>
        <w:t>14. Regulatory Compliance</w:t>
      </w:r>
      <w:bookmarkEnd w:id="251"/>
    </w:p>
    <w:p w14:paraId="40C6BB68" w14:textId="77777777" w:rsidR="00F2350B" w:rsidRPr="00373DCC" w:rsidRDefault="00F2350B" w:rsidP="00F2350B">
      <w:pPr>
        <w:rPr>
          <w:rFonts w:cs="Arial"/>
          <w:sz w:val="21"/>
          <w:szCs w:val="21"/>
        </w:rPr>
      </w:pPr>
      <w:r w:rsidRPr="00373DCC">
        <w:rPr>
          <w:rFonts w:cs="Arial"/>
          <w:sz w:val="21"/>
          <w:szCs w:val="21"/>
        </w:rPr>
        <w:t>We conduct compliance and enforcement activities against a risk-based compliance framework. A range of tools are used to encourage compliance and address non-compliance including education and guidance, warnings, the issue of infringements, and/or product suspensions or cancellations. Investigations may also result in criminal or civil court proceedings.</w:t>
      </w:r>
    </w:p>
    <w:p w14:paraId="23104A3E" w14:textId="77777777" w:rsidR="00F2350B" w:rsidRPr="00373DCC" w:rsidRDefault="00F2350B" w:rsidP="00F2350B">
      <w:pPr>
        <w:widowControl w:val="0"/>
        <w:spacing w:after="120" w:line="240" w:lineRule="atLeast"/>
        <w:rPr>
          <w:rFonts w:eastAsia="Cambria" w:cs="Arial"/>
          <w:b/>
          <w:bCs/>
          <w:sz w:val="21"/>
          <w:szCs w:val="21"/>
        </w:rPr>
      </w:pPr>
      <w:bookmarkStart w:id="252" w:name="Table76"/>
      <w:r w:rsidRPr="00373DCC">
        <w:rPr>
          <w:rFonts w:eastAsia="Cambria" w:cs="Arial"/>
          <w:b/>
          <w:bCs/>
          <w:sz w:val="21"/>
          <w:szCs w:val="21"/>
        </w:rPr>
        <w:t>Table 76:  Civil and criminal court proceedings</w:t>
      </w:r>
    </w:p>
    <w:tbl>
      <w:tblPr>
        <w:tblStyle w:val="TableTGAblue91"/>
        <w:tblW w:w="5002"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4743"/>
        <w:gridCol w:w="2141"/>
        <w:gridCol w:w="2141"/>
      </w:tblGrid>
      <w:tr w:rsidR="00507827" w:rsidRPr="00373DCC" w14:paraId="573EB323"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shd w:val="clear" w:color="auto" w:fill="29527F"/>
            <w:vAlign w:val="center"/>
          </w:tcPr>
          <w:bookmarkEnd w:id="252"/>
          <w:p w14:paraId="42FCEE9C" w14:textId="20D96438" w:rsidR="00507827" w:rsidRPr="00373DCC" w:rsidRDefault="005C7371" w:rsidP="00507827">
            <w:pPr>
              <w:widowControl w:val="0"/>
              <w:numPr>
                <w:ilvl w:val="0"/>
                <w:numId w:val="25"/>
              </w:numPr>
              <w:spacing w:before="0" w:after="0"/>
              <w:rPr>
                <w:rFonts w:cs="Arial"/>
                <w:sz w:val="21"/>
              </w:rPr>
            </w:pPr>
            <w:r w:rsidRPr="00373DCC">
              <w:rPr>
                <w:rFonts w:cs="Arial"/>
                <w:sz w:val="21"/>
              </w:rPr>
              <w:t>Criminal and civil court</w:t>
            </w:r>
          </w:p>
        </w:tc>
        <w:tc>
          <w:tcPr>
            <w:tcW w:w="0" w:type="auto"/>
            <w:tcBorders>
              <w:top w:val="single" w:sz="4" w:space="0" w:color="auto"/>
              <w:left w:val="single" w:sz="4" w:space="0" w:color="auto"/>
              <w:bottom w:val="single" w:sz="4" w:space="0" w:color="auto"/>
              <w:right w:val="single" w:sz="4" w:space="0" w:color="auto"/>
            </w:tcBorders>
            <w:shd w:val="clear" w:color="auto" w:fill="29527F"/>
            <w:vAlign w:val="center"/>
          </w:tcPr>
          <w:p w14:paraId="7C5AB873" w14:textId="42053FF7" w:rsidR="00507827" w:rsidRPr="00373DCC" w:rsidRDefault="00507827" w:rsidP="00507827">
            <w:pPr>
              <w:widowControl w:val="0"/>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0" w:type="auto"/>
            <w:tcBorders>
              <w:top w:val="single" w:sz="4" w:space="0" w:color="auto"/>
              <w:left w:val="single" w:sz="4" w:space="0" w:color="auto"/>
              <w:bottom w:val="single" w:sz="4" w:space="0" w:color="auto"/>
              <w:right w:val="single" w:sz="4" w:space="0" w:color="auto"/>
            </w:tcBorders>
            <w:shd w:val="clear" w:color="auto" w:fill="29527F"/>
            <w:vAlign w:val="center"/>
          </w:tcPr>
          <w:p w14:paraId="3F63158E" w14:textId="1784ABAC" w:rsidR="00507827" w:rsidRPr="00373DCC" w:rsidRDefault="00507827" w:rsidP="00507827">
            <w:pPr>
              <w:widowControl w:val="0"/>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750E676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6CE438" w14:textId="77777777" w:rsidR="00F2350B" w:rsidRPr="00373DCC" w:rsidRDefault="00F2350B" w:rsidP="00ED1A1F">
            <w:pPr>
              <w:numPr>
                <w:ilvl w:val="0"/>
                <w:numId w:val="25"/>
              </w:numPr>
              <w:spacing w:before="0" w:after="0"/>
              <w:rPr>
                <w:rFonts w:cs="Arial"/>
                <w:sz w:val="21"/>
              </w:rPr>
            </w:pPr>
            <w:r w:rsidRPr="00373DCC">
              <w:rPr>
                <w:rFonts w:cs="Arial"/>
                <w:sz w:val="21"/>
              </w:rPr>
              <w:t>Criminal actions commenced</w:t>
            </w:r>
          </w:p>
        </w:tc>
        <w:tc>
          <w:tcPr>
            <w:tcW w:w="0" w:type="auto"/>
            <w:vAlign w:val="center"/>
          </w:tcPr>
          <w:p w14:paraId="697C0AEA"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c>
          <w:tcPr>
            <w:tcW w:w="0" w:type="auto"/>
            <w:vAlign w:val="center"/>
          </w:tcPr>
          <w:p w14:paraId="56BB934A"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r>
      <w:tr w:rsidR="00F2350B" w:rsidRPr="00373DCC" w14:paraId="798B99E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A0EADA" w14:textId="77777777" w:rsidR="00F2350B" w:rsidRPr="00373DCC" w:rsidRDefault="00F2350B" w:rsidP="00ED1A1F">
            <w:pPr>
              <w:numPr>
                <w:ilvl w:val="0"/>
                <w:numId w:val="25"/>
              </w:numPr>
              <w:spacing w:before="0" w:after="0"/>
              <w:rPr>
                <w:rFonts w:cs="Arial"/>
                <w:sz w:val="21"/>
              </w:rPr>
            </w:pPr>
            <w:r w:rsidRPr="00373DCC">
              <w:rPr>
                <w:rFonts w:cs="Arial"/>
                <w:sz w:val="21"/>
              </w:rPr>
              <w:t xml:space="preserve">Criminal actions finalised </w:t>
            </w:r>
          </w:p>
        </w:tc>
        <w:tc>
          <w:tcPr>
            <w:tcW w:w="0" w:type="auto"/>
            <w:vAlign w:val="center"/>
          </w:tcPr>
          <w:p w14:paraId="6C5E7559"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w:t>
            </w:r>
          </w:p>
        </w:tc>
        <w:tc>
          <w:tcPr>
            <w:tcW w:w="0" w:type="auto"/>
            <w:vAlign w:val="center"/>
          </w:tcPr>
          <w:p w14:paraId="7EC8D475"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r>
      <w:tr w:rsidR="00F2350B" w:rsidRPr="00373DCC" w14:paraId="6A28AC5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9BB6BC" w14:textId="77777777" w:rsidR="00F2350B" w:rsidRPr="00373DCC" w:rsidRDefault="00F2350B" w:rsidP="00ED1A1F">
            <w:pPr>
              <w:numPr>
                <w:ilvl w:val="0"/>
                <w:numId w:val="25"/>
              </w:numPr>
              <w:spacing w:before="0" w:after="0"/>
              <w:rPr>
                <w:rFonts w:cs="Arial"/>
                <w:sz w:val="21"/>
                <w:vertAlign w:val="superscript"/>
              </w:rPr>
            </w:pPr>
            <w:r w:rsidRPr="00373DCC">
              <w:rPr>
                <w:rFonts w:cs="Arial"/>
                <w:sz w:val="21"/>
              </w:rPr>
              <w:t>Civil actions commenced</w:t>
            </w:r>
          </w:p>
        </w:tc>
        <w:tc>
          <w:tcPr>
            <w:tcW w:w="0" w:type="auto"/>
            <w:vAlign w:val="center"/>
          </w:tcPr>
          <w:p w14:paraId="1FBE54B1"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w:t>
            </w:r>
          </w:p>
        </w:tc>
        <w:tc>
          <w:tcPr>
            <w:tcW w:w="0" w:type="auto"/>
            <w:vAlign w:val="center"/>
          </w:tcPr>
          <w:p w14:paraId="63C3D0A8"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w:t>
            </w:r>
          </w:p>
        </w:tc>
      </w:tr>
      <w:tr w:rsidR="00F2350B" w:rsidRPr="00373DCC" w14:paraId="41DCA6A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69B591" w14:textId="77777777" w:rsidR="00F2350B" w:rsidRPr="00373DCC" w:rsidRDefault="00F2350B" w:rsidP="00ED1A1F">
            <w:pPr>
              <w:numPr>
                <w:ilvl w:val="0"/>
                <w:numId w:val="25"/>
              </w:numPr>
              <w:spacing w:before="0" w:after="0"/>
              <w:rPr>
                <w:rFonts w:cs="Arial"/>
                <w:sz w:val="21"/>
              </w:rPr>
            </w:pPr>
            <w:r w:rsidRPr="00373DCC">
              <w:rPr>
                <w:rFonts w:cs="Arial"/>
                <w:sz w:val="21"/>
              </w:rPr>
              <w:t xml:space="preserve">Civil actions finalised </w:t>
            </w:r>
          </w:p>
        </w:tc>
        <w:tc>
          <w:tcPr>
            <w:tcW w:w="0" w:type="auto"/>
            <w:vAlign w:val="center"/>
          </w:tcPr>
          <w:p w14:paraId="33675B96"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w:t>
            </w:r>
          </w:p>
        </w:tc>
        <w:tc>
          <w:tcPr>
            <w:tcW w:w="0" w:type="auto"/>
            <w:vAlign w:val="center"/>
          </w:tcPr>
          <w:p w14:paraId="1F315027" w14:textId="77777777" w:rsidR="00F2350B" w:rsidRPr="00373DCC" w:rsidRDefault="00F2350B" w:rsidP="00ED1A1F">
            <w:pPr>
              <w:widowControl w:val="0"/>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r>
    </w:tbl>
    <w:p w14:paraId="48F2679A" w14:textId="77777777" w:rsidR="00F2350B" w:rsidRPr="00373DCC" w:rsidRDefault="00F2350B" w:rsidP="00F2350B">
      <w:pPr>
        <w:widowControl w:val="0"/>
        <w:spacing w:after="180" w:line="240" w:lineRule="atLeast"/>
        <w:rPr>
          <w:rFonts w:eastAsia="Cambria" w:cs="Arial"/>
          <w:szCs w:val="22"/>
        </w:rPr>
      </w:pPr>
    </w:p>
    <w:p w14:paraId="62E63BA1" w14:textId="77777777" w:rsidR="00F2350B" w:rsidRPr="00B633E2" w:rsidRDefault="00F2350B" w:rsidP="00B633E2">
      <w:pPr>
        <w:pStyle w:val="ListParagraph"/>
        <w:keepNext/>
        <w:numPr>
          <w:ilvl w:val="0"/>
          <w:numId w:val="33"/>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253" w:name="_Toc153441520"/>
      <w:bookmarkStart w:id="254" w:name="_Toc153441671"/>
      <w:bookmarkStart w:id="255" w:name="_Toc153441521"/>
      <w:bookmarkStart w:id="256" w:name="_Toc153441672"/>
      <w:bookmarkStart w:id="257" w:name="_Toc153550186"/>
      <w:bookmarkStart w:id="258" w:name="_Toc153550351"/>
      <w:bookmarkStart w:id="259" w:name="_Toc153550499"/>
      <w:bookmarkEnd w:id="253"/>
      <w:bookmarkEnd w:id="254"/>
      <w:bookmarkEnd w:id="255"/>
      <w:bookmarkEnd w:id="256"/>
      <w:bookmarkEnd w:id="257"/>
      <w:bookmarkEnd w:id="258"/>
      <w:bookmarkEnd w:id="259"/>
    </w:p>
    <w:p w14:paraId="358A6EA6" w14:textId="307A44AB" w:rsidR="00F2350B" w:rsidRPr="00373DCC" w:rsidRDefault="00F2350B" w:rsidP="00B633E2">
      <w:pPr>
        <w:pStyle w:val="Heading3-numbered"/>
        <w:numPr>
          <w:ilvl w:val="1"/>
          <w:numId w:val="33"/>
        </w:numPr>
        <w:rPr>
          <w:rFonts w:ascii="Arial" w:hAnsi="Arial" w:cs="Arial"/>
        </w:rPr>
      </w:pPr>
      <w:bookmarkStart w:id="260" w:name="_Toc153550500"/>
      <w:r w:rsidRPr="00373DCC">
        <w:rPr>
          <w:rFonts w:ascii="Arial" w:hAnsi="Arial" w:cs="Arial"/>
        </w:rPr>
        <w:t>Import, Export, Manufacture and Supply of therapeutic goods</w:t>
      </w:r>
      <w:bookmarkEnd w:id="260"/>
    </w:p>
    <w:p w14:paraId="1AC3A402" w14:textId="77777777" w:rsidR="00F2350B" w:rsidRPr="00373DCC" w:rsidRDefault="00F2350B" w:rsidP="00F2350B">
      <w:pPr>
        <w:rPr>
          <w:rFonts w:cs="Arial"/>
          <w:sz w:val="21"/>
          <w:szCs w:val="21"/>
        </w:rPr>
      </w:pPr>
      <w:r w:rsidRPr="00373DCC">
        <w:rPr>
          <w:rFonts w:cs="Arial"/>
          <w:sz w:val="21"/>
          <w:szCs w:val="21"/>
        </w:rPr>
        <w:t xml:space="preserve">Tables below capture compliance and enforcement activities in relation to the import, export and manufacture of unapproved and counterfeit therapeutic goods and the administration of the Personal Import Scheme </w:t>
      </w:r>
    </w:p>
    <w:p w14:paraId="5E77A210" w14:textId="77777777" w:rsidR="00F2350B" w:rsidRPr="00373DCC" w:rsidRDefault="00F2350B" w:rsidP="00F2350B">
      <w:pPr>
        <w:keepNext/>
        <w:spacing w:before="240" w:after="120" w:line="240" w:lineRule="auto"/>
        <w:rPr>
          <w:rFonts w:eastAsia="Cambria" w:cs="Arial"/>
          <w:b/>
          <w:bCs/>
          <w:sz w:val="21"/>
          <w:szCs w:val="21"/>
        </w:rPr>
      </w:pPr>
      <w:bookmarkStart w:id="261" w:name="Table77"/>
      <w:r w:rsidRPr="00373DCC">
        <w:rPr>
          <w:rFonts w:eastAsia="Cambria" w:cs="Arial"/>
          <w:b/>
          <w:bCs/>
          <w:sz w:val="21"/>
          <w:szCs w:val="21"/>
        </w:rPr>
        <w:t>Table 77: Number of compliance actions taken against completed investigations</w:t>
      </w:r>
    </w:p>
    <w:tbl>
      <w:tblPr>
        <w:tblStyle w:val="TableTGAblue91"/>
        <w:tblW w:w="5002"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747"/>
        <w:gridCol w:w="1623"/>
        <w:gridCol w:w="1655"/>
      </w:tblGrid>
      <w:tr w:rsidR="005C7371" w:rsidRPr="00373DCC" w14:paraId="2750DC6B" w14:textId="77777777" w:rsidTr="005C7371">
        <w:trPr>
          <w:cnfStyle w:val="100000000000" w:firstRow="1" w:lastRow="0" w:firstColumn="0" w:lastColumn="0" w:oddVBand="0" w:evenVBand="0" w:oddHBand="0"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3184" w:type="pct"/>
            <w:tcBorders>
              <w:top w:val="nil"/>
              <w:left w:val="nil"/>
              <w:right w:val="single" w:sz="4" w:space="0" w:color="auto"/>
            </w:tcBorders>
            <w:shd w:val="clear" w:color="auto" w:fill="29527F"/>
            <w:vAlign w:val="center"/>
          </w:tcPr>
          <w:bookmarkEnd w:id="261"/>
          <w:p w14:paraId="2E9128A3" w14:textId="5B352AED" w:rsidR="005C7371" w:rsidRPr="00373DCC" w:rsidRDefault="005C7371" w:rsidP="005C7371">
            <w:pPr>
              <w:widowControl w:val="0"/>
              <w:numPr>
                <w:ilvl w:val="0"/>
                <w:numId w:val="25"/>
              </w:numPr>
              <w:spacing w:before="40" w:after="40"/>
              <w:rPr>
                <w:rFonts w:cs="Arial"/>
                <w:sz w:val="21"/>
              </w:rPr>
            </w:pPr>
            <w:r w:rsidRPr="00373DCC">
              <w:rPr>
                <w:rFonts w:cs="Arial"/>
                <w:sz w:val="21"/>
              </w:rPr>
              <w:t>Completed investigations</w:t>
            </w:r>
          </w:p>
        </w:tc>
        <w:tc>
          <w:tcPr>
            <w:tcW w:w="899" w:type="pct"/>
            <w:tcBorders>
              <w:top w:val="single" w:sz="4" w:space="0" w:color="auto"/>
              <w:left w:val="single" w:sz="4" w:space="0" w:color="auto"/>
              <w:bottom w:val="single" w:sz="4" w:space="0" w:color="auto"/>
              <w:right w:val="single" w:sz="4" w:space="0" w:color="auto"/>
            </w:tcBorders>
            <w:shd w:val="clear" w:color="auto" w:fill="29527F"/>
            <w:vAlign w:val="center"/>
          </w:tcPr>
          <w:p w14:paraId="11D0D37A" w14:textId="5BBB1295" w:rsidR="005C7371" w:rsidRPr="00373DCC" w:rsidRDefault="005C7371" w:rsidP="005C7371">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r>
              <w:rPr>
                <w:rFonts w:eastAsiaTheme="minorHAnsi" w:cs="Arial"/>
                <w:color w:val="FFFFFF" w:themeColor="background1"/>
                <w:sz w:val="21"/>
              </w:rPr>
              <w:t xml:space="preserve"> </w:t>
            </w:r>
            <w:r w:rsidRPr="005C7371">
              <w:rPr>
                <w:rFonts w:cs="Arial"/>
                <w:bCs/>
                <w:sz w:val="21"/>
              </w:rPr>
              <w:t xml:space="preserve">Number </w:t>
            </w:r>
            <w:r>
              <w:rPr>
                <w:rFonts w:cs="Arial"/>
                <w:bCs/>
                <w:sz w:val="21"/>
              </w:rPr>
              <w:br/>
            </w:r>
            <w:r w:rsidRPr="005C7371">
              <w:rPr>
                <w:rFonts w:cs="Arial"/>
                <w:bCs/>
                <w:sz w:val="21"/>
              </w:rPr>
              <w:t>(% of total)</w:t>
            </w:r>
          </w:p>
        </w:tc>
        <w:tc>
          <w:tcPr>
            <w:tcW w:w="917" w:type="pct"/>
            <w:tcBorders>
              <w:top w:val="single" w:sz="4" w:space="0" w:color="auto"/>
              <w:left w:val="single" w:sz="4" w:space="0" w:color="auto"/>
              <w:bottom w:val="single" w:sz="4" w:space="0" w:color="auto"/>
              <w:right w:val="single" w:sz="4" w:space="0" w:color="auto"/>
            </w:tcBorders>
            <w:shd w:val="clear" w:color="auto" w:fill="29527F"/>
            <w:vAlign w:val="center"/>
          </w:tcPr>
          <w:p w14:paraId="134DB621" w14:textId="431F90BE" w:rsidR="005C7371" w:rsidRPr="00373DCC" w:rsidRDefault="005C7371" w:rsidP="005C7371">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r>
              <w:rPr>
                <w:rFonts w:eastAsiaTheme="minorHAnsi" w:cs="Arial"/>
                <w:color w:val="FFFFFF" w:themeColor="background1"/>
                <w:sz w:val="21"/>
              </w:rPr>
              <w:t xml:space="preserve"> </w:t>
            </w:r>
            <w:r w:rsidRPr="005C7371">
              <w:rPr>
                <w:rFonts w:cs="Arial"/>
                <w:bCs/>
                <w:sz w:val="21"/>
              </w:rPr>
              <w:t xml:space="preserve">Number </w:t>
            </w:r>
            <w:r>
              <w:rPr>
                <w:rFonts w:cs="Arial"/>
                <w:bCs/>
                <w:sz w:val="21"/>
              </w:rPr>
              <w:br/>
            </w:r>
            <w:r w:rsidRPr="005C7371">
              <w:rPr>
                <w:rFonts w:cs="Arial"/>
                <w:bCs/>
                <w:sz w:val="21"/>
              </w:rPr>
              <w:t>(% of total)</w:t>
            </w:r>
          </w:p>
        </w:tc>
      </w:tr>
      <w:tr w:rsidR="00F2350B" w:rsidRPr="00373DCC" w14:paraId="00DAAC5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78BB9603" w14:textId="77777777" w:rsidR="00F2350B" w:rsidRPr="00373DCC" w:rsidRDefault="00F2350B" w:rsidP="00ED1A1F">
            <w:pPr>
              <w:numPr>
                <w:ilvl w:val="0"/>
                <w:numId w:val="25"/>
              </w:numPr>
              <w:spacing w:before="40" w:after="40"/>
              <w:rPr>
                <w:rFonts w:cs="Arial"/>
                <w:sz w:val="21"/>
              </w:rPr>
            </w:pPr>
            <w:r w:rsidRPr="00373DCC">
              <w:rPr>
                <w:rFonts w:cs="Arial"/>
                <w:sz w:val="21"/>
              </w:rPr>
              <w:t>No offence identified</w:t>
            </w:r>
          </w:p>
        </w:tc>
        <w:tc>
          <w:tcPr>
            <w:tcW w:w="899" w:type="pct"/>
            <w:vAlign w:val="center"/>
          </w:tcPr>
          <w:p w14:paraId="4F76E1A2"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357 (&lt;4%)</w:t>
            </w:r>
          </w:p>
        </w:tc>
        <w:tc>
          <w:tcPr>
            <w:tcW w:w="917" w:type="pct"/>
            <w:vAlign w:val="center"/>
          </w:tcPr>
          <w:p w14:paraId="1EBAD719"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158 (1%)</w:t>
            </w:r>
          </w:p>
        </w:tc>
      </w:tr>
      <w:tr w:rsidR="00F2350B" w:rsidRPr="00373DCC" w14:paraId="4907FA5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6012E377" w14:textId="77777777" w:rsidR="00F2350B" w:rsidRPr="00373DCC" w:rsidRDefault="00F2350B" w:rsidP="00ED1A1F">
            <w:pPr>
              <w:numPr>
                <w:ilvl w:val="0"/>
                <w:numId w:val="25"/>
              </w:numPr>
              <w:spacing w:before="40" w:after="40"/>
              <w:rPr>
                <w:rFonts w:cs="Arial"/>
                <w:sz w:val="21"/>
              </w:rPr>
            </w:pPr>
            <w:r w:rsidRPr="00373DCC">
              <w:rPr>
                <w:rFonts w:cs="Arial"/>
                <w:sz w:val="21"/>
              </w:rPr>
              <w:t>Goods released under Personal Import Scheme</w:t>
            </w:r>
          </w:p>
        </w:tc>
        <w:tc>
          <w:tcPr>
            <w:tcW w:w="899" w:type="pct"/>
            <w:vAlign w:val="center"/>
          </w:tcPr>
          <w:p w14:paraId="4FAD4637"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285 (&lt;3%)</w:t>
            </w:r>
          </w:p>
        </w:tc>
        <w:tc>
          <w:tcPr>
            <w:tcW w:w="917" w:type="pct"/>
            <w:vAlign w:val="center"/>
          </w:tcPr>
          <w:p w14:paraId="456B8632"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324 (3%)</w:t>
            </w:r>
          </w:p>
        </w:tc>
      </w:tr>
      <w:tr w:rsidR="00F2350B" w:rsidRPr="00373DCC" w14:paraId="48E85EF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521ABA36" w14:textId="77777777" w:rsidR="00F2350B" w:rsidRPr="00373DCC" w:rsidRDefault="00F2350B" w:rsidP="00ED1A1F">
            <w:pPr>
              <w:numPr>
                <w:ilvl w:val="0"/>
                <w:numId w:val="25"/>
              </w:numPr>
              <w:spacing w:before="40" w:after="40"/>
              <w:rPr>
                <w:rFonts w:cs="Arial"/>
                <w:sz w:val="21"/>
                <w:vertAlign w:val="superscript"/>
              </w:rPr>
            </w:pPr>
            <w:r w:rsidRPr="00373DCC">
              <w:rPr>
                <w:rFonts w:cs="Arial"/>
                <w:sz w:val="21"/>
              </w:rPr>
              <w:t>Referred internally</w:t>
            </w:r>
          </w:p>
        </w:tc>
        <w:tc>
          <w:tcPr>
            <w:tcW w:w="899" w:type="pct"/>
            <w:vAlign w:val="center"/>
          </w:tcPr>
          <w:p w14:paraId="666679B7"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27 (&lt;1%)</w:t>
            </w:r>
          </w:p>
        </w:tc>
        <w:tc>
          <w:tcPr>
            <w:tcW w:w="917" w:type="pct"/>
            <w:vAlign w:val="center"/>
          </w:tcPr>
          <w:p w14:paraId="045841FE"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 (&lt;1%)</w:t>
            </w:r>
          </w:p>
        </w:tc>
      </w:tr>
      <w:tr w:rsidR="00F2350B" w:rsidRPr="00373DCC" w14:paraId="7DE45A9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158F7A87" w14:textId="77777777" w:rsidR="00F2350B" w:rsidRPr="00373DCC" w:rsidRDefault="00F2350B" w:rsidP="00ED1A1F">
            <w:pPr>
              <w:numPr>
                <w:ilvl w:val="0"/>
                <w:numId w:val="25"/>
              </w:numPr>
              <w:spacing w:before="40" w:after="40"/>
              <w:rPr>
                <w:rFonts w:cs="Arial"/>
                <w:sz w:val="21"/>
              </w:rPr>
            </w:pPr>
            <w:r w:rsidRPr="00373DCC">
              <w:rPr>
                <w:rFonts w:cs="Arial"/>
                <w:sz w:val="21"/>
              </w:rPr>
              <w:t>Referred to external agency</w:t>
            </w:r>
          </w:p>
        </w:tc>
        <w:tc>
          <w:tcPr>
            <w:tcW w:w="899" w:type="pct"/>
            <w:vAlign w:val="center"/>
          </w:tcPr>
          <w:p w14:paraId="3C5C5640"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227 (2%)</w:t>
            </w:r>
          </w:p>
        </w:tc>
        <w:tc>
          <w:tcPr>
            <w:tcW w:w="917" w:type="pct"/>
            <w:vAlign w:val="center"/>
          </w:tcPr>
          <w:p w14:paraId="3D659A7C"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179 (2%)</w:t>
            </w:r>
          </w:p>
        </w:tc>
      </w:tr>
      <w:tr w:rsidR="00F2350B" w:rsidRPr="00373DCC" w14:paraId="5068E5C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3C744100" w14:textId="77777777" w:rsidR="00F2350B" w:rsidRPr="00373DCC" w:rsidRDefault="00F2350B" w:rsidP="00ED1A1F">
            <w:pPr>
              <w:numPr>
                <w:ilvl w:val="0"/>
                <w:numId w:val="25"/>
              </w:numPr>
              <w:spacing w:before="40" w:after="40"/>
              <w:rPr>
                <w:rFonts w:cs="Arial"/>
                <w:sz w:val="21"/>
              </w:rPr>
            </w:pPr>
            <w:r w:rsidRPr="00373DCC">
              <w:rPr>
                <w:rFonts w:cs="Arial"/>
                <w:sz w:val="21"/>
              </w:rPr>
              <w:t>Warning letters issued</w:t>
            </w:r>
            <w:r w:rsidRPr="00373DCC">
              <w:rPr>
                <w:rFonts w:cs="Arial"/>
                <w:sz w:val="21"/>
                <w:vertAlign w:val="superscript"/>
              </w:rPr>
              <w:t xml:space="preserve"> a</w:t>
            </w:r>
          </w:p>
        </w:tc>
        <w:tc>
          <w:tcPr>
            <w:tcW w:w="899" w:type="pct"/>
            <w:vAlign w:val="center"/>
          </w:tcPr>
          <w:p w14:paraId="52EE7770"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8015 (90%)</w:t>
            </w:r>
          </w:p>
        </w:tc>
        <w:tc>
          <w:tcPr>
            <w:tcW w:w="917" w:type="pct"/>
            <w:vAlign w:val="center"/>
          </w:tcPr>
          <w:p w14:paraId="2168E6BF"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9,946 (94%)</w:t>
            </w:r>
          </w:p>
        </w:tc>
      </w:tr>
      <w:tr w:rsidR="00F2350B" w:rsidRPr="00373DCC" w14:paraId="7004547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vAlign w:val="center"/>
          </w:tcPr>
          <w:p w14:paraId="6345076B" w14:textId="77777777" w:rsidR="00F2350B" w:rsidRPr="00373DCC" w:rsidRDefault="00F2350B" w:rsidP="00ED1A1F">
            <w:pPr>
              <w:numPr>
                <w:ilvl w:val="0"/>
                <w:numId w:val="25"/>
              </w:numPr>
              <w:spacing w:before="40" w:after="40"/>
              <w:rPr>
                <w:rFonts w:cs="Arial"/>
                <w:sz w:val="21"/>
              </w:rPr>
            </w:pPr>
            <w:r w:rsidRPr="00373DCC">
              <w:rPr>
                <w:rFonts w:cs="Arial"/>
                <w:sz w:val="21"/>
              </w:rPr>
              <w:t>Infringement notices</w:t>
            </w:r>
            <w:r w:rsidRPr="00373DCC">
              <w:rPr>
                <w:rFonts w:cs="Arial"/>
                <w:sz w:val="21"/>
                <w:vertAlign w:val="superscript"/>
              </w:rPr>
              <w:t xml:space="preserve"> </w:t>
            </w:r>
          </w:p>
        </w:tc>
        <w:tc>
          <w:tcPr>
            <w:tcW w:w="899" w:type="pct"/>
            <w:vAlign w:val="center"/>
          </w:tcPr>
          <w:p w14:paraId="6A3A902D"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74 (&lt;1%)</w:t>
            </w:r>
          </w:p>
        </w:tc>
        <w:tc>
          <w:tcPr>
            <w:tcW w:w="917" w:type="pct"/>
            <w:vAlign w:val="center"/>
          </w:tcPr>
          <w:p w14:paraId="63B9F54C" w14:textId="77777777" w:rsidR="00F2350B" w:rsidRPr="00373DCC" w:rsidRDefault="00F2350B" w:rsidP="00ED1A1F">
            <w:pPr>
              <w:widowControl w:val="0"/>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82 (1%)</w:t>
            </w:r>
          </w:p>
        </w:tc>
      </w:tr>
      <w:tr w:rsidR="00F2350B" w:rsidRPr="00373DCC" w14:paraId="3585C5F1"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shd w:val="clear" w:color="auto" w:fill="C6D4E9"/>
            <w:vAlign w:val="center"/>
          </w:tcPr>
          <w:p w14:paraId="7129AD6D" w14:textId="77777777" w:rsidR="00F2350B" w:rsidRPr="00373DCC" w:rsidRDefault="00F2350B" w:rsidP="00ED1A1F">
            <w:pPr>
              <w:numPr>
                <w:ilvl w:val="0"/>
                <w:numId w:val="25"/>
              </w:numPr>
              <w:spacing w:before="40" w:after="40"/>
              <w:rPr>
                <w:rFonts w:cs="Arial"/>
                <w:sz w:val="21"/>
                <w:vertAlign w:val="superscript"/>
              </w:rPr>
            </w:pPr>
            <w:r w:rsidRPr="00373DCC">
              <w:rPr>
                <w:rFonts w:cs="Arial"/>
                <w:sz w:val="21"/>
              </w:rPr>
              <w:t>Total</w:t>
            </w:r>
            <w:r w:rsidRPr="00373DCC">
              <w:rPr>
                <w:rFonts w:cs="Arial"/>
                <w:sz w:val="21"/>
                <w:vertAlign w:val="superscript"/>
              </w:rPr>
              <w:t xml:space="preserve"> c</w:t>
            </w:r>
          </w:p>
        </w:tc>
        <w:tc>
          <w:tcPr>
            <w:tcW w:w="899" w:type="pct"/>
            <w:shd w:val="clear" w:color="auto" w:fill="C6D4E9"/>
            <w:vAlign w:val="center"/>
          </w:tcPr>
          <w:p w14:paraId="66EF1805" w14:textId="77777777" w:rsidR="00F2350B" w:rsidRPr="00373DCC" w:rsidRDefault="00F2350B" w:rsidP="00ED1A1F">
            <w:pPr>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8,988 (100%)</w:t>
            </w:r>
          </w:p>
        </w:tc>
        <w:tc>
          <w:tcPr>
            <w:tcW w:w="917" w:type="pct"/>
            <w:shd w:val="clear" w:color="auto" w:fill="C6D4E9"/>
            <w:vAlign w:val="center"/>
          </w:tcPr>
          <w:p w14:paraId="7D796788" w14:textId="77777777" w:rsidR="00F2350B" w:rsidRPr="00373DCC" w:rsidRDefault="00F2350B" w:rsidP="00ED1A1F">
            <w:pPr>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10,969 (100%)</w:t>
            </w:r>
          </w:p>
        </w:tc>
      </w:tr>
      <w:tr w:rsidR="00F2350B" w:rsidRPr="00373DCC" w14:paraId="6210DE9F"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184" w:type="pct"/>
            <w:shd w:val="clear" w:color="auto" w:fill="C6D4E9"/>
            <w:vAlign w:val="center"/>
          </w:tcPr>
          <w:p w14:paraId="68077A00" w14:textId="77777777" w:rsidR="00F2350B" w:rsidRPr="00373DCC" w:rsidRDefault="00F2350B" w:rsidP="00ED1A1F">
            <w:pPr>
              <w:numPr>
                <w:ilvl w:val="0"/>
                <w:numId w:val="25"/>
              </w:numPr>
              <w:spacing w:before="40" w:after="40"/>
              <w:rPr>
                <w:rFonts w:cs="Arial"/>
                <w:sz w:val="21"/>
              </w:rPr>
            </w:pPr>
            <w:r w:rsidRPr="48ECC65F">
              <w:rPr>
                <w:rFonts w:cs="Arial"/>
                <w:sz w:val="21"/>
              </w:rPr>
              <w:t>Units of goods referred to ABF for destruction</w:t>
            </w:r>
            <w:r w:rsidRPr="48ECC65F">
              <w:rPr>
                <w:rFonts w:cs="Arial"/>
                <w:sz w:val="21"/>
                <w:vertAlign w:val="superscript"/>
              </w:rPr>
              <w:t xml:space="preserve"> d</w:t>
            </w:r>
          </w:p>
        </w:tc>
        <w:tc>
          <w:tcPr>
            <w:tcW w:w="899" w:type="pct"/>
            <w:shd w:val="clear" w:color="auto" w:fill="C6D4E9"/>
            <w:vAlign w:val="center"/>
          </w:tcPr>
          <w:p w14:paraId="01E04ED6" w14:textId="77777777" w:rsidR="00F2350B" w:rsidRPr="00373DCC" w:rsidRDefault="00F2350B" w:rsidP="00ED1A1F">
            <w:pPr>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4,195,431</w:t>
            </w:r>
          </w:p>
        </w:tc>
        <w:tc>
          <w:tcPr>
            <w:tcW w:w="917" w:type="pct"/>
            <w:shd w:val="clear" w:color="auto" w:fill="C6D4E9"/>
            <w:vAlign w:val="center"/>
          </w:tcPr>
          <w:p w14:paraId="153D0C63" w14:textId="77777777" w:rsidR="00F2350B" w:rsidRPr="00373DCC" w:rsidRDefault="00F2350B" w:rsidP="00ED1A1F">
            <w:pPr>
              <w:numPr>
                <w:ilvl w:val="0"/>
                <w:numId w:val="25"/>
              </w:numPr>
              <w:spacing w:before="40" w:after="4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4,848,735</w:t>
            </w:r>
          </w:p>
        </w:tc>
      </w:tr>
    </w:tbl>
    <w:p w14:paraId="3C39747F"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 category ‘warning letters issued’ can include goods destroyed as prohibited imports and goods re-exported.</w:t>
      </w:r>
    </w:p>
    <w:p w14:paraId="0336F3D9"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b</w:t>
      </w:r>
      <w:r w:rsidRPr="00373DCC">
        <w:rPr>
          <w:rFonts w:eastAsia="Cambria" w:cs="Arial"/>
          <w:sz w:val="16"/>
          <w:szCs w:val="16"/>
        </w:rPr>
        <w:t xml:space="preserve"> Criminal prosecution for import, export, manufacture and supply may also include advertising offences. Where criminal prosecution has related to advertising offences only it is not included in this table. Refer to the next section on advertising.</w:t>
      </w:r>
    </w:p>
    <w:p w14:paraId="6E3578C9" w14:textId="77777777" w:rsidR="00F2350B" w:rsidRPr="00373DCC" w:rsidRDefault="00F2350B" w:rsidP="00F2350B">
      <w:pPr>
        <w:widowControl w:val="0"/>
        <w:spacing w:before="0" w:after="0" w:line="0" w:lineRule="atLeast"/>
        <w:rPr>
          <w:rFonts w:eastAsia="Cambria" w:cs="Arial"/>
          <w:sz w:val="16"/>
          <w:szCs w:val="16"/>
        </w:rPr>
      </w:pPr>
      <w:r w:rsidRPr="48ECC65F">
        <w:rPr>
          <w:rFonts w:eastAsia="Cambria" w:cs="Arial"/>
          <w:sz w:val="16"/>
          <w:szCs w:val="16"/>
          <w:vertAlign w:val="superscript"/>
        </w:rPr>
        <w:t>c</w:t>
      </w:r>
      <w:r w:rsidRPr="48ECC65F">
        <w:rPr>
          <w:rFonts w:eastAsia="Cambria" w:cs="Arial"/>
          <w:sz w:val="16"/>
          <w:szCs w:val="16"/>
        </w:rPr>
        <w:t xml:space="preserve"> There can be multiple actions per case resulting in a higher total figure than shown in finalised cases below. </w:t>
      </w:r>
    </w:p>
    <w:p w14:paraId="1467B6A1" w14:textId="77777777" w:rsidR="00F2350B" w:rsidRPr="00373DCC" w:rsidRDefault="00F2350B" w:rsidP="00F2350B">
      <w:pPr>
        <w:spacing w:before="0" w:after="0" w:line="0" w:lineRule="atLeast"/>
        <w:rPr>
          <w:rFonts w:eastAsia="Cambria" w:cs="Arial"/>
          <w:sz w:val="16"/>
          <w:szCs w:val="16"/>
        </w:rPr>
      </w:pPr>
      <w:r w:rsidRPr="48ECC65F">
        <w:rPr>
          <w:rFonts w:ascii="Segoe UI Semilight" w:eastAsia="Segoe UI Semilight" w:hAnsi="Segoe UI Semilight" w:cs="Segoe UI Semilight"/>
          <w:sz w:val="16"/>
          <w:szCs w:val="16"/>
          <w:vertAlign w:val="superscript"/>
        </w:rPr>
        <w:t>d</w:t>
      </w:r>
      <w:r w:rsidRPr="48ECC65F">
        <w:rPr>
          <w:rFonts w:eastAsia="Cambria" w:cs="Arial"/>
          <w:sz w:val="16"/>
          <w:szCs w:val="16"/>
        </w:rPr>
        <w:t xml:space="preserve"> Units refers to single dosage unit e.g. 1 tablet, 1 capsule, 1 tub of powder or a single device.</w:t>
      </w:r>
    </w:p>
    <w:p w14:paraId="69D5EF6A" w14:textId="77777777" w:rsidR="00F2350B" w:rsidRDefault="00F2350B" w:rsidP="00F2350B">
      <w:pPr>
        <w:spacing w:before="0" w:after="0" w:line="0" w:lineRule="atLeast"/>
        <w:rPr>
          <w:rFonts w:eastAsia="Cambria" w:cs="Arial"/>
          <w:sz w:val="16"/>
          <w:szCs w:val="16"/>
        </w:rPr>
      </w:pPr>
    </w:p>
    <w:p w14:paraId="4F4EA6CC" w14:textId="77777777" w:rsidR="00F2350B" w:rsidRPr="00373DCC" w:rsidRDefault="00F2350B" w:rsidP="00F2350B">
      <w:pPr>
        <w:keepNext/>
        <w:spacing w:before="240" w:after="120" w:line="240" w:lineRule="auto"/>
        <w:rPr>
          <w:rFonts w:eastAsia="Cambria" w:cs="Arial"/>
          <w:b/>
          <w:bCs/>
          <w:sz w:val="21"/>
          <w:szCs w:val="21"/>
        </w:rPr>
      </w:pPr>
      <w:bookmarkStart w:id="262" w:name="Table78"/>
      <w:r w:rsidRPr="00373DCC">
        <w:rPr>
          <w:rFonts w:eastAsia="Cambria" w:cs="Arial"/>
          <w:b/>
          <w:bCs/>
          <w:sz w:val="21"/>
          <w:szCs w:val="21"/>
        </w:rPr>
        <w:t>Table 78: Regulatory compliance investigations by number</w:t>
      </w:r>
    </w:p>
    <w:tbl>
      <w:tblPr>
        <w:tblStyle w:val="TableTGAblue9"/>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42"/>
        <w:gridCol w:w="1404"/>
        <w:gridCol w:w="1402"/>
      </w:tblGrid>
      <w:tr w:rsidR="00CC6609" w:rsidRPr="00373DCC" w14:paraId="056B77DC"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49" w:type="pct"/>
            <w:tcBorders>
              <w:top w:val="nil"/>
              <w:left w:val="nil"/>
              <w:bottom w:val="nil"/>
              <w:right w:val="single" w:sz="4" w:space="0" w:color="auto"/>
            </w:tcBorders>
            <w:shd w:val="clear" w:color="auto" w:fill="29527F"/>
            <w:vAlign w:val="center"/>
          </w:tcPr>
          <w:bookmarkEnd w:id="262"/>
          <w:p w14:paraId="1761D287" w14:textId="1050B5F7" w:rsidR="00CC6609" w:rsidRPr="00373DCC" w:rsidRDefault="005C7371" w:rsidP="00CC6609">
            <w:pPr>
              <w:widowControl w:val="0"/>
              <w:spacing w:before="0" w:after="0" w:line="240" w:lineRule="atLeast"/>
              <w:contextualSpacing/>
              <w:outlineLvl w:val="4"/>
              <w:rPr>
                <w:rFonts w:eastAsia="Malgun Gothic" w:cs="Arial"/>
                <w:sz w:val="21"/>
                <w:lang w:eastAsia="ko-KR"/>
              </w:rPr>
            </w:pPr>
            <w:r w:rsidRPr="00373DCC">
              <w:rPr>
                <w:rFonts w:cs="Arial"/>
                <w:sz w:val="21"/>
              </w:rPr>
              <w:t>Compliance cases</w:t>
            </w:r>
            <w:r w:rsidRPr="00373DCC">
              <w:rPr>
                <w:rFonts w:cs="Arial"/>
                <w:sz w:val="21"/>
                <w:vertAlign w:val="superscript"/>
              </w:rPr>
              <w:t xml:space="preserve"> a</w:t>
            </w:r>
          </w:p>
        </w:tc>
        <w:tc>
          <w:tcPr>
            <w:tcW w:w="776" w:type="pct"/>
            <w:tcBorders>
              <w:top w:val="single" w:sz="4" w:space="0" w:color="auto"/>
              <w:left w:val="single" w:sz="4" w:space="0" w:color="auto"/>
              <w:bottom w:val="single" w:sz="4" w:space="0" w:color="auto"/>
              <w:right w:val="single" w:sz="4" w:space="0" w:color="auto"/>
            </w:tcBorders>
            <w:shd w:val="clear" w:color="auto" w:fill="29527F"/>
            <w:vAlign w:val="center"/>
          </w:tcPr>
          <w:p w14:paraId="1ED64688" w14:textId="64D807F4"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Malgun Gothic" w:cs="Arial"/>
                <w:bCs/>
                <w:sz w:val="21"/>
                <w:lang w:eastAsia="ko-KR"/>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75" w:type="pct"/>
            <w:tcBorders>
              <w:top w:val="single" w:sz="4" w:space="0" w:color="auto"/>
              <w:left w:val="single" w:sz="4" w:space="0" w:color="auto"/>
              <w:bottom w:val="single" w:sz="4" w:space="0" w:color="auto"/>
              <w:right w:val="single" w:sz="4" w:space="0" w:color="auto"/>
            </w:tcBorders>
            <w:shd w:val="clear" w:color="auto" w:fill="29527F"/>
            <w:vAlign w:val="center"/>
          </w:tcPr>
          <w:p w14:paraId="1D5C9FCF" w14:textId="376BCC47"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Malgun Gothic" w:cs="Arial"/>
                <w:bCs/>
                <w:sz w:val="21"/>
                <w:lang w:eastAsia="ko-KR"/>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CC6609" w:rsidRPr="00373DCC" w14:paraId="1ABA041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tcBorders>
            <w:vAlign w:val="center"/>
          </w:tcPr>
          <w:p w14:paraId="1F8D6457" w14:textId="77777777" w:rsidR="00CC6609" w:rsidRPr="00373DCC" w:rsidRDefault="00CC6609" w:rsidP="00CC6609">
            <w:pPr>
              <w:spacing w:before="0" w:after="0" w:line="240" w:lineRule="atLeast"/>
              <w:contextualSpacing/>
              <w:outlineLvl w:val="4"/>
              <w:rPr>
                <w:rFonts w:eastAsia="Malgun Gothic" w:cs="Arial"/>
                <w:sz w:val="21"/>
                <w:lang w:eastAsia="ko-KR"/>
              </w:rPr>
            </w:pPr>
            <w:r w:rsidRPr="00373DCC">
              <w:rPr>
                <w:rFonts w:eastAsia="Malgun Gothic" w:cs="Arial"/>
                <w:sz w:val="21"/>
                <w:lang w:eastAsia="ko-KR"/>
              </w:rPr>
              <w:t>Cases received</w:t>
            </w:r>
          </w:p>
        </w:tc>
        <w:tc>
          <w:tcPr>
            <w:tcW w:w="776" w:type="pct"/>
            <w:tcBorders>
              <w:top w:val="single" w:sz="4" w:space="0" w:color="auto"/>
            </w:tcBorders>
            <w:vAlign w:val="center"/>
          </w:tcPr>
          <w:p w14:paraId="0E4F2265"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11501</w:t>
            </w:r>
          </w:p>
        </w:tc>
        <w:tc>
          <w:tcPr>
            <w:tcW w:w="775" w:type="pct"/>
            <w:tcBorders>
              <w:top w:val="single" w:sz="4" w:space="0" w:color="auto"/>
            </w:tcBorders>
            <w:vAlign w:val="center"/>
          </w:tcPr>
          <w:p w14:paraId="0CE7266E"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7,908</w:t>
            </w:r>
          </w:p>
        </w:tc>
      </w:tr>
      <w:tr w:rsidR="00CC6609" w:rsidRPr="00373DCC" w14:paraId="7B14E6B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vAlign w:val="center"/>
          </w:tcPr>
          <w:p w14:paraId="6D3C57D9" w14:textId="77777777" w:rsidR="00CC6609" w:rsidRPr="00373DCC" w:rsidRDefault="00CC6609" w:rsidP="00CC6609">
            <w:pPr>
              <w:spacing w:before="0" w:after="0" w:line="240" w:lineRule="atLeast"/>
              <w:contextualSpacing/>
              <w:outlineLvl w:val="4"/>
              <w:rPr>
                <w:rFonts w:eastAsia="Malgun Gothic" w:cs="Arial"/>
                <w:sz w:val="21"/>
                <w:lang w:eastAsia="ko-KR"/>
              </w:rPr>
            </w:pPr>
            <w:r w:rsidRPr="00373DCC">
              <w:rPr>
                <w:rFonts w:eastAsia="Malgun Gothic" w:cs="Arial"/>
                <w:sz w:val="21"/>
                <w:lang w:eastAsia="ko-KR"/>
              </w:rPr>
              <w:t>Cases active</w:t>
            </w:r>
            <w:r w:rsidRPr="00373DCC">
              <w:rPr>
                <w:rFonts w:eastAsia="Malgun Gothic" w:cs="Arial"/>
                <w:sz w:val="21"/>
                <w:vertAlign w:val="superscript"/>
                <w:lang w:eastAsia="ko-KR"/>
              </w:rPr>
              <w:t xml:space="preserve"> b</w:t>
            </w:r>
            <w:r w:rsidRPr="00373DCC">
              <w:rPr>
                <w:rFonts w:eastAsia="Malgun Gothic" w:cs="Arial"/>
                <w:sz w:val="21"/>
                <w:lang w:eastAsia="ko-KR"/>
              </w:rPr>
              <w:t xml:space="preserve"> </w:t>
            </w:r>
          </w:p>
        </w:tc>
        <w:tc>
          <w:tcPr>
            <w:tcW w:w="776" w:type="pct"/>
            <w:vAlign w:val="center"/>
          </w:tcPr>
          <w:p w14:paraId="3F030A15"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2,213</w:t>
            </w:r>
          </w:p>
        </w:tc>
        <w:tc>
          <w:tcPr>
            <w:tcW w:w="775" w:type="pct"/>
            <w:vAlign w:val="center"/>
          </w:tcPr>
          <w:p w14:paraId="72A690FB"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785</w:t>
            </w:r>
          </w:p>
        </w:tc>
      </w:tr>
      <w:tr w:rsidR="00CC6609" w:rsidRPr="00373DCC" w14:paraId="54C3FBD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vAlign w:val="center"/>
          </w:tcPr>
          <w:p w14:paraId="6BE3EC4B" w14:textId="77777777" w:rsidR="00CC6609" w:rsidRPr="00373DCC" w:rsidRDefault="00CC6609" w:rsidP="00CC6609">
            <w:pPr>
              <w:spacing w:before="0" w:after="0" w:line="240" w:lineRule="atLeast"/>
              <w:contextualSpacing/>
              <w:outlineLvl w:val="4"/>
              <w:rPr>
                <w:rFonts w:eastAsia="Malgun Gothic" w:cs="Arial"/>
                <w:sz w:val="21"/>
                <w:vertAlign w:val="superscript"/>
                <w:lang w:eastAsia="ko-KR"/>
              </w:rPr>
            </w:pPr>
            <w:r w:rsidRPr="00373DCC">
              <w:rPr>
                <w:rFonts w:eastAsia="Malgun Gothic" w:cs="Arial"/>
                <w:sz w:val="21"/>
                <w:lang w:eastAsia="ko-KR"/>
              </w:rPr>
              <w:t>Cases finalised</w:t>
            </w:r>
            <w:r w:rsidRPr="00373DCC">
              <w:rPr>
                <w:rFonts w:eastAsia="Malgun Gothic" w:cs="Arial"/>
                <w:sz w:val="21"/>
                <w:vertAlign w:val="superscript"/>
                <w:lang w:eastAsia="ko-KR"/>
              </w:rPr>
              <w:t xml:space="preserve"> b</w:t>
            </w:r>
          </w:p>
        </w:tc>
        <w:tc>
          <w:tcPr>
            <w:tcW w:w="776" w:type="pct"/>
            <w:vAlign w:val="center"/>
          </w:tcPr>
          <w:p w14:paraId="21ECF627"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8625</w:t>
            </w:r>
          </w:p>
        </w:tc>
        <w:tc>
          <w:tcPr>
            <w:tcW w:w="775" w:type="pct"/>
            <w:vAlign w:val="center"/>
          </w:tcPr>
          <w:p w14:paraId="1AAC0838" w14:textId="77777777" w:rsidR="00CC6609" w:rsidRPr="00373DCC" w:rsidRDefault="00CC6609" w:rsidP="00CC6609">
            <w:pPr>
              <w:widowControl w:val="0"/>
              <w:spacing w:before="0" w:after="0" w:line="240" w:lineRule="atLeast"/>
              <w:ind w:right="100"/>
              <w:contextualSpacing/>
              <w:jc w:val="right"/>
              <w:outlineLvl w:val="4"/>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eastAsia="Malgun Gothic" w:cs="Arial"/>
                <w:sz w:val="21"/>
                <w:lang w:eastAsia="ko-KR"/>
              </w:rPr>
              <w:t>10,438</w:t>
            </w:r>
          </w:p>
        </w:tc>
      </w:tr>
    </w:tbl>
    <w:p w14:paraId="7DA193D0"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These figures are based on case numbers and not actions taken or offence types.</w:t>
      </w:r>
    </w:p>
    <w:p w14:paraId="3AB0868D" w14:textId="77777777" w:rsidR="00F2350B" w:rsidRPr="00373DCC" w:rsidRDefault="00F2350B" w:rsidP="00F2350B">
      <w:pPr>
        <w:spacing w:before="0" w:after="0" w:line="0" w:lineRule="atLeast"/>
        <w:rPr>
          <w:rFonts w:eastAsia="Cambria" w:cs="Arial"/>
          <w:sz w:val="16"/>
          <w:szCs w:val="16"/>
        </w:rPr>
      </w:pPr>
      <w:r w:rsidRPr="00373DCC">
        <w:rPr>
          <w:rFonts w:eastAsia="Malgun Gothic" w:cs="Arial"/>
          <w:sz w:val="16"/>
          <w:szCs w:val="16"/>
          <w:vertAlign w:val="superscript"/>
          <w:lang w:eastAsia="ko-KR"/>
        </w:rPr>
        <w:t>b</w:t>
      </w:r>
      <w:r w:rsidRPr="00373DCC">
        <w:rPr>
          <w:rFonts w:eastAsia="Malgun Gothic" w:cs="Arial"/>
          <w:sz w:val="16"/>
          <w:szCs w:val="16"/>
          <w:lang w:eastAsia="ko-KR"/>
        </w:rPr>
        <w:t xml:space="preserve"> Cases may not have been received in the same financial year. </w:t>
      </w:r>
    </w:p>
    <w:p w14:paraId="2126AFF5" w14:textId="77777777" w:rsidR="00F2350B" w:rsidRPr="00373DCC" w:rsidRDefault="00F2350B" w:rsidP="00F2350B">
      <w:pPr>
        <w:keepNext/>
        <w:spacing w:before="240" w:after="120" w:line="240" w:lineRule="auto"/>
        <w:rPr>
          <w:rFonts w:eastAsia="Cambria" w:cs="Arial"/>
          <w:b/>
          <w:bCs/>
          <w:sz w:val="21"/>
          <w:szCs w:val="21"/>
        </w:rPr>
      </w:pPr>
      <w:bookmarkStart w:id="263" w:name="Table79"/>
      <w:r w:rsidRPr="00373DCC">
        <w:rPr>
          <w:rFonts w:eastAsia="Cambria" w:cs="Arial"/>
          <w:b/>
          <w:bCs/>
          <w:sz w:val="21"/>
          <w:szCs w:val="21"/>
        </w:rPr>
        <w:lastRenderedPageBreak/>
        <w:t>Table 79: Regulatory compliance investigations by special interest categories</w:t>
      </w:r>
    </w:p>
    <w:tbl>
      <w:tblPr>
        <w:tblStyle w:val="TableTGAblue10"/>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69"/>
        <w:gridCol w:w="1703"/>
        <w:gridCol w:w="1676"/>
      </w:tblGrid>
      <w:tr w:rsidR="005C7371" w:rsidRPr="00373DCC" w14:paraId="4AB72AB5"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33" w:type="pct"/>
            <w:tcBorders>
              <w:top w:val="nil"/>
              <w:left w:val="nil"/>
              <w:bottom w:val="nil"/>
              <w:right w:val="single" w:sz="4" w:space="0" w:color="auto"/>
            </w:tcBorders>
            <w:shd w:val="clear" w:color="auto" w:fill="29527F"/>
            <w:vAlign w:val="center"/>
          </w:tcPr>
          <w:bookmarkEnd w:id="263"/>
          <w:p w14:paraId="64391096" w14:textId="175F5914" w:rsidR="005C7371" w:rsidRPr="00373DCC" w:rsidRDefault="005C7371" w:rsidP="005C7371">
            <w:pPr>
              <w:widowControl w:val="0"/>
              <w:numPr>
                <w:ilvl w:val="0"/>
                <w:numId w:val="25"/>
              </w:numPr>
              <w:spacing w:before="30" w:after="30"/>
              <w:rPr>
                <w:rFonts w:cs="Arial"/>
                <w:sz w:val="21"/>
              </w:rPr>
            </w:pPr>
            <w:r w:rsidRPr="00373DCC">
              <w:rPr>
                <w:rFonts w:cs="Arial"/>
                <w:sz w:val="21"/>
              </w:rPr>
              <w:t>Compliance investigation category</w:t>
            </w:r>
          </w:p>
        </w:tc>
        <w:tc>
          <w:tcPr>
            <w:tcW w:w="941" w:type="pct"/>
            <w:tcBorders>
              <w:top w:val="single" w:sz="4" w:space="0" w:color="auto"/>
              <w:left w:val="single" w:sz="4" w:space="0" w:color="auto"/>
              <w:bottom w:val="single" w:sz="4" w:space="0" w:color="auto"/>
              <w:right w:val="single" w:sz="4" w:space="0" w:color="auto"/>
            </w:tcBorders>
            <w:shd w:val="clear" w:color="auto" w:fill="29527F"/>
            <w:vAlign w:val="center"/>
          </w:tcPr>
          <w:p w14:paraId="312A1839" w14:textId="77777777" w:rsidR="005C7371" w:rsidRPr="005C7371" w:rsidRDefault="005C7371" w:rsidP="005C7371">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7C3E2860" w14:textId="36F000F9" w:rsidR="005C7371" w:rsidRPr="00373DCC" w:rsidRDefault="005C7371" w:rsidP="005C7371">
            <w:pPr>
              <w:widowControl w:val="0"/>
              <w:numPr>
                <w:ilvl w:val="0"/>
                <w:numId w:val="25"/>
              </w:numPr>
              <w:spacing w:before="30" w:after="30"/>
              <w:jc w:val="center"/>
              <w:cnfStyle w:val="100000000000" w:firstRow="1" w:lastRow="0" w:firstColumn="0" w:lastColumn="0" w:oddVBand="0" w:evenVBand="0" w:oddHBand="0" w:evenHBand="0" w:firstRowFirstColumn="0" w:firstRowLastColumn="0" w:lastRowFirstColumn="0" w:lastRowLastColumn="0"/>
              <w:rPr>
                <w:rFonts w:cs="Arial"/>
                <w:sz w:val="21"/>
              </w:rPr>
            </w:pPr>
            <w:r w:rsidRPr="005C7371">
              <w:rPr>
                <w:rFonts w:cs="Arial"/>
                <w:bCs/>
                <w:sz w:val="21"/>
              </w:rPr>
              <w:t xml:space="preserve">Number </w:t>
            </w:r>
            <w:r>
              <w:rPr>
                <w:rFonts w:cs="Arial"/>
                <w:bCs/>
                <w:sz w:val="21"/>
              </w:rPr>
              <w:br/>
            </w:r>
            <w:r w:rsidRPr="005C7371">
              <w:rPr>
                <w:rFonts w:cs="Arial"/>
                <w:bCs/>
                <w:sz w:val="21"/>
              </w:rPr>
              <w:t>(% of total)</w:t>
            </w:r>
          </w:p>
        </w:tc>
        <w:tc>
          <w:tcPr>
            <w:tcW w:w="926" w:type="pct"/>
            <w:tcBorders>
              <w:top w:val="single" w:sz="4" w:space="0" w:color="auto"/>
              <w:left w:val="single" w:sz="4" w:space="0" w:color="auto"/>
              <w:bottom w:val="single" w:sz="4" w:space="0" w:color="auto"/>
              <w:right w:val="single" w:sz="4" w:space="0" w:color="auto"/>
            </w:tcBorders>
            <w:shd w:val="clear" w:color="auto" w:fill="29527F"/>
            <w:vAlign w:val="center"/>
          </w:tcPr>
          <w:p w14:paraId="40AA1B08" w14:textId="77777777" w:rsidR="005C7371" w:rsidRPr="005C7371" w:rsidRDefault="005C7371" w:rsidP="005C7371">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779FDB90" w14:textId="58DBDFB7" w:rsidR="005C7371" w:rsidRPr="00373DCC" w:rsidRDefault="005C7371" w:rsidP="005C7371">
            <w:pPr>
              <w:widowControl w:val="0"/>
              <w:numPr>
                <w:ilvl w:val="0"/>
                <w:numId w:val="25"/>
              </w:numPr>
              <w:spacing w:before="30" w:after="30"/>
              <w:jc w:val="center"/>
              <w:cnfStyle w:val="100000000000" w:firstRow="1" w:lastRow="0" w:firstColumn="0" w:lastColumn="0" w:oddVBand="0" w:evenVBand="0" w:oddHBand="0" w:evenHBand="0" w:firstRowFirstColumn="0" w:firstRowLastColumn="0" w:lastRowFirstColumn="0" w:lastRowLastColumn="0"/>
              <w:rPr>
                <w:rFonts w:cs="Arial"/>
                <w:sz w:val="21"/>
              </w:rPr>
            </w:pPr>
            <w:r w:rsidRPr="005C7371">
              <w:rPr>
                <w:rFonts w:cs="Arial"/>
                <w:bCs/>
                <w:sz w:val="21"/>
              </w:rPr>
              <w:t xml:space="preserve">Number </w:t>
            </w:r>
            <w:r>
              <w:rPr>
                <w:rFonts w:cs="Arial"/>
                <w:bCs/>
                <w:sz w:val="21"/>
              </w:rPr>
              <w:br/>
            </w:r>
            <w:r w:rsidRPr="005C7371">
              <w:rPr>
                <w:rFonts w:cs="Arial"/>
                <w:bCs/>
                <w:sz w:val="21"/>
              </w:rPr>
              <w:t>(% of total)</w:t>
            </w:r>
          </w:p>
        </w:tc>
      </w:tr>
      <w:tr w:rsidR="00F2350B" w:rsidRPr="00373DCC" w14:paraId="1143117E"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33" w:type="pct"/>
            <w:tcBorders>
              <w:top w:val="single" w:sz="4" w:space="0" w:color="auto"/>
            </w:tcBorders>
            <w:vAlign w:val="center"/>
          </w:tcPr>
          <w:p w14:paraId="6E7C46CE" w14:textId="77777777" w:rsidR="00F2350B" w:rsidRPr="00373DCC" w:rsidRDefault="00F2350B" w:rsidP="00ED1A1F">
            <w:pPr>
              <w:keepNext/>
              <w:numPr>
                <w:ilvl w:val="0"/>
                <w:numId w:val="25"/>
              </w:numPr>
              <w:spacing w:before="30" w:after="30"/>
              <w:rPr>
                <w:rFonts w:cs="Arial"/>
                <w:sz w:val="21"/>
              </w:rPr>
            </w:pPr>
            <w:r w:rsidRPr="00373DCC">
              <w:rPr>
                <w:rFonts w:cs="Arial"/>
                <w:sz w:val="21"/>
              </w:rPr>
              <w:t xml:space="preserve">Goods not on the ARTG </w:t>
            </w:r>
          </w:p>
        </w:tc>
        <w:tc>
          <w:tcPr>
            <w:tcW w:w="941" w:type="pct"/>
            <w:tcBorders>
              <w:top w:val="single" w:sz="4" w:space="0" w:color="auto"/>
            </w:tcBorders>
            <w:vAlign w:val="center"/>
          </w:tcPr>
          <w:p w14:paraId="30B535D0"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21847</w:t>
            </w:r>
            <w:r w:rsidRPr="00373DCC" w:rsidDel="0002266C">
              <w:rPr>
                <w:rFonts w:cs="Arial"/>
                <w:sz w:val="21"/>
              </w:rPr>
              <w:t xml:space="preserve"> </w:t>
            </w:r>
            <w:r w:rsidRPr="00373DCC">
              <w:rPr>
                <w:rFonts w:cs="Arial"/>
                <w:sz w:val="21"/>
              </w:rPr>
              <w:t>(95%)</w:t>
            </w:r>
          </w:p>
        </w:tc>
        <w:tc>
          <w:tcPr>
            <w:tcW w:w="926" w:type="pct"/>
            <w:tcBorders>
              <w:top w:val="single" w:sz="4" w:space="0" w:color="auto"/>
            </w:tcBorders>
            <w:vAlign w:val="center"/>
          </w:tcPr>
          <w:p w14:paraId="32DE3279"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21,648</w:t>
            </w:r>
            <w:r w:rsidRPr="00373DCC" w:rsidDel="0002266C">
              <w:rPr>
                <w:rFonts w:cs="Arial"/>
                <w:sz w:val="21"/>
              </w:rPr>
              <w:t xml:space="preserve"> </w:t>
            </w:r>
            <w:r w:rsidRPr="00373DCC">
              <w:rPr>
                <w:rFonts w:cs="Arial"/>
                <w:sz w:val="21"/>
              </w:rPr>
              <w:t>(98%)</w:t>
            </w:r>
          </w:p>
        </w:tc>
      </w:tr>
      <w:tr w:rsidR="00F2350B" w:rsidRPr="00373DCC" w14:paraId="7797413E"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33" w:type="pct"/>
            <w:vAlign w:val="center"/>
          </w:tcPr>
          <w:p w14:paraId="5502D7D4" w14:textId="77777777" w:rsidR="00F2350B" w:rsidRPr="00373DCC" w:rsidRDefault="00F2350B" w:rsidP="00ED1A1F">
            <w:pPr>
              <w:keepNext/>
              <w:numPr>
                <w:ilvl w:val="0"/>
                <w:numId w:val="25"/>
              </w:numPr>
              <w:spacing w:before="30" w:after="30"/>
              <w:rPr>
                <w:rFonts w:cs="Arial"/>
                <w:sz w:val="21"/>
              </w:rPr>
            </w:pPr>
            <w:r w:rsidRPr="00373DCC">
              <w:rPr>
                <w:rFonts w:cs="Arial"/>
                <w:sz w:val="21"/>
              </w:rPr>
              <w:t>Goods on the ARTG</w:t>
            </w:r>
          </w:p>
        </w:tc>
        <w:tc>
          <w:tcPr>
            <w:tcW w:w="941" w:type="pct"/>
            <w:vAlign w:val="center"/>
          </w:tcPr>
          <w:p w14:paraId="691EBDAC"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151 (1%)</w:t>
            </w:r>
          </w:p>
        </w:tc>
        <w:tc>
          <w:tcPr>
            <w:tcW w:w="926" w:type="pct"/>
            <w:vAlign w:val="center"/>
          </w:tcPr>
          <w:p w14:paraId="5B5F71A2"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25 (&lt;1%)</w:t>
            </w:r>
          </w:p>
        </w:tc>
      </w:tr>
      <w:tr w:rsidR="00F2350B" w:rsidRPr="00373DCC" w14:paraId="6D04DBDD"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33" w:type="pct"/>
            <w:vAlign w:val="center"/>
          </w:tcPr>
          <w:p w14:paraId="00AEEF39" w14:textId="77777777" w:rsidR="00F2350B" w:rsidRPr="00373DCC" w:rsidRDefault="00F2350B" w:rsidP="00ED1A1F">
            <w:pPr>
              <w:keepNext/>
              <w:numPr>
                <w:ilvl w:val="0"/>
                <w:numId w:val="25"/>
              </w:numPr>
              <w:spacing w:before="30" w:after="30"/>
              <w:rPr>
                <w:rFonts w:cs="Arial"/>
                <w:sz w:val="21"/>
              </w:rPr>
            </w:pPr>
            <w:r w:rsidRPr="00373DCC">
              <w:rPr>
                <w:rFonts w:cs="Arial"/>
                <w:sz w:val="21"/>
              </w:rPr>
              <w:t>Counterfeit product</w:t>
            </w:r>
            <w:r w:rsidRPr="00373DCC" w:rsidDel="00CC7D80">
              <w:rPr>
                <w:rFonts w:cs="Arial"/>
                <w:sz w:val="21"/>
              </w:rPr>
              <w:t xml:space="preserve"> </w:t>
            </w:r>
          </w:p>
        </w:tc>
        <w:tc>
          <w:tcPr>
            <w:tcW w:w="941" w:type="pct"/>
            <w:vAlign w:val="center"/>
          </w:tcPr>
          <w:p w14:paraId="521C0F62"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1079 (5%)</w:t>
            </w:r>
          </w:p>
        </w:tc>
        <w:tc>
          <w:tcPr>
            <w:tcW w:w="926" w:type="pct"/>
            <w:vAlign w:val="center"/>
          </w:tcPr>
          <w:p w14:paraId="19870CDB"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431 (2%)</w:t>
            </w:r>
          </w:p>
        </w:tc>
      </w:tr>
      <w:tr w:rsidR="00F2350B" w:rsidRPr="00373DCC" w14:paraId="3A69E359"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33" w:type="pct"/>
            <w:shd w:val="clear" w:color="auto" w:fill="C6D4E9"/>
            <w:vAlign w:val="center"/>
          </w:tcPr>
          <w:p w14:paraId="6E7390DD" w14:textId="77777777" w:rsidR="00F2350B" w:rsidRPr="00373DCC" w:rsidRDefault="00F2350B" w:rsidP="00ED1A1F">
            <w:pPr>
              <w:keepNext/>
              <w:numPr>
                <w:ilvl w:val="0"/>
                <w:numId w:val="25"/>
              </w:numPr>
              <w:spacing w:before="30" w:after="30"/>
              <w:rPr>
                <w:rFonts w:cs="Arial"/>
                <w:sz w:val="21"/>
                <w:vertAlign w:val="superscript"/>
              </w:rPr>
            </w:pPr>
            <w:r w:rsidRPr="00373DCC">
              <w:rPr>
                <w:rFonts w:cs="Arial"/>
                <w:sz w:val="21"/>
              </w:rPr>
              <w:t>Total</w:t>
            </w:r>
            <w:r w:rsidRPr="00373DCC">
              <w:rPr>
                <w:rFonts w:cs="Arial"/>
                <w:sz w:val="21"/>
                <w:vertAlign w:val="superscript"/>
              </w:rPr>
              <w:t xml:space="preserve"> a</w:t>
            </w:r>
          </w:p>
        </w:tc>
        <w:tc>
          <w:tcPr>
            <w:tcW w:w="941" w:type="pct"/>
            <w:shd w:val="clear" w:color="auto" w:fill="C6D4E9"/>
            <w:vAlign w:val="center"/>
          </w:tcPr>
          <w:p w14:paraId="6289578F" w14:textId="77777777" w:rsidR="00F2350B" w:rsidRPr="00373DCC" w:rsidRDefault="00F2350B" w:rsidP="00ED1A1F">
            <w:pPr>
              <w:widowControl w:val="0"/>
              <w:numPr>
                <w:ilvl w:val="0"/>
                <w:numId w:val="25"/>
              </w:numPr>
              <w:spacing w:before="30" w:after="3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16,053 (100%)</w:t>
            </w:r>
          </w:p>
        </w:tc>
        <w:tc>
          <w:tcPr>
            <w:tcW w:w="926" w:type="pct"/>
            <w:shd w:val="clear" w:color="auto" w:fill="C6D4E9"/>
            <w:vAlign w:val="center"/>
          </w:tcPr>
          <w:p w14:paraId="49F0EABB" w14:textId="77777777" w:rsidR="00F2350B" w:rsidRPr="00373DCC" w:rsidRDefault="00F2350B" w:rsidP="00710B91">
            <w:pPr>
              <w:widowControl w:val="0"/>
              <w:spacing w:before="30" w:after="30"/>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21,104 (100%)</w:t>
            </w:r>
          </w:p>
        </w:tc>
      </w:tr>
    </w:tbl>
    <w:p w14:paraId="0B4397E4" w14:textId="77777777" w:rsidR="00F2350B" w:rsidRPr="00373DCC" w:rsidRDefault="00F2350B" w:rsidP="00F2350B">
      <w:pPr>
        <w:widowControl w:val="0"/>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There can be multiple special interest categories in a single case.</w:t>
      </w:r>
    </w:p>
    <w:p w14:paraId="3B26AF0A" w14:textId="77777777" w:rsidR="00F2350B" w:rsidRPr="00373DCC" w:rsidRDefault="00F2350B" w:rsidP="00F2350B">
      <w:pPr>
        <w:keepNext/>
        <w:spacing w:after="0" w:line="240" w:lineRule="auto"/>
        <w:rPr>
          <w:rFonts w:eastAsia="Cambria" w:cs="Arial"/>
          <w:b/>
          <w:bCs/>
          <w:szCs w:val="22"/>
        </w:rPr>
      </w:pPr>
      <w:bookmarkStart w:id="264" w:name="Table80"/>
    </w:p>
    <w:p w14:paraId="5615E8B9" w14:textId="77777777" w:rsidR="00F2350B" w:rsidRPr="00373DCC" w:rsidRDefault="00F2350B" w:rsidP="00F2350B">
      <w:pPr>
        <w:keepNext/>
        <w:spacing w:before="240" w:after="120" w:line="240" w:lineRule="auto"/>
        <w:rPr>
          <w:rFonts w:eastAsia="Cambria" w:cs="Arial"/>
          <w:b/>
          <w:bCs/>
          <w:sz w:val="21"/>
          <w:szCs w:val="21"/>
        </w:rPr>
      </w:pPr>
      <w:r w:rsidRPr="00373DCC">
        <w:rPr>
          <w:rFonts w:eastAsia="Cambria" w:cs="Arial"/>
          <w:b/>
          <w:bCs/>
          <w:sz w:val="21"/>
          <w:szCs w:val="21"/>
        </w:rPr>
        <w:t>Table 80: Number of offence types related to completed cases</w:t>
      </w:r>
    </w:p>
    <w:tbl>
      <w:tblPr>
        <w:tblStyle w:val="TableTGAblue1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701"/>
        <w:gridCol w:w="1701"/>
      </w:tblGrid>
      <w:tr w:rsidR="00CC6609" w:rsidRPr="00373DCC" w14:paraId="1294FC09" w14:textId="77777777" w:rsidTr="005C73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nil"/>
              <w:left w:val="nil"/>
              <w:right w:val="single" w:sz="4" w:space="0" w:color="auto"/>
            </w:tcBorders>
            <w:shd w:val="clear" w:color="auto" w:fill="29527F"/>
            <w:vAlign w:val="center"/>
          </w:tcPr>
          <w:bookmarkEnd w:id="264"/>
          <w:p w14:paraId="218DF619" w14:textId="013B5AFC" w:rsidR="00CC6609" w:rsidRPr="00373DCC" w:rsidRDefault="005C7371" w:rsidP="00CC6609">
            <w:pPr>
              <w:numPr>
                <w:ilvl w:val="0"/>
                <w:numId w:val="25"/>
              </w:numPr>
              <w:spacing w:before="0" w:after="0"/>
              <w:rPr>
                <w:rFonts w:cs="Arial"/>
                <w:color w:val="000000"/>
                <w:sz w:val="21"/>
              </w:rPr>
            </w:pPr>
            <w:r w:rsidRPr="00373DCC">
              <w:rPr>
                <w:rFonts w:cs="Arial"/>
                <w:sz w:val="21"/>
              </w:rPr>
              <w:t>Offence type</w:t>
            </w:r>
          </w:p>
        </w:tc>
        <w:tc>
          <w:tcPr>
            <w:tcW w:w="1701" w:type="dxa"/>
            <w:tcBorders>
              <w:top w:val="single" w:sz="4" w:space="0" w:color="auto"/>
              <w:left w:val="single" w:sz="4" w:space="0" w:color="auto"/>
              <w:bottom w:val="single" w:sz="4" w:space="0" w:color="auto"/>
              <w:right w:val="single" w:sz="4" w:space="0" w:color="auto"/>
            </w:tcBorders>
            <w:shd w:val="clear" w:color="auto" w:fill="29527F"/>
            <w:vAlign w:val="center"/>
          </w:tcPr>
          <w:p w14:paraId="671AF5B2" w14:textId="77777777" w:rsidR="00CC6609" w:rsidRPr="005C7371" w:rsidRDefault="00CC6609" w:rsidP="00CC6609">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p w14:paraId="5E26DE58" w14:textId="02B8740C" w:rsidR="005C7371" w:rsidRPr="00373DCC" w:rsidRDefault="005C7371" w:rsidP="00CC6609">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sidRPr="005C7371">
              <w:rPr>
                <w:rFonts w:cs="Arial"/>
                <w:bCs/>
                <w:sz w:val="21"/>
              </w:rPr>
              <w:t xml:space="preserve">Number </w:t>
            </w:r>
            <w:r>
              <w:rPr>
                <w:rFonts w:cs="Arial"/>
                <w:bCs/>
                <w:sz w:val="21"/>
              </w:rPr>
              <w:br/>
            </w:r>
            <w:r w:rsidRPr="005C7371">
              <w:rPr>
                <w:rFonts w:cs="Arial"/>
                <w:bCs/>
                <w:sz w:val="21"/>
              </w:rPr>
              <w:t>(% of total)</w:t>
            </w:r>
          </w:p>
        </w:tc>
        <w:tc>
          <w:tcPr>
            <w:tcW w:w="1701" w:type="dxa"/>
            <w:tcBorders>
              <w:top w:val="single" w:sz="4" w:space="0" w:color="auto"/>
              <w:left w:val="single" w:sz="4" w:space="0" w:color="auto"/>
              <w:bottom w:val="single" w:sz="4" w:space="0" w:color="auto"/>
              <w:right w:val="single" w:sz="4" w:space="0" w:color="auto"/>
            </w:tcBorders>
            <w:shd w:val="clear" w:color="auto" w:fill="29527F"/>
            <w:vAlign w:val="center"/>
          </w:tcPr>
          <w:p w14:paraId="77B00EA7" w14:textId="77777777" w:rsidR="00CC6609" w:rsidRPr="005C7371" w:rsidRDefault="00CC6609" w:rsidP="00CC6609">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p w14:paraId="142CB7D4" w14:textId="79488F60" w:rsidR="005C7371" w:rsidRPr="00373DCC" w:rsidRDefault="005C7371" w:rsidP="00CC6609">
            <w:pPr>
              <w:numPr>
                <w:ilvl w:val="0"/>
                <w:numId w:val="25"/>
              </w:num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21"/>
              </w:rPr>
            </w:pPr>
            <w:r w:rsidRPr="005C7371">
              <w:rPr>
                <w:rFonts w:cs="Arial"/>
                <w:bCs/>
                <w:sz w:val="21"/>
              </w:rPr>
              <w:t xml:space="preserve">Number </w:t>
            </w:r>
            <w:r>
              <w:rPr>
                <w:rFonts w:cs="Arial"/>
                <w:bCs/>
                <w:sz w:val="21"/>
              </w:rPr>
              <w:br/>
            </w:r>
            <w:r w:rsidRPr="005C7371">
              <w:rPr>
                <w:rFonts w:cs="Arial"/>
                <w:bCs/>
                <w:sz w:val="21"/>
              </w:rPr>
              <w:t>(% of total)</w:t>
            </w:r>
          </w:p>
        </w:tc>
      </w:tr>
      <w:tr w:rsidR="00F2350B" w:rsidRPr="00373DCC" w14:paraId="67868DB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hideMark/>
          </w:tcPr>
          <w:p w14:paraId="474BD78D" w14:textId="77777777" w:rsidR="00F2350B" w:rsidRPr="00373DCC" w:rsidRDefault="00F2350B" w:rsidP="00710B91">
            <w:pPr>
              <w:keepNext/>
              <w:spacing w:before="0" w:after="0" w:line="240" w:lineRule="atLeast"/>
              <w:rPr>
                <w:rFonts w:cs="Arial"/>
                <w:sz w:val="21"/>
              </w:rPr>
            </w:pPr>
            <w:r w:rsidRPr="00373DCC">
              <w:rPr>
                <w:rFonts w:cs="Arial"/>
                <w:sz w:val="21"/>
              </w:rPr>
              <w:t>Import</w:t>
            </w:r>
          </w:p>
        </w:tc>
        <w:tc>
          <w:tcPr>
            <w:tcW w:w="1701" w:type="dxa"/>
            <w:tcBorders>
              <w:top w:val="single" w:sz="4" w:space="0" w:color="auto"/>
              <w:left w:val="single" w:sz="4" w:space="0" w:color="auto"/>
              <w:bottom w:val="single" w:sz="4" w:space="0" w:color="auto"/>
              <w:right w:val="single" w:sz="4" w:space="0" w:color="auto"/>
            </w:tcBorders>
            <w:vAlign w:val="center"/>
          </w:tcPr>
          <w:p w14:paraId="43991324"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9237 (90%)</w:t>
            </w:r>
          </w:p>
        </w:tc>
        <w:tc>
          <w:tcPr>
            <w:tcW w:w="1701" w:type="dxa"/>
            <w:tcBorders>
              <w:top w:val="single" w:sz="4" w:space="0" w:color="auto"/>
              <w:left w:val="single" w:sz="4" w:space="0" w:color="auto"/>
              <w:bottom w:val="single" w:sz="4" w:space="0" w:color="auto"/>
              <w:right w:val="single" w:sz="4" w:space="0" w:color="auto"/>
            </w:tcBorders>
            <w:vAlign w:val="center"/>
          </w:tcPr>
          <w:p w14:paraId="62801A87"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11,197 (95%)</w:t>
            </w:r>
          </w:p>
        </w:tc>
      </w:tr>
      <w:tr w:rsidR="00F2350B" w:rsidRPr="00373DCC" w14:paraId="1DD9E9C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hideMark/>
          </w:tcPr>
          <w:p w14:paraId="2FF6F202" w14:textId="77777777" w:rsidR="00F2350B" w:rsidRPr="00373DCC" w:rsidRDefault="00F2350B" w:rsidP="00710B91">
            <w:pPr>
              <w:keepNext/>
              <w:spacing w:before="0" w:after="0" w:line="240" w:lineRule="atLeast"/>
              <w:rPr>
                <w:rFonts w:cs="Arial"/>
                <w:sz w:val="21"/>
              </w:rPr>
            </w:pPr>
            <w:r w:rsidRPr="00373DCC">
              <w:rPr>
                <w:rFonts w:cs="Arial"/>
                <w:sz w:val="21"/>
              </w:rPr>
              <w:t>Export</w:t>
            </w:r>
          </w:p>
        </w:tc>
        <w:tc>
          <w:tcPr>
            <w:tcW w:w="1701" w:type="dxa"/>
            <w:tcBorders>
              <w:top w:val="single" w:sz="4" w:space="0" w:color="auto"/>
              <w:left w:val="single" w:sz="4" w:space="0" w:color="auto"/>
              <w:bottom w:val="single" w:sz="4" w:space="0" w:color="auto"/>
              <w:right w:val="single" w:sz="4" w:space="0" w:color="auto"/>
            </w:tcBorders>
            <w:vAlign w:val="center"/>
          </w:tcPr>
          <w:p w14:paraId="2FAEF25F"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 (&lt;1%)</w:t>
            </w:r>
          </w:p>
        </w:tc>
        <w:tc>
          <w:tcPr>
            <w:tcW w:w="1701" w:type="dxa"/>
            <w:tcBorders>
              <w:top w:val="single" w:sz="4" w:space="0" w:color="auto"/>
              <w:left w:val="single" w:sz="4" w:space="0" w:color="auto"/>
              <w:bottom w:val="single" w:sz="4" w:space="0" w:color="auto"/>
              <w:right w:val="single" w:sz="4" w:space="0" w:color="auto"/>
            </w:tcBorders>
            <w:vAlign w:val="center"/>
          </w:tcPr>
          <w:p w14:paraId="6594F077"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6 (&lt;1%)</w:t>
            </w:r>
          </w:p>
        </w:tc>
      </w:tr>
      <w:tr w:rsidR="00F2350B" w:rsidRPr="00373DCC" w14:paraId="770BF828"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tcPr>
          <w:p w14:paraId="4BEA94B8" w14:textId="77777777" w:rsidR="00F2350B" w:rsidRPr="00373DCC" w:rsidRDefault="00F2350B" w:rsidP="00710B91">
            <w:pPr>
              <w:keepNext/>
              <w:spacing w:before="0" w:after="0" w:line="240" w:lineRule="atLeast"/>
              <w:rPr>
                <w:rFonts w:cs="Arial"/>
                <w:sz w:val="21"/>
              </w:rPr>
            </w:pPr>
            <w:r w:rsidRPr="00373DCC">
              <w:rPr>
                <w:rFonts w:cs="Arial"/>
                <w:sz w:val="21"/>
              </w:rPr>
              <w:t>Counterfeit</w:t>
            </w:r>
          </w:p>
        </w:tc>
        <w:tc>
          <w:tcPr>
            <w:tcW w:w="1701" w:type="dxa"/>
            <w:tcBorders>
              <w:top w:val="single" w:sz="4" w:space="0" w:color="auto"/>
              <w:left w:val="single" w:sz="4" w:space="0" w:color="auto"/>
              <w:bottom w:val="single" w:sz="4" w:space="0" w:color="auto"/>
              <w:right w:val="single" w:sz="4" w:space="0" w:color="auto"/>
            </w:tcBorders>
            <w:vAlign w:val="center"/>
          </w:tcPr>
          <w:p w14:paraId="01582260"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716 (8%)</w:t>
            </w:r>
          </w:p>
        </w:tc>
        <w:tc>
          <w:tcPr>
            <w:tcW w:w="1701" w:type="dxa"/>
            <w:tcBorders>
              <w:top w:val="single" w:sz="4" w:space="0" w:color="auto"/>
              <w:left w:val="single" w:sz="4" w:space="0" w:color="auto"/>
              <w:bottom w:val="single" w:sz="4" w:space="0" w:color="auto"/>
              <w:right w:val="single" w:sz="4" w:space="0" w:color="auto"/>
            </w:tcBorders>
            <w:vAlign w:val="center"/>
          </w:tcPr>
          <w:p w14:paraId="2D2B73F3"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369 (3%)</w:t>
            </w:r>
          </w:p>
        </w:tc>
      </w:tr>
      <w:tr w:rsidR="00F2350B" w:rsidRPr="00373DCC" w14:paraId="3F1951C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hideMark/>
          </w:tcPr>
          <w:p w14:paraId="213C1BCB" w14:textId="77777777" w:rsidR="00F2350B" w:rsidRPr="00373DCC" w:rsidRDefault="00F2350B" w:rsidP="00710B91">
            <w:pPr>
              <w:keepNext/>
              <w:spacing w:before="0" w:after="0" w:line="240" w:lineRule="atLeast"/>
              <w:rPr>
                <w:rFonts w:cs="Arial"/>
                <w:sz w:val="21"/>
              </w:rPr>
            </w:pPr>
            <w:r w:rsidRPr="00373DCC">
              <w:rPr>
                <w:rFonts w:cs="Arial"/>
                <w:sz w:val="21"/>
              </w:rPr>
              <w:t>Manufacture</w:t>
            </w:r>
          </w:p>
        </w:tc>
        <w:tc>
          <w:tcPr>
            <w:tcW w:w="1701" w:type="dxa"/>
            <w:tcBorders>
              <w:top w:val="single" w:sz="4" w:space="0" w:color="auto"/>
              <w:left w:val="single" w:sz="4" w:space="0" w:color="auto"/>
              <w:bottom w:val="single" w:sz="4" w:space="0" w:color="auto"/>
              <w:right w:val="single" w:sz="4" w:space="0" w:color="auto"/>
            </w:tcBorders>
            <w:vAlign w:val="center"/>
          </w:tcPr>
          <w:p w14:paraId="1A03035B"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 (&lt;1%)</w:t>
            </w:r>
          </w:p>
        </w:tc>
        <w:tc>
          <w:tcPr>
            <w:tcW w:w="1701" w:type="dxa"/>
            <w:tcBorders>
              <w:top w:val="single" w:sz="4" w:space="0" w:color="auto"/>
              <w:left w:val="single" w:sz="4" w:space="0" w:color="auto"/>
              <w:bottom w:val="single" w:sz="4" w:space="0" w:color="auto"/>
              <w:right w:val="single" w:sz="4" w:space="0" w:color="auto"/>
            </w:tcBorders>
            <w:vAlign w:val="center"/>
          </w:tcPr>
          <w:p w14:paraId="00A46DEA"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12 (&lt;1%)</w:t>
            </w:r>
          </w:p>
        </w:tc>
      </w:tr>
      <w:tr w:rsidR="00F2350B" w:rsidRPr="00373DCC" w14:paraId="443890A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hideMark/>
          </w:tcPr>
          <w:p w14:paraId="4963C3E5" w14:textId="77777777" w:rsidR="00F2350B" w:rsidRPr="00373DCC" w:rsidRDefault="00F2350B" w:rsidP="00710B91">
            <w:pPr>
              <w:keepNext/>
              <w:spacing w:before="0" w:after="0" w:line="240" w:lineRule="atLeast"/>
              <w:rPr>
                <w:rFonts w:cs="Arial"/>
                <w:sz w:val="21"/>
              </w:rPr>
            </w:pPr>
            <w:r w:rsidRPr="00373DCC">
              <w:rPr>
                <w:rFonts w:cs="Arial"/>
                <w:sz w:val="21"/>
              </w:rPr>
              <w:t>Supply</w:t>
            </w:r>
          </w:p>
        </w:tc>
        <w:tc>
          <w:tcPr>
            <w:tcW w:w="1701" w:type="dxa"/>
            <w:tcBorders>
              <w:top w:val="single" w:sz="4" w:space="0" w:color="auto"/>
              <w:left w:val="single" w:sz="4" w:space="0" w:color="auto"/>
              <w:bottom w:val="single" w:sz="4" w:space="0" w:color="auto"/>
              <w:right w:val="single" w:sz="4" w:space="0" w:color="auto"/>
            </w:tcBorders>
            <w:vAlign w:val="center"/>
          </w:tcPr>
          <w:p w14:paraId="135F03C2"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261 (3%)</w:t>
            </w:r>
          </w:p>
        </w:tc>
        <w:tc>
          <w:tcPr>
            <w:tcW w:w="1701" w:type="dxa"/>
            <w:tcBorders>
              <w:top w:val="single" w:sz="4" w:space="0" w:color="auto"/>
              <w:left w:val="single" w:sz="4" w:space="0" w:color="auto"/>
              <w:bottom w:val="single" w:sz="4" w:space="0" w:color="auto"/>
              <w:right w:val="single" w:sz="4" w:space="0" w:color="auto"/>
            </w:tcBorders>
            <w:vAlign w:val="center"/>
          </w:tcPr>
          <w:p w14:paraId="3F1FDB9B"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247 (2%)</w:t>
            </w:r>
          </w:p>
        </w:tc>
      </w:tr>
      <w:tr w:rsidR="00F2350B" w:rsidRPr="00373DCC" w14:paraId="3EC5FE94"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vAlign w:val="center"/>
          </w:tcPr>
          <w:p w14:paraId="4911BA6B" w14:textId="77777777" w:rsidR="00F2350B" w:rsidRPr="00373DCC" w:rsidRDefault="00F2350B" w:rsidP="00710B91">
            <w:pPr>
              <w:keepNext/>
              <w:spacing w:before="0" w:after="0" w:line="240" w:lineRule="atLeast"/>
              <w:rPr>
                <w:rFonts w:cs="Arial"/>
                <w:sz w:val="21"/>
              </w:rPr>
            </w:pPr>
            <w:r w:rsidRPr="00373DCC">
              <w:rPr>
                <w:rFonts w:cs="Arial"/>
                <w:sz w:val="21"/>
              </w:rPr>
              <w:t>Advertising (relating to an import, manufacture or supply case)</w:t>
            </w:r>
          </w:p>
        </w:tc>
        <w:tc>
          <w:tcPr>
            <w:tcW w:w="1701" w:type="dxa"/>
            <w:tcBorders>
              <w:top w:val="single" w:sz="4" w:space="0" w:color="auto"/>
              <w:left w:val="single" w:sz="4" w:space="0" w:color="auto"/>
              <w:bottom w:val="single" w:sz="4" w:space="0" w:color="auto"/>
              <w:right w:val="single" w:sz="4" w:space="0" w:color="auto"/>
            </w:tcBorders>
            <w:vAlign w:val="center"/>
          </w:tcPr>
          <w:p w14:paraId="482988B7"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 (&lt;1%)</w:t>
            </w:r>
          </w:p>
        </w:tc>
        <w:tc>
          <w:tcPr>
            <w:tcW w:w="1701" w:type="dxa"/>
            <w:tcBorders>
              <w:top w:val="single" w:sz="4" w:space="0" w:color="auto"/>
              <w:left w:val="single" w:sz="4" w:space="0" w:color="auto"/>
              <w:bottom w:val="single" w:sz="4" w:space="0" w:color="auto"/>
              <w:right w:val="single" w:sz="4" w:space="0" w:color="auto"/>
            </w:tcBorders>
            <w:vAlign w:val="center"/>
          </w:tcPr>
          <w:p w14:paraId="7C6EB941"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 (&lt;1%)</w:t>
            </w:r>
          </w:p>
        </w:tc>
      </w:tr>
      <w:tr w:rsidR="00F2350B" w:rsidRPr="00373DCC" w14:paraId="6FE5B742"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shd w:val="clear" w:color="auto" w:fill="D8E2F0"/>
            <w:vAlign w:val="center"/>
            <w:hideMark/>
          </w:tcPr>
          <w:p w14:paraId="4CC4594B" w14:textId="77777777" w:rsidR="00F2350B" w:rsidRPr="00373DCC" w:rsidRDefault="00F2350B" w:rsidP="00710B91">
            <w:pPr>
              <w:keepNext/>
              <w:spacing w:before="0" w:after="0" w:line="240" w:lineRule="atLeast"/>
              <w:rPr>
                <w:rFonts w:cs="Arial"/>
                <w:sz w:val="21"/>
                <w:vertAlign w:val="superscript"/>
              </w:rPr>
            </w:pPr>
            <w:r w:rsidRPr="00373DCC">
              <w:rPr>
                <w:rFonts w:cs="Arial"/>
                <w:sz w:val="21"/>
              </w:rPr>
              <w:t>Total completed</w:t>
            </w:r>
            <w:r w:rsidRPr="00373DCC">
              <w:rPr>
                <w:rFonts w:cs="Arial"/>
                <w:sz w:val="21"/>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shd w:val="clear" w:color="auto" w:fill="D8E2F0"/>
            <w:vAlign w:val="center"/>
          </w:tcPr>
          <w:p w14:paraId="23A270CF" w14:textId="77777777" w:rsidR="00F2350B" w:rsidRPr="00373DCC" w:rsidRDefault="00F2350B" w:rsidP="00ED1A1F">
            <w:pPr>
              <w:keepNext/>
              <w:numPr>
                <w:ilvl w:val="0"/>
                <w:numId w:val="25"/>
              </w:numPr>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9,307 (100%)</w:t>
            </w:r>
          </w:p>
        </w:tc>
        <w:tc>
          <w:tcPr>
            <w:tcW w:w="1701" w:type="dxa"/>
            <w:tcBorders>
              <w:top w:val="single" w:sz="4" w:space="0" w:color="auto"/>
              <w:left w:val="single" w:sz="4" w:space="0" w:color="auto"/>
              <w:bottom w:val="single" w:sz="4" w:space="0" w:color="auto"/>
              <w:right w:val="single" w:sz="4" w:space="0" w:color="auto"/>
            </w:tcBorders>
            <w:shd w:val="clear" w:color="auto" w:fill="D8E2F0"/>
            <w:noWrap/>
            <w:vAlign w:val="center"/>
          </w:tcPr>
          <w:p w14:paraId="29CE7185" w14:textId="77777777" w:rsidR="00F2350B" w:rsidRPr="00373DCC" w:rsidRDefault="00F2350B" w:rsidP="00710B91">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11,833 (100%)</w:t>
            </w:r>
          </w:p>
        </w:tc>
      </w:tr>
    </w:tbl>
    <w:p w14:paraId="5AB444CE"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 xml:space="preserve"> There can be multiple offences in a single case.</w:t>
      </w:r>
    </w:p>
    <w:p w14:paraId="50C066FB" w14:textId="77777777" w:rsidR="00F2350B" w:rsidRPr="00373DCC" w:rsidRDefault="00F2350B" w:rsidP="00F2350B">
      <w:pPr>
        <w:rPr>
          <w:rFonts w:eastAsia="Times New Roman" w:cs="Arial"/>
          <w:bCs/>
          <w:color w:val="29527F"/>
          <w:szCs w:val="22"/>
          <w:lang w:val="en"/>
          <w14:textFill>
            <w14:solidFill>
              <w14:srgbClr w14:val="29527F">
                <w14:lumMod w14:val="90000"/>
                <w14:lumOff w14:val="10000"/>
              </w14:srgbClr>
            </w14:solidFill>
          </w14:textFill>
        </w:rPr>
      </w:pPr>
      <w:r w:rsidRPr="00373DCC">
        <w:rPr>
          <w:rFonts w:eastAsia="Times New Roman" w:cs="Arial"/>
          <w:bCs/>
          <w:color w:val="29527F"/>
          <w:szCs w:val="22"/>
          <w:lang w:val="en"/>
          <w14:textFill>
            <w14:solidFill>
              <w14:srgbClr w14:val="29527F">
                <w14:lumMod w14:val="90000"/>
                <w14:lumOff w14:val="10000"/>
              </w14:srgbClr>
            </w14:solidFill>
          </w14:textFill>
        </w:rPr>
        <w:br w:type="page"/>
      </w:r>
    </w:p>
    <w:p w14:paraId="003B845A" w14:textId="77777777" w:rsidR="00F2350B" w:rsidRPr="00373DCC" w:rsidRDefault="00F2350B" w:rsidP="00B633E2">
      <w:pPr>
        <w:pStyle w:val="Heading3-numbered"/>
        <w:numPr>
          <w:ilvl w:val="1"/>
          <w:numId w:val="33"/>
        </w:numPr>
        <w:rPr>
          <w:rFonts w:ascii="Arial" w:hAnsi="Arial" w:cs="Arial"/>
        </w:rPr>
      </w:pPr>
      <w:bookmarkStart w:id="265" w:name="_Toc153550501"/>
      <w:r w:rsidRPr="00373DCC">
        <w:rPr>
          <w:rFonts w:ascii="Arial" w:hAnsi="Arial" w:cs="Arial"/>
        </w:rPr>
        <w:lastRenderedPageBreak/>
        <w:t>Advertising of therapeutic goods</w:t>
      </w:r>
      <w:bookmarkEnd w:id="265"/>
    </w:p>
    <w:p w14:paraId="06512A05" w14:textId="77777777" w:rsidR="00F2350B" w:rsidRPr="00373DCC" w:rsidRDefault="00F2350B" w:rsidP="00F2350B">
      <w:pPr>
        <w:rPr>
          <w:rFonts w:cs="Arial"/>
          <w:sz w:val="21"/>
          <w:szCs w:val="21"/>
        </w:rPr>
      </w:pPr>
      <w:r w:rsidRPr="00373DCC">
        <w:rPr>
          <w:rFonts w:cs="Arial"/>
          <w:sz w:val="21"/>
          <w:szCs w:val="21"/>
        </w:rPr>
        <w:t xml:space="preserve">Tables below capture compliance and enforcement activities in relation to the advertising of approved and unapproved therapeutic goods (i.e. goods on the ARTG, and goods not on the ARTG). Further information relating to advertising compliance is available in the Therapeutic Goods Advertising Compliance Annual Report 2022-23. </w:t>
      </w:r>
    </w:p>
    <w:p w14:paraId="72C5B391" w14:textId="77777777" w:rsidR="00F2350B" w:rsidRPr="00373DCC" w:rsidRDefault="00F2350B" w:rsidP="00F2350B">
      <w:pPr>
        <w:tabs>
          <w:tab w:val="left" w:pos="6452"/>
          <w:tab w:val="left" w:pos="7865"/>
        </w:tabs>
        <w:spacing w:before="60" w:after="60" w:line="240" w:lineRule="auto"/>
        <w:rPr>
          <w:rFonts w:eastAsia="Cambria" w:cs="Arial"/>
          <w:b/>
          <w:bCs/>
          <w:sz w:val="21"/>
          <w:szCs w:val="21"/>
        </w:rPr>
      </w:pPr>
      <w:bookmarkStart w:id="266" w:name="Table81"/>
      <w:r w:rsidRPr="00373DCC">
        <w:rPr>
          <w:rFonts w:eastAsia="Cambria" w:cs="Arial"/>
          <w:b/>
          <w:bCs/>
          <w:sz w:val="21"/>
          <w:szCs w:val="21"/>
        </w:rPr>
        <w:t>Table 81: Reports of alleged advertising non-compliance volumes</w:t>
      </w:r>
    </w:p>
    <w:bookmarkEnd w:id="266"/>
    <w:p w14:paraId="2586C144" w14:textId="77777777" w:rsidR="00F2350B" w:rsidRPr="00373DCC" w:rsidRDefault="00F2350B" w:rsidP="00F2350B">
      <w:pPr>
        <w:tabs>
          <w:tab w:val="left" w:pos="6452"/>
          <w:tab w:val="left" w:pos="7865"/>
        </w:tabs>
        <w:spacing w:before="60" w:after="60" w:line="240" w:lineRule="auto"/>
        <w:rPr>
          <w:rFonts w:eastAsia="Cambria" w:cs="Arial"/>
          <w:b/>
          <w:bCs/>
          <w:szCs w:val="22"/>
        </w:rPr>
      </w:pPr>
    </w:p>
    <w:tbl>
      <w:tblPr>
        <w:tblStyle w:val="TableTGAblue92"/>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42"/>
        <w:gridCol w:w="1404"/>
        <w:gridCol w:w="1402"/>
      </w:tblGrid>
      <w:tr w:rsidR="00CC6609" w:rsidRPr="00373DCC" w14:paraId="53269E25" w14:textId="77777777" w:rsidTr="00DB348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49" w:type="pct"/>
            <w:tcBorders>
              <w:top w:val="nil"/>
              <w:left w:val="nil"/>
              <w:bottom w:val="nil"/>
              <w:right w:val="single" w:sz="4" w:space="0" w:color="auto"/>
            </w:tcBorders>
            <w:shd w:val="clear" w:color="auto" w:fill="29527F"/>
            <w:vAlign w:val="center"/>
          </w:tcPr>
          <w:p w14:paraId="3DB11D81" w14:textId="599B0860" w:rsidR="00CC6609" w:rsidRPr="00373DCC" w:rsidRDefault="00DB3480" w:rsidP="00CC6609">
            <w:pPr>
              <w:widowControl w:val="0"/>
              <w:spacing w:before="0" w:after="0"/>
              <w:contextualSpacing/>
              <w:rPr>
                <w:rFonts w:eastAsia="Malgun Gothic" w:cs="Arial"/>
                <w:sz w:val="21"/>
                <w:lang w:eastAsia="ko-KR"/>
              </w:rPr>
            </w:pPr>
            <w:r w:rsidRPr="00373DCC">
              <w:rPr>
                <w:rFonts w:cs="Arial"/>
                <w:sz w:val="21"/>
              </w:rPr>
              <w:t>Compliance cases</w:t>
            </w:r>
            <w:r w:rsidRPr="00373DCC">
              <w:rPr>
                <w:rFonts w:cs="Arial"/>
                <w:sz w:val="21"/>
                <w:vertAlign w:val="superscript"/>
              </w:rPr>
              <w:t xml:space="preserve"> a</w:t>
            </w:r>
          </w:p>
        </w:tc>
        <w:tc>
          <w:tcPr>
            <w:tcW w:w="776" w:type="pct"/>
            <w:tcBorders>
              <w:top w:val="single" w:sz="4" w:space="0" w:color="auto"/>
              <w:left w:val="single" w:sz="4" w:space="0" w:color="auto"/>
              <w:bottom w:val="single" w:sz="4" w:space="0" w:color="auto"/>
              <w:right w:val="single" w:sz="4" w:space="0" w:color="auto"/>
            </w:tcBorders>
            <w:shd w:val="clear" w:color="auto" w:fill="29527F"/>
            <w:vAlign w:val="center"/>
          </w:tcPr>
          <w:p w14:paraId="4EC5A27F" w14:textId="0BB1778F" w:rsidR="00CC6609" w:rsidRPr="00373DCC" w:rsidRDefault="00CC6609" w:rsidP="00CC6609">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Malgun Gothic" w:cs="Arial"/>
                <w:bCs/>
                <w:sz w:val="21"/>
                <w:lang w:eastAsia="ko-KR"/>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75" w:type="pct"/>
            <w:tcBorders>
              <w:top w:val="single" w:sz="4" w:space="0" w:color="auto"/>
              <w:left w:val="single" w:sz="4" w:space="0" w:color="auto"/>
              <w:bottom w:val="single" w:sz="4" w:space="0" w:color="auto"/>
              <w:right w:val="single" w:sz="4" w:space="0" w:color="auto"/>
            </w:tcBorders>
            <w:shd w:val="clear" w:color="auto" w:fill="29527F"/>
            <w:vAlign w:val="center"/>
          </w:tcPr>
          <w:p w14:paraId="0EF7CAAA" w14:textId="02D9FBF0" w:rsidR="00CC6609" w:rsidRPr="00373DCC" w:rsidRDefault="00CC6609" w:rsidP="00CC6609">
            <w:pPr>
              <w:widowControl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Malgun Gothic" w:cs="Arial"/>
                <w:bCs/>
                <w:sz w:val="21"/>
                <w:lang w:eastAsia="ko-KR"/>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7D6DD79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tcBorders>
            <w:vAlign w:val="center"/>
          </w:tcPr>
          <w:p w14:paraId="064523D9" w14:textId="77777777" w:rsidR="00F2350B" w:rsidRPr="00373DCC" w:rsidRDefault="00F2350B" w:rsidP="00710B91">
            <w:pPr>
              <w:spacing w:before="0" w:after="0"/>
              <w:contextualSpacing/>
              <w:rPr>
                <w:rFonts w:eastAsia="Malgun Gothic" w:cs="Arial"/>
                <w:sz w:val="21"/>
                <w:lang w:eastAsia="ko-KR"/>
              </w:rPr>
            </w:pPr>
            <w:r w:rsidRPr="00373DCC">
              <w:rPr>
                <w:rFonts w:eastAsia="Malgun Gothic" w:cs="Arial"/>
                <w:sz w:val="21"/>
                <w:lang w:eastAsia="ko-KR"/>
              </w:rPr>
              <w:t>Reports received</w:t>
            </w:r>
          </w:p>
        </w:tc>
        <w:tc>
          <w:tcPr>
            <w:tcW w:w="776" w:type="pct"/>
            <w:tcBorders>
              <w:top w:val="single" w:sz="4" w:space="0" w:color="auto"/>
            </w:tcBorders>
            <w:vAlign w:val="center"/>
          </w:tcPr>
          <w:p w14:paraId="257CDD07"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3,113</w:t>
            </w:r>
          </w:p>
        </w:tc>
        <w:tc>
          <w:tcPr>
            <w:tcW w:w="775" w:type="pct"/>
            <w:tcBorders>
              <w:top w:val="single" w:sz="4" w:space="0" w:color="auto"/>
            </w:tcBorders>
            <w:vAlign w:val="center"/>
          </w:tcPr>
          <w:p w14:paraId="42381AED"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3,064</w:t>
            </w:r>
          </w:p>
        </w:tc>
      </w:tr>
      <w:tr w:rsidR="00F2350B" w:rsidRPr="00373DCC" w14:paraId="4FBD512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vAlign w:val="center"/>
          </w:tcPr>
          <w:p w14:paraId="79F42EAA" w14:textId="77777777" w:rsidR="00F2350B" w:rsidRPr="00373DCC" w:rsidRDefault="00F2350B" w:rsidP="00710B91">
            <w:pPr>
              <w:spacing w:before="0" w:after="0"/>
              <w:contextualSpacing/>
              <w:rPr>
                <w:rFonts w:eastAsia="Malgun Gothic" w:cs="Arial"/>
                <w:sz w:val="21"/>
                <w:lang w:eastAsia="ko-KR"/>
              </w:rPr>
            </w:pPr>
            <w:r w:rsidRPr="00373DCC">
              <w:rPr>
                <w:rFonts w:eastAsia="Malgun Gothic" w:cs="Arial"/>
                <w:sz w:val="21"/>
                <w:lang w:eastAsia="ko-KR"/>
              </w:rPr>
              <w:t>Cases created</w:t>
            </w:r>
            <w:r w:rsidRPr="00373DCC">
              <w:rPr>
                <w:rFonts w:eastAsia="Malgun Gothic" w:cs="Arial"/>
                <w:sz w:val="21"/>
                <w:vertAlign w:val="superscript"/>
                <w:lang w:eastAsia="ko-KR"/>
              </w:rPr>
              <w:t xml:space="preserve"> b</w:t>
            </w:r>
            <w:r w:rsidRPr="00373DCC">
              <w:rPr>
                <w:rFonts w:eastAsia="Malgun Gothic" w:cs="Arial"/>
                <w:sz w:val="21"/>
                <w:lang w:eastAsia="ko-KR"/>
              </w:rPr>
              <w:t xml:space="preserve"> </w:t>
            </w:r>
          </w:p>
        </w:tc>
        <w:tc>
          <w:tcPr>
            <w:tcW w:w="776" w:type="pct"/>
            <w:vAlign w:val="center"/>
          </w:tcPr>
          <w:p w14:paraId="27AF3129"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3,061</w:t>
            </w:r>
          </w:p>
        </w:tc>
        <w:tc>
          <w:tcPr>
            <w:tcW w:w="775" w:type="pct"/>
            <w:vAlign w:val="center"/>
          </w:tcPr>
          <w:p w14:paraId="06FDC00C"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3,273</w:t>
            </w:r>
          </w:p>
        </w:tc>
      </w:tr>
      <w:tr w:rsidR="00F2350B" w:rsidRPr="00373DCC" w14:paraId="4F66DCB9"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49" w:type="pct"/>
            <w:vAlign w:val="center"/>
          </w:tcPr>
          <w:p w14:paraId="2CDEC88B" w14:textId="77777777" w:rsidR="00F2350B" w:rsidRPr="00373DCC" w:rsidRDefault="00F2350B" w:rsidP="00710B91">
            <w:pPr>
              <w:spacing w:before="0" w:after="0"/>
              <w:contextualSpacing/>
              <w:rPr>
                <w:rFonts w:eastAsia="Malgun Gothic" w:cs="Arial"/>
                <w:sz w:val="21"/>
                <w:vertAlign w:val="superscript"/>
                <w:lang w:eastAsia="ko-KR"/>
              </w:rPr>
            </w:pPr>
            <w:r w:rsidRPr="00373DCC">
              <w:rPr>
                <w:rFonts w:eastAsia="Malgun Gothic" w:cs="Arial"/>
                <w:sz w:val="21"/>
                <w:lang w:eastAsia="ko-KR"/>
              </w:rPr>
              <w:t>Cases finalised</w:t>
            </w:r>
            <w:r w:rsidRPr="00373DCC">
              <w:rPr>
                <w:rFonts w:eastAsia="Malgun Gothic" w:cs="Arial"/>
                <w:sz w:val="21"/>
                <w:vertAlign w:val="superscript"/>
                <w:lang w:eastAsia="ko-KR"/>
              </w:rPr>
              <w:t xml:space="preserve"> b</w:t>
            </w:r>
          </w:p>
        </w:tc>
        <w:tc>
          <w:tcPr>
            <w:tcW w:w="776" w:type="pct"/>
            <w:vAlign w:val="center"/>
          </w:tcPr>
          <w:p w14:paraId="79C036A3"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2,348</w:t>
            </w:r>
          </w:p>
        </w:tc>
        <w:tc>
          <w:tcPr>
            <w:tcW w:w="775" w:type="pct"/>
            <w:vAlign w:val="center"/>
          </w:tcPr>
          <w:p w14:paraId="5DFD099E" w14:textId="77777777" w:rsidR="00F2350B" w:rsidRPr="00373DCC" w:rsidRDefault="00F2350B" w:rsidP="00710B91">
            <w:pPr>
              <w:widowControl w:val="0"/>
              <w:spacing w:before="0" w:after="0"/>
              <w:ind w:right="100"/>
              <w:contextualSpacing/>
              <w:jc w:val="right"/>
              <w:cnfStyle w:val="000000000000" w:firstRow="0" w:lastRow="0" w:firstColumn="0" w:lastColumn="0" w:oddVBand="0" w:evenVBand="0" w:oddHBand="0" w:evenHBand="0" w:firstRowFirstColumn="0" w:firstRowLastColumn="0" w:lastRowFirstColumn="0" w:lastRowLastColumn="0"/>
              <w:rPr>
                <w:rFonts w:eastAsia="Malgun Gothic" w:cs="Arial"/>
                <w:sz w:val="21"/>
                <w:lang w:eastAsia="ko-KR"/>
              </w:rPr>
            </w:pPr>
            <w:r w:rsidRPr="00373DCC">
              <w:rPr>
                <w:rFonts w:cs="Arial"/>
                <w:sz w:val="21"/>
              </w:rPr>
              <w:t>3,450</w:t>
            </w:r>
          </w:p>
        </w:tc>
      </w:tr>
    </w:tbl>
    <w:p w14:paraId="382E7562"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a</w:t>
      </w:r>
      <w:r w:rsidRPr="00373DCC">
        <w:rPr>
          <w:rFonts w:eastAsia="Cambria" w:cs="Arial"/>
          <w:sz w:val="16"/>
          <w:szCs w:val="16"/>
        </w:rPr>
        <w:t xml:space="preserve"> These figures are based on case numbers and not actions taken or offence types.</w:t>
      </w:r>
    </w:p>
    <w:p w14:paraId="6959F1B6" w14:textId="77777777" w:rsidR="00F2350B" w:rsidRPr="00373DCC" w:rsidRDefault="00F2350B" w:rsidP="00F2350B">
      <w:pPr>
        <w:spacing w:before="0" w:after="0" w:line="0" w:lineRule="atLeast"/>
        <w:rPr>
          <w:rFonts w:eastAsia="Cambria" w:cs="Arial"/>
          <w:sz w:val="16"/>
          <w:szCs w:val="16"/>
        </w:rPr>
      </w:pPr>
      <w:r w:rsidRPr="00373DCC">
        <w:rPr>
          <w:rFonts w:eastAsia="Malgun Gothic" w:cs="Arial"/>
          <w:sz w:val="16"/>
          <w:szCs w:val="16"/>
          <w:vertAlign w:val="superscript"/>
          <w:lang w:eastAsia="ko-KR"/>
        </w:rPr>
        <w:t>b</w:t>
      </w:r>
      <w:r w:rsidRPr="00373DCC">
        <w:rPr>
          <w:rFonts w:eastAsia="Malgun Gothic" w:cs="Arial"/>
          <w:sz w:val="16"/>
          <w:szCs w:val="16"/>
          <w:lang w:eastAsia="ko-KR"/>
        </w:rPr>
        <w:t xml:space="preserve"> Cases may not have been received in the same financial year. </w:t>
      </w:r>
    </w:p>
    <w:p w14:paraId="3A9ACD67" w14:textId="77777777" w:rsidR="00F2350B" w:rsidRPr="00373DCC" w:rsidRDefault="00F2350B" w:rsidP="00F2350B">
      <w:pPr>
        <w:spacing w:before="180" w:after="180" w:line="240" w:lineRule="atLeast"/>
        <w:ind w:right="-188"/>
        <w:rPr>
          <w:rFonts w:eastAsia="Cambria" w:cs="Arial"/>
          <w:b/>
          <w:bCs/>
          <w:szCs w:val="22"/>
        </w:rPr>
      </w:pPr>
    </w:p>
    <w:p w14:paraId="5FC6ACAD" w14:textId="77777777" w:rsidR="00F2350B" w:rsidRPr="00373DCC" w:rsidRDefault="00F2350B" w:rsidP="00F2350B">
      <w:pPr>
        <w:spacing w:before="180" w:after="180" w:line="240" w:lineRule="atLeast"/>
        <w:ind w:right="-188"/>
        <w:rPr>
          <w:rFonts w:eastAsia="Cambria" w:cs="Arial"/>
          <w:b/>
          <w:bCs/>
          <w:sz w:val="21"/>
          <w:szCs w:val="21"/>
        </w:rPr>
      </w:pPr>
      <w:bookmarkStart w:id="267" w:name="Table82"/>
      <w:r w:rsidRPr="00373DCC">
        <w:rPr>
          <w:rFonts w:eastAsia="Cambria" w:cs="Arial"/>
          <w:b/>
          <w:bCs/>
          <w:sz w:val="21"/>
          <w:szCs w:val="21"/>
        </w:rPr>
        <w:t>Table 82:</w:t>
      </w:r>
      <w:r>
        <w:rPr>
          <w:rFonts w:eastAsia="Cambria" w:cs="Arial"/>
          <w:b/>
          <w:bCs/>
          <w:sz w:val="21"/>
          <w:szCs w:val="21"/>
        </w:rPr>
        <w:t xml:space="preserve"> </w:t>
      </w:r>
      <w:r w:rsidRPr="00373DCC">
        <w:rPr>
          <w:rFonts w:eastAsia="Cambria" w:cs="Arial"/>
          <w:b/>
          <w:bCs/>
          <w:sz w:val="21"/>
          <w:szCs w:val="21"/>
        </w:rPr>
        <w:t>Compliance actions recorded</w:t>
      </w:r>
    </w:p>
    <w:tbl>
      <w:tblPr>
        <w:tblStyle w:val="TableTGAblue101"/>
        <w:tblW w:w="5004"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783"/>
        <w:gridCol w:w="1587"/>
        <w:gridCol w:w="1658"/>
      </w:tblGrid>
      <w:tr w:rsidR="00CC6609" w:rsidRPr="00373DCC" w14:paraId="6E0F2A4F" w14:textId="77777777" w:rsidTr="00DB348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3" w:type="pct"/>
            <w:tcBorders>
              <w:top w:val="nil"/>
              <w:left w:val="nil"/>
              <w:bottom w:val="nil"/>
              <w:right w:val="single" w:sz="4" w:space="0" w:color="auto"/>
            </w:tcBorders>
            <w:shd w:val="clear" w:color="auto" w:fill="29527F"/>
            <w:vAlign w:val="center"/>
          </w:tcPr>
          <w:bookmarkEnd w:id="267"/>
          <w:p w14:paraId="63DB54E4" w14:textId="77E36D9F" w:rsidR="00CC6609" w:rsidRPr="00373DCC" w:rsidRDefault="00DB3480" w:rsidP="00DB3480">
            <w:pPr>
              <w:keepLines/>
              <w:widowControl w:val="0"/>
              <w:spacing w:before="0" w:after="0"/>
              <w:rPr>
                <w:rFonts w:eastAsia="Malgun Gothic" w:cs="Arial"/>
                <w:sz w:val="21"/>
              </w:rPr>
            </w:pPr>
            <w:r w:rsidRPr="00373DCC">
              <w:rPr>
                <w:rFonts w:cs="Arial"/>
                <w:sz w:val="21"/>
              </w:rPr>
              <w:t>Action taken</w:t>
            </w:r>
          </w:p>
        </w:tc>
        <w:tc>
          <w:tcPr>
            <w:tcW w:w="879" w:type="pct"/>
            <w:tcBorders>
              <w:top w:val="single" w:sz="4" w:space="0" w:color="auto"/>
              <w:left w:val="single" w:sz="4" w:space="0" w:color="auto"/>
              <w:bottom w:val="single" w:sz="4" w:space="0" w:color="auto"/>
              <w:right w:val="single" w:sz="4" w:space="0" w:color="auto"/>
            </w:tcBorders>
            <w:shd w:val="clear" w:color="auto" w:fill="29527F"/>
            <w:vAlign w:val="center"/>
          </w:tcPr>
          <w:p w14:paraId="7054AC2E" w14:textId="7BB3C3DB" w:rsidR="00CC6609" w:rsidRPr="00373DCC" w:rsidRDefault="00CC6609" w:rsidP="00CC6609">
            <w:pPr>
              <w:widowControl w:val="0"/>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918" w:type="pct"/>
            <w:tcBorders>
              <w:top w:val="single" w:sz="4" w:space="0" w:color="auto"/>
              <w:left w:val="single" w:sz="4" w:space="0" w:color="auto"/>
              <w:bottom w:val="single" w:sz="4" w:space="0" w:color="auto"/>
              <w:right w:val="single" w:sz="4" w:space="0" w:color="auto"/>
            </w:tcBorders>
            <w:shd w:val="clear" w:color="auto" w:fill="29527F"/>
            <w:vAlign w:val="center"/>
          </w:tcPr>
          <w:p w14:paraId="7B5E5C7D" w14:textId="1AF31DF8" w:rsidR="00CC6609" w:rsidRPr="00373DCC" w:rsidRDefault="00CC6609" w:rsidP="00CC6609">
            <w:pPr>
              <w:widowControl w:val="0"/>
              <w:spacing w:before="0" w:after="0" w:line="240" w:lineRule="atLeast"/>
              <w:jc w:val="center"/>
              <w:cnfStyle w:val="100000000000" w:firstRow="1" w:lastRow="0" w:firstColumn="0" w:lastColumn="0" w:oddVBand="0" w:evenVBand="0" w:oddHBand="0" w:evenHBand="0" w:firstRowFirstColumn="0" w:firstRowLastColumn="0" w:lastRowFirstColumn="0" w:lastRowLastColumn="0"/>
              <w:rPr>
                <w:rFonts w:cs="Arial"/>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37DE382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0A00966B" w14:textId="77777777" w:rsidR="00F2350B" w:rsidRPr="00373DCC" w:rsidRDefault="00F2350B" w:rsidP="00710B91">
            <w:pPr>
              <w:keepNext/>
              <w:spacing w:before="0" w:after="0" w:line="240" w:lineRule="atLeast"/>
              <w:rPr>
                <w:rFonts w:cs="Arial"/>
                <w:sz w:val="21"/>
              </w:rPr>
            </w:pPr>
            <w:r w:rsidRPr="00373DCC">
              <w:rPr>
                <w:rFonts w:cs="Arial"/>
                <w:sz w:val="21"/>
              </w:rPr>
              <w:t xml:space="preserve"> Assessed - no further action</w:t>
            </w:r>
            <w:r w:rsidRPr="00373DCC">
              <w:rPr>
                <w:rFonts w:cs="Arial"/>
                <w:sz w:val="21"/>
                <w:vertAlign w:val="superscript"/>
              </w:rPr>
              <w:t xml:space="preserve"> a</w:t>
            </w:r>
            <w:r w:rsidRPr="00373DCC">
              <w:rPr>
                <w:rFonts w:cs="Arial"/>
                <w:sz w:val="21"/>
              </w:rPr>
              <w:t xml:space="preserve"> </w:t>
            </w:r>
          </w:p>
        </w:tc>
        <w:tc>
          <w:tcPr>
            <w:tcW w:w="879" w:type="pct"/>
            <w:vAlign w:val="center"/>
          </w:tcPr>
          <w:p w14:paraId="53973494"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718</w:t>
            </w:r>
          </w:p>
        </w:tc>
        <w:tc>
          <w:tcPr>
            <w:tcW w:w="918" w:type="pct"/>
            <w:vAlign w:val="center"/>
          </w:tcPr>
          <w:p w14:paraId="6AC8E3F6"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1,589</w:t>
            </w:r>
          </w:p>
        </w:tc>
      </w:tr>
      <w:tr w:rsidR="00F2350B" w:rsidRPr="00373DCC" w14:paraId="6BFF3F0B"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631DC7B9" w14:textId="77777777" w:rsidR="00F2350B" w:rsidRPr="00373DCC" w:rsidRDefault="00F2350B" w:rsidP="00710B91">
            <w:pPr>
              <w:keepNext/>
              <w:spacing w:before="0" w:after="0" w:line="240" w:lineRule="atLeast"/>
              <w:rPr>
                <w:rFonts w:cs="Arial"/>
                <w:sz w:val="21"/>
              </w:rPr>
            </w:pPr>
            <w:r w:rsidRPr="00373DCC">
              <w:rPr>
                <w:rFonts w:cs="Arial"/>
                <w:sz w:val="21"/>
              </w:rPr>
              <w:t xml:space="preserve"> TGA requested removal of advertising</w:t>
            </w:r>
            <w:r w:rsidRPr="00373DCC">
              <w:rPr>
                <w:rFonts w:cs="Arial"/>
                <w:sz w:val="21"/>
                <w:vertAlign w:val="superscript"/>
              </w:rPr>
              <w:t xml:space="preserve"> b</w:t>
            </w:r>
            <w:r w:rsidRPr="00373DCC">
              <w:rPr>
                <w:rFonts w:cs="Arial"/>
                <w:sz w:val="21"/>
              </w:rPr>
              <w:t xml:space="preserve"> </w:t>
            </w:r>
          </w:p>
        </w:tc>
        <w:tc>
          <w:tcPr>
            <w:tcW w:w="879" w:type="pct"/>
            <w:vAlign w:val="center"/>
          </w:tcPr>
          <w:p w14:paraId="0883F8F3" w14:textId="77777777" w:rsidR="00F2350B" w:rsidRPr="00373DCC" w:rsidDel="0052511F"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0</w:t>
            </w:r>
          </w:p>
        </w:tc>
        <w:tc>
          <w:tcPr>
            <w:tcW w:w="918" w:type="pct"/>
            <w:vAlign w:val="center"/>
          </w:tcPr>
          <w:p w14:paraId="49F2359A"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16,328</w:t>
            </w:r>
          </w:p>
        </w:tc>
      </w:tr>
      <w:tr w:rsidR="00F2350B" w:rsidRPr="00373DCC" w14:paraId="19B958C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3A226AA1" w14:textId="77777777" w:rsidR="00F2350B" w:rsidRPr="00373DCC" w:rsidRDefault="00F2350B" w:rsidP="00710B91">
            <w:pPr>
              <w:keepNext/>
              <w:spacing w:before="0" w:after="0" w:line="240" w:lineRule="atLeast"/>
              <w:rPr>
                <w:rFonts w:cs="Arial"/>
                <w:sz w:val="21"/>
              </w:rPr>
            </w:pPr>
            <w:r w:rsidRPr="00373DCC">
              <w:rPr>
                <w:rFonts w:cs="Arial"/>
                <w:sz w:val="21"/>
              </w:rPr>
              <w:t xml:space="preserve"> Warning letter sent</w:t>
            </w:r>
            <w:r w:rsidRPr="00373DCC">
              <w:rPr>
                <w:rFonts w:cs="Arial"/>
                <w:sz w:val="21"/>
                <w:vertAlign w:val="superscript"/>
              </w:rPr>
              <w:t xml:space="preserve"> C </w:t>
            </w:r>
          </w:p>
        </w:tc>
        <w:tc>
          <w:tcPr>
            <w:tcW w:w="879" w:type="pct"/>
            <w:vAlign w:val="center"/>
          </w:tcPr>
          <w:p w14:paraId="5561700A" w14:textId="77777777" w:rsidR="00F2350B" w:rsidRPr="00373DCC" w:rsidDel="0052511F"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376</w:t>
            </w:r>
          </w:p>
        </w:tc>
        <w:tc>
          <w:tcPr>
            <w:tcW w:w="918" w:type="pct"/>
            <w:vAlign w:val="center"/>
          </w:tcPr>
          <w:p w14:paraId="16140966"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256</w:t>
            </w:r>
          </w:p>
        </w:tc>
      </w:tr>
      <w:tr w:rsidR="00F2350B" w:rsidRPr="00373DCC" w14:paraId="65B832F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768EE7FC" w14:textId="77777777" w:rsidR="00F2350B" w:rsidRPr="00373DCC" w:rsidRDefault="00F2350B" w:rsidP="00710B91">
            <w:pPr>
              <w:keepNext/>
              <w:spacing w:before="0" w:after="0" w:line="240" w:lineRule="atLeast"/>
              <w:rPr>
                <w:rFonts w:cs="Arial"/>
                <w:sz w:val="21"/>
              </w:rPr>
            </w:pPr>
            <w:r w:rsidRPr="00373DCC">
              <w:rPr>
                <w:rFonts w:cs="Arial"/>
                <w:sz w:val="21"/>
              </w:rPr>
              <w:t xml:space="preserve"> Infringement notice issued </w:t>
            </w:r>
          </w:p>
        </w:tc>
        <w:tc>
          <w:tcPr>
            <w:tcW w:w="879" w:type="pct"/>
            <w:vAlign w:val="center"/>
          </w:tcPr>
          <w:p w14:paraId="6366A2C2"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99</w:t>
            </w:r>
          </w:p>
        </w:tc>
        <w:tc>
          <w:tcPr>
            <w:tcW w:w="918" w:type="pct"/>
            <w:vAlign w:val="center"/>
          </w:tcPr>
          <w:p w14:paraId="737EE230"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228</w:t>
            </w:r>
          </w:p>
        </w:tc>
      </w:tr>
      <w:tr w:rsidR="00F2350B" w:rsidRPr="00373DCC" w14:paraId="7A9CE39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6688EEF2" w14:textId="77777777" w:rsidR="00F2350B" w:rsidRPr="00373DCC" w:rsidRDefault="00F2350B" w:rsidP="00710B91">
            <w:pPr>
              <w:keepNext/>
              <w:spacing w:before="0" w:after="0" w:line="240" w:lineRule="atLeast"/>
              <w:rPr>
                <w:rFonts w:cs="Arial"/>
                <w:sz w:val="21"/>
              </w:rPr>
            </w:pPr>
            <w:r w:rsidRPr="00373DCC">
              <w:rPr>
                <w:rFonts w:cs="Arial"/>
                <w:sz w:val="21"/>
              </w:rPr>
              <w:t xml:space="preserve"> Referred within or outside of the TGA </w:t>
            </w:r>
          </w:p>
        </w:tc>
        <w:tc>
          <w:tcPr>
            <w:tcW w:w="879" w:type="pct"/>
            <w:vAlign w:val="center"/>
          </w:tcPr>
          <w:p w14:paraId="2E43AE5B"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11</w:t>
            </w:r>
          </w:p>
        </w:tc>
        <w:tc>
          <w:tcPr>
            <w:tcW w:w="918" w:type="pct"/>
            <w:vAlign w:val="center"/>
          </w:tcPr>
          <w:p w14:paraId="758496DF"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78</w:t>
            </w:r>
          </w:p>
        </w:tc>
      </w:tr>
      <w:tr w:rsidR="00F2350B" w:rsidRPr="00373DCC" w14:paraId="43CE06B0"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6FD41E59" w14:textId="77777777" w:rsidR="00F2350B" w:rsidRPr="00373DCC" w:rsidRDefault="00F2350B" w:rsidP="00710B91">
            <w:pPr>
              <w:keepNext/>
              <w:spacing w:before="0" w:after="0" w:line="240" w:lineRule="atLeast"/>
              <w:rPr>
                <w:rFonts w:cs="Arial"/>
                <w:sz w:val="21"/>
              </w:rPr>
            </w:pPr>
            <w:r w:rsidRPr="00373DCC">
              <w:rPr>
                <w:rFonts w:cs="Arial"/>
                <w:sz w:val="21"/>
              </w:rPr>
              <w:t xml:space="preserve"> Direction notice issued </w:t>
            </w:r>
          </w:p>
        </w:tc>
        <w:tc>
          <w:tcPr>
            <w:tcW w:w="879" w:type="pct"/>
            <w:vAlign w:val="center"/>
          </w:tcPr>
          <w:p w14:paraId="379D3E55"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c>
          <w:tcPr>
            <w:tcW w:w="918" w:type="pct"/>
            <w:vAlign w:val="center"/>
          </w:tcPr>
          <w:p w14:paraId="266D226A"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4</w:t>
            </w:r>
          </w:p>
        </w:tc>
      </w:tr>
      <w:tr w:rsidR="00F2350B" w:rsidRPr="00373DCC" w14:paraId="4CE2883D"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203" w:type="pct"/>
            <w:vAlign w:val="center"/>
          </w:tcPr>
          <w:p w14:paraId="51E36108" w14:textId="77777777" w:rsidR="00F2350B" w:rsidRPr="00373DCC" w:rsidRDefault="00F2350B" w:rsidP="00710B91">
            <w:pPr>
              <w:keepNext/>
              <w:spacing w:before="0" w:after="0" w:line="240" w:lineRule="atLeast"/>
              <w:rPr>
                <w:rFonts w:cs="Arial"/>
                <w:sz w:val="21"/>
              </w:rPr>
            </w:pPr>
            <w:r w:rsidRPr="00373DCC">
              <w:rPr>
                <w:rFonts w:cs="Arial"/>
                <w:sz w:val="21"/>
              </w:rPr>
              <w:t xml:space="preserve"> Enforceable undertaking entered</w:t>
            </w:r>
          </w:p>
        </w:tc>
        <w:tc>
          <w:tcPr>
            <w:tcW w:w="879" w:type="pct"/>
            <w:vAlign w:val="center"/>
          </w:tcPr>
          <w:p w14:paraId="1B0E5A9B"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c>
          <w:tcPr>
            <w:tcW w:w="918" w:type="pct"/>
            <w:vAlign w:val="center"/>
          </w:tcPr>
          <w:p w14:paraId="10B6B8F7" w14:textId="77777777" w:rsidR="00F2350B" w:rsidRPr="00373DCC" w:rsidRDefault="00F2350B" w:rsidP="00710B91">
            <w:pPr>
              <w:widowControl w:val="0"/>
              <w:spacing w:before="0" w:after="0" w:line="240" w:lineRule="atLeast"/>
              <w:jc w:val="right"/>
              <w:cnfStyle w:val="000000000000" w:firstRow="0" w:lastRow="0" w:firstColumn="0" w:lastColumn="0" w:oddVBand="0" w:evenVBand="0" w:oddHBand="0" w:evenHBand="0" w:firstRowFirstColumn="0" w:firstRowLastColumn="0" w:lastRowFirstColumn="0" w:lastRowLastColumn="0"/>
              <w:rPr>
                <w:rFonts w:cs="Arial"/>
                <w:sz w:val="21"/>
              </w:rPr>
            </w:pPr>
            <w:r w:rsidRPr="00373DCC">
              <w:rPr>
                <w:rFonts w:cs="Arial"/>
                <w:sz w:val="21"/>
              </w:rPr>
              <w:t>1</w:t>
            </w:r>
          </w:p>
        </w:tc>
      </w:tr>
    </w:tbl>
    <w:p w14:paraId="299161F4" w14:textId="77777777" w:rsidR="00F2350B" w:rsidRPr="00373DCC" w:rsidRDefault="00F2350B" w:rsidP="00F2350B">
      <w:pPr>
        <w:spacing w:before="0" w:after="0" w:line="240" w:lineRule="auto"/>
        <w:rPr>
          <w:rFonts w:eastAsia="Cambria" w:cs="Arial"/>
          <w:sz w:val="16"/>
          <w:szCs w:val="16"/>
        </w:rPr>
      </w:pPr>
      <w:r w:rsidRPr="00373DCC">
        <w:rPr>
          <w:rFonts w:eastAsia="Cambria" w:cs="Arial"/>
          <w:sz w:val="16"/>
          <w:szCs w:val="16"/>
          <w:vertAlign w:val="superscript"/>
        </w:rPr>
        <w:t>a</w:t>
      </w:r>
      <w:r w:rsidRPr="00373DCC">
        <w:rPr>
          <w:rFonts w:eastAsia="Cambria" w:cs="Arial"/>
          <w:i/>
          <w:iCs/>
          <w:sz w:val="16"/>
          <w:szCs w:val="16"/>
        </w:rPr>
        <w:t xml:space="preserve"> </w:t>
      </w:r>
      <w:r w:rsidRPr="00373DCC">
        <w:rPr>
          <w:rFonts w:eastAsia="Cambria" w:cs="Arial"/>
          <w:sz w:val="16"/>
          <w:szCs w:val="16"/>
        </w:rPr>
        <w:t xml:space="preserve">The term “no further action” refers to instances where we identified no appropriate avenues of action to take (e.g. no breach identified). </w:t>
      </w:r>
    </w:p>
    <w:p w14:paraId="4967A6A8" w14:textId="77777777" w:rsidR="00F2350B" w:rsidRPr="00373DCC" w:rsidRDefault="00F2350B" w:rsidP="00F2350B">
      <w:pPr>
        <w:spacing w:before="0" w:after="0" w:line="240" w:lineRule="auto"/>
        <w:rPr>
          <w:rFonts w:eastAsia="Cambria" w:cs="Arial"/>
          <w:sz w:val="16"/>
          <w:szCs w:val="16"/>
          <w:vertAlign w:val="superscript"/>
        </w:rPr>
      </w:pPr>
      <w:r w:rsidRPr="00373DCC">
        <w:rPr>
          <w:rFonts w:eastAsia="Cambria" w:cs="Arial"/>
          <w:sz w:val="16"/>
          <w:szCs w:val="16"/>
          <w:vertAlign w:val="superscript"/>
        </w:rPr>
        <w:t xml:space="preserve">b </w:t>
      </w:r>
      <w:r w:rsidRPr="00373DCC">
        <w:rPr>
          <w:rFonts w:eastAsia="Cambria" w:cs="Arial"/>
          <w:sz w:val="16"/>
          <w:szCs w:val="16"/>
        </w:rPr>
        <w:t>The term “TGA requested removal of advertising” refers to the number of advertisements requested for removal from a digital platform. This new function was established in 2022-23 to monitor and take down unlawful advertising on digital platforms including from social media and marketplace platforms.</w:t>
      </w:r>
    </w:p>
    <w:p w14:paraId="28714CC8" w14:textId="77777777" w:rsidR="00F2350B" w:rsidRPr="00373DCC" w:rsidRDefault="00F2350B" w:rsidP="00F2350B">
      <w:pPr>
        <w:spacing w:before="0" w:after="0" w:line="240" w:lineRule="auto"/>
        <w:rPr>
          <w:rFonts w:eastAsia="Cambria" w:cs="Arial"/>
          <w:sz w:val="16"/>
          <w:szCs w:val="16"/>
        </w:rPr>
      </w:pPr>
      <w:r w:rsidRPr="00373DCC">
        <w:rPr>
          <w:rFonts w:eastAsia="Cambria" w:cs="Arial"/>
          <w:sz w:val="16"/>
          <w:szCs w:val="16"/>
          <w:vertAlign w:val="superscript"/>
        </w:rPr>
        <w:t xml:space="preserve">c </w:t>
      </w:r>
      <w:r w:rsidRPr="00373DCC">
        <w:rPr>
          <w:rFonts w:eastAsia="Cambria" w:cs="Arial"/>
          <w:sz w:val="16"/>
          <w:szCs w:val="16"/>
        </w:rPr>
        <w:t>The term “warning letter sent” relates to correspondence advising advertisers of an alleged breach of the legislation. Other engagements with advertisers occur in addition to formal warning letters</w:t>
      </w:r>
    </w:p>
    <w:p w14:paraId="1D9B4EA7" w14:textId="77777777" w:rsidR="00F2350B" w:rsidRPr="00373DCC" w:rsidRDefault="00F2350B" w:rsidP="00F2350B">
      <w:pPr>
        <w:spacing w:after="0" w:line="240" w:lineRule="auto"/>
        <w:rPr>
          <w:rFonts w:eastAsia="Cambria" w:cs="Arial"/>
          <w:color w:val="A6A6A6"/>
          <w:szCs w:val="22"/>
        </w:rPr>
      </w:pPr>
    </w:p>
    <w:p w14:paraId="6A2526C5" w14:textId="77777777" w:rsidR="00F2350B" w:rsidRPr="00373DCC" w:rsidRDefault="00F2350B" w:rsidP="00F2350B">
      <w:pPr>
        <w:rPr>
          <w:rFonts w:eastAsia="Malgun Gothic" w:cs="Arial"/>
          <w:b/>
          <w:color w:val="2F5496"/>
          <w:sz w:val="28"/>
          <w:szCs w:val="28"/>
          <w:lang w:eastAsia="en-AU"/>
        </w:rPr>
      </w:pPr>
      <w:r w:rsidRPr="00373DCC">
        <w:rPr>
          <w:rFonts w:eastAsia="Malgun Gothic" w:cs="Arial"/>
          <w:b/>
          <w:color w:val="2F5496"/>
          <w:sz w:val="28"/>
          <w:szCs w:val="28"/>
          <w:lang w:eastAsia="en-AU"/>
        </w:rPr>
        <w:br w:type="page"/>
      </w:r>
    </w:p>
    <w:p w14:paraId="2E4D460F"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68" w:name="_Toc153550502"/>
      <w:r w:rsidRPr="00373DCC">
        <w:rPr>
          <w:rFonts w:eastAsiaTheme="majorEastAsia" w:cs="Arial"/>
          <w:b/>
          <w:color w:val="00348C" w:themeColor="accent1" w:themeShade="BF"/>
          <w:sz w:val="28"/>
          <w:szCs w:val="28"/>
          <w:lang w:eastAsia="en-AU"/>
        </w:rPr>
        <w:lastRenderedPageBreak/>
        <w:t>15. Pharmacovigilance Inspection Program</w:t>
      </w:r>
      <w:bookmarkEnd w:id="268"/>
    </w:p>
    <w:p w14:paraId="658575E7" w14:textId="77777777" w:rsidR="00F2350B" w:rsidRPr="00373DCC" w:rsidRDefault="00F2350B" w:rsidP="00F2350B">
      <w:pPr>
        <w:keepNext/>
        <w:spacing w:before="240" w:after="120" w:line="240" w:lineRule="auto"/>
        <w:rPr>
          <w:rFonts w:eastAsia="Cambria" w:cs="Arial"/>
          <w:b/>
          <w:bCs/>
          <w:sz w:val="21"/>
          <w:szCs w:val="21"/>
        </w:rPr>
      </w:pPr>
      <w:bookmarkStart w:id="269" w:name="Table83"/>
      <w:r w:rsidRPr="00373DCC">
        <w:rPr>
          <w:rFonts w:eastAsia="Cambria" w:cs="Arial"/>
          <w:b/>
          <w:bCs/>
          <w:sz w:val="21"/>
          <w:szCs w:val="21"/>
        </w:rPr>
        <w:t>Table 83:</w:t>
      </w:r>
      <w:r>
        <w:rPr>
          <w:rFonts w:eastAsia="Cambria" w:cs="Arial"/>
          <w:b/>
          <w:bCs/>
          <w:sz w:val="21"/>
          <w:szCs w:val="21"/>
        </w:rPr>
        <w:t xml:space="preserve"> </w:t>
      </w:r>
      <w:r w:rsidRPr="00373DCC">
        <w:rPr>
          <w:rFonts w:eastAsia="Cambria" w:cs="Arial"/>
          <w:b/>
          <w:bCs/>
          <w:sz w:val="21"/>
          <w:szCs w:val="21"/>
        </w:rPr>
        <w:t>Pharmacovigilance Inspection Program inspections undertaken and deficiencies identified</w:t>
      </w:r>
    </w:p>
    <w:bookmarkEnd w:id="269"/>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532"/>
        <w:gridCol w:w="1930"/>
        <w:gridCol w:w="1559"/>
      </w:tblGrid>
      <w:tr w:rsidR="00CC6609" w:rsidRPr="00373DCC" w14:paraId="38435A81"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6" w:type="pct"/>
            <w:tcBorders>
              <w:top w:val="nil"/>
              <w:left w:val="nil"/>
              <w:bottom w:val="nil"/>
              <w:right w:val="single" w:sz="4" w:space="0" w:color="auto"/>
            </w:tcBorders>
            <w:shd w:val="clear" w:color="auto" w:fill="FFFFFF" w:themeFill="background1"/>
            <w:vAlign w:val="center"/>
          </w:tcPr>
          <w:p w14:paraId="4C09118F" w14:textId="77777777" w:rsidR="00CC6609" w:rsidRPr="00373DCC" w:rsidRDefault="00CC6609" w:rsidP="00CC6609">
            <w:pPr>
              <w:widowControl w:val="0"/>
              <w:spacing w:before="0" w:after="0" w:line="240" w:lineRule="atLeast"/>
              <w:contextualSpacing/>
              <w:outlineLvl w:val="4"/>
              <w:rPr>
                <w:rFonts w:eastAsiaTheme="minorHAnsi" w:cs="Arial"/>
                <w:color w:val="FFFFFF" w:themeColor="background1"/>
                <w:sz w:val="21"/>
              </w:rPr>
            </w:pPr>
          </w:p>
        </w:tc>
        <w:tc>
          <w:tcPr>
            <w:tcW w:w="1069" w:type="pct"/>
            <w:tcBorders>
              <w:top w:val="single" w:sz="4" w:space="0" w:color="auto"/>
              <w:left w:val="single" w:sz="4" w:space="0" w:color="auto"/>
              <w:bottom w:val="single" w:sz="4" w:space="0" w:color="auto"/>
              <w:right w:val="single" w:sz="4" w:space="0" w:color="auto"/>
            </w:tcBorders>
            <w:shd w:val="clear" w:color="auto" w:fill="29527F"/>
            <w:vAlign w:val="center"/>
          </w:tcPr>
          <w:p w14:paraId="12F37158" w14:textId="4980D187"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865" w:type="pct"/>
            <w:tcBorders>
              <w:top w:val="single" w:sz="4" w:space="0" w:color="auto"/>
              <w:left w:val="single" w:sz="4" w:space="0" w:color="auto"/>
              <w:bottom w:val="single" w:sz="4" w:space="0" w:color="auto"/>
              <w:right w:val="single" w:sz="4" w:space="0" w:color="auto"/>
            </w:tcBorders>
            <w:shd w:val="clear" w:color="auto" w:fill="29527F"/>
            <w:vAlign w:val="center"/>
          </w:tcPr>
          <w:p w14:paraId="20500102" w14:textId="1CB92281"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21058D71"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065" w:type="pct"/>
            <w:vAlign w:val="center"/>
          </w:tcPr>
          <w:p w14:paraId="5BB508DE"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Total inspections completed</w:t>
            </w:r>
          </w:p>
        </w:tc>
        <w:tc>
          <w:tcPr>
            <w:tcW w:w="1070" w:type="pct"/>
            <w:vAlign w:val="center"/>
          </w:tcPr>
          <w:p w14:paraId="4B220583"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w:t>
            </w:r>
          </w:p>
        </w:tc>
        <w:tc>
          <w:tcPr>
            <w:tcW w:w="865" w:type="pct"/>
            <w:vAlign w:val="center"/>
          </w:tcPr>
          <w:p w14:paraId="733A5CC3"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w:t>
            </w:r>
          </w:p>
        </w:tc>
      </w:tr>
      <w:tr w:rsidR="00F2350B" w:rsidRPr="00373DCC" w14:paraId="6254382F"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065" w:type="pct"/>
            <w:tcBorders>
              <w:top w:val="single" w:sz="4" w:space="0" w:color="auto"/>
            </w:tcBorders>
            <w:vAlign w:val="center"/>
          </w:tcPr>
          <w:p w14:paraId="6D0FF167"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Total inspections with deficiencies</w:t>
            </w:r>
          </w:p>
        </w:tc>
        <w:tc>
          <w:tcPr>
            <w:tcW w:w="1070" w:type="pct"/>
            <w:tcBorders>
              <w:top w:val="single" w:sz="4" w:space="0" w:color="auto"/>
            </w:tcBorders>
            <w:vAlign w:val="center"/>
          </w:tcPr>
          <w:p w14:paraId="17ACF5F4"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10</w:t>
            </w:r>
          </w:p>
        </w:tc>
        <w:tc>
          <w:tcPr>
            <w:tcW w:w="865" w:type="pct"/>
            <w:tcBorders>
              <w:top w:val="single" w:sz="4" w:space="0" w:color="auto"/>
            </w:tcBorders>
            <w:vAlign w:val="center"/>
          </w:tcPr>
          <w:p w14:paraId="61645D17"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9</w:t>
            </w:r>
          </w:p>
        </w:tc>
      </w:tr>
    </w:tbl>
    <w:p w14:paraId="53FC5471" w14:textId="77777777" w:rsidR="00F2350B" w:rsidRPr="00373DCC" w:rsidRDefault="00F2350B" w:rsidP="00F2350B">
      <w:pPr>
        <w:rPr>
          <w:rFonts w:cs="Arial"/>
          <w:sz w:val="21"/>
          <w:szCs w:val="21"/>
          <w:shd w:val="clear" w:color="auto" w:fill="FFFFFF"/>
        </w:rPr>
      </w:pPr>
      <w:r w:rsidRPr="00373DCC">
        <w:rPr>
          <w:rFonts w:cs="Arial"/>
          <w:sz w:val="21"/>
          <w:szCs w:val="21"/>
          <w:shd w:val="clear" w:color="auto" w:fill="FFFFFF"/>
        </w:rPr>
        <w:t xml:space="preserve">We publish annual </w:t>
      </w:r>
      <w:hyperlink r:id="rId49" w:anchor="reports" w:history="1">
        <w:r w:rsidRPr="00373DCC">
          <w:rPr>
            <w:rFonts w:cs="Arial"/>
            <w:color w:val="004672" w:themeColor="text2" w:themeTint="E6"/>
            <w:sz w:val="21"/>
            <w:szCs w:val="21"/>
            <w:u w:val="single"/>
            <w:shd w:val="clear" w:color="auto" w:fill="FFFFFF"/>
          </w:rPr>
          <w:t>pharmacovigilance inspection program metrics reports</w:t>
        </w:r>
      </w:hyperlink>
      <w:r w:rsidRPr="00373DCC">
        <w:rPr>
          <w:rFonts w:cs="Arial"/>
          <w:sz w:val="21"/>
          <w:szCs w:val="21"/>
          <w:shd w:val="clear" w:color="auto" w:fill="FFFFFF"/>
        </w:rPr>
        <w:t xml:space="preserve"> containing detailed de-identified information on the number of inspections held, the type of inspections, the type of findings and whether they have been resolved.</w:t>
      </w:r>
    </w:p>
    <w:p w14:paraId="12404613" w14:textId="77777777" w:rsidR="00F2350B" w:rsidRPr="00373DCC" w:rsidRDefault="00F2350B" w:rsidP="00F2350B">
      <w:pPr>
        <w:rPr>
          <w:rFonts w:eastAsia="Malgun Gothic" w:cs="Arial"/>
          <w:b/>
          <w:color w:val="2F5496"/>
          <w:sz w:val="28"/>
          <w:szCs w:val="28"/>
          <w:lang w:eastAsia="en-AU"/>
        </w:rPr>
      </w:pPr>
      <w:r w:rsidRPr="00373DCC">
        <w:rPr>
          <w:rFonts w:eastAsia="Malgun Gothic" w:cs="Arial"/>
          <w:b/>
          <w:color w:val="2F5496"/>
          <w:sz w:val="28"/>
          <w:szCs w:val="28"/>
          <w:lang w:eastAsia="en-AU"/>
        </w:rPr>
        <w:br w:type="page"/>
      </w:r>
    </w:p>
    <w:p w14:paraId="46CD0445"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70" w:name="_Toc153550503"/>
      <w:r w:rsidRPr="00373DCC">
        <w:rPr>
          <w:rFonts w:eastAsiaTheme="majorEastAsia" w:cs="Arial"/>
          <w:b/>
          <w:color w:val="00348C" w:themeColor="accent1" w:themeShade="BF"/>
          <w:sz w:val="28"/>
          <w:szCs w:val="28"/>
          <w:lang w:eastAsia="en-AU"/>
        </w:rPr>
        <w:lastRenderedPageBreak/>
        <w:t>16. Good Clinical Practice (GCP) Inspection Program</w:t>
      </w:r>
      <w:bookmarkEnd w:id="270"/>
    </w:p>
    <w:p w14:paraId="42299BD7" w14:textId="77777777" w:rsidR="00F2350B" w:rsidRPr="00373DCC" w:rsidRDefault="00F2350B" w:rsidP="00F2350B">
      <w:pPr>
        <w:keepNext/>
        <w:spacing w:before="240" w:after="120" w:line="240" w:lineRule="auto"/>
        <w:rPr>
          <w:rFonts w:eastAsia="Cambria" w:cs="Arial"/>
          <w:b/>
          <w:bCs/>
          <w:sz w:val="21"/>
          <w:szCs w:val="21"/>
        </w:rPr>
      </w:pPr>
      <w:bookmarkStart w:id="271" w:name="Table84"/>
      <w:r w:rsidRPr="48ECC65F">
        <w:rPr>
          <w:rFonts w:eastAsia="Cambria" w:cs="Arial"/>
          <w:b/>
          <w:bCs/>
          <w:sz w:val="21"/>
          <w:szCs w:val="21"/>
        </w:rPr>
        <w:t>Table 84: GCP Inspection Program inspections undertaken and deficiencies identified</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71"/>
        <w:gridCol w:w="1786"/>
        <w:gridCol w:w="1564"/>
      </w:tblGrid>
      <w:tr w:rsidR="00CC6609" w:rsidRPr="00373DCC" w14:paraId="14A77C89"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3" w:type="pct"/>
            <w:tcBorders>
              <w:top w:val="nil"/>
              <w:left w:val="nil"/>
              <w:bottom w:val="nil"/>
              <w:right w:val="single" w:sz="4" w:space="0" w:color="auto"/>
            </w:tcBorders>
            <w:shd w:val="clear" w:color="auto" w:fill="FFFFFF" w:themeFill="background1"/>
            <w:vAlign w:val="center"/>
          </w:tcPr>
          <w:p w14:paraId="514C599A" w14:textId="77777777" w:rsidR="00CC6609" w:rsidRPr="00373DCC" w:rsidRDefault="00CC6609" w:rsidP="00CC6609">
            <w:pPr>
              <w:widowControl w:val="0"/>
              <w:spacing w:before="0" w:after="0" w:line="240" w:lineRule="atLeast"/>
              <w:contextualSpacing/>
              <w:outlineLvl w:val="4"/>
              <w:rPr>
                <w:rFonts w:eastAsiaTheme="minorHAnsi" w:cs="Arial"/>
                <w:color w:val="FFFFFF" w:themeColor="background1"/>
                <w:sz w:val="21"/>
              </w:rPr>
            </w:pPr>
          </w:p>
        </w:tc>
        <w:tc>
          <w:tcPr>
            <w:tcW w:w="990" w:type="pct"/>
            <w:tcBorders>
              <w:top w:val="single" w:sz="4" w:space="0" w:color="auto"/>
              <w:left w:val="single" w:sz="4" w:space="0" w:color="auto"/>
              <w:bottom w:val="single" w:sz="4" w:space="0" w:color="auto"/>
              <w:right w:val="single" w:sz="4" w:space="0" w:color="auto"/>
            </w:tcBorders>
            <w:shd w:val="clear" w:color="auto" w:fill="29527F"/>
            <w:vAlign w:val="center"/>
          </w:tcPr>
          <w:p w14:paraId="79164242" w14:textId="42048FDA"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867" w:type="pct"/>
            <w:tcBorders>
              <w:top w:val="single" w:sz="4" w:space="0" w:color="auto"/>
              <w:left w:val="single" w:sz="4" w:space="0" w:color="auto"/>
              <w:bottom w:val="single" w:sz="4" w:space="0" w:color="auto"/>
              <w:right w:val="single" w:sz="4" w:space="0" w:color="auto"/>
            </w:tcBorders>
            <w:shd w:val="clear" w:color="auto" w:fill="29527F"/>
            <w:vAlign w:val="center"/>
          </w:tcPr>
          <w:p w14:paraId="65F8CB98" w14:textId="22570D9B"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12B535CA"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43" w:type="pct"/>
            <w:vAlign w:val="center"/>
          </w:tcPr>
          <w:p w14:paraId="1CC25409"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HAnsi" w:cs="Arial"/>
                <w:sz w:val="21"/>
              </w:rPr>
              <w:t>Total inspections completed</w:t>
            </w:r>
          </w:p>
        </w:tc>
        <w:tc>
          <w:tcPr>
            <w:tcW w:w="990" w:type="pct"/>
            <w:vAlign w:val="center"/>
          </w:tcPr>
          <w:p w14:paraId="661EA13A"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c>
          <w:tcPr>
            <w:tcW w:w="867" w:type="pct"/>
            <w:vAlign w:val="center"/>
          </w:tcPr>
          <w:p w14:paraId="401C249B" w14:textId="77777777" w:rsidR="00F2350B" w:rsidRPr="00365547"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65547">
              <w:rPr>
                <w:rFonts w:eastAsiaTheme="minorHAnsi" w:cs="Arial"/>
                <w:sz w:val="21"/>
              </w:rPr>
              <w:t>7</w:t>
            </w:r>
          </w:p>
        </w:tc>
      </w:tr>
      <w:tr w:rsidR="00F2350B" w:rsidRPr="00373DCC" w14:paraId="277A7CE1"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43" w:type="pct"/>
            <w:tcBorders>
              <w:top w:val="single" w:sz="4" w:space="0" w:color="auto"/>
            </w:tcBorders>
            <w:vAlign w:val="center"/>
          </w:tcPr>
          <w:p w14:paraId="4CDD33F0" w14:textId="77777777" w:rsidR="00F2350B" w:rsidRPr="00373DCC" w:rsidRDefault="00F2350B" w:rsidP="00710B91">
            <w:pPr>
              <w:spacing w:before="0" w:after="0" w:line="240" w:lineRule="atLeast"/>
              <w:contextualSpacing/>
              <w:outlineLvl w:val="4"/>
              <w:rPr>
                <w:rFonts w:eastAsiaTheme="minorEastAsia" w:cs="Arial"/>
                <w:sz w:val="21"/>
              </w:rPr>
            </w:pPr>
            <w:r w:rsidRPr="48ECC65F">
              <w:rPr>
                <w:rFonts w:eastAsiaTheme="minorEastAsia" w:cs="Arial"/>
                <w:sz w:val="21"/>
              </w:rPr>
              <w:t>Total inspections with deficiencies</w:t>
            </w:r>
          </w:p>
        </w:tc>
        <w:tc>
          <w:tcPr>
            <w:tcW w:w="990" w:type="pct"/>
            <w:tcBorders>
              <w:top w:val="single" w:sz="4" w:space="0" w:color="auto"/>
            </w:tcBorders>
            <w:vAlign w:val="center"/>
          </w:tcPr>
          <w:p w14:paraId="5D1E68CF"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p>
        </w:tc>
        <w:tc>
          <w:tcPr>
            <w:tcW w:w="867" w:type="pct"/>
            <w:tcBorders>
              <w:top w:val="single" w:sz="4" w:space="0" w:color="auto"/>
            </w:tcBorders>
            <w:vAlign w:val="center"/>
          </w:tcPr>
          <w:p w14:paraId="72A7B93E" w14:textId="77777777" w:rsidR="00F2350B" w:rsidRPr="00365547"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65547">
              <w:rPr>
                <w:rFonts w:eastAsiaTheme="minorHAnsi" w:cs="Arial"/>
                <w:sz w:val="21"/>
              </w:rPr>
              <w:t>7</w:t>
            </w:r>
          </w:p>
        </w:tc>
      </w:tr>
      <w:bookmarkEnd w:id="271"/>
    </w:tbl>
    <w:p w14:paraId="2115993C" w14:textId="77777777" w:rsidR="00F2350B" w:rsidRPr="00373DCC" w:rsidRDefault="00F2350B" w:rsidP="00F2350B">
      <w:pPr>
        <w:widowControl w:val="0"/>
        <w:spacing w:after="0" w:line="240" w:lineRule="auto"/>
        <w:rPr>
          <w:rFonts w:eastAsia="Cambria" w:cs="Arial"/>
          <w:sz w:val="21"/>
          <w:szCs w:val="21"/>
          <w:vertAlign w:val="superscript"/>
        </w:rPr>
      </w:pPr>
    </w:p>
    <w:p w14:paraId="54A44FF0" w14:textId="77777777" w:rsidR="00F2350B" w:rsidRPr="00373DCC" w:rsidRDefault="00F2350B" w:rsidP="00F2350B">
      <w:pPr>
        <w:rPr>
          <w:rFonts w:eastAsia="Times New Roman" w:cs="Arial"/>
          <w:color w:val="004672" w:themeColor="text2" w:themeTint="E6"/>
          <w:sz w:val="21"/>
          <w:szCs w:val="21"/>
          <w:lang w:eastAsia="en-AU"/>
        </w:rPr>
      </w:pPr>
      <w:r w:rsidRPr="00373DCC">
        <w:rPr>
          <w:rFonts w:cs="Arial"/>
          <w:color w:val="313131"/>
          <w:sz w:val="21"/>
          <w:szCs w:val="21"/>
          <w:shd w:val="clear" w:color="auto" w:fill="FFFFFF"/>
        </w:rPr>
        <w:t xml:space="preserve">We publish annual </w:t>
      </w:r>
      <w:hyperlink r:id="rId50" w:history="1">
        <w:r w:rsidRPr="00373DCC">
          <w:rPr>
            <w:rFonts w:cs="Arial"/>
            <w:color w:val="004672" w:themeColor="text2" w:themeTint="E6"/>
            <w:sz w:val="21"/>
            <w:szCs w:val="21"/>
            <w:u w:val="single"/>
            <w:shd w:val="clear" w:color="auto" w:fill="FFFFFF"/>
          </w:rPr>
          <w:t>GCP inspection program metrics reports</w:t>
        </w:r>
      </w:hyperlink>
      <w:r w:rsidRPr="00373DCC">
        <w:rPr>
          <w:rFonts w:cs="Arial"/>
          <w:color w:val="313131"/>
          <w:sz w:val="21"/>
          <w:szCs w:val="21"/>
          <w:shd w:val="clear" w:color="auto" w:fill="FFFFFF"/>
        </w:rPr>
        <w:t xml:space="preserve"> containing detailed de-identified information on the number of inspections held, the type of inspections, the type of findings and whether they have been resolved.</w:t>
      </w:r>
    </w:p>
    <w:p w14:paraId="3E9B8C6B" w14:textId="77777777" w:rsidR="00F2350B" w:rsidRPr="00373DCC" w:rsidRDefault="00F2350B" w:rsidP="00F2350B">
      <w:pPr>
        <w:rPr>
          <w:rFonts w:eastAsiaTheme="majorEastAsia" w:cs="Arial"/>
          <w:b/>
          <w:color w:val="00348C" w:themeColor="accent1" w:themeShade="BF"/>
          <w:sz w:val="28"/>
          <w:szCs w:val="28"/>
          <w:lang w:eastAsia="en-AU"/>
        </w:rPr>
      </w:pPr>
      <w:r w:rsidRPr="00373DCC">
        <w:rPr>
          <w:rFonts w:eastAsiaTheme="majorEastAsia" w:cs="Arial"/>
          <w:b/>
          <w:color w:val="00348C" w:themeColor="accent1" w:themeShade="BF"/>
          <w:sz w:val="28"/>
          <w:szCs w:val="28"/>
          <w:lang w:eastAsia="en-AU"/>
        </w:rPr>
        <w:br w:type="page"/>
      </w:r>
    </w:p>
    <w:p w14:paraId="7066C3BA" w14:textId="77777777" w:rsidR="00F2350B" w:rsidRPr="00373DCC" w:rsidRDefault="00F2350B" w:rsidP="00F2350B">
      <w:pPr>
        <w:keepNext/>
        <w:keepLines/>
        <w:spacing w:after="0" w:line="240" w:lineRule="auto"/>
        <w:outlineLvl w:val="0"/>
        <w:rPr>
          <w:rFonts w:eastAsiaTheme="majorEastAsia" w:cs="Arial"/>
          <w:b/>
          <w:bCs/>
          <w:color w:val="00348C" w:themeColor="accent1" w:themeShade="BF"/>
          <w:sz w:val="28"/>
          <w:szCs w:val="28"/>
          <w:lang w:eastAsia="en-AU"/>
        </w:rPr>
      </w:pPr>
      <w:bookmarkStart w:id="272" w:name="_Toc153550504"/>
      <w:r w:rsidRPr="5010FC51">
        <w:rPr>
          <w:rFonts w:eastAsiaTheme="majorEastAsia" w:cs="Arial"/>
          <w:b/>
          <w:bCs/>
          <w:color w:val="00348C" w:themeColor="accent1" w:themeShade="BF"/>
          <w:sz w:val="28"/>
          <w:szCs w:val="28"/>
          <w:lang w:eastAsia="en-AU"/>
        </w:rPr>
        <w:lastRenderedPageBreak/>
        <w:t>17. Reporting of Medicine Shortages</w:t>
      </w:r>
      <w:bookmarkEnd w:id="272"/>
    </w:p>
    <w:p w14:paraId="316FB520" w14:textId="77777777" w:rsidR="00F2350B" w:rsidRPr="00373DCC" w:rsidRDefault="00F2350B" w:rsidP="00F2350B">
      <w:pPr>
        <w:keepNext/>
        <w:spacing w:before="240" w:after="120" w:line="240" w:lineRule="auto"/>
        <w:rPr>
          <w:rFonts w:eastAsia="Cambria" w:cs="Arial"/>
          <w:b/>
          <w:bCs/>
          <w:sz w:val="21"/>
          <w:szCs w:val="21"/>
        </w:rPr>
      </w:pPr>
      <w:bookmarkStart w:id="273" w:name="Table85"/>
      <w:r w:rsidRPr="00373DCC">
        <w:rPr>
          <w:rFonts w:eastAsia="Cambria" w:cs="Arial"/>
          <w:b/>
          <w:bCs/>
          <w:sz w:val="21"/>
          <w:szCs w:val="21"/>
        </w:rPr>
        <w:t>Table 85: Number of medicine shortage reports</w:t>
      </w:r>
      <w:r w:rsidRPr="00373DCC">
        <w:rPr>
          <w:rFonts w:eastAsia="Cambria" w:cs="Arial"/>
          <w:b/>
          <w:bCs/>
          <w:sz w:val="21"/>
          <w:szCs w:val="21"/>
          <w:vertAlign w:val="superscript"/>
        </w:rPr>
        <w:t xml:space="preserve"> a</w:t>
      </w:r>
      <w:r w:rsidRPr="00373DCC">
        <w:rPr>
          <w:rFonts w:eastAsia="Cambria" w:cs="Arial"/>
          <w:b/>
          <w:bCs/>
          <w:sz w:val="21"/>
          <w:szCs w:val="21"/>
        </w:rPr>
        <w:t xml:space="preserve"> by shortage reason</w:t>
      </w:r>
    </w:p>
    <w:bookmarkEnd w:id="273"/>
    <w:tbl>
      <w:tblPr>
        <w:tblStyle w:val="TableTGAblue"/>
        <w:tblW w:w="5015" w:type="pct"/>
        <w:tblLook w:val="04A0" w:firstRow="1" w:lastRow="0" w:firstColumn="1" w:lastColumn="0" w:noHBand="0" w:noVBand="1"/>
      </w:tblPr>
      <w:tblGrid>
        <w:gridCol w:w="6096"/>
        <w:gridCol w:w="1522"/>
        <w:gridCol w:w="1430"/>
      </w:tblGrid>
      <w:tr w:rsidR="00CC6609" w:rsidRPr="00373DCC" w14:paraId="2C4BFE6F"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nil"/>
              <w:left w:val="nil"/>
              <w:bottom w:val="nil"/>
              <w:right w:val="single" w:sz="4" w:space="0" w:color="002C47"/>
            </w:tcBorders>
            <w:shd w:val="clear" w:color="auto" w:fill="FFFFFF" w:themeFill="background1"/>
            <w:vAlign w:val="center"/>
          </w:tcPr>
          <w:p w14:paraId="25845E86" w14:textId="77777777" w:rsidR="00CC6609" w:rsidRPr="00373DCC" w:rsidRDefault="00CC6609" w:rsidP="00CC6609">
            <w:pPr>
              <w:keepLines/>
              <w:spacing w:before="0" w:after="0" w:line="240" w:lineRule="atLeast"/>
              <w:contextualSpacing/>
              <w:outlineLvl w:val="4"/>
              <w:rPr>
                <w:rFonts w:eastAsiaTheme="minorHAnsi" w:cs="Arial"/>
                <w:sz w:val="21"/>
              </w:rPr>
            </w:pPr>
          </w:p>
        </w:tc>
        <w:tc>
          <w:tcPr>
            <w:tcW w:w="841"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622B029C" w14:textId="767DB61F" w:rsidR="00CC6609" w:rsidRPr="00373DCC" w:rsidRDefault="00CC6609" w:rsidP="00CC6609">
            <w:pPr>
              <w:keepLines/>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90"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271002E6" w14:textId="2D23AB80" w:rsidR="00CC6609" w:rsidRPr="00373DCC" w:rsidRDefault="00CC6609" w:rsidP="00CC6609">
            <w:pPr>
              <w:keepLines/>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02F5716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nil"/>
              <w:left w:val="nil"/>
              <w:bottom w:val="single" w:sz="4" w:space="0" w:color="000000"/>
              <w:right w:val="single" w:sz="4" w:space="0" w:color="002C47"/>
            </w:tcBorders>
            <w:vAlign w:val="center"/>
          </w:tcPr>
          <w:p w14:paraId="7F6DB451" w14:textId="77777777" w:rsidR="00F2350B" w:rsidRPr="00373DCC" w:rsidRDefault="00F2350B" w:rsidP="00710B91">
            <w:pPr>
              <w:keepLines/>
              <w:spacing w:before="0" w:after="0" w:line="240" w:lineRule="atLeast"/>
              <w:contextualSpacing/>
              <w:outlineLvl w:val="4"/>
              <w:rPr>
                <w:rFonts w:eastAsiaTheme="minorHAnsi" w:cs="Arial"/>
                <w:b/>
                <w:sz w:val="21"/>
              </w:rPr>
            </w:pPr>
          </w:p>
        </w:tc>
        <w:tc>
          <w:tcPr>
            <w:tcW w:w="1631" w:type="pct"/>
            <w:gridSpan w:val="2"/>
            <w:tcBorders>
              <w:top w:val="single" w:sz="4" w:space="0" w:color="002C47"/>
              <w:left w:val="single" w:sz="4" w:space="0" w:color="002C47"/>
              <w:bottom w:val="single" w:sz="4" w:space="0" w:color="000000"/>
              <w:right w:val="single" w:sz="4" w:space="0" w:color="002C47"/>
            </w:tcBorders>
            <w:shd w:val="clear" w:color="auto" w:fill="C6D4E9"/>
            <w:vAlign w:val="center"/>
          </w:tcPr>
          <w:p w14:paraId="2EAB76B3" w14:textId="77777777" w:rsidR="00F2350B" w:rsidRPr="00CC6609" w:rsidRDefault="00F2350B" w:rsidP="00710B91">
            <w:pPr>
              <w:keepLines/>
              <w:spacing w:before="0" w:after="0" w:line="240" w:lineRule="atLeast"/>
              <w:contextualSpacing/>
              <w:jc w:val="center"/>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CC6609">
              <w:rPr>
                <w:rFonts w:eastAsiaTheme="minorHAnsi" w:cs="Arial"/>
                <w:sz w:val="21"/>
              </w:rPr>
              <w:t>Number (% of Total)</w:t>
            </w:r>
          </w:p>
        </w:tc>
      </w:tr>
      <w:tr w:rsidR="00F2350B" w:rsidRPr="00373DCC" w14:paraId="6C41D85A" w14:textId="77777777" w:rsidTr="00710B91">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left w:val="single" w:sz="4" w:space="0" w:color="000000"/>
              <w:bottom w:val="single" w:sz="4" w:space="0" w:color="000000"/>
              <w:right w:val="single" w:sz="4" w:space="0" w:color="000000"/>
            </w:tcBorders>
            <w:shd w:val="clear" w:color="auto" w:fill="8CADD3"/>
            <w:vAlign w:val="center"/>
          </w:tcPr>
          <w:p w14:paraId="1D0BE44B" w14:textId="77777777" w:rsidR="00F2350B" w:rsidRPr="00373DCC" w:rsidRDefault="00F2350B" w:rsidP="00710B91">
            <w:pPr>
              <w:keepNext/>
              <w:keepLines/>
              <w:tabs>
                <w:tab w:val="left" w:pos="907"/>
                <w:tab w:val="left" w:pos="1134"/>
              </w:tabs>
              <w:spacing w:before="0" w:after="0" w:line="240" w:lineRule="atLeast"/>
              <w:outlineLvl w:val="4"/>
              <w:rPr>
                <w:rFonts w:cs="Arial"/>
                <w:sz w:val="21"/>
              </w:rPr>
            </w:pPr>
            <w:r w:rsidRPr="00373DCC">
              <w:rPr>
                <w:rFonts w:cs="Arial"/>
                <w:sz w:val="21"/>
              </w:rPr>
              <w:t>Shortages Reported</w:t>
            </w:r>
          </w:p>
        </w:tc>
      </w:tr>
      <w:tr w:rsidR="00F2350B" w:rsidRPr="00373DCC" w14:paraId="6F335B8C"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3515F400"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Commercial changes</w:t>
            </w:r>
          </w:p>
        </w:tc>
        <w:tc>
          <w:tcPr>
            <w:tcW w:w="841" w:type="pct"/>
            <w:tcBorders>
              <w:top w:val="single" w:sz="4" w:space="0" w:color="000000"/>
              <w:left w:val="single" w:sz="4" w:space="0" w:color="000000"/>
              <w:bottom w:val="single" w:sz="4" w:space="0" w:color="000000"/>
              <w:right w:val="single" w:sz="4" w:space="0" w:color="000000"/>
            </w:tcBorders>
            <w:vAlign w:val="center"/>
          </w:tcPr>
          <w:p w14:paraId="263E6EDB"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37 (3%)</w:t>
            </w:r>
          </w:p>
        </w:tc>
        <w:tc>
          <w:tcPr>
            <w:tcW w:w="790" w:type="pct"/>
            <w:tcBorders>
              <w:top w:val="single" w:sz="4" w:space="0" w:color="000000"/>
              <w:left w:val="single" w:sz="4" w:space="0" w:color="000000"/>
              <w:bottom w:val="single" w:sz="4" w:space="0" w:color="000000"/>
              <w:right w:val="single" w:sz="4" w:space="0" w:color="000000"/>
            </w:tcBorders>
            <w:vAlign w:val="center"/>
          </w:tcPr>
          <w:p w14:paraId="442F8CA4"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46 (3%)</w:t>
            </w:r>
          </w:p>
        </w:tc>
      </w:tr>
      <w:tr w:rsidR="00F2350B" w:rsidRPr="00373DCC" w14:paraId="3AA8E35A"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204C0040"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Discontinuation</w:t>
            </w:r>
          </w:p>
        </w:tc>
        <w:tc>
          <w:tcPr>
            <w:tcW w:w="841" w:type="pct"/>
            <w:tcBorders>
              <w:top w:val="single" w:sz="4" w:space="0" w:color="000000"/>
              <w:left w:val="single" w:sz="4" w:space="0" w:color="000000"/>
              <w:bottom w:val="single" w:sz="4" w:space="0" w:color="000000"/>
              <w:right w:val="single" w:sz="4" w:space="0" w:color="000000"/>
            </w:tcBorders>
            <w:vAlign w:val="center"/>
          </w:tcPr>
          <w:p w14:paraId="1EB24A6E"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177 (15%)</w:t>
            </w:r>
          </w:p>
        </w:tc>
        <w:tc>
          <w:tcPr>
            <w:tcW w:w="790" w:type="pct"/>
            <w:tcBorders>
              <w:top w:val="single" w:sz="4" w:space="0" w:color="000000"/>
              <w:left w:val="single" w:sz="4" w:space="0" w:color="000000"/>
              <w:bottom w:val="single" w:sz="4" w:space="0" w:color="000000"/>
              <w:right w:val="single" w:sz="4" w:space="0" w:color="000000"/>
            </w:tcBorders>
            <w:vAlign w:val="center"/>
          </w:tcPr>
          <w:p w14:paraId="38DE13C3"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168 (12%)</w:t>
            </w:r>
          </w:p>
        </w:tc>
      </w:tr>
      <w:tr w:rsidR="00F2350B" w:rsidRPr="00373DCC" w14:paraId="264553BD"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7C26C06B"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Manufacturing related</w:t>
            </w:r>
          </w:p>
        </w:tc>
        <w:tc>
          <w:tcPr>
            <w:tcW w:w="841" w:type="pct"/>
            <w:tcBorders>
              <w:top w:val="single" w:sz="4" w:space="0" w:color="000000"/>
              <w:left w:val="single" w:sz="4" w:space="0" w:color="000000"/>
              <w:bottom w:val="single" w:sz="4" w:space="0" w:color="000000"/>
              <w:right w:val="single" w:sz="4" w:space="0" w:color="000000"/>
            </w:tcBorders>
            <w:vAlign w:val="center"/>
          </w:tcPr>
          <w:p w14:paraId="75B0C912"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666 (56%)</w:t>
            </w:r>
          </w:p>
        </w:tc>
        <w:tc>
          <w:tcPr>
            <w:tcW w:w="790" w:type="pct"/>
            <w:tcBorders>
              <w:top w:val="single" w:sz="4" w:space="0" w:color="000000"/>
              <w:left w:val="single" w:sz="4" w:space="0" w:color="000000"/>
              <w:bottom w:val="single" w:sz="4" w:space="0" w:color="000000"/>
              <w:right w:val="single" w:sz="4" w:space="0" w:color="000000"/>
            </w:tcBorders>
            <w:vAlign w:val="center"/>
          </w:tcPr>
          <w:p w14:paraId="1A1EAFA7"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827 (59%)</w:t>
            </w:r>
          </w:p>
        </w:tc>
      </w:tr>
      <w:tr w:rsidR="00F2350B" w:rsidRPr="00373DCC" w14:paraId="375C3561"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4CAA4ABB"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Product recall</w:t>
            </w:r>
          </w:p>
        </w:tc>
        <w:tc>
          <w:tcPr>
            <w:tcW w:w="841" w:type="pct"/>
            <w:tcBorders>
              <w:top w:val="single" w:sz="4" w:space="0" w:color="000000"/>
              <w:left w:val="single" w:sz="4" w:space="0" w:color="000000"/>
              <w:bottom w:val="single" w:sz="4" w:space="0" w:color="000000"/>
              <w:right w:val="single" w:sz="4" w:space="0" w:color="000000"/>
            </w:tcBorders>
            <w:vAlign w:val="center"/>
          </w:tcPr>
          <w:p w14:paraId="3C01D64E"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 (&lt;1%)</w:t>
            </w:r>
          </w:p>
        </w:tc>
        <w:tc>
          <w:tcPr>
            <w:tcW w:w="790" w:type="pct"/>
            <w:tcBorders>
              <w:top w:val="single" w:sz="4" w:space="0" w:color="000000"/>
              <w:left w:val="single" w:sz="4" w:space="0" w:color="000000"/>
              <w:bottom w:val="single" w:sz="4" w:space="0" w:color="000000"/>
              <w:right w:val="single" w:sz="4" w:space="0" w:color="000000"/>
            </w:tcBorders>
            <w:vAlign w:val="center"/>
          </w:tcPr>
          <w:p w14:paraId="2D87372B"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6 (&lt;1%)</w:t>
            </w:r>
          </w:p>
        </w:tc>
      </w:tr>
      <w:tr w:rsidR="00F2350B" w:rsidRPr="00373DCC" w14:paraId="25837EE8"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67788C06"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Unexpected increase in demand</w:t>
            </w:r>
          </w:p>
        </w:tc>
        <w:tc>
          <w:tcPr>
            <w:tcW w:w="841" w:type="pct"/>
            <w:tcBorders>
              <w:top w:val="single" w:sz="4" w:space="0" w:color="000000"/>
              <w:left w:val="single" w:sz="4" w:space="0" w:color="000000"/>
              <w:bottom w:val="single" w:sz="4" w:space="0" w:color="000000"/>
              <w:right w:val="single" w:sz="4" w:space="0" w:color="000000"/>
            </w:tcBorders>
            <w:vAlign w:val="center"/>
          </w:tcPr>
          <w:p w14:paraId="16A0AE74"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135 (11%)</w:t>
            </w:r>
          </w:p>
        </w:tc>
        <w:tc>
          <w:tcPr>
            <w:tcW w:w="790" w:type="pct"/>
            <w:tcBorders>
              <w:top w:val="single" w:sz="4" w:space="0" w:color="000000"/>
              <w:left w:val="single" w:sz="4" w:space="0" w:color="000000"/>
              <w:bottom w:val="single" w:sz="4" w:space="0" w:color="000000"/>
              <w:right w:val="single" w:sz="4" w:space="0" w:color="000000"/>
            </w:tcBorders>
            <w:vAlign w:val="center"/>
          </w:tcPr>
          <w:p w14:paraId="2D515DAD"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180 (13%)</w:t>
            </w:r>
          </w:p>
        </w:tc>
      </w:tr>
      <w:tr w:rsidR="00F2350B" w:rsidRPr="00373DCC" w14:paraId="30CFFABB"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40A84194"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Unexpected increase in demand due to other sponsors unable to supply</w:t>
            </w:r>
            <w:r w:rsidRPr="00373DCC">
              <w:rPr>
                <w:rFonts w:eastAsiaTheme="minorHAnsi" w:cs="Arial"/>
                <w:sz w:val="21"/>
                <w:vertAlign w:val="superscript"/>
              </w:rPr>
              <w:t xml:space="preserve"> </w:t>
            </w:r>
          </w:p>
        </w:tc>
        <w:tc>
          <w:tcPr>
            <w:tcW w:w="841" w:type="pct"/>
            <w:tcBorders>
              <w:top w:val="single" w:sz="4" w:space="0" w:color="000000"/>
              <w:left w:val="single" w:sz="4" w:space="0" w:color="000000"/>
              <w:bottom w:val="single" w:sz="4" w:space="0" w:color="000000"/>
              <w:right w:val="single" w:sz="4" w:space="0" w:color="000000"/>
            </w:tcBorders>
            <w:vAlign w:val="center"/>
          </w:tcPr>
          <w:p w14:paraId="11E8A68E"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42 (4%)</w:t>
            </w:r>
          </w:p>
        </w:tc>
        <w:tc>
          <w:tcPr>
            <w:tcW w:w="790" w:type="pct"/>
            <w:tcBorders>
              <w:top w:val="single" w:sz="4" w:space="0" w:color="000000"/>
              <w:left w:val="single" w:sz="4" w:space="0" w:color="000000"/>
              <w:bottom w:val="single" w:sz="4" w:space="0" w:color="000000"/>
              <w:right w:val="single" w:sz="4" w:space="0" w:color="000000"/>
            </w:tcBorders>
            <w:vAlign w:val="center"/>
          </w:tcPr>
          <w:p w14:paraId="254A5C9F"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55 (4%)</w:t>
            </w:r>
          </w:p>
        </w:tc>
      </w:tr>
      <w:tr w:rsidR="00F2350B" w:rsidRPr="00373DCC" w14:paraId="79EB8F65"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35D2AFE6" w14:textId="77777777" w:rsidR="00F2350B" w:rsidRPr="00373DCC" w:rsidRDefault="00F2350B" w:rsidP="00710B91">
            <w:pPr>
              <w:keepLines/>
              <w:spacing w:before="0" w:after="0" w:line="240" w:lineRule="atLeast"/>
              <w:contextualSpacing/>
              <w:outlineLvl w:val="4"/>
              <w:rPr>
                <w:rFonts w:eastAsiaTheme="minorHAnsi" w:cs="Arial"/>
                <w:sz w:val="21"/>
                <w:vertAlign w:val="superscript"/>
              </w:rPr>
            </w:pPr>
            <w:r w:rsidRPr="00373DCC">
              <w:rPr>
                <w:rFonts w:eastAsiaTheme="minorHAnsi" w:cs="Arial"/>
                <w:sz w:val="21"/>
              </w:rPr>
              <w:t>New – Transport / Logistic issues / Storage capacity issues</w:t>
            </w:r>
            <w:r w:rsidRPr="00373DCC">
              <w:rPr>
                <w:rFonts w:eastAsiaTheme="minorHAnsi" w:cs="Arial"/>
                <w:sz w:val="21"/>
                <w:vertAlign w:val="superscript"/>
              </w:rPr>
              <w:t xml:space="preserve"> </w:t>
            </w:r>
          </w:p>
        </w:tc>
        <w:tc>
          <w:tcPr>
            <w:tcW w:w="841" w:type="pct"/>
            <w:tcBorders>
              <w:top w:val="single" w:sz="4" w:space="0" w:color="000000"/>
              <w:left w:val="single" w:sz="4" w:space="0" w:color="000000"/>
              <w:bottom w:val="single" w:sz="4" w:space="0" w:color="000000"/>
              <w:right w:val="single" w:sz="4" w:space="0" w:color="000000"/>
            </w:tcBorders>
            <w:vAlign w:val="center"/>
          </w:tcPr>
          <w:p w14:paraId="6EB2EDD5"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122 (10%)</w:t>
            </w:r>
          </w:p>
        </w:tc>
        <w:tc>
          <w:tcPr>
            <w:tcW w:w="790" w:type="pct"/>
            <w:tcBorders>
              <w:top w:val="single" w:sz="4" w:space="0" w:color="000000"/>
              <w:left w:val="single" w:sz="4" w:space="0" w:color="000000"/>
              <w:bottom w:val="single" w:sz="4" w:space="0" w:color="000000"/>
              <w:right w:val="single" w:sz="4" w:space="0" w:color="000000"/>
            </w:tcBorders>
            <w:vAlign w:val="center"/>
          </w:tcPr>
          <w:p w14:paraId="615AF811"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110 (8%)</w:t>
            </w:r>
          </w:p>
        </w:tc>
      </w:tr>
      <w:tr w:rsidR="00F2350B" w:rsidRPr="00373DCC" w14:paraId="6A19CD80"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vAlign w:val="center"/>
          </w:tcPr>
          <w:p w14:paraId="5CE9131F"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New – Seasonal depletion of stock</w:t>
            </w:r>
          </w:p>
        </w:tc>
        <w:tc>
          <w:tcPr>
            <w:tcW w:w="841" w:type="pct"/>
            <w:tcBorders>
              <w:top w:val="single" w:sz="4" w:space="0" w:color="000000"/>
              <w:left w:val="single" w:sz="4" w:space="0" w:color="000000"/>
              <w:bottom w:val="single" w:sz="4" w:space="0" w:color="000000"/>
              <w:right w:val="single" w:sz="4" w:space="0" w:color="000000"/>
            </w:tcBorders>
            <w:vAlign w:val="center"/>
          </w:tcPr>
          <w:p w14:paraId="748F68CC"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6 (&lt;1%)</w:t>
            </w:r>
          </w:p>
        </w:tc>
        <w:tc>
          <w:tcPr>
            <w:tcW w:w="790" w:type="pct"/>
            <w:tcBorders>
              <w:top w:val="single" w:sz="4" w:space="0" w:color="000000"/>
              <w:left w:val="single" w:sz="4" w:space="0" w:color="000000"/>
              <w:bottom w:val="single" w:sz="4" w:space="0" w:color="000000"/>
              <w:right w:val="single" w:sz="4" w:space="0" w:color="000000"/>
            </w:tcBorders>
            <w:vAlign w:val="center"/>
          </w:tcPr>
          <w:p w14:paraId="3CB44076"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6 (&lt;1%)</w:t>
            </w:r>
          </w:p>
        </w:tc>
      </w:tr>
      <w:tr w:rsidR="00F2350B" w:rsidRPr="00373DCC" w14:paraId="307AB4F4"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369"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7AED9125" w14:textId="77777777" w:rsidR="00F2350B" w:rsidRPr="00373DCC" w:rsidRDefault="00F2350B" w:rsidP="00710B91">
            <w:pPr>
              <w:keepLines/>
              <w:spacing w:before="0" w:after="0" w:line="240" w:lineRule="atLeast"/>
              <w:contextualSpacing/>
              <w:outlineLvl w:val="4"/>
              <w:rPr>
                <w:rFonts w:eastAsiaTheme="minorHAnsi" w:cs="Arial"/>
                <w:sz w:val="21"/>
              </w:rPr>
            </w:pPr>
            <w:r w:rsidRPr="00373DCC">
              <w:rPr>
                <w:rFonts w:eastAsiaTheme="minorHAnsi" w:cs="Arial"/>
                <w:sz w:val="21"/>
              </w:rPr>
              <w:t>Total</w:t>
            </w:r>
          </w:p>
        </w:tc>
        <w:tc>
          <w:tcPr>
            <w:tcW w:w="841"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06E63CFE" w14:textId="77777777" w:rsidR="00F2350B" w:rsidRPr="00373DC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1,190 (100%)</w:t>
            </w:r>
          </w:p>
        </w:tc>
        <w:tc>
          <w:tcPr>
            <w:tcW w:w="790"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49BE9C30" w14:textId="77777777" w:rsidR="00F2350B" w:rsidRPr="009F471C" w:rsidRDefault="00F2350B" w:rsidP="00710B91">
            <w:pPr>
              <w:keepLines/>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1</w:t>
            </w:r>
            <w:r>
              <w:rPr>
                <w:rFonts w:eastAsiaTheme="minorHAnsi" w:cs="Arial"/>
                <w:sz w:val="21"/>
              </w:rPr>
              <w:t>,</w:t>
            </w:r>
            <w:r w:rsidRPr="009F471C">
              <w:rPr>
                <w:rFonts w:eastAsiaTheme="minorHAnsi" w:cs="Arial"/>
                <w:sz w:val="21"/>
              </w:rPr>
              <w:t>398 (100%)</w:t>
            </w:r>
          </w:p>
        </w:tc>
      </w:tr>
    </w:tbl>
    <w:p w14:paraId="6E7CD479" w14:textId="77777777" w:rsidR="00F2350B" w:rsidRDefault="00F2350B" w:rsidP="00F2350B">
      <w:pPr>
        <w:spacing w:after="0" w:line="0" w:lineRule="atLeast"/>
        <w:rPr>
          <w:rFonts w:eastAsia="Cambria" w:cs="Arial"/>
          <w:sz w:val="16"/>
          <w:szCs w:val="16"/>
        </w:rPr>
      </w:pPr>
      <w:r w:rsidRPr="007E5FBC">
        <w:rPr>
          <w:rFonts w:eastAsia="Cambria" w:cs="Arial"/>
          <w:sz w:val="16"/>
          <w:szCs w:val="16"/>
          <w:vertAlign w:val="superscript"/>
        </w:rPr>
        <w:t xml:space="preserve">a </w:t>
      </w:r>
      <w:r w:rsidRPr="007E5FBC">
        <w:rPr>
          <w:rFonts w:eastAsia="Cambria" w:cs="Arial"/>
          <w:sz w:val="16"/>
          <w:szCs w:val="16"/>
        </w:rPr>
        <w:t>New reports only, does not include updates of previously reported shortages.</w:t>
      </w:r>
    </w:p>
    <w:p w14:paraId="45F00C02" w14:textId="77777777" w:rsidR="00F2350B" w:rsidRPr="007E5FBC" w:rsidRDefault="00F2350B" w:rsidP="00F2350B">
      <w:pPr>
        <w:spacing w:after="0" w:line="0" w:lineRule="atLeast"/>
        <w:rPr>
          <w:rFonts w:eastAsia="Cambria" w:cs="Arial"/>
          <w:sz w:val="16"/>
          <w:szCs w:val="16"/>
          <w:vertAlign w:val="superscript"/>
        </w:rPr>
      </w:pPr>
    </w:p>
    <w:p w14:paraId="250991DA" w14:textId="77777777" w:rsidR="00F2350B" w:rsidRPr="00373DCC" w:rsidRDefault="00F2350B" w:rsidP="00F2350B">
      <w:pPr>
        <w:keepNext/>
        <w:spacing w:before="240" w:after="120" w:line="240" w:lineRule="auto"/>
        <w:rPr>
          <w:rFonts w:eastAsia="Cambria" w:cs="Arial"/>
          <w:b/>
          <w:bCs/>
          <w:sz w:val="21"/>
          <w:szCs w:val="21"/>
        </w:rPr>
      </w:pPr>
      <w:bookmarkStart w:id="274" w:name="Table86"/>
      <w:r w:rsidRPr="00373DCC">
        <w:rPr>
          <w:rFonts w:eastAsia="Cambria" w:cs="Arial"/>
          <w:b/>
          <w:bCs/>
          <w:sz w:val="21"/>
          <w:szCs w:val="21"/>
        </w:rPr>
        <w:t xml:space="preserve">Table 86: Number of medicine shortage notifications received </w:t>
      </w:r>
    </w:p>
    <w:tbl>
      <w:tblPr>
        <w:tblStyle w:val="TableTGAblue"/>
        <w:tblW w:w="5015" w:type="pct"/>
        <w:tblLook w:val="04A0" w:firstRow="1" w:lastRow="0" w:firstColumn="1" w:lastColumn="0" w:noHBand="0" w:noVBand="1"/>
      </w:tblPr>
      <w:tblGrid>
        <w:gridCol w:w="6187"/>
        <w:gridCol w:w="1430"/>
        <w:gridCol w:w="1431"/>
      </w:tblGrid>
      <w:tr w:rsidR="00CC6609" w:rsidRPr="00373DCC" w14:paraId="2B6EBD39"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nil"/>
              <w:left w:val="nil"/>
              <w:bottom w:val="nil"/>
              <w:right w:val="single" w:sz="4" w:space="0" w:color="002C47"/>
            </w:tcBorders>
            <w:shd w:val="clear" w:color="auto" w:fill="29527F"/>
            <w:vAlign w:val="center"/>
          </w:tcPr>
          <w:bookmarkEnd w:id="274"/>
          <w:p w14:paraId="7B2D2BF6" w14:textId="7B9C20C3" w:rsidR="00CC6609" w:rsidRPr="00373DCC" w:rsidRDefault="00CC6609" w:rsidP="00CC6609">
            <w:pPr>
              <w:keepLines/>
              <w:spacing w:before="0" w:line="240" w:lineRule="atLeast"/>
              <w:contextualSpacing/>
              <w:outlineLvl w:val="4"/>
              <w:rPr>
                <w:rFonts w:eastAsiaTheme="minorHAnsi" w:cs="Arial"/>
                <w:sz w:val="21"/>
              </w:rPr>
            </w:pPr>
            <w:r w:rsidRPr="00373DCC">
              <w:rPr>
                <w:rFonts w:cs="Arial"/>
                <w:sz w:val="21"/>
              </w:rPr>
              <w:t>Notifications received</w:t>
            </w:r>
          </w:p>
        </w:tc>
        <w:tc>
          <w:tcPr>
            <w:tcW w:w="790"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0EFC7F6C" w14:textId="7118EA63" w:rsidR="00CC6609" w:rsidRPr="00373DCC" w:rsidRDefault="00CC6609" w:rsidP="00CC6609">
            <w:pPr>
              <w:keepLines/>
              <w:spacing w:before="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91"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07B0F9E0" w14:textId="5BCD37C6" w:rsidR="00CC6609" w:rsidRPr="00373DCC" w:rsidRDefault="00CC6609" w:rsidP="00CC6609">
            <w:pPr>
              <w:keepLines/>
              <w:spacing w:before="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216FB86C"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vAlign w:val="center"/>
          </w:tcPr>
          <w:p w14:paraId="37D27F60" w14:textId="77777777" w:rsidR="00F2350B" w:rsidRPr="00373DCC" w:rsidRDefault="00F2350B" w:rsidP="00710B91">
            <w:pPr>
              <w:keepLines/>
              <w:spacing w:before="0" w:line="240" w:lineRule="atLeast"/>
              <w:contextualSpacing/>
              <w:outlineLvl w:val="4"/>
              <w:rPr>
                <w:rFonts w:eastAsiaTheme="minorHAnsi" w:cs="Arial"/>
                <w:sz w:val="21"/>
              </w:rPr>
            </w:pPr>
            <w:r w:rsidRPr="00373DCC">
              <w:rPr>
                <w:rFonts w:eastAsiaTheme="minorHAnsi" w:cs="Arial"/>
                <w:sz w:val="21"/>
              </w:rPr>
              <w:t xml:space="preserve">New </w:t>
            </w:r>
          </w:p>
        </w:tc>
        <w:tc>
          <w:tcPr>
            <w:tcW w:w="790" w:type="pct"/>
            <w:tcBorders>
              <w:top w:val="single" w:sz="4" w:space="0" w:color="000000"/>
              <w:left w:val="single" w:sz="4" w:space="0" w:color="000000"/>
              <w:bottom w:val="single" w:sz="4" w:space="0" w:color="000000"/>
              <w:right w:val="single" w:sz="4" w:space="0" w:color="000000"/>
            </w:tcBorders>
            <w:vAlign w:val="center"/>
          </w:tcPr>
          <w:p w14:paraId="216D6809"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1,190</w:t>
            </w:r>
          </w:p>
        </w:tc>
        <w:tc>
          <w:tcPr>
            <w:tcW w:w="791" w:type="pct"/>
            <w:tcBorders>
              <w:top w:val="single" w:sz="4" w:space="0" w:color="000000"/>
              <w:left w:val="single" w:sz="4" w:space="0" w:color="000000"/>
              <w:bottom w:val="single" w:sz="4" w:space="0" w:color="000000"/>
              <w:right w:val="single" w:sz="4" w:space="0" w:color="000000"/>
            </w:tcBorders>
            <w:vAlign w:val="center"/>
          </w:tcPr>
          <w:p w14:paraId="7D3CD2CB"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1,398</w:t>
            </w:r>
          </w:p>
        </w:tc>
      </w:tr>
      <w:tr w:rsidR="00F2350B" w:rsidRPr="00373DCC" w14:paraId="39586243"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vAlign w:val="center"/>
          </w:tcPr>
          <w:p w14:paraId="5602D8AE" w14:textId="77777777" w:rsidR="00F2350B" w:rsidRPr="00373DCC" w:rsidRDefault="00F2350B" w:rsidP="00710B91">
            <w:pPr>
              <w:keepLines/>
              <w:spacing w:before="0" w:line="240" w:lineRule="atLeast"/>
              <w:contextualSpacing/>
              <w:outlineLvl w:val="4"/>
              <w:rPr>
                <w:rFonts w:eastAsiaTheme="minorHAnsi" w:cs="Arial"/>
                <w:sz w:val="21"/>
              </w:rPr>
            </w:pPr>
            <w:r w:rsidRPr="00373DCC">
              <w:rPr>
                <w:rFonts w:eastAsiaTheme="minorHAnsi" w:cs="Arial"/>
                <w:sz w:val="21"/>
              </w:rPr>
              <w:t>Update</w:t>
            </w:r>
            <w:r w:rsidRPr="00373DCC">
              <w:rPr>
                <w:rFonts w:eastAsiaTheme="minorHAnsi" w:cs="Arial"/>
                <w:sz w:val="21"/>
                <w:vertAlign w:val="superscript"/>
              </w:rPr>
              <w:t xml:space="preserve"> a</w:t>
            </w:r>
            <w:r w:rsidRPr="00373DCC">
              <w:rPr>
                <w:rFonts w:eastAsiaTheme="minorHAnsi" w:cs="Arial"/>
                <w:sz w:val="21"/>
              </w:rPr>
              <w:t xml:space="preserve"> </w:t>
            </w:r>
          </w:p>
        </w:tc>
        <w:tc>
          <w:tcPr>
            <w:tcW w:w="790" w:type="pct"/>
            <w:tcBorders>
              <w:top w:val="single" w:sz="4" w:space="0" w:color="000000"/>
              <w:left w:val="single" w:sz="4" w:space="0" w:color="000000"/>
              <w:bottom w:val="single" w:sz="4" w:space="0" w:color="000000"/>
              <w:right w:val="single" w:sz="4" w:space="0" w:color="000000"/>
            </w:tcBorders>
            <w:vAlign w:val="center"/>
          </w:tcPr>
          <w:p w14:paraId="463F760F"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3,386</w:t>
            </w:r>
          </w:p>
        </w:tc>
        <w:tc>
          <w:tcPr>
            <w:tcW w:w="791" w:type="pct"/>
            <w:tcBorders>
              <w:top w:val="single" w:sz="4" w:space="0" w:color="000000"/>
              <w:left w:val="single" w:sz="4" w:space="0" w:color="000000"/>
              <w:bottom w:val="single" w:sz="4" w:space="0" w:color="000000"/>
              <w:right w:val="single" w:sz="4" w:space="0" w:color="000000"/>
            </w:tcBorders>
            <w:vAlign w:val="center"/>
          </w:tcPr>
          <w:p w14:paraId="0BA0F80B"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3,807</w:t>
            </w:r>
          </w:p>
        </w:tc>
      </w:tr>
      <w:tr w:rsidR="00F2350B" w:rsidRPr="00373DCC" w14:paraId="0945D99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0EBE7AE3" w14:textId="77777777" w:rsidR="00F2350B" w:rsidRPr="00373DCC" w:rsidRDefault="00F2350B" w:rsidP="00710B91">
            <w:pPr>
              <w:keepLines/>
              <w:spacing w:before="0" w:line="240" w:lineRule="atLeast"/>
              <w:contextualSpacing/>
              <w:outlineLvl w:val="4"/>
              <w:rPr>
                <w:rFonts w:eastAsiaTheme="minorHAnsi" w:cs="Arial"/>
                <w:sz w:val="21"/>
              </w:rPr>
            </w:pPr>
            <w:r w:rsidRPr="00373DCC">
              <w:rPr>
                <w:rFonts w:eastAsiaTheme="minorHAnsi" w:cs="Arial"/>
                <w:sz w:val="21"/>
              </w:rPr>
              <w:t>Total</w:t>
            </w:r>
          </w:p>
        </w:tc>
        <w:tc>
          <w:tcPr>
            <w:tcW w:w="790"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3C7D0213"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4,576</w:t>
            </w:r>
          </w:p>
        </w:tc>
        <w:tc>
          <w:tcPr>
            <w:tcW w:w="791"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22C561CE" w14:textId="77777777" w:rsidR="00F2350B" w:rsidRPr="00373DCC" w:rsidRDefault="00F2350B" w:rsidP="00710B91">
            <w:pPr>
              <w:keepLines/>
              <w:spacing w:before="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5,205</w:t>
            </w:r>
          </w:p>
        </w:tc>
      </w:tr>
    </w:tbl>
    <w:p w14:paraId="57B8D004" w14:textId="77777777" w:rsidR="00F2350B" w:rsidRPr="00373DCC" w:rsidRDefault="00F2350B" w:rsidP="00F2350B">
      <w:pPr>
        <w:spacing w:before="0" w:after="0" w:line="0" w:lineRule="atLeast"/>
        <w:rPr>
          <w:rFonts w:eastAsia="Cambria" w:cs="Arial"/>
          <w:sz w:val="16"/>
          <w:szCs w:val="16"/>
        </w:rPr>
      </w:pPr>
      <w:r w:rsidRPr="00373DCC">
        <w:rPr>
          <w:rFonts w:eastAsia="Cambria" w:cs="Arial"/>
          <w:sz w:val="16"/>
          <w:szCs w:val="16"/>
          <w:vertAlign w:val="superscript"/>
        </w:rPr>
        <w:t xml:space="preserve">a </w:t>
      </w:r>
      <w:r w:rsidRPr="00373DCC">
        <w:rPr>
          <w:rFonts w:eastAsia="Cambria" w:cs="Arial"/>
          <w:sz w:val="16"/>
          <w:szCs w:val="16"/>
        </w:rPr>
        <w:t>Updates of previously reported shortages, including updates to ‘Resolved’ status. Mandatory reporting of all shortages of prescription medicines and select over-the-counter medicines commenced 1 January 2019.</w:t>
      </w:r>
    </w:p>
    <w:p w14:paraId="7664A009" w14:textId="77777777" w:rsidR="00F2350B" w:rsidRPr="00373DCC" w:rsidRDefault="00F2350B" w:rsidP="00F2350B">
      <w:pPr>
        <w:spacing w:after="180" w:line="240" w:lineRule="atLeast"/>
        <w:rPr>
          <w:rFonts w:eastAsia="Cambria" w:cs="Arial"/>
          <w:szCs w:val="22"/>
        </w:rPr>
      </w:pPr>
    </w:p>
    <w:p w14:paraId="0D5C7BDF" w14:textId="77777777" w:rsidR="00F2350B" w:rsidRPr="00373DCC" w:rsidRDefault="00F2350B" w:rsidP="00F2350B">
      <w:pPr>
        <w:rPr>
          <w:rFonts w:eastAsiaTheme="majorEastAsia" w:cs="Arial"/>
          <w:b/>
          <w:color w:val="00348C" w:themeColor="accent1" w:themeShade="BF"/>
          <w:sz w:val="28"/>
          <w:szCs w:val="28"/>
          <w:lang w:eastAsia="en-AU"/>
        </w:rPr>
      </w:pPr>
      <w:r w:rsidRPr="00373DCC">
        <w:rPr>
          <w:rFonts w:eastAsiaTheme="majorEastAsia" w:cs="Arial"/>
          <w:b/>
          <w:color w:val="00348C" w:themeColor="accent1" w:themeShade="BF"/>
          <w:sz w:val="28"/>
          <w:szCs w:val="28"/>
          <w:lang w:eastAsia="en-AU"/>
        </w:rPr>
        <w:br w:type="page"/>
      </w:r>
    </w:p>
    <w:p w14:paraId="3008E491" w14:textId="77777777" w:rsidR="00F2350B" w:rsidRPr="00373DCC" w:rsidRDefault="00F2350B" w:rsidP="00F2350B">
      <w:pPr>
        <w:keepNext/>
        <w:keepLines/>
        <w:spacing w:after="0" w:line="240" w:lineRule="auto"/>
        <w:outlineLvl w:val="0"/>
        <w:rPr>
          <w:rFonts w:eastAsiaTheme="majorEastAsia" w:cs="Arial"/>
          <w:b/>
          <w:color w:val="00348C" w:themeColor="accent1" w:themeShade="BF"/>
          <w:sz w:val="28"/>
          <w:szCs w:val="28"/>
          <w:lang w:eastAsia="en-AU"/>
        </w:rPr>
      </w:pPr>
      <w:bookmarkStart w:id="275" w:name="_Toc153550505"/>
      <w:r w:rsidRPr="00373DCC">
        <w:rPr>
          <w:rFonts w:eastAsiaTheme="majorEastAsia" w:cs="Arial"/>
          <w:b/>
          <w:color w:val="00348C" w:themeColor="accent1" w:themeShade="BF"/>
          <w:sz w:val="28"/>
          <w:szCs w:val="28"/>
          <w:lang w:eastAsia="en-AU"/>
        </w:rPr>
        <w:lastRenderedPageBreak/>
        <w:t>18. Serious Scarcity Substitution Instruments (SSSIs)</w:t>
      </w:r>
      <w:bookmarkEnd w:id="275"/>
    </w:p>
    <w:p w14:paraId="60355E3F" w14:textId="77777777" w:rsidR="00F2350B" w:rsidRPr="00373DCC" w:rsidRDefault="00F2350B" w:rsidP="00F2350B">
      <w:pPr>
        <w:rPr>
          <w:rFonts w:cs="Arial"/>
          <w:sz w:val="21"/>
          <w:szCs w:val="21"/>
          <w:shd w:val="clear" w:color="auto" w:fill="FFFFFF"/>
        </w:rPr>
      </w:pPr>
      <w:r w:rsidRPr="00373DCC">
        <w:rPr>
          <w:rFonts w:cs="Arial"/>
          <w:sz w:val="21"/>
          <w:szCs w:val="21"/>
          <w:shd w:val="clear" w:color="auto" w:fill="FFFFFF"/>
        </w:rPr>
        <w:t xml:space="preserve">Under section 30EK of the </w:t>
      </w:r>
      <w:r w:rsidRPr="00373DCC">
        <w:rPr>
          <w:rFonts w:cs="Arial"/>
          <w:i/>
          <w:iCs/>
          <w:sz w:val="21"/>
          <w:szCs w:val="21"/>
          <w:shd w:val="clear" w:color="auto" w:fill="FFFFFF"/>
        </w:rPr>
        <w:t>Therapeutic Goods Act 1989</w:t>
      </w:r>
      <w:r w:rsidRPr="00373DCC">
        <w:rPr>
          <w:rFonts w:cs="Arial"/>
          <w:sz w:val="21"/>
          <w:szCs w:val="21"/>
          <w:shd w:val="clear" w:color="auto" w:fill="FFFFFF"/>
        </w:rPr>
        <w:t xml:space="preserve">, the Minister for health can make a legislative instrument to: </w:t>
      </w:r>
    </w:p>
    <w:p w14:paraId="7A6D9357" w14:textId="77777777" w:rsidR="00F2350B" w:rsidRPr="00373DCC" w:rsidRDefault="00F2350B" w:rsidP="00ED1A1F">
      <w:pPr>
        <w:numPr>
          <w:ilvl w:val="0"/>
          <w:numId w:val="26"/>
        </w:numPr>
        <w:spacing w:after="40" w:line="240" w:lineRule="atLeast"/>
        <w:rPr>
          <w:rFonts w:cs="Arial"/>
          <w:color w:val="313131"/>
          <w:sz w:val="21"/>
          <w:szCs w:val="21"/>
          <w:shd w:val="clear" w:color="auto" w:fill="FFFFFF"/>
        </w:rPr>
      </w:pPr>
      <w:r w:rsidRPr="00373DCC">
        <w:rPr>
          <w:rFonts w:cs="Arial"/>
          <w:color w:val="313131"/>
          <w:sz w:val="21"/>
          <w:szCs w:val="21"/>
          <w:shd w:val="clear" w:color="auto" w:fill="FFFFFF"/>
        </w:rPr>
        <w:t xml:space="preserve">Declare that there is a serious scarcity of the specified medicine across the whole or specified parts of Australia, and </w:t>
      </w:r>
    </w:p>
    <w:p w14:paraId="58BA657E" w14:textId="77777777" w:rsidR="00F2350B" w:rsidRPr="00373DCC" w:rsidRDefault="00F2350B" w:rsidP="00ED1A1F">
      <w:pPr>
        <w:numPr>
          <w:ilvl w:val="0"/>
          <w:numId w:val="26"/>
        </w:numPr>
        <w:spacing w:line="240" w:lineRule="atLeast"/>
        <w:ind w:left="714" w:hanging="357"/>
        <w:rPr>
          <w:rFonts w:cs="Arial"/>
          <w:sz w:val="21"/>
          <w:szCs w:val="21"/>
        </w:rPr>
      </w:pPr>
      <w:r w:rsidRPr="00373DCC">
        <w:rPr>
          <w:rFonts w:cs="Arial"/>
          <w:color w:val="313131"/>
          <w:sz w:val="21"/>
          <w:szCs w:val="21"/>
          <w:shd w:val="clear" w:color="auto" w:fill="FFFFFF"/>
        </w:rPr>
        <w:t xml:space="preserve">Specify the medicine (the substitutable medicine) that pharmacists are permitted to dispense in substitution for the scarce medicine and specify the circumstances in which that substitution is permitted. </w:t>
      </w:r>
      <w:r w:rsidRPr="00373DCC">
        <w:rPr>
          <w:rFonts w:eastAsiaTheme="minorEastAsia" w:cs="Arial"/>
          <w:color w:val="313131"/>
          <w:sz w:val="21"/>
          <w:szCs w:val="21"/>
          <w:shd w:val="clear" w:color="auto" w:fill="FFFFFF"/>
          <w:lang w:eastAsia="ko-KR"/>
        </w:rPr>
        <w:t xml:space="preserve"> </w:t>
      </w:r>
    </w:p>
    <w:p w14:paraId="01D47A67" w14:textId="77777777" w:rsidR="00F2350B" w:rsidRPr="00373DCC" w:rsidRDefault="00F2350B" w:rsidP="00F2350B">
      <w:pPr>
        <w:rPr>
          <w:rFonts w:cs="Arial"/>
          <w:sz w:val="21"/>
          <w:szCs w:val="21"/>
          <w:shd w:val="clear" w:color="auto" w:fill="FFFFFF"/>
        </w:rPr>
      </w:pPr>
      <w:r w:rsidRPr="00373DCC">
        <w:rPr>
          <w:rFonts w:cs="Arial"/>
          <w:sz w:val="21"/>
          <w:szCs w:val="21"/>
          <w:shd w:val="clear" w:color="auto" w:fill="FFFFFF"/>
        </w:rPr>
        <w:t xml:space="preserve">Serious Scarcity Substitution Instruments (SSSIs) allow community pharmacists to substitute specific medicines without prior approval from the prescriber if the permitted circumstances within the SSSI are met. </w:t>
      </w:r>
    </w:p>
    <w:p w14:paraId="4F687CE9" w14:textId="77777777" w:rsidR="00F2350B" w:rsidRPr="00373DCC" w:rsidRDefault="00F2350B" w:rsidP="00F2350B">
      <w:pPr>
        <w:spacing w:after="180" w:line="240" w:lineRule="atLeast"/>
        <w:rPr>
          <w:rFonts w:eastAsia="Cambria" w:cs="Arial"/>
          <w:b/>
          <w:bCs/>
          <w:szCs w:val="22"/>
        </w:rPr>
      </w:pPr>
      <w:bookmarkStart w:id="276" w:name="Table87"/>
      <w:r w:rsidRPr="00373DCC">
        <w:rPr>
          <w:rFonts w:eastAsia="Cambria" w:cs="Arial"/>
          <w:b/>
          <w:bCs/>
          <w:szCs w:val="22"/>
        </w:rPr>
        <w:t xml:space="preserve">Table 87: Number of SSSI’s made </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671"/>
        <w:gridCol w:w="1786"/>
        <w:gridCol w:w="1564"/>
      </w:tblGrid>
      <w:tr w:rsidR="00CC6609" w:rsidRPr="00373DCC" w14:paraId="0671C172"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3" w:type="pct"/>
            <w:tcBorders>
              <w:top w:val="nil"/>
              <w:left w:val="nil"/>
              <w:bottom w:val="nil"/>
              <w:right w:val="single" w:sz="4" w:space="0" w:color="auto"/>
            </w:tcBorders>
            <w:shd w:val="clear" w:color="auto" w:fill="FFFFFF" w:themeFill="background1"/>
            <w:vAlign w:val="center"/>
          </w:tcPr>
          <w:p w14:paraId="768CD906" w14:textId="77777777" w:rsidR="00CC6609" w:rsidRPr="00373DCC" w:rsidRDefault="00CC6609" w:rsidP="00CC6609">
            <w:pPr>
              <w:widowControl w:val="0"/>
              <w:spacing w:before="0" w:after="0" w:line="240" w:lineRule="atLeast"/>
              <w:contextualSpacing/>
              <w:outlineLvl w:val="4"/>
              <w:rPr>
                <w:rFonts w:eastAsiaTheme="minorHAnsi" w:cs="Arial"/>
                <w:color w:val="FFFFFF" w:themeColor="background1"/>
                <w:sz w:val="21"/>
              </w:rPr>
            </w:pPr>
          </w:p>
        </w:tc>
        <w:tc>
          <w:tcPr>
            <w:tcW w:w="990" w:type="pct"/>
            <w:tcBorders>
              <w:top w:val="single" w:sz="4" w:space="0" w:color="auto"/>
              <w:left w:val="single" w:sz="4" w:space="0" w:color="auto"/>
              <w:bottom w:val="single" w:sz="4" w:space="0" w:color="auto"/>
              <w:right w:val="single" w:sz="4" w:space="0" w:color="auto"/>
            </w:tcBorders>
            <w:shd w:val="clear" w:color="auto" w:fill="29527F"/>
            <w:vAlign w:val="center"/>
          </w:tcPr>
          <w:p w14:paraId="146EBEFB" w14:textId="2CA78AA9"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867" w:type="pct"/>
            <w:tcBorders>
              <w:top w:val="single" w:sz="4" w:space="0" w:color="auto"/>
              <w:left w:val="single" w:sz="4" w:space="0" w:color="auto"/>
              <w:bottom w:val="single" w:sz="4" w:space="0" w:color="auto"/>
              <w:right w:val="single" w:sz="4" w:space="0" w:color="auto"/>
            </w:tcBorders>
            <w:shd w:val="clear" w:color="auto" w:fill="29527F"/>
            <w:vAlign w:val="center"/>
          </w:tcPr>
          <w:p w14:paraId="77A16A23" w14:textId="53FC3CEC" w:rsidR="00CC6609" w:rsidRPr="00373DCC" w:rsidRDefault="00CC6609" w:rsidP="00CC6609">
            <w:pPr>
              <w:widowControl w:val="0"/>
              <w:spacing w:before="0" w:after="0" w:line="240" w:lineRule="atLeast"/>
              <w:contextualSpacing/>
              <w:jc w:val="center"/>
              <w:outlineLvl w:val="4"/>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1B3110A9" w14:textId="77777777" w:rsidTr="00CC6609">
        <w:trPr>
          <w:trHeight w:val="340"/>
        </w:trPr>
        <w:tc>
          <w:tcPr>
            <w:cnfStyle w:val="001000000000" w:firstRow="0" w:lastRow="0" w:firstColumn="1" w:lastColumn="0" w:oddVBand="0" w:evenVBand="0" w:oddHBand="0" w:evenHBand="0" w:firstRowFirstColumn="0" w:firstRowLastColumn="0" w:lastRowFirstColumn="0" w:lastRowLastColumn="0"/>
            <w:tcW w:w="3143" w:type="pct"/>
            <w:vAlign w:val="center"/>
          </w:tcPr>
          <w:p w14:paraId="77AFDF9D" w14:textId="77777777" w:rsidR="00F2350B" w:rsidRPr="00373DCC" w:rsidRDefault="00F2350B" w:rsidP="00710B91">
            <w:pPr>
              <w:spacing w:before="0" w:after="0" w:line="240" w:lineRule="atLeast"/>
              <w:contextualSpacing/>
              <w:outlineLvl w:val="4"/>
              <w:rPr>
                <w:rFonts w:eastAsiaTheme="minorHAnsi" w:cs="Arial"/>
                <w:sz w:val="21"/>
              </w:rPr>
            </w:pPr>
            <w:r w:rsidRPr="00373DCC">
              <w:rPr>
                <w:rFonts w:eastAsiaTheme="minorEastAsia" w:cs="Arial"/>
                <w:sz w:val="21"/>
                <w:lang w:eastAsia="ko-KR"/>
              </w:rPr>
              <w:t>Number of SSSIs made</w:t>
            </w:r>
          </w:p>
        </w:tc>
        <w:tc>
          <w:tcPr>
            <w:tcW w:w="990" w:type="pct"/>
            <w:vAlign w:val="center"/>
          </w:tcPr>
          <w:p w14:paraId="31228585"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4</w:t>
            </w:r>
          </w:p>
        </w:tc>
        <w:tc>
          <w:tcPr>
            <w:tcW w:w="867" w:type="pct"/>
            <w:vAlign w:val="center"/>
          </w:tcPr>
          <w:p w14:paraId="1468FFFC" w14:textId="77777777" w:rsidR="00F2350B" w:rsidRPr="00373DCC" w:rsidRDefault="00F2350B" w:rsidP="00710B91">
            <w:pPr>
              <w:widowControl w:val="0"/>
              <w:spacing w:before="0" w:after="0" w:line="240" w:lineRule="atLeast"/>
              <w:contextualSpacing/>
              <w:jc w:val="right"/>
              <w:outlineLvl w:val="4"/>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w:t>
            </w:r>
          </w:p>
        </w:tc>
      </w:tr>
    </w:tbl>
    <w:p w14:paraId="2C19CE79" w14:textId="77777777" w:rsidR="00F2350B" w:rsidRPr="00B633E2" w:rsidRDefault="00F2350B" w:rsidP="00B633E2">
      <w:pPr>
        <w:pStyle w:val="ListParagraph"/>
        <w:keepNext/>
        <w:numPr>
          <w:ilvl w:val="0"/>
          <w:numId w:val="34"/>
        </w:numPr>
        <w:adjustRightInd w:val="0"/>
        <w:spacing w:before="360" w:after="120" w:line="240" w:lineRule="auto"/>
        <w:outlineLvl w:val="2"/>
        <w:rPr>
          <w:rFonts w:eastAsia="Times New Roman"/>
          <w:bCs/>
          <w:vanish/>
          <w:color w:val="29527F"/>
          <w:sz w:val="26"/>
          <w:szCs w:val="26"/>
          <w:lang w:val="en"/>
          <w14:textFill>
            <w14:solidFill>
              <w14:srgbClr w14:val="29527F">
                <w14:lumMod w14:val="90000"/>
                <w14:lumOff w14:val="10000"/>
              </w14:srgbClr>
            </w14:solidFill>
          </w14:textFill>
        </w:rPr>
      </w:pPr>
      <w:bookmarkStart w:id="277" w:name="_Toc153441528"/>
      <w:bookmarkStart w:id="278" w:name="_Toc153441679"/>
      <w:bookmarkStart w:id="279" w:name="_Toc153441529"/>
      <w:bookmarkStart w:id="280" w:name="_Toc153441680"/>
      <w:bookmarkStart w:id="281" w:name="_Toc153441530"/>
      <w:bookmarkStart w:id="282" w:name="_Toc153441681"/>
      <w:bookmarkStart w:id="283" w:name="_Toc153441531"/>
      <w:bookmarkStart w:id="284" w:name="_Toc153441682"/>
      <w:bookmarkStart w:id="285" w:name="_Toc153550193"/>
      <w:bookmarkStart w:id="286" w:name="_Toc153550358"/>
      <w:bookmarkStart w:id="287" w:name="_Toc153550506"/>
      <w:bookmarkEnd w:id="276"/>
      <w:bookmarkEnd w:id="277"/>
      <w:bookmarkEnd w:id="278"/>
      <w:bookmarkEnd w:id="279"/>
      <w:bookmarkEnd w:id="280"/>
      <w:bookmarkEnd w:id="281"/>
      <w:bookmarkEnd w:id="282"/>
      <w:bookmarkEnd w:id="283"/>
      <w:bookmarkEnd w:id="284"/>
      <w:bookmarkEnd w:id="285"/>
      <w:bookmarkEnd w:id="286"/>
      <w:bookmarkEnd w:id="287"/>
    </w:p>
    <w:p w14:paraId="4D98CDE0" w14:textId="7A1EF37F" w:rsidR="00CC6609" w:rsidRDefault="00CC6609">
      <w:pPr>
        <w:spacing w:before="0" w:after="160" w:line="259" w:lineRule="auto"/>
        <w:rPr>
          <w:rFonts w:eastAsia="Cambria" w:cs="Arial"/>
          <w:b/>
          <w:bCs/>
          <w:szCs w:val="22"/>
        </w:rPr>
      </w:pPr>
      <w:r>
        <w:rPr>
          <w:rFonts w:eastAsia="Cambria" w:cs="Arial"/>
          <w:b/>
          <w:bCs/>
          <w:szCs w:val="22"/>
        </w:rPr>
        <w:br w:type="page"/>
      </w:r>
    </w:p>
    <w:p w14:paraId="3EC6F715" w14:textId="16CCE5CE" w:rsidR="00F2350B" w:rsidRDefault="00F2350B" w:rsidP="00F2350B">
      <w:pPr>
        <w:rPr>
          <w:rFonts w:eastAsia="Cambria" w:cs="Arial"/>
          <w:b/>
          <w:bCs/>
          <w:szCs w:val="22"/>
        </w:rPr>
      </w:pPr>
      <w:r w:rsidRPr="007633C5">
        <w:rPr>
          <w:rFonts w:eastAsia="Cambria" w:cs="Arial"/>
          <w:b/>
          <w:bCs/>
          <w:szCs w:val="22"/>
        </w:rPr>
        <w:lastRenderedPageBreak/>
        <w:t>Table 88: Serious Scarcity SSSI’s table of Alerts</w:t>
      </w:r>
    </w:p>
    <w:tbl>
      <w:tblPr>
        <w:tblStyle w:val="TableGrid"/>
        <w:tblW w:w="10161" w:type="dxa"/>
        <w:jc w:val="center"/>
        <w:tblLayout w:type="fixed"/>
        <w:tblLook w:val="04A0" w:firstRow="1" w:lastRow="0" w:firstColumn="1" w:lastColumn="0" w:noHBand="0" w:noVBand="1"/>
      </w:tblPr>
      <w:tblGrid>
        <w:gridCol w:w="1271"/>
        <w:gridCol w:w="2120"/>
        <w:gridCol w:w="3610"/>
        <w:gridCol w:w="1825"/>
        <w:gridCol w:w="1335"/>
      </w:tblGrid>
      <w:tr w:rsidR="00F2350B" w:rsidRPr="007633C5" w14:paraId="6BB2799D" w14:textId="77777777" w:rsidTr="00CC6609">
        <w:trPr>
          <w:trHeight w:val="840"/>
          <w:tblHeader/>
          <w:jc w:val="center"/>
        </w:trPr>
        <w:tc>
          <w:tcPr>
            <w:tcW w:w="1271" w:type="dxa"/>
            <w:shd w:val="clear" w:color="auto" w:fill="29527F"/>
            <w:vAlign w:val="center"/>
          </w:tcPr>
          <w:p w14:paraId="7201B4C5" w14:textId="77777777" w:rsidR="00F2350B" w:rsidRPr="00CC6609" w:rsidRDefault="00F2350B" w:rsidP="00710B91">
            <w:pPr>
              <w:keepNext/>
              <w:spacing w:before="0" w:after="0"/>
              <w:jc w:val="center"/>
              <w:rPr>
                <w:rFonts w:cs="Arial"/>
                <w:b/>
                <w:color w:val="FFFFFF" w:themeColor="background1"/>
                <w:sz w:val="19"/>
                <w:szCs w:val="19"/>
              </w:rPr>
            </w:pPr>
            <w:r w:rsidRPr="00CC6609" w:rsidDel="004F47A3">
              <w:rPr>
                <w:rFonts w:cs="Arial"/>
                <w:b/>
                <w:color w:val="FFFFFF" w:themeColor="background1"/>
                <w:sz w:val="19"/>
                <w:szCs w:val="19"/>
              </w:rPr>
              <w:t>Is</w:t>
            </w:r>
            <w:r w:rsidRPr="00CC6609">
              <w:rPr>
                <w:rFonts w:cs="Arial"/>
                <w:b/>
                <w:color w:val="FFFFFF" w:themeColor="background1"/>
                <w:sz w:val="19"/>
                <w:szCs w:val="19"/>
              </w:rPr>
              <w:t>sue date</w:t>
            </w:r>
          </w:p>
        </w:tc>
        <w:tc>
          <w:tcPr>
            <w:tcW w:w="2120" w:type="dxa"/>
            <w:shd w:val="clear" w:color="auto" w:fill="29527F"/>
            <w:vAlign w:val="center"/>
          </w:tcPr>
          <w:p w14:paraId="4680E918" w14:textId="77777777" w:rsidR="00F2350B" w:rsidRPr="00CC6609" w:rsidRDefault="00F2350B" w:rsidP="00710B91">
            <w:pPr>
              <w:keepNext/>
              <w:spacing w:before="0" w:after="0"/>
              <w:jc w:val="center"/>
              <w:rPr>
                <w:rFonts w:cs="Arial"/>
                <w:b/>
                <w:color w:val="FFFFFF" w:themeColor="background1"/>
                <w:sz w:val="19"/>
                <w:szCs w:val="19"/>
              </w:rPr>
            </w:pPr>
            <w:r w:rsidRPr="00CC6609">
              <w:rPr>
                <w:rFonts w:cs="Arial"/>
                <w:b/>
                <w:color w:val="FFFFFF" w:themeColor="background1"/>
                <w:sz w:val="19"/>
                <w:szCs w:val="19"/>
              </w:rPr>
              <w:t>Alert</w:t>
            </w:r>
          </w:p>
        </w:tc>
        <w:tc>
          <w:tcPr>
            <w:tcW w:w="3610" w:type="dxa"/>
            <w:shd w:val="clear" w:color="auto" w:fill="29527F"/>
            <w:vAlign w:val="center"/>
          </w:tcPr>
          <w:p w14:paraId="5A7B1D8D" w14:textId="77777777" w:rsidR="00F2350B" w:rsidRPr="00CC6609" w:rsidRDefault="00F2350B" w:rsidP="00710B91">
            <w:pPr>
              <w:keepNext/>
              <w:spacing w:before="0" w:after="0"/>
              <w:jc w:val="center"/>
              <w:rPr>
                <w:rFonts w:cs="Arial"/>
                <w:b/>
                <w:color w:val="FFFFFF" w:themeColor="background1"/>
                <w:sz w:val="19"/>
                <w:szCs w:val="19"/>
              </w:rPr>
            </w:pPr>
            <w:r w:rsidRPr="00CC6609">
              <w:rPr>
                <w:rFonts w:cs="Arial"/>
                <w:b/>
                <w:color w:val="FFFFFF" w:themeColor="background1"/>
                <w:sz w:val="19"/>
                <w:szCs w:val="19"/>
              </w:rPr>
              <w:t>Scarce Medicine(s)</w:t>
            </w:r>
          </w:p>
        </w:tc>
        <w:tc>
          <w:tcPr>
            <w:tcW w:w="1825" w:type="dxa"/>
            <w:shd w:val="clear" w:color="auto" w:fill="29527F"/>
            <w:vAlign w:val="center"/>
          </w:tcPr>
          <w:p w14:paraId="40299046" w14:textId="77777777" w:rsidR="00F2350B" w:rsidRPr="00CC6609" w:rsidRDefault="00F2350B" w:rsidP="00710B91">
            <w:pPr>
              <w:keepNext/>
              <w:spacing w:before="0" w:after="0"/>
              <w:jc w:val="center"/>
              <w:rPr>
                <w:rFonts w:cs="Arial"/>
                <w:b/>
                <w:color w:val="FFFFFF" w:themeColor="background1"/>
                <w:sz w:val="19"/>
                <w:szCs w:val="19"/>
              </w:rPr>
            </w:pPr>
            <w:r w:rsidRPr="00CC6609">
              <w:rPr>
                <w:rFonts w:cs="Arial"/>
                <w:b/>
                <w:color w:val="FFFFFF" w:themeColor="background1"/>
                <w:sz w:val="19"/>
                <w:szCs w:val="19"/>
              </w:rPr>
              <w:t>Serious Scarcity Substitution Instrument</w:t>
            </w:r>
          </w:p>
        </w:tc>
        <w:tc>
          <w:tcPr>
            <w:tcW w:w="1335" w:type="dxa"/>
            <w:shd w:val="clear" w:color="auto" w:fill="29527F"/>
            <w:vAlign w:val="center"/>
          </w:tcPr>
          <w:p w14:paraId="1590B668" w14:textId="77777777" w:rsidR="00F2350B" w:rsidRPr="00CC6609" w:rsidRDefault="00F2350B" w:rsidP="00710B91">
            <w:pPr>
              <w:keepNext/>
              <w:spacing w:before="0" w:after="0"/>
              <w:jc w:val="center"/>
              <w:rPr>
                <w:rFonts w:cs="Arial"/>
                <w:b/>
                <w:color w:val="FFFFFF" w:themeColor="background1"/>
                <w:sz w:val="19"/>
                <w:szCs w:val="19"/>
              </w:rPr>
            </w:pPr>
            <w:r w:rsidRPr="00CC6609">
              <w:rPr>
                <w:rFonts w:cs="Arial"/>
                <w:b/>
                <w:color w:val="FFFFFF" w:themeColor="background1"/>
                <w:sz w:val="19"/>
                <w:szCs w:val="19"/>
              </w:rPr>
              <w:t>Duration of SSSI</w:t>
            </w:r>
          </w:p>
        </w:tc>
      </w:tr>
      <w:tr w:rsidR="00F2350B" w:rsidRPr="007633C5" w14:paraId="0B11CB2A" w14:textId="77777777" w:rsidTr="00710B91">
        <w:trPr>
          <w:trHeight w:val="340"/>
          <w:jc w:val="center"/>
        </w:trPr>
        <w:tc>
          <w:tcPr>
            <w:tcW w:w="1271" w:type="dxa"/>
            <w:vAlign w:val="center"/>
          </w:tcPr>
          <w:p w14:paraId="38F060F7" w14:textId="77777777" w:rsidR="00F2350B" w:rsidRPr="007633C5" w:rsidRDefault="00F2350B" w:rsidP="00710B91">
            <w:pPr>
              <w:keepNext/>
              <w:spacing w:before="0" w:after="0"/>
              <w:rPr>
                <w:rFonts w:cs="Arial"/>
                <w:b/>
                <w:sz w:val="19"/>
                <w:szCs w:val="19"/>
              </w:rPr>
            </w:pPr>
            <w:r w:rsidRPr="007633C5">
              <w:rPr>
                <w:rFonts w:cs="Arial"/>
                <w:b/>
                <w:sz w:val="19"/>
                <w:szCs w:val="19"/>
              </w:rPr>
              <w:t>5/12/2022</w:t>
            </w:r>
          </w:p>
        </w:tc>
        <w:tc>
          <w:tcPr>
            <w:tcW w:w="2120" w:type="dxa"/>
            <w:vAlign w:val="center"/>
          </w:tcPr>
          <w:p w14:paraId="78C4B0FA" w14:textId="77777777" w:rsidR="00F2350B" w:rsidRPr="007633C5" w:rsidRDefault="00AD6673" w:rsidP="00710B91">
            <w:pPr>
              <w:keepNext/>
              <w:spacing w:before="0" w:after="0"/>
              <w:rPr>
                <w:rFonts w:cs="Arial"/>
                <w:sz w:val="19"/>
                <w:szCs w:val="19"/>
              </w:rPr>
            </w:pPr>
            <w:hyperlink r:id="rId51" w:history="1">
              <w:r w:rsidR="00F2350B" w:rsidRPr="007633C5">
                <w:rPr>
                  <w:rStyle w:val="Hyperlink"/>
                  <w:rFonts w:cs="Arial"/>
                  <w:sz w:val="19"/>
                  <w:szCs w:val="19"/>
                </w:rPr>
                <w:t xml:space="preserve">Substitution allowed to address shortage of amoxicillin </w:t>
              </w:r>
            </w:hyperlink>
          </w:p>
          <w:p w14:paraId="2CC67170" w14:textId="77777777" w:rsidR="00F2350B" w:rsidRPr="007633C5" w:rsidRDefault="00F2350B" w:rsidP="00710B91">
            <w:pPr>
              <w:keepNext/>
              <w:spacing w:before="0" w:after="0"/>
              <w:rPr>
                <w:rFonts w:cs="Arial"/>
                <w:sz w:val="19"/>
                <w:szCs w:val="19"/>
              </w:rPr>
            </w:pPr>
          </w:p>
        </w:tc>
        <w:tc>
          <w:tcPr>
            <w:tcW w:w="3610" w:type="dxa"/>
            <w:vAlign w:val="center"/>
          </w:tcPr>
          <w:p w14:paraId="53FAB106" w14:textId="77777777" w:rsidR="00F2350B" w:rsidRPr="007633C5" w:rsidRDefault="00F2350B" w:rsidP="00710B91">
            <w:p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 registered medicine that contains:</w:t>
            </w:r>
          </w:p>
          <w:p w14:paraId="53661D21"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100 mg/mL in a 20 mL suspension</w:t>
            </w:r>
          </w:p>
          <w:p w14:paraId="0F784EB0"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500 mg/5 mL in a 100 mL suspension</w:t>
            </w:r>
          </w:p>
          <w:p w14:paraId="156F654C"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125 mg/5 mL in a 100 mL syrup or suspension</w:t>
            </w:r>
          </w:p>
          <w:p w14:paraId="6D8DC04A"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250 mg/5 mL in a 100 mL syrup or suspension</w:t>
            </w:r>
          </w:p>
          <w:p w14:paraId="7216D31C"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500 mg capsules</w:t>
            </w:r>
          </w:p>
          <w:p w14:paraId="70ADDFAA"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amoxicillin 1 gram tablets</w:t>
            </w:r>
          </w:p>
        </w:tc>
        <w:tc>
          <w:tcPr>
            <w:tcW w:w="1825" w:type="dxa"/>
            <w:vAlign w:val="center"/>
          </w:tcPr>
          <w:p w14:paraId="596A7EC2" w14:textId="77777777" w:rsidR="00F2350B" w:rsidRPr="007633C5" w:rsidRDefault="00AD6673" w:rsidP="00710B91">
            <w:pPr>
              <w:keepNext/>
              <w:spacing w:before="0" w:after="0"/>
              <w:rPr>
                <w:rFonts w:cs="Arial"/>
                <w:sz w:val="19"/>
                <w:szCs w:val="19"/>
              </w:rPr>
            </w:pPr>
            <w:hyperlink r:id="rId52" w:history="1">
              <w:r w:rsidR="00F2350B" w:rsidRPr="007633C5">
                <w:rPr>
                  <w:rStyle w:val="Hyperlink"/>
                  <w:rFonts w:cs="Arial"/>
                  <w:sz w:val="19"/>
                  <w:szCs w:val="19"/>
                </w:rPr>
                <w:t>Therapeutic Goods (Serious scarcity and substitutable medicine) Amoxicillin instrument 2022</w:t>
              </w:r>
            </w:hyperlink>
          </w:p>
          <w:p w14:paraId="658DB802" w14:textId="77777777" w:rsidR="00F2350B" w:rsidRPr="007633C5" w:rsidRDefault="00F2350B" w:rsidP="00710B91">
            <w:pPr>
              <w:keepNext/>
              <w:spacing w:before="0" w:after="0"/>
              <w:rPr>
                <w:rFonts w:cs="Arial"/>
                <w:sz w:val="19"/>
                <w:szCs w:val="19"/>
              </w:rPr>
            </w:pPr>
          </w:p>
        </w:tc>
        <w:tc>
          <w:tcPr>
            <w:tcW w:w="1335" w:type="dxa"/>
            <w:vAlign w:val="center"/>
          </w:tcPr>
          <w:p w14:paraId="08D91546" w14:textId="77777777" w:rsidR="00F2350B" w:rsidRPr="007633C5" w:rsidRDefault="00F2350B" w:rsidP="00710B91">
            <w:pPr>
              <w:keepNext/>
              <w:spacing w:before="0" w:after="0"/>
              <w:rPr>
                <w:rFonts w:cs="Arial"/>
                <w:sz w:val="19"/>
                <w:szCs w:val="19"/>
              </w:rPr>
            </w:pPr>
            <w:r w:rsidRPr="007633C5">
              <w:rPr>
                <w:rFonts w:cs="Arial"/>
                <w:sz w:val="19"/>
                <w:szCs w:val="19"/>
              </w:rPr>
              <w:t>6 Dec 2022 to 31 May 2023</w:t>
            </w:r>
          </w:p>
        </w:tc>
      </w:tr>
      <w:tr w:rsidR="00F2350B" w:rsidRPr="007633C5" w14:paraId="7A381516" w14:textId="77777777" w:rsidTr="00710B91">
        <w:trPr>
          <w:trHeight w:val="340"/>
          <w:jc w:val="center"/>
        </w:trPr>
        <w:tc>
          <w:tcPr>
            <w:tcW w:w="1271" w:type="dxa"/>
            <w:vAlign w:val="center"/>
          </w:tcPr>
          <w:p w14:paraId="44ABCE98" w14:textId="77777777" w:rsidR="00F2350B" w:rsidRPr="007633C5" w:rsidRDefault="00F2350B" w:rsidP="00710B91">
            <w:pPr>
              <w:keepNext/>
              <w:spacing w:before="0" w:after="0"/>
              <w:rPr>
                <w:rFonts w:cs="Arial"/>
                <w:b/>
                <w:sz w:val="19"/>
                <w:szCs w:val="19"/>
              </w:rPr>
            </w:pPr>
            <w:r w:rsidRPr="007633C5">
              <w:rPr>
                <w:rFonts w:cs="Arial"/>
                <w:b/>
                <w:sz w:val="19"/>
                <w:szCs w:val="19"/>
              </w:rPr>
              <w:t>20/12/2022</w:t>
            </w:r>
          </w:p>
        </w:tc>
        <w:tc>
          <w:tcPr>
            <w:tcW w:w="2120" w:type="dxa"/>
            <w:vAlign w:val="center"/>
          </w:tcPr>
          <w:p w14:paraId="0E2169E0" w14:textId="77777777" w:rsidR="00F2350B" w:rsidRPr="007633C5" w:rsidRDefault="00AD6673" w:rsidP="00710B91">
            <w:pPr>
              <w:keepNext/>
              <w:spacing w:before="0" w:after="0"/>
              <w:rPr>
                <w:rFonts w:cs="Arial"/>
                <w:sz w:val="19"/>
                <w:szCs w:val="19"/>
              </w:rPr>
            </w:pPr>
            <w:hyperlink r:id="rId53" w:history="1">
              <w:r w:rsidR="00F2350B" w:rsidRPr="007633C5">
                <w:rPr>
                  <w:rStyle w:val="Hyperlink"/>
                  <w:rFonts w:cs="Arial"/>
                  <w:sz w:val="19"/>
                  <w:szCs w:val="19"/>
                </w:rPr>
                <w:t xml:space="preserve">Substitution allowed to address shortage of Cefalexin </w:t>
              </w:r>
            </w:hyperlink>
          </w:p>
          <w:p w14:paraId="32E762E2" w14:textId="77777777" w:rsidR="00F2350B" w:rsidRPr="007633C5" w:rsidRDefault="00F2350B" w:rsidP="00710B91">
            <w:pPr>
              <w:keepNext/>
              <w:spacing w:before="0" w:after="0"/>
              <w:rPr>
                <w:rFonts w:cs="Arial"/>
                <w:sz w:val="19"/>
                <w:szCs w:val="19"/>
              </w:rPr>
            </w:pPr>
          </w:p>
        </w:tc>
        <w:tc>
          <w:tcPr>
            <w:tcW w:w="3610" w:type="dxa"/>
            <w:vAlign w:val="center"/>
          </w:tcPr>
          <w:p w14:paraId="71C94DE4" w14:textId="77777777" w:rsidR="00F2350B" w:rsidRPr="007633C5" w:rsidRDefault="00F2350B" w:rsidP="00710B91">
            <w:p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A registered medicine that contains:</w:t>
            </w:r>
          </w:p>
          <w:p w14:paraId="52BE2335" w14:textId="77777777" w:rsidR="00F2350B" w:rsidRPr="007633C5" w:rsidRDefault="00F2350B" w:rsidP="00ED1A1F">
            <w:pPr>
              <w:numPr>
                <w:ilvl w:val="0"/>
                <w:numId w:val="29"/>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cefalexin 125 mg/5 mL in a 100 mL syrup or suspension</w:t>
            </w:r>
          </w:p>
          <w:p w14:paraId="63597A00" w14:textId="77777777" w:rsidR="00F2350B" w:rsidRPr="007633C5" w:rsidRDefault="00F2350B" w:rsidP="00ED1A1F">
            <w:pPr>
              <w:numPr>
                <w:ilvl w:val="0"/>
                <w:numId w:val="29"/>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cefalexin 250 mg/5 mL in a 100 mL syrup or suspension</w:t>
            </w:r>
          </w:p>
          <w:p w14:paraId="7AAA325B" w14:textId="77777777" w:rsidR="00F2350B" w:rsidRPr="007633C5" w:rsidRDefault="00F2350B" w:rsidP="00ED1A1F">
            <w:pPr>
              <w:numPr>
                <w:ilvl w:val="0"/>
                <w:numId w:val="29"/>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cefalexin 500 mg capsules</w:t>
            </w:r>
          </w:p>
        </w:tc>
        <w:tc>
          <w:tcPr>
            <w:tcW w:w="1825" w:type="dxa"/>
            <w:vAlign w:val="center"/>
          </w:tcPr>
          <w:p w14:paraId="6E5ABD86" w14:textId="77777777" w:rsidR="00F2350B" w:rsidRPr="007633C5" w:rsidRDefault="00AD6673" w:rsidP="00710B91">
            <w:pPr>
              <w:keepNext/>
              <w:spacing w:before="0" w:after="0"/>
              <w:rPr>
                <w:rFonts w:cs="Arial"/>
                <w:sz w:val="19"/>
                <w:szCs w:val="19"/>
              </w:rPr>
            </w:pPr>
            <w:hyperlink r:id="rId54" w:history="1">
              <w:r w:rsidR="00F2350B" w:rsidRPr="007633C5">
                <w:rPr>
                  <w:rStyle w:val="Hyperlink"/>
                  <w:rFonts w:cs="Arial"/>
                  <w:sz w:val="19"/>
                  <w:szCs w:val="19"/>
                </w:rPr>
                <w:t>Therapeutic Goods Cefalexin Instrument 2022</w:t>
              </w:r>
            </w:hyperlink>
          </w:p>
          <w:p w14:paraId="2A25B03F" w14:textId="77777777" w:rsidR="00F2350B" w:rsidRPr="007633C5" w:rsidRDefault="00F2350B" w:rsidP="00710B91">
            <w:pPr>
              <w:keepNext/>
              <w:spacing w:before="0" w:after="0"/>
              <w:rPr>
                <w:rFonts w:cs="Arial"/>
                <w:sz w:val="19"/>
                <w:szCs w:val="19"/>
              </w:rPr>
            </w:pPr>
          </w:p>
        </w:tc>
        <w:tc>
          <w:tcPr>
            <w:tcW w:w="1335" w:type="dxa"/>
            <w:vAlign w:val="center"/>
          </w:tcPr>
          <w:p w14:paraId="02E73064" w14:textId="77777777" w:rsidR="00F2350B" w:rsidRPr="007633C5" w:rsidRDefault="00F2350B" w:rsidP="00710B91">
            <w:pPr>
              <w:keepNext/>
              <w:spacing w:before="0" w:after="0"/>
              <w:rPr>
                <w:rFonts w:cs="Arial"/>
                <w:sz w:val="19"/>
                <w:szCs w:val="19"/>
              </w:rPr>
            </w:pPr>
            <w:r w:rsidRPr="007633C5">
              <w:rPr>
                <w:rFonts w:cs="Arial"/>
                <w:sz w:val="19"/>
                <w:szCs w:val="19"/>
              </w:rPr>
              <w:t>21 Dec 2022 to 31 July 2023</w:t>
            </w:r>
          </w:p>
        </w:tc>
      </w:tr>
      <w:tr w:rsidR="00F2350B" w:rsidRPr="007633C5" w14:paraId="1576738F" w14:textId="77777777" w:rsidTr="00710B91">
        <w:trPr>
          <w:trHeight w:val="340"/>
          <w:jc w:val="center"/>
        </w:trPr>
        <w:tc>
          <w:tcPr>
            <w:tcW w:w="1271" w:type="dxa"/>
            <w:vAlign w:val="center"/>
          </w:tcPr>
          <w:p w14:paraId="548DE601" w14:textId="77777777" w:rsidR="00F2350B" w:rsidRPr="007633C5" w:rsidRDefault="00F2350B" w:rsidP="00710B91">
            <w:pPr>
              <w:keepNext/>
              <w:spacing w:before="0" w:after="0"/>
              <w:rPr>
                <w:rFonts w:cs="Arial"/>
                <w:b/>
                <w:sz w:val="19"/>
                <w:szCs w:val="19"/>
              </w:rPr>
            </w:pPr>
            <w:r w:rsidRPr="007633C5">
              <w:rPr>
                <w:rFonts w:cs="Arial"/>
                <w:b/>
                <w:sz w:val="19"/>
                <w:szCs w:val="19"/>
              </w:rPr>
              <w:t>16/03/2023</w:t>
            </w:r>
          </w:p>
        </w:tc>
        <w:tc>
          <w:tcPr>
            <w:tcW w:w="2120" w:type="dxa"/>
            <w:vAlign w:val="center"/>
          </w:tcPr>
          <w:p w14:paraId="62BD8C41" w14:textId="77777777" w:rsidR="00F2350B" w:rsidRPr="007633C5" w:rsidRDefault="00AD6673" w:rsidP="00710B91">
            <w:pPr>
              <w:keepNext/>
              <w:spacing w:before="0" w:after="0"/>
              <w:rPr>
                <w:rFonts w:cs="Arial"/>
                <w:sz w:val="19"/>
                <w:szCs w:val="19"/>
              </w:rPr>
            </w:pPr>
            <w:hyperlink r:id="rId55" w:history="1">
              <w:r w:rsidR="00F2350B" w:rsidRPr="007633C5">
                <w:rPr>
                  <w:rStyle w:val="Hyperlink"/>
                  <w:rFonts w:cs="Arial"/>
                  <w:sz w:val="19"/>
                  <w:szCs w:val="19"/>
                </w:rPr>
                <w:t xml:space="preserve">Substitution instrument to address the shortage of Coumadin warfarin 5mg tablets </w:t>
              </w:r>
            </w:hyperlink>
          </w:p>
        </w:tc>
        <w:tc>
          <w:tcPr>
            <w:tcW w:w="3610" w:type="dxa"/>
            <w:vAlign w:val="center"/>
          </w:tcPr>
          <w:p w14:paraId="1CBA75ED" w14:textId="77777777" w:rsidR="00F2350B" w:rsidRPr="007633C5" w:rsidRDefault="00F2350B" w:rsidP="00710B91">
            <w:pPr>
              <w:pStyle w:val="NormalWeb"/>
              <w:shd w:val="clear" w:color="auto" w:fill="FFFFFF"/>
              <w:spacing w:before="0" w:beforeAutospacing="0" w:after="0" w:afterAutospacing="0"/>
              <w:rPr>
                <w:rFonts w:cs="Arial"/>
                <w:sz w:val="19"/>
                <w:szCs w:val="19"/>
              </w:rPr>
            </w:pPr>
            <w:r w:rsidRPr="007633C5">
              <w:rPr>
                <w:rFonts w:cs="Arial"/>
                <w:color w:val="313131"/>
                <w:sz w:val="19"/>
                <w:szCs w:val="19"/>
              </w:rPr>
              <w:t>COUMADIN warfarin sodium 5mg tablet (AUST R: 42279)</w:t>
            </w:r>
          </w:p>
        </w:tc>
        <w:tc>
          <w:tcPr>
            <w:tcW w:w="1825" w:type="dxa"/>
            <w:vAlign w:val="center"/>
          </w:tcPr>
          <w:p w14:paraId="384AD68C" w14:textId="77777777" w:rsidR="00F2350B" w:rsidRPr="007633C5" w:rsidRDefault="00F2350B" w:rsidP="00710B91">
            <w:pPr>
              <w:keepNext/>
              <w:spacing w:before="0" w:after="0"/>
              <w:rPr>
                <w:rFonts w:cs="Arial"/>
                <w:sz w:val="19"/>
                <w:szCs w:val="19"/>
              </w:rPr>
            </w:pPr>
          </w:p>
        </w:tc>
        <w:tc>
          <w:tcPr>
            <w:tcW w:w="1335" w:type="dxa"/>
            <w:vAlign w:val="center"/>
          </w:tcPr>
          <w:p w14:paraId="2A157D58" w14:textId="77777777" w:rsidR="00F2350B" w:rsidRPr="007633C5" w:rsidRDefault="00F2350B" w:rsidP="00710B91">
            <w:pPr>
              <w:keepNext/>
              <w:spacing w:before="0" w:after="0"/>
              <w:rPr>
                <w:rFonts w:cs="Arial"/>
                <w:sz w:val="19"/>
                <w:szCs w:val="19"/>
              </w:rPr>
            </w:pPr>
          </w:p>
        </w:tc>
      </w:tr>
      <w:tr w:rsidR="00F2350B" w:rsidRPr="007633C5" w14:paraId="7FF1E887" w14:textId="77777777" w:rsidTr="00710B91">
        <w:trPr>
          <w:trHeight w:val="340"/>
          <w:jc w:val="center"/>
        </w:trPr>
        <w:tc>
          <w:tcPr>
            <w:tcW w:w="1271" w:type="dxa"/>
            <w:vAlign w:val="center"/>
          </w:tcPr>
          <w:p w14:paraId="7C3BFF93" w14:textId="77777777" w:rsidR="00F2350B" w:rsidRPr="007633C5" w:rsidRDefault="00F2350B" w:rsidP="00710B91">
            <w:pPr>
              <w:keepNext/>
              <w:spacing w:before="0" w:after="0"/>
              <w:rPr>
                <w:rFonts w:cs="Arial"/>
                <w:b/>
                <w:sz w:val="19"/>
                <w:szCs w:val="19"/>
              </w:rPr>
            </w:pPr>
            <w:r w:rsidRPr="007633C5">
              <w:rPr>
                <w:rFonts w:cs="Arial"/>
                <w:b/>
                <w:sz w:val="19"/>
                <w:szCs w:val="19"/>
              </w:rPr>
              <w:t>14/04/2023</w:t>
            </w:r>
          </w:p>
        </w:tc>
        <w:tc>
          <w:tcPr>
            <w:tcW w:w="2120" w:type="dxa"/>
            <w:vAlign w:val="center"/>
          </w:tcPr>
          <w:p w14:paraId="24C8A74F" w14:textId="77777777" w:rsidR="00F2350B" w:rsidRPr="007633C5" w:rsidRDefault="00AD6673" w:rsidP="00710B91">
            <w:pPr>
              <w:keepNext/>
              <w:spacing w:before="0" w:after="0"/>
              <w:rPr>
                <w:rFonts w:cs="Arial"/>
                <w:sz w:val="19"/>
                <w:szCs w:val="19"/>
              </w:rPr>
            </w:pPr>
            <w:hyperlink r:id="rId56" w:history="1">
              <w:r w:rsidR="00F2350B" w:rsidRPr="007633C5">
                <w:rPr>
                  <w:rStyle w:val="Hyperlink"/>
                  <w:rFonts w:cs="Arial"/>
                  <w:sz w:val="19"/>
                  <w:szCs w:val="19"/>
                </w:rPr>
                <w:t>Substitution allowed to address shortage of phenoxymethylpenicillin</w:t>
              </w:r>
            </w:hyperlink>
            <w:r w:rsidR="00F2350B" w:rsidRPr="007633C5">
              <w:rPr>
                <w:rFonts w:cs="Arial"/>
                <w:sz w:val="19"/>
                <w:szCs w:val="19"/>
              </w:rPr>
              <w:t xml:space="preserve"> </w:t>
            </w:r>
          </w:p>
        </w:tc>
        <w:tc>
          <w:tcPr>
            <w:tcW w:w="3610" w:type="dxa"/>
            <w:vAlign w:val="center"/>
          </w:tcPr>
          <w:p w14:paraId="40C753BF"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PHENOXYMETHYLPENICILLIN-AFT phenoxymethylpenicillin (as potassium salt) 125mg/5ml powder for oral liquid bottle (AUST R 159753)</w:t>
            </w:r>
          </w:p>
          <w:p w14:paraId="39E49C41" w14:textId="77777777" w:rsidR="00F2350B" w:rsidRPr="007633C5" w:rsidRDefault="00F2350B" w:rsidP="00ED1A1F">
            <w:pPr>
              <w:numPr>
                <w:ilvl w:val="0"/>
                <w:numId w:val="27"/>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CILICAINE V phenoxymethylpenicillin (as benzathine) 150mg/5mL oral liquid, suspension bottle (AUST R 151598)</w:t>
            </w:r>
          </w:p>
          <w:p w14:paraId="124B4999" w14:textId="77777777" w:rsidR="00F2350B" w:rsidRPr="007633C5" w:rsidRDefault="00F2350B" w:rsidP="00ED1A1F">
            <w:pPr>
              <w:numPr>
                <w:ilvl w:val="0"/>
                <w:numId w:val="27"/>
              </w:numPr>
              <w:shd w:val="clear" w:color="auto" w:fill="FFFFFF"/>
              <w:spacing w:before="0" w:after="0"/>
              <w:rPr>
                <w:rFonts w:cs="Arial"/>
                <w:sz w:val="19"/>
                <w:szCs w:val="19"/>
              </w:rPr>
            </w:pPr>
            <w:r w:rsidRPr="007633C5">
              <w:rPr>
                <w:rFonts w:eastAsia="Times New Roman" w:cs="Arial"/>
                <w:color w:val="313131"/>
                <w:sz w:val="19"/>
                <w:szCs w:val="19"/>
              </w:rPr>
              <w:t>PHENOXYMETHYLPENICILLIN-AFT phenoxymethylpenicillin (as potassium salt) 250mg/5ml powder for oral liquid bottle (AUST R 159754)</w:t>
            </w:r>
          </w:p>
        </w:tc>
        <w:tc>
          <w:tcPr>
            <w:tcW w:w="1825" w:type="dxa"/>
            <w:vAlign w:val="center"/>
          </w:tcPr>
          <w:p w14:paraId="6D534035" w14:textId="77777777" w:rsidR="00F2350B" w:rsidRPr="007633C5" w:rsidRDefault="00AD6673" w:rsidP="00710B91">
            <w:pPr>
              <w:keepNext/>
              <w:spacing w:before="0" w:after="0"/>
              <w:rPr>
                <w:rFonts w:cs="Arial"/>
                <w:sz w:val="19"/>
                <w:szCs w:val="19"/>
              </w:rPr>
            </w:pPr>
            <w:hyperlink r:id="rId57" w:history="1">
              <w:r w:rsidR="00F2350B" w:rsidRPr="007633C5">
                <w:rPr>
                  <w:rStyle w:val="Hyperlink"/>
                  <w:rFonts w:cs="Arial"/>
                  <w:sz w:val="19"/>
                  <w:szCs w:val="19"/>
                </w:rPr>
                <w:t>Therapeutic Goods Serious Scarcity and Substitutable medicine PHENOXYMETHYLPENICILLIN instrument 2023</w:t>
              </w:r>
            </w:hyperlink>
          </w:p>
          <w:p w14:paraId="2DD311FD" w14:textId="77777777" w:rsidR="00F2350B" w:rsidRPr="007633C5" w:rsidRDefault="00F2350B" w:rsidP="00710B91">
            <w:pPr>
              <w:keepNext/>
              <w:spacing w:before="0" w:after="0"/>
              <w:rPr>
                <w:rFonts w:cs="Arial"/>
                <w:sz w:val="19"/>
                <w:szCs w:val="19"/>
              </w:rPr>
            </w:pPr>
          </w:p>
        </w:tc>
        <w:tc>
          <w:tcPr>
            <w:tcW w:w="1335" w:type="dxa"/>
            <w:vAlign w:val="center"/>
          </w:tcPr>
          <w:p w14:paraId="1565DD92" w14:textId="77777777" w:rsidR="00F2350B" w:rsidRPr="007633C5" w:rsidRDefault="00F2350B" w:rsidP="00710B91">
            <w:pPr>
              <w:keepNext/>
              <w:spacing w:before="0" w:after="0"/>
              <w:rPr>
                <w:rFonts w:cs="Arial"/>
                <w:sz w:val="19"/>
                <w:szCs w:val="19"/>
              </w:rPr>
            </w:pPr>
            <w:r w:rsidRPr="007633C5">
              <w:rPr>
                <w:rFonts w:cs="Arial"/>
                <w:sz w:val="19"/>
                <w:szCs w:val="19"/>
              </w:rPr>
              <w:t>17 April 2023 to 30 Sept 2023</w:t>
            </w:r>
          </w:p>
        </w:tc>
      </w:tr>
      <w:tr w:rsidR="00F2350B" w:rsidRPr="007633C5" w14:paraId="48A9CA3F" w14:textId="77777777" w:rsidTr="00710B91">
        <w:trPr>
          <w:trHeight w:val="340"/>
          <w:jc w:val="center"/>
        </w:trPr>
        <w:tc>
          <w:tcPr>
            <w:tcW w:w="1271" w:type="dxa"/>
            <w:vAlign w:val="center"/>
          </w:tcPr>
          <w:p w14:paraId="7E726F9C" w14:textId="77777777" w:rsidR="00F2350B" w:rsidRPr="007633C5" w:rsidRDefault="00F2350B" w:rsidP="00710B91">
            <w:pPr>
              <w:keepNext/>
              <w:spacing w:before="0" w:after="0"/>
              <w:rPr>
                <w:rFonts w:cs="Arial"/>
                <w:b/>
                <w:sz w:val="19"/>
                <w:szCs w:val="19"/>
              </w:rPr>
            </w:pPr>
            <w:r w:rsidRPr="007633C5">
              <w:rPr>
                <w:rFonts w:cs="Arial"/>
                <w:b/>
                <w:sz w:val="19"/>
                <w:szCs w:val="19"/>
              </w:rPr>
              <w:t>28/04/2023</w:t>
            </w:r>
          </w:p>
        </w:tc>
        <w:tc>
          <w:tcPr>
            <w:tcW w:w="2120" w:type="dxa"/>
            <w:vAlign w:val="center"/>
          </w:tcPr>
          <w:p w14:paraId="0730BB85" w14:textId="77777777" w:rsidR="00F2350B" w:rsidRPr="007633C5" w:rsidRDefault="00AD6673" w:rsidP="00710B91">
            <w:pPr>
              <w:keepNext/>
              <w:spacing w:before="0" w:after="0"/>
              <w:rPr>
                <w:rFonts w:cs="Arial"/>
                <w:sz w:val="19"/>
                <w:szCs w:val="19"/>
              </w:rPr>
            </w:pPr>
            <w:hyperlink r:id="rId58" w:history="1">
              <w:r w:rsidR="00F2350B" w:rsidRPr="007633C5">
                <w:rPr>
                  <w:rStyle w:val="Hyperlink"/>
                  <w:rFonts w:cs="Arial"/>
                  <w:sz w:val="19"/>
                  <w:szCs w:val="19"/>
                </w:rPr>
                <w:t>Substitution allowed to address shortage of cefaclor</w:t>
              </w:r>
            </w:hyperlink>
          </w:p>
          <w:p w14:paraId="73969CED" w14:textId="77777777" w:rsidR="00F2350B" w:rsidRPr="007633C5" w:rsidRDefault="00F2350B" w:rsidP="00710B91">
            <w:pPr>
              <w:keepNext/>
              <w:spacing w:before="0" w:after="0"/>
              <w:rPr>
                <w:rFonts w:cs="Arial"/>
                <w:sz w:val="19"/>
                <w:szCs w:val="19"/>
              </w:rPr>
            </w:pPr>
          </w:p>
        </w:tc>
        <w:tc>
          <w:tcPr>
            <w:tcW w:w="3610" w:type="dxa"/>
            <w:vAlign w:val="center"/>
          </w:tcPr>
          <w:p w14:paraId="740F3877" w14:textId="77777777" w:rsidR="00F2350B" w:rsidRPr="007633C5" w:rsidRDefault="00F2350B" w:rsidP="00ED1A1F">
            <w:pPr>
              <w:numPr>
                <w:ilvl w:val="0"/>
                <w:numId w:val="28"/>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KEFLOR cefaclor 125mg/5mL (as monohydrate) powder for oral liquid bottle (AUST R 58651);</w:t>
            </w:r>
          </w:p>
          <w:p w14:paraId="06F61D8D" w14:textId="77777777" w:rsidR="00F2350B" w:rsidRPr="007633C5" w:rsidRDefault="00F2350B" w:rsidP="00ED1A1F">
            <w:pPr>
              <w:numPr>
                <w:ilvl w:val="0"/>
                <w:numId w:val="28"/>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CECLOR cefaclor 125mg/5mL (as monohydrate) powder for oral liquid bottle (AUST R 54899)</w:t>
            </w:r>
          </w:p>
          <w:p w14:paraId="2AD8687D" w14:textId="77777777" w:rsidR="00F2350B" w:rsidRPr="007633C5" w:rsidRDefault="00F2350B" w:rsidP="00ED1A1F">
            <w:pPr>
              <w:numPr>
                <w:ilvl w:val="0"/>
                <w:numId w:val="28"/>
              </w:numPr>
              <w:shd w:val="clear" w:color="auto" w:fill="FFFFFF"/>
              <w:spacing w:before="0" w:after="0"/>
              <w:rPr>
                <w:rFonts w:eastAsia="Times New Roman" w:cs="Arial"/>
                <w:color w:val="313131"/>
                <w:sz w:val="19"/>
                <w:szCs w:val="19"/>
              </w:rPr>
            </w:pPr>
            <w:r w:rsidRPr="007633C5">
              <w:rPr>
                <w:rFonts w:eastAsia="Times New Roman" w:cs="Arial"/>
                <w:color w:val="313131"/>
                <w:sz w:val="19"/>
                <w:szCs w:val="19"/>
              </w:rPr>
              <w:t>KEFLOR cefaclor 250mg/5mL (as monohydrate) powder for oral liquid bottle (AUST R 58653);</w:t>
            </w:r>
          </w:p>
          <w:p w14:paraId="4B2D5B13" w14:textId="77777777" w:rsidR="00F2350B" w:rsidRPr="007633C5" w:rsidRDefault="00F2350B" w:rsidP="00ED1A1F">
            <w:pPr>
              <w:numPr>
                <w:ilvl w:val="0"/>
                <w:numId w:val="28"/>
              </w:numPr>
              <w:shd w:val="clear" w:color="auto" w:fill="FFFFFF"/>
              <w:spacing w:before="0" w:after="0"/>
              <w:rPr>
                <w:rFonts w:cs="Arial"/>
                <w:sz w:val="19"/>
                <w:szCs w:val="19"/>
              </w:rPr>
            </w:pPr>
            <w:r w:rsidRPr="007633C5">
              <w:rPr>
                <w:rFonts w:eastAsia="Times New Roman" w:cs="Arial"/>
                <w:color w:val="313131"/>
                <w:sz w:val="19"/>
                <w:szCs w:val="19"/>
              </w:rPr>
              <w:t>CECLOR cefaclor 250mg/5mL (as monohydrate) powder for oral liquid bottle (AUST R 347593)</w:t>
            </w:r>
          </w:p>
        </w:tc>
        <w:tc>
          <w:tcPr>
            <w:tcW w:w="1825" w:type="dxa"/>
            <w:vAlign w:val="center"/>
          </w:tcPr>
          <w:p w14:paraId="260BD5AD" w14:textId="77777777" w:rsidR="00F2350B" w:rsidRPr="007633C5" w:rsidRDefault="00AD6673" w:rsidP="00710B91">
            <w:pPr>
              <w:keepNext/>
              <w:spacing w:before="0" w:after="0"/>
              <w:rPr>
                <w:rFonts w:cs="Arial"/>
                <w:sz w:val="19"/>
                <w:szCs w:val="19"/>
              </w:rPr>
            </w:pPr>
            <w:hyperlink r:id="rId59" w:history="1">
              <w:r w:rsidR="00F2350B" w:rsidRPr="007633C5">
                <w:rPr>
                  <w:rStyle w:val="Hyperlink"/>
                  <w:rFonts w:cs="Arial"/>
                  <w:sz w:val="19"/>
                  <w:szCs w:val="19"/>
                </w:rPr>
                <w:t>Therapeutic goods (Serious scarcity and substitutable Medicine), Cefaclor instrument 2023</w:t>
              </w:r>
            </w:hyperlink>
          </w:p>
          <w:p w14:paraId="2F11054C" w14:textId="77777777" w:rsidR="00F2350B" w:rsidRPr="007633C5" w:rsidRDefault="00F2350B" w:rsidP="00710B91">
            <w:pPr>
              <w:keepNext/>
              <w:spacing w:before="0" w:after="0"/>
              <w:rPr>
                <w:rFonts w:cs="Arial"/>
                <w:sz w:val="19"/>
                <w:szCs w:val="19"/>
              </w:rPr>
            </w:pPr>
          </w:p>
        </w:tc>
        <w:tc>
          <w:tcPr>
            <w:tcW w:w="1335" w:type="dxa"/>
            <w:vAlign w:val="center"/>
          </w:tcPr>
          <w:p w14:paraId="3B04F7F8" w14:textId="77777777" w:rsidR="00F2350B" w:rsidRPr="007633C5" w:rsidRDefault="00F2350B" w:rsidP="00710B91">
            <w:pPr>
              <w:keepNext/>
              <w:spacing w:before="0" w:after="0"/>
              <w:rPr>
                <w:rFonts w:cs="Arial"/>
                <w:sz w:val="19"/>
                <w:szCs w:val="19"/>
              </w:rPr>
            </w:pPr>
            <w:r w:rsidRPr="007633C5">
              <w:rPr>
                <w:rFonts w:cs="Arial"/>
                <w:sz w:val="19"/>
                <w:szCs w:val="19"/>
              </w:rPr>
              <w:t>1 May 2023 to 30 September 2023</w:t>
            </w:r>
          </w:p>
        </w:tc>
      </w:tr>
    </w:tbl>
    <w:p w14:paraId="34C0B4F8" w14:textId="77777777" w:rsidR="00F2350B" w:rsidRDefault="00F2350B" w:rsidP="00F2350B">
      <w:pPr>
        <w:spacing w:before="0" w:after="160" w:line="259" w:lineRule="auto"/>
        <w:rPr>
          <w:rFonts w:eastAsia="Times New Roman" w:cs="Arial"/>
          <w:bCs/>
          <w:color w:val="29527F"/>
          <w:sz w:val="26"/>
          <w:szCs w:val="26"/>
          <w:lang w:val="en"/>
          <w14:textFill>
            <w14:solidFill>
              <w14:srgbClr w14:val="29527F">
                <w14:lumMod w14:val="90000"/>
                <w14:lumOff w14:val="10000"/>
              </w14:srgbClr>
            </w14:solidFill>
          </w14:textFill>
        </w:rPr>
      </w:pPr>
      <w:r>
        <w:rPr>
          <w:rFonts w:cs="Arial"/>
        </w:rPr>
        <w:br w:type="page"/>
      </w:r>
    </w:p>
    <w:p w14:paraId="5FEB5F04" w14:textId="77777777" w:rsidR="00F2350B" w:rsidRPr="00373DCC" w:rsidRDefault="00F2350B" w:rsidP="00B633E2">
      <w:pPr>
        <w:pStyle w:val="Heading3-numbered"/>
        <w:numPr>
          <w:ilvl w:val="1"/>
          <w:numId w:val="34"/>
        </w:numPr>
        <w:rPr>
          <w:rFonts w:ascii="Arial" w:hAnsi="Arial" w:cs="Arial"/>
        </w:rPr>
      </w:pPr>
      <w:bookmarkStart w:id="288" w:name="_Toc153550507"/>
      <w:r w:rsidRPr="00373DCC">
        <w:rPr>
          <w:rFonts w:ascii="Arial" w:hAnsi="Arial" w:cs="Arial"/>
        </w:rPr>
        <w:lastRenderedPageBreak/>
        <w:t>Section 19A approvals</w:t>
      </w:r>
      <w:bookmarkEnd w:id="288"/>
    </w:p>
    <w:p w14:paraId="63A8FCE2" w14:textId="77777777" w:rsidR="00F2350B" w:rsidRPr="00373DCC" w:rsidRDefault="00F2350B" w:rsidP="00F2350B">
      <w:pPr>
        <w:rPr>
          <w:rFonts w:cs="Arial"/>
          <w:sz w:val="21"/>
          <w:szCs w:val="21"/>
        </w:rPr>
      </w:pPr>
      <w:r w:rsidRPr="00373DCC">
        <w:rPr>
          <w:rFonts w:cs="Arial"/>
          <w:sz w:val="21"/>
          <w:szCs w:val="21"/>
        </w:rPr>
        <w:t xml:space="preserve">Section 19A of the </w:t>
      </w:r>
      <w:r w:rsidRPr="00373DCC">
        <w:rPr>
          <w:rFonts w:cs="Arial"/>
          <w:i/>
          <w:iCs/>
          <w:sz w:val="21"/>
          <w:szCs w:val="21"/>
        </w:rPr>
        <w:t>Therapeutic Goods Act 1989</w:t>
      </w:r>
      <w:r w:rsidRPr="00373DCC">
        <w:rPr>
          <w:rFonts w:cs="Arial"/>
          <w:sz w:val="21"/>
          <w:szCs w:val="21"/>
        </w:rPr>
        <w:t xml:space="preserve"> provides the legislative basis for the Secretary of the Department of Health to approve the import or supply of an overseas registered medicine that is not included in the ARTG, to mitigate a shortage of a medicine.</w:t>
      </w:r>
    </w:p>
    <w:p w14:paraId="64FA6189" w14:textId="77777777" w:rsidR="00F2350B" w:rsidRPr="00373DCC" w:rsidRDefault="00F2350B" w:rsidP="00F2350B">
      <w:pPr>
        <w:keepNext/>
        <w:spacing w:before="240" w:after="120" w:line="240" w:lineRule="auto"/>
        <w:rPr>
          <w:rFonts w:eastAsia="Cambria" w:cs="Arial"/>
          <w:b/>
          <w:bCs/>
          <w:sz w:val="21"/>
          <w:szCs w:val="21"/>
        </w:rPr>
      </w:pPr>
      <w:bookmarkStart w:id="289" w:name="Table88"/>
      <w:r w:rsidRPr="00373DCC">
        <w:rPr>
          <w:rFonts w:eastAsia="Cambria" w:cs="Arial"/>
          <w:b/>
          <w:bCs/>
          <w:sz w:val="21"/>
          <w:szCs w:val="21"/>
        </w:rPr>
        <w:t>Table 8</w:t>
      </w:r>
      <w:r>
        <w:rPr>
          <w:rFonts w:eastAsia="Cambria" w:cs="Arial"/>
          <w:b/>
          <w:bCs/>
          <w:sz w:val="21"/>
          <w:szCs w:val="21"/>
        </w:rPr>
        <w:t>9</w:t>
      </w:r>
      <w:r w:rsidRPr="00373DCC">
        <w:rPr>
          <w:rFonts w:eastAsia="Cambria" w:cs="Arial"/>
          <w:b/>
          <w:bCs/>
          <w:sz w:val="21"/>
          <w:szCs w:val="21"/>
        </w:rPr>
        <w:t>: Section 19A applications</w:t>
      </w:r>
    </w:p>
    <w:tbl>
      <w:tblPr>
        <w:tblStyle w:val="TableTGAblue"/>
        <w:tblW w:w="5015" w:type="pct"/>
        <w:tblLook w:val="04A0" w:firstRow="1" w:lastRow="0" w:firstColumn="1" w:lastColumn="0" w:noHBand="0" w:noVBand="1"/>
      </w:tblPr>
      <w:tblGrid>
        <w:gridCol w:w="6065"/>
        <w:gridCol w:w="1553"/>
        <w:gridCol w:w="1430"/>
      </w:tblGrid>
      <w:tr w:rsidR="00CC6609" w:rsidRPr="00373DCC" w14:paraId="0AC80C49" w14:textId="77777777" w:rsidTr="00CC66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52" w:type="pct"/>
            <w:tcBorders>
              <w:top w:val="nil"/>
              <w:left w:val="nil"/>
              <w:bottom w:val="nil"/>
              <w:right w:val="single" w:sz="4" w:space="0" w:color="002C47"/>
            </w:tcBorders>
            <w:shd w:val="clear" w:color="auto" w:fill="29527F"/>
            <w:vAlign w:val="center"/>
          </w:tcPr>
          <w:bookmarkEnd w:id="289"/>
          <w:p w14:paraId="747CB323" w14:textId="2D2ABDD2" w:rsidR="00CC6609" w:rsidRPr="00373DCC" w:rsidRDefault="00CC6609" w:rsidP="00CC6609">
            <w:pPr>
              <w:keepLines/>
              <w:spacing w:line="240" w:lineRule="atLeast"/>
              <w:contextualSpacing/>
              <w:rPr>
                <w:rFonts w:eastAsiaTheme="minorHAnsi" w:cs="Arial"/>
                <w:sz w:val="21"/>
              </w:rPr>
            </w:pPr>
            <w:r w:rsidRPr="00373DCC">
              <w:rPr>
                <w:rFonts w:cs="Arial"/>
                <w:sz w:val="21"/>
              </w:rPr>
              <w:t>Applications processed</w:t>
            </w:r>
          </w:p>
        </w:tc>
        <w:tc>
          <w:tcPr>
            <w:tcW w:w="858"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6EF134E8" w14:textId="3988F3F5" w:rsidR="00CC6609" w:rsidRPr="00373DCC" w:rsidRDefault="00CC6609" w:rsidP="00CC6609">
            <w:pPr>
              <w:keepLines/>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2021-22</w:t>
            </w:r>
          </w:p>
        </w:tc>
        <w:tc>
          <w:tcPr>
            <w:tcW w:w="790" w:type="pct"/>
            <w:tcBorders>
              <w:top w:val="single" w:sz="4" w:space="0" w:color="002C47"/>
              <w:left w:val="single" w:sz="4" w:space="0" w:color="002C47"/>
              <w:bottom w:val="single" w:sz="4" w:space="0" w:color="002C47"/>
              <w:right w:val="single" w:sz="4" w:space="0" w:color="002C47"/>
            </w:tcBorders>
            <w:shd w:val="clear" w:color="auto" w:fill="29527F"/>
            <w:vAlign w:val="center"/>
          </w:tcPr>
          <w:p w14:paraId="36879767" w14:textId="6AF27CDB" w:rsidR="00CC6609" w:rsidRPr="00373DCC" w:rsidRDefault="00CC6609" w:rsidP="00CC6609">
            <w:pPr>
              <w:keepLines/>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cs="Arial"/>
                <w:color w:val="FFFFFF" w:themeColor="background1"/>
                <w:sz w:val="21"/>
              </w:rPr>
            </w:pPr>
            <w:r>
              <w:rPr>
                <w:rFonts w:eastAsiaTheme="minorHAnsi" w:cs="Arial"/>
                <w:color w:val="FFFFFF" w:themeColor="background1"/>
                <w:sz w:val="21"/>
              </w:rPr>
              <w:t xml:space="preserve">FY </w:t>
            </w:r>
            <w:r w:rsidRPr="00373DCC">
              <w:rPr>
                <w:rFonts w:eastAsiaTheme="minorHAnsi" w:cs="Arial"/>
                <w:color w:val="FFFFFF" w:themeColor="background1"/>
                <w:sz w:val="21"/>
              </w:rPr>
              <w:t>2022-23</w:t>
            </w:r>
          </w:p>
        </w:tc>
      </w:tr>
      <w:tr w:rsidR="00F2350B" w:rsidRPr="00373DCC" w14:paraId="66F5A0C5"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vAlign w:val="center"/>
          </w:tcPr>
          <w:p w14:paraId="6B2E0143" w14:textId="77777777" w:rsidR="00F2350B" w:rsidRPr="00373DCC" w:rsidRDefault="00F2350B" w:rsidP="00710B91">
            <w:pPr>
              <w:keepLines/>
              <w:spacing w:line="240" w:lineRule="atLeast"/>
              <w:contextualSpacing/>
              <w:rPr>
                <w:rFonts w:eastAsiaTheme="minorHAnsi" w:cs="Arial"/>
                <w:sz w:val="21"/>
              </w:rPr>
            </w:pPr>
            <w:r w:rsidRPr="00373DCC">
              <w:rPr>
                <w:rFonts w:eastAsiaTheme="minorHAnsi" w:cs="Arial"/>
                <w:sz w:val="21"/>
              </w:rPr>
              <w:t xml:space="preserve">New </w:t>
            </w:r>
          </w:p>
        </w:tc>
        <w:tc>
          <w:tcPr>
            <w:tcW w:w="858" w:type="pct"/>
            <w:tcBorders>
              <w:top w:val="single" w:sz="4" w:space="0" w:color="000000"/>
              <w:left w:val="single" w:sz="4" w:space="0" w:color="000000"/>
              <w:bottom w:val="single" w:sz="4" w:space="0" w:color="000000"/>
              <w:right w:val="single" w:sz="4" w:space="0" w:color="000000"/>
            </w:tcBorders>
            <w:vAlign w:val="center"/>
          </w:tcPr>
          <w:p w14:paraId="5EF35D6D" w14:textId="77777777" w:rsidR="00F2350B" w:rsidRPr="00373DC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89</w:t>
            </w:r>
          </w:p>
        </w:tc>
        <w:tc>
          <w:tcPr>
            <w:tcW w:w="790" w:type="pct"/>
            <w:tcBorders>
              <w:top w:val="single" w:sz="4" w:space="0" w:color="000000"/>
              <w:left w:val="single" w:sz="4" w:space="0" w:color="000000"/>
              <w:bottom w:val="single" w:sz="4" w:space="0" w:color="000000"/>
              <w:right w:val="single" w:sz="4" w:space="0" w:color="000000"/>
            </w:tcBorders>
            <w:vAlign w:val="center"/>
          </w:tcPr>
          <w:p w14:paraId="395402A1" w14:textId="77777777" w:rsidR="00F2350B" w:rsidRPr="009F471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75</w:t>
            </w:r>
          </w:p>
        </w:tc>
      </w:tr>
      <w:tr w:rsidR="00F2350B" w:rsidRPr="00373DCC" w14:paraId="5CFEBFF7"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vAlign w:val="center"/>
          </w:tcPr>
          <w:p w14:paraId="78258DF0" w14:textId="77777777" w:rsidR="00F2350B" w:rsidRPr="00373DCC" w:rsidRDefault="00F2350B" w:rsidP="00710B91">
            <w:pPr>
              <w:keepLines/>
              <w:spacing w:line="240" w:lineRule="atLeast"/>
              <w:contextualSpacing/>
              <w:rPr>
                <w:rFonts w:eastAsiaTheme="minorHAnsi" w:cs="Arial"/>
                <w:sz w:val="21"/>
              </w:rPr>
            </w:pPr>
            <w:r w:rsidRPr="00373DCC">
              <w:rPr>
                <w:rFonts w:eastAsiaTheme="minorHAnsi" w:cs="Arial"/>
                <w:sz w:val="21"/>
              </w:rPr>
              <w:t xml:space="preserve">Renewals </w:t>
            </w:r>
          </w:p>
        </w:tc>
        <w:tc>
          <w:tcPr>
            <w:tcW w:w="858" w:type="pct"/>
            <w:tcBorders>
              <w:top w:val="single" w:sz="4" w:space="0" w:color="000000"/>
              <w:left w:val="single" w:sz="4" w:space="0" w:color="000000"/>
              <w:bottom w:val="single" w:sz="4" w:space="0" w:color="000000"/>
              <w:right w:val="single" w:sz="4" w:space="0" w:color="000000"/>
            </w:tcBorders>
            <w:vAlign w:val="center"/>
          </w:tcPr>
          <w:p w14:paraId="53C3315D" w14:textId="77777777" w:rsidR="00F2350B" w:rsidRPr="00373DC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52</w:t>
            </w:r>
          </w:p>
        </w:tc>
        <w:tc>
          <w:tcPr>
            <w:tcW w:w="790" w:type="pct"/>
            <w:tcBorders>
              <w:top w:val="single" w:sz="4" w:space="0" w:color="000000"/>
              <w:left w:val="single" w:sz="4" w:space="0" w:color="000000"/>
              <w:bottom w:val="single" w:sz="4" w:space="0" w:color="000000"/>
              <w:right w:val="single" w:sz="4" w:space="0" w:color="000000"/>
            </w:tcBorders>
            <w:vAlign w:val="center"/>
          </w:tcPr>
          <w:p w14:paraId="02499C53" w14:textId="77777777" w:rsidR="00F2350B" w:rsidRPr="009F471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65</w:t>
            </w:r>
          </w:p>
        </w:tc>
      </w:tr>
      <w:tr w:rsidR="00F2350B" w:rsidRPr="00373DCC" w14:paraId="43A6C09A" w14:textId="77777777" w:rsidTr="00710B91">
        <w:trPr>
          <w:trHeight w:val="340"/>
        </w:trPr>
        <w:tc>
          <w:tcPr>
            <w:cnfStyle w:val="001000000000" w:firstRow="0" w:lastRow="0" w:firstColumn="1" w:lastColumn="0" w:oddVBand="0" w:evenVBand="0" w:oddHBand="0" w:evenHBand="0" w:firstRowFirstColumn="0" w:firstRowLastColumn="0" w:lastRowFirstColumn="0" w:lastRowLastColumn="0"/>
            <w:tcW w:w="3352"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34176031" w14:textId="77777777" w:rsidR="00F2350B" w:rsidRPr="00373DCC" w:rsidRDefault="00F2350B" w:rsidP="00710B91">
            <w:pPr>
              <w:keepLines/>
              <w:spacing w:line="240" w:lineRule="atLeast"/>
              <w:contextualSpacing/>
              <w:rPr>
                <w:rFonts w:eastAsiaTheme="minorHAnsi" w:cs="Arial"/>
                <w:sz w:val="21"/>
              </w:rPr>
            </w:pPr>
            <w:r w:rsidRPr="00373DCC">
              <w:rPr>
                <w:rFonts w:eastAsiaTheme="minorHAnsi" w:cs="Arial"/>
                <w:sz w:val="21"/>
              </w:rPr>
              <w:t>Total</w:t>
            </w:r>
          </w:p>
        </w:tc>
        <w:tc>
          <w:tcPr>
            <w:tcW w:w="858"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7FD21323" w14:textId="77777777" w:rsidR="00F2350B" w:rsidRPr="00373DC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373DCC">
              <w:rPr>
                <w:rFonts w:eastAsiaTheme="minorHAnsi" w:cs="Arial"/>
                <w:sz w:val="21"/>
              </w:rPr>
              <w:t>141</w:t>
            </w:r>
          </w:p>
        </w:tc>
        <w:tc>
          <w:tcPr>
            <w:tcW w:w="790" w:type="pct"/>
            <w:tcBorders>
              <w:top w:val="single" w:sz="4" w:space="0" w:color="000000"/>
              <w:left w:val="single" w:sz="4" w:space="0" w:color="000000"/>
              <w:bottom w:val="single" w:sz="4" w:space="0" w:color="000000"/>
              <w:right w:val="single" w:sz="4" w:space="0" w:color="000000"/>
            </w:tcBorders>
            <w:shd w:val="clear" w:color="auto" w:fill="C6D4E9"/>
            <w:vAlign w:val="center"/>
          </w:tcPr>
          <w:p w14:paraId="39350FAA" w14:textId="77777777" w:rsidR="00F2350B" w:rsidRPr="009F471C" w:rsidRDefault="00F2350B" w:rsidP="00710B91">
            <w:pPr>
              <w:keepLines/>
              <w:spacing w:line="240" w:lineRule="atLeast"/>
              <w:contextualSpacing/>
              <w:jc w:val="right"/>
              <w:cnfStyle w:val="000000000000" w:firstRow="0" w:lastRow="0" w:firstColumn="0" w:lastColumn="0" w:oddVBand="0" w:evenVBand="0" w:oddHBand="0" w:evenHBand="0" w:firstRowFirstColumn="0" w:firstRowLastColumn="0" w:lastRowFirstColumn="0" w:lastRowLastColumn="0"/>
              <w:rPr>
                <w:rFonts w:eastAsiaTheme="minorHAnsi" w:cs="Arial"/>
                <w:sz w:val="21"/>
              </w:rPr>
            </w:pPr>
            <w:r w:rsidRPr="009F471C">
              <w:rPr>
                <w:rFonts w:eastAsiaTheme="minorHAnsi" w:cs="Arial"/>
                <w:sz w:val="21"/>
              </w:rPr>
              <w:t>140</w:t>
            </w:r>
          </w:p>
        </w:tc>
      </w:tr>
    </w:tbl>
    <w:p w14:paraId="6F37B799" w14:textId="77777777" w:rsidR="00F2350B" w:rsidRPr="00373DCC" w:rsidRDefault="00F2350B" w:rsidP="00F2350B">
      <w:pPr>
        <w:spacing w:after="180" w:line="240" w:lineRule="atLeast"/>
        <w:rPr>
          <w:rFonts w:eastAsia="Cambria" w:cs="Arial"/>
          <w:szCs w:val="22"/>
        </w:rPr>
      </w:pPr>
    </w:p>
    <w:p w14:paraId="478B58C0" w14:textId="77777777" w:rsidR="00F2350B" w:rsidRPr="00373DCC" w:rsidRDefault="00F2350B" w:rsidP="00F2350B">
      <w:pPr>
        <w:spacing w:after="180" w:line="240" w:lineRule="atLeast"/>
        <w:rPr>
          <w:rFonts w:eastAsia="Cambria" w:cs="Arial"/>
          <w:szCs w:val="22"/>
        </w:rPr>
      </w:pPr>
    </w:p>
    <w:p w14:paraId="78D33CFC" w14:textId="77777777" w:rsidR="00352492" w:rsidRPr="006C61B1" w:rsidRDefault="00352492" w:rsidP="4F3B871F"/>
    <w:sectPr w:rsidR="00352492" w:rsidRPr="006C61B1" w:rsidSect="00B12F36">
      <w:footerReference w:type="default" r:id="rId60"/>
      <w:headerReference w:type="first" r:id="rId61"/>
      <w:pgSz w:w="11906" w:h="16838"/>
      <w:pgMar w:top="896" w:right="1440" w:bottom="993" w:left="1440" w:header="708" w:footer="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D47C8" w14:textId="77777777" w:rsidR="00FD5DF5" w:rsidRDefault="00FD5DF5" w:rsidP="00FD5C31">
      <w:pPr>
        <w:spacing w:after="0" w:line="240" w:lineRule="auto"/>
      </w:pPr>
      <w:r>
        <w:separator/>
      </w:r>
    </w:p>
    <w:p w14:paraId="42478059" w14:textId="77777777" w:rsidR="00FD5DF5" w:rsidRDefault="00FD5DF5"/>
  </w:endnote>
  <w:endnote w:type="continuationSeparator" w:id="0">
    <w:p w14:paraId="2B18111F" w14:textId="77777777" w:rsidR="00FD5DF5" w:rsidRDefault="00FD5DF5" w:rsidP="00FD5C31">
      <w:pPr>
        <w:spacing w:after="0" w:line="240" w:lineRule="auto"/>
      </w:pPr>
      <w:r>
        <w:continuationSeparator/>
      </w:r>
    </w:p>
    <w:p w14:paraId="5555A834" w14:textId="77777777" w:rsidR="00FD5DF5" w:rsidRDefault="00FD5DF5"/>
  </w:endnote>
  <w:endnote w:type="continuationNotice" w:id="1">
    <w:p w14:paraId="19405CFA" w14:textId="77777777" w:rsidR="00FD5DF5" w:rsidRDefault="00FD5DF5">
      <w:pPr>
        <w:spacing w:after="0" w:line="240" w:lineRule="auto"/>
      </w:pPr>
    </w:p>
    <w:p w14:paraId="553B9D90" w14:textId="77777777" w:rsidR="00FD5DF5" w:rsidRDefault="00FD5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emilight">
    <w:panose1 w:val="020B04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215923"/>
      <w:docPartObj>
        <w:docPartGallery w:val="Page Numbers (Bottom of Page)"/>
        <w:docPartUnique/>
      </w:docPartObj>
    </w:sdtPr>
    <w:sdtEndPr>
      <w:rPr>
        <w:noProof/>
      </w:rPr>
    </w:sdtEndPr>
    <w:sdtContent>
      <w:p w14:paraId="553F75ED" w14:textId="739905B7" w:rsidR="005C26D1" w:rsidRDefault="005C26D1">
        <w:pPr>
          <w:pStyle w:val="Footer"/>
          <w:jc w:val="right"/>
        </w:pPr>
        <w:r>
          <w:rPr>
            <w:noProof/>
          </w:rPr>
          <w:drawing>
            <wp:anchor distT="0" distB="0" distL="114300" distR="114300" simplePos="0" relativeHeight="251659264" behindDoc="0" locked="0" layoutInCell="1" allowOverlap="1" wp14:anchorId="0B01C4B5" wp14:editId="02F0AA3D">
              <wp:simplePos x="0" y="0"/>
              <wp:positionH relativeFrom="margin">
                <wp:align>right</wp:align>
              </wp:positionH>
              <wp:positionV relativeFrom="paragraph">
                <wp:posOffset>85394</wp:posOffset>
              </wp:positionV>
              <wp:extent cx="5731510" cy="74295"/>
              <wp:effectExtent l="0" t="0" r="254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74295"/>
                      </a:xfrm>
                      <a:prstGeom prst="rect">
                        <a:avLst/>
                      </a:prstGeom>
                    </pic:spPr>
                  </pic:pic>
                </a:graphicData>
              </a:graphic>
            </wp:anchor>
          </w:drawing>
        </w:r>
      </w:p>
      <w:tbl>
        <w:tblPr>
          <w:tblW w:w="0" w:type="auto"/>
          <w:tblLook w:val="0000" w:firstRow="0" w:lastRow="0" w:firstColumn="0" w:lastColumn="0" w:noHBand="0" w:noVBand="0"/>
        </w:tblPr>
        <w:tblGrid>
          <w:gridCol w:w="4513"/>
          <w:gridCol w:w="4513"/>
        </w:tblGrid>
        <w:tr w:rsidR="005C26D1" w14:paraId="0081841B" w14:textId="77777777">
          <w:tc>
            <w:tcPr>
              <w:tcW w:w="4513" w:type="dxa"/>
            </w:tcPr>
            <w:p w14:paraId="39002A41" w14:textId="47EB5E51" w:rsidR="005C26D1" w:rsidRDefault="005C26D1">
              <w:pPr>
                <w:pStyle w:val="Footer"/>
                <w:jc w:val="right"/>
              </w:pPr>
              <w:r w:rsidRPr="00294283" w:rsidDel="004F47A3">
                <w:rPr>
                  <w:rFonts w:cs="Arial"/>
                  <w:caps/>
                  <w:color w:val="808080" w:themeColor="background1" w:themeShade="80"/>
                  <w:sz w:val="16"/>
                  <w:szCs w:val="16"/>
                </w:rPr>
                <w:t>T</w:t>
              </w:r>
              <w:r w:rsidRPr="00294283">
                <w:rPr>
                  <w:rFonts w:cs="Arial"/>
                  <w:caps/>
                  <w:color w:val="808080" w:themeColor="background1" w:themeShade="80"/>
                  <w:sz w:val="16"/>
                  <w:szCs w:val="16"/>
                </w:rPr>
                <w:t>GA Performance report jULY 2022 TO JUNE 23</w:t>
              </w:r>
            </w:p>
          </w:tc>
          <w:tc>
            <w:tcPr>
              <w:tcW w:w="4513" w:type="dxa"/>
            </w:tcPr>
            <w:p w14:paraId="2B127216" w14:textId="373DC5B8" w:rsidR="005C26D1" w:rsidRPr="005C26D1" w:rsidRDefault="005C26D1" w:rsidP="005C26D1">
              <w:pPr>
                <w:pStyle w:val="Footer"/>
                <w:jc w:val="right"/>
                <w:rPr>
                  <w:rFonts w:cs="Arial"/>
                  <w:caps/>
                  <w:color w:val="808080" w:themeColor="background1" w:themeShade="80"/>
                  <w:sz w:val="16"/>
                  <w:szCs w:val="16"/>
                </w:rPr>
              </w:pPr>
              <w:r w:rsidRPr="005C26D1">
                <w:rPr>
                  <w:rFonts w:cs="Arial"/>
                  <w:caps/>
                  <w:color w:val="808080" w:themeColor="background1" w:themeShade="80"/>
                  <w:sz w:val="16"/>
                  <w:szCs w:val="16"/>
                </w:rPr>
                <w:fldChar w:fldCharType="begin"/>
              </w:r>
              <w:r w:rsidRPr="005C26D1">
                <w:rPr>
                  <w:rFonts w:cs="Arial"/>
                  <w:caps/>
                  <w:color w:val="808080" w:themeColor="background1" w:themeShade="80"/>
                  <w:sz w:val="16"/>
                  <w:szCs w:val="16"/>
                </w:rPr>
                <w:instrText xml:space="preserve"> PAGE   \* MERGEFORMAT </w:instrText>
              </w:r>
              <w:r w:rsidRPr="005C26D1">
                <w:rPr>
                  <w:rFonts w:cs="Arial"/>
                  <w:caps/>
                  <w:color w:val="808080" w:themeColor="background1" w:themeShade="80"/>
                  <w:sz w:val="16"/>
                  <w:szCs w:val="16"/>
                </w:rPr>
                <w:fldChar w:fldCharType="separate"/>
              </w:r>
              <w:r w:rsidRPr="005C26D1">
                <w:rPr>
                  <w:rFonts w:cs="Arial"/>
                  <w:caps/>
                  <w:color w:val="808080" w:themeColor="background1" w:themeShade="80"/>
                  <w:sz w:val="16"/>
                  <w:szCs w:val="16"/>
                </w:rPr>
                <w:t>114</w:t>
              </w:r>
              <w:r w:rsidRPr="005C26D1">
                <w:rPr>
                  <w:rFonts w:cs="Arial"/>
                  <w:caps/>
                  <w:color w:val="808080" w:themeColor="background1" w:themeShade="80"/>
                  <w:sz w:val="16"/>
                  <w:szCs w:val="16"/>
                </w:rPr>
                <w:fldChar w:fldCharType="end"/>
              </w:r>
            </w:p>
            <w:p w14:paraId="5661C9A4" w14:textId="77777777" w:rsidR="005C26D1" w:rsidRDefault="005C26D1">
              <w:pPr>
                <w:pStyle w:val="Footer"/>
                <w:jc w:val="right"/>
              </w:pPr>
            </w:p>
          </w:tc>
        </w:tr>
      </w:tbl>
      <w:p w14:paraId="667FC5A5" w14:textId="7D5CFE69" w:rsidR="005C26D1" w:rsidRDefault="00AD6673" w:rsidP="005C26D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90E0C" w14:textId="77777777" w:rsidR="00FD5DF5" w:rsidRDefault="00FD5DF5" w:rsidP="00FD5C31">
      <w:pPr>
        <w:spacing w:after="0" w:line="240" w:lineRule="auto"/>
      </w:pPr>
      <w:r>
        <w:separator/>
      </w:r>
    </w:p>
    <w:p w14:paraId="59DCD2AD" w14:textId="77777777" w:rsidR="00FD5DF5" w:rsidRDefault="00FD5DF5"/>
  </w:footnote>
  <w:footnote w:type="continuationSeparator" w:id="0">
    <w:p w14:paraId="7EA70F1D" w14:textId="77777777" w:rsidR="00FD5DF5" w:rsidRDefault="00FD5DF5" w:rsidP="00FD5C31">
      <w:pPr>
        <w:spacing w:after="0" w:line="240" w:lineRule="auto"/>
      </w:pPr>
      <w:r>
        <w:continuationSeparator/>
      </w:r>
    </w:p>
    <w:p w14:paraId="69FBBD6D" w14:textId="77777777" w:rsidR="00FD5DF5" w:rsidRDefault="00FD5DF5"/>
  </w:footnote>
  <w:footnote w:type="continuationNotice" w:id="1">
    <w:p w14:paraId="5E6C0C26" w14:textId="77777777" w:rsidR="00FD5DF5" w:rsidRDefault="00FD5DF5">
      <w:pPr>
        <w:spacing w:after="0" w:line="240" w:lineRule="auto"/>
      </w:pPr>
    </w:p>
    <w:p w14:paraId="721B07B6" w14:textId="77777777" w:rsidR="00FD5DF5" w:rsidRDefault="00FD5DF5"/>
  </w:footnote>
  <w:footnote w:id="2">
    <w:p w14:paraId="662F1F79" w14:textId="76220A2C" w:rsidR="000D7A44" w:rsidRPr="00950991" w:rsidRDefault="00AD6673" w:rsidP="00B12F36">
      <w:pPr>
        <w:pStyle w:val="FootnoteText"/>
        <w:spacing w:before="0"/>
        <w:rPr>
          <w:sz w:val="18"/>
          <w:szCs w:val="18"/>
        </w:rPr>
      </w:pPr>
      <w:hyperlink w:anchor="Table40" w:history="1">
        <w:r w:rsidR="000D7A44" w:rsidRPr="00950991">
          <w:rPr>
            <w:rStyle w:val="Hyperlink"/>
            <w:color w:val="auto"/>
            <w:sz w:val="18"/>
            <w:szCs w:val="18"/>
            <w:u w:val="none"/>
            <w:vertAlign w:val="superscript"/>
          </w:rPr>
          <w:footnoteRef/>
        </w:r>
        <w:r w:rsidR="000D7A44" w:rsidRPr="00950991">
          <w:rPr>
            <w:rStyle w:val="Hyperlink"/>
            <w:color w:val="auto"/>
            <w:sz w:val="18"/>
            <w:szCs w:val="18"/>
            <w:u w:val="none"/>
          </w:rPr>
          <w:t xml:space="preserve"> Please refer Table 40 Appendix 8.2.1</w:t>
        </w:r>
      </w:hyperlink>
      <w:r w:rsidR="000D7A44" w:rsidRPr="00950991">
        <w:rPr>
          <w:sz w:val="18"/>
          <w:szCs w:val="18"/>
        </w:rPr>
        <w:t xml:space="preserve"> </w:t>
      </w:r>
    </w:p>
  </w:footnote>
  <w:footnote w:id="3">
    <w:p w14:paraId="3040DDEF" w14:textId="11DD8A3F" w:rsidR="00860D1D" w:rsidRPr="004A6807" w:rsidRDefault="00AD6673">
      <w:pPr>
        <w:pStyle w:val="FootnoteText"/>
        <w:rPr>
          <w:sz w:val="18"/>
          <w:szCs w:val="18"/>
        </w:rPr>
      </w:pPr>
      <w:hyperlink w:anchor="Table63" w:history="1">
        <w:r w:rsidR="00860D1D" w:rsidRPr="00950991">
          <w:rPr>
            <w:rStyle w:val="Hyperlink"/>
            <w:color w:val="auto"/>
            <w:sz w:val="18"/>
            <w:szCs w:val="18"/>
            <w:u w:val="none"/>
            <w:vertAlign w:val="superscript"/>
          </w:rPr>
          <w:footnoteRef/>
        </w:r>
        <w:r w:rsidR="00860D1D" w:rsidRPr="00950991">
          <w:rPr>
            <w:rStyle w:val="Hyperlink"/>
            <w:color w:val="auto"/>
            <w:sz w:val="18"/>
            <w:szCs w:val="18"/>
            <w:u w:val="none"/>
          </w:rPr>
          <w:t xml:space="preserve"> Please refer Table </w:t>
        </w:r>
        <w:r w:rsidR="005C55D8" w:rsidRPr="00950991">
          <w:rPr>
            <w:rStyle w:val="Hyperlink"/>
            <w:color w:val="auto"/>
            <w:sz w:val="18"/>
            <w:szCs w:val="18"/>
            <w:u w:val="none"/>
          </w:rPr>
          <w:t>63 A</w:t>
        </w:r>
        <w:r w:rsidR="00F220A3" w:rsidRPr="00950991">
          <w:rPr>
            <w:rStyle w:val="Hyperlink"/>
            <w:color w:val="auto"/>
            <w:sz w:val="18"/>
            <w:szCs w:val="18"/>
            <w:u w:val="none"/>
          </w:rPr>
          <w:t xml:space="preserve">ppendix </w:t>
        </w:r>
        <w:r w:rsidR="00410B3A" w:rsidRPr="00950991">
          <w:rPr>
            <w:rStyle w:val="Hyperlink"/>
            <w:color w:val="auto"/>
            <w:sz w:val="18"/>
            <w:szCs w:val="18"/>
            <w:u w:val="none"/>
          </w:rPr>
          <w:t>11.2</w:t>
        </w:r>
      </w:hyperlink>
    </w:p>
  </w:footnote>
  <w:footnote w:id="4">
    <w:p w14:paraId="30D58152" w14:textId="77777777" w:rsidR="00B71BE3" w:rsidRPr="00AB2E5B" w:rsidRDefault="00B71BE3" w:rsidP="00B71BE3">
      <w:pPr>
        <w:pStyle w:val="FootnoteText"/>
        <w:rPr>
          <w:sz w:val="18"/>
          <w:szCs w:val="18"/>
        </w:rPr>
      </w:pPr>
      <w:r w:rsidRPr="00AB2E5B">
        <w:rPr>
          <w:rStyle w:val="FootnoteReference"/>
          <w:sz w:val="18"/>
          <w:szCs w:val="18"/>
        </w:rPr>
        <w:footnoteRef/>
      </w:r>
      <w:r w:rsidRPr="00AB2E5B">
        <w:rPr>
          <w:sz w:val="18"/>
          <w:szCs w:val="18"/>
        </w:rPr>
        <w:t xml:space="preserve"> Please refer Table 55-57 Appendix 10.2</w:t>
      </w:r>
    </w:p>
  </w:footnote>
  <w:footnote w:id="5">
    <w:p w14:paraId="1EB1AFE6" w14:textId="4E284C5D" w:rsidR="00AE664E" w:rsidRPr="000F7521" w:rsidRDefault="00AE664E">
      <w:pPr>
        <w:pStyle w:val="FootnoteText"/>
        <w:rPr>
          <w:sz w:val="18"/>
          <w:szCs w:val="18"/>
        </w:rPr>
      </w:pPr>
      <w:r w:rsidRPr="000F7521">
        <w:rPr>
          <w:rStyle w:val="FootnoteReference"/>
          <w:sz w:val="18"/>
          <w:szCs w:val="18"/>
        </w:rPr>
        <w:footnoteRef/>
      </w:r>
      <w:r w:rsidRPr="000F7521">
        <w:rPr>
          <w:sz w:val="18"/>
          <w:szCs w:val="18"/>
        </w:rPr>
        <w:t xml:space="preserve"> </w:t>
      </w:r>
      <w:r w:rsidR="00ED40BA" w:rsidRPr="000F7521">
        <w:rPr>
          <w:sz w:val="18"/>
          <w:szCs w:val="18"/>
        </w:rPr>
        <w:t xml:space="preserve"> </w:t>
      </w:r>
      <w:hyperlink r:id="rId1" w:history="1">
        <w:r w:rsidR="001A0529" w:rsidRPr="000F7521">
          <w:rPr>
            <w:rStyle w:val="Hyperlink"/>
            <w:color w:val="auto"/>
            <w:sz w:val="18"/>
            <w:szCs w:val="18"/>
          </w:rPr>
          <w:t>Real world evidence and patient reported outcomes in the regulatory context</w:t>
        </w:r>
      </w:hyperlink>
    </w:p>
    <w:p w14:paraId="4631802F" w14:textId="77777777" w:rsidR="00DE0E89" w:rsidRDefault="00DE0E89">
      <w:pPr>
        <w:pStyle w:val="FootnoteText"/>
      </w:pPr>
    </w:p>
  </w:footnote>
  <w:footnote w:id="6">
    <w:p w14:paraId="66CFD414" w14:textId="558A0F1A" w:rsidR="00160776" w:rsidRDefault="00160776">
      <w:pPr>
        <w:pStyle w:val="FootnoteText"/>
      </w:pPr>
      <w:r>
        <w:rPr>
          <w:rStyle w:val="FootnoteReference"/>
        </w:rPr>
        <w:footnoteRef/>
      </w:r>
      <w:r>
        <w:t xml:space="preserve"> </w:t>
      </w:r>
      <w:r w:rsidRPr="00716816">
        <w:rPr>
          <w:sz w:val="18"/>
          <w:szCs w:val="18"/>
        </w:rPr>
        <w:t>Please refer to table 50 Appendix 8.3.4</w:t>
      </w:r>
    </w:p>
  </w:footnote>
  <w:footnote w:id="7">
    <w:p w14:paraId="78D546E9" w14:textId="790B1682" w:rsidR="00E5147A" w:rsidRPr="000211F6" w:rsidRDefault="00E5147A">
      <w:pPr>
        <w:pStyle w:val="FootnoteText"/>
        <w:rPr>
          <w:sz w:val="18"/>
          <w:szCs w:val="18"/>
        </w:rPr>
      </w:pPr>
      <w:r w:rsidRPr="000211F6">
        <w:rPr>
          <w:rStyle w:val="FootnoteReference"/>
          <w:sz w:val="18"/>
          <w:szCs w:val="18"/>
        </w:rPr>
        <w:footnoteRef/>
      </w:r>
      <w:r w:rsidRPr="000211F6">
        <w:rPr>
          <w:sz w:val="18"/>
          <w:szCs w:val="18"/>
        </w:rPr>
        <w:t xml:space="preserve"> </w:t>
      </w:r>
      <w:r w:rsidR="00015274" w:rsidRPr="000211F6">
        <w:rPr>
          <w:sz w:val="18"/>
          <w:szCs w:val="18"/>
        </w:rPr>
        <w:t>Please refer to table 48-49 Appendix 8.3.4</w:t>
      </w:r>
    </w:p>
  </w:footnote>
  <w:footnote w:id="8">
    <w:p w14:paraId="5972470E" w14:textId="4F040C9D" w:rsidR="0012282F" w:rsidRPr="00983AA2" w:rsidRDefault="0012282F">
      <w:pPr>
        <w:pStyle w:val="FootnoteText"/>
        <w:rPr>
          <w:sz w:val="18"/>
          <w:szCs w:val="18"/>
        </w:rPr>
      </w:pPr>
      <w:r w:rsidRPr="00983AA2">
        <w:rPr>
          <w:rStyle w:val="FootnoteReference"/>
          <w:sz w:val="18"/>
          <w:szCs w:val="18"/>
        </w:rPr>
        <w:footnoteRef/>
      </w:r>
      <w:r w:rsidRPr="00983AA2">
        <w:rPr>
          <w:sz w:val="18"/>
          <w:szCs w:val="18"/>
        </w:rPr>
        <w:t xml:space="preserve"> Please refer to table </w:t>
      </w:r>
      <w:r w:rsidR="00AD0E66" w:rsidRPr="00983AA2">
        <w:rPr>
          <w:sz w:val="18"/>
          <w:szCs w:val="18"/>
        </w:rPr>
        <w:t>6 Appendix 1.4</w:t>
      </w:r>
    </w:p>
  </w:footnote>
  <w:footnote w:id="9">
    <w:p w14:paraId="1AFCFAFF" w14:textId="6854E411" w:rsidR="004C7BE3" w:rsidRPr="00983AA2" w:rsidRDefault="004C7BE3">
      <w:pPr>
        <w:pStyle w:val="FootnoteText"/>
        <w:rPr>
          <w:sz w:val="18"/>
          <w:szCs w:val="18"/>
        </w:rPr>
      </w:pPr>
      <w:r w:rsidRPr="00983AA2">
        <w:rPr>
          <w:rStyle w:val="FootnoteReference"/>
          <w:sz w:val="18"/>
          <w:szCs w:val="18"/>
        </w:rPr>
        <w:footnoteRef/>
      </w:r>
      <w:r w:rsidRPr="00983AA2">
        <w:rPr>
          <w:sz w:val="18"/>
          <w:szCs w:val="18"/>
        </w:rPr>
        <w:t xml:space="preserve"> Please refer to table 33-34 Appendix </w:t>
      </w:r>
      <w:r w:rsidR="00DC6CF8" w:rsidRPr="00983AA2">
        <w:rPr>
          <w:sz w:val="18"/>
          <w:szCs w:val="18"/>
        </w:rPr>
        <w:t>6</w:t>
      </w:r>
    </w:p>
  </w:footnote>
  <w:footnote w:id="10">
    <w:p w14:paraId="05183147" w14:textId="350E4E7A" w:rsidR="00EC2647" w:rsidRPr="00983AA2" w:rsidRDefault="00EC2647">
      <w:pPr>
        <w:pStyle w:val="FootnoteText"/>
        <w:rPr>
          <w:sz w:val="18"/>
          <w:szCs w:val="18"/>
        </w:rPr>
      </w:pPr>
      <w:r w:rsidRPr="00983AA2">
        <w:rPr>
          <w:rStyle w:val="FootnoteReference"/>
          <w:sz w:val="18"/>
          <w:szCs w:val="18"/>
        </w:rPr>
        <w:footnoteRef/>
      </w:r>
      <w:r w:rsidRPr="00983AA2">
        <w:rPr>
          <w:sz w:val="18"/>
          <w:szCs w:val="18"/>
        </w:rPr>
        <w:t xml:space="preserve"> Please refer to table 51 Appendix </w:t>
      </w:r>
      <w:r w:rsidR="002F38CD" w:rsidRPr="00983AA2">
        <w:rPr>
          <w:sz w:val="18"/>
          <w:szCs w:val="18"/>
        </w:rPr>
        <w:t xml:space="preserve">9 </w:t>
      </w:r>
    </w:p>
  </w:footnote>
  <w:footnote w:id="11">
    <w:p w14:paraId="5423C7E1" w14:textId="77777777" w:rsidR="00854A74" w:rsidRPr="00566C7D" w:rsidRDefault="00854A74" w:rsidP="00854A74">
      <w:pPr>
        <w:pStyle w:val="FootnoteText"/>
        <w:rPr>
          <w:sz w:val="18"/>
          <w:szCs w:val="18"/>
        </w:rPr>
      </w:pPr>
      <w:r w:rsidRPr="00566C7D">
        <w:rPr>
          <w:rStyle w:val="FootnoteReference"/>
          <w:sz w:val="18"/>
          <w:szCs w:val="18"/>
        </w:rPr>
        <w:footnoteRef/>
      </w:r>
      <w:r w:rsidRPr="00566C7D">
        <w:rPr>
          <w:sz w:val="18"/>
          <w:szCs w:val="18"/>
        </w:rPr>
        <w:t xml:space="preserve"> Please refer to table 35 Appendix 7</w:t>
      </w:r>
    </w:p>
  </w:footnote>
  <w:footnote w:id="12">
    <w:p w14:paraId="04D5399C" w14:textId="52D3F270" w:rsidR="0011256B" w:rsidRPr="00A30BA7" w:rsidRDefault="0011256B">
      <w:pPr>
        <w:pStyle w:val="FootnoteText"/>
        <w:rPr>
          <w:sz w:val="18"/>
          <w:szCs w:val="18"/>
        </w:rPr>
      </w:pPr>
      <w:r>
        <w:rPr>
          <w:rStyle w:val="FootnoteReference"/>
        </w:rPr>
        <w:footnoteRef/>
      </w:r>
      <w:r>
        <w:t xml:space="preserve"> </w:t>
      </w:r>
      <w:r w:rsidR="00A30BA7" w:rsidRPr="00A30BA7">
        <w:rPr>
          <w:sz w:val="18"/>
          <w:szCs w:val="18"/>
        </w:rPr>
        <w:t>Please refer to Table 84 Appendix 16</w:t>
      </w:r>
    </w:p>
  </w:footnote>
  <w:footnote w:id="13">
    <w:p w14:paraId="3C18C6C7" w14:textId="07DC2B92" w:rsidR="006C40BE" w:rsidRPr="00A30BA7" w:rsidRDefault="00AD6673">
      <w:pPr>
        <w:pStyle w:val="FootnoteText"/>
        <w:rPr>
          <w:sz w:val="18"/>
          <w:szCs w:val="18"/>
        </w:rPr>
      </w:pPr>
      <w:hyperlink w:anchor="Table83" w:history="1">
        <w:r w:rsidR="006C40BE" w:rsidRPr="000F7521">
          <w:rPr>
            <w:rStyle w:val="Hyperlink"/>
            <w:color w:val="auto"/>
            <w:sz w:val="18"/>
            <w:szCs w:val="18"/>
            <w:u w:val="none"/>
            <w:vertAlign w:val="superscript"/>
          </w:rPr>
          <w:footnoteRef/>
        </w:r>
        <w:r w:rsidR="006C40BE" w:rsidRPr="000F7521">
          <w:rPr>
            <w:rStyle w:val="Hyperlink"/>
            <w:color w:val="auto"/>
            <w:sz w:val="18"/>
            <w:szCs w:val="18"/>
            <w:u w:val="none"/>
          </w:rPr>
          <w:t xml:space="preserve"> </w:t>
        </w:r>
        <w:r w:rsidR="009A356D" w:rsidRPr="000F7521">
          <w:rPr>
            <w:rStyle w:val="Hyperlink"/>
            <w:color w:val="auto"/>
            <w:sz w:val="18"/>
            <w:szCs w:val="18"/>
            <w:u w:val="none"/>
          </w:rPr>
          <w:t>Please refer to Table 83 Appendix 15</w:t>
        </w:r>
      </w:hyperlink>
      <w:r w:rsidR="009A356D" w:rsidRPr="000F7521">
        <w:rPr>
          <w:sz w:val="18"/>
          <w:szCs w:val="18"/>
        </w:rPr>
        <w:t xml:space="preserve"> </w:t>
      </w:r>
    </w:p>
  </w:footnote>
  <w:footnote w:id="14">
    <w:p w14:paraId="6489407C" w14:textId="04D8CCA0" w:rsidR="00EE2128" w:rsidRPr="00580408" w:rsidRDefault="00EE2128">
      <w:pPr>
        <w:pStyle w:val="FootnoteText"/>
        <w:rPr>
          <w:sz w:val="18"/>
          <w:szCs w:val="18"/>
        </w:rPr>
      </w:pPr>
      <w:r w:rsidRPr="00580408">
        <w:rPr>
          <w:rStyle w:val="FootnoteReference"/>
          <w:sz w:val="18"/>
          <w:szCs w:val="18"/>
        </w:rPr>
        <w:footnoteRef/>
      </w:r>
      <w:r w:rsidRPr="00580408">
        <w:rPr>
          <w:sz w:val="18"/>
          <w:szCs w:val="18"/>
        </w:rPr>
        <w:t xml:space="preserve"> Please refer to table </w:t>
      </w:r>
      <w:r w:rsidR="004E5081" w:rsidRPr="00580408">
        <w:rPr>
          <w:sz w:val="18"/>
          <w:szCs w:val="18"/>
        </w:rPr>
        <w:t xml:space="preserve">81 Appendix </w:t>
      </w:r>
      <w:r w:rsidR="0053094F" w:rsidRPr="00580408">
        <w:rPr>
          <w:sz w:val="18"/>
          <w:szCs w:val="18"/>
        </w:rPr>
        <w:t>14.2</w:t>
      </w:r>
    </w:p>
  </w:footnote>
  <w:footnote w:id="15">
    <w:p w14:paraId="5768AFB8" w14:textId="06FF2CEF" w:rsidR="006D0E3C" w:rsidRPr="00580408" w:rsidRDefault="006D0E3C">
      <w:pPr>
        <w:pStyle w:val="FootnoteText"/>
        <w:rPr>
          <w:sz w:val="18"/>
          <w:szCs w:val="18"/>
        </w:rPr>
      </w:pPr>
      <w:r w:rsidRPr="00580408">
        <w:rPr>
          <w:rStyle w:val="FootnoteReference"/>
          <w:sz w:val="18"/>
          <w:szCs w:val="18"/>
        </w:rPr>
        <w:footnoteRef/>
      </w:r>
      <w:r w:rsidRPr="00580408">
        <w:rPr>
          <w:sz w:val="18"/>
          <w:szCs w:val="18"/>
        </w:rPr>
        <w:t xml:space="preserve"> Please refer to Table </w:t>
      </w:r>
      <w:r w:rsidR="00960E4B" w:rsidRPr="00580408">
        <w:rPr>
          <w:sz w:val="18"/>
          <w:szCs w:val="18"/>
        </w:rPr>
        <w:t xml:space="preserve">77 to </w:t>
      </w:r>
      <w:r w:rsidR="00D6484E" w:rsidRPr="00580408">
        <w:rPr>
          <w:sz w:val="18"/>
          <w:szCs w:val="18"/>
        </w:rPr>
        <w:t>80 Appendix 14.1</w:t>
      </w:r>
    </w:p>
  </w:footnote>
  <w:footnote w:id="16">
    <w:p w14:paraId="5F4A33B7" w14:textId="5B229FB9" w:rsidR="00BF5DFD" w:rsidRPr="00580408" w:rsidRDefault="00BF5DFD">
      <w:pPr>
        <w:pStyle w:val="FootnoteText"/>
        <w:rPr>
          <w:sz w:val="18"/>
          <w:szCs w:val="18"/>
        </w:rPr>
      </w:pPr>
      <w:r w:rsidRPr="00580408">
        <w:rPr>
          <w:rStyle w:val="FootnoteReference"/>
          <w:sz w:val="18"/>
          <w:szCs w:val="18"/>
        </w:rPr>
        <w:footnoteRef/>
      </w:r>
      <w:r w:rsidRPr="00580408">
        <w:rPr>
          <w:sz w:val="18"/>
          <w:szCs w:val="18"/>
        </w:rPr>
        <w:t xml:space="preserve"> Please refer to </w:t>
      </w:r>
      <w:r w:rsidR="00022571" w:rsidRPr="00580408">
        <w:rPr>
          <w:sz w:val="18"/>
          <w:szCs w:val="18"/>
        </w:rPr>
        <w:t xml:space="preserve">Table 28 Appendix </w:t>
      </w:r>
      <w:r w:rsidR="00427070" w:rsidRPr="00580408">
        <w:rPr>
          <w:sz w:val="18"/>
          <w:szCs w:val="18"/>
        </w:rPr>
        <w:t xml:space="preserve">5.8 </w:t>
      </w:r>
    </w:p>
  </w:footnote>
  <w:footnote w:id="17">
    <w:p w14:paraId="003B47DD" w14:textId="7B26C731" w:rsidR="00383E85" w:rsidRPr="00580408" w:rsidRDefault="00383E85">
      <w:pPr>
        <w:pStyle w:val="FootnoteText"/>
        <w:rPr>
          <w:sz w:val="18"/>
          <w:szCs w:val="18"/>
        </w:rPr>
      </w:pPr>
      <w:r w:rsidRPr="00580408">
        <w:rPr>
          <w:rStyle w:val="FootnoteReference"/>
          <w:sz w:val="18"/>
          <w:szCs w:val="18"/>
        </w:rPr>
        <w:footnoteRef/>
      </w:r>
      <w:r w:rsidRPr="00580408">
        <w:rPr>
          <w:sz w:val="18"/>
          <w:szCs w:val="18"/>
        </w:rPr>
        <w:t xml:space="preserve"> </w:t>
      </w:r>
      <w:r w:rsidR="00F41156" w:rsidRPr="00580408">
        <w:rPr>
          <w:sz w:val="18"/>
          <w:szCs w:val="18"/>
        </w:rPr>
        <w:t xml:space="preserve">Please refer to Table </w:t>
      </w:r>
      <w:r w:rsidR="00DA61CF" w:rsidRPr="00580408">
        <w:rPr>
          <w:sz w:val="18"/>
          <w:szCs w:val="18"/>
        </w:rPr>
        <w:t xml:space="preserve">80 Appendix </w:t>
      </w:r>
      <w:r w:rsidR="00252BFA" w:rsidRPr="00580408">
        <w:rPr>
          <w:sz w:val="18"/>
          <w:szCs w:val="18"/>
        </w:rPr>
        <w:t xml:space="preserve">14.1 </w:t>
      </w:r>
    </w:p>
  </w:footnote>
  <w:footnote w:id="18">
    <w:p w14:paraId="088FC144" w14:textId="3BD11B00" w:rsidR="6CD30380" w:rsidRDefault="6CD30380" w:rsidP="6CD30380">
      <w:pPr>
        <w:pStyle w:val="FootnoteText"/>
        <w:rPr>
          <w:sz w:val="18"/>
          <w:szCs w:val="18"/>
        </w:rPr>
      </w:pPr>
      <w:r w:rsidRPr="6CD30380">
        <w:rPr>
          <w:rStyle w:val="FootnoteReference"/>
        </w:rPr>
        <w:footnoteRef/>
      </w:r>
      <w:r>
        <w:t xml:space="preserve"> </w:t>
      </w:r>
      <w:r w:rsidRPr="6CD30380">
        <w:rPr>
          <w:sz w:val="18"/>
          <w:szCs w:val="18"/>
        </w:rPr>
        <w:t>Please refer to Table 22 Appendix 5.3</w:t>
      </w:r>
    </w:p>
  </w:footnote>
  <w:footnote w:id="19">
    <w:p w14:paraId="1C620A47" w14:textId="1C5709F6" w:rsidR="6CD30380" w:rsidRDefault="6CD30380" w:rsidP="6CD30380">
      <w:pPr>
        <w:pStyle w:val="FootnoteText"/>
        <w:rPr>
          <w:sz w:val="18"/>
          <w:szCs w:val="18"/>
        </w:rPr>
      </w:pPr>
      <w:r w:rsidRPr="6CD30380">
        <w:rPr>
          <w:rStyle w:val="FootnoteReference"/>
          <w:sz w:val="18"/>
          <w:szCs w:val="18"/>
        </w:rPr>
        <w:footnoteRef/>
      </w:r>
      <w:r w:rsidRPr="6CD30380">
        <w:rPr>
          <w:sz w:val="18"/>
          <w:szCs w:val="18"/>
        </w:rPr>
        <w:t xml:space="preserve"> Please refer to Table 28 Appendix 5.8</w:t>
      </w:r>
    </w:p>
  </w:footnote>
  <w:footnote w:id="20">
    <w:p w14:paraId="0EAAEFDE" w14:textId="4754907F" w:rsidR="6CD30380" w:rsidRDefault="6CD30380" w:rsidP="6CD30380">
      <w:pPr>
        <w:pStyle w:val="FootnoteText"/>
        <w:rPr>
          <w:sz w:val="18"/>
          <w:szCs w:val="18"/>
        </w:rPr>
      </w:pPr>
      <w:r w:rsidRPr="6CD30380">
        <w:rPr>
          <w:rStyle w:val="FootnoteReference"/>
          <w:sz w:val="18"/>
          <w:szCs w:val="18"/>
        </w:rPr>
        <w:footnoteRef/>
      </w:r>
      <w:r w:rsidRPr="6CD30380">
        <w:rPr>
          <w:sz w:val="18"/>
          <w:szCs w:val="18"/>
        </w:rPr>
        <w:t xml:space="preserve"> Please refer to Table 29 Appendix 5.8</w:t>
      </w:r>
    </w:p>
  </w:footnote>
  <w:footnote w:id="21">
    <w:p w14:paraId="5D2C8E72" w14:textId="54BC2585" w:rsidR="6CD30380" w:rsidRDefault="6CD30380" w:rsidP="6CD30380">
      <w:pPr>
        <w:pStyle w:val="FootnoteText"/>
        <w:rPr>
          <w:sz w:val="18"/>
          <w:szCs w:val="18"/>
        </w:rPr>
      </w:pPr>
      <w:r w:rsidRPr="6CD30380">
        <w:rPr>
          <w:rStyle w:val="FootnoteReference"/>
          <w:sz w:val="18"/>
          <w:szCs w:val="18"/>
        </w:rPr>
        <w:footnoteRef/>
      </w:r>
      <w:r w:rsidRPr="6CD30380">
        <w:rPr>
          <w:sz w:val="18"/>
          <w:szCs w:val="18"/>
        </w:rPr>
        <w:t xml:space="preserve"> Please refer to Table 28 Appendix 5.8</w:t>
      </w:r>
    </w:p>
  </w:footnote>
  <w:footnote w:id="22">
    <w:p w14:paraId="24ADEE9E" w14:textId="22E476E0" w:rsidR="00A96B5E" w:rsidRPr="00296F23" w:rsidRDefault="00A96B5E">
      <w:pPr>
        <w:pStyle w:val="FootnoteText"/>
        <w:rPr>
          <w:sz w:val="18"/>
          <w:szCs w:val="18"/>
        </w:rPr>
      </w:pPr>
      <w:r w:rsidRPr="00296F23">
        <w:rPr>
          <w:rStyle w:val="FootnoteReference"/>
          <w:sz w:val="18"/>
          <w:szCs w:val="18"/>
        </w:rPr>
        <w:footnoteRef/>
      </w:r>
      <w:r w:rsidRPr="00296F23">
        <w:rPr>
          <w:sz w:val="18"/>
          <w:szCs w:val="18"/>
        </w:rPr>
        <w:t xml:space="preserve"> Please refer to Table 30 </w:t>
      </w:r>
      <w:r w:rsidR="00B8288C" w:rsidRPr="00296F23">
        <w:rPr>
          <w:sz w:val="18"/>
          <w:szCs w:val="18"/>
        </w:rPr>
        <w:t xml:space="preserve">Appendix </w:t>
      </w:r>
      <w:r w:rsidR="00553729" w:rsidRPr="00296F23">
        <w:rPr>
          <w:sz w:val="18"/>
          <w:szCs w:val="18"/>
        </w:rPr>
        <w:t>5.8</w:t>
      </w:r>
    </w:p>
  </w:footnote>
  <w:footnote w:id="23">
    <w:p w14:paraId="1E26512A" w14:textId="680266CB" w:rsidR="00BC7C1C" w:rsidRPr="00296F23" w:rsidRDefault="00BC7C1C">
      <w:pPr>
        <w:pStyle w:val="FootnoteText"/>
        <w:rPr>
          <w:sz w:val="18"/>
          <w:szCs w:val="18"/>
        </w:rPr>
      </w:pPr>
      <w:r w:rsidRPr="00296F23">
        <w:rPr>
          <w:rStyle w:val="FootnoteReference"/>
          <w:sz w:val="18"/>
          <w:szCs w:val="18"/>
        </w:rPr>
        <w:footnoteRef/>
      </w:r>
      <w:r w:rsidRPr="00296F23">
        <w:rPr>
          <w:sz w:val="18"/>
          <w:szCs w:val="18"/>
        </w:rPr>
        <w:t xml:space="preserve"> Please refer to Table 32 Appendix </w:t>
      </w:r>
      <w:r w:rsidR="00553729" w:rsidRPr="00296F23">
        <w:rPr>
          <w:sz w:val="18"/>
          <w:szCs w:val="18"/>
        </w:rPr>
        <w:t>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7B82" w14:textId="02A36ED6" w:rsidR="00FA415A" w:rsidRDefault="00FA415A">
    <w:pPr>
      <w:pStyle w:val="Header"/>
    </w:pPr>
    <w:r>
      <w:rPr>
        <w:rFonts w:asciiTheme="minorHAnsi" w:hAnsiTheme="minorHAnsi" w:cstheme="minorHAnsi"/>
        <w:b/>
        <w:noProof/>
        <w:color w:val="2B579A"/>
        <w:sz w:val="28"/>
        <w:szCs w:val="28"/>
        <w:shd w:val="clear" w:color="auto" w:fill="E6E6E6"/>
      </w:rPr>
      <w:drawing>
        <wp:anchor distT="0" distB="0" distL="114300" distR="114300" simplePos="0" relativeHeight="251658240" behindDoc="1" locked="0" layoutInCell="1" allowOverlap="1" wp14:anchorId="52DFBBBE" wp14:editId="01F43AFA">
          <wp:simplePos x="0" y="0"/>
          <wp:positionH relativeFrom="page">
            <wp:posOffset>8626</wp:posOffset>
          </wp:positionH>
          <wp:positionV relativeFrom="paragraph">
            <wp:posOffset>-566483</wp:posOffset>
          </wp:positionV>
          <wp:extent cx="7555230" cy="10686994"/>
          <wp:effectExtent l="0" t="0" r="7620"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30" cy="106869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8DE"/>
    <w:multiLevelType w:val="hybridMultilevel"/>
    <w:tmpl w:val="AA645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7311E1"/>
    <w:multiLevelType w:val="hybridMultilevel"/>
    <w:tmpl w:val="280CC130"/>
    <w:lvl w:ilvl="0" w:tplc="7C9025A2">
      <w:start w:val="18"/>
      <w:numFmt w:val="bullet"/>
      <w:lvlText w:val="-"/>
      <w:lvlJc w:val="left"/>
      <w:pPr>
        <w:ind w:left="720" w:hanging="360"/>
      </w:pPr>
      <w:rPr>
        <w:rFonts w:ascii="Segoe UI" w:eastAsia="Cambr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93F20"/>
    <w:multiLevelType w:val="multilevel"/>
    <w:tmpl w:val="1D90A8E8"/>
    <w:lvl w:ilvl="0">
      <w:start w:val="5"/>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3" w15:restartNumberingAfterBreak="0">
    <w:nsid w:val="0CCA4586"/>
    <w:multiLevelType w:val="multilevel"/>
    <w:tmpl w:val="C29C9652"/>
    <w:lvl w:ilvl="0">
      <w:start w:val="18"/>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4" w15:restartNumberingAfterBreak="0">
    <w:nsid w:val="0FC36F97"/>
    <w:multiLevelType w:val="hybridMultilevel"/>
    <w:tmpl w:val="E47619FE"/>
    <w:lvl w:ilvl="0" w:tplc="574C835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DC012B"/>
    <w:multiLevelType w:val="hybridMultilevel"/>
    <w:tmpl w:val="893E72D8"/>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FA74ED"/>
    <w:multiLevelType w:val="multilevel"/>
    <w:tmpl w:val="092A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67D8A"/>
    <w:multiLevelType w:val="multilevel"/>
    <w:tmpl w:val="C9601570"/>
    <w:lvl w:ilvl="0">
      <w:start w:val="10"/>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C8D71A3"/>
    <w:multiLevelType w:val="multilevel"/>
    <w:tmpl w:val="99D0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552CB"/>
    <w:multiLevelType w:val="hybridMultilevel"/>
    <w:tmpl w:val="E0C68B9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8DC3459"/>
    <w:multiLevelType w:val="hybridMultilevel"/>
    <w:tmpl w:val="EED64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AF61EF"/>
    <w:multiLevelType w:val="multilevel"/>
    <w:tmpl w:val="BCB4CBD0"/>
    <w:styleLink w:val="Multilevelheading"/>
    <w:lvl w:ilvl="0">
      <w:start w:val="1"/>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12" w15:restartNumberingAfterBreak="0">
    <w:nsid w:val="2A74542F"/>
    <w:multiLevelType w:val="hybridMultilevel"/>
    <w:tmpl w:val="FFFFFFFF"/>
    <w:lvl w:ilvl="0" w:tplc="7B2823D6">
      <w:start w:val="1"/>
      <w:numFmt w:val="bullet"/>
      <w:lvlText w:val=""/>
      <w:lvlJc w:val="left"/>
      <w:pPr>
        <w:ind w:left="720" w:hanging="360"/>
      </w:pPr>
      <w:rPr>
        <w:rFonts w:ascii="Symbol" w:hAnsi="Symbol" w:hint="default"/>
      </w:rPr>
    </w:lvl>
    <w:lvl w:ilvl="1" w:tplc="2E56FAAE">
      <w:start w:val="1"/>
      <w:numFmt w:val="bullet"/>
      <w:lvlText w:val="o"/>
      <w:lvlJc w:val="left"/>
      <w:pPr>
        <w:ind w:left="1440" w:hanging="360"/>
      </w:pPr>
      <w:rPr>
        <w:rFonts w:ascii="Courier New" w:hAnsi="Courier New" w:hint="default"/>
      </w:rPr>
    </w:lvl>
    <w:lvl w:ilvl="2" w:tplc="7668CDC0">
      <w:start w:val="1"/>
      <w:numFmt w:val="bullet"/>
      <w:lvlText w:val=""/>
      <w:lvlJc w:val="left"/>
      <w:pPr>
        <w:ind w:left="2160" w:hanging="360"/>
      </w:pPr>
      <w:rPr>
        <w:rFonts w:ascii="Wingdings" w:hAnsi="Wingdings" w:hint="default"/>
      </w:rPr>
    </w:lvl>
    <w:lvl w:ilvl="3" w:tplc="DA941E6A">
      <w:start w:val="1"/>
      <w:numFmt w:val="bullet"/>
      <w:lvlText w:val=""/>
      <w:lvlJc w:val="left"/>
      <w:pPr>
        <w:ind w:left="2880" w:hanging="360"/>
      </w:pPr>
      <w:rPr>
        <w:rFonts w:ascii="Symbol" w:hAnsi="Symbol" w:hint="default"/>
      </w:rPr>
    </w:lvl>
    <w:lvl w:ilvl="4" w:tplc="2384086C">
      <w:start w:val="1"/>
      <w:numFmt w:val="bullet"/>
      <w:lvlText w:val="o"/>
      <w:lvlJc w:val="left"/>
      <w:pPr>
        <w:ind w:left="3600" w:hanging="360"/>
      </w:pPr>
      <w:rPr>
        <w:rFonts w:ascii="Courier New" w:hAnsi="Courier New" w:hint="default"/>
      </w:rPr>
    </w:lvl>
    <w:lvl w:ilvl="5" w:tplc="91447C6A">
      <w:start w:val="1"/>
      <w:numFmt w:val="bullet"/>
      <w:lvlText w:val=""/>
      <w:lvlJc w:val="left"/>
      <w:pPr>
        <w:ind w:left="4320" w:hanging="360"/>
      </w:pPr>
      <w:rPr>
        <w:rFonts w:ascii="Wingdings" w:hAnsi="Wingdings" w:hint="default"/>
      </w:rPr>
    </w:lvl>
    <w:lvl w:ilvl="6" w:tplc="82FEA998">
      <w:start w:val="1"/>
      <w:numFmt w:val="bullet"/>
      <w:lvlText w:val=""/>
      <w:lvlJc w:val="left"/>
      <w:pPr>
        <w:ind w:left="5040" w:hanging="360"/>
      </w:pPr>
      <w:rPr>
        <w:rFonts w:ascii="Symbol" w:hAnsi="Symbol" w:hint="default"/>
      </w:rPr>
    </w:lvl>
    <w:lvl w:ilvl="7" w:tplc="BD502FC0">
      <w:start w:val="1"/>
      <w:numFmt w:val="bullet"/>
      <w:lvlText w:val="o"/>
      <w:lvlJc w:val="left"/>
      <w:pPr>
        <w:ind w:left="5760" w:hanging="360"/>
      </w:pPr>
      <w:rPr>
        <w:rFonts w:ascii="Courier New" w:hAnsi="Courier New" w:hint="default"/>
      </w:rPr>
    </w:lvl>
    <w:lvl w:ilvl="8" w:tplc="608EA88E">
      <w:start w:val="1"/>
      <w:numFmt w:val="bullet"/>
      <w:lvlText w:val=""/>
      <w:lvlJc w:val="left"/>
      <w:pPr>
        <w:ind w:left="6480" w:hanging="360"/>
      </w:pPr>
      <w:rPr>
        <w:rFonts w:ascii="Wingdings" w:hAnsi="Wingdings" w:hint="default"/>
      </w:rPr>
    </w:lvl>
  </w:abstractNum>
  <w:abstractNum w:abstractNumId="13" w15:restartNumberingAfterBreak="0">
    <w:nsid w:val="30F60228"/>
    <w:multiLevelType w:val="multilevel"/>
    <w:tmpl w:val="D13CA3F2"/>
    <w:lvl w:ilvl="0">
      <w:start w:val="12"/>
      <w:numFmt w:val="decimal"/>
      <w:lvlText w:val="%1"/>
      <w:lvlJc w:val="left"/>
      <w:pPr>
        <w:ind w:left="420" w:hanging="420"/>
      </w:pPr>
      <w:rPr>
        <w:rFonts w:hint="default"/>
        <w:color w:val="29527F"/>
      </w:rPr>
    </w:lvl>
    <w:lvl w:ilvl="1">
      <w:start w:val="3"/>
      <w:numFmt w:val="decimal"/>
      <w:lvlText w:val="%1.%2"/>
      <w:lvlJc w:val="left"/>
      <w:pPr>
        <w:ind w:left="720" w:hanging="720"/>
      </w:pPr>
      <w:rPr>
        <w:rFonts w:hint="default"/>
        <w:color w:val="29527F"/>
      </w:rPr>
    </w:lvl>
    <w:lvl w:ilvl="2">
      <w:start w:val="1"/>
      <w:numFmt w:val="decimal"/>
      <w:lvlText w:val="%1.%2.%3"/>
      <w:lvlJc w:val="left"/>
      <w:pPr>
        <w:ind w:left="720" w:hanging="720"/>
      </w:pPr>
      <w:rPr>
        <w:rFonts w:hint="default"/>
        <w:color w:val="29527F"/>
      </w:rPr>
    </w:lvl>
    <w:lvl w:ilvl="3">
      <w:start w:val="1"/>
      <w:numFmt w:val="decimal"/>
      <w:lvlText w:val="%1.%2.%3.%4"/>
      <w:lvlJc w:val="left"/>
      <w:pPr>
        <w:ind w:left="1080" w:hanging="1080"/>
      </w:pPr>
      <w:rPr>
        <w:rFonts w:hint="default"/>
        <w:color w:val="29527F"/>
      </w:rPr>
    </w:lvl>
    <w:lvl w:ilvl="4">
      <w:start w:val="1"/>
      <w:numFmt w:val="decimal"/>
      <w:lvlText w:val="%1.%2.%3.%4.%5"/>
      <w:lvlJc w:val="left"/>
      <w:pPr>
        <w:ind w:left="1080" w:hanging="1080"/>
      </w:pPr>
      <w:rPr>
        <w:rFonts w:hint="default"/>
        <w:color w:val="29527F"/>
      </w:rPr>
    </w:lvl>
    <w:lvl w:ilvl="5">
      <w:start w:val="1"/>
      <w:numFmt w:val="decimal"/>
      <w:lvlText w:val="%1.%2.%3.%4.%5.%6"/>
      <w:lvlJc w:val="left"/>
      <w:pPr>
        <w:ind w:left="1440" w:hanging="1440"/>
      </w:pPr>
      <w:rPr>
        <w:rFonts w:hint="default"/>
        <w:color w:val="29527F"/>
      </w:rPr>
    </w:lvl>
    <w:lvl w:ilvl="6">
      <w:start w:val="1"/>
      <w:numFmt w:val="decimal"/>
      <w:lvlText w:val="%1.%2.%3.%4.%5.%6.%7"/>
      <w:lvlJc w:val="left"/>
      <w:pPr>
        <w:ind w:left="1440" w:hanging="1440"/>
      </w:pPr>
      <w:rPr>
        <w:rFonts w:hint="default"/>
        <w:color w:val="29527F"/>
      </w:rPr>
    </w:lvl>
    <w:lvl w:ilvl="7">
      <w:start w:val="1"/>
      <w:numFmt w:val="decimal"/>
      <w:lvlText w:val="%1.%2.%3.%4.%5.%6.%7.%8"/>
      <w:lvlJc w:val="left"/>
      <w:pPr>
        <w:ind w:left="1800" w:hanging="1800"/>
      </w:pPr>
      <w:rPr>
        <w:rFonts w:hint="default"/>
        <w:color w:val="29527F"/>
      </w:rPr>
    </w:lvl>
    <w:lvl w:ilvl="8">
      <w:start w:val="1"/>
      <w:numFmt w:val="decimal"/>
      <w:lvlText w:val="%1.%2.%3.%4.%5.%6.%7.%8.%9"/>
      <w:lvlJc w:val="left"/>
      <w:pPr>
        <w:ind w:left="2160" w:hanging="2160"/>
      </w:pPr>
      <w:rPr>
        <w:rFonts w:hint="default"/>
        <w:color w:val="29527F"/>
      </w:rPr>
    </w:lvl>
  </w:abstractNum>
  <w:abstractNum w:abstractNumId="14" w15:restartNumberingAfterBreak="0">
    <w:nsid w:val="31084DA6"/>
    <w:multiLevelType w:val="multilevel"/>
    <w:tmpl w:val="BCB4CBD0"/>
    <w:lvl w:ilvl="0">
      <w:start w:val="1"/>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15" w15:restartNumberingAfterBreak="0">
    <w:nsid w:val="32582409"/>
    <w:multiLevelType w:val="hybridMultilevel"/>
    <w:tmpl w:val="2B2E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9540F5"/>
    <w:multiLevelType w:val="multilevel"/>
    <w:tmpl w:val="DB168350"/>
    <w:lvl w:ilvl="0">
      <w:start w:val="14"/>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17" w15:restartNumberingAfterBreak="0">
    <w:nsid w:val="3942689D"/>
    <w:multiLevelType w:val="multilevel"/>
    <w:tmpl w:val="204A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AE6CCF"/>
    <w:multiLevelType w:val="hybridMultilevel"/>
    <w:tmpl w:val="3AAE9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435D38"/>
    <w:multiLevelType w:val="multilevel"/>
    <w:tmpl w:val="FB0A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14620"/>
    <w:multiLevelType w:val="hybridMultilevel"/>
    <w:tmpl w:val="5F221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B282B"/>
    <w:multiLevelType w:val="hybridMultilevel"/>
    <w:tmpl w:val="7CFAE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22A423"/>
    <w:multiLevelType w:val="hybridMultilevel"/>
    <w:tmpl w:val="167AA06E"/>
    <w:lvl w:ilvl="0" w:tplc="31A03E7C">
      <w:start w:val="1"/>
      <w:numFmt w:val="bullet"/>
      <w:lvlText w:val=""/>
      <w:lvlJc w:val="left"/>
      <w:pPr>
        <w:ind w:left="720" w:hanging="360"/>
      </w:pPr>
      <w:rPr>
        <w:rFonts w:ascii="Symbol" w:hAnsi="Symbol" w:hint="default"/>
      </w:rPr>
    </w:lvl>
    <w:lvl w:ilvl="1" w:tplc="95D0D576">
      <w:start w:val="1"/>
      <w:numFmt w:val="bullet"/>
      <w:lvlText w:val="o"/>
      <w:lvlJc w:val="left"/>
      <w:pPr>
        <w:ind w:left="1440" w:hanging="360"/>
      </w:pPr>
      <w:rPr>
        <w:rFonts w:ascii="Courier New" w:hAnsi="Courier New" w:hint="default"/>
      </w:rPr>
    </w:lvl>
    <w:lvl w:ilvl="2" w:tplc="875C5A92">
      <w:start w:val="1"/>
      <w:numFmt w:val="bullet"/>
      <w:lvlText w:val=""/>
      <w:lvlJc w:val="left"/>
      <w:pPr>
        <w:ind w:left="2160" w:hanging="360"/>
      </w:pPr>
      <w:rPr>
        <w:rFonts w:ascii="Wingdings" w:hAnsi="Wingdings" w:hint="default"/>
      </w:rPr>
    </w:lvl>
    <w:lvl w:ilvl="3" w:tplc="0AD603B2">
      <w:start w:val="1"/>
      <w:numFmt w:val="bullet"/>
      <w:lvlText w:val=""/>
      <w:lvlJc w:val="left"/>
      <w:pPr>
        <w:ind w:left="2880" w:hanging="360"/>
      </w:pPr>
      <w:rPr>
        <w:rFonts w:ascii="Symbol" w:hAnsi="Symbol" w:hint="default"/>
      </w:rPr>
    </w:lvl>
    <w:lvl w:ilvl="4" w:tplc="21041278">
      <w:start w:val="1"/>
      <w:numFmt w:val="bullet"/>
      <w:lvlText w:val="o"/>
      <w:lvlJc w:val="left"/>
      <w:pPr>
        <w:ind w:left="3600" w:hanging="360"/>
      </w:pPr>
      <w:rPr>
        <w:rFonts w:ascii="Courier New" w:hAnsi="Courier New" w:hint="default"/>
      </w:rPr>
    </w:lvl>
    <w:lvl w:ilvl="5" w:tplc="F6584694">
      <w:start w:val="1"/>
      <w:numFmt w:val="bullet"/>
      <w:lvlText w:val=""/>
      <w:lvlJc w:val="left"/>
      <w:pPr>
        <w:ind w:left="4320" w:hanging="360"/>
      </w:pPr>
      <w:rPr>
        <w:rFonts w:ascii="Wingdings" w:hAnsi="Wingdings" w:hint="default"/>
      </w:rPr>
    </w:lvl>
    <w:lvl w:ilvl="6" w:tplc="2890A1EA">
      <w:start w:val="1"/>
      <w:numFmt w:val="bullet"/>
      <w:lvlText w:val=""/>
      <w:lvlJc w:val="left"/>
      <w:pPr>
        <w:ind w:left="5040" w:hanging="360"/>
      </w:pPr>
      <w:rPr>
        <w:rFonts w:ascii="Symbol" w:hAnsi="Symbol" w:hint="default"/>
      </w:rPr>
    </w:lvl>
    <w:lvl w:ilvl="7" w:tplc="33AE1D00">
      <w:start w:val="1"/>
      <w:numFmt w:val="bullet"/>
      <w:lvlText w:val="o"/>
      <w:lvlJc w:val="left"/>
      <w:pPr>
        <w:ind w:left="5760" w:hanging="360"/>
      </w:pPr>
      <w:rPr>
        <w:rFonts w:ascii="Courier New" w:hAnsi="Courier New" w:hint="default"/>
      </w:rPr>
    </w:lvl>
    <w:lvl w:ilvl="8" w:tplc="F4B0A662">
      <w:start w:val="1"/>
      <w:numFmt w:val="bullet"/>
      <w:lvlText w:val=""/>
      <w:lvlJc w:val="left"/>
      <w:pPr>
        <w:ind w:left="6480" w:hanging="360"/>
      </w:pPr>
      <w:rPr>
        <w:rFonts w:ascii="Wingdings" w:hAnsi="Wingdings" w:hint="default"/>
      </w:rPr>
    </w:lvl>
  </w:abstractNum>
  <w:abstractNum w:abstractNumId="23" w15:restartNumberingAfterBreak="0">
    <w:nsid w:val="544B1AF8"/>
    <w:multiLevelType w:val="hybridMultilevel"/>
    <w:tmpl w:val="86DE5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FD6D6C"/>
    <w:multiLevelType w:val="hybridMultilevel"/>
    <w:tmpl w:val="53A68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1509A"/>
    <w:multiLevelType w:val="hybridMultilevel"/>
    <w:tmpl w:val="B652E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0E470"/>
    <w:multiLevelType w:val="hybridMultilevel"/>
    <w:tmpl w:val="FFFFFFFF"/>
    <w:lvl w:ilvl="0" w:tplc="FFFFFFFF">
      <w:start w:val="1"/>
      <w:numFmt w:val="bullet"/>
      <w:pStyle w:val="ListParagraph"/>
      <w:lvlText w:val=""/>
      <w:lvlJc w:val="left"/>
      <w:pPr>
        <w:ind w:left="360" w:hanging="360"/>
      </w:pPr>
      <w:rPr>
        <w:rFonts w:ascii="Symbol" w:hAnsi="Symbol" w:hint="default"/>
      </w:rPr>
    </w:lvl>
    <w:lvl w:ilvl="1" w:tplc="6D0AB45C">
      <w:start w:val="1"/>
      <w:numFmt w:val="bullet"/>
      <w:lvlText w:val="o"/>
      <w:lvlJc w:val="left"/>
      <w:pPr>
        <w:ind w:left="1440" w:hanging="360"/>
      </w:pPr>
      <w:rPr>
        <w:rFonts w:ascii="Courier New" w:hAnsi="Courier New" w:hint="default"/>
      </w:rPr>
    </w:lvl>
    <w:lvl w:ilvl="2" w:tplc="CB4CA7D2">
      <w:start w:val="1"/>
      <w:numFmt w:val="bullet"/>
      <w:lvlText w:val=""/>
      <w:lvlJc w:val="left"/>
      <w:pPr>
        <w:ind w:left="2160" w:hanging="360"/>
      </w:pPr>
      <w:rPr>
        <w:rFonts w:ascii="Wingdings" w:hAnsi="Wingdings" w:hint="default"/>
      </w:rPr>
    </w:lvl>
    <w:lvl w:ilvl="3" w:tplc="D13EF2F6">
      <w:start w:val="1"/>
      <w:numFmt w:val="bullet"/>
      <w:lvlText w:val=""/>
      <w:lvlJc w:val="left"/>
      <w:pPr>
        <w:ind w:left="2880" w:hanging="360"/>
      </w:pPr>
      <w:rPr>
        <w:rFonts w:ascii="Symbol" w:hAnsi="Symbol" w:hint="default"/>
      </w:rPr>
    </w:lvl>
    <w:lvl w:ilvl="4" w:tplc="49BE4DD2">
      <w:start w:val="1"/>
      <w:numFmt w:val="bullet"/>
      <w:lvlText w:val="o"/>
      <w:lvlJc w:val="left"/>
      <w:pPr>
        <w:ind w:left="3600" w:hanging="360"/>
      </w:pPr>
      <w:rPr>
        <w:rFonts w:ascii="Courier New" w:hAnsi="Courier New" w:hint="default"/>
      </w:rPr>
    </w:lvl>
    <w:lvl w:ilvl="5" w:tplc="E2509902">
      <w:start w:val="1"/>
      <w:numFmt w:val="bullet"/>
      <w:lvlText w:val=""/>
      <w:lvlJc w:val="left"/>
      <w:pPr>
        <w:ind w:left="4320" w:hanging="360"/>
      </w:pPr>
      <w:rPr>
        <w:rFonts w:ascii="Wingdings" w:hAnsi="Wingdings" w:hint="default"/>
      </w:rPr>
    </w:lvl>
    <w:lvl w:ilvl="6" w:tplc="90A6C122">
      <w:start w:val="1"/>
      <w:numFmt w:val="bullet"/>
      <w:lvlText w:val=""/>
      <w:lvlJc w:val="left"/>
      <w:pPr>
        <w:ind w:left="5040" w:hanging="360"/>
      </w:pPr>
      <w:rPr>
        <w:rFonts w:ascii="Symbol" w:hAnsi="Symbol" w:hint="default"/>
      </w:rPr>
    </w:lvl>
    <w:lvl w:ilvl="7" w:tplc="A926C8E6">
      <w:start w:val="1"/>
      <w:numFmt w:val="bullet"/>
      <w:lvlText w:val="o"/>
      <w:lvlJc w:val="left"/>
      <w:pPr>
        <w:ind w:left="5760" w:hanging="360"/>
      </w:pPr>
      <w:rPr>
        <w:rFonts w:ascii="Courier New" w:hAnsi="Courier New" w:hint="default"/>
      </w:rPr>
    </w:lvl>
    <w:lvl w:ilvl="8" w:tplc="ACFE3590">
      <w:start w:val="1"/>
      <w:numFmt w:val="bullet"/>
      <w:lvlText w:val=""/>
      <w:lvlJc w:val="left"/>
      <w:pPr>
        <w:ind w:left="6480" w:hanging="360"/>
      </w:pPr>
      <w:rPr>
        <w:rFonts w:ascii="Wingdings" w:hAnsi="Wingdings" w:hint="default"/>
      </w:rPr>
    </w:lvl>
  </w:abstractNum>
  <w:abstractNum w:abstractNumId="27" w15:restartNumberingAfterBreak="0">
    <w:nsid w:val="689A27B9"/>
    <w:multiLevelType w:val="hybridMultilevel"/>
    <w:tmpl w:val="41FCD8F8"/>
    <w:lvl w:ilvl="0" w:tplc="0C090019">
      <w:start w:val="1"/>
      <w:numFmt w:val="lowerLetter"/>
      <w:lvlText w:val="%1."/>
      <w:lvlJc w:val="left"/>
      <w:pPr>
        <w:ind w:left="360" w:hanging="360"/>
      </w:pPr>
      <w:rPr>
        <w:rFonts w:hint="default"/>
      </w:rPr>
    </w:lvl>
    <w:lvl w:ilvl="1" w:tplc="3A006024">
      <w:start w:val="72"/>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AF762D2"/>
    <w:multiLevelType w:val="hybridMultilevel"/>
    <w:tmpl w:val="E452A2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005A44"/>
    <w:multiLevelType w:val="hybridMultilevel"/>
    <w:tmpl w:val="1BE21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421DA"/>
    <w:multiLevelType w:val="hybridMultilevel"/>
    <w:tmpl w:val="E3B89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B72B11"/>
    <w:multiLevelType w:val="hybridMultilevel"/>
    <w:tmpl w:val="FFFFFFFF"/>
    <w:lvl w:ilvl="0" w:tplc="CE7ACE28">
      <w:start w:val="1"/>
      <w:numFmt w:val="bullet"/>
      <w:lvlText w:val=""/>
      <w:lvlJc w:val="left"/>
      <w:pPr>
        <w:ind w:left="360" w:hanging="360"/>
      </w:pPr>
      <w:rPr>
        <w:rFonts w:ascii="Symbol" w:hAnsi="Symbol" w:hint="default"/>
      </w:rPr>
    </w:lvl>
    <w:lvl w:ilvl="1" w:tplc="8B8E2CEA">
      <w:start w:val="1"/>
      <w:numFmt w:val="bullet"/>
      <w:lvlText w:val="o"/>
      <w:lvlJc w:val="left"/>
      <w:pPr>
        <w:ind w:left="1080" w:hanging="360"/>
      </w:pPr>
      <w:rPr>
        <w:rFonts w:ascii="Courier New" w:hAnsi="Courier New" w:hint="default"/>
      </w:rPr>
    </w:lvl>
    <w:lvl w:ilvl="2" w:tplc="75386B58">
      <w:start w:val="1"/>
      <w:numFmt w:val="bullet"/>
      <w:lvlText w:val=""/>
      <w:lvlJc w:val="left"/>
      <w:pPr>
        <w:ind w:left="1800" w:hanging="360"/>
      </w:pPr>
      <w:rPr>
        <w:rFonts w:ascii="Wingdings" w:hAnsi="Wingdings" w:hint="default"/>
      </w:rPr>
    </w:lvl>
    <w:lvl w:ilvl="3" w:tplc="6DD86C34">
      <w:start w:val="1"/>
      <w:numFmt w:val="bullet"/>
      <w:lvlText w:val=""/>
      <w:lvlJc w:val="left"/>
      <w:pPr>
        <w:ind w:left="2520" w:hanging="360"/>
      </w:pPr>
      <w:rPr>
        <w:rFonts w:ascii="Symbol" w:hAnsi="Symbol" w:hint="default"/>
      </w:rPr>
    </w:lvl>
    <w:lvl w:ilvl="4" w:tplc="9BAED5F0">
      <w:start w:val="1"/>
      <w:numFmt w:val="bullet"/>
      <w:lvlText w:val="o"/>
      <w:lvlJc w:val="left"/>
      <w:pPr>
        <w:ind w:left="3240" w:hanging="360"/>
      </w:pPr>
      <w:rPr>
        <w:rFonts w:ascii="Courier New" w:hAnsi="Courier New" w:hint="default"/>
      </w:rPr>
    </w:lvl>
    <w:lvl w:ilvl="5" w:tplc="D458F126">
      <w:start w:val="1"/>
      <w:numFmt w:val="bullet"/>
      <w:lvlText w:val=""/>
      <w:lvlJc w:val="left"/>
      <w:pPr>
        <w:ind w:left="3960" w:hanging="360"/>
      </w:pPr>
      <w:rPr>
        <w:rFonts w:ascii="Wingdings" w:hAnsi="Wingdings" w:hint="default"/>
      </w:rPr>
    </w:lvl>
    <w:lvl w:ilvl="6" w:tplc="C7547B52">
      <w:start w:val="1"/>
      <w:numFmt w:val="bullet"/>
      <w:lvlText w:val=""/>
      <w:lvlJc w:val="left"/>
      <w:pPr>
        <w:ind w:left="4680" w:hanging="360"/>
      </w:pPr>
      <w:rPr>
        <w:rFonts w:ascii="Symbol" w:hAnsi="Symbol" w:hint="default"/>
      </w:rPr>
    </w:lvl>
    <w:lvl w:ilvl="7" w:tplc="680AB184">
      <w:start w:val="1"/>
      <w:numFmt w:val="bullet"/>
      <w:lvlText w:val="o"/>
      <w:lvlJc w:val="left"/>
      <w:pPr>
        <w:ind w:left="5400" w:hanging="360"/>
      </w:pPr>
      <w:rPr>
        <w:rFonts w:ascii="Courier New" w:hAnsi="Courier New" w:hint="default"/>
      </w:rPr>
    </w:lvl>
    <w:lvl w:ilvl="8" w:tplc="916A2FB6">
      <w:start w:val="1"/>
      <w:numFmt w:val="bullet"/>
      <w:lvlText w:val=""/>
      <w:lvlJc w:val="left"/>
      <w:pPr>
        <w:ind w:left="6120" w:hanging="360"/>
      </w:pPr>
      <w:rPr>
        <w:rFonts w:ascii="Wingdings" w:hAnsi="Wingdings" w:hint="default"/>
      </w:rPr>
    </w:lvl>
  </w:abstractNum>
  <w:num w:numId="1" w16cid:durableId="2074618616">
    <w:abstractNumId w:val="31"/>
  </w:num>
  <w:num w:numId="2" w16cid:durableId="1488857474">
    <w:abstractNumId w:val="22"/>
  </w:num>
  <w:num w:numId="3" w16cid:durableId="15741859">
    <w:abstractNumId w:val="26"/>
  </w:num>
  <w:num w:numId="4" w16cid:durableId="116147519">
    <w:abstractNumId w:val="20"/>
  </w:num>
  <w:num w:numId="5" w16cid:durableId="1716197064">
    <w:abstractNumId w:val="5"/>
  </w:num>
  <w:num w:numId="6" w16cid:durableId="1905288209">
    <w:abstractNumId w:val="11"/>
  </w:num>
  <w:num w:numId="7" w16cid:durableId="821969688">
    <w:abstractNumId w:val="4"/>
  </w:num>
  <w:num w:numId="8" w16cid:durableId="240413452">
    <w:abstractNumId w:val="30"/>
  </w:num>
  <w:num w:numId="9" w16cid:durableId="1574661532">
    <w:abstractNumId w:val="23"/>
  </w:num>
  <w:num w:numId="10" w16cid:durableId="408776117">
    <w:abstractNumId w:val="0"/>
  </w:num>
  <w:num w:numId="11" w16cid:durableId="476186940">
    <w:abstractNumId w:val="29"/>
  </w:num>
  <w:num w:numId="12" w16cid:durableId="494345134">
    <w:abstractNumId w:val="10"/>
  </w:num>
  <w:num w:numId="13" w16cid:durableId="1887179200">
    <w:abstractNumId w:val="9"/>
  </w:num>
  <w:num w:numId="14" w16cid:durableId="1987316433">
    <w:abstractNumId w:val="17"/>
  </w:num>
  <w:num w:numId="15" w16cid:durableId="1381779533">
    <w:abstractNumId w:val="12"/>
  </w:num>
  <w:num w:numId="16" w16cid:durableId="163009078">
    <w:abstractNumId w:val="15"/>
  </w:num>
  <w:num w:numId="17" w16cid:durableId="301467483">
    <w:abstractNumId w:val="25"/>
  </w:num>
  <w:num w:numId="18" w16cid:durableId="144318247">
    <w:abstractNumId w:val="24"/>
  </w:num>
  <w:num w:numId="19" w16cid:durableId="1518497908">
    <w:abstractNumId w:val="28"/>
  </w:num>
  <w:num w:numId="20" w16cid:durableId="1940798065">
    <w:abstractNumId w:val="27"/>
  </w:num>
  <w:num w:numId="21" w16cid:durableId="1281456718">
    <w:abstractNumId w:val="11"/>
    <w:lvlOverride w:ilvl="0">
      <w:lvl w:ilvl="0">
        <w:start w:val="1"/>
        <w:numFmt w:val="decimal"/>
        <w:lvlText w:val=""/>
        <w:lvlJc w:val="left"/>
      </w:lvl>
    </w:lvlOverride>
    <w:lvlOverride w:ilvl="1">
      <w:lvl w:ilvl="1">
        <w:start w:val="1"/>
        <w:numFmt w:val="decimal"/>
        <w:isLgl/>
        <w:lvlText w:val="%1.%2."/>
        <w:lvlJc w:val="left"/>
        <w:pPr>
          <w:ind w:left="357" w:hanging="357"/>
        </w:pPr>
        <w:rPr>
          <w:rFonts w:hint="default"/>
        </w:rPr>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num>
  <w:num w:numId="22" w16cid:durableId="206797222">
    <w:abstractNumId w:val="18"/>
  </w:num>
  <w:num w:numId="23" w16cid:durableId="2031711339">
    <w:abstractNumId w:val="7"/>
  </w:num>
  <w:num w:numId="24" w16cid:durableId="1889369719">
    <w:abstractNumId w:val="13"/>
  </w:num>
  <w:num w:numId="25" w16cid:durableId="717896002">
    <w:abstractNumId w:val="11"/>
    <w:lvlOverride w:ilvl="0">
      <w:startOverride w:val="1"/>
      <w:lvl w:ilvl="0">
        <w:start w:val="1"/>
        <w:numFmt w:val="decimal"/>
        <w:lvlText w:val=""/>
        <w:lvlJc w:val="left"/>
      </w:lvl>
    </w:lvlOverride>
    <w:lvlOverride w:ilvl="1">
      <w:startOverride w:val="1"/>
      <w:lvl w:ilvl="1">
        <w:start w:val="1"/>
        <w:numFmt w:val="decimal"/>
        <w:isLgl/>
        <w:lvlText w:val="%1.%2."/>
        <w:lvlJc w:val="left"/>
        <w:pPr>
          <w:ind w:left="357" w:hanging="357"/>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6" w16cid:durableId="1952584518">
    <w:abstractNumId w:val="1"/>
  </w:num>
  <w:num w:numId="27" w16cid:durableId="149181339">
    <w:abstractNumId w:val="8"/>
  </w:num>
  <w:num w:numId="28" w16cid:durableId="899554455">
    <w:abstractNumId w:val="19"/>
  </w:num>
  <w:num w:numId="29" w16cid:durableId="1976372610">
    <w:abstractNumId w:val="6"/>
  </w:num>
  <w:num w:numId="30" w16cid:durableId="338822864">
    <w:abstractNumId w:val="21"/>
  </w:num>
  <w:num w:numId="31" w16cid:durableId="199364069">
    <w:abstractNumId w:val="14"/>
  </w:num>
  <w:num w:numId="32" w16cid:durableId="907613815">
    <w:abstractNumId w:val="2"/>
  </w:num>
  <w:num w:numId="33" w16cid:durableId="2076080490">
    <w:abstractNumId w:val="16"/>
  </w:num>
  <w:num w:numId="34" w16cid:durableId="903174610">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C1"/>
    <w:rsid w:val="000000F1"/>
    <w:rsid w:val="000001A9"/>
    <w:rsid w:val="0000046B"/>
    <w:rsid w:val="0000058C"/>
    <w:rsid w:val="000005D7"/>
    <w:rsid w:val="00000680"/>
    <w:rsid w:val="00000828"/>
    <w:rsid w:val="00000DF2"/>
    <w:rsid w:val="0000132D"/>
    <w:rsid w:val="000018DD"/>
    <w:rsid w:val="0000193D"/>
    <w:rsid w:val="00001ED3"/>
    <w:rsid w:val="0000200A"/>
    <w:rsid w:val="000021A2"/>
    <w:rsid w:val="000023CE"/>
    <w:rsid w:val="00002A9B"/>
    <w:rsid w:val="00002CE2"/>
    <w:rsid w:val="00004456"/>
    <w:rsid w:val="000048B6"/>
    <w:rsid w:val="00004E7C"/>
    <w:rsid w:val="0000536C"/>
    <w:rsid w:val="00005650"/>
    <w:rsid w:val="0000576B"/>
    <w:rsid w:val="00005845"/>
    <w:rsid w:val="00005AC8"/>
    <w:rsid w:val="00005CB4"/>
    <w:rsid w:val="00006CC3"/>
    <w:rsid w:val="00007858"/>
    <w:rsid w:val="00007ABB"/>
    <w:rsid w:val="00007D33"/>
    <w:rsid w:val="00007DA2"/>
    <w:rsid w:val="00007E87"/>
    <w:rsid w:val="000100C3"/>
    <w:rsid w:val="00010132"/>
    <w:rsid w:val="000103A6"/>
    <w:rsid w:val="00010DFB"/>
    <w:rsid w:val="00010F1C"/>
    <w:rsid w:val="00011403"/>
    <w:rsid w:val="00011AA3"/>
    <w:rsid w:val="0001263F"/>
    <w:rsid w:val="000129EC"/>
    <w:rsid w:val="00012A22"/>
    <w:rsid w:val="00012A6B"/>
    <w:rsid w:val="00012C5C"/>
    <w:rsid w:val="000132BE"/>
    <w:rsid w:val="00013D5B"/>
    <w:rsid w:val="000140B0"/>
    <w:rsid w:val="000143A4"/>
    <w:rsid w:val="00014449"/>
    <w:rsid w:val="00014535"/>
    <w:rsid w:val="000146BB"/>
    <w:rsid w:val="000148CF"/>
    <w:rsid w:val="00014B09"/>
    <w:rsid w:val="00014DE5"/>
    <w:rsid w:val="00014EEC"/>
    <w:rsid w:val="0001519C"/>
    <w:rsid w:val="00015274"/>
    <w:rsid w:val="00015277"/>
    <w:rsid w:val="000157F9"/>
    <w:rsid w:val="00015EE8"/>
    <w:rsid w:val="000161D8"/>
    <w:rsid w:val="00016658"/>
    <w:rsid w:val="00016DB5"/>
    <w:rsid w:val="00016E56"/>
    <w:rsid w:val="00017112"/>
    <w:rsid w:val="00017222"/>
    <w:rsid w:val="000176E0"/>
    <w:rsid w:val="00017BBA"/>
    <w:rsid w:val="0001EC66"/>
    <w:rsid w:val="00020629"/>
    <w:rsid w:val="00020CB1"/>
    <w:rsid w:val="00020ED0"/>
    <w:rsid w:val="000211F6"/>
    <w:rsid w:val="0002170E"/>
    <w:rsid w:val="000218F0"/>
    <w:rsid w:val="000219C6"/>
    <w:rsid w:val="00021F51"/>
    <w:rsid w:val="00022571"/>
    <w:rsid w:val="0002287A"/>
    <w:rsid w:val="00022DE9"/>
    <w:rsid w:val="00022E16"/>
    <w:rsid w:val="00023079"/>
    <w:rsid w:val="000237CA"/>
    <w:rsid w:val="00023A23"/>
    <w:rsid w:val="00023CBB"/>
    <w:rsid w:val="00024777"/>
    <w:rsid w:val="000247DE"/>
    <w:rsid w:val="00024C5B"/>
    <w:rsid w:val="00025443"/>
    <w:rsid w:val="00025549"/>
    <w:rsid w:val="00025D60"/>
    <w:rsid w:val="000262B9"/>
    <w:rsid w:val="000265B5"/>
    <w:rsid w:val="00027458"/>
    <w:rsid w:val="0002770A"/>
    <w:rsid w:val="000278D7"/>
    <w:rsid w:val="00027B44"/>
    <w:rsid w:val="000304AA"/>
    <w:rsid w:val="000304E8"/>
    <w:rsid w:val="0003057E"/>
    <w:rsid w:val="0003071E"/>
    <w:rsid w:val="00030812"/>
    <w:rsid w:val="00030B4C"/>
    <w:rsid w:val="00031906"/>
    <w:rsid w:val="00031B85"/>
    <w:rsid w:val="00031C79"/>
    <w:rsid w:val="0003239C"/>
    <w:rsid w:val="0003253E"/>
    <w:rsid w:val="00032891"/>
    <w:rsid w:val="00032CE0"/>
    <w:rsid w:val="000332CA"/>
    <w:rsid w:val="000334B5"/>
    <w:rsid w:val="00033516"/>
    <w:rsid w:val="000335D7"/>
    <w:rsid w:val="00033815"/>
    <w:rsid w:val="00033A16"/>
    <w:rsid w:val="00033A5C"/>
    <w:rsid w:val="00033BAD"/>
    <w:rsid w:val="000344D2"/>
    <w:rsid w:val="00034547"/>
    <w:rsid w:val="00034F0D"/>
    <w:rsid w:val="000354EF"/>
    <w:rsid w:val="00035A2D"/>
    <w:rsid w:val="00035BB0"/>
    <w:rsid w:val="00036203"/>
    <w:rsid w:val="0003666C"/>
    <w:rsid w:val="000377F9"/>
    <w:rsid w:val="0003783C"/>
    <w:rsid w:val="00037E3B"/>
    <w:rsid w:val="00037E8A"/>
    <w:rsid w:val="0003AE97"/>
    <w:rsid w:val="00040036"/>
    <w:rsid w:val="0004047F"/>
    <w:rsid w:val="00040878"/>
    <w:rsid w:val="00041067"/>
    <w:rsid w:val="000416AB"/>
    <w:rsid w:val="00041EC4"/>
    <w:rsid w:val="000424BF"/>
    <w:rsid w:val="00042679"/>
    <w:rsid w:val="00042E49"/>
    <w:rsid w:val="00042F7D"/>
    <w:rsid w:val="0004331F"/>
    <w:rsid w:val="00043792"/>
    <w:rsid w:val="00043C2E"/>
    <w:rsid w:val="00043F49"/>
    <w:rsid w:val="0004416D"/>
    <w:rsid w:val="000442E2"/>
    <w:rsid w:val="00044692"/>
    <w:rsid w:val="00044912"/>
    <w:rsid w:val="00045A39"/>
    <w:rsid w:val="00045AC7"/>
    <w:rsid w:val="00045FE7"/>
    <w:rsid w:val="00045FF7"/>
    <w:rsid w:val="0004652A"/>
    <w:rsid w:val="0004687D"/>
    <w:rsid w:val="00047460"/>
    <w:rsid w:val="0004755C"/>
    <w:rsid w:val="00047737"/>
    <w:rsid w:val="00047A34"/>
    <w:rsid w:val="00047A3F"/>
    <w:rsid w:val="00047CCE"/>
    <w:rsid w:val="00047FA2"/>
    <w:rsid w:val="00050286"/>
    <w:rsid w:val="00050749"/>
    <w:rsid w:val="00050A8C"/>
    <w:rsid w:val="00051278"/>
    <w:rsid w:val="0005129A"/>
    <w:rsid w:val="00051336"/>
    <w:rsid w:val="00051415"/>
    <w:rsid w:val="00052701"/>
    <w:rsid w:val="00052AEE"/>
    <w:rsid w:val="000537D0"/>
    <w:rsid w:val="00053A56"/>
    <w:rsid w:val="00053D71"/>
    <w:rsid w:val="00053E07"/>
    <w:rsid w:val="00054288"/>
    <w:rsid w:val="000542B9"/>
    <w:rsid w:val="00054EB8"/>
    <w:rsid w:val="000550D3"/>
    <w:rsid w:val="000550E7"/>
    <w:rsid w:val="000553DF"/>
    <w:rsid w:val="000553FE"/>
    <w:rsid w:val="00055CB5"/>
    <w:rsid w:val="00055F54"/>
    <w:rsid w:val="00055FA3"/>
    <w:rsid w:val="00056403"/>
    <w:rsid w:val="00056838"/>
    <w:rsid w:val="00057683"/>
    <w:rsid w:val="00057BC8"/>
    <w:rsid w:val="00057FB4"/>
    <w:rsid w:val="00060089"/>
    <w:rsid w:val="00060EDB"/>
    <w:rsid w:val="0006101C"/>
    <w:rsid w:val="000618C0"/>
    <w:rsid w:val="00061B40"/>
    <w:rsid w:val="00062348"/>
    <w:rsid w:val="00062407"/>
    <w:rsid w:val="000631CA"/>
    <w:rsid w:val="0006339D"/>
    <w:rsid w:val="00063BCD"/>
    <w:rsid w:val="00063F04"/>
    <w:rsid w:val="00063F19"/>
    <w:rsid w:val="00063F89"/>
    <w:rsid w:val="000640F4"/>
    <w:rsid w:val="00064877"/>
    <w:rsid w:val="00064BFE"/>
    <w:rsid w:val="000659C6"/>
    <w:rsid w:val="00065EC9"/>
    <w:rsid w:val="000661A1"/>
    <w:rsid w:val="0006623C"/>
    <w:rsid w:val="000662DE"/>
    <w:rsid w:val="000663A1"/>
    <w:rsid w:val="0006685D"/>
    <w:rsid w:val="00066970"/>
    <w:rsid w:val="000670B1"/>
    <w:rsid w:val="0006716B"/>
    <w:rsid w:val="000671BD"/>
    <w:rsid w:val="000671F6"/>
    <w:rsid w:val="00067739"/>
    <w:rsid w:val="0007006C"/>
    <w:rsid w:val="00070325"/>
    <w:rsid w:val="000707EA"/>
    <w:rsid w:val="0007094D"/>
    <w:rsid w:val="00070BB4"/>
    <w:rsid w:val="00070E64"/>
    <w:rsid w:val="00070EB6"/>
    <w:rsid w:val="00071282"/>
    <w:rsid w:val="000713D2"/>
    <w:rsid w:val="000715A1"/>
    <w:rsid w:val="00071A64"/>
    <w:rsid w:val="00071C8F"/>
    <w:rsid w:val="00071D67"/>
    <w:rsid w:val="000720EC"/>
    <w:rsid w:val="000729BA"/>
    <w:rsid w:val="000729CE"/>
    <w:rsid w:val="00072C66"/>
    <w:rsid w:val="00072DD2"/>
    <w:rsid w:val="00072FCF"/>
    <w:rsid w:val="000731DE"/>
    <w:rsid w:val="00073494"/>
    <w:rsid w:val="00073509"/>
    <w:rsid w:val="00073B4A"/>
    <w:rsid w:val="00073C8B"/>
    <w:rsid w:val="000742ED"/>
    <w:rsid w:val="000743A5"/>
    <w:rsid w:val="00074789"/>
    <w:rsid w:val="00075161"/>
    <w:rsid w:val="000759E4"/>
    <w:rsid w:val="00075A56"/>
    <w:rsid w:val="00075C03"/>
    <w:rsid w:val="00075E7E"/>
    <w:rsid w:val="00075F40"/>
    <w:rsid w:val="0007642C"/>
    <w:rsid w:val="000765B5"/>
    <w:rsid w:val="000767E4"/>
    <w:rsid w:val="000768DB"/>
    <w:rsid w:val="000772D9"/>
    <w:rsid w:val="00077615"/>
    <w:rsid w:val="00077A09"/>
    <w:rsid w:val="00077C99"/>
    <w:rsid w:val="00080212"/>
    <w:rsid w:val="00080948"/>
    <w:rsid w:val="000809E3"/>
    <w:rsid w:val="00080BAD"/>
    <w:rsid w:val="00080C9A"/>
    <w:rsid w:val="00080E5B"/>
    <w:rsid w:val="00080E7E"/>
    <w:rsid w:val="000812D0"/>
    <w:rsid w:val="00081944"/>
    <w:rsid w:val="000819EE"/>
    <w:rsid w:val="00081B84"/>
    <w:rsid w:val="00081BBF"/>
    <w:rsid w:val="00081CC5"/>
    <w:rsid w:val="000821DC"/>
    <w:rsid w:val="00082684"/>
    <w:rsid w:val="00082D91"/>
    <w:rsid w:val="000837DF"/>
    <w:rsid w:val="00083987"/>
    <w:rsid w:val="00083B9D"/>
    <w:rsid w:val="00083C12"/>
    <w:rsid w:val="00083C50"/>
    <w:rsid w:val="0008410F"/>
    <w:rsid w:val="000841F3"/>
    <w:rsid w:val="000842CE"/>
    <w:rsid w:val="00084B4C"/>
    <w:rsid w:val="00084FCA"/>
    <w:rsid w:val="00084FCE"/>
    <w:rsid w:val="00085197"/>
    <w:rsid w:val="000855F8"/>
    <w:rsid w:val="000857BE"/>
    <w:rsid w:val="00085900"/>
    <w:rsid w:val="00085AB9"/>
    <w:rsid w:val="000862D5"/>
    <w:rsid w:val="000864A6"/>
    <w:rsid w:val="0008742D"/>
    <w:rsid w:val="000874C3"/>
    <w:rsid w:val="00087B67"/>
    <w:rsid w:val="00088C34"/>
    <w:rsid w:val="000900E4"/>
    <w:rsid w:val="00090B2A"/>
    <w:rsid w:val="00090D31"/>
    <w:rsid w:val="00090E34"/>
    <w:rsid w:val="00090F38"/>
    <w:rsid w:val="00091416"/>
    <w:rsid w:val="00091CD7"/>
    <w:rsid w:val="00091D99"/>
    <w:rsid w:val="0009204F"/>
    <w:rsid w:val="000921F7"/>
    <w:rsid w:val="000922E6"/>
    <w:rsid w:val="0009235B"/>
    <w:rsid w:val="000923C5"/>
    <w:rsid w:val="000925AF"/>
    <w:rsid w:val="00092640"/>
    <w:rsid w:val="0009264A"/>
    <w:rsid w:val="00092B73"/>
    <w:rsid w:val="00092E48"/>
    <w:rsid w:val="00092E75"/>
    <w:rsid w:val="0009391F"/>
    <w:rsid w:val="00094666"/>
    <w:rsid w:val="00094790"/>
    <w:rsid w:val="000947A9"/>
    <w:rsid w:val="00094982"/>
    <w:rsid w:val="00094DD9"/>
    <w:rsid w:val="00095166"/>
    <w:rsid w:val="0009518E"/>
    <w:rsid w:val="00095645"/>
    <w:rsid w:val="000956CD"/>
    <w:rsid w:val="00095987"/>
    <w:rsid w:val="0009599F"/>
    <w:rsid w:val="00095C67"/>
    <w:rsid w:val="000973EC"/>
    <w:rsid w:val="000975F4"/>
    <w:rsid w:val="00097735"/>
    <w:rsid w:val="00097805"/>
    <w:rsid w:val="00097DE7"/>
    <w:rsid w:val="000A053A"/>
    <w:rsid w:val="000A05AB"/>
    <w:rsid w:val="000A0EDC"/>
    <w:rsid w:val="000A1261"/>
    <w:rsid w:val="000A1445"/>
    <w:rsid w:val="000A19C6"/>
    <w:rsid w:val="000A1AED"/>
    <w:rsid w:val="000A1B09"/>
    <w:rsid w:val="000A208A"/>
    <w:rsid w:val="000A2307"/>
    <w:rsid w:val="000A239A"/>
    <w:rsid w:val="000A26A3"/>
    <w:rsid w:val="000A2925"/>
    <w:rsid w:val="000A2FA0"/>
    <w:rsid w:val="000A3043"/>
    <w:rsid w:val="000A306F"/>
    <w:rsid w:val="000A35ED"/>
    <w:rsid w:val="000A36FF"/>
    <w:rsid w:val="000A388F"/>
    <w:rsid w:val="000A3D10"/>
    <w:rsid w:val="000A41F3"/>
    <w:rsid w:val="000A446E"/>
    <w:rsid w:val="000A4478"/>
    <w:rsid w:val="000A490F"/>
    <w:rsid w:val="000A4BA3"/>
    <w:rsid w:val="000A4DB6"/>
    <w:rsid w:val="000A4EF8"/>
    <w:rsid w:val="000A5AF5"/>
    <w:rsid w:val="000A5BD8"/>
    <w:rsid w:val="000A5C1A"/>
    <w:rsid w:val="000A61AF"/>
    <w:rsid w:val="000A622A"/>
    <w:rsid w:val="000A6322"/>
    <w:rsid w:val="000A6727"/>
    <w:rsid w:val="000A68E9"/>
    <w:rsid w:val="000A721B"/>
    <w:rsid w:val="000A7684"/>
    <w:rsid w:val="000A76DE"/>
    <w:rsid w:val="000B0356"/>
    <w:rsid w:val="000B0594"/>
    <w:rsid w:val="000B0CC9"/>
    <w:rsid w:val="000B0E0A"/>
    <w:rsid w:val="000B1780"/>
    <w:rsid w:val="000B1967"/>
    <w:rsid w:val="000B1A42"/>
    <w:rsid w:val="000B23EE"/>
    <w:rsid w:val="000B2A11"/>
    <w:rsid w:val="000B2BE5"/>
    <w:rsid w:val="000B2C68"/>
    <w:rsid w:val="000B2E96"/>
    <w:rsid w:val="000B35DE"/>
    <w:rsid w:val="000B41DF"/>
    <w:rsid w:val="000B429A"/>
    <w:rsid w:val="000B4951"/>
    <w:rsid w:val="000B4EFA"/>
    <w:rsid w:val="000B5128"/>
    <w:rsid w:val="000B529F"/>
    <w:rsid w:val="000B535D"/>
    <w:rsid w:val="000B539E"/>
    <w:rsid w:val="000B53E2"/>
    <w:rsid w:val="000B5408"/>
    <w:rsid w:val="000B5574"/>
    <w:rsid w:val="000B6067"/>
    <w:rsid w:val="000B687D"/>
    <w:rsid w:val="000B6967"/>
    <w:rsid w:val="000B6AC1"/>
    <w:rsid w:val="000B6F92"/>
    <w:rsid w:val="000B7D73"/>
    <w:rsid w:val="000B7E90"/>
    <w:rsid w:val="000C04DB"/>
    <w:rsid w:val="000C06A9"/>
    <w:rsid w:val="000C1728"/>
    <w:rsid w:val="000C174A"/>
    <w:rsid w:val="000C1BD0"/>
    <w:rsid w:val="000C1F3F"/>
    <w:rsid w:val="000C2A1D"/>
    <w:rsid w:val="000C2C48"/>
    <w:rsid w:val="000C2C64"/>
    <w:rsid w:val="000C2F6C"/>
    <w:rsid w:val="000C33CD"/>
    <w:rsid w:val="000C37DA"/>
    <w:rsid w:val="000C3D2C"/>
    <w:rsid w:val="000C3E14"/>
    <w:rsid w:val="000C51DC"/>
    <w:rsid w:val="000C5719"/>
    <w:rsid w:val="000C5C54"/>
    <w:rsid w:val="000C608A"/>
    <w:rsid w:val="000C6499"/>
    <w:rsid w:val="000C6530"/>
    <w:rsid w:val="000C6682"/>
    <w:rsid w:val="000C686B"/>
    <w:rsid w:val="000C6B5D"/>
    <w:rsid w:val="000C6C66"/>
    <w:rsid w:val="000C72B9"/>
    <w:rsid w:val="000C7ECC"/>
    <w:rsid w:val="000D00DA"/>
    <w:rsid w:val="000D0513"/>
    <w:rsid w:val="000D0C84"/>
    <w:rsid w:val="000D0C8D"/>
    <w:rsid w:val="000D15A7"/>
    <w:rsid w:val="000D182F"/>
    <w:rsid w:val="000D1840"/>
    <w:rsid w:val="000D18EC"/>
    <w:rsid w:val="000D1E85"/>
    <w:rsid w:val="000D2369"/>
    <w:rsid w:val="000D26AC"/>
    <w:rsid w:val="000D2953"/>
    <w:rsid w:val="000D2DB9"/>
    <w:rsid w:val="000D2DE2"/>
    <w:rsid w:val="000D2F70"/>
    <w:rsid w:val="000D377B"/>
    <w:rsid w:val="000D3BBC"/>
    <w:rsid w:val="000D3F16"/>
    <w:rsid w:val="000D403F"/>
    <w:rsid w:val="000D4277"/>
    <w:rsid w:val="000D4417"/>
    <w:rsid w:val="000D4480"/>
    <w:rsid w:val="000D47CD"/>
    <w:rsid w:val="000D4C0D"/>
    <w:rsid w:val="000D4D9D"/>
    <w:rsid w:val="000D51FF"/>
    <w:rsid w:val="000D5A8A"/>
    <w:rsid w:val="000D6865"/>
    <w:rsid w:val="000D6B48"/>
    <w:rsid w:val="000D6CD3"/>
    <w:rsid w:val="000D7631"/>
    <w:rsid w:val="000D79EA"/>
    <w:rsid w:val="000D7A44"/>
    <w:rsid w:val="000D7AC5"/>
    <w:rsid w:val="000D7C9B"/>
    <w:rsid w:val="000D7E10"/>
    <w:rsid w:val="000D7F12"/>
    <w:rsid w:val="000E0217"/>
    <w:rsid w:val="000E03E9"/>
    <w:rsid w:val="000E0562"/>
    <w:rsid w:val="000E07A3"/>
    <w:rsid w:val="000E0EE6"/>
    <w:rsid w:val="000E14A8"/>
    <w:rsid w:val="000E1690"/>
    <w:rsid w:val="000E1979"/>
    <w:rsid w:val="000E1BE5"/>
    <w:rsid w:val="000E1D7D"/>
    <w:rsid w:val="000E1E27"/>
    <w:rsid w:val="000E289C"/>
    <w:rsid w:val="000E2F71"/>
    <w:rsid w:val="000E30AE"/>
    <w:rsid w:val="000E3102"/>
    <w:rsid w:val="000E31BD"/>
    <w:rsid w:val="000E33D7"/>
    <w:rsid w:val="000E3541"/>
    <w:rsid w:val="000E3596"/>
    <w:rsid w:val="000E3AA1"/>
    <w:rsid w:val="000E51CD"/>
    <w:rsid w:val="000E53CF"/>
    <w:rsid w:val="000E54D5"/>
    <w:rsid w:val="000E55C0"/>
    <w:rsid w:val="000E5687"/>
    <w:rsid w:val="000E5F47"/>
    <w:rsid w:val="000E5FCF"/>
    <w:rsid w:val="000E6CA7"/>
    <w:rsid w:val="000E6D14"/>
    <w:rsid w:val="000E6E5D"/>
    <w:rsid w:val="000E775F"/>
    <w:rsid w:val="000E786B"/>
    <w:rsid w:val="000E7F49"/>
    <w:rsid w:val="000F00D5"/>
    <w:rsid w:val="000F045E"/>
    <w:rsid w:val="000F05D6"/>
    <w:rsid w:val="000F07A1"/>
    <w:rsid w:val="000F103F"/>
    <w:rsid w:val="000F1246"/>
    <w:rsid w:val="000F147D"/>
    <w:rsid w:val="000F152C"/>
    <w:rsid w:val="000F15D8"/>
    <w:rsid w:val="000F1938"/>
    <w:rsid w:val="000F1BE8"/>
    <w:rsid w:val="000F1C30"/>
    <w:rsid w:val="000F1D46"/>
    <w:rsid w:val="000F2749"/>
    <w:rsid w:val="000F27D0"/>
    <w:rsid w:val="000F2D0C"/>
    <w:rsid w:val="000F36A0"/>
    <w:rsid w:val="000F36C4"/>
    <w:rsid w:val="000F3E81"/>
    <w:rsid w:val="000F3FD2"/>
    <w:rsid w:val="000F45D8"/>
    <w:rsid w:val="000F475B"/>
    <w:rsid w:val="000F47E2"/>
    <w:rsid w:val="000F4844"/>
    <w:rsid w:val="000F48EC"/>
    <w:rsid w:val="000F4C96"/>
    <w:rsid w:val="000F4CBD"/>
    <w:rsid w:val="000F4FA6"/>
    <w:rsid w:val="000F4FE3"/>
    <w:rsid w:val="000F5097"/>
    <w:rsid w:val="000F58DC"/>
    <w:rsid w:val="000F5A31"/>
    <w:rsid w:val="000F5B82"/>
    <w:rsid w:val="000F5D08"/>
    <w:rsid w:val="000F5F7C"/>
    <w:rsid w:val="000F62F0"/>
    <w:rsid w:val="000F6978"/>
    <w:rsid w:val="000F6B59"/>
    <w:rsid w:val="000F6D88"/>
    <w:rsid w:val="000F6DF3"/>
    <w:rsid w:val="000F72DE"/>
    <w:rsid w:val="000F7521"/>
    <w:rsid w:val="000F7F4C"/>
    <w:rsid w:val="001000EB"/>
    <w:rsid w:val="001001CD"/>
    <w:rsid w:val="00100D9A"/>
    <w:rsid w:val="00100E4E"/>
    <w:rsid w:val="0010113F"/>
    <w:rsid w:val="0010132D"/>
    <w:rsid w:val="00101707"/>
    <w:rsid w:val="00101948"/>
    <w:rsid w:val="001019F8"/>
    <w:rsid w:val="00101D26"/>
    <w:rsid w:val="00101D2E"/>
    <w:rsid w:val="00101DF4"/>
    <w:rsid w:val="00102F6B"/>
    <w:rsid w:val="00103DB3"/>
    <w:rsid w:val="001040E0"/>
    <w:rsid w:val="001041B5"/>
    <w:rsid w:val="0010478A"/>
    <w:rsid w:val="00105088"/>
    <w:rsid w:val="00105233"/>
    <w:rsid w:val="001055A4"/>
    <w:rsid w:val="00105A99"/>
    <w:rsid w:val="00105B2C"/>
    <w:rsid w:val="00106292"/>
    <w:rsid w:val="001066E2"/>
    <w:rsid w:val="001072AB"/>
    <w:rsid w:val="00107A0A"/>
    <w:rsid w:val="00107E80"/>
    <w:rsid w:val="0010A5AE"/>
    <w:rsid w:val="00110053"/>
    <w:rsid w:val="00110B83"/>
    <w:rsid w:val="00110BDE"/>
    <w:rsid w:val="00111246"/>
    <w:rsid w:val="00111393"/>
    <w:rsid w:val="001114A8"/>
    <w:rsid w:val="0011174C"/>
    <w:rsid w:val="001117AA"/>
    <w:rsid w:val="0011183C"/>
    <w:rsid w:val="00111FAD"/>
    <w:rsid w:val="0011203A"/>
    <w:rsid w:val="0011256B"/>
    <w:rsid w:val="00112A02"/>
    <w:rsid w:val="001136FA"/>
    <w:rsid w:val="00113860"/>
    <w:rsid w:val="0011393A"/>
    <w:rsid w:val="00113A2F"/>
    <w:rsid w:val="00113B1A"/>
    <w:rsid w:val="00114710"/>
    <w:rsid w:val="001148E4"/>
    <w:rsid w:val="00114988"/>
    <w:rsid w:val="00114B36"/>
    <w:rsid w:val="00114EBF"/>
    <w:rsid w:val="00114F42"/>
    <w:rsid w:val="0011507F"/>
    <w:rsid w:val="0011597E"/>
    <w:rsid w:val="00115A62"/>
    <w:rsid w:val="00115DAD"/>
    <w:rsid w:val="00115DBC"/>
    <w:rsid w:val="00115F0C"/>
    <w:rsid w:val="001160B4"/>
    <w:rsid w:val="001164DD"/>
    <w:rsid w:val="001165A6"/>
    <w:rsid w:val="00116849"/>
    <w:rsid w:val="00116AD0"/>
    <w:rsid w:val="00116CDB"/>
    <w:rsid w:val="00116F70"/>
    <w:rsid w:val="00117094"/>
    <w:rsid w:val="00117121"/>
    <w:rsid w:val="001173E8"/>
    <w:rsid w:val="00117CC9"/>
    <w:rsid w:val="00117F2B"/>
    <w:rsid w:val="00120274"/>
    <w:rsid w:val="0012045B"/>
    <w:rsid w:val="0012047E"/>
    <w:rsid w:val="001209B2"/>
    <w:rsid w:val="00120A1B"/>
    <w:rsid w:val="00120FA4"/>
    <w:rsid w:val="00121037"/>
    <w:rsid w:val="0012158C"/>
    <w:rsid w:val="0012181A"/>
    <w:rsid w:val="00121890"/>
    <w:rsid w:val="00121A0F"/>
    <w:rsid w:val="00121B12"/>
    <w:rsid w:val="0012226C"/>
    <w:rsid w:val="00122299"/>
    <w:rsid w:val="00122743"/>
    <w:rsid w:val="0012282F"/>
    <w:rsid w:val="00122B8D"/>
    <w:rsid w:val="00122CE9"/>
    <w:rsid w:val="001235F8"/>
    <w:rsid w:val="00123D8C"/>
    <w:rsid w:val="00123F7C"/>
    <w:rsid w:val="0012417F"/>
    <w:rsid w:val="001242AC"/>
    <w:rsid w:val="001246FF"/>
    <w:rsid w:val="0012480D"/>
    <w:rsid w:val="00124843"/>
    <w:rsid w:val="001249D8"/>
    <w:rsid w:val="00125DB8"/>
    <w:rsid w:val="0012664A"/>
    <w:rsid w:val="001267F4"/>
    <w:rsid w:val="0012684F"/>
    <w:rsid w:val="00126B39"/>
    <w:rsid w:val="001275F3"/>
    <w:rsid w:val="00127670"/>
    <w:rsid w:val="001278DD"/>
    <w:rsid w:val="00127900"/>
    <w:rsid w:val="00127AC3"/>
    <w:rsid w:val="00127D09"/>
    <w:rsid w:val="00127D5A"/>
    <w:rsid w:val="0013000C"/>
    <w:rsid w:val="0013004E"/>
    <w:rsid w:val="001307E0"/>
    <w:rsid w:val="00130992"/>
    <w:rsid w:val="00130A28"/>
    <w:rsid w:val="00130B9F"/>
    <w:rsid w:val="001315F5"/>
    <w:rsid w:val="00131D06"/>
    <w:rsid w:val="00131E71"/>
    <w:rsid w:val="00132302"/>
    <w:rsid w:val="001324E1"/>
    <w:rsid w:val="00132628"/>
    <w:rsid w:val="001326DF"/>
    <w:rsid w:val="0013278A"/>
    <w:rsid w:val="00133CD4"/>
    <w:rsid w:val="001344AF"/>
    <w:rsid w:val="001345A9"/>
    <w:rsid w:val="001346B4"/>
    <w:rsid w:val="00134DD2"/>
    <w:rsid w:val="00134FAD"/>
    <w:rsid w:val="00134FB2"/>
    <w:rsid w:val="0013516A"/>
    <w:rsid w:val="00135456"/>
    <w:rsid w:val="001360BC"/>
    <w:rsid w:val="001362EA"/>
    <w:rsid w:val="001363C6"/>
    <w:rsid w:val="00136415"/>
    <w:rsid w:val="00136E30"/>
    <w:rsid w:val="0013704A"/>
    <w:rsid w:val="0013733C"/>
    <w:rsid w:val="00137375"/>
    <w:rsid w:val="0013771C"/>
    <w:rsid w:val="00137F03"/>
    <w:rsid w:val="0014011E"/>
    <w:rsid w:val="00140399"/>
    <w:rsid w:val="001406EE"/>
    <w:rsid w:val="00141113"/>
    <w:rsid w:val="001411A1"/>
    <w:rsid w:val="00141210"/>
    <w:rsid w:val="00141216"/>
    <w:rsid w:val="0014122C"/>
    <w:rsid w:val="0014132D"/>
    <w:rsid w:val="0014214D"/>
    <w:rsid w:val="0014247D"/>
    <w:rsid w:val="0014260E"/>
    <w:rsid w:val="00142ACF"/>
    <w:rsid w:val="00142C87"/>
    <w:rsid w:val="00142DF6"/>
    <w:rsid w:val="00142EB7"/>
    <w:rsid w:val="00143076"/>
    <w:rsid w:val="001446BE"/>
    <w:rsid w:val="001449D6"/>
    <w:rsid w:val="00144C7A"/>
    <w:rsid w:val="00144E6C"/>
    <w:rsid w:val="001450F0"/>
    <w:rsid w:val="00145432"/>
    <w:rsid w:val="001456A4"/>
    <w:rsid w:val="001456DC"/>
    <w:rsid w:val="00145B83"/>
    <w:rsid w:val="001464AE"/>
    <w:rsid w:val="001464FE"/>
    <w:rsid w:val="00146797"/>
    <w:rsid w:val="00146827"/>
    <w:rsid w:val="00147269"/>
    <w:rsid w:val="0014742B"/>
    <w:rsid w:val="00147E60"/>
    <w:rsid w:val="00147F74"/>
    <w:rsid w:val="0015006E"/>
    <w:rsid w:val="00150EFE"/>
    <w:rsid w:val="00150F0D"/>
    <w:rsid w:val="00150F2B"/>
    <w:rsid w:val="00151543"/>
    <w:rsid w:val="001515DB"/>
    <w:rsid w:val="001515E8"/>
    <w:rsid w:val="00151721"/>
    <w:rsid w:val="00151B2F"/>
    <w:rsid w:val="001524DB"/>
    <w:rsid w:val="0015253A"/>
    <w:rsid w:val="0015264E"/>
    <w:rsid w:val="0015274C"/>
    <w:rsid w:val="001528DA"/>
    <w:rsid w:val="00152A96"/>
    <w:rsid w:val="00153096"/>
    <w:rsid w:val="001530A8"/>
    <w:rsid w:val="0015314F"/>
    <w:rsid w:val="0015317C"/>
    <w:rsid w:val="001538E6"/>
    <w:rsid w:val="00153DD7"/>
    <w:rsid w:val="0015404F"/>
    <w:rsid w:val="001544D6"/>
    <w:rsid w:val="0015504D"/>
    <w:rsid w:val="00155120"/>
    <w:rsid w:val="00155310"/>
    <w:rsid w:val="00155380"/>
    <w:rsid w:val="001558A4"/>
    <w:rsid w:val="00155D41"/>
    <w:rsid w:val="0015683E"/>
    <w:rsid w:val="00156E81"/>
    <w:rsid w:val="00157241"/>
    <w:rsid w:val="001575C1"/>
    <w:rsid w:val="001577F1"/>
    <w:rsid w:val="00157D19"/>
    <w:rsid w:val="00157D95"/>
    <w:rsid w:val="00160306"/>
    <w:rsid w:val="00160776"/>
    <w:rsid w:val="001609E2"/>
    <w:rsid w:val="00160C07"/>
    <w:rsid w:val="00160D3D"/>
    <w:rsid w:val="00160F3E"/>
    <w:rsid w:val="001610D8"/>
    <w:rsid w:val="0016149B"/>
    <w:rsid w:val="001615BE"/>
    <w:rsid w:val="001617F7"/>
    <w:rsid w:val="0016207C"/>
    <w:rsid w:val="00162257"/>
    <w:rsid w:val="0016256B"/>
    <w:rsid w:val="00162705"/>
    <w:rsid w:val="001628A9"/>
    <w:rsid w:val="00162ED2"/>
    <w:rsid w:val="001638A0"/>
    <w:rsid w:val="00163E9F"/>
    <w:rsid w:val="001649BF"/>
    <w:rsid w:val="00164A87"/>
    <w:rsid w:val="00164FAE"/>
    <w:rsid w:val="001653B9"/>
    <w:rsid w:val="00165425"/>
    <w:rsid w:val="001654F5"/>
    <w:rsid w:val="00165566"/>
    <w:rsid w:val="00165F94"/>
    <w:rsid w:val="001665EF"/>
    <w:rsid w:val="001667A6"/>
    <w:rsid w:val="001668D6"/>
    <w:rsid w:val="00166927"/>
    <w:rsid w:val="00166A5C"/>
    <w:rsid w:val="0016709E"/>
    <w:rsid w:val="00167ECA"/>
    <w:rsid w:val="001707AE"/>
    <w:rsid w:val="001709CE"/>
    <w:rsid w:val="00170D72"/>
    <w:rsid w:val="00170ECB"/>
    <w:rsid w:val="00171249"/>
    <w:rsid w:val="001712A0"/>
    <w:rsid w:val="001714FA"/>
    <w:rsid w:val="00171865"/>
    <w:rsid w:val="00171A33"/>
    <w:rsid w:val="001723DC"/>
    <w:rsid w:val="00172479"/>
    <w:rsid w:val="0017294B"/>
    <w:rsid w:val="00172A04"/>
    <w:rsid w:val="001734D5"/>
    <w:rsid w:val="001736D4"/>
    <w:rsid w:val="001740C5"/>
    <w:rsid w:val="00174652"/>
    <w:rsid w:val="0017466E"/>
    <w:rsid w:val="0017466F"/>
    <w:rsid w:val="00174791"/>
    <w:rsid w:val="00174CAA"/>
    <w:rsid w:val="001756B9"/>
    <w:rsid w:val="00175818"/>
    <w:rsid w:val="00175A97"/>
    <w:rsid w:val="00175EE8"/>
    <w:rsid w:val="00175F59"/>
    <w:rsid w:val="00176046"/>
    <w:rsid w:val="001761AF"/>
    <w:rsid w:val="001766D3"/>
    <w:rsid w:val="00176BBE"/>
    <w:rsid w:val="001771B8"/>
    <w:rsid w:val="001775D5"/>
    <w:rsid w:val="001777EB"/>
    <w:rsid w:val="00177ADA"/>
    <w:rsid w:val="001800B2"/>
    <w:rsid w:val="001803EC"/>
    <w:rsid w:val="001806A3"/>
    <w:rsid w:val="00180DD2"/>
    <w:rsid w:val="00180E1D"/>
    <w:rsid w:val="0018123D"/>
    <w:rsid w:val="00181318"/>
    <w:rsid w:val="001813BD"/>
    <w:rsid w:val="00181754"/>
    <w:rsid w:val="00181940"/>
    <w:rsid w:val="00181EF7"/>
    <w:rsid w:val="00182087"/>
    <w:rsid w:val="00182E1F"/>
    <w:rsid w:val="001835F0"/>
    <w:rsid w:val="0018360F"/>
    <w:rsid w:val="001836D5"/>
    <w:rsid w:val="001837A8"/>
    <w:rsid w:val="00183E28"/>
    <w:rsid w:val="001841FD"/>
    <w:rsid w:val="00184394"/>
    <w:rsid w:val="00184C2A"/>
    <w:rsid w:val="00185015"/>
    <w:rsid w:val="0018524E"/>
    <w:rsid w:val="0018543D"/>
    <w:rsid w:val="0018559E"/>
    <w:rsid w:val="001855CA"/>
    <w:rsid w:val="00185ADB"/>
    <w:rsid w:val="00185CC6"/>
    <w:rsid w:val="001863D6"/>
    <w:rsid w:val="00186414"/>
    <w:rsid w:val="0018652E"/>
    <w:rsid w:val="001866DD"/>
    <w:rsid w:val="001868FE"/>
    <w:rsid w:val="00186D60"/>
    <w:rsid w:val="00186E6A"/>
    <w:rsid w:val="001871DB"/>
    <w:rsid w:val="00187D48"/>
    <w:rsid w:val="00187DE8"/>
    <w:rsid w:val="00190010"/>
    <w:rsid w:val="0019021D"/>
    <w:rsid w:val="00190284"/>
    <w:rsid w:val="0019061D"/>
    <w:rsid w:val="001916DD"/>
    <w:rsid w:val="0019187F"/>
    <w:rsid w:val="0019193F"/>
    <w:rsid w:val="00191C16"/>
    <w:rsid w:val="0019209D"/>
    <w:rsid w:val="0019266A"/>
    <w:rsid w:val="00192947"/>
    <w:rsid w:val="00192C7B"/>
    <w:rsid w:val="00192D2E"/>
    <w:rsid w:val="001931E6"/>
    <w:rsid w:val="0019398B"/>
    <w:rsid w:val="00193EAE"/>
    <w:rsid w:val="00193F37"/>
    <w:rsid w:val="001942B0"/>
    <w:rsid w:val="001947B9"/>
    <w:rsid w:val="00194DAF"/>
    <w:rsid w:val="00194E36"/>
    <w:rsid w:val="001957EF"/>
    <w:rsid w:val="00195F6D"/>
    <w:rsid w:val="00196134"/>
    <w:rsid w:val="0019633D"/>
    <w:rsid w:val="00197185"/>
    <w:rsid w:val="001974F5"/>
    <w:rsid w:val="001A0529"/>
    <w:rsid w:val="001A0D95"/>
    <w:rsid w:val="001A13EF"/>
    <w:rsid w:val="001A166C"/>
    <w:rsid w:val="001A19C6"/>
    <w:rsid w:val="001A1E64"/>
    <w:rsid w:val="001A214A"/>
    <w:rsid w:val="001A28B7"/>
    <w:rsid w:val="001A2CDD"/>
    <w:rsid w:val="001A2E88"/>
    <w:rsid w:val="001A2FB6"/>
    <w:rsid w:val="001A3133"/>
    <w:rsid w:val="001A315A"/>
    <w:rsid w:val="001A3170"/>
    <w:rsid w:val="001A325B"/>
    <w:rsid w:val="001A36FE"/>
    <w:rsid w:val="001A387B"/>
    <w:rsid w:val="001A3AED"/>
    <w:rsid w:val="001A3D96"/>
    <w:rsid w:val="001A4529"/>
    <w:rsid w:val="001A54D3"/>
    <w:rsid w:val="001A54F9"/>
    <w:rsid w:val="001A55A9"/>
    <w:rsid w:val="001A5AAB"/>
    <w:rsid w:val="001A5E5E"/>
    <w:rsid w:val="001A5E8C"/>
    <w:rsid w:val="001A5F1E"/>
    <w:rsid w:val="001A604D"/>
    <w:rsid w:val="001A6187"/>
    <w:rsid w:val="001A6222"/>
    <w:rsid w:val="001A6490"/>
    <w:rsid w:val="001A6E17"/>
    <w:rsid w:val="001A6F17"/>
    <w:rsid w:val="001A7595"/>
    <w:rsid w:val="001A789F"/>
    <w:rsid w:val="001A793F"/>
    <w:rsid w:val="001A796B"/>
    <w:rsid w:val="001A7980"/>
    <w:rsid w:val="001A7D82"/>
    <w:rsid w:val="001B01AA"/>
    <w:rsid w:val="001B0895"/>
    <w:rsid w:val="001B09F4"/>
    <w:rsid w:val="001B0ACC"/>
    <w:rsid w:val="001B139C"/>
    <w:rsid w:val="001B1739"/>
    <w:rsid w:val="001B1793"/>
    <w:rsid w:val="001B185D"/>
    <w:rsid w:val="001B1C90"/>
    <w:rsid w:val="001B2395"/>
    <w:rsid w:val="001B2620"/>
    <w:rsid w:val="001B27F0"/>
    <w:rsid w:val="001B313D"/>
    <w:rsid w:val="001B31A6"/>
    <w:rsid w:val="001B3222"/>
    <w:rsid w:val="001B3416"/>
    <w:rsid w:val="001B36E3"/>
    <w:rsid w:val="001B3723"/>
    <w:rsid w:val="001B3B27"/>
    <w:rsid w:val="001B3E4B"/>
    <w:rsid w:val="001B4528"/>
    <w:rsid w:val="001B4845"/>
    <w:rsid w:val="001B5571"/>
    <w:rsid w:val="001B5DB2"/>
    <w:rsid w:val="001B600F"/>
    <w:rsid w:val="001B6062"/>
    <w:rsid w:val="001B6A07"/>
    <w:rsid w:val="001B6ED4"/>
    <w:rsid w:val="001B7168"/>
    <w:rsid w:val="001C0DE0"/>
    <w:rsid w:val="001C10AB"/>
    <w:rsid w:val="001C12FB"/>
    <w:rsid w:val="001C168B"/>
    <w:rsid w:val="001C1FF1"/>
    <w:rsid w:val="001C2491"/>
    <w:rsid w:val="001C24A4"/>
    <w:rsid w:val="001C2A18"/>
    <w:rsid w:val="001C2A51"/>
    <w:rsid w:val="001C2B15"/>
    <w:rsid w:val="001C2FC8"/>
    <w:rsid w:val="001C3859"/>
    <w:rsid w:val="001C3B4E"/>
    <w:rsid w:val="001C4076"/>
    <w:rsid w:val="001C41E3"/>
    <w:rsid w:val="001C4A95"/>
    <w:rsid w:val="001C4EB7"/>
    <w:rsid w:val="001C5098"/>
    <w:rsid w:val="001C5AE2"/>
    <w:rsid w:val="001C61C4"/>
    <w:rsid w:val="001C6BC1"/>
    <w:rsid w:val="001C6C3E"/>
    <w:rsid w:val="001C6C8B"/>
    <w:rsid w:val="001C71C4"/>
    <w:rsid w:val="001C72C4"/>
    <w:rsid w:val="001C79DC"/>
    <w:rsid w:val="001C7B33"/>
    <w:rsid w:val="001D05CE"/>
    <w:rsid w:val="001D0F84"/>
    <w:rsid w:val="001D19E5"/>
    <w:rsid w:val="001D1DA8"/>
    <w:rsid w:val="001D1EF2"/>
    <w:rsid w:val="001D24D1"/>
    <w:rsid w:val="001D2AB3"/>
    <w:rsid w:val="001D2E4B"/>
    <w:rsid w:val="001D31CC"/>
    <w:rsid w:val="001D33FB"/>
    <w:rsid w:val="001D3B3F"/>
    <w:rsid w:val="001D3D92"/>
    <w:rsid w:val="001D46F9"/>
    <w:rsid w:val="001D4BB5"/>
    <w:rsid w:val="001D4ED1"/>
    <w:rsid w:val="001D51E7"/>
    <w:rsid w:val="001D5220"/>
    <w:rsid w:val="001D534B"/>
    <w:rsid w:val="001D5989"/>
    <w:rsid w:val="001D5C72"/>
    <w:rsid w:val="001D6915"/>
    <w:rsid w:val="001D6DA3"/>
    <w:rsid w:val="001D71D0"/>
    <w:rsid w:val="001D7570"/>
    <w:rsid w:val="001D7C3C"/>
    <w:rsid w:val="001D7D02"/>
    <w:rsid w:val="001E00C0"/>
    <w:rsid w:val="001E039B"/>
    <w:rsid w:val="001E0865"/>
    <w:rsid w:val="001E088C"/>
    <w:rsid w:val="001E0E97"/>
    <w:rsid w:val="001E0EA7"/>
    <w:rsid w:val="001E1021"/>
    <w:rsid w:val="001E10DE"/>
    <w:rsid w:val="001E1247"/>
    <w:rsid w:val="001E197D"/>
    <w:rsid w:val="001E1EC6"/>
    <w:rsid w:val="001E2067"/>
    <w:rsid w:val="001E2A36"/>
    <w:rsid w:val="001E2CF2"/>
    <w:rsid w:val="001E2D5B"/>
    <w:rsid w:val="001E31D1"/>
    <w:rsid w:val="001E379A"/>
    <w:rsid w:val="001E3ADF"/>
    <w:rsid w:val="001E3D0D"/>
    <w:rsid w:val="001E3D73"/>
    <w:rsid w:val="001E46AA"/>
    <w:rsid w:val="001E4D6C"/>
    <w:rsid w:val="001E54A1"/>
    <w:rsid w:val="001E567F"/>
    <w:rsid w:val="001E568B"/>
    <w:rsid w:val="001E5AEA"/>
    <w:rsid w:val="001E5B61"/>
    <w:rsid w:val="001E5E5F"/>
    <w:rsid w:val="001E6885"/>
    <w:rsid w:val="001E70CF"/>
    <w:rsid w:val="001E76BA"/>
    <w:rsid w:val="001E7A2A"/>
    <w:rsid w:val="001E7F45"/>
    <w:rsid w:val="001F0253"/>
    <w:rsid w:val="001F0312"/>
    <w:rsid w:val="001F0F41"/>
    <w:rsid w:val="001F1236"/>
    <w:rsid w:val="001F1669"/>
    <w:rsid w:val="001F1805"/>
    <w:rsid w:val="001F1B8B"/>
    <w:rsid w:val="001F1C3C"/>
    <w:rsid w:val="001F1CF4"/>
    <w:rsid w:val="001F24F3"/>
    <w:rsid w:val="001F2A85"/>
    <w:rsid w:val="001F2BDE"/>
    <w:rsid w:val="001F2E53"/>
    <w:rsid w:val="001F3486"/>
    <w:rsid w:val="001F37B2"/>
    <w:rsid w:val="001F37D8"/>
    <w:rsid w:val="001F3CA8"/>
    <w:rsid w:val="001F3D4B"/>
    <w:rsid w:val="001F443D"/>
    <w:rsid w:val="001F44AC"/>
    <w:rsid w:val="001F4882"/>
    <w:rsid w:val="001F5185"/>
    <w:rsid w:val="001F52A8"/>
    <w:rsid w:val="001F53FA"/>
    <w:rsid w:val="001F54D7"/>
    <w:rsid w:val="001F5A84"/>
    <w:rsid w:val="001F5BB2"/>
    <w:rsid w:val="001F64DC"/>
    <w:rsid w:val="001F6AF4"/>
    <w:rsid w:val="001F6B2E"/>
    <w:rsid w:val="001F6F59"/>
    <w:rsid w:val="001F6FF4"/>
    <w:rsid w:val="001F7228"/>
    <w:rsid w:val="00200C90"/>
    <w:rsid w:val="00201029"/>
    <w:rsid w:val="00201046"/>
    <w:rsid w:val="002012CC"/>
    <w:rsid w:val="002013D9"/>
    <w:rsid w:val="00201667"/>
    <w:rsid w:val="00201FF5"/>
    <w:rsid w:val="00202074"/>
    <w:rsid w:val="002029F5"/>
    <w:rsid w:val="00202BCA"/>
    <w:rsid w:val="00202CF9"/>
    <w:rsid w:val="00203C0E"/>
    <w:rsid w:val="0020415F"/>
    <w:rsid w:val="00204378"/>
    <w:rsid w:val="00204A70"/>
    <w:rsid w:val="00204DF8"/>
    <w:rsid w:val="00205BAF"/>
    <w:rsid w:val="0020627E"/>
    <w:rsid w:val="00206462"/>
    <w:rsid w:val="00206852"/>
    <w:rsid w:val="00206899"/>
    <w:rsid w:val="00206B7B"/>
    <w:rsid w:val="00206D29"/>
    <w:rsid w:val="00206ED7"/>
    <w:rsid w:val="00207B82"/>
    <w:rsid w:val="00207BFA"/>
    <w:rsid w:val="0021008E"/>
    <w:rsid w:val="00210869"/>
    <w:rsid w:val="00210966"/>
    <w:rsid w:val="00211066"/>
    <w:rsid w:val="00211079"/>
    <w:rsid w:val="00211102"/>
    <w:rsid w:val="0021121D"/>
    <w:rsid w:val="002112E5"/>
    <w:rsid w:val="002115BB"/>
    <w:rsid w:val="00211AE6"/>
    <w:rsid w:val="0021288C"/>
    <w:rsid w:val="00212B69"/>
    <w:rsid w:val="00212F06"/>
    <w:rsid w:val="00212FC9"/>
    <w:rsid w:val="002131ED"/>
    <w:rsid w:val="002132D8"/>
    <w:rsid w:val="00213D9F"/>
    <w:rsid w:val="00213DB8"/>
    <w:rsid w:val="002141E5"/>
    <w:rsid w:val="002143CD"/>
    <w:rsid w:val="002146A4"/>
    <w:rsid w:val="002146BA"/>
    <w:rsid w:val="00214714"/>
    <w:rsid w:val="00214986"/>
    <w:rsid w:val="00214CED"/>
    <w:rsid w:val="00214F16"/>
    <w:rsid w:val="00215442"/>
    <w:rsid w:val="00215E18"/>
    <w:rsid w:val="00216174"/>
    <w:rsid w:val="00216D79"/>
    <w:rsid w:val="002177D0"/>
    <w:rsid w:val="0021795F"/>
    <w:rsid w:val="002179F3"/>
    <w:rsid w:val="0022052A"/>
    <w:rsid w:val="00220590"/>
    <w:rsid w:val="002208B1"/>
    <w:rsid w:val="002219BD"/>
    <w:rsid w:val="00221D25"/>
    <w:rsid w:val="002222E0"/>
    <w:rsid w:val="00222727"/>
    <w:rsid w:val="00222A24"/>
    <w:rsid w:val="00222A91"/>
    <w:rsid w:val="00222E0D"/>
    <w:rsid w:val="00222EA6"/>
    <w:rsid w:val="00222F9B"/>
    <w:rsid w:val="002233B4"/>
    <w:rsid w:val="002235B7"/>
    <w:rsid w:val="00223621"/>
    <w:rsid w:val="00223636"/>
    <w:rsid w:val="002236E6"/>
    <w:rsid w:val="0022436C"/>
    <w:rsid w:val="00224741"/>
    <w:rsid w:val="002248D4"/>
    <w:rsid w:val="00224B29"/>
    <w:rsid w:val="00224BFB"/>
    <w:rsid w:val="00225018"/>
    <w:rsid w:val="002255A9"/>
    <w:rsid w:val="002255AA"/>
    <w:rsid w:val="002259C3"/>
    <w:rsid w:val="00225A61"/>
    <w:rsid w:val="00225C85"/>
    <w:rsid w:val="0022617F"/>
    <w:rsid w:val="00226605"/>
    <w:rsid w:val="00226DF7"/>
    <w:rsid w:val="00226F43"/>
    <w:rsid w:val="00227920"/>
    <w:rsid w:val="00227959"/>
    <w:rsid w:val="00227988"/>
    <w:rsid w:val="00227A3B"/>
    <w:rsid w:val="00227EC2"/>
    <w:rsid w:val="00227FB0"/>
    <w:rsid w:val="00230561"/>
    <w:rsid w:val="00230596"/>
    <w:rsid w:val="00230685"/>
    <w:rsid w:val="002306CB"/>
    <w:rsid w:val="00231ABA"/>
    <w:rsid w:val="00231DF8"/>
    <w:rsid w:val="00231E68"/>
    <w:rsid w:val="00232866"/>
    <w:rsid w:val="002328FA"/>
    <w:rsid w:val="00232C00"/>
    <w:rsid w:val="00232D53"/>
    <w:rsid w:val="002331DD"/>
    <w:rsid w:val="00233655"/>
    <w:rsid w:val="00233CA4"/>
    <w:rsid w:val="00234371"/>
    <w:rsid w:val="002349A1"/>
    <w:rsid w:val="00234A19"/>
    <w:rsid w:val="00234B23"/>
    <w:rsid w:val="00234B92"/>
    <w:rsid w:val="00234D01"/>
    <w:rsid w:val="00234D08"/>
    <w:rsid w:val="00234DE9"/>
    <w:rsid w:val="00234FBB"/>
    <w:rsid w:val="00235635"/>
    <w:rsid w:val="00235897"/>
    <w:rsid w:val="00235E7F"/>
    <w:rsid w:val="00236151"/>
    <w:rsid w:val="00236625"/>
    <w:rsid w:val="00236A61"/>
    <w:rsid w:val="00236B64"/>
    <w:rsid w:val="00236C01"/>
    <w:rsid w:val="00236C48"/>
    <w:rsid w:val="00236CFD"/>
    <w:rsid w:val="00236E13"/>
    <w:rsid w:val="002370E5"/>
    <w:rsid w:val="00237ACF"/>
    <w:rsid w:val="002405E5"/>
    <w:rsid w:val="002406E8"/>
    <w:rsid w:val="0024096C"/>
    <w:rsid w:val="00241022"/>
    <w:rsid w:val="002416C5"/>
    <w:rsid w:val="00241743"/>
    <w:rsid w:val="0024192D"/>
    <w:rsid w:val="00241A40"/>
    <w:rsid w:val="002424DE"/>
    <w:rsid w:val="002424F6"/>
    <w:rsid w:val="00242D11"/>
    <w:rsid w:val="00242ECF"/>
    <w:rsid w:val="002433FA"/>
    <w:rsid w:val="0024343C"/>
    <w:rsid w:val="00243484"/>
    <w:rsid w:val="002439F8"/>
    <w:rsid w:val="00243C1D"/>
    <w:rsid w:val="00243E1E"/>
    <w:rsid w:val="00244050"/>
    <w:rsid w:val="00244102"/>
    <w:rsid w:val="0024418F"/>
    <w:rsid w:val="00244751"/>
    <w:rsid w:val="00244C5A"/>
    <w:rsid w:val="002452DE"/>
    <w:rsid w:val="002454DD"/>
    <w:rsid w:val="00245F5D"/>
    <w:rsid w:val="00245F82"/>
    <w:rsid w:val="0024634D"/>
    <w:rsid w:val="00246396"/>
    <w:rsid w:val="002466B1"/>
    <w:rsid w:val="00246829"/>
    <w:rsid w:val="00246843"/>
    <w:rsid w:val="002471AB"/>
    <w:rsid w:val="00247480"/>
    <w:rsid w:val="00247964"/>
    <w:rsid w:val="00247978"/>
    <w:rsid w:val="00250049"/>
    <w:rsid w:val="00250065"/>
    <w:rsid w:val="00250081"/>
    <w:rsid w:val="002501F2"/>
    <w:rsid w:val="00250254"/>
    <w:rsid w:val="002502B5"/>
    <w:rsid w:val="00250475"/>
    <w:rsid w:val="00250CDF"/>
    <w:rsid w:val="002516EE"/>
    <w:rsid w:val="00251984"/>
    <w:rsid w:val="00251B5B"/>
    <w:rsid w:val="00251CFE"/>
    <w:rsid w:val="00251D06"/>
    <w:rsid w:val="002521EE"/>
    <w:rsid w:val="00252454"/>
    <w:rsid w:val="00252679"/>
    <w:rsid w:val="002527CB"/>
    <w:rsid w:val="00252BFA"/>
    <w:rsid w:val="00252CF2"/>
    <w:rsid w:val="00252DD6"/>
    <w:rsid w:val="00253707"/>
    <w:rsid w:val="00253AF7"/>
    <w:rsid w:val="00253C32"/>
    <w:rsid w:val="002540F3"/>
    <w:rsid w:val="0025417D"/>
    <w:rsid w:val="002553CA"/>
    <w:rsid w:val="002553FD"/>
    <w:rsid w:val="00255D27"/>
    <w:rsid w:val="0025629B"/>
    <w:rsid w:val="002562C9"/>
    <w:rsid w:val="00256512"/>
    <w:rsid w:val="002565C1"/>
    <w:rsid w:val="002565E4"/>
    <w:rsid w:val="0025713E"/>
    <w:rsid w:val="00257196"/>
    <w:rsid w:val="00257D7C"/>
    <w:rsid w:val="00260020"/>
    <w:rsid w:val="002602D9"/>
    <w:rsid w:val="00260590"/>
    <w:rsid w:val="002611BC"/>
    <w:rsid w:val="00261353"/>
    <w:rsid w:val="0026148D"/>
    <w:rsid w:val="002614C9"/>
    <w:rsid w:val="002616BA"/>
    <w:rsid w:val="002617A6"/>
    <w:rsid w:val="002619D8"/>
    <w:rsid w:val="0026200D"/>
    <w:rsid w:val="0026207D"/>
    <w:rsid w:val="002620FF"/>
    <w:rsid w:val="0026237F"/>
    <w:rsid w:val="0026281F"/>
    <w:rsid w:val="00262FA8"/>
    <w:rsid w:val="00263130"/>
    <w:rsid w:val="00263472"/>
    <w:rsid w:val="00263995"/>
    <w:rsid w:val="00263AF8"/>
    <w:rsid w:val="00263DC7"/>
    <w:rsid w:val="002642BC"/>
    <w:rsid w:val="00264C8A"/>
    <w:rsid w:val="00264D03"/>
    <w:rsid w:val="0026503B"/>
    <w:rsid w:val="002651D7"/>
    <w:rsid w:val="002654F7"/>
    <w:rsid w:val="00265651"/>
    <w:rsid w:val="002657E3"/>
    <w:rsid w:val="002658D5"/>
    <w:rsid w:val="0026635F"/>
    <w:rsid w:val="0026647E"/>
    <w:rsid w:val="002665A9"/>
    <w:rsid w:val="00266C13"/>
    <w:rsid w:val="00266D55"/>
    <w:rsid w:val="00266DC6"/>
    <w:rsid w:val="00266E0C"/>
    <w:rsid w:val="002675E2"/>
    <w:rsid w:val="002678D8"/>
    <w:rsid w:val="00267A17"/>
    <w:rsid w:val="00267A37"/>
    <w:rsid w:val="00267B01"/>
    <w:rsid w:val="00267E34"/>
    <w:rsid w:val="00267F74"/>
    <w:rsid w:val="00270392"/>
    <w:rsid w:val="0027084B"/>
    <w:rsid w:val="00270D0C"/>
    <w:rsid w:val="0027113B"/>
    <w:rsid w:val="002723E4"/>
    <w:rsid w:val="00272883"/>
    <w:rsid w:val="002729EE"/>
    <w:rsid w:val="00272A4D"/>
    <w:rsid w:val="00272E06"/>
    <w:rsid w:val="00273249"/>
    <w:rsid w:val="00273811"/>
    <w:rsid w:val="0027381C"/>
    <w:rsid w:val="00274072"/>
    <w:rsid w:val="002741DB"/>
    <w:rsid w:val="002746B4"/>
    <w:rsid w:val="00274B49"/>
    <w:rsid w:val="00274EE3"/>
    <w:rsid w:val="00275188"/>
    <w:rsid w:val="00275241"/>
    <w:rsid w:val="002755A7"/>
    <w:rsid w:val="00275927"/>
    <w:rsid w:val="00275D7A"/>
    <w:rsid w:val="00275F07"/>
    <w:rsid w:val="002760EA"/>
    <w:rsid w:val="002762D6"/>
    <w:rsid w:val="00276462"/>
    <w:rsid w:val="00276834"/>
    <w:rsid w:val="00276A7A"/>
    <w:rsid w:val="00276C07"/>
    <w:rsid w:val="00276CE0"/>
    <w:rsid w:val="0027701B"/>
    <w:rsid w:val="00277CFC"/>
    <w:rsid w:val="00277ED4"/>
    <w:rsid w:val="0027AFA3"/>
    <w:rsid w:val="0028003C"/>
    <w:rsid w:val="00280050"/>
    <w:rsid w:val="002803D6"/>
    <w:rsid w:val="00280475"/>
    <w:rsid w:val="002804AC"/>
    <w:rsid w:val="00280EB7"/>
    <w:rsid w:val="002811DF"/>
    <w:rsid w:val="00281798"/>
    <w:rsid w:val="002818DB"/>
    <w:rsid w:val="00281B2C"/>
    <w:rsid w:val="00282C1C"/>
    <w:rsid w:val="00282C4A"/>
    <w:rsid w:val="0028316D"/>
    <w:rsid w:val="00283479"/>
    <w:rsid w:val="0028356F"/>
    <w:rsid w:val="0028376A"/>
    <w:rsid w:val="002838F0"/>
    <w:rsid w:val="00283C38"/>
    <w:rsid w:val="00283FB0"/>
    <w:rsid w:val="002843CE"/>
    <w:rsid w:val="0028445B"/>
    <w:rsid w:val="0028460F"/>
    <w:rsid w:val="00284657"/>
    <w:rsid w:val="002846C1"/>
    <w:rsid w:val="002846E9"/>
    <w:rsid w:val="002848F3"/>
    <w:rsid w:val="00284919"/>
    <w:rsid w:val="00284C6C"/>
    <w:rsid w:val="00284D28"/>
    <w:rsid w:val="00284DFF"/>
    <w:rsid w:val="00284F11"/>
    <w:rsid w:val="0028576C"/>
    <w:rsid w:val="00285BD6"/>
    <w:rsid w:val="00285DC7"/>
    <w:rsid w:val="00285E5B"/>
    <w:rsid w:val="00285EE4"/>
    <w:rsid w:val="0028627F"/>
    <w:rsid w:val="00286910"/>
    <w:rsid w:val="00286C31"/>
    <w:rsid w:val="00286D93"/>
    <w:rsid w:val="00286E7C"/>
    <w:rsid w:val="00286FB2"/>
    <w:rsid w:val="00287086"/>
    <w:rsid w:val="00287330"/>
    <w:rsid w:val="002876A6"/>
    <w:rsid w:val="002876C9"/>
    <w:rsid w:val="002876DA"/>
    <w:rsid w:val="00287788"/>
    <w:rsid w:val="0029027A"/>
    <w:rsid w:val="002908FD"/>
    <w:rsid w:val="0029099C"/>
    <w:rsid w:val="00290A81"/>
    <w:rsid w:val="0029124B"/>
    <w:rsid w:val="00291374"/>
    <w:rsid w:val="002917A7"/>
    <w:rsid w:val="00291AF2"/>
    <w:rsid w:val="0029229F"/>
    <w:rsid w:val="00292FB1"/>
    <w:rsid w:val="00293E7B"/>
    <w:rsid w:val="00293E8B"/>
    <w:rsid w:val="00294283"/>
    <w:rsid w:val="00294361"/>
    <w:rsid w:val="00294997"/>
    <w:rsid w:val="002950E2"/>
    <w:rsid w:val="0029534A"/>
    <w:rsid w:val="0029573C"/>
    <w:rsid w:val="00295A28"/>
    <w:rsid w:val="00295ACB"/>
    <w:rsid w:val="0029611E"/>
    <w:rsid w:val="00296790"/>
    <w:rsid w:val="00296D5B"/>
    <w:rsid w:val="00296F23"/>
    <w:rsid w:val="00297485"/>
    <w:rsid w:val="002975CC"/>
    <w:rsid w:val="002977A1"/>
    <w:rsid w:val="002979A8"/>
    <w:rsid w:val="002A0250"/>
    <w:rsid w:val="002A0BA8"/>
    <w:rsid w:val="002A0D53"/>
    <w:rsid w:val="002A0FF6"/>
    <w:rsid w:val="002A100E"/>
    <w:rsid w:val="002A1131"/>
    <w:rsid w:val="002A11E4"/>
    <w:rsid w:val="002A150C"/>
    <w:rsid w:val="002A1B65"/>
    <w:rsid w:val="002A1BAC"/>
    <w:rsid w:val="002A1FD9"/>
    <w:rsid w:val="002A2363"/>
    <w:rsid w:val="002A2ADA"/>
    <w:rsid w:val="002A2D71"/>
    <w:rsid w:val="002A2EF4"/>
    <w:rsid w:val="002A2FF1"/>
    <w:rsid w:val="002A3079"/>
    <w:rsid w:val="002A3739"/>
    <w:rsid w:val="002A3FFA"/>
    <w:rsid w:val="002A4256"/>
    <w:rsid w:val="002A4668"/>
    <w:rsid w:val="002A48FE"/>
    <w:rsid w:val="002A4BD9"/>
    <w:rsid w:val="002A4D73"/>
    <w:rsid w:val="002A4E8C"/>
    <w:rsid w:val="002A5024"/>
    <w:rsid w:val="002A5452"/>
    <w:rsid w:val="002A551B"/>
    <w:rsid w:val="002A593C"/>
    <w:rsid w:val="002A6B01"/>
    <w:rsid w:val="002A6BF5"/>
    <w:rsid w:val="002A708F"/>
    <w:rsid w:val="002A7191"/>
    <w:rsid w:val="002A759E"/>
    <w:rsid w:val="002A77BF"/>
    <w:rsid w:val="002A7A58"/>
    <w:rsid w:val="002B022E"/>
    <w:rsid w:val="002B0684"/>
    <w:rsid w:val="002B06F7"/>
    <w:rsid w:val="002B0A5B"/>
    <w:rsid w:val="002B0BD0"/>
    <w:rsid w:val="002B0C30"/>
    <w:rsid w:val="002B1115"/>
    <w:rsid w:val="002B1657"/>
    <w:rsid w:val="002B1690"/>
    <w:rsid w:val="002B180C"/>
    <w:rsid w:val="002B1839"/>
    <w:rsid w:val="002B1C9C"/>
    <w:rsid w:val="002B28DC"/>
    <w:rsid w:val="002B2AA7"/>
    <w:rsid w:val="002B2F81"/>
    <w:rsid w:val="002B2FB4"/>
    <w:rsid w:val="002B2FCA"/>
    <w:rsid w:val="002B330A"/>
    <w:rsid w:val="002B335D"/>
    <w:rsid w:val="002B34C6"/>
    <w:rsid w:val="002B368C"/>
    <w:rsid w:val="002B3DB6"/>
    <w:rsid w:val="002B4130"/>
    <w:rsid w:val="002B41AA"/>
    <w:rsid w:val="002B4C9A"/>
    <w:rsid w:val="002B5037"/>
    <w:rsid w:val="002B50F7"/>
    <w:rsid w:val="002B603B"/>
    <w:rsid w:val="002B6077"/>
    <w:rsid w:val="002B6556"/>
    <w:rsid w:val="002B67C3"/>
    <w:rsid w:val="002B6BBA"/>
    <w:rsid w:val="002B6BE7"/>
    <w:rsid w:val="002B71B6"/>
    <w:rsid w:val="002B71D3"/>
    <w:rsid w:val="002B7358"/>
    <w:rsid w:val="002B7485"/>
    <w:rsid w:val="002B7AAD"/>
    <w:rsid w:val="002B7D67"/>
    <w:rsid w:val="002B7F86"/>
    <w:rsid w:val="002C0BA5"/>
    <w:rsid w:val="002C1164"/>
    <w:rsid w:val="002C12D4"/>
    <w:rsid w:val="002C16D4"/>
    <w:rsid w:val="002C1886"/>
    <w:rsid w:val="002C18CC"/>
    <w:rsid w:val="002C1A53"/>
    <w:rsid w:val="002C1D5C"/>
    <w:rsid w:val="002C2595"/>
    <w:rsid w:val="002C264A"/>
    <w:rsid w:val="002C28E0"/>
    <w:rsid w:val="002C2E54"/>
    <w:rsid w:val="002C31B9"/>
    <w:rsid w:val="002C410E"/>
    <w:rsid w:val="002C42A1"/>
    <w:rsid w:val="002C45F2"/>
    <w:rsid w:val="002C4A5C"/>
    <w:rsid w:val="002C529C"/>
    <w:rsid w:val="002C536E"/>
    <w:rsid w:val="002C57A9"/>
    <w:rsid w:val="002C5928"/>
    <w:rsid w:val="002C5C1E"/>
    <w:rsid w:val="002C6B03"/>
    <w:rsid w:val="002C6B1B"/>
    <w:rsid w:val="002C72B5"/>
    <w:rsid w:val="002C72FE"/>
    <w:rsid w:val="002C7540"/>
    <w:rsid w:val="002C75E6"/>
    <w:rsid w:val="002C788A"/>
    <w:rsid w:val="002C7B16"/>
    <w:rsid w:val="002C7F83"/>
    <w:rsid w:val="002D05C7"/>
    <w:rsid w:val="002D05F6"/>
    <w:rsid w:val="002D09A2"/>
    <w:rsid w:val="002D09AF"/>
    <w:rsid w:val="002D0C01"/>
    <w:rsid w:val="002D0F7D"/>
    <w:rsid w:val="002D1890"/>
    <w:rsid w:val="002D1C26"/>
    <w:rsid w:val="002D2BA2"/>
    <w:rsid w:val="002D2CF0"/>
    <w:rsid w:val="002D318D"/>
    <w:rsid w:val="002D3A41"/>
    <w:rsid w:val="002D3B2F"/>
    <w:rsid w:val="002D3B42"/>
    <w:rsid w:val="002D3C7C"/>
    <w:rsid w:val="002D3E2D"/>
    <w:rsid w:val="002D4003"/>
    <w:rsid w:val="002D4245"/>
    <w:rsid w:val="002D4589"/>
    <w:rsid w:val="002D4867"/>
    <w:rsid w:val="002D48CC"/>
    <w:rsid w:val="002D4E3D"/>
    <w:rsid w:val="002D4ED2"/>
    <w:rsid w:val="002D513B"/>
    <w:rsid w:val="002D5602"/>
    <w:rsid w:val="002D5631"/>
    <w:rsid w:val="002D59A3"/>
    <w:rsid w:val="002D5A6D"/>
    <w:rsid w:val="002D5CB6"/>
    <w:rsid w:val="002D5DBB"/>
    <w:rsid w:val="002D606A"/>
    <w:rsid w:val="002D665D"/>
    <w:rsid w:val="002D6A02"/>
    <w:rsid w:val="002D6C42"/>
    <w:rsid w:val="002D7231"/>
    <w:rsid w:val="002D7B94"/>
    <w:rsid w:val="002DCB23"/>
    <w:rsid w:val="002E0123"/>
    <w:rsid w:val="002E0205"/>
    <w:rsid w:val="002E0D93"/>
    <w:rsid w:val="002E1376"/>
    <w:rsid w:val="002E1605"/>
    <w:rsid w:val="002E1EE1"/>
    <w:rsid w:val="002E1FC9"/>
    <w:rsid w:val="002E23C6"/>
    <w:rsid w:val="002E27B9"/>
    <w:rsid w:val="002E2803"/>
    <w:rsid w:val="002E29AD"/>
    <w:rsid w:val="002E2FE4"/>
    <w:rsid w:val="002E307D"/>
    <w:rsid w:val="002E36AA"/>
    <w:rsid w:val="002E3749"/>
    <w:rsid w:val="002E382B"/>
    <w:rsid w:val="002E3970"/>
    <w:rsid w:val="002E3AC5"/>
    <w:rsid w:val="002E3C1A"/>
    <w:rsid w:val="002E3D31"/>
    <w:rsid w:val="002E3FCE"/>
    <w:rsid w:val="002E4010"/>
    <w:rsid w:val="002E455B"/>
    <w:rsid w:val="002E45DD"/>
    <w:rsid w:val="002E476B"/>
    <w:rsid w:val="002E490F"/>
    <w:rsid w:val="002E535B"/>
    <w:rsid w:val="002E5807"/>
    <w:rsid w:val="002E58D1"/>
    <w:rsid w:val="002E594A"/>
    <w:rsid w:val="002E5A79"/>
    <w:rsid w:val="002E5B7D"/>
    <w:rsid w:val="002E5C23"/>
    <w:rsid w:val="002E6281"/>
    <w:rsid w:val="002E6851"/>
    <w:rsid w:val="002E6B2B"/>
    <w:rsid w:val="002E6B81"/>
    <w:rsid w:val="002E6C84"/>
    <w:rsid w:val="002E72A6"/>
    <w:rsid w:val="002E72BF"/>
    <w:rsid w:val="002E74C2"/>
    <w:rsid w:val="002E758D"/>
    <w:rsid w:val="002E75F8"/>
    <w:rsid w:val="002E7763"/>
    <w:rsid w:val="002E7CD8"/>
    <w:rsid w:val="002E7F67"/>
    <w:rsid w:val="002E7FB9"/>
    <w:rsid w:val="002F063F"/>
    <w:rsid w:val="002F0734"/>
    <w:rsid w:val="002F0CE6"/>
    <w:rsid w:val="002F0D97"/>
    <w:rsid w:val="002F0E03"/>
    <w:rsid w:val="002F0FA5"/>
    <w:rsid w:val="002F13FE"/>
    <w:rsid w:val="002F1BF9"/>
    <w:rsid w:val="002F22A0"/>
    <w:rsid w:val="002F250A"/>
    <w:rsid w:val="002F257F"/>
    <w:rsid w:val="002F25B8"/>
    <w:rsid w:val="002F338B"/>
    <w:rsid w:val="002F375C"/>
    <w:rsid w:val="002F37D5"/>
    <w:rsid w:val="002F3889"/>
    <w:rsid w:val="002F38CD"/>
    <w:rsid w:val="002F3FF0"/>
    <w:rsid w:val="002F4589"/>
    <w:rsid w:val="002F498B"/>
    <w:rsid w:val="002F4AF1"/>
    <w:rsid w:val="002F55B4"/>
    <w:rsid w:val="002F57DC"/>
    <w:rsid w:val="002F5802"/>
    <w:rsid w:val="002F5AEE"/>
    <w:rsid w:val="002F5FD9"/>
    <w:rsid w:val="002F692A"/>
    <w:rsid w:val="002F6C8F"/>
    <w:rsid w:val="002F762E"/>
    <w:rsid w:val="002F77EC"/>
    <w:rsid w:val="002F7FA6"/>
    <w:rsid w:val="002FE425"/>
    <w:rsid w:val="003005D8"/>
    <w:rsid w:val="0030069D"/>
    <w:rsid w:val="003007B4"/>
    <w:rsid w:val="003014FE"/>
    <w:rsid w:val="00301502"/>
    <w:rsid w:val="003017CC"/>
    <w:rsid w:val="00301F6B"/>
    <w:rsid w:val="00302274"/>
    <w:rsid w:val="00302979"/>
    <w:rsid w:val="00302D33"/>
    <w:rsid w:val="00302D97"/>
    <w:rsid w:val="003032F2"/>
    <w:rsid w:val="003034A9"/>
    <w:rsid w:val="003036E6"/>
    <w:rsid w:val="00303C47"/>
    <w:rsid w:val="0030429A"/>
    <w:rsid w:val="00304CF0"/>
    <w:rsid w:val="0030508E"/>
    <w:rsid w:val="00305A8E"/>
    <w:rsid w:val="00306370"/>
    <w:rsid w:val="00306474"/>
    <w:rsid w:val="003066F1"/>
    <w:rsid w:val="00306E8D"/>
    <w:rsid w:val="00307109"/>
    <w:rsid w:val="003102FB"/>
    <w:rsid w:val="0031042E"/>
    <w:rsid w:val="0031063C"/>
    <w:rsid w:val="003107D7"/>
    <w:rsid w:val="00310A41"/>
    <w:rsid w:val="00310E58"/>
    <w:rsid w:val="00311146"/>
    <w:rsid w:val="0031123C"/>
    <w:rsid w:val="003112EF"/>
    <w:rsid w:val="00311389"/>
    <w:rsid w:val="00311785"/>
    <w:rsid w:val="00312077"/>
    <w:rsid w:val="0031217C"/>
    <w:rsid w:val="0031222D"/>
    <w:rsid w:val="0031246D"/>
    <w:rsid w:val="003124B0"/>
    <w:rsid w:val="00312CC9"/>
    <w:rsid w:val="00313557"/>
    <w:rsid w:val="00313F02"/>
    <w:rsid w:val="00314728"/>
    <w:rsid w:val="00314BF9"/>
    <w:rsid w:val="00314C0D"/>
    <w:rsid w:val="00314EFD"/>
    <w:rsid w:val="003153FC"/>
    <w:rsid w:val="003154AD"/>
    <w:rsid w:val="00315988"/>
    <w:rsid w:val="0031618D"/>
    <w:rsid w:val="00316200"/>
    <w:rsid w:val="003165CD"/>
    <w:rsid w:val="00316CC0"/>
    <w:rsid w:val="003171BF"/>
    <w:rsid w:val="0031728F"/>
    <w:rsid w:val="0031783A"/>
    <w:rsid w:val="00317868"/>
    <w:rsid w:val="003179A2"/>
    <w:rsid w:val="00318BC5"/>
    <w:rsid w:val="003201D7"/>
    <w:rsid w:val="00320361"/>
    <w:rsid w:val="00320536"/>
    <w:rsid w:val="00320799"/>
    <w:rsid w:val="00320DE0"/>
    <w:rsid w:val="0032112E"/>
    <w:rsid w:val="00321528"/>
    <w:rsid w:val="003219B9"/>
    <w:rsid w:val="003219C2"/>
    <w:rsid w:val="00321CFF"/>
    <w:rsid w:val="00321F67"/>
    <w:rsid w:val="0032252F"/>
    <w:rsid w:val="0032259E"/>
    <w:rsid w:val="003226A9"/>
    <w:rsid w:val="00322898"/>
    <w:rsid w:val="00322B08"/>
    <w:rsid w:val="00322B0E"/>
    <w:rsid w:val="00322D32"/>
    <w:rsid w:val="003231FC"/>
    <w:rsid w:val="003231FE"/>
    <w:rsid w:val="00323205"/>
    <w:rsid w:val="0032374D"/>
    <w:rsid w:val="003238E5"/>
    <w:rsid w:val="0032428A"/>
    <w:rsid w:val="003243EE"/>
    <w:rsid w:val="00324931"/>
    <w:rsid w:val="0032509D"/>
    <w:rsid w:val="00325762"/>
    <w:rsid w:val="00325808"/>
    <w:rsid w:val="003259D7"/>
    <w:rsid w:val="003259D8"/>
    <w:rsid w:val="00325BA4"/>
    <w:rsid w:val="00325BC7"/>
    <w:rsid w:val="00325E00"/>
    <w:rsid w:val="00326893"/>
    <w:rsid w:val="00326911"/>
    <w:rsid w:val="00326E56"/>
    <w:rsid w:val="00327559"/>
    <w:rsid w:val="00327738"/>
    <w:rsid w:val="003277D3"/>
    <w:rsid w:val="0032781F"/>
    <w:rsid w:val="003279B4"/>
    <w:rsid w:val="003304BE"/>
    <w:rsid w:val="00330958"/>
    <w:rsid w:val="00331321"/>
    <w:rsid w:val="00331449"/>
    <w:rsid w:val="003314FD"/>
    <w:rsid w:val="00331594"/>
    <w:rsid w:val="00331B62"/>
    <w:rsid w:val="00331B8F"/>
    <w:rsid w:val="00331B96"/>
    <w:rsid w:val="00331E40"/>
    <w:rsid w:val="00332493"/>
    <w:rsid w:val="0033275F"/>
    <w:rsid w:val="003329A9"/>
    <w:rsid w:val="00332D0F"/>
    <w:rsid w:val="003334E5"/>
    <w:rsid w:val="003334F6"/>
    <w:rsid w:val="0033354C"/>
    <w:rsid w:val="00333DD4"/>
    <w:rsid w:val="003345C4"/>
    <w:rsid w:val="0033476C"/>
    <w:rsid w:val="00334CCD"/>
    <w:rsid w:val="00334CD3"/>
    <w:rsid w:val="00334F51"/>
    <w:rsid w:val="003350A8"/>
    <w:rsid w:val="003350F1"/>
    <w:rsid w:val="00335406"/>
    <w:rsid w:val="0033574D"/>
    <w:rsid w:val="003357AF"/>
    <w:rsid w:val="00335961"/>
    <w:rsid w:val="00335BF6"/>
    <w:rsid w:val="00335F92"/>
    <w:rsid w:val="00336085"/>
    <w:rsid w:val="00336234"/>
    <w:rsid w:val="00336B4B"/>
    <w:rsid w:val="003376F8"/>
    <w:rsid w:val="00340262"/>
    <w:rsid w:val="003402B8"/>
    <w:rsid w:val="00340691"/>
    <w:rsid w:val="0034097F"/>
    <w:rsid w:val="00340E87"/>
    <w:rsid w:val="003412C8"/>
    <w:rsid w:val="003415BC"/>
    <w:rsid w:val="00341D8F"/>
    <w:rsid w:val="00341E4D"/>
    <w:rsid w:val="00341E8A"/>
    <w:rsid w:val="003421EB"/>
    <w:rsid w:val="00342942"/>
    <w:rsid w:val="003429AF"/>
    <w:rsid w:val="00342A2D"/>
    <w:rsid w:val="00342DEE"/>
    <w:rsid w:val="00343116"/>
    <w:rsid w:val="003440CC"/>
    <w:rsid w:val="00345868"/>
    <w:rsid w:val="00345952"/>
    <w:rsid w:val="00345BB9"/>
    <w:rsid w:val="00345D15"/>
    <w:rsid w:val="00345FE0"/>
    <w:rsid w:val="00346086"/>
    <w:rsid w:val="00346215"/>
    <w:rsid w:val="003464DD"/>
    <w:rsid w:val="003471F3"/>
    <w:rsid w:val="00347424"/>
    <w:rsid w:val="00347700"/>
    <w:rsid w:val="00347810"/>
    <w:rsid w:val="00347831"/>
    <w:rsid w:val="00347A4F"/>
    <w:rsid w:val="00350305"/>
    <w:rsid w:val="00350B2C"/>
    <w:rsid w:val="00350E3D"/>
    <w:rsid w:val="003513F4"/>
    <w:rsid w:val="00351761"/>
    <w:rsid w:val="00352046"/>
    <w:rsid w:val="0035214F"/>
    <w:rsid w:val="003523EE"/>
    <w:rsid w:val="0035244D"/>
    <w:rsid w:val="00352492"/>
    <w:rsid w:val="003525D1"/>
    <w:rsid w:val="0035268B"/>
    <w:rsid w:val="003528A6"/>
    <w:rsid w:val="00353486"/>
    <w:rsid w:val="00353C74"/>
    <w:rsid w:val="00353C94"/>
    <w:rsid w:val="00353F1B"/>
    <w:rsid w:val="00353F92"/>
    <w:rsid w:val="00353FBB"/>
    <w:rsid w:val="00354395"/>
    <w:rsid w:val="003543AC"/>
    <w:rsid w:val="0035607A"/>
    <w:rsid w:val="00356676"/>
    <w:rsid w:val="00356872"/>
    <w:rsid w:val="003569DD"/>
    <w:rsid w:val="003569FB"/>
    <w:rsid w:val="003574D2"/>
    <w:rsid w:val="00357652"/>
    <w:rsid w:val="003577B0"/>
    <w:rsid w:val="00357848"/>
    <w:rsid w:val="00357922"/>
    <w:rsid w:val="003579B2"/>
    <w:rsid w:val="00360294"/>
    <w:rsid w:val="003602D0"/>
    <w:rsid w:val="00360974"/>
    <w:rsid w:val="003609AD"/>
    <w:rsid w:val="00361257"/>
    <w:rsid w:val="00361290"/>
    <w:rsid w:val="003612A7"/>
    <w:rsid w:val="003612B2"/>
    <w:rsid w:val="003617F0"/>
    <w:rsid w:val="00361927"/>
    <w:rsid w:val="00361BA1"/>
    <w:rsid w:val="00361E29"/>
    <w:rsid w:val="00362019"/>
    <w:rsid w:val="00362515"/>
    <w:rsid w:val="00362942"/>
    <w:rsid w:val="00362A0C"/>
    <w:rsid w:val="00362EE2"/>
    <w:rsid w:val="0036309C"/>
    <w:rsid w:val="003632DB"/>
    <w:rsid w:val="00363807"/>
    <w:rsid w:val="00363BE6"/>
    <w:rsid w:val="00363CD8"/>
    <w:rsid w:val="00363E28"/>
    <w:rsid w:val="00363F8D"/>
    <w:rsid w:val="00364095"/>
    <w:rsid w:val="00364217"/>
    <w:rsid w:val="0036446A"/>
    <w:rsid w:val="003644A9"/>
    <w:rsid w:val="0036482C"/>
    <w:rsid w:val="00364BA5"/>
    <w:rsid w:val="00364DE6"/>
    <w:rsid w:val="00364E8D"/>
    <w:rsid w:val="00364F25"/>
    <w:rsid w:val="00364F71"/>
    <w:rsid w:val="00364F84"/>
    <w:rsid w:val="0036506E"/>
    <w:rsid w:val="00365542"/>
    <w:rsid w:val="0036561D"/>
    <w:rsid w:val="00365C7B"/>
    <w:rsid w:val="00365F8B"/>
    <w:rsid w:val="003664EA"/>
    <w:rsid w:val="003669C0"/>
    <w:rsid w:val="00366D56"/>
    <w:rsid w:val="00366F1C"/>
    <w:rsid w:val="003672A9"/>
    <w:rsid w:val="00367529"/>
    <w:rsid w:val="0036795A"/>
    <w:rsid w:val="00370329"/>
    <w:rsid w:val="003703E2"/>
    <w:rsid w:val="003703FE"/>
    <w:rsid w:val="0037052B"/>
    <w:rsid w:val="0037078D"/>
    <w:rsid w:val="00370A2D"/>
    <w:rsid w:val="00370FB8"/>
    <w:rsid w:val="003710A3"/>
    <w:rsid w:val="00371242"/>
    <w:rsid w:val="0037155A"/>
    <w:rsid w:val="00371584"/>
    <w:rsid w:val="003715A4"/>
    <w:rsid w:val="00371666"/>
    <w:rsid w:val="00372A81"/>
    <w:rsid w:val="00372D2C"/>
    <w:rsid w:val="0037324D"/>
    <w:rsid w:val="0037372A"/>
    <w:rsid w:val="003738B7"/>
    <w:rsid w:val="00374091"/>
    <w:rsid w:val="00374097"/>
    <w:rsid w:val="003740E7"/>
    <w:rsid w:val="0037495F"/>
    <w:rsid w:val="00375085"/>
    <w:rsid w:val="0037541B"/>
    <w:rsid w:val="00375675"/>
    <w:rsid w:val="0037588B"/>
    <w:rsid w:val="003758FA"/>
    <w:rsid w:val="00375AD8"/>
    <w:rsid w:val="00375B13"/>
    <w:rsid w:val="00375F7D"/>
    <w:rsid w:val="003763EE"/>
    <w:rsid w:val="00376AC7"/>
    <w:rsid w:val="00376BBA"/>
    <w:rsid w:val="00377451"/>
    <w:rsid w:val="00377647"/>
    <w:rsid w:val="00377F2F"/>
    <w:rsid w:val="00377F5F"/>
    <w:rsid w:val="003801E4"/>
    <w:rsid w:val="00380504"/>
    <w:rsid w:val="0038064A"/>
    <w:rsid w:val="00380855"/>
    <w:rsid w:val="003809C3"/>
    <w:rsid w:val="0038103B"/>
    <w:rsid w:val="00381349"/>
    <w:rsid w:val="00381432"/>
    <w:rsid w:val="00381980"/>
    <w:rsid w:val="00381A19"/>
    <w:rsid w:val="00381CEB"/>
    <w:rsid w:val="00381DBE"/>
    <w:rsid w:val="00381EBF"/>
    <w:rsid w:val="0038206B"/>
    <w:rsid w:val="00382443"/>
    <w:rsid w:val="003829F3"/>
    <w:rsid w:val="00382ABC"/>
    <w:rsid w:val="00382C78"/>
    <w:rsid w:val="00382CBD"/>
    <w:rsid w:val="003831CE"/>
    <w:rsid w:val="003833EB"/>
    <w:rsid w:val="00383695"/>
    <w:rsid w:val="003839AC"/>
    <w:rsid w:val="00383A81"/>
    <w:rsid w:val="00383D3C"/>
    <w:rsid w:val="00383E85"/>
    <w:rsid w:val="003840C1"/>
    <w:rsid w:val="00384130"/>
    <w:rsid w:val="0038460D"/>
    <w:rsid w:val="00384CFA"/>
    <w:rsid w:val="00384DC0"/>
    <w:rsid w:val="00385277"/>
    <w:rsid w:val="003856F4"/>
    <w:rsid w:val="003858A4"/>
    <w:rsid w:val="0038601B"/>
    <w:rsid w:val="003860E0"/>
    <w:rsid w:val="0038659F"/>
    <w:rsid w:val="00386F0F"/>
    <w:rsid w:val="00386F84"/>
    <w:rsid w:val="0038720D"/>
    <w:rsid w:val="0038758A"/>
    <w:rsid w:val="003877DA"/>
    <w:rsid w:val="003877F5"/>
    <w:rsid w:val="00387A36"/>
    <w:rsid w:val="0038BED5"/>
    <w:rsid w:val="00390059"/>
    <w:rsid w:val="00390393"/>
    <w:rsid w:val="00390457"/>
    <w:rsid w:val="003905F1"/>
    <w:rsid w:val="00390AD2"/>
    <w:rsid w:val="00391056"/>
    <w:rsid w:val="0039122A"/>
    <w:rsid w:val="00391697"/>
    <w:rsid w:val="0039192C"/>
    <w:rsid w:val="00391B6F"/>
    <w:rsid w:val="00391D65"/>
    <w:rsid w:val="00392261"/>
    <w:rsid w:val="0039261B"/>
    <w:rsid w:val="00392D1A"/>
    <w:rsid w:val="00392F14"/>
    <w:rsid w:val="00393457"/>
    <w:rsid w:val="0039346D"/>
    <w:rsid w:val="00393711"/>
    <w:rsid w:val="00393735"/>
    <w:rsid w:val="00393E59"/>
    <w:rsid w:val="00394ACE"/>
    <w:rsid w:val="00394E34"/>
    <w:rsid w:val="00395199"/>
    <w:rsid w:val="00395211"/>
    <w:rsid w:val="00395468"/>
    <w:rsid w:val="00395B28"/>
    <w:rsid w:val="0039674D"/>
    <w:rsid w:val="0039698E"/>
    <w:rsid w:val="00397175"/>
    <w:rsid w:val="003977D0"/>
    <w:rsid w:val="003979B0"/>
    <w:rsid w:val="00397FC6"/>
    <w:rsid w:val="003A0023"/>
    <w:rsid w:val="003A00F0"/>
    <w:rsid w:val="003A0128"/>
    <w:rsid w:val="003A0734"/>
    <w:rsid w:val="003A0918"/>
    <w:rsid w:val="003A0AA3"/>
    <w:rsid w:val="003A0D10"/>
    <w:rsid w:val="003A0E89"/>
    <w:rsid w:val="003A0F7A"/>
    <w:rsid w:val="003A0FC8"/>
    <w:rsid w:val="003A1019"/>
    <w:rsid w:val="003A1023"/>
    <w:rsid w:val="003A1687"/>
    <w:rsid w:val="003A1735"/>
    <w:rsid w:val="003A1865"/>
    <w:rsid w:val="003A1A23"/>
    <w:rsid w:val="003A24B5"/>
    <w:rsid w:val="003A2C7D"/>
    <w:rsid w:val="003A2C7F"/>
    <w:rsid w:val="003A2E2F"/>
    <w:rsid w:val="003A2F5A"/>
    <w:rsid w:val="003A3F76"/>
    <w:rsid w:val="003A41B1"/>
    <w:rsid w:val="003A4781"/>
    <w:rsid w:val="003A4A3F"/>
    <w:rsid w:val="003A4C02"/>
    <w:rsid w:val="003A4C6A"/>
    <w:rsid w:val="003A4CD2"/>
    <w:rsid w:val="003A5008"/>
    <w:rsid w:val="003A5320"/>
    <w:rsid w:val="003A57B7"/>
    <w:rsid w:val="003A5E0A"/>
    <w:rsid w:val="003A6290"/>
    <w:rsid w:val="003A62F7"/>
    <w:rsid w:val="003A6327"/>
    <w:rsid w:val="003A6B84"/>
    <w:rsid w:val="003A6C86"/>
    <w:rsid w:val="003A6D98"/>
    <w:rsid w:val="003A6DB1"/>
    <w:rsid w:val="003A70EF"/>
    <w:rsid w:val="003A718C"/>
    <w:rsid w:val="003A7720"/>
    <w:rsid w:val="003A7A20"/>
    <w:rsid w:val="003A7F05"/>
    <w:rsid w:val="003B06CC"/>
    <w:rsid w:val="003B0970"/>
    <w:rsid w:val="003B0B36"/>
    <w:rsid w:val="003B0CCA"/>
    <w:rsid w:val="003B0D90"/>
    <w:rsid w:val="003B0F01"/>
    <w:rsid w:val="003B146C"/>
    <w:rsid w:val="003B17C8"/>
    <w:rsid w:val="003B2369"/>
    <w:rsid w:val="003B2563"/>
    <w:rsid w:val="003B271C"/>
    <w:rsid w:val="003B2A70"/>
    <w:rsid w:val="003B323C"/>
    <w:rsid w:val="003B3E69"/>
    <w:rsid w:val="003B3FD9"/>
    <w:rsid w:val="003B406A"/>
    <w:rsid w:val="003B40E0"/>
    <w:rsid w:val="003B4156"/>
    <w:rsid w:val="003B50C1"/>
    <w:rsid w:val="003B6D80"/>
    <w:rsid w:val="003B6E55"/>
    <w:rsid w:val="003B76C9"/>
    <w:rsid w:val="003B78F5"/>
    <w:rsid w:val="003B7917"/>
    <w:rsid w:val="003C009D"/>
    <w:rsid w:val="003C0293"/>
    <w:rsid w:val="003C02C8"/>
    <w:rsid w:val="003C07F8"/>
    <w:rsid w:val="003C0A88"/>
    <w:rsid w:val="003C0B9C"/>
    <w:rsid w:val="003C0E64"/>
    <w:rsid w:val="003C0FCF"/>
    <w:rsid w:val="003C1876"/>
    <w:rsid w:val="003C1CA8"/>
    <w:rsid w:val="003C1DF8"/>
    <w:rsid w:val="003C1E03"/>
    <w:rsid w:val="003C2006"/>
    <w:rsid w:val="003C2045"/>
    <w:rsid w:val="003C2474"/>
    <w:rsid w:val="003C2674"/>
    <w:rsid w:val="003C3274"/>
    <w:rsid w:val="003C381E"/>
    <w:rsid w:val="003C47AA"/>
    <w:rsid w:val="003C4C13"/>
    <w:rsid w:val="003C4CB0"/>
    <w:rsid w:val="003C5192"/>
    <w:rsid w:val="003C5503"/>
    <w:rsid w:val="003C551A"/>
    <w:rsid w:val="003C5909"/>
    <w:rsid w:val="003C633C"/>
    <w:rsid w:val="003C636A"/>
    <w:rsid w:val="003C66BF"/>
    <w:rsid w:val="003C672C"/>
    <w:rsid w:val="003C6A4E"/>
    <w:rsid w:val="003C6C72"/>
    <w:rsid w:val="003C6DC5"/>
    <w:rsid w:val="003C6F4B"/>
    <w:rsid w:val="003C7C9C"/>
    <w:rsid w:val="003CCF87"/>
    <w:rsid w:val="003D0309"/>
    <w:rsid w:val="003D08BC"/>
    <w:rsid w:val="003D0A3C"/>
    <w:rsid w:val="003D0B7E"/>
    <w:rsid w:val="003D1B6D"/>
    <w:rsid w:val="003D1D2D"/>
    <w:rsid w:val="003D1D87"/>
    <w:rsid w:val="003D2227"/>
    <w:rsid w:val="003D2357"/>
    <w:rsid w:val="003D2570"/>
    <w:rsid w:val="003D278B"/>
    <w:rsid w:val="003D30FE"/>
    <w:rsid w:val="003D35B7"/>
    <w:rsid w:val="003D388F"/>
    <w:rsid w:val="003D3B85"/>
    <w:rsid w:val="003D3F89"/>
    <w:rsid w:val="003D3FEA"/>
    <w:rsid w:val="003D40E0"/>
    <w:rsid w:val="003D442B"/>
    <w:rsid w:val="003D4949"/>
    <w:rsid w:val="003D4B6F"/>
    <w:rsid w:val="003D4D4D"/>
    <w:rsid w:val="003D4EEB"/>
    <w:rsid w:val="003D52D9"/>
    <w:rsid w:val="003D5839"/>
    <w:rsid w:val="003D5A32"/>
    <w:rsid w:val="003D60F8"/>
    <w:rsid w:val="003D6AD3"/>
    <w:rsid w:val="003D6DBB"/>
    <w:rsid w:val="003D6F2A"/>
    <w:rsid w:val="003D7949"/>
    <w:rsid w:val="003D7A9A"/>
    <w:rsid w:val="003D7D28"/>
    <w:rsid w:val="003E013A"/>
    <w:rsid w:val="003E0236"/>
    <w:rsid w:val="003E0285"/>
    <w:rsid w:val="003E031D"/>
    <w:rsid w:val="003E043C"/>
    <w:rsid w:val="003E04B3"/>
    <w:rsid w:val="003E04B5"/>
    <w:rsid w:val="003E075E"/>
    <w:rsid w:val="003E0852"/>
    <w:rsid w:val="003E09FE"/>
    <w:rsid w:val="003E118E"/>
    <w:rsid w:val="003E11F1"/>
    <w:rsid w:val="003E1262"/>
    <w:rsid w:val="003E1827"/>
    <w:rsid w:val="003E19E7"/>
    <w:rsid w:val="003E19EF"/>
    <w:rsid w:val="003E1D18"/>
    <w:rsid w:val="003E2393"/>
    <w:rsid w:val="003E2455"/>
    <w:rsid w:val="003E25FF"/>
    <w:rsid w:val="003E2BB1"/>
    <w:rsid w:val="003E2C8F"/>
    <w:rsid w:val="003E2DBF"/>
    <w:rsid w:val="003E2F43"/>
    <w:rsid w:val="003E2F97"/>
    <w:rsid w:val="003E30B4"/>
    <w:rsid w:val="003E3154"/>
    <w:rsid w:val="003E316E"/>
    <w:rsid w:val="003E32E4"/>
    <w:rsid w:val="003E3531"/>
    <w:rsid w:val="003E3605"/>
    <w:rsid w:val="003E39BC"/>
    <w:rsid w:val="003E45BE"/>
    <w:rsid w:val="003E46D5"/>
    <w:rsid w:val="003E4A03"/>
    <w:rsid w:val="003E4A63"/>
    <w:rsid w:val="003E4D03"/>
    <w:rsid w:val="003E5734"/>
    <w:rsid w:val="003E57DA"/>
    <w:rsid w:val="003E5FA3"/>
    <w:rsid w:val="003E6562"/>
    <w:rsid w:val="003E6BA3"/>
    <w:rsid w:val="003E7118"/>
    <w:rsid w:val="003E759F"/>
    <w:rsid w:val="003E7922"/>
    <w:rsid w:val="003E7B6F"/>
    <w:rsid w:val="003E7B7C"/>
    <w:rsid w:val="003E7EC8"/>
    <w:rsid w:val="003F0200"/>
    <w:rsid w:val="003F0DC4"/>
    <w:rsid w:val="003F11F9"/>
    <w:rsid w:val="003F155A"/>
    <w:rsid w:val="003F1C55"/>
    <w:rsid w:val="003F255F"/>
    <w:rsid w:val="003F2ACB"/>
    <w:rsid w:val="003F2ED8"/>
    <w:rsid w:val="003F34EA"/>
    <w:rsid w:val="003F34EC"/>
    <w:rsid w:val="003F3BA3"/>
    <w:rsid w:val="003F3C66"/>
    <w:rsid w:val="003F3EDF"/>
    <w:rsid w:val="003F434E"/>
    <w:rsid w:val="003F462E"/>
    <w:rsid w:val="003F4A7F"/>
    <w:rsid w:val="003F4CB6"/>
    <w:rsid w:val="003F53A0"/>
    <w:rsid w:val="003F66D7"/>
    <w:rsid w:val="003F67BA"/>
    <w:rsid w:val="003F6DC4"/>
    <w:rsid w:val="003F751E"/>
    <w:rsid w:val="003F76C6"/>
    <w:rsid w:val="003F78D6"/>
    <w:rsid w:val="003F79DC"/>
    <w:rsid w:val="004008A9"/>
    <w:rsid w:val="00400C7E"/>
    <w:rsid w:val="004011A7"/>
    <w:rsid w:val="004016D5"/>
    <w:rsid w:val="004022D3"/>
    <w:rsid w:val="00402403"/>
    <w:rsid w:val="004029E9"/>
    <w:rsid w:val="00402A16"/>
    <w:rsid w:val="004031CE"/>
    <w:rsid w:val="0040348E"/>
    <w:rsid w:val="00403C7E"/>
    <w:rsid w:val="00403CE7"/>
    <w:rsid w:val="00403DB0"/>
    <w:rsid w:val="00404016"/>
    <w:rsid w:val="00404322"/>
    <w:rsid w:val="004044EA"/>
    <w:rsid w:val="0040455A"/>
    <w:rsid w:val="00404820"/>
    <w:rsid w:val="00404A05"/>
    <w:rsid w:val="00404EB5"/>
    <w:rsid w:val="00404FF5"/>
    <w:rsid w:val="00405699"/>
    <w:rsid w:val="004058A3"/>
    <w:rsid w:val="00405F67"/>
    <w:rsid w:val="004060FB"/>
    <w:rsid w:val="00406207"/>
    <w:rsid w:val="004066DB"/>
    <w:rsid w:val="00406A4E"/>
    <w:rsid w:val="00406CEE"/>
    <w:rsid w:val="00406EEB"/>
    <w:rsid w:val="004072E6"/>
    <w:rsid w:val="0040766F"/>
    <w:rsid w:val="00407BE0"/>
    <w:rsid w:val="00407FEF"/>
    <w:rsid w:val="004105B7"/>
    <w:rsid w:val="00410B3A"/>
    <w:rsid w:val="00410C18"/>
    <w:rsid w:val="00410C3D"/>
    <w:rsid w:val="00410D33"/>
    <w:rsid w:val="0041176A"/>
    <w:rsid w:val="00411B4F"/>
    <w:rsid w:val="00411DBF"/>
    <w:rsid w:val="00412B2D"/>
    <w:rsid w:val="0041300F"/>
    <w:rsid w:val="00414FE1"/>
    <w:rsid w:val="0041531D"/>
    <w:rsid w:val="00415360"/>
    <w:rsid w:val="00415423"/>
    <w:rsid w:val="00415928"/>
    <w:rsid w:val="00415E20"/>
    <w:rsid w:val="00415E56"/>
    <w:rsid w:val="00416240"/>
    <w:rsid w:val="0041641B"/>
    <w:rsid w:val="00416739"/>
    <w:rsid w:val="00416C76"/>
    <w:rsid w:val="00416C84"/>
    <w:rsid w:val="00416D3F"/>
    <w:rsid w:val="00417607"/>
    <w:rsid w:val="00417814"/>
    <w:rsid w:val="00417C4D"/>
    <w:rsid w:val="00417D29"/>
    <w:rsid w:val="0042036E"/>
    <w:rsid w:val="00420647"/>
    <w:rsid w:val="00420B61"/>
    <w:rsid w:val="00420EDA"/>
    <w:rsid w:val="0042122B"/>
    <w:rsid w:val="004212AF"/>
    <w:rsid w:val="00421642"/>
    <w:rsid w:val="0042176E"/>
    <w:rsid w:val="00421AEE"/>
    <w:rsid w:val="00421C36"/>
    <w:rsid w:val="00421D3A"/>
    <w:rsid w:val="004224E1"/>
    <w:rsid w:val="004226D9"/>
    <w:rsid w:val="00422778"/>
    <w:rsid w:val="00422948"/>
    <w:rsid w:val="00422F70"/>
    <w:rsid w:val="00423AC9"/>
    <w:rsid w:val="004240F2"/>
    <w:rsid w:val="00424131"/>
    <w:rsid w:val="0042431F"/>
    <w:rsid w:val="004249D3"/>
    <w:rsid w:val="00424A60"/>
    <w:rsid w:val="004252AD"/>
    <w:rsid w:val="0042555D"/>
    <w:rsid w:val="00425962"/>
    <w:rsid w:val="00425D76"/>
    <w:rsid w:val="004267E4"/>
    <w:rsid w:val="004269F8"/>
    <w:rsid w:val="00426D23"/>
    <w:rsid w:val="00427070"/>
    <w:rsid w:val="004270F3"/>
    <w:rsid w:val="00427147"/>
    <w:rsid w:val="004275E5"/>
    <w:rsid w:val="00427D2C"/>
    <w:rsid w:val="00427DBE"/>
    <w:rsid w:val="0043023A"/>
    <w:rsid w:val="004302AB"/>
    <w:rsid w:val="00430548"/>
    <w:rsid w:val="00430609"/>
    <w:rsid w:val="00430880"/>
    <w:rsid w:val="004309DD"/>
    <w:rsid w:val="00430F14"/>
    <w:rsid w:val="00431094"/>
    <w:rsid w:val="004313E4"/>
    <w:rsid w:val="00431C40"/>
    <w:rsid w:val="00431E95"/>
    <w:rsid w:val="0043253D"/>
    <w:rsid w:val="004327F5"/>
    <w:rsid w:val="00433073"/>
    <w:rsid w:val="004336F8"/>
    <w:rsid w:val="00433DEB"/>
    <w:rsid w:val="00433EDD"/>
    <w:rsid w:val="00434645"/>
    <w:rsid w:val="00434BF1"/>
    <w:rsid w:val="0043529A"/>
    <w:rsid w:val="0043545B"/>
    <w:rsid w:val="00435B82"/>
    <w:rsid w:val="004366D5"/>
    <w:rsid w:val="004366F8"/>
    <w:rsid w:val="00436AF8"/>
    <w:rsid w:val="00436E9D"/>
    <w:rsid w:val="00436ED5"/>
    <w:rsid w:val="004376BE"/>
    <w:rsid w:val="00437777"/>
    <w:rsid w:val="004377F3"/>
    <w:rsid w:val="004378DA"/>
    <w:rsid w:val="004409B2"/>
    <w:rsid w:val="00440B40"/>
    <w:rsid w:val="0044109E"/>
    <w:rsid w:val="0044158D"/>
    <w:rsid w:val="00441E01"/>
    <w:rsid w:val="00442058"/>
    <w:rsid w:val="004423D1"/>
    <w:rsid w:val="004426C4"/>
    <w:rsid w:val="00442D94"/>
    <w:rsid w:val="00443370"/>
    <w:rsid w:val="00443BB9"/>
    <w:rsid w:val="00443DD1"/>
    <w:rsid w:val="00444084"/>
    <w:rsid w:val="004440A3"/>
    <w:rsid w:val="00444359"/>
    <w:rsid w:val="004443F0"/>
    <w:rsid w:val="004444F8"/>
    <w:rsid w:val="00444557"/>
    <w:rsid w:val="00444633"/>
    <w:rsid w:val="00444BCB"/>
    <w:rsid w:val="00444E03"/>
    <w:rsid w:val="00445FF9"/>
    <w:rsid w:val="004461DC"/>
    <w:rsid w:val="0044666F"/>
    <w:rsid w:val="00446EE2"/>
    <w:rsid w:val="0044736A"/>
    <w:rsid w:val="00447507"/>
    <w:rsid w:val="0044761F"/>
    <w:rsid w:val="00447627"/>
    <w:rsid w:val="00447825"/>
    <w:rsid w:val="00447A5B"/>
    <w:rsid w:val="00450001"/>
    <w:rsid w:val="00450806"/>
    <w:rsid w:val="00450889"/>
    <w:rsid w:val="00450EF2"/>
    <w:rsid w:val="00451178"/>
    <w:rsid w:val="00451179"/>
    <w:rsid w:val="004513AB"/>
    <w:rsid w:val="00451667"/>
    <w:rsid w:val="004523F8"/>
    <w:rsid w:val="0045277C"/>
    <w:rsid w:val="00452D22"/>
    <w:rsid w:val="00452F88"/>
    <w:rsid w:val="00453BAC"/>
    <w:rsid w:val="00453FB8"/>
    <w:rsid w:val="00454280"/>
    <w:rsid w:val="00454DE5"/>
    <w:rsid w:val="0045549F"/>
    <w:rsid w:val="00455573"/>
    <w:rsid w:val="0045564C"/>
    <w:rsid w:val="004557AD"/>
    <w:rsid w:val="00455970"/>
    <w:rsid w:val="00455AB5"/>
    <w:rsid w:val="00455B58"/>
    <w:rsid w:val="00455C63"/>
    <w:rsid w:val="00455D50"/>
    <w:rsid w:val="00456175"/>
    <w:rsid w:val="00456A26"/>
    <w:rsid w:val="00456B08"/>
    <w:rsid w:val="00456BB3"/>
    <w:rsid w:val="00456C50"/>
    <w:rsid w:val="00456C68"/>
    <w:rsid w:val="00456ED2"/>
    <w:rsid w:val="004574B1"/>
    <w:rsid w:val="0045768B"/>
    <w:rsid w:val="004576FA"/>
    <w:rsid w:val="00457BB6"/>
    <w:rsid w:val="00457CDC"/>
    <w:rsid w:val="00457E6E"/>
    <w:rsid w:val="004611BA"/>
    <w:rsid w:val="004615F7"/>
    <w:rsid w:val="004626B0"/>
    <w:rsid w:val="00462A72"/>
    <w:rsid w:val="00462CCB"/>
    <w:rsid w:val="00463A81"/>
    <w:rsid w:val="00463BA6"/>
    <w:rsid w:val="00463C14"/>
    <w:rsid w:val="00464AC1"/>
    <w:rsid w:val="00464C15"/>
    <w:rsid w:val="00464C7A"/>
    <w:rsid w:val="00465784"/>
    <w:rsid w:val="00465849"/>
    <w:rsid w:val="00465CE6"/>
    <w:rsid w:val="00466AB7"/>
    <w:rsid w:val="00466FB7"/>
    <w:rsid w:val="0046706E"/>
    <w:rsid w:val="00467AA6"/>
    <w:rsid w:val="00467CEA"/>
    <w:rsid w:val="00467FF9"/>
    <w:rsid w:val="0047003B"/>
    <w:rsid w:val="004700B7"/>
    <w:rsid w:val="00470230"/>
    <w:rsid w:val="00470A6B"/>
    <w:rsid w:val="00470B7E"/>
    <w:rsid w:val="00470CB4"/>
    <w:rsid w:val="00471826"/>
    <w:rsid w:val="00471B20"/>
    <w:rsid w:val="004720D6"/>
    <w:rsid w:val="00472168"/>
    <w:rsid w:val="00472267"/>
    <w:rsid w:val="00472404"/>
    <w:rsid w:val="004724D9"/>
    <w:rsid w:val="0047274A"/>
    <w:rsid w:val="004727C5"/>
    <w:rsid w:val="004729B8"/>
    <w:rsid w:val="00472BD9"/>
    <w:rsid w:val="00473011"/>
    <w:rsid w:val="0047311E"/>
    <w:rsid w:val="00473212"/>
    <w:rsid w:val="004739B4"/>
    <w:rsid w:val="00473A05"/>
    <w:rsid w:val="00473F69"/>
    <w:rsid w:val="0047496D"/>
    <w:rsid w:val="00474B11"/>
    <w:rsid w:val="00474DAB"/>
    <w:rsid w:val="0047502A"/>
    <w:rsid w:val="004754A2"/>
    <w:rsid w:val="00475B9E"/>
    <w:rsid w:val="00475EA7"/>
    <w:rsid w:val="004764D7"/>
    <w:rsid w:val="00476570"/>
    <w:rsid w:val="0047664A"/>
    <w:rsid w:val="00476657"/>
    <w:rsid w:val="00476A43"/>
    <w:rsid w:val="00476A71"/>
    <w:rsid w:val="00476F78"/>
    <w:rsid w:val="004770B2"/>
    <w:rsid w:val="004771D2"/>
    <w:rsid w:val="004779D4"/>
    <w:rsid w:val="00477B9D"/>
    <w:rsid w:val="00477CF2"/>
    <w:rsid w:val="00477D5F"/>
    <w:rsid w:val="00477FCF"/>
    <w:rsid w:val="004804ED"/>
    <w:rsid w:val="0048053D"/>
    <w:rsid w:val="004805B2"/>
    <w:rsid w:val="00480BFE"/>
    <w:rsid w:val="00480C5D"/>
    <w:rsid w:val="0048189D"/>
    <w:rsid w:val="0048216E"/>
    <w:rsid w:val="00482521"/>
    <w:rsid w:val="00482A62"/>
    <w:rsid w:val="00482C6E"/>
    <w:rsid w:val="00482DC1"/>
    <w:rsid w:val="004835F6"/>
    <w:rsid w:val="0048361C"/>
    <w:rsid w:val="0048391F"/>
    <w:rsid w:val="00483E2D"/>
    <w:rsid w:val="00483F1E"/>
    <w:rsid w:val="00484B00"/>
    <w:rsid w:val="00484C36"/>
    <w:rsid w:val="00484E11"/>
    <w:rsid w:val="00484F56"/>
    <w:rsid w:val="0048512E"/>
    <w:rsid w:val="0048595C"/>
    <w:rsid w:val="00485AAD"/>
    <w:rsid w:val="004862D3"/>
    <w:rsid w:val="00486575"/>
    <w:rsid w:val="00486837"/>
    <w:rsid w:val="00486844"/>
    <w:rsid w:val="00486930"/>
    <w:rsid w:val="00486C41"/>
    <w:rsid w:val="00486CAD"/>
    <w:rsid w:val="00486D03"/>
    <w:rsid w:val="00486DF8"/>
    <w:rsid w:val="0048769C"/>
    <w:rsid w:val="0048771B"/>
    <w:rsid w:val="00487B09"/>
    <w:rsid w:val="004900C4"/>
    <w:rsid w:val="0049032D"/>
    <w:rsid w:val="0049036E"/>
    <w:rsid w:val="00490845"/>
    <w:rsid w:val="00490C76"/>
    <w:rsid w:val="00490F31"/>
    <w:rsid w:val="00491B76"/>
    <w:rsid w:val="00492067"/>
    <w:rsid w:val="00492327"/>
    <w:rsid w:val="00492668"/>
    <w:rsid w:val="004927F9"/>
    <w:rsid w:val="004928DC"/>
    <w:rsid w:val="00492CF4"/>
    <w:rsid w:val="004930BA"/>
    <w:rsid w:val="00493112"/>
    <w:rsid w:val="00493485"/>
    <w:rsid w:val="004934E6"/>
    <w:rsid w:val="00493C69"/>
    <w:rsid w:val="00493D59"/>
    <w:rsid w:val="004947A4"/>
    <w:rsid w:val="00494967"/>
    <w:rsid w:val="00494A8B"/>
    <w:rsid w:val="00494AB9"/>
    <w:rsid w:val="00494C14"/>
    <w:rsid w:val="00494E47"/>
    <w:rsid w:val="00494F37"/>
    <w:rsid w:val="00495247"/>
    <w:rsid w:val="004955E5"/>
    <w:rsid w:val="00495E4B"/>
    <w:rsid w:val="00495FEB"/>
    <w:rsid w:val="004963FA"/>
    <w:rsid w:val="00496409"/>
    <w:rsid w:val="00497A18"/>
    <w:rsid w:val="00497A30"/>
    <w:rsid w:val="004A0175"/>
    <w:rsid w:val="004A01DF"/>
    <w:rsid w:val="004A0321"/>
    <w:rsid w:val="004A0B16"/>
    <w:rsid w:val="004A0C18"/>
    <w:rsid w:val="004A0D61"/>
    <w:rsid w:val="004A10AB"/>
    <w:rsid w:val="004A1207"/>
    <w:rsid w:val="004A1537"/>
    <w:rsid w:val="004A16B9"/>
    <w:rsid w:val="004A1F29"/>
    <w:rsid w:val="004A2208"/>
    <w:rsid w:val="004A2CD3"/>
    <w:rsid w:val="004A32F5"/>
    <w:rsid w:val="004A3354"/>
    <w:rsid w:val="004A3A25"/>
    <w:rsid w:val="004A3A90"/>
    <w:rsid w:val="004A3FC7"/>
    <w:rsid w:val="004A419B"/>
    <w:rsid w:val="004A4475"/>
    <w:rsid w:val="004A459C"/>
    <w:rsid w:val="004A45CD"/>
    <w:rsid w:val="004A472D"/>
    <w:rsid w:val="004A4B2C"/>
    <w:rsid w:val="004A4E4D"/>
    <w:rsid w:val="004A5315"/>
    <w:rsid w:val="004A5479"/>
    <w:rsid w:val="004A5698"/>
    <w:rsid w:val="004A5CB4"/>
    <w:rsid w:val="004A5D4E"/>
    <w:rsid w:val="004A6338"/>
    <w:rsid w:val="004A662B"/>
    <w:rsid w:val="004A6807"/>
    <w:rsid w:val="004A6BE9"/>
    <w:rsid w:val="004A709E"/>
    <w:rsid w:val="004A7628"/>
    <w:rsid w:val="004A7F3A"/>
    <w:rsid w:val="004A7F3B"/>
    <w:rsid w:val="004B03A0"/>
    <w:rsid w:val="004B042F"/>
    <w:rsid w:val="004B0B24"/>
    <w:rsid w:val="004B0B38"/>
    <w:rsid w:val="004B1135"/>
    <w:rsid w:val="004B1741"/>
    <w:rsid w:val="004B1742"/>
    <w:rsid w:val="004B1A6A"/>
    <w:rsid w:val="004B236D"/>
    <w:rsid w:val="004B2AA8"/>
    <w:rsid w:val="004B322C"/>
    <w:rsid w:val="004B43F7"/>
    <w:rsid w:val="004B489B"/>
    <w:rsid w:val="004B4FC0"/>
    <w:rsid w:val="004B5215"/>
    <w:rsid w:val="004B58E0"/>
    <w:rsid w:val="004B58FC"/>
    <w:rsid w:val="004B594D"/>
    <w:rsid w:val="004B5DAC"/>
    <w:rsid w:val="004B5EDF"/>
    <w:rsid w:val="004B69A2"/>
    <w:rsid w:val="004B755E"/>
    <w:rsid w:val="004B77B6"/>
    <w:rsid w:val="004B782F"/>
    <w:rsid w:val="004B7CE4"/>
    <w:rsid w:val="004C070C"/>
    <w:rsid w:val="004C070D"/>
    <w:rsid w:val="004C0817"/>
    <w:rsid w:val="004C08E4"/>
    <w:rsid w:val="004C0B94"/>
    <w:rsid w:val="004C0D08"/>
    <w:rsid w:val="004C0D0D"/>
    <w:rsid w:val="004C0D82"/>
    <w:rsid w:val="004C0E6E"/>
    <w:rsid w:val="004C10A5"/>
    <w:rsid w:val="004C13CB"/>
    <w:rsid w:val="004C1AB1"/>
    <w:rsid w:val="004C2113"/>
    <w:rsid w:val="004C2303"/>
    <w:rsid w:val="004C353D"/>
    <w:rsid w:val="004C3805"/>
    <w:rsid w:val="004C3A7E"/>
    <w:rsid w:val="004C3D3E"/>
    <w:rsid w:val="004C3EB8"/>
    <w:rsid w:val="004C4610"/>
    <w:rsid w:val="004C4BFB"/>
    <w:rsid w:val="004C54A7"/>
    <w:rsid w:val="004C57C9"/>
    <w:rsid w:val="004C58BC"/>
    <w:rsid w:val="004C5BB0"/>
    <w:rsid w:val="004C5BED"/>
    <w:rsid w:val="004C5E7E"/>
    <w:rsid w:val="004C6339"/>
    <w:rsid w:val="004C664D"/>
    <w:rsid w:val="004C673C"/>
    <w:rsid w:val="004C698A"/>
    <w:rsid w:val="004C73EA"/>
    <w:rsid w:val="004C7497"/>
    <w:rsid w:val="004C7710"/>
    <w:rsid w:val="004C7855"/>
    <w:rsid w:val="004C7BE3"/>
    <w:rsid w:val="004C7FE6"/>
    <w:rsid w:val="004D0063"/>
    <w:rsid w:val="004D08D9"/>
    <w:rsid w:val="004D08F0"/>
    <w:rsid w:val="004D11D6"/>
    <w:rsid w:val="004D128B"/>
    <w:rsid w:val="004D1549"/>
    <w:rsid w:val="004D1592"/>
    <w:rsid w:val="004D15CC"/>
    <w:rsid w:val="004D187D"/>
    <w:rsid w:val="004D1C14"/>
    <w:rsid w:val="004D1E06"/>
    <w:rsid w:val="004D217F"/>
    <w:rsid w:val="004D3124"/>
    <w:rsid w:val="004D31C9"/>
    <w:rsid w:val="004D31E1"/>
    <w:rsid w:val="004D3692"/>
    <w:rsid w:val="004D389F"/>
    <w:rsid w:val="004D3C37"/>
    <w:rsid w:val="004D3E79"/>
    <w:rsid w:val="004D40CF"/>
    <w:rsid w:val="004D4413"/>
    <w:rsid w:val="004D4679"/>
    <w:rsid w:val="004D4B37"/>
    <w:rsid w:val="004D4B4D"/>
    <w:rsid w:val="004D4D4B"/>
    <w:rsid w:val="004D4D75"/>
    <w:rsid w:val="004D5670"/>
    <w:rsid w:val="004D5CB0"/>
    <w:rsid w:val="004D5CBC"/>
    <w:rsid w:val="004D5CBF"/>
    <w:rsid w:val="004D65E5"/>
    <w:rsid w:val="004D6849"/>
    <w:rsid w:val="004D6ACD"/>
    <w:rsid w:val="004D6B59"/>
    <w:rsid w:val="004D71F9"/>
    <w:rsid w:val="004D7336"/>
    <w:rsid w:val="004D7CE4"/>
    <w:rsid w:val="004E024B"/>
    <w:rsid w:val="004E0276"/>
    <w:rsid w:val="004E0284"/>
    <w:rsid w:val="004E0427"/>
    <w:rsid w:val="004E0509"/>
    <w:rsid w:val="004E0649"/>
    <w:rsid w:val="004E066C"/>
    <w:rsid w:val="004E0B63"/>
    <w:rsid w:val="004E0D3C"/>
    <w:rsid w:val="004E11A5"/>
    <w:rsid w:val="004E137B"/>
    <w:rsid w:val="004E1562"/>
    <w:rsid w:val="004E164A"/>
    <w:rsid w:val="004E19ED"/>
    <w:rsid w:val="004E1AB2"/>
    <w:rsid w:val="004E1EA6"/>
    <w:rsid w:val="004E22B7"/>
    <w:rsid w:val="004E25D6"/>
    <w:rsid w:val="004E2A02"/>
    <w:rsid w:val="004E2D0D"/>
    <w:rsid w:val="004E2F1E"/>
    <w:rsid w:val="004E2F2B"/>
    <w:rsid w:val="004E3028"/>
    <w:rsid w:val="004E3060"/>
    <w:rsid w:val="004E31AF"/>
    <w:rsid w:val="004E357E"/>
    <w:rsid w:val="004E3615"/>
    <w:rsid w:val="004E3CA4"/>
    <w:rsid w:val="004E3EE5"/>
    <w:rsid w:val="004E429D"/>
    <w:rsid w:val="004E4982"/>
    <w:rsid w:val="004E4A4B"/>
    <w:rsid w:val="004E5081"/>
    <w:rsid w:val="004E5597"/>
    <w:rsid w:val="004E58A4"/>
    <w:rsid w:val="004E5D81"/>
    <w:rsid w:val="004E5E78"/>
    <w:rsid w:val="004E5F95"/>
    <w:rsid w:val="004E60C8"/>
    <w:rsid w:val="004E67A8"/>
    <w:rsid w:val="004E6E6E"/>
    <w:rsid w:val="004E7213"/>
    <w:rsid w:val="004E72D0"/>
    <w:rsid w:val="004E76D2"/>
    <w:rsid w:val="004E77E0"/>
    <w:rsid w:val="004E79A8"/>
    <w:rsid w:val="004E7AC7"/>
    <w:rsid w:val="004E7C99"/>
    <w:rsid w:val="004F0061"/>
    <w:rsid w:val="004F051A"/>
    <w:rsid w:val="004F0F75"/>
    <w:rsid w:val="004F168C"/>
    <w:rsid w:val="004F199C"/>
    <w:rsid w:val="004F1E26"/>
    <w:rsid w:val="004F21CC"/>
    <w:rsid w:val="004F271A"/>
    <w:rsid w:val="004F2795"/>
    <w:rsid w:val="004F29F4"/>
    <w:rsid w:val="004F2BE7"/>
    <w:rsid w:val="004F3056"/>
    <w:rsid w:val="004F36B4"/>
    <w:rsid w:val="004F3BB7"/>
    <w:rsid w:val="004F3CB6"/>
    <w:rsid w:val="004F40AD"/>
    <w:rsid w:val="004F43F3"/>
    <w:rsid w:val="004F4415"/>
    <w:rsid w:val="004F4567"/>
    <w:rsid w:val="004F47A3"/>
    <w:rsid w:val="004F49A4"/>
    <w:rsid w:val="004F49AA"/>
    <w:rsid w:val="004F5425"/>
    <w:rsid w:val="004F56B7"/>
    <w:rsid w:val="004F56BC"/>
    <w:rsid w:val="004F6053"/>
    <w:rsid w:val="004F63A2"/>
    <w:rsid w:val="004F651E"/>
    <w:rsid w:val="004F6579"/>
    <w:rsid w:val="004F65A5"/>
    <w:rsid w:val="004F66A2"/>
    <w:rsid w:val="004F6C7A"/>
    <w:rsid w:val="004F72B3"/>
    <w:rsid w:val="004F73C7"/>
    <w:rsid w:val="004F7446"/>
    <w:rsid w:val="004F74B1"/>
    <w:rsid w:val="004F750D"/>
    <w:rsid w:val="0050031E"/>
    <w:rsid w:val="005006CF"/>
    <w:rsid w:val="00500C59"/>
    <w:rsid w:val="00500CB1"/>
    <w:rsid w:val="00501360"/>
    <w:rsid w:val="0050199B"/>
    <w:rsid w:val="00501A6A"/>
    <w:rsid w:val="00502183"/>
    <w:rsid w:val="00502662"/>
    <w:rsid w:val="00502719"/>
    <w:rsid w:val="005029FD"/>
    <w:rsid w:val="00502DB5"/>
    <w:rsid w:val="005030FC"/>
    <w:rsid w:val="00503D13"/>
    <w:rsid w:val="0050410C"/>
    <w:rsid w:val="00504B6F"/>
    <w:rsid w:val="00505CA9"/>
    <w:rsid w:val="0050638E"/>
    <w:rsid w:val="005063EE"/>
    <w:rsid w:val="0050653C"/>
    <w:rsid w:val="00506B01"/>
    <w:rsid w:val="00506B53"/>
    <w:rsid w:val="00506DDE"/>
    <w:rsid w:val="005072B3"/>
    <w:rsid w:val="005072B6"/>
    <w:rsid w:val="00507827"/>
    <w:rsid w:val="00507F9D"/>
    <w:rsid w:val="00510751"/>
    <w:rsid w:val="00511146"/>
    <w:rsid w:val="005112A5"/>
    <w:rsid w:val="005114B1"/>
    <w:rsid w:val="00511844"/>
    <w:rsid w:val="005118A7"/>
    <w:rsid w:val="005119B4"/>
    <w:rsid w:val="00511BB9"/>
    <w:rsid w:val="0051218E"/>
    <w:rsid w:val="005125A0"/>
    <w:rsid w:val="005125A3"/>
    <w:rsid w:val="005127DF"/>
    <w:rsid w:val="00512818"/>
    <w:rsid w:val="0051281F"/>
    <w:rsid w:val="0051308F"/>
    <w:rsid w:val="00513395"/>
    <w:rsid w:val="00513570"/>
    <w:rsid w:val="005136AF"/>
    <w:rsid w:val="005136D6"/>
    <w:rsid w:val="0051385B"/>
    <w:rsid w:val="0051455C"/>
    <w:rsid w:val="00514A7D"/>
    <w:rsid w:val="00514D2A"/>
    <w:rsid w:val="00514D8D"/>
    <w:rsid w:val="00514E12"/>
    <w:rsid w:val="00514EDF"/>
    <w:rsid w:val="00515377"/>
    <w:rsid w:val="00515657"/>
    <w:rsid w:val="00516032"/>
    <w:rsid w:val="0051640B"/>
    <w:rsid w:val="005165DE"/>
    <w:rsid w:val="005166B2"/>
    <w:rsid w:val="00516A51"/>
    <w:rsid w:val="00516B31"/>
    <w:rsid w:val="00516E19"/>
    <w:rsid w:val="00517202"/>
    <w:rsid w:val="00517232"/>
    <w:rsid w:val="00517892"/>
    <w:rsid w:val="00517C6E"/>
    <w:rsid w:val="00517CD9"/>
    <w:rsid w:val="005200CA"/>
    <w:rsid w:val="0052041C"/>
    <w:rsid w:val="00520795"/>
    <w:rsid w:val="00520AC5"/>
    <w:rsid w:val="00520F92"/>
    <w:rsid w:val="005210E3"/>
    <w:rsid w:val="005211D1"/>
    <w:rsid w:val="0052133D"/>
    <w:rsid w:val="005213F5"/>
    <w:rsid w:val="00521509"/>
    <w:rsid w:val="005216C7"/>
    <w:rsid w:val="005219D7"/>
    <w:rsid w:val="00521A0A"/>
    <w:rsid w:val="00521BAC"/>
    <w:rsid w:val="00521C8F"/>
    <w:rsid w:val="005223A0"/>
    <w:rsid w:val="005223C6"/>
    <w:rsid w:val="00522AD4"/>
    <w:rsid w:val="00522BD8"/>
    <w:rsid w:val="00522E1E"/>
    <w:rsid w:val="00522F70"/>
    <w:rsid w:val="00523062"/>
    <w:rsid w:val="00523245"/>
    <w:rsid w:val="00523539"/>
    <w:rsid w:val="0052358A"/>
    <w:rsid w:val="005239C2"/>
    <w:rsid w:val="00523B10"/>
    <w:rsid w:val="00523C16"/>
    <w:rsid w:val="00523CE6"/>
    <w:rsid w:val="00523D53"/>
    <w:rsid w:val="00523D9B"/>
    <w:rsid w:val="00524351"/>
    <w:rsid w:val="005245CB"/>
    <w:rsid w:val="005245D5"/>
    <w:rsid w:val="005247C2"/>
    <w:rsid w:val="00524882"/>
    <w:rsid w:val="00524886"/>
    <w:rsid w:val="005257E2"/>
    <w:rsid w:val="00525B5A"/>
    <w:rsid w:val="00526313"/>
    <w:rsid w:val="00526889"/>
    <w:rsid w:val="00526B7B"/>
    <w:rsid w:val="00526BC1"/>
    <w:rsid w:val="00526D04"/>
    <w:rsid w:val="005271AB"/>
    <w:rsid w:val="00527815"/>
    <w:rsid w:val="005279B9"/>
    <w:rsid w:val="005302E6"/>
    <w:rsid w:val="005305F8"/>
    <w:rsid w:val="0053094F"/>
    <w:rsid w:val="00530CE8"/>
    <w:rsid w:val="00531510"/>
    <w:rsid w:val="00531539"/>
    <w:rsid w:val="00531BF2"/>
    <w:rsid w:val="005320C1"/>
    <w:rsid w:val="005322BF"/>
    <w:rsid w:val="0053288C"/>
    <w:rsid w:val="00532925"/>
    <w:rsid w:val="00532AA7"/>
    <w:rsid w:val="00533044"/>
    <w:rsid w:val="005330F6"/>
    <w:rsid w:val="005348F1"/>
    <w:rsid w:val="00534EB0"/>
    <w:rsid w:val="0053511D"/>
    <w:rsid w:val="00535D26"/>
    <w:rsid w:val="00536535"/>
    <w:rsid w:val="005367A0"/>
    <w:rsid w:val="00536D10"/>
    <w:rsid w:val="00536DB6"/>
    <w:rsid w:val="00536E33"/>
    <w:rsid w:val="005371CB"/>
    <w:rsid w:val="0053731F"/>
    <w:rsid w:val="00537447"/>
    <w:rsid w:val="00537633"/>
    <w:rsid w:val="005378D1"/>
    <w:rsid w:val="00537B87"/>
    <w:rsid w:val="00537F01"/>
    <w:rsid w:val="00537F85"/>
    <w:rsid w:val="005403CC"/>
    <w:rsid w:val="005405D7"/>
    <w:rsid w:val="0054087D"/>
    <w:rsid w:val="0054194C"/>
    <w:rsid w:val="00541A12"/>
    <w:rsid w:val="00541B6A"/>
    <w:rsid w:val="00541CD5"/>
    <w:rsid w:val="00541F2D"/>
    <w:rsid w:val="005421D7"/>
    <w:rsid w:val="00542507"/>
    <w:rsid w:val="00542DE7"/>
    <w:rsid w:val="00543268"/>
    <w:rsid w:val="00543D21"/>
    <w:rsid w:val="00543E56"/>
    <w:rsid w:val="0054473C"/>
    <w:rsid w:val="00544AFA"/>
    <w:rsid w:val="00544BFA"/>
    <w:rsid w:val="00544CDE"/>
    <w:rsid w:val="0054571C"/>
    <w:rsid w:val="00545761"/>
    <w:rsid w:val="00545B80"/>
    <w:rsid w:val="005464D6"/>
    <w:rsid w:val="005466FF"/>
    <w:rsid w:val="00546777"/>
    <w:rsid w:val="0054718C"/>
    <w:rsid w:val="00547D85"/>
    <w:rsid w:val="00550B13"/>
    <w:rsid w:val="0055109F"/>
    <w:rsid w:val="00551C5A"/>
    <w:rsid w:val="005520BD"/>
    <w:rsid w:val="00552322"/>
    <w:rsid w:val="00552B65"/>
    <w:rsid w:val="00553156"/>
    <w:rsid w:val="00553170"/>
    <w:rsid w:val="005531ED"/>
    <w:rsid w:val="00553729"/>
    <w:rsid w:val="00553A65"/>
    <w:rsid w:val="00553B1A"/>
    <w:rsid w:val="00554053"/>
    <w:rsid w:val="00554582"/>
    <w:rsid w:val="00554772"/>
    <w:rsid w:val="00554BF2"/>
    <w:rsid w:val="00554C4B"/>
    <w:rsid w:val="00554F63"/>
    <w:rsid w:val="005559C2"/>
    <w:rsid w:val="00555F12"/>
    <w:rsid w:val="0055670A"/>
    <w:rsid w:val="00556C29"/>
    <w:rsid w:val="00556F30"/>
    <w:rsid w:val="00557010"/>
    <w:rsid w:val="005570E0"/>
    <w:rsid w:val="005575A0"/>
    <w:rsid w:val="005575EA"/>
    <w:rsid w:val="0055761C"/>
    <w:rsid w:val="0055789D"/>
    <w:rsid w:val="00557E44"/>
    <w:rsid w:val="0055C0AE"/>
    <w:rsid w:val="0056027C"/>
    <w:rsid w:val="00560286"/>
    <w:rsid w:val="00560604"/>
    <w:rsid w:val="00560783"/>
    <w:rsid w:val="00560A2C"/>
    <w:rsid w:val="00560EF2"/>
    <w:rsid w:val="005610D5"/>
    <w:rsid w:val="0056117F"/>
    <w:rsid w:val="00561436"/>
    <w:rsid w:val="00561690"/>
    <w:rsid w:val="00561EBC"/>
    <w:rsid w:val="00561EDF"/>
    <w:rsid w:val="00561F51"/>
    <w:rsid w:val="005623D3"/>
    <w:rsid w:val="00562526"/>
    <w:rsid w:val="00562595"/>
    <w:rsid w:val="0056308B"/>
    <w:rsid w:val="005632F0"/>
    <w:rsid w:val="0056344D"/>
    <w:rsid w:val="005635C1"/>
    <w:rsid w:val="00563D84"/>
    <w:rsid w:val="00564309"/>
    <w:rsid w:val="0056464C"/>
    <w:rsid w:val="00564653"/>
    <w:rsid w:val="00564B91"/>
    <w:rsid w:val="005650D2"/>
    <w:rsid w:val="0056523A"/>
    <w:rsid w:val="005652BC"/>
    <w:rsid w:val="00565CDB"/>
    <w:rsid w:val="00565D25"/>
    <w:rsid w:val="00566437"/>
    <w:rsid w:val="00566940"/>
    <w:rsid w:val="00566C7D"/>
    <w:rsid w:val="00566F70"/>
    <w:rsid w:val="00567045"/>
    <w:rsid w:val="00567161"/>
    <w:rsid w:val="00567251"/>
    <w:rsid w:val="005675EF"/>
    <w:rsid w:val="00567968"/>
    <w:rsid w:val="00567B20"/>
    <w:rsid w:val="00567E44"/>
    <w:rsid w:val="00567EE1"/>
    <w:rsid w:val="00567F02"/>
    <w:rsid w:val="00567FC7"/>
    <w:rsid w:val="0056D24C"/>
    <w:rsid w:val="005700D8"/>
    <w:rsid w:val="0057020C"/>
    <w:rsid w:val="00570B1A"/>
    <w:rsid w:val="00570C71"/>
    <w:rsid w:val="0057154B"/>
    <w:rsid w:val="00571EB6"/>
    <w:rsid w:val="00572DC8"/>
    <w:rsid w:val="0057352B"/>
    <w:rsid w:val="0057385B"/>
    <w:rsid w:val="00573AB4"/>
    <w:rsid w:val="00573B03"/>
    <w:rsid w:val="00573D8C"/>
    <w:rsid w:val="00574072"/>
    <w:rsid w:val="005746E7"/>
    <w:rsid w:val="0057471C"/>
    <w:rsid w:val="00574EF1"/>
    <w:rsid w:val="0057501C"/>
    <w:rsid w:val="00575929"/>
    <w:rsid w:val="0057595B"/>
    <w:rsid w:val="00575A09"/>
    <w:rsid w:val="00575B09"/>
    <w:rsid w:val="00575D3A"/>
    <w:rsid w:val="00575D63"/>
    <w:rsid w:val="00576332"/>
    <w:rsid w:val="0057662B"/>
    <w:rsid w:val="00576776"/>
    <w:rsid w:val="005767E4"/>
    <w:rsid w:val="00576C19"/>
    <w:rsid w:val="00576C27"/>
    <w:rsid w:val="00576F07"/>
    <w:rsid w:val="00577467"/>
    <w:rsid w:val="005779C6"/>
    <w:rsid w:val="00577D52"/>
    <w:rsid w:val="00580408"/>
    <w:rsid w:val="005805FC"/>
    <w:rsid w:val="00580742"/>
    <w:rsid w:val="00580B20"/>
    <w:rsid w:val="00581269"/>
    <w:rsid w:val="0058150F"/>
    <w:rsid w:val="00581783"/>
    <w:rsid w:val="005818F2"/>
    <w:rsid w:val="00581A01"/>
    <w:rsid w:val="00581EDE"/>
    <w:rsid w:val="00582160"/>
    <w:rsid w:val="00582803"/>
    <w:rsid w:val="00582D53"/>
    <w:rsid w:val="00582ED6"/>
    <w:rsid w:val="00583317"/>
    <w:rsid w:val="005835A0"/>
    <w:rsid w:val="005844D2"/>
    <w:rsid w:val="00584671"/>
    <w:rsid w:val="0058485D"/>
    <w:rsid w:val="00584984"/>
    <w:rsid w:val="00584CF0"/>
    <w:rsid w:val="0058501F"/>
    <w:rsid w:val="005852D9"/>
    <w:rsid w:val="0058550B"/>
    <w:rsid w:val="00585714"/>
    <w:rsid w:val="00585FC8"/>
    <w:rsid w:val="005866A6"/>
    <w:rsid w:val="005867B4"/>
    <w:rsid w:val="005868AA"/>
    <w:rsid w:val="00586C8F"/>
    <w:rsid w:val="00586D0D"/>
    <w:rsid w:val="00586FE6"/>
    <w:rsid w:val="005871F0"/>
    <w:rsid w:val="00587501"/>
    <w:rsid w:val="00587564"/>
    <w:rsid w:val="005877EB"/>
    <w:rsid w:val="005878F7"/>
    <w:rsid w:val="00587A6E"/>
    <w:rsid w:val="00587D30"/>
    <w:rsid w:val="00587E92"/>
    <w:rsid w:val="00590207"/>
    <w:rsid w:val="00590411"/>
    <w:rsid w:val="00590519"/>
    <w:rsid w:val="00590808"/>
    <w:rsid w:val="00590A01"/>
    <w:rsid w:val="00590A23"/>
    <w:rsid w:val="00591DBA"/>
    <w:rsid w:val="00592548"/>
    <w:rsid w:val="00592839"/>
    <w:rsid w:val="005928CF"/>
    <w:rsid w:val="00593757"/>
    <w:rsid w:val="005937EB"/>
    <w:rsid w:val="005938AF"/>
    <w:rsid w:val="00593B0B"/>
    <w:rsid w:val="00593D69"/>
    <w:rsid w:val="0059446B"/>
    <w:rsid w:val="0059496F"/>
    <w:rsid w:val="00594D4F"/>
    <w:rsid w:val="0059520F"/>
    <w:rsid w:val="005954A3"/>
    <w:rsid w:val="00595C71"/>
    <w:rsid w:val="0059664B"/>
    <w:rsid w:val="00596990"/>
    <w:rsid w:val="00596D1B"/>
    <w:rsid w:val="00596E02"/>
    <w:rsid w:val="00596EBD"/>
    <w:rsid w:val="0059700E"/>
    <w:rsid w:val="00597380"/>
    <w:rsid w:val="0059763A"/>
    <w:rsid w:val="00597683"/>
    <w:rsid w:val="00597991"/>
    <w:rsid w:val="00597A8A"/>
    <w:rsid w:val="005A04B7"/>
    <w:rsid w:val="005A098A"/>
    <w:rsid w:val="005A0AC0"/>
    <w:rsid w:val="005A13A4"/>
    <w:rsid w:val="005A1479"/>
    <w:rsid w:val="005A178D"/>
    <w:rsid w:val="005A223C"/>
    <w:rsid w:val="005A2262"/>
    <w:rsid w:val="005A247B"/>
    <w:rsid w:val="005A2607"/>
    <w:rsid w:val="005A26F4"/>
    <w:rsid w:val="005A2DFE"/>
    <w:rsid w:val="005A4061"/>
    <w:rsid w:val="005A417F"/>
    <w:rsid w:val="005A433D"/>
    <w:rsid w:val="005A4C20"/>
    <w:rsid w:val="005A4DAA"/>
    <w:rsid w:val="005A4DEF"/>
    <w:rsid w:val="005A5A3C"/>
    <w:rsid w:val="005A5B99"/>
    <w:rsid w:val="005A6142"/>
    <w:rsid w:val="005A6432"/>
    <w:rsid w:val="005A6603"/>
    <w:rsid w:val="005A67EA"/>
    <w:rsid w:val="005A6EF7"/>
    <w:rsid w:val="005A72E3"/>
    <w:rsid w:val="005A74A9"/>
    <w:rsid w:val="005A79ED"/>
    <w:rsid w:val="005A7AC0"/>
    <w:rsid w:val="005A7BC5"/>
    <w:rsid w:val="005A7EA2"/>
    <w:rsid w:val="005B0231"/>
    <w:rsid w:val="005B026C"/>
    <w:rsid w:val="005B0CDE"/>
    <w:rsid w:val="005B1109"/>
    <w:rsid w:val="005B15B7"/>
    <w:rsid w:val="005B1FB6"/>
    <w:rsid w:val="005B1FF8"/>
    <w:rsid w:val="005B239D"/>
    <w:rsid w:val="005B26C1"/>
    <w:rsid w:val="005B2809"/>
    <w:rsid w:val="005B2ED6"/>
    <w:rsid w:val="005B3F2A"/>
    <w:rsid w:val="005B412D"/>
    <w:rsid w:val="005B4139"/>
    <w:rsid w:val="005B42B7"/>
    <w:rsid w:val="005B4323"/>
    <w:rsid w:val="005B44E2"/>
    <w:rsid w:val="005B4851"/>
    <w:rsid w:val="005B4899"/>
    <w:rsid w:val="005B5077"/>
    <w:rsid w:val="005B50DC"/>
    <w:rsid w:val="005B53D4"/>
    <w:rsid w:val="005B5A96"/>
    <w:rsid w:val="005B5AFF"/>
    <w:rsid w:val="005B5B1F"/>
    <w:rsid w:val="005B5D96"/>
    <w:rsid w:val="005B6992"/>
    <w:rsid w:val="005B6E7E"/>
    <w:rsid w:val="005B70B9"/>
    <w:rsid w:val="005B7419"/>
    <w:rsid w:val="005B7602"/>
    <w:rsid w:val="005B76DF"/>
    <w:rsid w:val="005B7AFC"/>
    <w:rsid w:val="005B7B39"/>
    <w:rsid w:val="005B7ECE"/>
    <w:rsid w:val="005C174E"/>
    <w:rsid w:val="005C18F4"/>
    <w:rsid w:val="005C2240"/>
    <w:rsid w:val="005C230E"/>
    <w:rsid w:val="005C2361"/>
    <w:rsid w:val="005C2435"/>
    <w:rsid w:val="005C2519"/>
    <w:rsid w:val="005C26D1"/>
    <w:rsid w:val="005C2B26"/>
    <w:rsid w:val="005C335B"/>
    <w:rsid w:val="005C338A"/>
    <w:rsid w:val="005C3A9E"/>
    <w:rsid w:val="005C3FD7"/>
    <w:rsid w:val="005C4078"/>
    <w:rsid w:val="005C4336"/>
    <w:rsid w:val="005C4568"/>
    <w:rsid w:val="005C4868"/>
    <w:rsid w:val="005C4967"/>
    <w:rsid w:val="005C4DAC"/>
    <w:rsid w:val="005C5567"/>
    <w:rsid w:val="005C55D8"/>
    <w:rsid w:val="005C58A5"/>
    <w:rsid w:val="005C598A"/>
    <w:rsid w:val="005C5CD1"/>
    <w:rsid w:val="005C62EC"/>
    <w:rsid w:val="005C646E"/>
    <w:rsid w:val="005C65B3"/>
    <w:rsid w:val="005C672F"/>
    <w:rsid w:val="005C683B"/>
    <w:rsid w:val="005C6D08"/>
    <w:rsid w:val="005C7371"/>
    <w:rsid w:val="005C7651"/>
    <w:rsid w:val="005C7925"/>
    <w:rsid w:val="005C7EDE"/>
    <w:rsid w:val="005D05CC"/>
    <w:rsid w:val="005D07A9"/>
    <w:rsid w:val="005D0E02"/>
    <w:rsid w:val="005D123E"/>
    <w:rsid w:val="005D13B7"/>
    <w:rsid w:val="005D15F3"/>
    <w:rsid w:val="005D199C"/>
    <w:rsid w:val="005D1CC2"/>
    <w:rsid w:val="005D205E"/>
    <w:rsid w:val="005D2117"/>
    <w:rsid w:val="005D23A0"/>
    <w:rsid w:val="005D2450"/>
    <w:rsid w:val="005D26D4"/>
    <w:rsid w:val="005D2AE6"/>
    <w:rsid w:val="005D2E7E"/>
    <w:rsid w:val="005D31D7"/>
    <w:rsid w:val="005D3282"/>
    <w:rsid w:val="005D342C"/>
    <w:rsid w:val="005D36CD"/>
    <w:rsid w:val="005D37FE"/>
    <w:rsid w:val="005D3DB7"/>
    <w:rsid w:val="005D3FF5"/>
    <w:rsid w:val="005D4718"/>
    <w:rsid w:val="005D487E"/>
    <w:rsid w:val="005D49DB"/>
    <w:rsid w:val="005D52A2"/>
    <w:rsid w:val="005D53B1"/>
    <w:rsid w:val="005D581F"/>
    <w:rsid w:val="005D62D7"/>
    <w:rsid w:val="005D6C07"/>
    <w:rsid w:val="005D6CF9"/>
    <w:rsid w:val="005D70BD"/>
    <w:rsid w:val="005D7D2F"/>
    <w:rsid w:val="005D7E92"/>
    <w:rsid w:val="005E0308"/>
    <w:rsid w:val="005E042D"/>
    <w:rsid w:val="005E25DC"/>
    <w:rsid w:val="005E2D05"/>
    <w:rsid w:val="005E2E62"/>
    <w:rsid w:val="005E2F03"/>
    <w:rsid w:val="005E3017"/>
    <w:rsid w:val="005E3091"/>
    <w:rsid w:val="005E310C"/>
    <w:rsid w:val="005E362F"/>
    <w:rsid w:val="005E36F9"/>
    <w:rsid w:val="005E3907"/>
    <w:rsid w:val="005E3F4E"/>
    <w:rsid w:val="005E3FB1"/>
    <w:rsid w:val="005E4421"/>
    <w:rsid w:val="005E45F9"/>
    <w:rsid w:val="005E5124"/>
    <w:rsid w:val="005E536B"/>
    <w:rsid w:val="005E555C"/>
    <w:rsid w:val="005E580B"/>
    <w:rsid w:val="005E5AE3"/>
    <w:rsid w:val="005E5B1E"/>
    <w:rsid w:val="005E5F17"/>
    <w:rsid w:val="005E626C"/>
    <w:rsid w:val="005E6283"/>
    <w:rsid w:val="005E6665"/>
    <w:rsid w:val="005E693D"/>
    <w:rsid w:val="005E6EE0"/>
    <w:rsid w:val="005E707B"/>
    <w:rsid w:val="005E7204"/>
    <w:rsid w:val="005E75C9"/>
    <w:rsid w:val="005E7625"/>
    <w:rsid w:val="005E7946"/>
    <w:rsid w:val="005E7AE8"/>
    <w:rsid w:val="005E7B61"/>
    <w:rsid w:val="005E7FA4"/>
    <w:rsid w:val="005F0369"/>
    <w:rsid w:val="005F058B"/>
    <w:rsid w:val="005F0C6D"/>
    <w:rsid w:val="005F0EBF"/>
    <w:rsid w:val="005F1603"/>
    <w:rsid w:val="005F2608"/>
    <w:rsid w:val="005F283B"/>
    <w:rsid w:val="005F2AB2"/>
    <w:rsid w:val="005F315E"/>
    <w:rsid w:val="005F3697"/>
    <w:rsid w:val="005F393D"/>
    <w:rsid w:val="005F40BB"/>
    <w:rsid w:val="005F4133"/>
    <w:rsid w:val="005F422D"/>
    <w:rsid w:val="005F4284"/>
    <w:rsid w:val="005F4373"/>
    <w:rsid w:val="005F4592"/>
    <w:rsid w:val="005F45ED"/>
    <w:rsid w:val="005F48CE"/>
    <w:rsid w:val="005F4BD2"/>
    <w:rsid w:val="005F53B6"/>
    <w:rsid w:val="005F5620"/>
    <w:rsid w:val="005F5764"/>
    <w:rsid w:val="005F5ABB"/>
    <w:rsid w:val="005F5D37"/>
    <w:rsid w:val="005F6C6F"/>
    <w:rsid w:val="005F6FF9"/>
    <w:rsid w:val="005F7051"/>
    <w:rsid w:val="005F730A"/>
    <w:rsid w:val="005F7A68"/>
    <w:rsid w:val="005F7C53"/>
    <w:rsid w:val="005F7D26"/>
    <w:rsid w:val="005F7E08"/>
    <w:rsid w:val="006001C9"/>
    <w:rsid w:val="006004BB"/>
    <w:rsid w:val="00600860"/>
    <w:rsid w:val="00600B7B"/>
    <w:rsid w:val="006016CA"/>
    <w:rsid w:val="006016EA"/>
    <w:rsid w:val="00601784"/>
    <w:rsid w:val="00601B0B"/>
    <w:rsid w:val="00601D5D"/>
    <w:rsid w:val="00601DE8"/>
    <w:rsid w:val="00601E30"/>
    <w:rsid w:val="00601E57"/>
    <w:rsid w:val="00601E89"/>
    <w:rsid w:val="0060208B"/>
    <w:rsid w:val="006021E1"/>
    <w:rsid w:val="00602222"/>
    <w:rsid w:val="006025CC"/>
    <w:rsid w:val="00602944"/>
    <w:rsid w:val="00602AFE"/>
    <w:rsid w:val="00602CFB"/>
    <w:rsid w:val="00602F7F"/>
    <w:rsid w:val="006031CE"/>
    <w:rsid w:val="006032C1"/>
    <w:rsid w:val="0060339A"/>
    <w:rsid w:val="006033B9"/>
    <w:rsid w:val="00603E75"/>
    <w:rsid w:val="006040CD"/>
    <w:rsid w:val="00604665"/>
    <w:rsid w:val="00604B0C"/>
    <w:rsid w:val="00604DC4"/>
    <w:rsid w:val="00605356"/>
    <w:rsid w:val="0060583F"/>
    <w:rsid w:val="006058D1"/>
    <w:rsid w:val="00605E7F"/>
    <w:rsid w:val="00606366"/>
    <w:rsid w:val="0060637B"/>
    <w:rsid w:val="00606826"/>
    <w:rsid w:val="0060784C"/>
    <w:rsid w:val="00607A70"/>
    <w:rsid w:val="00607AC1"/>
    <w:rsid w:val="00607F5D"/>
    <w:rsid w:val="00610E21"/>
    <w:rsid w:val="00611120"/>
    <w:rsid w:val="00611144"/>
    <w:rsid w:val="00611172"/>
    <w:rsid w:val="0061123B"/>
    <w:rsid w:val="00611369"/>
    <w:rsid w:val="00611DA9"/>
    <w:rsid w:val="006120DF"/>
    <w:rsid w:val="00612799"/>
    <w:rsid w:val="00612D13"/>
    <w:rsid w:val="00612D5E"/>
    <w:rsid w:val="006136BA"/>
    <w:rsid w:val="00613D08"/>
    <w:rsid w:val="00613F7D"/>
    <w:rsid w:val="00614590"/>
    <w:rsid w:val="006147EC"/>
    <w:rsid w:val="0061480B"/>
    <w:rsid w:val="00614948"/>
    <w:rsid w:val="006149A8"/>
    <w:rsid w:val="006149B1"/>
    <w:rsid w:val="00614F56"/>
    <w:rsid w:val="006152E8"/>
    <w:rsid w:val="00615315"/>
    <w:rsid w:val="006153BC"/>
    <w:rsid w:val="0061605F"/>
    <w:rsid w:val="00616073"/>
    <w:rsid w:val="0061619B"/>
    <w:rsid w:val="00616421"/>
    <w:rsid w:val="0061691C"/>
    <w:rsid w:val="00616D33"/>
    <w:rsid w:val="00617206"/>
    <w:rsid w:val="00617409"/>
    <w:rsid w:val="0061759B"/>
    <w:rsid w:val="0061772C"/>
    <w:rsid w:val="00617ABE"/>
    <w:rsid w:val="00617C4E"/>
    <w:rsid w:val="00617E65"/>
    <w:rsid w:val="00620404"/>
    <w:rsid w:val="00620512"/>
    <w:rsid w:val="006205C5"/>
    <w:rsid w:val="0062109B"/>
    <w:rsid w:val="00621420"/>
    <w:rsid w:val="0062162A"/>
    <w:rsid w:val="00621740"/>
    <w:rsid w:val="00621A60"/>
    <w:rsid w:val="006221C6"/>
    <w:rsid w:val="00622242"/>
    <w:rsid w:val="0062231D"/>
    <w:rsid w:val="00622577"/>
    <w:rsid w:val="0062280D"/>
    <w:rsid w:val="006228D2"/>
    <w:rsid w:val="00622D4B"/>
    <w:rsid w:val="00622EDE"/>
    <w:rsid w:val="006230C2"/>
    <w:rsid w:val="00623C39"/>
    <w:rsid w:val="00623D8A"/>
    <w:rsid w:val="00623E00"/>
    <w:rsid w:val="0062423C"/>
    <w:rsid w:val="00624252"/>
    <w:rsid w:val="00624273"/>
    <w:rsid w:val="00624394"/>
    <w:rsid w:val="006249A8"/>
    <w:rsid w:val="00624A14"/>
    <w:rsid w:val="00624E73"/>
    <w:rsid w:val="00625115"/>
    <w:rsid w:val="00625397"/>
    <w:rsid w:val="006255F0"/>
    <w:rsid w:val="00625636"/>
    <w:rsid w:val="00625ACF"/>
    <w:rsid w:val="00625B3C"/>
    <w:rsid w:val="00625CDD"/>
    <w:rsid w:val="0062616E"/>
    <w:rsid w:val="006261BF"/>
    <w:rsid w:val="006262B6"/>
    <w:rsid w:val="00626BED"/>
    <w:rsid w:val="00627010"/>
    <w:rsid w:val="006272BB"/>
    <w:rsid w:val="0062755E"/>
    <w:rsid w:val="00627750"/>
    <w:rsid w:val="00627A2E"/>
    <w:rsid w:val="006301CD"/>
    <w:rsid w:val="006305B9"/>
    <w:rsid w:val="006308C7"/>
    <w:rsid w:val="00630BC8"/>
    <w:rsid w:val="00630DDE"/>
    <w:rsid w:val="00630DED"/>
    <w:rsid w:val="00630EEC"/>
    <w:rsid w:val="00630FE0"/>
    <w:rsid w:val="006311AA"/>
    <w:rsid w:val="00631B6D"/>
    <w:rsid w:val="00631C37"/>
    <w:rsid w:val="00632415"/>
    <w:rsid w:val="006329FB"/>
    <w:rsid w:val="00632A89"/>
    <w:rsid w:val="00632B40"/>
    <w:rsid w:val="00632C69"/>
    <w:rsid w:val="00633083"/>
    <w:rsid w:val="006335B7"/>
    <w:rsid w:val="00633900"/>
    <w:rsid w:val="00633B78"/>
    <w:rsid w:val="006345C0"/>
    <w:rsid w:val="00634667"/>
    <w:rsid w:val="00634B32"/>
    <w:rsid w:val="00634BAC"/>
    <w:rsid w:val="006362B3"/>
    <w:rsid w:val="00636663"/>
    <w:rsid w:val="006367CC"/>
    <w:rsid w:val="00636CFE"/>
    <w:rsid w:val="00636EDB"/>
    <w:rsid w:val="00637AE7"/>
    <w:rsid w:val="00637DAF"/>
    <w:rsid w:val="0064013E"/>
    <w:rsid w:val="00640255"/>
    <w:rsid w:val="006404F3"/>
    <w:rsid w:val="006405E3"/>
    <w:rsid w:val="00640ABD"/>
    <w:rsid w:val="00640BAB"/>
    <w:rsid w:val="00640BC9"/>
    <w:rsid w:val="00641108"/>
    <w:rsid w:val="0064145B"/>
    <w:rsid w:val="00641505"/>
    <w:rsid w:val="006416F7"/>
    <w:rsid w:val="006417F0"/>
    <w:rsid w:val="00641EC3"/>
    <w:rsid w:val="0064238B"/>
    <w:rsid w:val="006425A5"/>
    <w:rsid w:val="0064284F"/>
    <w:rsid w:val="00642B71"/>
    <w:rsid w:val="00642FEC"/>
    <w:rsid w:val="006433AE"/>
    <w:rsid w:val="006437D2"/>
    <w:rsid w:val="006438FA"/>
    <w:rsid w:val="00643BC6"/>
    <w:rsid w:val="00643C15"/>
    <w:rsid w:val="00644637"/>
    <w:rsid w:val="006447C8"/>
    <w:rsid w:val="00644B45"/>
    <w:rsid w:val="00644BB6"/>
    <w:rsid w:val="00644EE2"/>
    <w:rsid w:val="00644F2E"/>
    <w:rsid w:val="00644FAF"/>
    <w:rsid w:val="00645093"/>
    <w:rsid w:val="00645B70"/>
    <w:rsid w:val="00645DD1"/>
    <w:rsid w:val="00645DF0"/>
    <w:rsid w:val="006460BF"/>
    <w:rsid w:val="006462CA"/>
    <w:rsid w:val="006465A3"/>
    <w:rsid w:val="00646C2B"/>
    <w:rsid w:val="00646CB0"/>
    <w:rsid w:val="00647703"/>
    <w:rsid w:val="00647737"/>
    <w:rsid w:val="006477AE"/>
    <w:rsid w:val="00647943"/>
    <w:rsid w:val="00647CD6"/>
    <w:rsid w:val="00647E9D"/>
    <w:rsid w:val="0065017C"/>
    <w:rsid w:val="006501D5"/>
    <w:rsid w:val="006506E5"/>
    <w:rsid w:val="0065088D"/>
    <w:rsid w:val="0065090B"/>
    <w:rsid w:val="00651966"/>
    <w:rsid w:val="00651DF3"/>
    <w:rsid w:val="006525BD"/>
    <w:rsid w:val="00652774"/>
    <w:rsid w:val="00652963"/>
    <w:rsid w:val="00652EB3"/>
    <w:rsid w:val="006538EC"/>
    <w:rsid w:val="00653B2A"/>
    <w:rsid w:val="00653E0C"/>
    <w:rsid w:val="00653F45"/>
    <w:rsid w:val="00654F17"/>
    <w:rsid w:val="00654F26"/>
    <w:rsid w:val="00655601"/>
    <w:rsid w:val="0065593C"/>
    <w:rsid w:val="00656232"/>
    <w:rsid w:val="006562C9"/>
    <w:rsid w:val="0065651C"/>
    <w:rsid w:val="00656648"/>
    <w:rsid w:val="006567C2"/>
    <w:rsid w:val="00656BD4"/>
    <w:rsid w:val="00656F34"/>
    <w:rsid w:val="006573D5"/>
    <w:rsid w:val="00657610"/>
    <w:rsid w:val="006577A3"/>
    <w:rsid w:val="00657B77"/>
    <w:rsid w:val="00657F8E"/>
    <w:rsid w:val="006606D7"/>
    <w:rsid w:val="006606E3"/>
    <w:rsid w:val="006608AC"/>
    <w:rsid w:val="006609BE"/>
    <w:rsid w:val="0066103F"/>
    <w:rsid w:val="006610F9"/>
    <w:rsid w:val="0066143A"/>
    <w:rsid w:val="00661883"/>
    <w:rsid w:val="00661973"/>
    <w:rsid w:val="00661BB8"/>
    <w:rsid w:val="00661FEA"/>
    <w:rsid w:val="006620BD"/>
    <w:rsid w:val="006625A8"/>
    <w:rsid w:val="0066279B"/>
    <w:rsid w:val="006627E6"/>
    <w:rsid w:val="0066295C"/>
    <w:rsid w:val="006629F3"/>
    <w:rsid w:val="00662FD1"/>
    <w:rsid w:val="0066351C"/>
    <w:rsid w:val="00663625"/>
    <w:rsid w:val="0066428F"/>
    <w:rsid w:val="00664FD9"/>
    <w:rsid w:val="00665073"/>
    <w:rsid w:val="0066509D"/>
    <w:rsid w:val="006655B5"/>
    <w:rsid w:val="006655E4"/>
    <w:rsid w:val="00665803"/>
    <w:rsid w:val="00665A19"/>
    <w:rsid w:val="00665E38"/>
    <w:rsid w:val="0066648C"/>
    <w:rsid w:val="006665B1"/>
    <w:rsid w:val="00666B4D"/>
    <w:rsid w:val="00667A80"/>
    <w:rsid w:val="00667AC5"/>
    <w:rsid w:val="006702B3"/>
    <w:rsid w:val="006714BD"/>
    <w:rsid w:val="0067183D"/>
    <w:rsid w:val="00672187"/>
    <w:rsid w:val="006722A8"/>
    <w:rsid w:val="006727F7"/>
    <w:rsid w:val="0067295F"/>
    <w:rsid w:val="00672F47"/>
    <w:rsid w:val="006730FF"/>
    <w:rsid w:val="006733D7"/>
    <w:rsid w:val="00673593"/>
    <w:rsid w:val="0067397D"/>
    <w:rsid w:val="00673E87"/>
    <w:rsid w:val="00674059"/>
    <w:rsid w:val="006743CA"/>
    <w:rsid w:val="00674409"/>
    <w:rsid w:val="0067446A"/>
    <w:rsid w:val="00674573"/>
    <w:rsid w:val="00674644"/>
    <w:rsid w:val="00674810"/>
    <w:rsid w:val="00674B1F"/>
    <w:rsid w:val="00674C9C"/>
    <w:rsid w:val="00675307"/>
    <w:rsid w:val="00675788"/>
    <w:rsid w:val="00675BCB"/>
    <w:rsid w:val="00675D49"/>
    <w:rsid w:val="00676E3D"/>
    <w:rsid w:val="00676F04"/>
    <w:rsid w:val="00677295"/>
    <w:rsid w:val="0067A227"/>
    <w:rsid w:val="0068003F"/>
    <w:rsid w:val="00680093"/>
    <w:rsid w:val="006803FE"/>
    <w:rsid w:val="0068064F"/>
    <w:rsid w:val="00680C4D"/>
    <w:rsid w:val="00680E92"/>
    <w:rsid w:val="006810FA"/>
    <w:rsid w:val="0068157D"/>
    <w:rsid w:val="00681C7A"/>
    <w:rsid w:val="00681C84"/>
    <w:rsid w:val="00681E53"/>
    <w:rsid w:val="0068203B"/>
    <w:rsid w:val="006821B3"/>
    <w:rsid w:val="00682520"/>
    <w:rsid w:val="00682A80"/>
    <w:rsid w:val="00682C0C"/>
    <w:rsid w:val="00683AA9"/>
    <w:rsid w:val="00684079"/>
    <w:rsid w:val="0068426F"/>
    <w:rsid w:val="00685958"/>
    <w:rsid w:val="006863D6"/>
    <w:rsid w:val="006864EF"/>
    <w:rsid w:val="00687124"/>
    <w:rsid w:val="00687B11"/>
    <w:rsid w:val="00687B3B"/>
    <w:rsid w:val="00687B6D"/>
    <w:rsid w:val="00687FF1"/>
    <w:rsid w:val="00690678"/>
    <w:rsid w:val="0069084E"/>
    <w:rsid w:val="0069090A"/>
    <w:rsid w:val="00690A23"/>
    <w:rsid w:val="00690E88"/>
    <w:rsid w:val="006918F7"/>
    <w:rsid w:val="00691EA4"/>
    <w:rsid w:val="00691F41"/>
    <w:rsid w:val="0069232E"/>
    <w:rsid w:val="006923E3"/>
    <w:rsid w:val="00692A95"/>
    <w:rsid w:val="00692C94"/>
    <w:rsid w:val="00692EEC"/>
    <w:rsid w:val="00693172"/>
    <w:rsid w:val="0069366E"/>
    <w:rsid w:val="0069396C"/>
    <w:rsid w:val="00693A56"/>
    <w:rsid w:val="006943A7"/>
    <w:rsid w:val="006944A8"/>
    <w:rsid w:val="00694549"/>
    <w:rsid w:val="00694E5C"/>
    <w:rsid w:val="00695188"/>
    <w:rsid w:val="006952A1"/>
    <w:rsid w:val="00695910"/>
    <w:rsid w:val="00695A99"/>
    <w:rsid w:val="00695B37"/>
    <w:rsid w:val="00695D80"/>
    <w:rsid w:val="00695F52"/>
    <w:rsid w:val="00696048"/>
    <w:rsid w:val="00696338"/>
    <w:rsid w:val="00696A04"/>
    <w:rsid w:val="006976B9"/>
    <w:rsid w:val="0069779B"/>
    <w:rsid w:val="0069B49E"/>
    <w:rsid w:val="006A026C"/>
    <w:rsid w:val="006A07DB"/>
    <w:rsid w:val="006A0A1A"/>
    <w:rsid w:val="006A0A93"/>
    <w:rsid w:val="006A0FCC"/>
    <w:rsid w:val="006A17DD"/>
    <w:rsid w:val="006A192A"/>
    <w:rsid w:val="006A1BA3"/>
    <w:rsid w:val="006A1C95"/>
    <w:rsid w:val="006A1E4B"/>
    <w:rsid w:val="006A2490"/>
    <w:rsid w:val="006A269B"/>
    <w:rsid w:val="006A2738"/>
    <w:rsid w:val="006A289F"/>
    <w:rsid w:val="006A2BA7"/>
    <w:rsid w:val="006A2D1D"/>
    <w:rsid w:val="006A2FDF"/>
    <w:rsid w:val="006A3037"/>
    <w:rsid w:val="006A30BA"/>
    <w:rsid w:val="006A356B"/>
    <w:rsid w:val="006A37C1"/>
    <w:rsid w:val="006A37C2"/>
    <w:rsid w:val="006A3806"/>
    <w:rsid w:val="006A3825"/>
    <w:rsid w:val="006A3880"/>
    <w:rsid w:val="006A396A"/>
    <w:rsid w:val="006A3CDD"/>
    <w:rsid w:val="006A44FD"/>
    <w:rsid w:val="006A499F"/>
    <w:rsid w:val="006A4A34"/>
    <w:rsid w:val="006A4AC1"/>
    <w:rsid w:val="006A4FF5"/>
    <w:rsid w:val="006A56A7"/>
    <w:rsid w:val="006A5F27"/>
    <w:rsid w:val="006A6213"/>
    <w:rsid w:val="006A657A"/>
    <w:rsid w:val="006A657E"/>
    <w:rsid w:val="006A6B02"/>
    <w:rsid w:val="006A6F72"/>
    <w:rsid w:val="006A706D"/>
    <w:rsid w:val="006A7863"/>
    <w:rsid w:val="006A79CC"/>
    <w:rsid w:val="006A7D27"/>
    <w:rsid w:val="006A7DD4"/>
    <w:rsid w:val="006A7F07"/>
    <w:rsid w:val="006A8D6D"/>
    <w:rsid w:val="006B0279"/>
    <w:rsid w:val="006B04F9"/>
    <w:rsid w:val="006B0999"/>
    <w:rsid w:val="006B0C74"/>
    <w:rsid w:val="006B0F4E"/>
    <w:rsid w:val="006B1063"/>
    <w:rsid w:val="006B144D"/>
    <w:rsid w:val="006B1659"/>
    <w:rsid w:val="006B1B31"/>
    <w:rsid w:val="006B213E"/>
    <w:rsid w:val="006B21C8"/>
    <w:rsid w:val="006B2611"/>
    <w:rsid w:val="006B28F7"/>
    <w:rsid w:val="006B2CC0"/>
    <w:rsid w:val="006B3134"/>
    <w:rsid w:val="006B34C7"/>
    <w:rsid w:val="006B3636"/>
    <w:rsid w:val="006B3BA6"/>
    <w:rsid w:val="006B41E6"/>
    <w:rsid w:val="006B43A6"/>
    <w:rsid w:val="006B43C3"/>
    <w:rsid w:val="006B4AB6"/>
    <w:rsid w:val="006B4AB8"/>
    <w:rsid w:val="006B562B"/>
    <w:rsid w:val="006B60C2"/>
    <w:rsid w:val="006B6151"/>
    <w:rsid w:val="006B63E7"/>
    <w:rsid w:val="006B648B"/>
    <w:rsid w:val="006B71F3"/>
    <w:rsid w:val="006B7380"/>
    <w:rsid w:val="006B74CC"/>
    <w:rsid w:val="006B757D"/>
    <w:rsid w:val="006B7A30"/>
    <w:rsid w:val="006B7B46"/>
    <w:rsid w:val="006B7F33"/>
    <w:rsid w:val="006C0465"/>
    <w:rsid w:val="006C0B59"/>
    <w:rsid w:val="006C0F62"/>
    <w:rsid w:val="006C120D"/>
    <w:rsid w:val="006C161D"/>
    <w:rsid w:val="006C177B"/>
    <w:rsid w:val="006C1D17"/>
    <w:rsid w:val="006C2997"/>
    <w:rsid w:val="006C2B7D"/>
    <w:rsid w:val="006C2E72"/>
    <w:rsid w:val="006C2EA4"/>
    <w:rsid w:val="006C2F37"/>
    <w:rsid w:val="006C30B3"/>
    <w:rsid w:val="006C3128"/>
    <w:rsid w:val="006C33D3"/>
    <w:rsid w:val="006C3787"/>
    <w:rsid w:val="006C379A"/>
    <w:rsid w:val="006C3B4F"/>
    <w:rsid w:val="006C3CC1"/>
    <w:rsid w:val="006C3CC8"/>
    <w:rsid w:val="006C3D56"/>
    <w:rsid w:val="006C3F80"/>
    <w:rsid w:val="006C3FB1"/>
    <w:rsid w:val="006C40AF"/>
    <w:rsid w:val="006C40BE"/>
    <w:rsid w:val="006C412B"/>
    <w:rsid w:val="006C47FA"/>
    <w:rsid w:val="006C48B6"/>
    <w:rsid w:val="006C4B3E"/>
    <w:rsid w:val="006C4DC6"/>
    <w:rsid w:val="006C524C"/>
    <w:rsid w:val="006C570A"/>
    <w:rsid w:val="006C5A7C"/>
    <w:rsid w:val="006C5C3C"/>
    <w:rsid w:val="006C5D0C"/>
    <w:rsid w:val="006C600A"/>
    <w:rsid w:val="006C61B1"/>
    <w:rsid w:val="006C6268"/>
    <w:rsid w:val="006C6427"/>
    <w:rsid w:val="006C648B"/>
    <w:rsid w:val="006C6A2A"/>
    <w:rsid w:val="006C6A91"/>
    <w:rsid w:val="006C6F1F"/>
    <w:rsid w:val="006C7032"/>
    <w:rsid w:val="006C7E10"/>
    <w:rsid w:val="006CE2B0"/>
    <w:rsid w:val="006D0529"/>
    <w:rsid w:val="006D09DB"/>
    <w:rsid w:val="006D0E3C"/>
    <w:rsid w:val="006D11B2"/>
    <w:rsid w:val="006D125B"/>
    <w:rsid w:val="006D1330"/>
    <w:rsid w:val="006D1971"/>
    <w:rsid w:val="006D1F0B"/>
    <w:rsid w:val="006D2073"/>
    <w:rsid w:val="006D20D0"/>
    <w:rsid w:val="006D2189"/>
    <w:rsid w:val="006D25F7"/>
    <w:rsid w:val="006D27FB"/>
    <w:rsid w:val="006D2B76"/>
    <w:rsid w:val="006D3490"/>
    <w:rsid w:val="006D388E"/>
    <w:rsid w:val="006D4217"/>
    <w:rsid w:val="006D4318"/>
    <w:rsid w:val="006D4F48"/>
    <w:rsid w:val="006D4F93"/>
    <w:rsid w:val="006D5370"/>
    <w:rsid w:val="006D5640"/>
    <w:rsid w:val="006D5694"/>
    <w:rsid w:val="006D5740"/>
    <w:rsid w:val="006D5752"/>
    <w:rsid w:val="006D57F7"/>
    <w:rsid w:val="006D5B1C"/>
    <w:rsid w:val="006D5B5E"/>
    <w:rsid w:val="006D5CB8"/>
    <w:rsid w:val="006D5CE8"/>
    <w:rsid w:val="006D6014"/>
    <w:rsid w:val="006D7028"/>
    <w:rsid w:val="006D71B3"/>
    <w:rsid w:val="006D750D"/>
    <w:rsid w:val="006D7801"/>
    <w:rsid w:val="006D7868"/>
    <w:rsid w:val="006D7E04"/>
    <w:rsid w:val="006D7F17"/>
    <w:rsid w:val="006E063D"/>
    <w:rsid w:val="006E09CF"/>
    <w:rsid w:val="006E11DB"/>
    <w:rsid w:val="006E1626"/>
    <w:rsid w:val="006E1951"/>
    <w:rsid w:val="006E23C4"/>
    <w:rsid w:val="006E2621"/>
    <w:rsid w:val="006E26A0"/>
    <w:rsid w:val="006E29E4"/>
    <w:rsid w:val="006E31D4"/>
    <w:rsid w:val="006E356D"/>
    <w:rsid w:val="006E37AC"/>
    <w:rsid w:val="006E4674"/>
    <w:rsid w:val="006E4B14"/>
    <w:rsid w:val="006E4C1E"/>
    <w:rsid w:val="006E5022"/>
    <w:rsid w:val="006E5253"/>
    <w:rsid w:val="006E5342"/>
    <w:rsid w:val="006E5501"/>
    <w:rsid w:val="006E59F2"/>
    <w:rsid w:val="006E6427"/>
    <w:rsid w:val="006E6541"/>
    <w:rsid w:val="006E6D71"/>
    <w:rsid w:val="006E747B"/>
    <w:rsid w:val="006E7A07"/>
    <w:rsid w:val="006E7CED"/>
    <w:rsid w:val="006F0426"/>
    <w:rsid w:val="006F0482"/>
    <w:rsid w:val="006F06F1"/>
    <w:rsid w:val="006F08A1"/>
    <w:rsid w:val="006F0CA3"/>
    <w:rsid w:val="006F0D01"/>
    <w:rsid w:val="006F0D0C"/>
    <w:rsid w:val="006F0D68"/>
    <w:rsid w:val="006F109E"/>
    <w:rsid w:val="006F14FF"/>
    <w:rsid w:val="006F1636"/>
    <w:rsid w:val="006F1D60"/>
    <w:rsid w:val="006F1FB9"/>
    <w:rsid w:val="006F2251"/>
    <w:rsid w:val="006F2502"/>
    <w:rsid w:val="006F269F"/>
    <w:rsid w:val="006F27AA"/>
    <w:rsid w:val="006F2AA3"/>
    <w:rsid w:val="006F2E50"/>
    <w:rsid w:val="006F2E64"/>
    <w:rsid w:val="006F3012"/>
    <w:rsid w:val="006F31BB"/>
    <w:rsid w:val="006F399F"/>
    <w:rsid w:val="006F3AF2"/>
    <w:rsid w:val="006F3CED"/>
    <w:rsid w:val="006F3EFA"/>
    <w:rsid w:val="006F44DF"/>
    <w:rsid w:val="006F458B"/>
    <w:rsid w:val="006F45FD"/>
    <w:rsid w:val="006F51A2"/>
    <w:rsid w:val="006F54D2"/>
    <w:rsid w:val="006F56BD"/>
    <w:rsid w:val="006F57A2"/>
    <w:rsid w:val="006F5B01"/>
    <w:rsid w:val="006F6659"/>
    <w:rsid w:val="006F73FB"/>
    <w:rsid w:val="006F74E9"/>
    <w:rsid w:val="006F7642"/>
    <w:rsid w:val="006F7AF2"/>
    <w:rsid w:val="006F7C08"/>
    <w:rsid w:val="006F7EAD"/>
    <w:rsid w:val="0070081A"/>
    <w:rsid w:val="007009A5"/>
    <w:rsid w:val="00700ABC"/>
    <w:rsid w:val="00700ECB"/>
    <w:rsid w:val="007010B0"/>
    <w:rsid w:val="00701537"/>
    <w:rsid w:val="007018C5"/>
    <w:rsid w:val="007019E2"/>
    <w:rsid w:val="00701E13"/>
    <w:rsid w:val="00701EE8"/>
    <w:rsid w:val="007024D0"/>
    <w:rsid w:val="0070298A"/>
    <w:rsid w:val="007029DD"/>
    <w:rsid w:val="007032B8"/>
    <w:rsid w:val="00703634"/>
    <w:rsid w:val="00703F37"/>
    <w:rsid w:val="007042A6"/>
    <w:rsid w:val="007043A9"/>
    <w:rsid w:val="007043EF"/>
    <w:rsid w:val="007044EB"/>
    <w:rsid w:val="00704786"/>
    <w:rsid w:val="00704812"/>
    <w:rsid w:val="00704997"/>
    <w:rsid w:val="007051AB"/>
    <w:rsid w:val="00705271"/>
    <w:rsid w:val="0070547C"/>
    <w:rsid w:val="007055E5"/>
    <w:rsid w:val="00705870"/>
    <w:rsid w:val="00705AE9"/>
    <w:rsid w:val="007061D0"/>
    <w:rsid w:val="007067A9"/>
    <w:rsid w:val="007069A0"/>
    <w:rsid w:val="007069E8"/>
    <w:rsid w:val="00706A7E"/>
    <w:rsid w:val="007072FA"/>
    <w:rsid w:val="007074B9"/>
    <w:rsid w:val="00707532"/>
    <w:rsid w:val="007076D1"/>
    <w:rsid w:val="007101B1"/>
    <w:rsid w:val="007105C8"/>
    <w:rsid w:val="00710781"/>
    <w:rsid w:val="00710860"/>
    <w:rsid w:val="00710BAE"/>
    <w:rsid w:val="00710BDA"/>
    <w:rsid w:val="00711206"/>
    <w:rsid w:val="007118F1"/>
    <w:rsid w:val="0071197A"/>
    <w:rsid w:val="00711A94"/>
    <w:rsid w:val="00712133"/>
    <w:rsid w:val="00712595"/>
    <w:rsid w:val="00712CFE"/>
    <w:rsid w:val="00713545"/>
    <w:rsid w:val="00713AE2"/>
    <w:rsid w:val="00713CCE"/>
    <w:rsid w:val="00713FA9"/>
    <w:rsid w:val="0071423C"/>
    <w:rsid w:val="00714E9A"/>
    <w:rsid w:val="007153EB"/>
    <w:rsid w:val="00715453"/>
    <w:rsid w:val="0071554E"/>
    <w:rsid w:val="007155C4"/>
    <w:rsid w:val="007159D2"/>
    <w:rsid w:val="00715AB2"/>
    <w:rsid w:val="00716781"/>
    <w:rsid w:val="00716816"/>
    <w:rsid w:val="00716E38"/>
    <w:rsid w:val="00716EB8"/>
    <w:rsid w:val="00717180"/>
    <w:rsid w:val="0071719E"/>
    <w:rsid w:val="00717E7E"/>
    <w:rsid w:val="00717FF7"/>
    <w:rsid w:val="007201C5"/>
    <w:rsid w:val="0072022A"/>
    <w:rsid w:val="00720E16"/>
    <w:rsid w:val="00720EF3"/>
    <w:rsid w:val="007216B6"/>
    <w:rsid w:val="00721808"/>
    <w:rsid w:val="0072191D"/>
    <w:rsid w:val="00721F86"/>
    <w:rsid w:val="007223AE"/>
    <w:rsid w:val="0072240E"/>
    <w:rsid w:val="00722540"/>
    <w:rsid w:val="00722734"/>
    <w:rsid w:val="0072324A"/>
    <w:rsid w:val="007238E0"/>
    <w:rsid w:val="00724801"/>
    <w:rsid w:val="0072506D"/>
    <w:rsid w:val="00725110"/>
    <w:rsid w:val="00725505"/>
    <w:rsid w:val="00725515"/>
    <w:rsid w:val="00725B38"/>
    <w:rsid w:val="00725D86"/>
    <w:rsid w:val="00725DEF"/>
    <w:rsid w:val="00725F42"/>
    <w:rsid w:val="007260F4"/>
    <w:rsid w:val="007261FF"/>
    <w:rsid w:val="00726317"/>
    <w:rsid w:val="00726541"/>
    <w:rsid w:val="00726AD2"/>
    <w:rsid w:val="00726E1F"/>
    <w:rsid w:val="00726EF4"/>
    <w:rsid w:val="00727094"/>
    <w:rsid w:val="00727426"/>
    <w:rsid w:val="007277C6"/>
    <w:rsid w:val="00730687"/>
    <w:rsid w:val="00730945"/>
    <w:rsid w:val="00730956"/>
    <w:rsid w:val="007316B3"/>
    <w:rsid w:val="00731F0E"/>
    <w:rsid w:val="00732D97"/>
    <w:rsid w:val="00732E33"/>
    <w:rsid w:val="00732F88"/>
    <w:rsid w:val="0073325F"/>
    <w:rsid w:val="00733D6E"/>
    <w:rsid w:val="00733D78"/>
    <w:rsid w:val="007342C1"/>
    <w:rsid w:val="00734541"/>
    <w:rsid w:val="00734998"/>
    <w:rsid w:val="00734DFC"/>
    <w:rsid w:val="0073540D"/>
    <w:rsid w:val="00735561"/>
    <w:rsid w:val="00735734"/>
    <w:rsid w:val="00735AD1"/>
    <w:rsid w:val="00735CCD"/>
    <w:rsid w:val="00736627"/>
    <w:rsid w:val="00736B71"/>
    <w:rsid w:val="00736EF7"/>
    <w:rsid w:val="00736F1A"/>
    <w:rsid w:val="00737A94"/>
    <w:rsid w:val="00737B9D"/>
    <w:rsid w:val="00737EA3"/>
    <w:rsid w:val="007408A3"/>
    <w:rsid w:val="00740BBB"/>
    <w:rsid w:val="00740C66"/>
    <w:rsid w:val="00741338"/>
    <w:rsid w:val="0074189B"/>
    <w:rsid w:val="00741F3D"/>
    <w:rsid w:val="0074217C"/>
    <w:rsid w:val="00742DD5"/>
    <w:rsid w:val="0074335B"/>
    <w:rsid w:val="00743761"/>
    <w:rsid w:val="00743B09"/>
    <w:rsid w:val="00743E9C"/>
    <w:rsid w:val="0074410A"/>
    <w:rsid w:val="00744653"/>
    <w:rsid w:val="00744833"/>
    <w:rsid w:val="0074488C"/>
    <w:rsid w:val="00744BF4"/>
    <w:rsid w:val="00745097"/>
    <w:rsid w:val="0074517D"/>
    <w:rsid w:val="00745856"/>
    <w:rsid w:val="00745B57"/>
    <w:rsid w:val="00745C07"/>
    <w:rsid w:val="0074627B"/>
    <w:rsid w:val="007470B1"/>
    <w:rsid w:val="00747AB7"/>
    <w:rsid w:val="00750109"/>
    <w:rsid w:val="007501A0"/>
    <w:rsid w:val="0075067B"/>
    <w:rsid w:val="00750832"/>
    <w:rsid w:val="00750D20"/>
    <w:rsid w:val="007514A6"/>
    <w:rsid w:val="00751926"/>
    <w:rsid w:val="00752209"/>
    <w:rsid w:val="007522A7"/>
    <w:rsid w:val="00752521"/>
    <w:rsid w:val="00752F2E"/>
    <w:rsid w:val="00752FE4"/>
    <w:rsid w:val="007531A4"/>
    <w:rsid w:val="00753654"/>
    <w:rsid w:val="007539AC"/>
    <w:rsid w:val="00753B0C"/>
    <w:rsid w:val="00753DDD"/>
    <w:rsid w:val="00753F7D"/>
    <w:rsid w:val="00754206"/>
    <w:rsid w:val="0075452A"/>
    <w:rsid w:val="00754777"/>
    <w:rsid w:val="007548EF"/>
    <w:rsid w:val="00754C74"/>
    <w:rsid w:val="007550B7"/>
    <w:rsid w:val="00755A8C"/>
    <w:rsid w:val="00755B3A"/>
    <w:rsid w:val="00755E35"/>
    <w:rsid w:val="00756471"/>
    <w:rsid w:val="0075768F"/>
    <w:rsid w:val="00757F3C"/>
    <w:rsid w:val="0076068D"/>
    <w:rsid w:val="007606CD"/>
    <w:rsid w:val="00760DEE"/>
    <w:rsid w:val="00761D60"/>
    <w:rsid w:val="00761E01"/>
    <w:rsid w:val="007621B9"/>
    <w:rsid w:val="007623BA"/>
    <w:rsid w:val="00762507"/>
    <w:rsid w:val="00762954"/>
    <w:rsid w:val="00763566"/>
    <w:rsid w:val="007639B2"/>
    <w:rsid w:val="00763F45"/>
    <w:rsid w:val="0076451E"/>
    <w:rsid w:val="00764DF3"/>
    <w:rsid w:val="0076537C"/>
    <w:rsid w:val="0076593C"/>
    <w:rsid w:val="00765C3D"/>
    <w:rsid w:val="00765FF0"/>
    <w:rsid w:val="00766168"/>
    <w:rsid w:val="00766B8F"/>
    <w:rsid w:val="007679A1"/>
    <w:rsid w:val="00767F25"/>
    <w:rsid w:val="007700C4"/>
    <w:rsid w:val="00770591"/>
    <w:rsid w:val="007707BE"/>
    <w:rsid w:val="00770F7D"/>
    <w:rsid w:val="00770FF1"/>
    <w:rsid w:val="00771502"/>
    <w:rsid w:val="00771746"/>
    <w:rsid w:val="00771888"/>
    <w:rsid w:val="007723EB"/>
    <w:rsid w:val="0077254A"/>
    <w:rsid w:val="007725ED"/>
    <w:rsid w:val="007726CF"/>
    <w:rsid w:val="00773248"/>
    <w:rsid w:val="0077374E"/>
    <w:rsid w:val="0077399F"/>
    <w:rsid w:val="00773B7E"/>
    <w:rsid w:val="00773FD8"/>
    <w:rsid w:val="00774437"/>
    <w:rsid w:val="00774445"/>
    <w:rsid w:val="00774726"/>
    <w:rsid w:val="007750A9"/>
    <w:rsid w:val="007751A3"/>
    <w:rsid w:val="00775821"/>
    <w:rsid w:val="00775A7D"/>
    <w:rsid w:val="00775CDF"/>
    <w:rsid w:val="0077608B"/>
    <w:rsid w:val="00776380"/>
    <w:rsid w:val="00776958"/>
    <w:rsid w:val="00776BEE"/>
    <w:rsid w:val="00777707"/>
    <w:rsid w:val="007777C6"/>
    <w:rsid w:val="00780A0A"/>
    <w:rsid w:val="00780BC6"/>
    <w:rsid w:val="00780EB9"/>
    <w:rsid w:val="007810DD"/>
    <w:rsid w:val="00781719"/>
    <w:rsid w:val="00781DBB"/>
    <w:rsid w:val="00781DEA"/>
    <w:rsid w:val="00782DDA"/>
    <w:rsid w:val="00782F0F"/>
    <w:rsid w:val="007831E7"/>
    <w:rsid w:val="0078398A"/>
    <w:rsid w:val="00784DD1"/>
    <w:rsid w:val="00785212"/>
    <w:rsid w:val="007853AF"/>
    <w:rsid w:val="0078553B"/>
    <w:rsid w:val="00785C4D"/>
    <w:rsid w:val="00785E8D"/>
    <w:rsid w:val="00785F05"/>
    <w:rsid w:val="007864EC"/>
    <w:rsid w:val="00790112"/>
    <w:rsid w:val="00790388"/>
    <w:rsid w:val="00790457"/>
    <w:rsid w:val="0079050A"/>
    <w:rsid w:val="00790EFB"/>
    <w:rsid w:val="007918E6"/>
    <w:rsid w:val="00791CCD"/>
    <w:rsid w:val="00791DDE"/>
    <w:rsid w:val="00792002"/>
    <w:rsid w:val="00792495"/>
    <w:rsid w:val="00792D43"/>
    <w:rsid w:val="00792D91"/>
    <w:rsid w:val="00793132"/>
    <w:rsid w:val="00793173"/>
    <w:rsid w:val="00793512"/>
    <w:rsid w:val="0079357D"/>
    <w:rsid w:val="00793796"/>
    <w:rsid w:val="007937D3"/>
    <w:rsid w:val="00793AE6"/>
    <w:rsid w:val="00794268"/>
    <w:rsid w:val="007942C7"/>
    <w:rsid w:val="0079476D"/>
    <w:rsid w:val="007948CD"/>
    <w:rsid w:val="00794C90"/>
    <w:rsid w:val="00794F5D"/>
    <w:rsid w:val="0079541B"/>
    <w:rsid w:val="00795766"/>
    <w:rsid w:val="00795D66"/>
    <w:rsid w:val="00796261"/>
    <w:rsid w:val="007963B3"/>
    <w:rsid w:val="00796AB1"/>
    <w:rsid w:val="00796E2C"/>
    <w:rsid w:val="00797E08"/>
    <w:rsid w:val="007A018F"/>
    <w:rsid w:val="007A037C"/>
    <w:rsid w:val="007A04B3"/>
    <w:rsid w:val="007A04EE"/>
    <w:rsid w:val="007A0B40"/>
    <w:rsid w:val="007A0E3F"/>
    <w:rsid w:val="007A0E7C"/>
    <w:rsid w:val="007A114B"/>
    <w:rsid w:val="007A1741"/>
    <w:rsid w:val="007A205B"/>
    <w:rsid w:val="007A2F42"/>
    <w:rsid w:val="007A3398"/>
    <w:rsid w:val="007A33CA"/>
    <w:rsid w:val="007A37C8"/>
    <w:rsid w:val="007A3884"/>
    <w:rsid w:val="007A3911"/>
    <w:rsid w:val="007A3B5E"/>
    <w:rsid w:val="007A3C1A"/>
    <w:rsid w:val="007A3D6F"/>
    <w:rsid w:val="007A3E66"/>
    <w:rsid w:val="007A42AC"/>
    <w:rsid w:val="007A4750"/>
    <w:rsid w:val="007A4758"/>
    <w:rsid w:val="007A4777"/>
    <w:rsid w:val="007A4945"/>
    <w:rsid w:val="007A4A12"/>
    <w:rsid w:val="007A4AD6"/>
    <w:rsid w:val="007A4DA8"/>
    <w:rsid w:val="007A502F"/>
    <w:rsid w:val="007A512F"/>
    <w:rsid w:val="007A53C7"/>
    <w:rsid w:val="007A5819"/>
    <w:rsid w:val="007A5881"/>
    <w:rsid w:val="007A58CC"/>
    <w:rsid w:val="007A5ADA"/>
    <w:rsid w:val="007A5FB0"/>
    <w:rsid w:val="007A61E3"/>
    <w:rsid w:val="007A64E0"/>
    <w:rsid w:val="007A6540"/>
    <w:rsid w:val="007A65A3"/>
    <w:rsid w:val="007A69EE"/>
    <w:rsid w:val="007A759B"/>
    <w:rsid w:val="007A77EC"/>
    <w:rsid w:val="007A79B6"/>
    <w:rsid w:val="007A7D93"/>
    <w:rsid w:val="007A7F36"/>
    <w:rsid w:val="007B006D"/>
    <w:rsid w:val="007B0190"/>
    <w:rsid w:val="007B02B6"/>
    <w:rsid w:val="007B0350"/>
    <w:rsid w:val="007B0366"/>
    <w:rsid w:val="007B08D3"/>
    <w:rsid w:val="007B0A1D"/>
    <w:rsid w:val="007B0F6F"/>
    <w:rsid w:val="007B17C5"/>
    <w:rsid w:val="007B19B9"/>
    <w:rsid w:val="007B19C5"/>
    <w:rsid w:val="007B1A31"/>
    <w:rsid w:val="007B1BF5"/>
    <w:rsid w:val="007B1D89"/>
    <w:rsid w:val="007B1E4E"/>
    <w:rsid w:val="007B2873"/>
    <w:rsid w:val="007B28B5"/>
    <w:rsid w:val="007B2DB9"/>
    <w:rsid w:val="007B2DF0"/>
    <w:rsid w:val="007B2FB3"/>
    <w:rsid w:val="007B36B2"/>
    <w:rsid w:val="007B382F"/>
    <w:rsid w:val="007B3E7F"/>
    <w:rsid w:val="007B440B"/>
    <w:rsid w:val="007B4638"/>
    <w:rsid w:val="007B4F1E"/>
    <w:rsid w:val="007B5F1D"/>
    <w:rsid w:val="007B605A"/>
    <w:rsid w:val="007B60F1"/>
    <w:rsid w:val="007B637C"/>
    <w:rsid w:val="007B637D"/>
    <w:rsid w:val="007B641C"/>
    <w:rsid w:val="007B677D"/>
    <w:rsid w:val="007B6B04"/>
    <w:rsid w:val="007B6BB1"/>
    <w:rsid w:val="007B6E50"/>
    <w:rsid w:val="007B6FAB"/>
    <w:rsid w:val="007B6FBA"/>
    <w:rsid w:val="007B75DD"/>
    <w:rsid w:val="007B7685"/>
    <w:rsid w:val="007B76FF"/>
    <w:rsid w:val="007B772C"/>
    <w:rsid w:val="007B795D"/>
    <w:rsid w:val="007C0255"/>
    <w:rsid w:val="007C07B0"/>
    <w:rsid w:val="007C0833"/>
    <w:rsid w:val="007C0AFD"/>
    <w:rsid w:val="007C0CF0"/>
    <w:rsid w:val="007C0E8F"/>
    <w:rsid w:val="007C0FF5"/>
    <w:rsid w:val="007C15ED"/>
    <w:rsid w:val="007C1AFA"/>
    <w:rsid w:val="007C1D13"/>
    <w:rsid w:val="007C21A6"/>
    <w:rsid w:val="007C24D3"/>
    <w:rsid w:val="007C28EE"/>
    <w:rsid w:val="007C2CEC"/>
    <w:rsid w:val="007C2E1E"/>
    <w:rsid w:val="007C346D"/>
    <w:rsid w:val="007C3618"/>
    <w:rsid w:val="007C3DE1"/>
    <w:rsid w:val="007C442E"/>
    <w:rsid w:val="007C4436"/>
    <w:rsid w:val="007C4BD6"/>
    <w:rsid w:val="007C4C12"/>
    <w:rsid w:val="007C4E21"/>
    <w:rsid w:val="007C50A7"/>
    <w:rsid w:val="007C5666"/>
    <w:rsid w:val="007C59B5"/>
    <w:rsid w:val="007C59E9"/>
    <w:rsid w:val="007C5A0D"/>
    <w:rsid w:val="007C658F"/>
    <w:rsid w:val="007C6A13"/>
    <w:rsid w:val="007C6F40"/>
    <w:rsid w:val="007C73D5"/>
    <w:rsid w:val="007C7B93"/>
    <w:rsid w:val="007C7E3A"/>
    <w:rsid w:val="007D01C6"/>
    <w:rsid w:val="007D0757"/>
    <w:rsid w:val="007D0939"/>
    <w:rsid w:val="007D0A29"/>
    <w:rsid w:val="007D0AB8"/>
    <w:rsid w:val="007D1744"/>
    <w:rsid w:val="007D213E"/>
    <w:rsid w:val="007D217B"/>
    <w:rsid w:val="007D2360"/>
    <w:rsid w:val="007D23B9"/>
    <w:rsid w:val="007D245E"/>
    <w:rsid w:val="007D2678"/>
    <w:rsid w:val="007D284F"/>
    <w:rsid w:val="007D2B37"/>
    <w:rsid w:val="007D2CB5"/>
    <w:rsid w:val="007D2CB6"/>
    <w:rsid w:val="007D31A3"/>
    <w:rsid w:val="007D35E9"/>
    <w:rsid w:val="007D3B72"/>
    <w:rsid w:val="007D3BEE"/>
    <w:rsid w:val="007D41DF"/>
    <w:rsid w:val="007D43E7"/>
    <w:rsid w:val="007D51B0"/>
    <w:rsid w:val="007D51F3"/>
    <w:rsid w:val="007D5240"/>
    <w:rsid w:val="007D55B6"/>
    <w:rsid w:val="007D5A78"/>
    <w:rsid w:val="007D5BAB"/>
    <w:rsid w:val="007D6057"/>
    <w:rsid w:val="007D6364"/>
    <w:rsid w:val="007D64C2"/>
    <w:rsid w:val="007D6D7F"/>
    <w:rsid w:val="007D7021"/>
    <w:rsid w:val="007D7307"/>
    <w:rsid w:val="007D7AE2"/>
    <w:rsid w:val="007D7F21"/>
    <w:rsid w:val="007E0074"/>
    <w:rsid w:val="007E019C"/>
    <w:rsid w:val="007E0B71"/>
    <w:rsid w:val="007E0C70"/>
    <w:rsid w:val="007E0FD3"/>
    <w:rsid w:val="007E17E2"/>
    <w:rsid w:val="007E1947"/>
    <w:rsid w:val="007E1982"/>
    <w:rsid w:val="007E1F31"/>
    <w:rsid w:val="007E280A"/>
    <w:rsid w:val="007E2A29"/>
    <w:rsid w:val="007E2F4A"/>
    <w:rsid w:val="007E2FD2"/>
    <w:rsid w:val="007E31FA"/>
    <w:rsid w:val="007E3A73"/>
    <w:rsid w:val="007E3B09"/>
    <w:rsid w:val="007E3C37"/>
    <w:rsid w:val="007E40F3"/>
    <w:rsid w:val="007E437C"/>
    <w:rsid w:val="007E441A"/>
    <w:rsid w:val="007E50E5"/>
    <w:rsid w:val="007E563D"/>
    <w:rsid w:val="007E56BC"/>
    <w:rsid w:val="007E5A1D"/>
    <w:rsid w:val="007E5BF8"/>
    <w:rsid w:val="007E5DCF"/>
    <w:rsid w:val="007E61EF"/>
    <w:rsid w:val="007E6274"/>
    <w:rsid w:val="007E627A"/>
    <w:rsid w:val="007E62BA"/>
    <w:rsid w:val="007E6862"/>
    <w:rsid w:val="007E6EF5"/>
    <w:rsid w:val="007E6F12"/>
    <w:rsid w:val="007E7287"/>
    <w:rsid w:val="007E7468"/>
    <w:rsid w:val="007E7A1E"/>
    <w:rsid w:val="007E7A21"/>
    <w:rsid w:val="007E7F95"/>
    <w:rsid w:val="007F023C"/>
    <w:rsid w:val="007F03AC"/>
    <w:rsid w:val="007F061D"/>
    <w:rsid w:val="007F0635"/>
    <w:rsid w:val="007F1953"/>
    <w:rsid w:val="007F1A42"/>
    <w:rsid w:val="007F1B28"/>
    <w:rsid w:val="007F1B8C"/>
    <w:rsid w:val="007F2679"/>
    <w:rsid w:val="007F26AB"/>
    <w:rsid w:val="007F2C5C"/>
    <w:rsid w:val="007F2ED8"/>
    <w:rsid w:val="007F2F9A"/>
    <w:rsid w:val="007F3478"/>
    <w:rsid w:val="007F3AA8"/>
    <w:rsid w:val="007F3ABA"/>
    <w:rsid w:val="007F3C15"/>
    <w:rsid w:val="007F4832"/>
    <w:rsid w:val="007F4C99"/>
    <w:rsid w:val="007F55AD"/>
    <w:rsid w:val="007F5701"/>
    <w:rsid w:val="007F580C"/>
    <w:rsid w:val="007F586D"/>
    <w:rsid w:val="007F5CAA"/>
    <w:rsid w:val="007F5EF0"/>
    <w:rsid w:val="007F64F0"/>
    <w:rsid w:val="007F6991"/>
    <w:rsid w:val="007F6BAC"/>
    <w:rsid w:val="007F6D4B"/>
    <w:rsid w:val="007F709C"/>
    <w:rsid w:val="007F70B2"/>
    <w:rsid w:val="007F751E"/>
    <w:rsid w:val="007F7EE0"/>
    <w:rsid w:val="007F7F77"/>
    <w:rsid w:val="008001F7"/>
    <w:rsid w:val="008002D3"/>
    <w:rsid w:val="008005E5"/>
    <w:rsid w:val="00800923"/>
    <w:rsid w:val="00800B04"/>
    <w:rsid w:val="00801191"/>
    <w:rsid w:val="00801615"/>
    <w:rsid w:val="00801ABE"/>
    <w:rsid w:val="00802167"/>
    <w:rsid w:val="008022CD"/>
    <w:rsid w:val="008026AF"/>
    <w:rsid w:val="0080273A"/>
    <w:rsid w:val="00802B5C"/>
    <w:rsid w:val="00802CBF"/>
    <w:rsid w:val="00803512"/>
    <w:rsid w:val="008035E9"/>
    <w:rsid w:val="008037A7"/>
    <w:rsid w:val="00803BD9"/>
    <w:rsid w:val="00803F03"/>
    <w:rsid w:val="0080431E"/>
    <w:rsid w:val="00804A7D"/>
    <w:rsid w:val="00804D01"/>
    <w:rsid w:val="00804EF6"/>
    <w:rsid w:val="00804FC0"/>
    <w:rsid w:val="008052EC"/>
    <w:rsid w:val="0080533D"/>
    <w:rsid w:val="008055BD"/>
    <w:rsid w:val="008055DC"/>
    <w:rsid w:val="0080570F"/>
    <w:rsid w:val="00805A91"/>
    <w:rsid w:val="00805EC5"/>
    <w:rsid w:val="00806226"/>
    <w:rsid w:val="008068DD"/>
    <w:rsid w:val="00806B3F"/>
    <w:rsid w:val="00806B45"/>
    <w:rsid w:val="00806B62"/>
    <w:rsid w:val="00806E91"/>
    <w:rsid w:val="00807C0A"/>
    <w:rsid w:val="00807CD6"/>
    <w:rsid w:val="00807EB5"/>
    <w:rsid w:val="00807F87"/>
    <w:rsid w:val="0080DA26"/>
    <w:rsid w:val="0081011A"/>
    <w:rsid w:val="008104B0"/>
    <w:rsid w:val="00810A50"/>
    <w:rsid w:val="00811565"/>
    <w:rsid w:val="00811D15"/>
    <w:rsid w:val="00812536"/>
    <w:rsid w:val="00812731"/>
    <w:rsid w:val="0081285C"/>
    <w:rsid w:val="008128F4"/>
    <w:rsid w:val="00812DCB"/>
    <w:rsid w:val="00812FE6"/>
    <w:rsid w:val="00813196"/>
    <w:rsid w:val="00813404"/>
    <w:rsid w:val="008137D4"/>
    <w:rsid w:val="0081399D"/>
    <w:rsid w:val="0081427C"/>
    <w:rsid w:val="00814317"/>
    <w:rsid w:val="00814673"/>
    <w:rsid w:val="008146F8"/>
    <w:rsid w:val="00814C2B"/>
    <w:rsid w:val="00814D26"/>
    <w:rsid w:val="00814FE4"/>
    <w:rsid w:val="00815295"/>
    <w:rsid w:val="008156E1"/>
    <w:rsid w:val="008158CD"/>
    <w:rsid w:val="00815F10"/>
    <w:rsid w:val="00816193"/>
    <w:rsid w:val="008167DC"/>
    <w:rsid w:val="00816DA1"/>
    <w:rsid w:val="0081702C"/>
    <w:rsid w:val="008170E5"/>
    <w:rsid w:val="0081734C"/>
    <w:rsid w:val="00817351"/>
    <w:rsid w:val="00817AAF"/>
    <w:rsid w:val="00817B0E"/>
    <w:rsid w:val="00817BFB"/>
    <w:rsid w:val="00817C5F"/>
    <w:rsid w:val="008208F6"/>
    <w:rsid w:val="00821046"/>
    <w:rsid w:val="00821050"/>
    <w:rsid w:val="0082135C"/>
    <w:rsid w:val="00821639"/>
    <w:rsid w:val="00821B38"/>
    <w:rsid w:val="00821DE7"/>
    <w:rsid w:val="00822100"/>
    <w:rsid w:val="00822238"/>
    <w:rsid w:val="0082248F"/>
    <w:rsid w:val="00822DC4"/>
    <w:rsid w:val="00823113"/>
    <w:rsid w:val="00823152"/>
    <w:rsid w:val="008231BD"/>
    <w:rsid w:val="0082320B"/>
    <w:rsid w:val="0082335B"/>
    <w:rsid w:val="008234D2"/>
    <w:rsid w:val="00823632"/>
    <w:rsid w:val="00823E02"/>
    <w:rsid w:val="0082445C"/>
    <w:rsid w:val="0082465C"/>
    <w:rsid w:val="00824B67"/>
    <w:rsid w:val="00825A7E"/>
    <w:rsid w:val="00825C80"/>
    <w:rsid w:val="00825D57"/>
    <w:rsid w:val="008262A1"/>
    <w:rsid w:val="0082644D"/>
    <w:rsid w:val="0082663C"/>
    <w:rsid w:val="0082679C"/>
    <w:rsid w:val="00826B91"/>
    <w:rsid w:val="00827326"/>
    <w:rsid w:val="0082749F"/>
    <w:rsid w:val="00827846"/>
    <w:rsid w:val="00830134"/>
    <w:rsid w:val="00830A8A"/>
    <w:rsid w:val="00830B0A"/>
    <w:rsid w:val="00830D12"/>
    <w:rsid w:val="00830DA3"/>
    <w:rsid w:val="008311B2"/>
    <w:rsid w:val="00831210"/>
    <w:rsid w:val="008313BB"/>
    <w:rsid w:val="00831467"/>
    <w:rsid w:val="00832057"/>
    <w:rsid w:val="00832076"/>
    <w:rsid w:val="00832630"/>
    <w:rsid w:val="00832AEE"/>
    <w:rsid w:val="00832B4A"/>
    <w:rsid w:val="00833276"/>
    <w:rsid w:val="00833823"/>
    <w:rsid w:val="00833976"/>
    <w:rsid w:val="00833B86"/>
    <w:rsid w:val="00833C0D"/>
    <w:rsid w:val="00833F94"/>
    <w:rsid w:val="008341BE"/>
    <w:rsid w:val="00834725"/>
    <w:rsid w:val="00834849"/>
    <w:rsid w:val="00834D33"/>
    <w:rsid w:val="008352F0"/>
    <w:rsid w:val="00835D87"/>
    <w:rsid w:val="00836BFF"/>
    <w:rsid w:val="00836FD0"/>
    <w:rsid w:val="0083727C"/>
    <w:rsid w:val="008375FE"/>
    <w:rsid w:val="0083765E"/>
    <w:rsid w:val="0083766F"/>
    <w:rsid w:val="00837670"/>
    <w:rsid w:val="00837780"/>
    <w:rsid w:val="00837D48"/>
    <w:rsid w:val="00840095"/>
    <w:rsid w:val="0084039D"/>
    <w:rsid w:val="00840514"/>
    <w:rsid w:val="00840732"/>
    <w:rsid w:val="00840CA8"/>
    <w:rsid w:val="00840F11"/>
    <w:rsid w:val="008413BC"/>
    <w:rsid w:val="008417D3"/>
    <w:rsid w:val="00841A17"/>
    <w:rsid w:val="00841C78"/>
    <w:rsid w:val="008420B5"/>
    <w:rsid w:val="00842384"/>
    <w:rsid w:val="00842512"/>
    <w:rsid w:val="00842841"/>
    <w:rsid w:val="008429EE"/>
    <w:rsid w:val="00843534"/>
    <w:rsid w:val="00843C26"/>
    <w:rsid w:val="0084408D"/>
    <w:rsid w:val="008444A6"/>
    <w:rsid w:val="0084454B"/>
    <w:rsid w:val="00844A5E"/>
    <w:rsid w:val="00844AE1"/>
    <w:rsid w:val="00844B65"/>
    <w:rsid w:val="00844DBB"/>
    <w:rsid w:val="008450BC"/>
    <w:rsid w:val="0084545F"/>
    <w:rsid w:val="00845951"/>
    <w:rsid w:val="00845AB3"/>
    <w:rsid w:val="00845D4E"/>
    <w:rsid w:val="0084612A"/>
    <w:rsid w:val="0084651C"/>
    <w:rsid w:val="00846981"/>
    <w:rsid w:val="008471DA"/>
    <w:rsid w:val="00847B67"/>
    <w:rsid w:val="00847D26"/>
    <w:rsid w:val="00847EE5"/>
    <w:rsid w:val="00847F5F"/>
    <w:rsid w:val="00850542"/>
    <w:rsid w:val="00850844"/>
    <w:rsid w:val="00850B0C"/>
    <w:rsid w:val="00850BA6"/>
    <w:rsid w:val="00850E52"/>
    <w:rsid w:val="008512A5"/>
    <w:rsid w:val="00851458"/>
    <w:rsid w:val="00851D23"/>
    <w:rsid w:val="00852996"/>
    <w:rsid w:val="00852AD9"/>
    <w:rsid w:val="00852FA6"/>
    <w:rsid w:val="0085364D"/>
    <w:rsid w:val="008538D2"/>
    <w:rsid w:val="00853965"/>
    <w:rsid w:val="00853A94"/>
    <w:rsid w:val="00853C71"/>
    <w:rsid w:val="00853CC0"/>
    <w:rsid w:val="00853DD3"/>
    <w:rsid w:val="00853ED8"/>
    <w:rsid w:val="00853F1A"/>
    <w:rsid w:val="008541A8"/>
    <w:rsid w:val="00854398"/>
    <w:rsid w:val="00854A74"/>
    <w:rsid w:val="00854E18"/>
    <w:rsid w:val="00855073"/>
    <w:rsid w:val="0085569B"/>
    <w:rsid w:val="00855E98"/>
    <w:rsid w:val="008563DA"/>
    <w:rsid w:val="00856FE2"/>
    <w:rsid w:val="008570C6"/>
    <w:rsid w:val="0085723A"/>
    <w:rsid w:val="00857566"/>
    <w:rsid w:val="0085790D"/>
    <w:rsid w:val="00857B1B"/>
    <w:rsid w:val="00857E47"/>
    <w:rsid w:val="0085E420"/>
    <w:rsid w:val="00860D1D"/>
    <w:rsid w:val="00860D73"/>
    <w:rsid w:val="0086139B"/>
    <w:rsid w:val="00861639"/>
    <w:rsid w:val="00861682"/>
    <w:rsid w:val="00861AEF"/>
    <w:rsid w:val="00861B7B"/>
    <w:rsid w:val="0086224F"/>
    <w:rsid w:val="00862442"/>
    <w:rsid w:val="00862653"/>
    <w:rsid w:val="00862A4D"/>
    <w:rsid w:val="00862EEF"/>
    <w:rsid w:val="0086387D"/>
    <w:rsid w:val="00864050"/>
    <w:rsid w:val="008643BB"/>
    <w:rsid w:val="008648F0"/>
    <w:rsid w:val="00864DEA"/>
    <w:rsid w:val="00864E08"/>
    <w:rsid w:val="00864ECA"/>
    <w:rsid w:val="00865C2A"/>
    <w:rsid w:val="00865E19"/>
    <w:rsid w:val="0086606B"/>
    <w:rsid w:val="0086613C"/>
    <w:rsid w:val="008661AD"/>
    <w:rsid w:val="00866591"/>
    <w:rsid w:val="00866592"/>
    <w:rsid w:val="0086679F"/>
    <w:rsid w:val="008668B3"/>
    <w:rsid w:val="00866C22"/>
    <w:rsid w:val="00866E90"/>
    <w:rsid w:val="00866F98"/>
    <w:rsid w:val="0086707B"/>
    <w:rsid w:val="008670FA"/>
    <w:rsid w:val="00867192"/>
    <w:rsid w:val="00867315"/>
    <w:rsid w:val="00867892"/>
    <w:rsid w:val="008679D3"/>
    <w:rsid w:val="008679D6"/>
    <w:rsid w:val="008703FF"/>
    <w:rsid w:val="008709F5"/>
    <w:rsid w:val="0087102E"/>
    <w:rsid w:val="008711C0"/>
    <w:rsid w:val="008712BC"/>
    <w:rsid w:val="00871419"/>
    <w:rsid w:val="008716E1"/>
    <w:rsid w:val="00871D05"/>
    <w:rsid w:val="00872397"/>
    <w:rsid w:val="008724C1"/>
    <w:rsid w:val="00872516"/>
    <w:rsid w:val="00872720"/>
    <w:rsid w:val="00872A88"/>
    <w:rsid w:val="00872F11"/>
    <w:rsid w:val="00872FBD"/>
    <w:rsid w:val="00873101"/>
    <w:rsid w:val="008733A9"/>
    <w:rsid w:val="008734F2"/>
    <w:rsid w:val="00873700"/>
    <w:rsid w:val="00874022"/>
    <w:rsid w:val="008741B2"/>
    <w:rsid w:val="00874368"/>
    <w:rsid w:val="008744C2"/>
    <w:rsid w:val="00874D32"/>
    <w:rsid w:val="0087521A"/>
    <w:rsid w:val="00875557"/>
    <w:rsid w:val="008755E7"/>
    <w:rsid w:val="00875D8F"/>
    <w:rsid w:val="008764DA"/>
    <w:rsid w:val="008766D7"/>
    <w:rsid w:val="008767D4"/>
    <w:rsid w:val="00876AD0"/>
    <w:rsid w:val="00877524"/>
    <w:rsid w:val="0087763F"/>
    <w:rsid w:val="00877BD6"/>
    <w:rsid w:val="00877D72"/>
    <w:rsid w:val="0088007D"/>
    <w:rsid w:val="008802ED"/>
    <w:rsid w:val="00880732"/>
    <w:rsid w:val="00880A52"/>
    <w:rsid w:val="00880BBB"/>
    <w:rsid w:val="00880DF7"/>
    <w:rsid w:val="008810AD"/>
    <w:rsid w:val="008817DC"/>
    <w:rsid w:val="00881BC4"/>
    <w:rsid w:val="00881E0A"/>
    <w:rsid w:val="0088215F"/>
    <w:rsid w:val="00882896"/>
    <w:rsid w:val="00882A80"/>
    <w:rsid w:val="00882B0B"/>
    <w:rsid w:val="00882D74"/>
    <w:rsid w:val="00883372"/>
    <w:rsid w:val="008834D1"/>
    <w:rsid w:val="00883DDB"/>
    <w:rsid w:val="00884093"/>
    <w:rsid w:val="0088409F"/>
    <w:rsid w:val="008848DB"/>
    <w:rsid w:val="00884AA3"/>
    <w:rsid w:val="00884FAF"/>
    <w:rsid w:val="00885DBA"/>
    <w:rsid w:val="00885DFD"/>
    <w:rsid w:val="0088654B"/>
    <w:rsid w:val="00886601"/>
    <w:rsid w:val="00886BFB"/>
    <w:rsid w:val="00886C29"/>
    <w:rsid w:val="00887236"/>
    <w:rsid w:val="008872BF"/>
    <w:rsid w:val="00887733"/>
    <w:rsid w:val="00887C5D"/>
    <w:rsid w:val="0089024E"/>
    <w:rsid w:val="0089079D"/>
    <w:rsid w:val="00890E77"/>
    <w:rsid w:val="00891076"/>
    <w:rsid w:val="00891943"/>
    <w:rsid w:val="008919DE"/>
    <w:rsid w:val="00891A55"/>
    <w:rsid w:val="00891DC0"/>
    <w:rsid w:val="00892351"/>
    <w:rsid w:val="0089245D"/>
    <w:rsid w:val="00892597"/>
    <w:rsid w:val="008927F4"/>
    <w:rsid w:val="00893132"/>
    <w:rsid w:val="00893893"/>
    <w:rsid w:val="00893D67"/>
    <w:rsid w:val="008946E2"/>
    <w:rsid w:val="008947FC"/>
    <w:rsid w:val="00894B1C"/>
    <w:rsid w:val="00895833"/>
    <w:rsid w:val="00895F9F"/>
    <w:rsid w:val="00895FEA"/>
    <w:rsid w:val="00896090"/>
    <w:rsid w:val="008962F3"/>
    <w:rsid w:val="008963A3"/>
    <w:rsid w:val="00896D7D"/>
    <w:rsid w:val="008970F9"/>
    <w:rsid w:val="00897126"/>
    <w:rsid w:val="00897C69"/>
    <w:rsid w:val="00897C84"/>
    <w:rsid w:val="00897DE0"/>
    <w:rsid w:val="008A0A5F"/>
    <w:rsid w:val="008A0B19"/>
    <w:rsid w:val="008A0EC0"/>
    <w:rsid w:val="008A0F36"/>
    <w:rsid w:val="008A1E35"/>
    <w:rsid w:val="008A259B"/>
    <w:rsid w:val="008A2F6D"/>
    <w:rsid w:val="008A30A6"/>
    <w:rsid w:val="008A3225"/>
    <w:rsid w:val="008A3502"/>
    <w:rsid w:val="008A36E5"/>
    <w:rsid w:val="008A3748"/>
    <w:rsid w:val="008A3863"/>
    <w:rsid w:val="008A39C2"/>
    <w:rsid w:val="008A3C66"/>
    <w:rsid w:val="008A3D71"/>
    <w:rsid w:val="008A3E57"/>
    <w:rsid w:val="008A41B7"/>
    <w:rsid w:val="008A4606"/>
    <w:rsid w:val="008A46DF"/>
    <w:rsid w:val="008A48A3"/>
    <w:rsid w:val="008A4D3D"/>
    <w:rsid w:val="008A4F9E"/>
    <w:rsid w:val="008A5079"/>
    <w:rsid w:val="008A5167"/>
    <w:rsid w:val="008A52F9"/>
    <w:rsid w:val="008A5806"/>
    <w:rsid w:val="008A5B93"/>
    <w:rsid w:val="008A5BA8"/>
    <w:rsid w:val="008A6267"/>
    <w:rsid w:val="008A636B"/>
    <w:rsid w:val="008A6B44"/>
    <w:rsid w:val="008A6CE2"/>
    <w:rsid w:val="008A6CEB"/>
    <w:rsid w:val="008A6E05"/>
    <w:rsid w:val="008A6E87"/>
    <w:rsid w:val="008A70E2"/>
    <w:rsid w:val="008A720D"/>
    <w:rsid w:val="008A734E"/>
    <w:rsid w:val="008A76D3"/>
    <w:rsid w:val="008A78FB"/>
    <w:rsid w:val="008A7917"/>
    <w:rsid w:val="008A7B08"/>
    <w:rsid w:val="008A7BD8"/>
    <w:rsid w:val="008A7CBD"/>
    <w:rsid w:val="008A7E07"/>
    <w:rsid w:val="008B0079"/>
    <w:rsid w:val="008B06CC"/>
    <w:rsid w:val="008B0A86"/>
    <w:rsid w:val="008B0CA9"/>
    <w:rsid w:val="008B0E50"/>
    <w:rsid w:val="008B0F2E"/>
    <w:rsid w:val="008B1146"/>
    <w:rsid w:val="008B1F82"/>
    <w:rsid w:val="008B20F1"/>
    <w:rsid w:val="008B20F9"/>
    <w:rsid w:val="008B25B7"/>
    <w:rsid w:val="008B2B37"/>
    <w:rsid w:val="008B2F9A"/>
    <w:rsid w:val="008B3268"/>
    <w:rsid w:val="008B352C"/>
    <w:rsid w:val="008B3C2C"/>
    <w:rsid w:val="008B47FE"/>
    <w:rsid w:val="008B4BA3"/>
    <w:rsid w:val="008B4C39"/>
    <w:rsid w:val="008B4C84"/>
    <w:rsid w:val="008B4E1C"/>
    <w:rsid w:val="008B53FA"/>
    <w:rsid w:val="008B5EA9"/>
    <w:rsid w:val="008B6343"/>
    <w:rsid w:val="008B6669"/>
    <w:rsid w:val="008B68C9"/>
    <w:rsid w:val="008B693C"/>
    <w:rsid w:val="008B6A24"/>
    <w:rsid w:val="008B6D94"/>
    <w:rsid w:val="008B6DC6"/>
    <w:rsid w:val="008B6DF5"/>
    <w:rsid w:val="008B7068"/>
    <w:rsid w:val="008B70DB"/>
    <w:rsid w:val="008B715D"/>
    <w:rsid w:val="008B7459"/>
    <w:rsid w:val="008B763C"/>
    <w:rsid w:val="008B7785"/>
    <w:rsid w:val="008B7828"/>
    <w:rsid w:val="008B7991"/>
    <w:rsid w:val="008B7A08"/>
    <w:rsid w:val="008B7B0A"/>
    <w:rsid w:val="008B7B94"/>
    <w:rsid w:val="008B7FB7"/>
    <w:rsid w:val="008C0004"/>
    <w:rsid w:val="008C026D"/>
    <w:rsid w:val="008C0424"/>
    <w:rsid w:val="008C1680"/>
    <w:rsid w:val="008C1744"/>
    <w:rsid w:val="008C1A70"/>
    <w:rsid w:val="008C22D5"/>
    <w:rsid w:val="008C2416"/>
    <w:rsid w:val="008C25BD"/>
    <w:rsid w:val="008C2A38"/>
    <w:rsid w:val="008C2F67"/>
    <w:rsid w:val="008C309A"/>
    <w:rsid w:val="008C33D4"/>
    <w:rsid w:val="008C357D"/>
    <w:rsid w:val="008C3599"/>
    <w:rsid w:val="008C35AA"/>
    <w:rsid w:val="008C3711"/>
    <w:rsid w:val="008C39D0"/>
    <w:rsid w:val="008C3A6C"/>
    <w:rsid w:val="008C4315"/>
    <w:rsid w:val="008C436E"/>
    <w:rsid w:val="008C4986"/>
    <w:rsid w:val="008C4C27"/>
    <w:rsid w:val="008C50F2"/>
    <w:rsid w:val="008C56BF"/>
    <w:rsid w:val="008C5AC6"/>
    <w:rsid w:val="008C5DF9"/>
    <w:rsid w:val="008C65DF"/>
    <w:rsid w:val="008C6C46"/>
    <w:rsid w:val="008C7122"/>
    <w:rsid w:val="008C7A9C"/>
    <w:rsid w:val="008C7B1B"/>
    <w:rsid w:val="008C7DFD"/>
    <w:rsid w:val="008D036F"/>
    <w:rsid w:val="008D070A"/>
    <w:rsid w:val="008D081F"/>
    <w:rsid w:val="008D0B2A"/>
    <w:rsid w:val="008D0BA7"/>
    <w:rsid w:val="008D0CDE"/>
    <w:rsid w:val="008D1159"/>
    <w:rsid w:val="008D12DD"/>
    <w:rsid w:val="008D17CE"/>
    <w:rsid w:val="008D1A8C"/>
    <w:rsid w:val="008D225E"/>
    <w:rsid w:val="008D22A9"/>
    <w:rsid w:val="008D2555"/>
    <w:rsid w:val="008D2854"/>
    <w:rsid w:val="008D3331"/>
    <w:rsid w:val="008D3423"/>
    <w:rsid w:val="008D399F"/>
    <w:rsid w:val="008D39EF"/>
    <w:rsid w:val="008D3CF0"/>
    <w:rsid w:val="008D47CD"/>
    <w:rsid w:val="008D4832"/>
    <w:rsid w:val="008D4BFB"/>
    <w:rsid w:val="008D521E"/>
    <w:rsid w:val="008D5EE1"/>
    <w:rsid w:val="008D658D"/>
    <w:rsid w:val="008D67C8"/>
    <w:rsid w:val="008D699A"/>
    <w:rsid w:val="008D6E31"/>
    <w:rsid w:val="008D6F8F"/>
    <w:rsid w:val="008D71AE"/>
    <w:rsid w:val="008D7AA8"/>
    <w:rsid w:val="008D7BE8"/>
    <w:rsid w:val="008D7EF8"/>
    <w:rsid w:val="008E0478"/>
    <w:rsid w:val="008E048D"/>
    <w:rsid w:val="008E0516"/>
    <w:rsid w:val="008E0B6D"/>
    <w:rsid w:val="008E0C79"/>
    <w:rsid w:val="008E11FE"/>
    <w:rsid w:val="008E12A9"/>
    <w:rsid w:val="008E14CA"/>
    <w:rsid w:val="008E2230"/>
    <w:rsid w:val="008E2C3B"/>
    <w:rsid w:val="008E35D8"/>
    <w:rsid w:val="008E3A16"/>
    <w:rsid w:val="008E3B72"/>
    <w:rsid w:val="008E3F16"/>
    <w:rsid w:val="008E3FA0"/>
    <w:rsid w:val="008E42B4"/>
    <w:rsid w:val="008E4391"/>
    <w:rsid w:val="008E4BD7"/>
    <w:rsid w:val="008E4CBA"/>
    <w:rsid w:val="008E4CCA"/>
    <w:rsid w:val="008E4E8B"/>
    <w:rsid w:val="008E4F76"/>
    <w:rsid w:val="008E50FC"/>
    <w:rsid w:val="008E589B"/>
    <w:rsid w:val="008E61D5"/>
    <w:rsid w:val="008E6409"/>
    <w:rsid w:val="008E6A48"/>
    <w:rsid w:val="008E7291"/>
    <w:rsid w:val="008E738B"/>
    <w:rsid w:val="008E7586"/>
    <w:rsid w:val="008E7C9E"/>
    <w:rsid w:val="008F0183"/>
    <w:rsid w:val="008F0752"/>
    <w:rsid w:val="008F095D"/>
    <w:rsid w:val="008F11B9"/>
    <w:rsid w:val="008F133F"/>
    <w:rsid w:val="008F190D"/>
    <w:rsid w:val="008F19C0"/>
    <w:rsid w:val="008F2754"/>
    <w:rsid w:val="008F2756"/>
    <w:rsid w:val="008F2881"/>
    <w:rsid w:val="008F2B03"/>
    <w:rsid w:val="008F2B2E"/>
    <w:rsid w:val="008F3823"/>
    <w:rsid w:val="008F39BB"/>
    <w:rsid w:val="008F3B28"/>
    <w:rsid w:val="008F3C2A"/>
    <w:rsid w:val="008F3F41"/>
    <w:rsid w:val="008F442D"/>
    <w:rsid w:val="008F472E"/>
    <w:rsid w:val="008F4D0D"/>
    <w:rsid w:val="008F4DD3"/>
    <w:rsid w:val="008F4EC8"/>
    <w:rsid w:val="008F566F"/>
    <w:rsid w:val="008F57E3"/>
    <w:rsid w:val="008F59E6"/>
    <w:rsid w:val="008F687D"/>
    <w:rsid w:val="008F6B5E"/>
    <w:rsid w:val="008F74BF"/>
    <w:rsid w:val="008F7A8C"/>
    <w:rsid w:val="008F7B91"/>
    <w:rsid w:val="008F7C2E"/>
    <w:rsid w:val="00901062"/>
    <w:rsid w:val="00901389"/>
    <w:rsid w:val="009018BF"/>
    <w:rsid w:val="009018C6"/>
    <w:rsid w:val="0090193D"/>
    <w:rsid w:val="00901DE6"/>
    <w:rsid w:val="009023D9"/>
    <w:rsid w:val="0090257F"/>
    <w:rsid w:val="00902639"/>
    <w:rsid w:val="0090272D"/>
    <w:rsid w:val="00902928"/>
    <w:rsid w:val="0090297D"/>
    <w:rsid w:val="00902B6B"/>
    <w:rsid w:val="00902BC5"/>
    <w:rsid w:val="00902BCA"/>
    <w:rsid w:val="009030A0"/>
    <w:rsid w:val="00903719"/>
    <w:rsid w:val="00903AD9"/>
    <w:rsid w:val="00903CFC"/>
    <w:rsid w:val="009045B9"/>
    <w:rsid w:val="00904D28"/>
    <w:rsid w:val="00905019"/>
    <w:rsid w:val="00905202"/>
    <w:rsid w:val="00905450"/>
    <w:rsid w:val="00905FFE"/>
    <w:rsid w:val="009060DF"/>
    <w:rsid w:val="0090663D"/>
    <w:rsid w:val="00906674"/>
    <w:rsid w:val="00906EEA"/>
    <w:rsid w:val="00906F9C"/>
    <w:rsid w:val="0090715B"/>
    <w:rsid w:val="009072C7"/>
    <w:rsid w:val="009073C2"/>
    <w:rsid w:val="0090757C"/>
    <w:rsid w:val="00907A0E"/>
    <w:rsid w:val="00907A5B"/>
    <w:rsid w:val="00907BF8"/>
    <w:rsid w:val="00907F2F"/>
    <w:rsid w:val="00910517"/>
    <w:rsid w:val="00910625"/>
    <w:rsid w:val="00910723"/>
    <w:rsid w:val="009109F7"/>
    <w:rsid w:val="00910BE5"/>
    <w:rsid w:val="00911328"/>
    <w:rsid w:val="00911741"/>
    <w:rsid w:val="0091180F"/>
    <w:rsid w:val="009129DE"/>
    <w:rsid w:val="00912AE5"/>
    <w:rsid w:val="009130F2"/>
    <w:rsid w:val="00913180"/>
    <w:rsid w:val="00913A94"/>
    <w:rsid w:val="00914815"/>
    <w:rsid w:val="0091492E"/>
    <w:rsid w:val="00915539"/>
    <w:rsid w:val="009155D3"/>
    <w:rsid w:val="0091664D"/>
    <w:rsid w:val="00916995"/>
    <w:rsid w:val="00916E6C"/>
    <w:rsid w:val="00916E74"/>
    <w:rsid w:val="00916FF6"/>
    <w:rsid w:val="0091756B"/>
    <w:rsid w:val="009179BB"/>
    <w:rsid w:val="00917B41"/>
    <w:rsid w:val="00917BBD"/>
    <w:rsid w:val="00917E30"/>
    <w:rsid w:val="009200FB"/>
    <w:rsid w:val="00920165"/>
    <w:rsid w:val="0092068A"/>
    <w:rsid w:val="009206EC"/>
    <w:rsid w:val="009206F0"/>
    <w:rsid w:val="00920ACE"/>
    <w:rsid w:val="00920D91"/>
    <w:rsid w:val="009211A7"/>
    <w:rsid w:val="0092147C"/>
    <w:rsid w:val="0092158B"/>
    <w:rsid w:val="00921DF7"/>
    <w:rsid w:val="009222BC"/>
    <w:rsid w:val="009222DB"/>
    <w:rsid w:val="009226EC"/>
    <w:rsid w:val="00922986"/>
    <w:rsid w:val="00922B55"/>
    <w:rsid w:val="00922BBA"/>
    <w:rsid w:val="009232DE"/>
    <w:rsid w:val="0092371B"/>
    <w:rsid w:val="00924423"/>
    <w:rsid w:val="00924C97"/>
    <w:rsid w:val="00924E23"/>
    <w:rsid w:val="00924F71"/>
    <w:rsid w:val="00925414"/>
    <w:rsid w:val="009255A7"/>
    <w:rsid w:val="0092597F"/>
    <w:rsid w:val="00925C38"/>
    <w:rsid w:val="00925F94"/>
    <w:rsid w:val="0092662D"/>
    <w:rsid w:val="00926B15"/>
    <w:rsid w:val="00926DF4"/>
    <w:rsid w:val="009274AA"/>
    <w:rsid w:val="009277D2"/>
    <w:rsid w:val="00927D15"/>
    <w:rsid w:val="00930A1B"/>
    <w:rsid w:val="00930DCA"/>
    <w:rsid w:val="00930EDA"/>
    <w:rsid w:val="00930F75"/>
    <w:rsid w:val="009310A7"/>
    <w:rsid w:val="00931532"/>
    <w:rsid w:val="009315AD"/>
    <w:rsid w:val="0093235B"/>
    <w:rsid w:val="009339E2"/>
    <w:rsid w:val="00933AED"/>
    <w:rsid w:val="00933BDC"/>
    <w:rsid w:val="00933EB8"/>
    <w:rsid w:val="00933FCA"/>
    <w:rsid w:val="0093538F"/>
    <w:rsid w:val="009355D0"/>
    <w:rsid w:val="009358BF"/>
    <w:rsid w:val="00936060"/>
    <w:rsid w:val="009366A7"/>
    <w:rsid w:val="009368DB"/>
    <w:rsid w:val="00936A63"/>
    <w:rsid w:val="009371D1"/>
    <w:rsid w:val="009377B5"/>
    <w:rsid w:val="00937D26"/>
    <w:rsid w:val="0094019E"/>
    <w:rsid w:val="0094027C"/>
    <w:rsid w:val="00940418"/>
    <w:rsid w:val="009408C4"/>
    <w:rsid w:val="00940D6E"/>
    <w:rsid w:val="009417C3"/>
    <w:rsid w:val="00941A5E"/>
    <w:rsid w:val="00941DE1"/>
    <w:rsid w:val="00942282"/>
    <w:rsid w:val="0094267F"/>
    <w:rsid w:val="00942820"/>
    <w:rsid w:val="0094287C"/>
    <w:rsid w:val="009429CE"/>
    <w:rsid w:val="00942F02"/>
    <w:rsid w:val="00943022"/>
    <w:rsid w:val="00943454"/>
    <w:rsid w:val="0094393A"/>
    <w:rsid w:val="009444C2"/>
    <w:rsid w:val="00944E9F"/>
    <w:rsid w:val="009454C9"/>
    <w:rsid w:val="00945505"/>
    <w:rsid w:val="0094571B"/>
    <w:rsid w:val="0094576E"/>
    <w:rsid w:val="00946469"/>
    <w:rsid w:val="009464C2"/>
    <w:rsid w:val="00946573"/>
    <w:rsid w:val="00946E43"/>
    <w:rsid w:val="00947A32"/>
    <w:rsid w:val="009500DA"/>
    <w:rsid w:val="00950710"/>
    <w:rsid w:val="00950796"/>
    <w:rsid w:val="00950869"/>
    <w:rsid w:val="00950991"/>
    <w:rsid w:val="00950B4C"/>
    <w:rsid w:val="00950F12"/>
    <w:rsid w:val="00950F65"/>
    <w:rsid w:val="0095147C"/>
    <w:rsid w:val="009518F4"/>
    <w:rsid w:val="00951ECB"/>
    <w:rsid w:val="00951F3D"/>
    <w:rsid w:val="00952437"/>
    <w:rsid w:val="00953343"/>
    <w:rsid w:val="009533E3"/>
    <w:rsid w:val="00953613"/>
    <w:rsid w:val="00953BEF"/>
    <w:rsid w:val="0095402A"/>
    <w:rsid w:val="0095511E"/>
    <w:rsid w:val="00955A58"/>
    <w:rsid w:val="00955E0A"/>
    <w:rsid w:val="009561A9"/>
    <w:rsid w:val="0095674A"/>
    <w:rsid w:val="00956A1F"/>
    <w:rsid w:val="00956BA8"/>
    <w:rsid w:val="00956C38"/>
    <w:rsid w:val="00956C9D"/>
    <w:rsid w:val="00957064"/>
    <w:rsid w:val="00957399"/>
    <w:rsid w:val="00957672"/>
    <w:rsid w:val="00957AC6"/>
    <w:rsid w:val="00957D47"/>
    <w:rsid w:val="00960196"/>
    <w:rsid w:val="00960475"/>
    <w:rsid w:val="009606DF"/>
    <w:rsid w:val="00960E4B"/>
    <w:rsid w:val="00960F57"/>
    <w:rsid w:val="009614EB"/>
    <w:rsid w:val="00961785"/>
    <w:rsid w:val="00961AAE"/>
    <w:rsid w:val="009621D3"/>
    <w:rsid w:val="009622B5"/>
    <w:rsid w:val="00962734"/>
    <w:rsid w:val="00962891"/>
    <w:rsid w:val="00963A4C"/>
    <w:rsid w:val="00963D5A"/>
    <w:rsid w:val="00963DC9"/>
    <w:rsid w:val="00964064"/>
    <w:rsid w:val="0096432C"/>
    <w:rsid w:val="009649B6"/>
    <w:rsid w:val="00964E86"/>
    <w:rsid w:val="00965286"/>
    <w:rsid w:val="0096539A"/>
    <w:rsid w:val="0096552F"/>
    <w:rsid w:val="0096555D"/>
    <w:rsid w:val="00965CE1"/>
    <w:rsid w:val="00965D2E"/>
    <w:rsid w:val="00965F5A"/>
    <w:rsid w:val="00965F9B"/>
    <w:rsid w:val="0096736B"/>
    <w:rsid w:val="00967730"/>
    <w:rsid w:val="009679CD"/>
    <w:rsid w:val="00967FB1"/>
    <w:rsid w:val="0097035C"/>
    <w:rsid w:val="00970699"/>
    <w:rsid w:val="009709A2"/>
    <w:rsid w:val="00970C80"/>
    <w:rsid w:val="00971137"/>
    <w:rsid w:val="00971382"/>
    <w:rsid w:val="009713D9"/>
    <w:rsid w:val="009722B7"/>
    <w:rsid w:val="00972B65"/>
    <w:rsid w:val="00973482"/>
    <w:rsid w:val="009738CF"/>
    <w:rsid w:val="00973A2D"/>
    <w:rsid w:val="00973E0D"/>
    <w:rsid w:val="00973E92"/>
    <w:rsid w:val="0097408F"/>
    <w:rsid w:val="00974BE6"/>
    <w:rsid w:val="0097534B"/>
    <w:rsid w:val="009753FA"/>
    <w:rsid w:val="009754EF"/>
    <w:rsid w:val="00975682"/>
    <w:rsid w:val="0097572E"/>
    <w:rsid w:val="00975813"/>
    <w:rsid w:val="00975D10"/>
    <w:rsid w:val="00975E4F"/>
    <w:rsid w:val="00975F97"/>
    <w:rsid w:val="009762EF"/>
    <w:rsid w:val="0097634B"/>
    <w:rsid w:val="0097638C"/>
    <w:rsid w:val="009767C7"/>
    <w:rsid w:val="0097689E"/>
    <w:rsid w:val="00976BCC"/>
    <w:rsid w:val="0097775A"/>
    <w:rsid w:val="00977BB8"/>
    <w:rsid w:val="009800DF"/>
    <w:rsid w:val="0098016E"/>
    <w:rsid w:val="00980226"/>
    <w:rsid w:val="00980289"/>
    <w:rsid w:val="009804E3"/>
    <w:rsid w:val="0098077E"/>
    <w:rsid w:val="00980790"/>
    <w:rsid w:val="0098083A"/>
    <w:rsid w:val="00980882"/>
    <w:rsid w:val="00981870"/>
    <w:rsid w:val="00982390"/>
    <w:rsid w:val="009830BE"/>
    <w:rsid w:val="00983AA2"/>
    <w:rsid w:val="00983B40"/>
    <w:rsid w:val="00983DC5"/>
    <w:rsid w:val="00983E9E"/>
    <w:rsid w:val="0098431F"/>
    <w:rsid w:val="0098498F"/>
    <w:rsid w:val="009849E2"/>
    <w:rsid w:val="00984A7E"/>
    <w:rsid w:val="009854DC"/>
    <w:rsid w:val="00985E5C"/>
    <w:rsid w:val="00985FEB"/>
    <w:rsid w:val="009861D3"/>
    <w:rsid w:val="00987ADC"/>
    <w:rsid w:val="00987C6F"/>
    <w:rsid w:val="00987CD2"/>
    <w:rsid w:val="00990528"/>
    <w:rsid w:val="009913EC"/>
    <w:rsid w:val="0099195F"/>
    <w:rsid w:val="00991BBC"/>
    <w:rsid w:val="009925A0"/>
    <w:rsid w:val="00992839"/>
    <w:rsid w:val="009932DE"/>
    <w:rsid w:val="00993483"/>
    <w:rsid w:val="009937B8"/>
    <w:rsid w:val="009938B3"/>
    <w:rsid w:val="00993C6B"/>
    <w:rsid w:val="0099449E"/>
    <w:rsid w:val="00994589"/>
    <w:rsid w:val="00994AEE"/>
    <w:rsid w:val="0099517F"/>
    <w:rsid w:val="0099530D"/>
    <w:rsid w:val="009955E2"/>
    <w:rsid w:val="00995A41"/>
    <w:rsid w:val="00995B6D"/>
    <w:rsid w:val="00995C5A"/>
    <w:rsid w:val="00995E28"/>
    <w:rsid w:val="00996106"/>
    <w:rsid w:val="0099620B"/>
    <w:rsid w:val="0099626C"/>
    <w:rsid w:val="0099676C"/>
    <w:rsid w:val="009969CF"/>
    <w:rsid w:val="00996CFD"/>
    <w:rsid w:val="00996DCA"/>
    <w:rsid w:val="00997300"/>
    <w:rsid w:val="00997357"/>
    <w:rsid w:val="009974B4"/>
    <w:rsid w:val="00997581"/>
    <w:rsid w:val="00997C57"/>
    <w:rsid w:val="00997DDD"/>
    <w:rsid w:val="009A0309"/>
    <w:rsid w:val="009A0BCB"/>
    <w:rsid w:val="009A0E79"/>
    <w:rsid w:val="009A127A"/>
    <w:rsid w:val="009A148D"/>
    <w:rsid w:val="009A177F"/>
    <w:rsid w:val="009A180D"/>
    <w:rsid w:val="009A2001"/>
    <w:rsid w:val="009A23D7"/>
    <w:rsid w:val="009A2F82"/>
    <w:rsid w:val="009A30AB"/>
    <w:rsid w:val="009A325F"/>
    <w:rsid w:val="009A329C"/>
    <w:rsid w:val="009A356D"/>
    <w:rsid w:val="009A357A"/>
    <w:rsid w:val="009A3A1F"/>
    <w:rsid w:val="009A3A30"/>
    <w:rsid w:val="009A3AE0"/>
    <w:rsid w:val="009A3C2C"/>
    <w:rsid w:val="009A3D41"/>
    <w:rsid w:val="009A434B"/>
    <w:rsid w:val="009A43A6"/>
    <w:rsid w:val="009A43F9"/>
    <w:rsid w:val="009A4628"/>
    <w:rsid w:val="009A4C83"/>
    <w:rsid w:val="009A520A"/>
    <w:rsid w:val="009A5211"/>
    <w:rsid w:val="009A538E"/>
    <w:rsid w:val="009A54C7"/>
    <w:rsid w:val="009A55FE"/>
    <w:rsid w:val="009A5BBC"/>
    <w:rsid w:val="009A5C8E"/>
    <w:rsid w:val="009A62EB"/>
    <w:rsid w:val="009A63E5"/>
    <w:rsid w:val="009A6A48"/>
    <w:rsid w:val="009A713C"/>
    <w:rsid w:val="009A722D"/>
    <w:rsid w:val="009A77A9"/>
    <w:rsid w:val="009A7AE8"/>
    <w:rsid w:val="009B01F6"/>
    <w:rsid w:val="009B0203"/>
    <w:rsid w:val="009B08F6"/>
    <w:rsid w:val="009B0D39"/>
    <w:rsid w:val="009B0E30"/>
    <w:rsid w:val="009B1188"/>
    <w:rsid w:val="009B125A"/>
    <w:rsid w:val="009B134F"/>
    <w:rsid w:val="009B13B8"/>
    <w:rsid w:val="009B172C"/>
    <w:rsid w:val="009B20BC"/>
    <w:rsid w:val="009B2658"/>
    <w:rsid w:val="009B2942"/>
    <w:rsid w:val="009B2C13"/>
    <w:rsid w:val="009B2E92"/>
    <w:rsid w:val="009B31FF"/>
    <w:rsid w:val="009B381B"/>
    <w:rsid w:val="009B3AA3"/>
    <w:rsid w:val="009B3ABA"/>
    <w:rsid w:val="009B3C7F"/>
    <w:rsid w:val="009B4C16"/>
    <w:rsid w:val="009B4C83"/>
    <w:rsid w:val="009B4D6C"/>
    <w:rsid w:val="009B4FA9"/>
    <w:rsid w:val="009B53AF"/>
    <w:rsid w:val="009B54C8"/>
    <w:rsid w:val="009B5516"/>
    <w:rsid w:val="009B56EB"/>
    <w:rsid w:val="009B5E8F"/>
    <w:rsid w:val="009B623B"/>
    <w:rsid w:val="009B631F"/>
    <w:rsid w:val="009B6567"/>
    <w:rsid w:val="009B6A61"/>
    <w:rsid w:val="009B6C2A"/>
    <w:rsid w:val="009B6EA9"/>
    <w:rsid w:val="009B7097"/>
    <w:rsid w:val="009B7782"/>
    <w:rsid w:val="009B7D29"/>
    <w:rsid w:val="009B7DE9"/>
    <w:rsid w:val="009B7EF2"/>
    <w:rsid w:val="009C04DD"/>
    <w:rsid w:val="009C0825"/>
    <w:rsid w:val="009C096B"/>
    <w:rsid w:val="009C09CD"/>
    <w:rsid w:val="009C0ECA"/>
    <w:rsid w:val="009C19CC"/>
    <w:rsid w:val="009C208C"/>
    <w:rsid w:val="009C2134"/>
    <w:rsid w:val="009C25A6"/>
    <w:rsid w:val="009C2A34"/>
    <w:rsid w:val="009C2B92"/>
    <w:rsid w:val="009C38D2"/>
    <w:rsid w:val="009C39AC"/>
    <w:rsid w:val="009C3C29"/>
    <w:rsid w:val="009C3CCA"/>
    <w:rsid w:val="009C4146"/>
    <w:rsid w:val="009C45BB"/>
    <w:rsid w:val="009C481D"/>
    <w:rsid w:val="009C4BCF"/>
    <w:rsid w:val="009C4D2B"/>
    <w:rsid w:val="009C541C"/>
    <w:rsid w:val="009C544F"/>
    <w:rsid w:val="009C5C27"/>
    <w:rsid w:val="009C65B4"/>
    <w:rsid w:val="009C65E9"/>
    <w:rsid w:val="009C6703"/>
    <w:rsid w:val="009C6D08"/>
    <w:rsid w:val="009C6E7E"/>
    <w:rsid w:val="009C717A"/>
    <w:rsid w:val="009C7255"/>
    <w:rsid w:val="009C7267"/>
    <w:rsid w:val="009C7BDC"/>
    <w:rsid w:val="009C7D63"/>
    <w:rsid w:val="009C7FEE"/>
    <w:rsid w:val="009D00D0"/>
    <w:rsid w:val="009D016C"/>
    <w:rsid w:val="009D0A16"/>
    <w:rsid w:val="009D0A99"/>
    <w:rsid w:val="009D0AEE"/>
    <w:rsid w:val="009D1150"/>
    <w:rsid w:val="009D1438"/>
    <w:rsid w:val="009D15F3"/>
    <w:rsid w:val="009D19CE"/>
    <w:rsid w:val="009D1F7B"/>
    <w:rsid w:val="009D254F"/>
    <w:rsid w:val="009D265F"/>
    <w:rsid w:val="009D26A3"/>
    <w:rsid w:val="009D31B0"/>
    <w:rsid w:val="009D33D2"/>
    <w:rsid w:val="009D363E"/>
    <w:rsid w:val="009D36A9"/>
    <w:rsid w:val="009D39F7"/>
    <w:rsid w:val="009D3AA2"/>
    <w:rsid w:val="009D3CF7"/>
    <w:rsid w:val="009D45A3"/>
    <w:rsid w:val="009D4E9D"/>
    <w:rsid w:val="009D4F54"/>
    <w:rsid w:val="009D53FA"/>
    <w:rsid w:val="009D5842"/>
    <w:rsid w:val="009D6032"/>
    <w:rsid w:val="009D64F4"/>
    <w:rsid w:val="009D6697"/>
    <w:rsid w:val="009D66DE"/>
    <w:rsid w:val="009D6ABA"/>
    <w:rsid w:val="009D6B8A"/>
    <w:rsid w:val="009D6FCE"/>
    <w:rsid w:val="009D7676"/>
    <w:rsid w:val="009E03F5"/>
    <w:rsid w:val="009E05E6"/>
    <w:rsid w:val="009E0614"/>
    <w:rsid w:val="009E0A76"/>
    <w:rsid w:val="009E0B24"/>
    <w:rsid w:val="009E0E78"/>
    <w:rsid w:val="009E1146"/>
    <w:rsid w:val="009E1319"/>
    <w:rsid w:val="009E152B"/>
    <w:rsid w:val="009E1679"/>
    <w:rsid w:val="009E1888"/>
    <w:rsid w:val="009E1EA5"/>
    <w:rsid w:val="009E20AE"/>
    <w:rsid w:val="009E2274"/>
    <w:rsid w:val="009E2B17"/>
    <w:rsid w:val="009E3544"/>
    <w:rsid w:val="009E3696"/>
    <w:rsid w:val="009E3F80"/>
    <w:rsid w:val="009E4145"/>
    <w:rsid w:val="009E414B"/>
    <w:rsid w:val="009E4200"/>
    <w:rsid w:val="009E4695"/>
    <w:rsid w:val="009E4BD2"/>
    <w:rsid w:val="009E4DC3"/>
    <w:rsid w:val="009E4E04"/>
    <w:rsid w:val="009E55FD"/>
    <w:rsid w:val="009E5713"/>
    <w:rsid w:val="009E590A"/>
    <w:rsid w:val="009E5984"/>
    <w:rsid w:val="009E5C30"/>
    <w:rsid w:val="009E62A3"/>
    <w:rsid w:val="009E6654"/>
    <w:rsid w:val="009E6C91"/>
    <w:rsid w:val="009E777B"/>
    <w:rsid w:val="009E7CAA"/>
    <w:rsid w:val="009E7E1F"/>
    <w:rsid w:val="009F0293"/>
    <w:rsid w:val="009F0997"/>
    <w:rsid w:val="009F09A7"/>
    <w:rsid w:val="009F09B2"/>
    <w:rsid w:val="009F0FB2"/>
    <w:rsid w:val="009F10EC"/>
    <w:rsid w:val="009F1952"/>
    <w:rsid w:val="009F1974"/>
    <w:rsid w:val="009F2E71"/>
    <w:rsid w:val="009F2FB7"/>
    <w:rsid w:val="009F3895"/>
    <w:rsid w:val="009F3C0F"/>
    <w:rsid w:val="009F42F3"/>
    <w:rsid w:val="009F45EE"/>
    <w:rsid w:val="009F497A"/>
    <w:rsid w:val="009F4998"/>
    <w:rsid w:val="009F4E8D"/>
    <w:rsid w:val="009F50D0"/>
    <w:rsid w:val="009F55BE"/>
    <w:rsid w:val="009F5B19"/>
    <w:rsid w:val="009F609E"/>
    <w:rsid w:val="009F6422"/>
    <w:rsid w:val="009F6617"/>
    <w:rsid w:val="009F6B36"/>
    <w:rsid w:val="009F6C9E"/>
    <w:rsid w:val="009F75DE"/>
    <w:rsid w:val="009F7BD2"/>
    <w:rsid w:val="009F7E25"/>
    <w:rsid w:val="00A00520"/>
    <w:rsid w:val="00A00835"/>
    <w:rsid w:val="00A00850"/>
    <w:rsid w:val="00A00E7E"/>
    <w:rsid w:val="00A00F31"/>
    <w:rsid w:val="00A01028"/>
    <w:rsid w:val="00A011D6"/>
    <w:rsid w:val="00A0187A"/>
    <w:rsid w:val="00A023AC"/>
    <w:rsid w:val="00A02824"/>
    <w:rsid w:val="00A02B20"/>
    <w:rsid w:val="00A030EE"/>
    <w:rsid w:val="00A03100"/>
    <w:rsid w:val="00A03C00"/>
    <w:rsid w:val="00A03C80"/>
    <w:rsid w:val="00A03E39"/>
    <w:rsid w:val="00A0414F"/>
    <w:rsid w:val="00A049E1"/>
    <w:rsid w:val="00A04A2E"/>
    <w:rsid w:val="00A04D6F"/>
    <w:rsid w:val="00A053F1"/>
    <w:rsid w:val="00A058C7"/>
    <w:rsid w:val="00A05987"/>
    <w:rsid w:val="00A062F0"/>
    <w:rsid w:val="00A06352"/>
    <w:rsid w:val="00A070E3"/>
    <w:rsid w:val="00A0776C"/>
    <w:rsid w:val="00A1031E"/>
    <w:rsid w:val="00A10746"/>
    <w:rsid w:val="00A10BF2"/>
    <w:rsid w:val="00A10DC8"/>
    <w:rsid w:val="00A1117B"/>
    <w:rsid w:val="00A113BB"/>
    <w:rsid w:val="00A113DF"/>
    <w:rsid w:val="00A11457"/>
    <w:rsid w:val="00A1160A"/>
    <w:rsid w:val="00A1192A"/>
    <w:rsid w:val="00A11DA4"/>
    <w:rsid w:val="00A11E66"/>
    <w:rsid w:val="00A12044"/>
    <w:rsid w:val="00A125CF"/>
    <w:rsid w:val="00A12756"/>
    <w:rsid w:val="00A130F2"/>
    <w:rsid w:val="00A13500"/>
    <w:rsid w:val="00A13572"/>
    <w:rsid w:val="00A1362D"/>
    <w:rsid w:val="00A136CE"/>
    <w:rsid w:val="00A1394C"/>
    <w:rsid w:val="00A13EC5"/>
    <w:rsid w:val="00A13F59"/>
    <w:rsid w:val="00A13FD7"/>
    <w:rsid w:val="00A140E7"/>
    <w:rsid w:val="00A14829"/>
    <w:rsid w:val="00A149BA"/>
    <w:rsid w:val="00A14BAB"/>
    <w:rsid w:val="00A14BF3"/>
    <w:rsid w:val="00A1531B"/>
    <w:rsid w:val="00A1540D"/>
    <w:rsid w:val="00A15756"/>
    <w:rsid w:val="00A157A7"/>
    <w:rsid w:val="00A15A18"/>
    <w:rsid w:val="00A15B63"/>
    <w:rsid w:val="00A1642A"/>
    <w:rsid w:val="00A1680F"/>
    <w:rsid w:val="00A16DDF"/>
    <w:rsid w:val="00A1705C"/>
    <w:rsid w:val="00A173CA"/>
    <w:rsid w:val="00A20318"/>
    <w:rsid w:val="00A204BF"/>
    <w:rsid w:val="00A2072C"/>
    <w:rsid w:val="00A2075E"/>
    <w:rsid w:val="00A207F7"/>
    <w:rsid w:val="00A20AE3"/>
    <w:rsid w:val="00A20BC9"/>
    <w:rsid w:val="00A20FA3"/>
    <w:rsid w:val="00A213E9"/>
    <w:rsid w:val="00A21476"/>
    <w:rsid w:val="00A21488"/>
    <w:rsid w:val="00A21634"/>
    <w:rsid w:val="00A21876"/>
    <w:rsid w:val="00A21B5A"/>
    <w:rsid w:val="00A2223D"/>
    <w:rsid w:val="00A227CC"/>
    <w:rsid w:val="00A2287B"/>
    <w:rsid w:val="00A229A8"/>
    <w:rsid w:val="00A23DC7"/>
    <w:rsid w:val="00A24328"/>
    <w:rsid w:val="00A243E8"/>
    <w:rsid w:val="00A2460C"/>
    <w:rsid w:val="00A24654"/>
    <w:rsid w:val="00A246AE"/>
    <w:rsid w:val="00A2486A"/>
    <w:rsid w:val="00A24890"/>
    <w:rsid w:val="00A24AB4"/>
    <w:rsid w:val="00A24C94"/>
    <w:rsid w:val="00A257EF"/>
    <w:rsid w:val="00A25D64"/>
    <w:rsid w:val="00A2607B"/>
    <w:rsid w:val="00A261E9"/>
    <w:rsid w:val="00A26357"/>
    <w:rsid w:val="00A272FD"/>
    <w:rsid w:val="00A27771"/>
    <w:rsid w:val="00A27E4B"/>
    <w:rsid w:val="00A301FA"/>
    <w:rsid w:val="00A3030C"/>
    <w:rsid w:val="00A307FB"/>
    <w:rsid w:val="00A308E0"/>
    <w:rsid w:val="00A30A9D"/>
    <w:rsid w:val="00A30BA7"/>
    <w:rsid w:val="00A30CD2"/>
    <w:rsid w:val="00A30CD3"/>
    <w:rsid w:val="00A31825"/>
    <w:rsid w:val="00A31E64"/>
    <w:rsid w:val="00A31ECF"/>
    <w:rsid w:val="00A32044"/>
    <w:rsid w:val="00A321B2"/>
    <w:rsid w:val="00A32276"/>
    <w:rsid w:val="00A3232B"/>
    <w:rsid w:val="00A3240B"/>
    <w:rsid w:val="00A32545"/>
    <w:rsid w:val="00A3259E"/>
    <w:rsid w:val="00A32A9A"/>
    <w:rsid w:val="00A32D1E"/>
    <w:rsid w:val="00A32E1F"/>
    <w:rsid w:val="00A32F0D"/>
    <w:rsid w:val="00A331C4"/>
    <w:rsid w:val="00A33343"/>
    <w:rsid w:val="00A33483"/>
    <w:rsid w:val="00A33500"/>
    <w:rsid w:val="00A33B51"/>
    <w:rsid w:val="00A33BAE"/>
    <w:rsid w:val="00A33DCE"/>
    <w:rsid w:val="00A34102"/>
    <w:rsid w:val="00A34545"/>
    <w:rsid w:val="00A3491B"/>
    <w:rsid w:val="00A34AEB"/>
    <w:rsid w:val="00A34C09"/>
    <w:rsid w:val="00A34D0E"/>
    <w:rsid w:val="00A34F31"/>
    <w:rsid w:val="00A35046"/>
    <w:rsid w:val="00A35348"/>
    <w:rsid w:val="00A354AC"/>
    <w:rsid w:val="00A35864"/>
    <w:rsid w:val="00A35E2A"/>
    <w:rsid w:val="00A35F23"/>
    <w:rsid w:val="00A361EE"/>
    <w:rsid w:val="00A365A9"/>
    <w:rsid w:val="00A369D2"/>
    <w:rsid w:val="00A36FB8"/>
    <w:rsid w:val="00A3731A"/>
    <w:rsid w:val="00A379AA"/>
    <w:rsid w:val="00A37D39"/>
    <w:rsid w:val="00A3A4E6"/>
    <w:rsid w:val="00A401B6"/>
    <w:rsid w:val="00A40357"/>
    <w:rsid w:val="00A40639"/>
    <w:rsid w:val="00A4084E"/>
    <w:rsid w:val="00A4093F"/>
    <w:rsid w:val="00A40A5E"/>
    <w:rsid w:val="00A40B38"/>
    <w:rsid w:val="00A415C3"/>
    <w:rsid w:val="00A417AC"/>
    <w:rsid w:val="00A41B00"/>
    <w:rsid w:val="00A41BBF"/>
    <w:rsid w:val="00A420E9"/>
    <w:rsid w:val="00A424C1"/>
    <w:rsid w:val="00A424F9"/>
    <w:rsid w:val="00A4260C"/>
    <w:rsid w:val="00A42DB6"/>
    <w:rsid w:val="00A432F1"/>
    <w:rsid w:val="00A4367C"/>
    <w:rsid w:val="00A439C7"/>
    <w:rsid w:val="00A43BDF"/>
    <w:rsid w:val="00A43DC6"/>
    <w:rsid w:val="00A44289"/>
    <w:rsid w:val="00A4447D"/>
    <w:rsid w:val="00A44510"/>
    <w:rsid w:val="00A44771"/>
    <w:rsid w:val="00A44A8D"/>
    <w:rsid w:val="00A44E91"/>
    <w:rsid w:val="00A4513F"/>
    <w:rsid w:val="00A4545B"/>
    <w:rsid w:val="00A455BD"/>
    <w:rsid w:val="00A45821"/>
    <w:rsid w:val="00A4584A"/>
    <w:rsid w:val="00A459CC"/>
    <w:rsid w:val="00A459E9"/>
    <w:rsid w:val="00A45B30"/>
    <w:rsid w:val="00A466FC"/>
    <w:rsid w:val="00A46EDD"/>
    <w:rsid w:val="00A4757B"/>
    <w:rsid w:val="00A47C82"/>
    <w:rsid w:val="00A5014A"/>
    <w:rsid w:val="00A5028B"/>
    <w:rsid w:val="00A50303"/>
    <w:rsid w:val="00A50568"/>
    <w:rsid w:val="00A5077A"/>
    <w:rsid w:val="00A50D38"/>
    <w:rsid w:val="00A50E1F"/>
    <w:rsid w:val="00A51280"/>
    <w:rsid w:val="00A51378"/>
    <w:rsid w:val="00A518D2"/>
    <w:rsid w:val="00A52853"/>
    <w:rsid w:val="00A52930"/>
    <w:rsid w:val="00A52B02"/>
    <w:rsid w:val="00A52D66"/>
    <w:rsid w:val="00A53058"/>
    <w:rsid w:val="00A53570"/>
    <w:rsid w:val="00A53651"/>
    <w:rsid w:val="00A53C96"/>
    <w:rsid w:val="00A540E8"/>
    <w:rsid w:val="00A542CF"/>
    <w:rsid w:val="00A54364"/>
    <w:rsid w:val="00A54647"/>
    <w:rsid w:val="00A547D1"/>
    <w:rsid w:val="00A550F7"/>
    <w:rsid w:val="00A551A7"/>
    <w:rsid w:val="00A55225"/>
    <w:rsid w:val="00A555AD"/>
    <w:rsid w:val="00A559B6"/>
    <w:rsid w:val="00A55D92"/>
    <w:rsid w:val="00A5638D"/>
    <w:rsid w:val="00A5667C"/>
    <w:rsid w:val="00A5671D"/>
    <w:rsid w:val="00A56CD8"/>
    <w:rsid w:val="00A570B2"/>
    <w:rsid w:val="00A570D3"/>
    <w:rsid w:val="00A5739F"/>
    <w:rsid w:val="00A57774"/>
    <w:rsid w:val="00A579A9"/>
    <w:rsid w:val="00A600E7"/>
    <w:rsid w:val="00A60FA6"/>
    <w:rsid w:val="00A61163"/>
    <w:rsid w:val="00A612AE"/>
    <w:rsid w:val="00A61978"/>
    <w:rsid w:val="00A61F1C"/>
    <w:rsid w:val="00A62121"/>
    <w:rsid w:val="00A62593"/>
    <w:rsid w:val="00A62696"/>
    <w:rsid w:val="00A6280E"/>
    <w:rsid w:val="00A62900"/>
    <w:rsid w:val="00A629E1"/>
    <w:rsid w:val="00A62B76"/>
    <w:rsid w:val="00A62C2E"/>
    <w:rsid w:val="00A62DAE"/>
    <w:rsid w:val="00A62DFE"/>
    <w:rsid w:val="00A62FA1"/>
    <w:rsid w:val="00A632B9"/>
    <w:rsid w:val="00A632E6"/>
    <w:rsid w:val="00A63338"/>
    <w:rsid w:val="00A635BE"/>
    <w:rsid w:val="00A63B4A"/>
    <w:rsid w:val="00A63C98"/>
    <w:rsid w:val="00A640D5"/>
    <w:rsid w:val="00A641D8"/>
    <w:rsid w:val="00A641FF"/>
    <w:rsid w:val="00A642C8"/>
    <w:rsid w:val="00A644F3"/>
    <w:rsid w:val="00A64558"/>
    <w:rsid w:val="00A646EA"/>
    <w:rsid w:val="00A655C5"/>
    <w:rsid w:val="00A65B0A"/>
    <w:rsid w:val="00A66D9F"/>
    <w:rsid w:val="00A6735A"/>
    <w:rsid w:val="00A6745F"/>
    <w:rsid w:val="00A67618"/>
    <w:rsid w:val="00A67944"/>
    <w:rsid w:val="00A70243"/>
    <w:rsid w:val="00A70292"/>
    <w:rsid w:val="00A704E6"/>
    <w:rsid w:val="00A7052D"/>
    <w:rsid w:val="00A708E5"/>
    <w:rsid w:val="00A70AFE"/>
    <w:rsid w:val="00A70E75"/>
    <w:rsid w:val="00A70F02"/>
    <w:rsid w:val="00A711BC"/>
    <w:rsid w:val="00A714AD"/>
    <w:rsid w:val="00A71916"/>
    <w:rsid w:val="00A71A70"/>
    <w:rsid w:val="00A71C45"/>
    <w:rsid w:val="00A727EC"/>
    <w:rsid w:val="00A7292C"/>
    <w:rsid w:val="00A732FC"/>
    <w:rsid w:val="00A737C9"/>
    <w:rsid w:val="00A73F2E"/>
    <w:rsid w:val="00A73FF1"/>
    <w:rsid w:val="00A740A3"/>
    <w:rsid w:val="00A746DC"/>
    <w:rsid w:val="00A74BF4"/>
    <w:rsid w:val="00A74C94"/>
    <w:rsid w:val="00A757F7"/>
    <w:rsid w:val="00A7582B"/>
    <w:rsid w:val="00A75FE2"/>
    <w:rsid w:val="00A76E61"/>
    <w:rsid w:val="00A77788"/>
    <w:rsid w:val="00A8026E"/>
    <w:rsid w:val="00A8058B"/>
    <w:rsid w:val="00A805A6"/>
    <w:rsid w:val="00A80A94"/>
    <w:rsid w:val="00A80B5F"/>
    <w:rsid w:val="00A80E12"/>
    <w:rsid w:val="00A817C3"/>
    <w:rsid w:val="00A8286B"/>
    <w:rsid w:val="00A82D67"/>
    <w:rsid w:val="00A8302F"/>
    <w:rsid w:val="00A83274"/>
    <w:rsid w:val="00A833C7"/>
    <w:rsid w:val="00A839D4"/>
    <w:rsid w:val="00A83DC1"/>
    <w:rsid w:val="00A8402A"/>
    <w:rsid w:val="00A8452E"/>
    <w:rsid w:val="00A845F4"/>
    <w:rsid w:val="00A847C6"/>
    <w:rsid w:val="00A849E5"/>
    <w:rsid w:val="00A84F0E"/>
    <w:rsid w:val="00A84F79"/>
    <w:rsid w:val="00A850D7"/>
    <w:rsid w:val="00A85400"/>
    <w:rsid w:val="00A85E73"/>
    <w:rsid w:val="00A85FF6"/>
    <w:rsid w:val="00A861BA"/>
    <w:rsid w:val="00A86CEF"/>
    <w:rsid w:val="00A86F8A"/>
    <w:rsid w:val="00A876EE"/>
    <w:rsid w:val="00A877F8"/>
    <w:rsid w:val="00A8797A"/>
    <w:rsid w:val="00A87A6B"/>
    <w:rsid w:val="00A87B23"/>
    <w:rsid w:val="00A90143"/>
    <w:rsid w:val="00A90165"/>
    <w:rsid w:val="00A904EC"/>
    <w:rsid w:val="00A9051B"/>
    <w:rsid w:val="00A90A94"/>
    <w:rsid w:val="00A90B8E"/>
    <w:rsid w:val="00A90CE4"/>
    <w:rsid w:val="00A90CF1"/>
    <w:rsid w:val="00A90E89"/>
    <w:rsid w:val="00A9151D"/>
    <w:rsid w:val="00A91BDC"/>
    <w:rsid w:val="00A9214C"/>
    <w:rsid w:val="00A92525"/>
    <w:rsid w:val="00A9289D"/>
    <w:rsid w:val="00A928B3"/>
    <w:rsid w:val="00A929CB"/>
    <w:rsid w:val="00A929D4"/>
    <w:rsid w:val="00A930D0"/>
    <w:rsid w:val="00A931D3"/>
    <w:rsid w:val="00A93688"/>
    <w:rsid w:val="00A93B49"/>
    <w:rsid w:val="00A940DD"/>
    <w:rsid w:val="00A949D5"/>
    <w:rsid w:val="00A94EDE"/>
    <w:rsid w:val="00A95119"/>
    <w:rsid w:val="00A952FD"/>
    <w:rsid w:val="00A95828"/>
    <w:rsid w:val="00A96044"/>
    <w:rsid w:val="00A960B0"/>
    <w:rsid w:val="00A9674F"/>
    <w:rsid w:val="00A96AC7"/>
    <w:rsid w:val="00A96B5E"/>
    <w:rsid w:val="00A978F3"/>
    <w:rsid w:val="00A97A96"/>
    <w:rsid w:val="00A97B36"/>
    <w:rsid w:val="00A97FAF"/>
    <w:rsid w:val="00A999B2"/>
    <w:rsid w:val="00AA0361"/>
    <w:rsid w:val="00AA0501"/>
    <w:rsid w:val="00AA1157"/>
    <w:rsid w:val="00AA126C"/>
    <w:rsid w:val="00AA1488"/>
    <w:rsid w:val="00AA1742"/>
    <w:rsid w:val="00AA1C9C"/>
    <w:rsid w:val="00AA1CC4"/>
    <w:rsid w:val="00AA1FD0"/>
    <w:rsid w:val="00AA236E"/>
    <w:rsid w:val="00AA2763"/>
    <w:rsid w:val="00AA2872"/>
    <w:rsid w:val="00AA2B7C"/>
    <w:rsid w:val="00AA31A4"/>
    <w:rsid w:val="00AA333A"/>
    <w:rsid w:val="00AA3356"/>
    <w:rsid w:val="00AA34C3"/>
    <w:rsid w:val="00AA39FA"/>
    <w:rsid w:val="00AA3BD2"/>
    <w:rsid w:val="00AA3BD8"/>
    <w:rsid w:val="00AA3EB2"/>
    <w:rsid w:val="00AA3EC7"/>
    <w:rsid w:val="00AA4366"/>
    <w:rsid w:val="00AA43E9"/>
    <w:rsid w:val="00AA509B"/>
    <w:rsid w:val="00AA5208"/>
    <w:rsid w:val="00AA5676"/>
    <w:rsid w:val="00AA5B9A"/>
    <w:rsid w:val="00AA5F59"/>
    <w:rsid w:val="00AA6499"/>
    <w:rsid w:val="00AA64BB"/>
    <w:rsid w:val="00AA6A0B"/>
    <w:rsid w:val="00AA6F38"/>
    <w:rsid w:val="00AA6FD5"/>
    <w:rsid w:val="00AA730B"/>
    <w:rsid w:val="00AA740E"/>
    <w:rsid w:val="00AA786A"/>
    <w:rsid w:val="00AA78A9"/>
    <w:rsid w:val="00AB0191"/>
    <w:rsid w:val="00AB01C6"/>
    <w:rsid w:val="00AB05E5"/>
    <w:rsid w:val="00AB0869"/>
    <w:rsid w:val="00AB08C4"/>
    <w:rsid w:val="00AB0B1A"/>
    <w:rsid w:val="00AB0ECB"/>
    <w:rsid w:val="00AB13A5"/>
    <w:rsid w:val="00AB150D"/>
    <w:rsid w:val="00AB16DA"/>
    <w:rsid w:val="00AB1B0B"/>
    <w:rsid w:val="00AB1F4C"/>
    <w:rsid w:val="00AB2D2C"/>
    <w:rsid w:val="00AB2E5B"/>
    <w:rsid w:val="00AB2FFC"/>
    <w:rsid w:val="00AB35EB"/>
    <w:rsid w:val="00AB37BC"/>
    <w:rsid w:val="00AB3823"/>
    <w:rsid w:val="00AB38ED"/>
    <w:rsid w:val="00AB39DF"/>
    <w:rsid w:val="00AB3E9A"/>
    <w:rsid w:val="00AB3EFA"/>
    <w:rsid w:val="00AB3FAD"/>
    <w:rsid w:val="00AB4337"/>
    <w:rsid w:val="00AB435E"/>
    <w:rsid w:val="00AB4A41"/>
    <w:rsid w:val="00AB61BA"/>
    <w:rsid w:val="00AB6412"/>
    <w:rsid w:val="00AB64EA"/>
    <w:rsid w:val="00AB65F9"/>
    <w:rsid w:val="00AB7561"/>
    <w:rsid w:val="00AB76A5"/>
    <w:rsid w:val="00AB7B8E"/>
    <w:rsid w:val="00AB7DE1"/>
    <w:rsid w:val="00AB7F12"/>
    <w:rsid w:val="00AC002B"/>
    <w:rsid w:val="00AC0484"/>
    <w:rsid w:val="00AC0ED5"/>
    <w:rsid w:val="00AC0FE7"/>
    <w:rsid w:val="00AC11AE"/>
    <w:rsid w:val="00AC15DB"/>
    <w:rsid w:val="00AC17D5"/>
    <w:rsid w:val="00AC1911"/>
    <w:rsid w:val="00AC196A"/>
    <w:rsid w:val="00AC20A9"/>
    <w:rsid w:val="00AC21C8"/>
    <w:rsid w:val="00AC2860"/>
    <w:rsid w:val="00AC2A51"/>
    <w:rsid w:val="00AC3107"/>
    <w:rsid w:val="00AC3112"/>
    <w:rsid w:val="00AC33D1"/>
    <w:rsid w:val="00AC3DE2"/>
    <w:rsid w:val="00AC3EBF"/>
    <w:rsid w:val="00AC4696"/>
    <w:rsid w:val="00AC46A4"/>
    <w:rsid w:val="00AC4B4B"/>
    <w:rsid w:val="00AC5258"/>
    <w:rsid w:val="00AC5996"/>
    <w:rsid w:val="00AC5BAB"/>
    <w:rsid w:val="00AC5C9C"/>
    <w:rsid w:val="00AC64E5"/>
    <w:rsid w:val="00AC6E23"/>
    <w:rsid w:val="00AC7032"/>
    <w:rsid w:val="00AC736C"/>
    <w:rsid w:val="00AC767F"/>
    <w:rsid w:val="00AC7782"/>
    <w:rsid w:val="00AD003E"/>
    <w:rsid w:val="00AD014F"/>
    <w:rsid w:val="00AD03F0"/>
    <w:rsid w:val="00AD0717"/>
    <w:rsid w:val="00AD0823"/>
    <w:rsid w:val="00AD0B1C"/>
    <w:rsid w:val="00AD0BA9"/>
    <w:rsid w:val="00AD0E66"/>
    <w:rsid w:val="00AD0F4C"/>
    <w:rsid w:val="00AD11A6"/>
    <w:rsid w:val="00AD179A"/>
    <w:rsid w:val="00AD1928"/>
    <w:rsid w:val="00AD1C91"/>
    <w:rsid w:val="00AD1CB2"/>
    <w:rsid w:val="00AD2139"/>
    <w:rsid w:val="00AD2D9B"/>
    <w:rsid w:val="00AD32F8"/>
    <w:rsid w:val="00AD364C"/>
    <w:rsid w:val="00AD36DE"/>
    <w:rsid w:val="00AD36E9"/>
    <w:rsid w:val="00AD3849"/>
    <w:rsid w:val="00AD3A33"/>
    <w:rsid w:val="00AD3A3D"/>
    <w:rsid w:val="00AD3BCD"/>
    <w:rsid w:val="00AD3FAB"/>
    <w:rsid w:val="00AD419C"/>
    <w:rsid w:val="00AD4857"/>
    <w:rsid w:val="00AD4CCC"/>
    <w:rsid w:val="00AD5AC5"/>
    <w:rsid w:val="00AD5BA0"/>
    <w:rsid w:val="00AD5BA8"/>
    <w:rsid w:val="00AD6039"/>
    <w:rsid w:val="00AD604E"/>
    <w:rsid w:val="00AD6050"/>
    <w:rsid w:val="00AD661B"/>
    <w:rsid w:val="00AD6673"/>
    <w:rsid w:val="00AD66C8"/>
    <w:rsid w:val="00AD6D46"/>
    <w:rsid w:val="00AD78A3"/>
    <w:rsid w:val="00AD7977"/>
    <w:rsid w:val="00AD7DFE"/>
    <w:rsid w:val="00AD7F76"/>
    <w:rsid w:val="00AD7F9B"/>
    <w:rsid w:val="00AE0290"/>
    <w:rsid w:val="00AE0377"/>
    <w:rsid w:val="00AE0708"/>
    <w:rsid w:val="00AE1040"/>
    <w:rsid w:val="00AE1525"/>
    <w:rsid w:val="00AE17D6"/>
    <w:rsid w:val="00AE1C69"/>
    <w:rsid w:val="00AE28B8"/>
    <w:rsid w:val="00AE2F71"/>
    <w:rsid w:val="00AE3559"/>
    <w:rsid w:val="00AE3638"/>
    <w:rsid w:val="00AE3682"/>
    <w:rsid w:val="00AE3D51"/>
    <w:rsid w:val="00AE3EC9"/>
    <w:rsid w:val="00AE3F41"/>
    <w:rsid w:val="00AE3FB3"/>
    <w:rsid w:val="00AE4114"/>
    <w:rsid w:val="00AE4B65"/>
    <w:rsid w:val="00AE4DAC"/>
    <w:rsid w:val="00AE5351"/>
    <w:rsid w:val="00AE57F7"/>
    <w:rsid w:val="00AE5F36"/>
    <w:rsid w:val="00AE6274"/>
    <w:rsid w:val="00AE6478"/>
    <w:rsid w:val="00AE664E"/>
    <w:rsid w:val="00AE6AE1"/>
    <w:rsid w:val="00AE716B"/>
    <w:rsid w:val="00AE7D8D"/>
    <w:rsid w:val="00AE7FB2"/>
    <w:rsid w:val="00AF0065"/>
    <w:rsid w:val="00AF0217"/>
    <w:rsid w:val="00AF0945"/>
    <w:rsid w:val="00AF09E6"/>
    <w:rsid w:val="00AF0EFA"/>
    <w:rsid w:val="00AF0F9A"/>
    <w:rsid w:val="00AF15F0"/>
    <w:rsid w:val="00AF1BAE"/>
    <w:rsid w:val="00AF2375"/>
    <w:rsid w:val="00AF23D6"/>
    <w:rsid w:val="00AF28D8"/>
    <w:rsid w:val="00AF2A7D"/>
    <w:rsid w:val="00AF2B01"/>
    <w:rsid w:val="00AF2B15"/>
    <w:rsid w:val="00AF2F1B"/>
    <w:rsid w:val="00AF30C1"/>
    <w:rsid w:val="00AF337A"/>
    <w:rsid w:val="00AF3422"/>
    <w:rsid w:val="00AF3526"/>
    <w:rsid w:val="00AF3574"/>
    <w:rsid w:val="00AF38CE"/>
    <w:rsid w:val="00AF3AD5"/>
    <w:rsid w:val="00AF3B72"/>
    <w:rsid w:val="00AF4211"/>
    <w:rsid w:val="00AF4861"/>
    <w:rsid w:val="00AF4B95"/>
    <w:rsid w:val="00AF4C8A"/>
    <w:rsid w:val="00AF523F"/>
    <w:rsid w:val="00AF5492"/>
    <w:rsid w:val="00AF54A2"/>
    <w:rsid w:val="00AF57AB"/>
    <w:rsid w:val="00AF58E0"/>
    <w:rsid w:val="00AF5F1D"/>
    <w:rsid w:val="00AF6260"/>
    <w:rsid w:val="00AF64C5"/>
    <w:rsid w:val="00AF702F"/>
    <w:rsid w:val="00AF7320"/>
    <w:rsid w:val="00AF73F0"/>
    <w:rsid w:val="00AF7480"/>
    <w:rsid w:val="00AF74D2"/>
    <w:rsid w:val="00AF7725"/>
    <w:rsid w:val="00AF795B"/>
    <w:rsid w:val="00AF7DAC"/>
    <w:rsid w:val="00B00453"/>
    <w:rsid w:val="00B007A7"/>
    <w:rsid w:val="00B00FBD"/>
    <w:rsid w:val="00B01471"/>
    <w:rsid w:val="00B01531"/>
    <w:rsid w:val="00B019A9"/>
    <w:rsid w:val="00B01D52"/>
    <w:rsid w:val="00B01F50"/>
    <w:rsid w:val="00B01F92"/>
    <w:rsid w:val="00B02446"/>
    <w:rsid w:val="00B02539"/>
    <w:rsid w:val="00B025D6"/>
    <w:rsid w:val="00B02DED"/>
    <w:rsid w:val="00B0359D"/>
    <w:rsid w:val="00B0378B"/>
    <w:rsid w:val="00B03837"/>
    <w:rsid w:val="00B038E8"/>
    <w:rsid w:val="00B03912"/>
    <w:rsid w:val="00B03D65"/>
    <w:rsid w:val="00B03F95"/>
    <w:rsid w:val="00B042AB"/>
    <w:rsid w:val="00B04DE9"/>
    <w:rsid w:val="00B05C98"/>
    <w:rsid w:val="00B06188"/>
    <w:rsid w:val="00B063FA"/>
    <w:rsid w:val="00B06621"/>
    <w:rsid w:val="00B069CE"/>
    <w:rsid w:val="00B07A09"/>
    <w:rsid w:val="00B07B22"/>
    <w:rsid w:val="00B07C35"/>
    <w:rsid w:val="00B07F50"/>
    <w:rsid w:val="00B100CA"/>
    <w:rsid w:val="00B101C2"/>
    <w:rsid w:val="00B10238"/>
    <w:rsid w:val="00B10A0B"/>
    <w:rsid w:val="00B10B6B"/>
    <w:rsid w:val="00B11098"/>
    <w:rsid w:val="00B11485"/>
    <w:rsid w:val="00B11AC4"/>
    <w:rsid w:val="00B125CE"/>
    <w:rsid w:val="00B127E5"/>
    <w:rsid w:val="00B12F36"/>
    <w:rsid w:val="00B13122"/>
    <w:rsid w:val="00B13178"/>
    <w:rsid w:val="00B1323A"/>
    <w:rsid w:val="00B135E4"/>
    <w:rsid w:val="00B13E5F"/>
    <w:rsid w:val="00B13EC3"/>
    <w:rsid w:val="00B13F25"/>
    <w:rsid w:val="00B13F44"/>
    <w:rsid w:val="00B13FEC"/>
    <w:rsid w:val="00B14141"/>
    <w:rsid w:val="00B14149"/>
    <w:rsid w:val="00B1424F"/>
    <w:rsid w:val="00B14259"/>
    <w:rsid w:val="00B143EA"/>
    <w:rsid w:val="00B1469B"/>
    <w:rsid w:val="00B147A7"/>
    <w:rsid w:val="00B14B99"/>
    <w:rsid w:val="00B14DA3"/>
    <w:rsid w:val="00B15289"/>
    <w:rsid w:val="00B15339"/>
    <w:rsid w:val="00B15AFC"/>
    <w:rsid w:val="00B15CFB"/>
    <w:rsid w:val="00B167E3"/>
    <w:rsid w:val="00B16D6B"/>
    <w:rsid w:val="00B16F54"/>
    <w:rsid w:val="00B17525"/>
    <w:rsid w:val="00B1759B"/>
    <w:rsid w:val="00B17607"/>
    <w:rsid w:val="00B17C67"/>
    <w:rsid w:val="00B17C6C"/>
    <w:rsid w:val="00B2030D"/>
    <w:rsid w:val="00B20945"/>
    <w:rsid w:val="00B20CCA"/>
    <w:rsid w:val="00B20F32"/>
    <w:rsid w:val="00B20F90"/>
    <w:rsid w:val="00B22795"/>
    <w:rsid w:val="00B22CFC"/>
    <w:rsid w:val="00B23224"/>
    <w:rsid w:val="00B23319"/>
    <w:rsid w:val="00B23970"/>
    <w:rsid w:val="00B24353"/>
    <w:rsid w:val="00B24387"/>
    <w:rsid w:val="00B2456F"/>
    <w:rsid w:val="00B252A1"/>
    <w:rsid w:val="00B256F6"/>
    <w:rsid w:val="00B25DBD"/>
    <w:rsid w:val="00B25E8C"/>
    <w:rsid w:val="00B25FE2"/>
    <w:rsid w:val="00B264E5"/>
    <w:rsid w:val="00B26762"/>
    <w:rsid w:val="00B2684C"/>
    <w:rsid w:val="00B26CCB"/>
    <w:rsid w:val="00B27042"/>
    <w:rsid w:val="00B271E9"/>
    <w:rsid w:val="00B27262"/>
    <w:rsid w:val="00B27298"/>
    <w:rsid w:val="00B2729F"/>
    <w:rsid w:val="00B273B9"/>
    <w:rsid w:val="00B278EB"/>
    <w:rsid w:val="00B27A2F"/>
    <w:rsid w:val="00B30197"/>
    <w:rsid w:val="00B3041B"/>
    <w:rsid w:val="00B30666"/>
    <w:rsid w:val="00B307E7"/>
    <w:rsid w:val="00B309A8"/>
    <w:rsid w:val="00B30F29"/>
    <w:rsid w:val="00B3170A"/>
    <w:rsid w:val="00B31925"/>
    <w:rsid w:val="00B31A31"/>
    <w:rsid w:val="00B31BEA"/>
    <w:rsid w:val="00B31D24"/>
    <w:rsid w:val="00B32441"/>
    <w:rsid w:val="00B32DCA"/>
    <w:rsid w:val="00B33225"/>
    <w:rsid w:val="00B333E9"/>
    <w:rsid w:val="00B3370D"/>
    <w:rsid w:val="00B3394C"/>
    <w:rsid w:val="00B33956"/>
    <w:rsid w:val="00B3440A"/>
    <w:rsid w:val="00B34829"/>
    <w:rsid w:val="00B34B3A"/>
    <w:rsid w:val="00B34D96"/>
    <w:rsid w:val="00B34E9C"/>
    <w:rsid w:val="00B34F34"/>
    <w:rsid w:val="00B3508D"/>
    <w:rsid w:val="00B35507"/>
    <w:rsid w:val="00B35D53"/>
    <w:rsid w:val="00B35FD4"/>
    <w:rsid w:val="00B361C2"/>
    <w:rsid w:val="00B362B9"/>
    <w:rsid w:val="00B37189"/>
    <w:rsid w:val="00B37314"/>
    <w:rsid w:val="00B3762C"/>
    <w:rsid w:val="00B37871"/>
    <w:rsid w:val="00B378AC"/>
    <w:rsid w:val="00B37939"/>
    <w:rsid w:val="00B3797C"/>
    <w:rsid w:val="00B37F70"/>
    <w:rsid w:val="00B40320"/>
    <w:rsid w:val="00B412F3"/>
    <w:rsid w:val="00B4155E"/>
    <w:rsid w:val="00B41889"/>
    <w:rsid w:val="00B4189F"/>
    <w:rsid w:val="00B41D18"/>
    <w:rsid w:val="00B41FCF"/>
    <w:rsid w:val="00B42C96"/>
    <w:rsid w:val="00B42CB3"/>
    <w:rsid w:val="00B43050"/>
    <w:rsid w:val="00B43571"/>
    <w:rsid w:val="00B43653"/>
    <w:rsid w:val="00B4374D"/>
    <w:rsid w:val="00B43B1E"/>
    <w:rsid w:val="00B445B3"/>
    <w:rsid w:val="00B451E1"/>
    <w:rsid w:val="00B4531E"/>
    <w:rsid w:val="00B45354"/>
    <w:rsid w:val="00B4537E"/>
    <w:rsid w:val="00B453DF"/>
    <w:rsid w:val="00B45834"/>
    <w:rsid w:val="00B45D59"/>
    <w:rsid w:val="00B45E1C"/>
    <w:rsid w:val="00B4601A"/>
    <w:rsid w:val="00B460EC"/>
    <w:rsid w:val="00B46145"/>
    <w:rsid w:val="00B4625C"/>
    <w:rsid w:val="00B4656A"/>
    <w:rsid w:val="00B468AB"/>
    <w:rsid w:val="00B46E0C"/>
    <w:rsid w:val="00B475DD"/>
    <w:rsid w:val="00B479BE"/>
    <w:rsid w:val="00B47E80"/>
    <w:rsid w:val="00B47EF8"/>
    <w:rsid w:val="00B50520"/>
    <w:rsid w:val="00B505AC"/>
    <w:rsid w:val="00B507D2"/>
    <w:rsid w:val="00B508CA"/>
    <w:rsid w:val="00B50B59"/>
    <w:rsid w:val="00B50D96"/>
    <w:rsid w:val="00B51355"/>
    <w:rsid w:val="00B513B4"/>
    <w:rsid w:val="00B517DD"/>
    <w:rsid w:val="00B51835"/>
    <w:rsid w:val="00B518DB"/>
    <w:rsid w:val="00B51A82"/>
    <w:rsid w:val="00B52518"/>
    <w:rsid w:val="00B5267A"/>
    <w:rsid w:val="00B52702"/>
    <w:rsid w:val="00B52894"/>
    <w:rsid w:val="00B52CF2"/>
    <w:rsid w:val="00B53150"/>
    <w:rsid w:val="00B536CE"/>
    <w:rsid w:val="00B53BA0"/>
    <w:rsid w:val="00B5417E"/>
    <w:rsid w:val="00B54A12"/>
    <w:rsid w:val="00B557A5"/>
    <w:rsid w:val="00B557D5"/>
    <w:rsid w:val="00B55929"/>
    <w:rsid w:val="00B55CAE"/>
    <w:rsid w:val="00B56462"/>
    <w:rsid w:val="00B565B8"/>
    <w:rsid w:val="00B56736"/>
    <w:rsid w:val="00B569C4"/>
    <w:rsid w:val="00B57EF9"/>
    <w:rsid w:val="00B604F1"/>
    <w:rsid w:val="00B60545"/>
    <w:rsid w:val="00B606AC"/>
    <w:rsid w:val="00B60C62"/>
    <w:rsid w:val="00B61601"/>
    <w:rsid w:val="00B61C36"/>
    <w:rsid w:val="00B621A0"/>
    <w:rsid w:val="00B62CBD"/>
    <w:rsid w:val="00B630ED"/>
    <w:rsid w:val="00B632CE"/>
    <w:rsid w:val="00B633E2"/>
    <w:rsid w:val="00B63763"/>
    <w:rsid w:val="00B638BE"/>
    <w:rsid w:val="00B63B8D"/>
    <w:rsid w:val="00B63D44"/>
    <w:rsid w:val="00B63E69"/>
    <w:rsid w:val="00B6408D"/>
    <w:rsid w:val="00B64EBB"/>
    <w:rsid w:val="00B64FAC"/>
    <w:rsid w:val="00B64FE5"/>
    <w:rsid w:val="00B65AA4"/>
    <w:rsid w:val="00B65B13"/>
    <w:rsid w:val="00B65C4B"/>
    <w:rsid w:val="00B65CB2"/>
    <w:rsid w:val="00B66310"/>
    <w:rsid w:val="00B663DB"/>
    <w:rsid w:val="00B66571"/>
    <w:rsid w:val="00B6776F"/>
    <w:rsid w:val="00B67972"/>
    <w:rsid w:val="00B67B4E"/>
    <w:rsid w:val="00B67B8C"/>
    <w:rsid w:val="00B70480"/>
    <w:rsid w:val="00B704FD"/>
    <w:rsid w:val="00B70D4F"/>
    <w:rsid w:val="00B70F0A"/>
    <w:rsid w:val="00B70FD2"/>
    <w:rsid w:val="00B71622"/>
    <w:rsid w:val="00B71BE3"/>
    <w:rsid w:val="00B725BC"/>
    <w:rsid w:val="00B7260E"/>
    <w:rsid w:val="00B72A97"/>
    <w:rsid w:val="00B73108"/>
    <w:rsid w:val="00B73A61"/>
    <w:rsid w:val="00B73A8A"/>
    <w:rsid w:val="00B73B88"/>
    <w:rsid w:val="00B73D8D"/>
    <w:rsid w:val="00B73F1E"/>
    <w:rsid w:val="00B74323"/>
    <w:rsid w:val="00B74610"/>
    <w:rsid w:val="00B74AF4"/>
    <w:rsid w:val="00B74DD1"/>
    <w:rsid w:val="00B74F79"/>
    <w:rsid w:val="00B750AD"/>
    <w:rsid w:val="00B7547B"/>
    <w:rsid w:val="00B755BD"/>
    <w:rsid w:val="00B75AF2"/>
    <w:rsid w:val="00B76952"/>
    <w:rsid w:val="00B76DBC"/>
    <w:rsid w:val="00B76DF9"/>
    <w:rsid w:val="00B77283"/>
    <w:rsid w:val="00B77531"/>
    <w:rsid w:val="00B7761E"/>
    <w:rsid w:val="00B77A80"/>
    <w:rsid w:val="00B77CCA"/>
    <w:rsid w:val="00B80268"/>
    <w:rsid w:val="00B803D6"/>
    <w:rsid w:val="00B804C3"/>
    <w:rsid w:val="00B80D78"/>
    <w:rsid w:val="00B819F7"/>
    <w:rsid w:val="00B82329"/>
    <w:rsid w:val="00B826DB"/>
    <w:rsid w:val="00B82779"/>
    <w:rsid w:val="00B8288C"/>
    <w:rsid w:val="00B82916"/>
    <w:rsid w:val="00B82CB4"/>
    <w:rsid w:val="00B82E81"/>
    <w:rsid w:val="00B83368"/>
    <w:rsid w:val="00B83433"/>
    <w:rsid w:val="00B8383C"/>
    <w:rsid w:val="00B83B47"/>
    <w:rsid w:val="00B83E47"/>
    <w:rsid w:val="00B840DA"/>
    <w:rsid w:val="00B843E5"/>
    <w:rsid w:val="00B8496B"/>
    <w:rsid w:val="00B84BB5"/>
    <w:rsid w:val="00B84D90"/>
    <w:rsid w:val="00B84EA1"/>
    <w:rsid w:val="00B84FF8"/>
    <w:rsid w:val="00B85219"/>
    <w:rsid w:val="00B85D9A"/>
    <w:rsid w:val="00B8628A"/>
    <w:rsid w:val="00B86421"/>
    <w:rsid w:val="00B864AB"/>
    <w:rsid w:val="00B86A19"/>
    <w:rsid w:val="00B86E1F"/>
    <w:rsid w:val="00B87564"/>
    <w:rsid w:val="00B87CA1"/>
    <w:rsid w:val="00B90397"/>
    <w:rsid w:val="00B90873"/>
    <w:rsid w:val="00B919AE"/>
    <w:rsid w:val="00B91C15"/>
    <w:rsid w:val="00B92709"/>
    <w:rsid w:val="00B92BD9"/>
    <w:rsid w:val="00B92C18"/>
    <w:rsid w:val="00B92FB3"/>
    <w:rsid w:val="00B93087"/>
    <w:rsid w:val="00B93CC2"/>
    <w:rsid w:val="00B93E04"/>
    <w:rsid w:val="00B943D5"/>
    <w:rsid w:val="00B94659"/>
    <w:rsid w:val="00B94A45"/>
    <w:rsid w:val="00B94BC0"/>
    <w:rsid w:val="00B94BD2"/>
    <w:rsid w:val="00B953CC"/>
    <w:rsid w:val="00B95662"/>
    <w:rsid w:val="00B957EB"/>
    <w:rsid w:val="00B958C9"/>
    <w:rsid w:val="00B95A17"/>
    <w:rsid w:val="00B95CBE"/>
    <w:rsid w:val="00B95CE8"/>
    <w:rsid w:val="00B95FFF"/>
    <w:rsid w:val="00B9668B"/>
    <w:rsid w:val="00B96848"/>
    <w:rsid w:val="00B969A0"/>
    <w:rsid w:val="00B96A9D"/>
    <w:rsid w:val="00B96FA5"/>
    <w:rsid w:val="00B9706E"/>
    <w:rsid w:val="00B9710F"/>
    <w:rsid w:val="00B971A4"/>
    <w:rsid w:val="00B971F7"/>
    <w:rsid w:val="00BA072C"/>
    <w:rsid w:val="00BA0860"/>
    <w:rsid w:val="00BA096E"/>
    <w:rsid w:val="00BA0AFD"/>
    <w:rsid w:val="00BA0F7B"/>
    <w:rsid w:val="00BA1374"/>
    <w:rsid w:val="00BA1472"/>
    <w:rsid w:val="00BA199E"/>
    <w:rsid w:val="00BA1B70"/>
    <w:rsid w:val="00BA1E01"/>
    <w:rsid w:val="00BA2050"/>
    <w:rsid w:val="00BA2236"/>
    <w:rsid w:val="00BA2C8D"/>
    <w:rsid w:val="00BA2DAF"/>
    <w:rsid w:val="00BA30C6"/>
    <w:rsid w:val="00BA3160"/>
    <w:rsid w:val="00BA3941"/>
    <w:rsid w:val="00BA39B0"/>
    <w:rsid w:val="00BA4269"/>
    <w:rsid w:val="00BA431E"/>
    <w:rsid w:val="00BA4613"/>
    <w:rsid w:val="00BA4E11"/>
    <w:rsid w:val="00BA4FA5"/>
    <w:rsid w:val="00BA5041"/>
    <w:rsid w:val="00BA5C07"/>
    <w:rsid w:val="00BA62BB"/>
    <w:rsid w:val="00BA6391"/>
    <w:rsid w:val="00BA6721"/>
    <w:rsid w:val="00BA6838"/>
    <w:rsid w:val="00BA68F0"/>
    <w:rsid w:val="00BA6BA1"/>
    <w:rsid w:val="00BA6FD2"/>
    <w:rsid w:val="00BA6FFD"/>
    <w:rsid w:val="00BA7561"/>
    <w:rsid w:val="00BA75D7"/>
    <w:rsid w:val="00BA7900"/>
    <w:rsid w:val="00BA7D3A"/>
    <w:rsid w:val="00BB03F5"/>
    <w:rsid w:val="00BB0506"/>
    <w:rsid w:val="00BB09D6"/>
    <w:rsid w:val="00BB0A96"/>
    <w:rsid w:val="00BB0A9E"/>
    <w:rsid w:val="00BB0AB6"/>
    <w:rsid w:val="00BB13C4"/>
    <w:rsid w:val="00BB15C2"/>
    <w:rsid w:val="00BB1693"/>
    <w:rsid w:val="00BB16C8"/>
    <w:rsid w:val="00BB179E"/>
    <w:rsid w:val="00BB2555"/>
    <w:rsid w:val="00BB2681"/>
    <w:rsid w:val="00BB301F"/>
    <w:rsid w:val="00BB3253"/>
    <w:rsid w:val="00BB3865"/>
    <w:rsid w:val="00BB39FB"/>
    <w:rsid w:val="00BB435B"/>
    <w:rsid w:val="00BB46A2"/>
    <w:rsid w:val="00BB4B53"/>
    <w:rsid w:val="00BB4F4B"/>
    <w:rsid w:val="00BB502A"/>
    <w:rsid w:val="00BB50FB"/>
    <w:rsid w:val="00BB543C"/>
    <w:rsid w:val="00BB56B9"/>
    <w:rsid w:val="00BB5843"/>
    <w:rsid w:val="00BB5C9F"/>
    <w:rsid w:val="00BB5DDD"/>
    <w:rsid w:val="00BB61B8"/>
    <w:rsid w:val="00BB6289"/>
    <w:rsid w:val="00BB630E"/>
    <w:rsid w:val="00BB679E"/>
    <w:rsid w:val="00BB682C"/>
    <w:rsid w:val="00BB686F"/>
    <w:rsid w:val="00BB6999"/>
    <w:rsid w:val="00BB6C23"/>
    <w:rsid w:val="00BB6DAD"/>
    <w:rsid w:val="00BB72D0"/>
    <w:rsid w:val="00BB7BCB"/>
    <w:rsid w:val="00BC0574"/>
    <w:rsid w:val="00BC064B"/>
    <w:rsid w:val="00BC0D4F"/>
    <w:rsid w:val="00BC1577"/>
    <w:rsid w:val="00BC18AA"/>
    <w:rsid w:val="00BC1F1A"/>
    <w:rsid w:val="00BC2101"/>
    <w:rsid w:val="00BC24DB"/>
    <w:rsid w:val="00BC2AA1"/>
    <w:rsid w:val="00BC2D89"/>
    <w:rsid w:val="00BC2EC0"/>
    <w:rsid w:val="00BC2F9E"/>
    <w:rsid w:val="00BC3316"/>
    <w:rsid w:val="00BC3594"/>
    <w:rsid w:val="00BC3775"/>
    <w:rsid w:val="00BC378C"/>
    <w:rsid w:val="00BC37FA"/>
    <w:rsid w:val="00BC3A7B"/>
    <w:rsid w:val="00BC3ACA"/>
    <w:rsid w:val="00BC3B78"/>
    <w:rsid w:val="00BC486B"/>
    <w:rsid w:val="00BC5115"/>
    <w:rsid w:val="00BC5470"/>
    <w:rsid w:val="00BC5544"/>
    <w:rsid w:val="00BC55AC"/>
    <w:rsid w:val="00BC56A9"/>
    <w:rsid w:val="00BC57A2"/>
    <w:rsid w:val="00BC58CF"/>
    <w:rsid w:val="00BC5B4C"/>
    <w:rsid w:val="00BC5DF6"/>
    <w:rsid w:val="00BC5F3B"/>
    <w:rsid w:val="00BC60E2"/>
    <w:rsid w:val="00BC62E9"/>
    <w:rsid w:val="00BC6545"/>
    <w:rsid w:val="00BC6713"/>
    <w:rsid w:val="00BC6771"/>
    <w:rsid w:val="00BC6FCA"/>
    <w:rsid w:val="00BC7240"/>
    <w:rsid w:val="00BC731C"/>
    <w:rsid w:val="00BC747B"/>
    <w:rsid w:val="00BC75A1"/>
    <w:rsid w:val="00BC7634"/>
    <w:rsid w:val="00BC7C1C"/>
    <w:rsid w:val="00BC7E99"/>
    <w:rsid w:val="00BC7FFC"/>
    <w:rsid w:val="00BD00F0"/>
    <w:rsid w:val="00BD0C88"/>
    <w:rsid w:val="00BD1172"/>
    <w:rsid w:val="00BD226A"/>
    <w:rsid w:val="00BD2463"/>
    <w:rsid w:val="00BD2598"/>
    <w:rsid w:val="00BD27DB"/>
    <w:rsid w:val="00BD2E7B"/>
    <w:rsid w:val="00BD307B"/>
    <w:rsid w:val="00BD34CA"/>
    <w:rsid w:val="00BD369D"/>
    <w:rsid w:val="00BD3D59"/>
    <w:rsid w:val="00BD45A1"/>
    <w:rsid w:val="00BD5301"/>
    <w:rsid w:val="00BD5325"/>
    <w:rsid w:val="00BD5D97"/>
    <w:rsid w:val="00BD5FF0"/>
    <w:rsid w:val="00BD6284"/>
    <w:rsid w:val="00BD6B41"/>
    <w:rsid w:val="00BD6DE5"/>
    <w:rsid w:val="00BD7267"/>
    <w:rsid w:val="00BD752A"/>
    <w:rsid w:val="00BD7748"/>
    <w:rsid w:val="00BD79BD"/>
    <w:rsid w:val="00BD7FB1"/>
    <w:rsid w:val="00BE0406"/>
    <w:rsid w:val="00BE05D1"/>
    <w:rsid w:val="00BE100F"/>
    <w:rsid w:val="00BE11C5"/>
    <w:rsid w:val="00BE1685"/>
    <w:rsid w:val="00BE1722"/>
    <w:rsid w:val="00BE1F80"/>
    <w:rsid w:val="00BE27B2"/>
    <w:rsid w:val="00BE2ACB"/>
    <w:rsid w:val="00BE2B6A"/>
    <w:rsid w:val="00BE2DC1"/>
    <w:rsid w:val="00BE3BB3"/>
    <w:rsid w:val="00BE4788"/>
    <w:rsid w:val="00BE4D88"/>
    <w:rsid w:val="00BE515D"/>
    <w:rsid w:val="00BE585F"/>
    <w:rsid w:val="00BE5AE3"/>
    <w:rsid w:val="00BE5B7E"/>
    <w:rsid w:val="00BE5CC0"/>
    <w:rsid w:val="00BE5D65"/>
    <w:rsid w:val="00BE5D73"/>
    <w:rsid w:val="00BE6B00"/>
    <w:rsid w:val="00BE7023"/>
    <w:rsid w:val="00BE7400"/>
    <w:rsid w:val="00BE7944"/>
    <w:rsid w:val="00BF04F9"/>
    <w:rsid w:val="00BF0B6C"/>
    <w:rsid w:val="00BF0C16"/>
    <w:rsid w:val="00BF1183"/>
    <w:rsid w:val="00BF123F"/>
    <w:rsid w:val="00BF12F0"/>
    <w:rsid w:val="00BF177E"/>
    <w:rsid w:val="00BF180B"/>
    <w:rsid w:val="00BF18FD"/>
    <w:rsid w:val="00BF1D55"/>
    <w:rsid w:val="00BF1DB3"/>
    <w:rsid w:val="00BF2451"/>
    <w:rsid w:val="00BF2E71"/>
    <w:rsid w:val="00BF314F"/>
    <w:rsid w:val="00BF3A36"/>
    <w:rsid w:val="00BF3F04"/>
    <w:rsid w:val="00BF447C"/>
    <w:rsid w:val="00BF5303"/>
    <w:rsid w:val="00BF5470"/>
    <w:rsid w:val="00BF577E"/>
    <w:rsid w:val="00BF5DFD"/>
    <w:rsid w:val="00BF5F72"/>
    <w:rsid w:val="00BF6040"/>
    <w:rsid w:val="00BF6095"/>
    <w:rsid w:val="00BF6422"/>
    <w:rsid w:val="00BF65F1"/>
    <w:rsid w:val="00BF669B"/>
    <w:rsid w:val="00BF6A0F"/>
    <w:rsid w:val="00BF6D1F"/>
    <w:rsid w:val="00BF7122"/>
    <w:rsid w:val="00BF731B"/>
    <w:rsid w:val="00BF74DD"/>
    <w:rsid w:val="00BF77AE"/>
    <w:rsid w:val="00C0019D"/>
    <w:rsid w:val="00C0173E"/>
    <w:rsid w:val="00C01E34"/>
    <w:rsid w:val="00C02156"/>
    <w:rsid w:val="00C022E6"/>
    <w:rsid w:val="00C025EA"/>
    <w:rsid w:val="00C02B67"/>
    <w:rsid w:val="00C03286"/>
    <w:rsid w:val="00C036A0"/>
    <w:rsid w:val="00C036B0"/>
    <w:rsid w:val="00C03718"/>
    <w:rsid w:val="00C04238"/>
    <w:rsid w:val="00C044E9"/>
    <w:rsid w:val="00C0489E"/>
    <w:rsid w:val="00C05332"/>
    <w:rsid w:val="00C053B5"/>
    <w:rsid w:val="00C05950"/>
    <w:rsid w:val="00C05C19"/>
    <w:rsid w:val="00C05D67"/>
    <w:rsid w:val="00C05E26"/>
    <w:rsid w:val="00C05EF3"/>
    <w:rsid w:val="00C06111"/>
    <w:rsid w:val="00C0628F"/>
    <w:rsid w:val="00C0701F"/>
    <w:rsid w:val="00C071D8"/>
    <w:rsid w:val="00C07303"/>
    <w:rsid w:val="00C10955"/>
    <w:rsid w:val="00C10B6E"/>
    <w:rsid w:val="00C10E7E"/>
    <w:rsid w:val="00C10EA0"/>
    <w:rsid w:val="00C115EB"/>
    <w:rsid w:val="00C11659"/>
    <w:rsid w:val="00C1180A"/>
    <w:rsid w:val="00C11CCA"/>
    <w:rsid w:val="00C11D6E"/>
    <w:rsid w:val="00C122DB"/>
    <w:rsid w:val="00C12461"/>
    <w:rsid w:val="00C12A60"/>
    <w:rsid w:val="00C12C54"/>
    <w:rsid w:val="00C12FBB"/>
    <w:rsid w:val="00C13E0C"/>
    <w:rsid w:val="00C142C3"/>
    <w:rsid w:val="00C14649"/>
    <w:rsid w:val="00C1472D"/>
    <w:rsid w:val="00C14A64"/>
    <w:rsid w:val="00C1555D"/>
    <w:rsid w:val="00C15942"/>
    <w:rsid w:val="00C165A6"/>
    <w:rsid w:val="00C16BB6"/>
    <w:rsid w:val="00C16F38"/>
    <w:rsid w:val="00C17033"/>
    <w:rsid w:val="00C179A1"/>
    <w:rsid w:val="00C17CD3"/>
    <w:rsid w:val="00C17F7D"/>
    <w:rsid w:val="00C201C3"/>
    <w:rsid w:val="00C2026C"/>
    <w:rsid w:val="00C205F0"/>
    <w:rsid w:val="00C20675"/>
    <w:rsid w:val="00C2084A"/>
    <w:rsid w:val="00C20D84"/>
    <w:rsid w:val="00C20DE3"/>
    <w:rsid w:val="00C2178F"/>
    <w:rsid w:val="00C2186A"/>
    <w:rsid w:val="00C2187F"/>
    <w:rsid w:val="00C21ECB"/>
    <w:rsid w:val="00C21EFA"/>
    <w:rsid w:val="00C22075"/>
    <w:rsid w:val="00C224B3"/>
    <w:rsid w:val="00C2260D"/>
    <w:rsid w:val="00C22F0B"/>
    <w:rsid w:val="00C23016"/>
    <w:rsid w:val="00C231F4"/>
    <w:rsid w:val="00C23413"/>
    <w:rsid w:val="00C23583"/>
    <w:rsid w:val="00C2365E"/>
    <w:rsid w:val="00C2366D"/>
    <w:rsid w:val="00C239CB"/>
    <w:rsid w:val="00C23A31"/>
    <w:rsid w:val="00C23C66"/>
    <w:rsid w:val="00C23FBD"/>
    <w:rsid w:val="00C24299"/>
    <w:rsid w:val="00C245D6"/>
    <w:rsid w:val="00C24916"/>
    <w:rsid w:val="00C24D30"/>
    <w:rsid w:val="00C24D57"/>
    <w:rsid w:val="00C24DC2"/>
    <w:rsid w:val="00C24ED9"/>
    <w:rsid w:val="00C2525F"/>
    <w:rsid w:val="00C25338"/>
    <w:rsid w:val="00C25428"/>
    <w:rsid w:val="00C25530"/>
    <w:rsid w:val="00C25CDB"/>
    <w:rsid w:val="00C25F7E"/>
    <w:rsid w:val="00C267EB"/>
    <w:rsid w:val="00C26B66"/>
    <w:rsid w:val="00C26B8A"/>
    <w:rsid w:val="00C27037"/>
    <w:rsid w:val="00C2761D"/>
    <w:rsid w:val="00C27874"/>
    <w:rsid w:val="00C27CD1"/>
    <w:rsid w:val="00C27CDB"/>
    <w:rsid w:val="00C27E1C"/>
    <w:rsid w:val="00C30311"/>
    <w:rsid w:val="00C303E5"/>
    <w:rsid w:val="00C30524"/>
    <w:rsid w:val="00C30E72"/>
    <w:rsid w:val="00C31495"/>
    <w:rsid w:val="00C31B28"/>
    <w:rsid w:val="00C31C08"/>
    <w:rsid w:val="00C31C99"/>
    <w:rsid w:val="00C3208B"/>
    <w:rsid w:val="00C321BB"/>
    <w:rsid w:val="00C32708"/>
    <w:rsid w:val="00C32CEA"/>
    <w:rsid w:val="00C32E65"/>
    <w:rsid w:val="00C3323A"/>
    <w:rsid w:val="00C332E2"/>
    <w:rsid w:val="00C33325"/>
    <w:rsid w:val="00C33745"/>
    <w:rsid w:val="00C33BCB"/>
    <w:rsid w:val="00C34C85"/>
    <w:rsid w:val="00C34DB5"/>
    <w:rsid w:val="00C350A0"/>
    <w:rsid w:val="00C3553A"/>
    <w:rsid w:val="00C35740"/>
    <w:rsid w:val="00C35896"/>
    <w:rsid w:val="00C360C2"/>
    <w:rsid w:val="00C3655E"/>
    <w:rsid w:val="00C36576"/>
    <w:rsid w:val="00C36DE4"/>
    <w:rsid w:val="00C36ECC"/>
    <w:rsid w:val="00C36F47"/>
    <w:rsid w:val="00C37739"/>
    <w:rsid w:val="00C3775E"/>
    <w:rsid w:val="00C403AF"/>
    <w:rsid w:val="00C40645"/>
    <w:rsid w:val="00C40727"/>
    <w:rsid w:val="00C40852"/>
    <w:rsid w:val="00C4099E"/>
    <w:rsid w:val="00C40B8C"/>
    <w:rsid w:val="00C41562"/>
    <w:rsid w:val="00C418DE"/>
    <w:rsid w:val="00C4197F"/>
    <w:rsid w:val="00C420FA"/>
    <w:rsid w:val="00C42106"/>
    <w:rsid w:val="00C42460"/>
    <w:rsid w:val="00C42B16"/>
    <w:rsid w:val="00C42E0F"/>
    <w:rsid w:val="00C42EDD"/>
    <w:rsid w:val="00C43438"/>
    <w:rsid w:val="00C43523"/>
    <w:rsid w:val="00C44734"/>
    <w:rsid w:val="00C44C82"/>
    <w:rsid w:val="00C44DAC"/>
    <w:rsid w:val="00C45171"/>
    <w:rsid w:val="00C4583D"/>
    <w:rsid w:val="00C45E1B"/>
    <w:rsid w:val="00C46041"/>
    <w:rsid w:val="00C46204"/>
    <w:rsid w:val="00C46238"/>
    <w:rsid w:val="00C477EF"/>
    <w:rsid w:val="00C500CF"/>
    <w:rsid w:val="00C506E6"/>
    <w:rsid w:val="00C50BAB"/>
    <w:rsid w:val="00C50D0B"/>
    <w:rsid w:val="00C50D30"/>
    <w:rsid w:val="00C50E5C"/>
    <w:rsid w:val="00C51327"/>
    <w:rsid w:val="00C51E2F"/>
    <w:rsid w:val="00C52247"/>
    <w:rsid w:val="00C523B4"/>
    <w:rsid w:val="00C524BA"/>
    <w:rsid w:val="00C52FD0"/>
    <w:rsid w:val="00C5302F"/>
    <w:rsid w:val="00C531D5"/>
    <w:rsid w:val="00C53837"/>
    <w:rsid w:val="00C53907"/>
    <w:rsid w:val="00C53935"/>
    <w:rsid w:val="00C54522"/>
    <w:rsid w:val="00C54702"/>
    <w:rsid w:val="00C54A51"/>
    <w:rsid w:val="00C54BA5"/>
    <w:rsid w:val="00C54EA5"/>
    <w:rsid w:val="00C54F57"/>
    <w:rsid w:val="00C552F1"/>
    <w:rsid w:val="00C552FA"/>
    <w:rsid w:val="00C55464"/>
    <w:rsid w:val="00C554F0"/>
    <w:rsid w:val="00C55576"/>
    <w:rsid w:val="00C556F7"/>
    <w:rsid w:val="00C558D3"/>
    <w:rsid w:val="00C55B68"/>
    <w:rsid w:val="00C560E3"/>
    <w:rsid w:val="00C56AFB"/>
    <w:rsid w:val="00C56BA8"/>
    <w:rsid w:val="00C56DAD"/>
    <w:rsid w:val="00C5707B"/>
    <w:rsid w:val="00C5741A"/>
    <w:rsid w:val="00C57526"/>
    <w:rsid w:val="00C57975"/>
    <w:rsid w:val="00C57C78"/>
    <w:rsid w:val="00C57E38"/>
    <w:rsid w:val="00C57F73"/>
    <w:rsid w:val="00C60467"/>
    <w:rsid w:val="00C606C3"/>
    <w:rsid w:val="00C60710"/>
    <w:rsid w:val="00C60C0D"/>
    <w:rsid w:val="00C616BD"/>
    <w:rsid w:val="00C61747"/>
    <w:rsid w:val="00C61824"/>
    <w:rsid w:val="00C61DA0"/>
    <w:rsid w:val="00C61ED2"/>
    <w:rsid w:val="00C62329"/>
    <w:rsid w:val="00C6240B"/>
    <w:rsid w:val="00C62481"/>
    <w:rsid w:val="00C6273E"/>
    <w:rsid w:val="00C638FD"/>
    <w:rsid w:val="00C63D63"/>
    <w:rsid w:val="00C63FD6"/>
    <w:rsid w:val="00C64499"/>
    <w:rsid w:val="00C649F6"/>
    <w:rsid w:val="00C64F1B"/>
    <w:rsid w:val="00C650C4"/>
    <w:rsid w:val="00C655B3"/>
    <w:rsid w:val="00C656D8"/>
    <w:rsid w:val="00C65919"/>
    <w:rsid w:val="00C65B96"/>
    <w:rsid w:val="00C65E6D"/>
    <w:rsid w:val="00C66072"/>
    <w:rsid w:val="00C661A5"/>
    <w:rsid w:val="00C66216"/>
    <w:rsid w:val="00C66356"/>
    <w:rsid w:val="00C6684D"/>
    <w:rsid w:val="00C66CB0"/>
    <w:rsid w:val="00C66E94"/>
    <w:rsid w:val="00C670FC"/>
    <w:rsid w:val="00C6767A"/>
    <w:rsid w:val="00C67F6F"/>
    <w:rsid w:val="00C70F08"/>
    <w:rsid w:val="00C7117B"/>
    <w:rsid w:val="00C71697"/>
    <w:rsid w:val="00C71788"/>
    <w:rsid w:val="00C71872"/>
    <w:rsid w:val="00C72364"/>
    <w:rsid w:val="00C72626"/>
    <w:rsid w:val="00C728EB"/>
    <w:rsid w:val="00C7291F"/>
    <w:rsid w:val="00C72DE2"/>
    <w:rsid w:val="00C730F3"/>
    <w:rsid w:val="00C7314A"/>
    <w:rsid w:val="00C734F9"/>
    <w:rsid w:val="00C73E20"/>
    <w:rsid w:val="00C73E61"/>
    <w:rsid w:val="00C7416F"/>
    <w:rsid w:val="00C74309"/>
    <w:rsid w:val="00C74BDC"/>
    <w:rsid w:val="00C76160"/>
    <w:rsid w:val="00C764ED"/>
    <w:rsid w:val="00C769D1"/>
    <w:rsid w:val="00C76AEF"/>
    <w:rsid w:val="00C77248"/>
    <w:rsid w:val="00C77749"/>
    <w:rsid w:val="00C779E3"/>
    <w:rsid w:val="00C77AE9"/>
    <w:rsid w:val="00C80069"/>
    <w:rsid w:val="00C8006D"/>
    <w:rsid w:val="00C801FD"/>
    <w:rsid w:val="00C8057A"/>
    <w:rsid w:val="00C80B6C"/>
    <w:rsid w:val="00C81817"/>
    <w:rsid w:val="00C81A4D"/>
    <w:rsid w:val="00C81D42"/>
    <w:rsid w:val="00C81E51"/>
    <w:rsid w:val="00C8209D"/>
    <w:rsid w:val="00C82232"/>
    <w:rsid w:val="00C82620"/>
    <w:rsid w:val="00C82D19"/>
    <w:rsid w:val="00C82E46"/>
    <w:rsid w:val="00C833F5"/>
    <w:rsid w:val="00C83689"/>
    <w:rsid w:val="00C83C38"/>
    <w:rsid w:val="00C83F56"/>
    <w:rsid w:val="00C8424E"/>
    <w:rsid w:val="00C8475F"/>
    <w:rsid w:val="00C8485F"/>
    <w:rsid w:val="00C84C5D"/>
    <w:rsid w:val="00C84CC4"/>
    <w:rsid w:val="00C8513F"/>
    <w:rsid w:val="00C85276"/>
    <w:rsid w:val="00C85523"/>
    <w:rsid w:val="00C85676"/>
    <w:rsid w:val="00C859DD"/>
    <w:rsid w:val="00C85A4C"/>
    <w:rsid w:val="00C85B03"/>
    <w:rsid w:val="00C85BB0"/>
    <w:rsid w:val="00C85BE5"/>
    <w:rsid w:val="00C86052"/>
    <w:rsid w:val="00C860BF"/>
    <w:rsid w:val="00C8648C"/>
    <w:rsid w:val="00C8682F"/>
    <w:rsid w:val="00C86E5C"/>
    <w:rsid w:val="00C86FDB"/>
    <w:rsid w:val="00C876B5"/>
    <w:rsid w:val="00C87996"/>
    <w:rsid w:val="00C87E6C"/>
    <w:rsid w:val="00C90124"/>
    <w:rsid w:val="00C90529"/>
    <w:rsid w:val="00C906FF"/>
    <w:rsid w:val="00C90A8C"/>
    <w:rsid w:val="00C90FE7"/>
    <w:rsid w:val="00C91042"/>
    <w:rsid w:val="00C911F5"/>
    <w:rsid w:val="00C91828"/>
    <w:rsid w:val="00C918C5"/>
    <w:rsid w:val="00C91A44"/>
    <w:rsid w:val="00C91CD9"/>
    <w:rsid w:val="00C91FEB"/>
    <w:rsid w:val="00C923B2"/>
    <w:rsid w:val="00C926AF"/>
    <w:rsid w:val="00C92E1F"/>
    <w:rsid w:val="00C92E4F"/>
    <w:rsid w:val="00C93007"/>
    <w:rsid w:val="00C934AC"/>
    <w:rsid w:val="00C93738"/>
    <w:rsid w:val="00C93900"/>
    <w:rsid w:val="00C93A6C"/>
    <w:rsid w:val="00C93C2B"/>
    <w:rsid w:val="00C93F14"/>
    <w:rsid w:val="00C94932"/>
    <w:rsid w:val="00C94B41"/>
    <w:rsid w:val="00C94C2E"/>
    <w:rsid w:val="00C94DF9"/>
    <w:rsid w:val="00C94F9B"/>
    <w:rsid w:val="00C9516C"/>
    <w:rsid w:val="00C952DD"/>
    <w:rsid w:val="00C95868"/>
    <w:rsid w:val="00C95A92"/>
    <w:rsid w:val="00C96012"/>
    <w:rsid w:val="00C9606A"/>
    <w:rsid w:val="00C962E9"/>
    <w:rsid w:val="00C96313"/>
    <w:rsid w:val="00C96541"/>
    <w:rsid w:val="00C968B6"/>
    <w:rsid w:val="00C96C42"/>
    <w:rsid w:val="00C9718F"/>
    <w:rsid w:val="00C972EF"/>
    <w:rsid w:val="00C97414"/>
    <w:rsid w:val="00C9752A"/>
    <w:rsid w:val="00C97737"/>
    <w:rsid w:val="00C97CB5"/>
    <w:rsid w:val="00C97D17"/>
    <w:rsid w:val="00CA02EC"/>
    <w:rsid w:val="00CA0466"/>
    <w:rsid w:val="00CA05D8"/>
    <w:rsid w:val="00CA11C9"/>
    <w:rsid w:val="00CA2053"/>
    <w:rsid w:val="00CA2506"/>
    <w:rsid w:val="00CA2AC3"/>
    <w:rsid w:val="00CA2B8C"/>
    <w:rsid w:val="00CA312F"/>
    <w:rsid w:val="00CA3459"/>
    <w:rsid w:val="00CA379B"/>
    <w:rsid w:val="00CA3D30"/>
    <w:rsid w:val="00CA41FF"/>
    <w:rsid w:val="00CA44AA"/>
    <w:rsid w:val="00CA467E"/>
    <w:rsid w:val="00CA4A35"/>
    <w:rsid w:val="00CA4DB0"/>
    <w:rsid w:val="00CA4F20"/>
    <w:rsid w:val="00CA5459"/>
    <w:rsid w:val="00CA59DD"/>
    <w:rsid w:val="00CA5CED"/>
    <w:rsid w:val="00CA6211"/>
    <w:rsid w:val="00CA63A2"/>
    <w:rsid w:val="00CA671E"/>
    <w:rsid w:val="00CA6A3A"/>
    <w:rsid w:val="00CA6A40"/>
    <w:rsid w:val="00CA6D8E"/>
    <w:rsid w:val="00CA78CC"/>
    <w:rsid w:val="00CA7A00"/>
    <w:rsid w:val="00CA7F22"/>
    <w:rsid w:val="00CB064C"/>
    <w:rsid w:val="00CB0ACD"/>
    <w:rsid w:val="00CB1080"/>
    <w:rsid w:val="00CB1375"/>
    <w:rsid w:val="00CB1853"/>
    <w:rsid w:val="00CB2153"/>
    <w:rsid w:val="00CB25DC"/>
    <w:rsid w:val="00CB2A68"/>
    <w:rsid w:val="00CB2AAC"/>
    <w:rsid w:val="00CB35F1"/>
    <w:rsid w:val="00CB41AC"/>
    <w:rsid w:val="00CB4352"/>
    <w:rsid w:val="00CB436C"/>
    <w:rsid w:val="00CB465F"/>
    <w:rsid w:val="00CB4ABE"/>
    <w:rsid w:val="00CB4D54"/>
    <w:rsid w:val="00CB51D5"/>
    <w:rsid w:val="00CB5272"/>
    <w:rsid w:val="00CB58F7"/>
    <w:rsid w:val="00CB5B79"/>
    <w:rsid w:val="00CB5C64"/>
    <w:rsid w:val="00CB5D19"/>
    <w:rsid w:val="00CB66F6"/>
    <w:rsid w:val="00CB69D1"/>
    <w:rsid w:val="00CB6A90"/>
    <w:rsid w:val="00CB74E2"/>
    <w:rsid w:val="00CB76BD"/>
    <w:rsid w:val="00CB7848"/>
    <w:rsid w:val="00CB78F5"/>
    <w:rsid w:val="00CB7B33"/>
    <w:rsid w:val="00CC097E"/>
    <w:rsid w:val="00CC0D43"/>
    <w:rsid w:val="00CC1784"/>
    <w:rsid w:val="00CC1DA6"/>
    <w:rsid w:val="00CC23D2"/>
    <w:rsid w:val="00CC25B9"/>
    <w:rsid w:val="00CC26C7"/>
    <w:rsid w:val="00CC291F"/>
    <w:rsid w:val="00CC32F3"/>
    <w:rsid w:val="00CC35EE"/>
    <w:rsid w:val="00CC382B"/>
    <w:rsid w:val="00CC38A1"/>
    <w:rsid w:val="00CC45A7"/>
    <w:rsid w:val="00CC4770"/>
    <w:rsid w:val="00CC4849"/>
    <w:rsid w:val="00CC574A"/>
    <w:rsid w:val="00CC5970"/>
    <w:rsid w:val="00CC59CD"/>
    <w:rsid w:val="00CC6609"/>
    <w:rsid w:val="00CC6616"/>
    <w:rsid w:val="00CC690F"/>
    <w:rsid w:val="00CC6AE3"/>
    <w:rsid w:val="00CC6BB4"/>
    <w:rsid w:val="00CC6D3E"/>
    <w:rsid w:val="00CC6D78"/>
    <w:rsid w:val="00CC768A"/>
    <w:rsid w:val="00CC78D4"/>
    <w:rsid w:val="00CC7ADC"/>
    <w:rsid w:val="00CD00C6"/>
    <w:rsid w:val="00CD06A0"/>
    <w:rsid w:val="00CD077E"/>
    <w:rsid w:val="00CD0CE0"/>
    <w:rsid w:val="00CD0E63"/>
    <w:rsid w:val="00CD1134"/>
    <w:rsid w:val="00CD1221"/>
    <w:rsid w:val="00CD1345"/>
    <w:rsid w:val="00CD1392"/>
    <w:rsid w:val="00CD13DC"/>
    <w:rsid w:val="00CD14E3"/>
    <w:rsid w:val="00CD1502"/>
    <w:rsid w:val="00CD1BB6"/>
    <w:rsid w:val="00CD2255"/>
    <w:rsid w:val="00CD22F1"/>
    <w:rsid w:val="00CD23BD"/>
    <w:rsid w:val="00CD2A9F"/>
    <w:rsid w:val="00CD36F2"/>
    <w:rsid w:val="00CD37C7"/>
    <w:rsid w:val="00CD3B8A"/>
    <w:rsid w:val="00CD3CD7"/>
    <w:rsid w:val="00CD409A"/>
    <w:rsid w:val="00CD4239"/>
    <w:rsid w:val="00CD4C17"/>
    <w:rsid w:val="00CD4D40"/>
    <w:rsid w:val="00CD571D"/>
    <w:rsid w:val="00CD5D9C"/>
    <w:rsid w:val="00CD66BD"/>
    <w:rsid w:val="00CD6951"/>
    <w:rsid w:val="00CD69BD"/>
    <w:rsid w:val="00CD7140"/>
    <w:rsid w:val="00CD750C"/>
    <w:rsid w:val="00CD7A2B"/>
    <w:rsid w:val="00CE004C"/>
    <w:rsid w:val="00CE0852"/>
    <w:rsid w:val="00CE0EB3"/>
    <w:rsid w:val="00CE0EFE"/>
    <w:rsid w:val="00CE1166"/>
    <w:rsid w:val="00CE121F"/>
    <w:rsid w:val="00CE13A9"/>
    <w:rsid w:val="00CE19C1"/>
    <w:rsid w:val="00CE1B3F"/>
    <w:rsid w:val="00CE21F4"/>
    <w:rsid w:val="00CE2602"/>
    <w:rsid w:val="00CE2675"/>
    <w:rsid w:val="00CE29BF"/>
    <w:rsid w:val="00CE2ACE"/>
    <w:rsid w:val="00CE2BFF"/>
    <w:rsid w:val="00CE307C"/>
    <w:rsid w:val="00CE3215"/>
    <w:rsid w:val="00CE37E1"/>
    <w:rsid w:val="00CE39F9"/>
    <w:rsid w:val="00CE3AA8"/>
    <w:rsid w:val="00CE3BE9"/>
    <w:rsid w:val="00CE3C87"/>
    <w:rsid w:val="00CE3D9A"/>
    <w:rsid w:val="00CE3DBA"/>
    <w:rsid w:val="00CE41BD"/>
    <w:rsid w:val="00CE42C4"/>
    <w:rsid w:val="00CE446D"/>
    <w:rsid w:val="00CE44D1"/>
    <w:rsid w:val="00CE47F3"/>
    <w:rsid w:val="00CE4A24"/>
    <w:rsid w:val="00CE4FED"/>
    <w:rsid w:val="00CE506F"/>
    <w:rsid w:val="00CE5353"/>
    <w:rsid w:val="00CE565B"/>
    <w:rsid w:val="00CE5A59"/>
    <w:rsid w:val="00CE5C04"/>
    <w:rsid w:val="00CE5D1F"/>
    <w:rsid w:val="00CE5D2C"/>
    <w:rsid w:val="00CE5F37"/>
    <w:rsid w:val="00CE6360"/>
    <w:rsid w:val="00CE6E10"/>
    <w:rsid w:val="00CE7095"/>
    <w:rsid w:val="00CE712F"/>
    <w:rsid w:val="00CE77D4"/>
    <w:rsid w:val="00CE7AA6"/>
    <w:rsid w:val="00CE7B80"/>
    <w:rsid w:val="00CE7D9A"/>
    <w:rsid w:val="00CF03B7"/>
    <w:rsid w:val="00CF06FB"/>
    <w:rsid w:val="00CF08D3"/>
    <w:rsid w:val="00CF0CAF"/>
    <w:rsid w:val="00CF1089"/>
    <w:rsid w:val="00CF14A9"/>
    <w:rsid w:val="00CF1679"/>
    <w:rsid w:val="00CF17F3"/>
    <w:rsid w:val="00CF247E"/>
    <w:rsid w:val="00CF24FC"/>
    <w:rsid w:val="00CF2AF2"/>
    <w:rsid w:val="00CF301B"/>
    <w:rsid w:val="00CF33BB"/>
    <w:rsid w:val="00CF375C"/>
    <w:rsid w:val="00CF3BE6"/>
    <w:rsid w:val="00CF3E89"/>
    <w:rsid w:val="00CF4821"/>
    <w:rsid w:val="00CF4B6C"/>
    <w:rsid w:val="00CF4CEE"/>
    <w:rsid w:val="00CF4EFA"/>
    <w:rsid w:val="00CF4F1C"/>
    <w:rsid w:val="00CF513E"/>
    <w:rsid w:val="00CF5155"/>
    <w:rsid w:val="00CF53DD"/>
    <w:rsid w:val="00CF5D20"/>
    <w:rsid w:val="00CF61BE"/>
    <w:rsid w:val="00CF63A8"/>
    <w:rsid w:val="00CF6799"/>
    <w:rsid w:val="00CF67A1"/>
    <w:rsid w:val="00CF688B"/>
    <w:rsid w:val="00CF696A"/>
    <w:rsid w:val="00CF72CA"/>
    <w:rsid w:val="00CF73AF"/>
    <w:rsid w:val="00CF7491"/>
    <w:rsid w:val="00CF78E5"/>
    <w:rsid w:val="00CF7A28"/>
    <w:rsid w:val="00CF7A65"/>
    <w:rsid w:val="00CF7E3E"/>
    <w:rsid w:val="00D00037"/>
    <w:rsid w:val="00D005BA"/>
    <w:rsid w:val="00D007C0"/>
    <w:rsid w:val="00D00924"/>
    <w:rsid w:val="00D012C1"/>
    <w:rsid w:val="00D01895"/>
    <w:rsid w:val="00D01A23"/>
    <w:rsid w:val="00D01B36"/>
    <w:rsid w:val="00D01FB5"/>
    <w:rsid w:val="00D0204E"/>
    <w:rsid w:val="00D029AD"/>
    <w:rsid w:val="00D02C36"/>
    <w:rsid w:val="00D02D60"/>
    <w:rsid w:val="00D033BD"/>
    <w:rsid w:val="00D033EF"/>
    <w:rsid w:val="00D03AC5"/>
    <w:rsid w:val="00D03C07"/>
    <w:rsid w:val="00D04188"/>
    <w:rsid w:val="00D045A7"/>
    <w:rsid w:val="00D04608"/>
    <w:rsid w:val="00D04821"/>
    <w:rsid w:val="00D04F59"/>
    <w:rsid w:val="00D050AC"/>
    <w:rsid w:val="00D05172"/>
    <w:rsid w:val="00D05742"/>
    <w:rsid w:val="00D05B2E"/>
    <w:rsid w:val="00D05BB9"/>
    <w:rsid w:val="00D06586"/>
    <w:rsid w:val="00D06ED0"/>
    <w:rsid w:val="00D07269"/>
    <w:rsid w:val="00D0753F"/>
    <w:rsid w:val="00D07B87"/>
    <w:rsid w:val="00D07C06"/>
    <w:rsid w:val="00D07CF4"/>
    <w:rsid w:val="00D07E7B"/>
    <w:rsid w:val="00D07F9E"/>
    <w:rsid w:val="00D105BB"/>
    <w:rsid w:val="00D1087F"/>
    <w:rsid w:val="00D108A2"/>
    <w:rsid w:val="00D10B89"/>
    <w:rsid w:val="00D112FE"/>
    <w:rsid w:val="00D11A16"/>
    <w:rsid w:val="00D11AF7"/>
    <w:rsid w:val="00D11D94"/>
    <w:rsid w:val="00D11E2C"/>
    <w:rsid w:val="00D1241A"/>
    <w:rsid w:val="00D12421"/>
    <w:rsid w:val="00D12438"/>
    <w:rsid w:val="00D1273E"/>
    <w:rsid w:val="00D12C95"/>
    <w:rsid w:val="00D13188"/>
    <w:rsid w:val="00D1387D"/>
    <w:rsid w:val="00D138BF"/>
    <w:rsid w:val="00D13A29"/>
    <w:rsid w:val="00D14732"/>
    <w:rsid w:val="00D14E5C"/>
    <w:rsid w:val="00D15644"/>
    <w:rsid w:val="00D15A63"/>
    <w:rsid w:val="00D15F7E"/>
    <w:rsid w:val="00D15FF1"/>
    <w:rsid w:val="00D16804"/>
    <w:rsid w:val="00D168AA"/>
    <w:rsid w:val="00D1749E"/>
    <w:rsid w:val="00D175A3"/>
    <w:rsid w:val="00D176C2"/>
    <w:rsid w:val="00D177BE"/>
    <w:rsid w:val="00D17832"/>
    <w:rsid w:val="00D1795A"/>
    <w:rsid w:val="00D17FC1"/>
    <w:rsid w:val="00D20267"/>
    <w:rsid w:val="00D203A7"/>
    <w:rsid w:val="00D204A0"/>
    <w:rsid w:val="00D2077E"/>
    <w:rsid w:val="00D20988"/>
    <w:rsid w:val="00D20D0A"/>
    <w:rsid w:val="00D210D7"/>
    <w:rsid w:val="00D21105"/>
    <w:rsid w:val="00D215FB"/>
    <w:rsid w:val="00D21E66"/>
    <w:rsid w:val="00D2220E"/>
    <w:rsid w:val="00D2249A"/>
    <w:rsid w:val="00D22694"/>
    <w:rsid w:val="00D22984"/>
    <w:rsid w:val="00D23488"/>
    <w:rsid w:val="00D23E42"/>
    <w:rsid w:val="00D2425F"/>
    <w:rsid w:val="00D243F8"/>
    <w:rsid w:val="00D245F0"/>
    <w:rsid w:val="00D2475A"/>
    <w:rsid w:val="00D248A4"/>
    <w:rsid w:val="00D24C32"/>
    <w:rsid w:val="00D24E08"/>
    <w:rsid w:val="00D2516A"/>
    <w:rsid w:val="00D25263"/>
    <w:rsid w:val="00D25759"/>
    <w:rsid w:val="00D2588F"/>
    <w:rsid w:val="00D25C70"/>
    <w:rsid w:val="00D2640A"/>
    <w:rsid w:val="00D266E8"/>
    <w:rsid w:val="00D26E45"/>
    <w:rsid w:val="00D27201"/>
    <w:rsid w:val="00D2739C"/>
    <w:rsid w:val="00D27704"/>
    <w:rsid w:val="00D27846"/>
    <w:rsid w:val="00D27AC4"/>
    <w:rsid w:val="00D27BE1"/>
    <w:rsid w:val="00D30EFB"/>
    <w:rsid w:val="00D311AD"/>
    <w:rsid w:val="00D317FE"/>
    <w:rsid w:val="00D319DF"/>
    <w:rsid w:val="00D31E15"/>
    <w:rsid w:val="00D32255"/>
    <w:rsid w:val="00D3226F"/>
    <w:rsid w:val="00D32749"/>
    <w:rsid w:val="00D3299C"/>
    <w:rsid w:val="00D32B6E"/>
    <w:rsid w:val="00D32D94"/>
    <w:rsid w:val="00D33579"/>
    <w:rsid w:val="00D338B5"/>
    <w:rsid w:val="00D33F15"/>
    <w:rsid w:val="00D34A6C"/>
    <w:rsid w:val="00D34AC6"/>
    <w:rsid w:val="00D34EFC"/>
    <w:rsid w:val="00D34FA9"/>
    <w:rsid w:val="00D35095"/>
    <w:rsid w:val="00D35128"/>
    <w:rsid w:val="00D3521A"/>
    <w:rsid w:val="00D353D0"/>
    <w:rsid w:val="00D35487"/>
    <w:rsid w:val="00D35ABD"/>
    <w:rsid w:val="00D35B11"/>
    <w:rsid w:val="00D35F46"/>
    <w:rsid w:val="00D361E9"/>
    <w:rsid w:val="00D36520"/>
    <w:rsid w:val="00D36B88"/>
    <w:rsid w:val="00D36F3B"/>
    <w:rsid w:val="00D371B8"/>
    <w:rsid w:val="00D371C4"/>
    <w:rsid w:val="00D3789A"/>
    <w:rsid w:val="00D37C72"/>
    <w:rsid w:val="00D37D99"/>
    <w:rsid w:val="00D400EE"/>
    <w:rsid w:val="00D40247"/>
    <w:rsid w:val="00D40622"/>
    <w:rsid w:val="00D40631"/>
    <w:rsid w:val="00D4074B"/>
    <w:rsid w:val="00D408B3"/>
    <w:rsid w:val="00D40CF1"/>
    <w:rsid w:val="00D412E4"/>
    <w:rsid w:val="00D413EC"/>
    <w:rsid w:val="00D41ABF"/>
    <w:rsid w:val="00D4266E"/>
    <w:rsid w:val="00D42B3F"/>
    <w:rsid w:val="00D42CD1"/>
    <w:rsid w:val="00D42E7E"/>
    <w:rsid w:val="00D42EA6"/>
    <w:rsid w:val="00D4327F"/>
    <w:rsid w:val="00D433FC"/>
    <w:rsid w:val="00D43943"/>
    <w:rsid w:val="00D43DEA"/>
    <w:rsid w:val="00D443EA"/>
    <w:rsid w:val="00D44467"/>
    <w:rsid w:val="00D447FB"/>
    <w:rsid w:val="00D4552B"/>
    <w:rsid w:val="00D45B3D"/>
    <w:rsid w:val="00D45CD4"/>
    <w:rsid w:val="00D45ECD"/>
    <w:rsid w:val="00D46A85"/>
    <w:rsid w:val="00D46BCD"/>
    <w:rsid w:val="00D46C8A"/>
    <w:rsid w:val="00D46EB7"/>
    <w:rsid w:val="00D47253"/>
    <w:rsid w:val="00D47371"/>
    <w:rsid w:val="00D479E7"/>
    <w:rsid w:val="00D50010"/>
    <w:rsid w:val="00D50204"/>
    <w:rsid w:val="00D5029F"/>
    <w:rsid w:val="00D504A3"/>
    <w:rsid w:val="00D50A59"/>
    <w:rsid w:val="00D50E31"/>
    <w:rsid w:val="00D50F1B"/>
    <w:rsid w:val="00D510BC"/>
    <w:rsid w:val="00D5138D"/>
    <w:rsid w:val="00D5171C"/>
    <w:rsid w:val="00D51A78"/>
    <w:rsid w:val="00D526CA"/>
    <w:rsid w:val="00D52931"/>
    <w:rsid w:val="00D53125"/>
    <w:rsid w:val="00D532AD"/>
    <w:rsid w:val="00D53483"/>
    <w:rsid w:val="00D534CC"/>
    <w:rsid w:val="00D540D7"/>
    <w:rsid w:val="00D541A1"/>
    <w:rsid w:val="00D54743"/>
    <w:rsid w:val="00D54ACE"/>
    <w:rsid w:val="00D550FF"/>
    <w:rsid w:val="00D55560"/>
    <w:rsid w:val="00D557EC"/>
    <w:rsid w:val="00D55ABC"/>
    <w:rsid w:val="00D561D0"/>
    <w:rsid w:val="00D56446"/>
    <w:rsid w:val="00D564BA"/>
    <w:rsid w:val="00D569DE"/>
    <w:rsid w:val="00D57594"/>
    <w:rsid w:val="00D5785E"/>
    <w:rsid w:val="00D57E1C"/>
    <w:rsid w:val="00D600AD"/>
    <w:rsid w:val="00D6019D"/>
    <w:rsid w:val="00D602D7"/>
    <w:rsid w:val="00D60902"/>
    <w:rsid w:val="00D60C7D"/>
    <w:rsid w:val="00D60D06"/>
    <w:rsid w:val="00D60E15"/>
    <w:rsid w:val="00D61083"/>
    <w:rsid w:val="00D61325"/>
    <w:rsid w:val="00D61540"/>
    <w:rsid w:val="00D62994"/>
    <w:rsid w:val="00D62C2C"/>
    <w:rsid w:val="00D63072"/>
    <w:rsid w:val="00D630EA"/>
    <w:rsid w:val="00D636A4"/>
    <w:rsid w:val="00D639F8"/>
    <w:rsid w:val="00D63EEE"/>
    <w:rsid w:val="00D64302"/>
    <w:rsid w:val="00D646C8"/>
    <w:rsid w:val="00D6475B"/>
    <w:rsid w:val="00D6484E"/>
    <w:rsid w:val="00D65353"/>
    <w:rsid w:val="00D6581B"/>
    <w:rsid w:val="00D659D6"/>
    <w:rsid w:val="00D66234"/>
    <w:rsid w:val="00D6651D"/>
    <w:rsid w:val="00D671EF"/>
    <w:rsid w:val="00D6796A"/>
    <w:rsid w:val="00D67985"/>
    <w:rsid w:val="00D679EA"/>
    <w:rsid w:val="00D67D29"/>
    <w:rsid w:val="00D67D2C"/>
    <w:rsid w:val="00D67EB2"/>
    <w:rsid w:val="00D700D2"/>
    <w:rsid w:val="00D70ECD"/>
    <w:rsid w:val="00D7109E"/>
    <w:rsid w:val="00D717F4"/>
    <w:rsid w:val="00D71A32"/>
    <w:rsid w:val="00D71A82"/>
    <w:rsid w:val="00D71CAE"/>
    <w:rsid w:val="00D731C2"/>
    <w:rsid w:val="00D7337E"/>
    <w:rsid w:val="00D73E9E"/>
    <w:rsid w:val="00D74354"/>
    <w:rsid w:val="00D7440F"/>
    <w:rsid w:val="00D74449"/>
    <w:rsid w:val="00D74594"/>
    <w:rsid w:val="00D74CE6"/>
    <w:rsid w:val="00D74D6E"/>
    <w:rsid w:val="00D74EAA"/>
    <w:rsid w:val="00D753AD"/>
    <w:rsid w:val="00D75594"/>
    <w:rsid w:val="00D75CFE"/>
    <w:rsid w:val="00D75DE0"/>
    <w:rsid w:val="00D76BD5"/>
    <w:rsid w:val="00D76BFA"/>
    <w:rsid w:val="00D77487"/>
    <w:rsid w:val="00D77835"/>
    <w:rsid w:val="00D804AE"/>
    <w:rsid w:val="00D80507"/>
    <w:rsid w:val="00D80770"/>
    <w:rsid w:val="00D80988"/>
    <w:rsid w:val="00D812EF"/>
    <w:rsid w:val="00D81AD5"/>
    <w:rsid w:val="00D81B98"/>
    <w:rsid w:val="00D81F2E"/>
    <w:rsid w:val="00D82028"/>
    <w:rsid w:val="00D82257"/>
    <w:rsid w:val="00D82425"/>
    <w:rsid w:val="00D82D94"/>
    <w:rsid w:val="00D82FF8"/>
    <w:rsid w:val="00D83204"/>
    <w:rsid w:val="00D838C4"/>
    <w:rsid w:val="00D839E1"/>
    <w:rsid w:val="00D83F99"/>
    <w:rsid w:val="00D841C5"/>
    <w:rsid w:val="00D84241"/>
    <w:rsid w:val="00D8435C"/>
    <w:rsid w:val="00D84905"/>
    <w:rsid w:val="00D84E01"/>
    <w:rsid w:val="00D84E4C"/>
    <w:rsid w:val="00D84FDA"/>
    <w:rsid w:val="00D852BA"/>
    <w:rsid w:val="00D85CA3"/>
    <w:rsid w:val="00D85E4A"/>
    <w:rsid w:val="00D86899"/>
    <w:rsid w:val="00D86BE9"/>
    <w:rsid w:val="00D86C51"/>
    <w:rsid w:val="00D86D17"/>
    <w:rsid w:val="00D87211"/>
    <w:rsid w:val="00D87C66"/>
    <w:rsid w:val="00D9008B"/>
    <w:rsid w:val="00D90CB4"/>
    <w:rsid w:val="00D9121C"/>
    <w:rsid w:val="00D912D4"/>
    <w:rsid w:val="00D913D4"/>
    <w:rsid w:val="00D91661"/>
    <w:rsid w:val="00D917FE"/>
    <w:rsid w:val="00D91A44"/>
    <w:rsid w:val="00D91D4B"/>
    <w:rsid w:val="00D91EB8"/>
    <w:rsid w:val="00D92064"/>
    <w:rsid w:val="00D9220F"/>
    <w:rsid w:val="00D9282D"/>
    <w:rsid w:val="00D92896"/>
    <w:rsid w:val="00D93341"/>
    <w:rsid w:val="00D93798"/>
    <w:rsid w:val="00D93C43"/>
    <w:rsid w:val="00D9438C"/>
    <w:rsid w:val="00D944E0"/>
    <w:rsid w:val="00D9465C"/>
    <w:rsid w:val="00D94675"/>
    <w:rsid w:val="00D9478A"/>
    <w:rsid w:val="00D94C3B"/>
    <w:rsid w:val="00D950BE"/>
    <w:rsid w:val="00D95779"/>
    <w:rsid w:val="00D96616"/>
    <w:rsid w:val="00D96908"/>
    <w:rsid w:val="00D96F7C"/>
    <w:rsid w:val="00D972F1"/>
    <w:rsid w:val="00D97331"/>
    <w:rsid w:val="00D97347"/>
    <w:rsid w:val="00D97589"/>
    <w:rsid w:val="00D97823"/>
    <w:rsid w:val="00D978F5"/>
    <w:rsid w:val="00D97A29"/>
    <w:rsid w:val="00D97F29"/>
    <w:rsid w:val="00DA025A"/>
    <w:rsid w:val="00DA0B3D"/>
    <w:rsid w:val="00DA0C3C"/>
    <w:rsid w:val="00DA0D06"/>
    <w:rsid w:val="00DA1574"/>
    <w:rsid w:val="00DA1678"/>
    <w:rsid w:val="00DA1684"/>
    <w:rsid w:val="00DA1E00"/>
    <w:rsid w:val="00DA20CC"/>
    <w:rsid w:val="00DA25A8"/>
    <w:rsid w:val="00DA2671"/>
    <w:rsid w:val="00DA2858"/>
    <w:rsid w:val="00DA2AA5"/>
    <w:rsid w:val="00DA2D5E"/>
    <w:rsid w:val="00DA371E"/>
    <w:rsid w:val="00DA3994"/>
    <w:rsid w:val="00DA39E4"/>
    <w:rsid w:val="00DA3B69"/>
    <w:rsid w:val="00DA3BEB"/>
    <w:rsid w:val="00DA3F4B"/>
    <w:rsid w:val="00DA4B01"/>
    <w:rsid w:val="00DA4C3B"/>
    <w:rsid w:val="00DA4CA6"/>
    <w:rsid w:val="00DA4FC5"/>
    <w:rsid w:val="00DA50E1"/>
    <w:rsid w:val="00DA6107"/>
    <w:rsid w:val="00DA6168"/>
    <w:rsid w:val="00DA61CF"/>
    <w:rsid w:val="00DA61E9"/>
    <w:rsid w:val="00DA69A4"/>
    <w:rsid w:val="00DA6C9A"/>
    <w:rsid w:val="00DA7C69"/>
    <w:rsid w:val="00DA7C8D"/>
    <w:rsid w:val="00DB0B93"/>
    <w:rsid w:val="00DB0C80"/>
    <w:rsid w:val="00DB1587"/>
    <w:rsid w:val="00DB227C"/>
    <w:rsid w:val="00DB28A9"/>
    <w:rsid w:val="00DB2B3F"/>
    <w:rsid w:val="00DB2D42"/>
    <w:rsid w:val="00DB2E8A"/>
    <w:rsid w:val="00DB306E"/>
    <w:rsid w:val="00DB31E9"/>
    <w:rsid w:val="00DB3480"/>
    <w:rsid w:val="00DB3F65"/>
    <w:rsid w:val="00DB4372"/>
    <w:rsid w:val="00DB519A"/>
    <w:rsid w:val="00DB5B87"/>
    <w:rsid w:val="00DB5BF8"/>
    <w:rsid w:val="00DB5E7D"/>
    <w:rsid w:val="00DB624F"/>
    <w:rsid w:val="00DB6389"/>
    <w:rsid w:val="00DB6405"/>
    <w:rsid w:val="00DB6639"/>
    <w:rsid w:val="00DB6B26"/>
    <w:rsid w:val="00DB7047"/>
    <w:rsid w:val="00DB74E3"/>
    <w:rsid w:val="00DB7693"/>
    <w:rsid w:val="00DB7C1F"/>
    <w:rsid w:val="00DB7FCE"/>
    <w:rsid w:val="00DC06C4"/>
    <w:rsid w:val="00DC098E"/>
    <w:rsid w:val="00DC143A"/>
    <w:rsid w:val="00DC1478"/>
    <w:rsid w:val="00DC21CD"/>
    <w:rsid w:val="00DC2741"/>
    <w:rsid w:val="00DC3272"/>
    <w:rsid w:val="00DC3400"/>
    <w:rsid w:val="00DC4026"/>
    <w:rsid w:val="00DC4196"/>
    <w:rsid w:val="00DC42B2"/>
    <w:rsid w:val="00DC476E"/>
    <w:rsid w:val="00DC48BD"/>
    <w:rsid w:val="00DC4EA2"/>
    <w:rsid w:val="00DC511B"/>
    <w:rsid w:val="00DC511C"/>
    <w:rsid w:val="00DC54EC"/>
    <w:rsid w:val="00DC5514"/>
    <w:rsid w:val="00DC567C"/>
    <w:rsid w:val="00DC58DD"/>
    <w:rsid w:val="00DC5C9D"/>
    <w:rsid w:val="00DC5CC2"/>
    <w:rsid w:val="00DC5E09"/>
    <w:rsid w:val="00DC5FF2"/>
    <w:rsid w:val="00DC5FFF"/>
    <w:rsid w:val="00DC673B"/>
    <w:rsid w:val="00DC6AEC"/>
    <w:rsid w:val="00DC6CF8"/>
    <w:rsid w:val="00DC70F9"/>
    <w:rsid w:val="00DC7EA4"/>
    <w:rsid w:val="00DC7FE6"/>
    <w:rsid w:val="00DD01A7"/>
    <w:rsid w:val="00DD01BE"/>
    <w:rsid w:val="00DD0EDE"/>
    <w:rsid w:val="00DD129A"/>
    <w:rsid w:val="00DD168E"/>
    <w:rsid w:val="00DD2A48"/>
    <w:rsid w:val="00DD2AB6"/>
    <w:rsid w:val="00DD2F4B"/>
    <w:rsid w:val="00DD2FA8"/>
    <w:rsid w:val="00DD31EB"/>
    <w:rsid w:val="00DD3200"/>
    <w:rsid w:val="00DD3F00"/>
    <w:rsid w:val="00DD3F6A"/>
    <w:rsid w:val="00DD438C"/>
    <w:rsid w:val="00DD4691"/>
    <w:rsid w:val="00DD486F"/>
    <w:rsid w:val="00DD4EF9"/>
    <w:rsid w:val="00DD5235"/>
    <w:rsid w:val="00DD53B0"/>
    <w:rsid w:val="00DD57E5"/>
    <w:rsid w:val="00DD5AE5"/>
    <w:rsid w:val="00DD5AEE"/>
    <w:rsid w:val="00DD5CB7"/>
    <w:rsid w:val="00DD6614"/>
    <w:rsid w:val="00DD6960"/>
    <w:rsid w:val="00DD6EA1"/>
    <w:rsid w:val="00DD6EF2"/>
    <w:rsid w:val="00DD7D54"/>
    <w:rsid w:val="00DD7E25"/>
    <w:rsid w:val="00DD7FDC"/>
    <w:rsid w:val="00DE03F4"/>
    <w:rsid w:val="00DE0963"/>
    <w:rsid w:val="00DE096A"/>
    <w:rsid w:val="00DE0E89"/>
    <w:rsid w:val="00DE1C78"/>
    <w:rsid w:val="00DE1F24"/>
    <w:rsid w:val="00DE2179"/>
    <w:rsid w:val="00DE245C"/>
    <w:rsid w:val="00DE271B"/>
    <w:rsid w:val="00DE2961"/>
    <w:rsid w:val="00DE296F"/>
    <w:rsid w:val="00DE2CA1"/>
    <w:rsid w:val="00DE3021"/>
    <w:rsid w:val="00DE3434"/>
    <w:rsid w:val="00DE344B"/>
    <w:rsid w:val="00DE3811"/>
    <w:rsid w:val="00DE3B53"/>
    <w:rsid w:val="00DE3C18"/>
    <w:rsid w:val="00DE3E2A"/>
    <w:rsid w:val="00DE4083"/>
    <w:rsid w:val="00DE46BF"/>
    <w:rsid w:val="00DE4855"/>
    <w:rsid w:val="00DE49F3"/>
    <w:rsid w:val="00DE4BB2"/>
    <w:rsid w:val="00DE4FBA"/>
    <w:rsid w:val="00DE50F4"/>
    <w:rsid w:val="00DE53B9"/>
    <w:rsid w:val="00DE5CDB"/>
    <w:rsid w:val="00DE607F"/>
    <w:rsid w:val="00DE6323"/>
    <w:rsid w:val="00DE6711"/>
    <w:rsid w:val="00DE684B"/>
    <w:rsid w:val="00DE6B52"/>
    <w:rsid w:val="00DE7319"/>
    <w:rsid w:val="00DE73B5"/>
    <w:rsid w:val="00DE75F9"/>
    <w:rsid w:val="00DE7602"/>
    <w:rsid w:val="00DE77EC"/>
    <w:rsid w:val="00DE7A68"/>
    <w:rsid w:val="00DE7B14"/>
    <w:rsid w:val="00DE7F74"/>
    <w:rsid w:val="00DF002B"/>
    <w:rsid w:val="00DF0B9A"/>
    <w:rsid w:val="00DF0EC3"/>
    <w:rsid w:val="00DF1133"/>
    <w:rsid w:val="00DF2297"/>
    <w:rsid w:val="00DF22E5"/>
    <w:rsid w:val="00DF236A"/>
    <w:rsid w:val="00DF2608"/>
    <w:rsid w:val="00DF2952"/>
    <w:rsid w:val="00DF300E"/>
    <w:rsid w:val="00DF31E6"/>
    <w:rsid w:val="00DF329C"/>
    <w:rsid w:val="00DF34B6"/>
    <w:rsid w:val="00DF3AE4"/>
    <w:rsid w:val="00DF3F45"/>
    <w:rsid w:val="00DF46F4"/>
    <w:rsid w:val="00DF4785"/>
    <w:rsid w:val="00DF4AC6"/>
    <w:rsid w:val="00DF4ADC"/>
    <w:rsid w:val="00DF4B93"/>
    <w:rsid w:val="00DF5144"/>
    <w:rsid w:val="00DF57EE"/>
    <w:rsid w:val="00DF5C5D"/>
    <w:rsid w:val="00DF5D42"/>
    <w:rsid w:val="00DF5EAF"/>
    <w:rsid w:val="00DF6236"/>
    <w:rsid w:val="00DF6BF6"/>
    <w:rsid w:val="00DF6CAB"/>
    <w:rsid w:val="00DF72B8"/>
    <w:rsid w:val="00DF766D"/>
    <w:rsid w:val="00DF7C18"/>
    <w:rsid w:val="00DF7D28"/>
    <w:rsid w:val="00DF7E5F"/>
    <w:rsid w:val="00DF7E8C"/>
    <w:rsid w:val="00DF7F0B"/>
    <w:rsid w:val="00DF7F1D"/>
    <w:rsid w:val="00E00201"/>
    <w:rsid w:val="00E00BBE"/>
    <w:rsid w:val="00E00C72"/>
    <w:rsid w:val="00E00D53"/>
    <w:rsid w:val="00E012B7"/>
    <w:rsid w:val="00E012D4"/>
    <w:rsid w:val="00E01519"/>
    <w:rsid w:val="00E01B49"/>
    <w:rsid w:val="00E01BF6"/>
    <w:rsid w:val="00E01DCD"/>
    <w:rsid w:val="00E01E63"/>
    <w:rsid w:val="00E01F42"/>
    <w:rsid w:val="00E02056"/>
    <w:rsid w:val="00E02491"/>
    <w:rsid w:val="00E02611"/>
    <w:rsid w:val="00E02783"/>
    <w:rsid w:val="00E02FBF"/>
    <w:rsid w:val="00E02FC2"/>
    <w:rsid w:val="00E03C5E"/>
    <w:rsid w:val="00E0461E"/>
    <w:rsid w:val="00E04AB0"/>
    <w:rsid w:val="00E050D2"/>
    <w:rsid w:val="00E05403"/>
    <w:rsid w:val="00E05420"/>
    <w:rsid w:val="00E0621E"/>
    <w:rsid w:val="00E06385"/>
    <w:rsid w:val="00E06408"/>
    <w:rsid w:val="00E06672"/>
    <w:rsid w:val="00E06FF3"/>
    <w:rsid w:val="00E073E2"/>
    <w:rsid w:val="00E07763"/>
    <w:rsid w:val="00E07E55"/>
    <w:rsid w:val="00E1028F"/>
    <w:rsid w:val="00E1057F"/>
    <w:rsid w:val="00E10CF1"/>
    <w:rsid w:val="00E10E4D"/>
    <w:rsid w:val="00E110CF"/>
    <w:rsid w:val="00E112ED"/>
    <w:rsid w:val="00E112F1"/>
    <w:rsid w:val="00E1146C"/>
    <w:rsid w:val="00E1168D"/>
    <w:rsid w:val="00E12017"/>
    <w:rsid w:val="00E120D9"/>
    <w:rsid w:val="00E12798"/>
    <w:rsid w:val="00E1290C"/>
    <w:rsid w:val="00E12AE4"/>
    <w:rsid w:val="00E12D32"/>
    <w:rsid w:val="00E12FC8"/>
    <w:rsid w:val="00E12FFD"/>
    <w:rsid w:val="00E13450"/>
    <w:rsid w:val="00E13668"/>
    <w:rsid w:val="00E136A3"/>
    <w:rsid w:val="00E13D8E"/>
    <w:rsid w:val="00E14070"/>
    <w:rsid w:val="00E14DAA"/>
    <w:rsid w:val="00E1541F"/>
    <w:rsid w:val="00E1556A"/>
    <w:rsid w:val="00E155E9"/>
    <w:rsid w:val="00E1582B"/>
    <w:rsid w:val="00E15A5B"/>
    <w:rsid w:val="00E15C3A"/>
    <w:rsid w:val="00E161EF"/>
    <w:rsid w:val="00E16302"/>
    <w:rsid w:val="00E17594"/>
    <w:rsid w:val="00E202D2"/>
    <w:rsid w:val="00E20EE8"/>
    <w:rsid w:val="00E2184D"/>
    <w:rsid w:val="00E21B9B"/>
    <w:rsid w:val="00E21E29"/>
    <w:rsid w:val="00E220BA"/>
    <w:rsid w:val="00E22303"/>
    <w:rsid w:val="00E225FC"/>
    <w:rsid w:val="00E22677"/>
    <w:rsid w:val="00E22AE1"/>
    <w:rsid w:val="00E2350F"/>
    <w:rsid w:val="00E237B8"/>
    <w:rsid w:val="00E2386B"/>
    <w:rsid w:val="00E238C4"/>
    <w:rsid w:val="00E23CEA"/>
    <w:rsid w:val="00E23F95"/>
    <w:rsid w:val="00E241D0"/>
    <w:rsid w:val="00E242B7"/>
    <w:rsid w:val="00E247BC"/>
    <w:rsid w:val="00E24CE3"/>
    <w:rsid w:val="00E25225"/>
    <w:rsid w:val="00E252ED"/>
    <w:rsid w:val="00E25523"/>
    <w:rsid w:val="00E25E5E"/>
    <w:rsid w:val="00E261AD"/>
    <w:rsid w:val="00E2647F"/>
    <w:rsid w:val="00E26FC6"/>
    <w:rsid w:val="00E2708A"/>
    <w:rsid w:val="00E27291"/>
    <w:rsid w:val="00E27A94"/>
    <w:rsid w:val="00E27C44"/>
    <w:rsid w:val="00E27D1B"/>
    <w:rsid w:val="00E305AD"/>
    <w:rsid w:val="00E30875"/>
    <w:rsid w:val="00E30F05"/>
    <w:rsid w:val="00E310DF"/>
    <w:rsid w:val="00E31A36"/>
    <w:rsid w:val="00E31BAE"/>
    <w:rsid w:val="00E31F0C"/>
    <w:rsid w:val="00E31F16"/>
    <w:rsid w:val="00E3215D"/>
    <w:rsid w:val="00E322D3"/>
    <w:rsid w:val="00E3268D"/>
    <w:rsid w:val="00E328B0"/>
    <w:rsid w:val="00E32A74"/>
    <w:rsid w:val="00E32BAA"/>
    <w:rsid w:val="00E339DD"/>
    <w:rsid w:val="00E33D88"/>
    <w:rsid w:val="00E33E26"/>
    <w:rsid w:val="00E3466A"/>
    <w:rsid w:val="00E34802"/>
    <w:rsid w:val="00E3499F"/>
    <w:rsid w:val="00E34D51"/>
    <w:rsid w:val="00E35165"/>
    <w:rsid w:val="00E356AB"/>
    <w:rsid w:val="00E3579A"/>
    <w:rsid w:val="00E35B67"/>
    <w:rsid w:val="00E35C00"/>
    <w:rsid w:val="00E3609B"/>
    <w:rsid w:val="00E36656"/>
    <w:rsid w:val="00E3681E"/>
    <w:rsid w:val="00E36D37"/>
    <w:rsid w:val="00E37475"/>
    <w:rsid w:val="00E37B6D"/>
    <w:rsid w:val="00E37CBE"/>
    <w:rsid w:val="00E40058"/>
    <w:rsid w:val="00E407A4"/>
    <w:rsid w:val="00E40A60"/>
    <w:rsid w:val="00E40AEA"/>
    <w:rsid w:val="00E40B08"/>
    <w:rsid w:val="00E40BB1"/>
    <w:rsid w:val="00E41976"/>
    <w:rsid w:val="00E420DC"/>
    <w:rsid w:val="00E42131"/>
    <w:rsid w:val="00E4213E"/>
    <w:rsid w:val="00E42444"/>
    <w:rsid w:val="00E42B28"/>
    <w:rsid w:val="00E43170"/>
    <w:rsid w:val="00E4340B"/>
    <w:rsid w:val="00E43C91"/>
    <w:rsid w:val="00E45D57"/>
    <w:rsid w:val="00E46035"/>
    <w:rsid w:val="00E469ED"/>
    <w:rsid w:val="00E46CA3"/>
    <w:rsid w:val="00E46EBA"/>
    <w:rsid w:val="00E47400"/>
    <w:rsid w:val="00E47EB6"/>
    <w:rsid w:val="00E4F585"/>
    <w:rsid w:val="00E50164"/>
    <w:rsid w:val="00E50187"/>
    <w:rsid w:val="00E503A5"/>
    <w:rsid w:val="00E50E40"/>
    <w:rsid w:val="00E51418"/>
    <w:rsid w:val="00E5147A"/>
    <w:rsid w:val="00E51557"/>
    <w:rsid w:val="00E5162A"/>
    <w:rsid w:val="00E51957"/>
    <w:rsid w:val="00E519C1"/>
    <w:rsid w:val="00E51CF6"/>
    <w:rsid w:val="00E51D7A"/>
    <w:rsid w:val="00E51D7D"/>
    <w:rsid w:val="00E521CF"/>
    <w:rsid w:val="00E52337"/>
    <w:rsid w:val="00E529EB"/>
    <w:rsid w:val="00E538E8"/>
    <w:rsid w:val="00E539E8"/>
    <w:rsid w:val="00E5400A"/>
    <w:rsid w:val="00E541F0"/>
    <w:rsid w:val="00E54517"/>
    <w:rsid w:val="00E545BE"/>
    <w:rsid w:val="00E5481E"/>
    <w:rsid w:val="00E549A3"/>
    <w:rsid w:val="00E54F11"/>
    <w:rsid w:val="00E55537"/>
    <w:rsid w:val="00E557A3"/>
    <w:rsid w:val="00E55EA9"/>
    <w:rsid w:val="00E560FC"/>
    <w:rsid w:val="00E56399"/>
    <w:rsid w:val="00E56A46"/>
    <w:rsid w:val="00E56E45"/>
    <w:rsid w:val="00E56E4F"/>
    <w:rsid w:val="00E57121"/>
    <w:rsid w:val="00E57C70"/>
    <w:rsid w:val="00E57CB8"/>
    <w:rsid w:val="00E57DBC"/>
    <w:rsid w:val="00E605B1"/>
    <w:rsid w:val="00E608D8"/>
    <w:rsid w:val="00E60A49"/>
    <w:rsid w:val="00E60F29"/>
    <w:rsid w:val="00E6107B"/>
    <w:rsid w:val="00E611E1"/>
    <w:rsid w:val="00E615AA"/>
    <w:rsid w:val="00E61733"/>
    <w:rsid w:val="00E6197C"/>
    <w:rsid w:val="00E629B6"/>
    <w:rsid w:val="00E62C1D"/>
    <w:rsid w:val="00E62CAA"/>
    <w:rsid w:val="00E63213"/>
    <w:rsid w:val="00E6347F"/>
    <w:rsid w:val="00E63999"/>
    <w:rsid w:val="00E639AF"/>
    <w:rsid w:val="00E63C66"/>
    <w:rsid w:val="00E63DC0"/>
    <w:rsid w:val="00E63EAC"/>
    <w:rsid w:val="00E63FF0"/>
    <w:rsid w:val="00E64372"/>
    <w:rsid w:val="00E644A1"/>
    <w:rsid w:val="00E6456F"/>
    <w:rsid w:val="00E648D8"/>
    <w:rsid w:val="00E64B36"/>
    <w:rsid w:val="00E64BA8"/>
    <w:rsid w:val="00E65153"/>
    <w:rsid w:val="00E65310"/>
    <w:rsid w:val="00E6542F"/>
    <w:rsid w:val="00E6548E"/>
    <w:rsid w:val="00E655E1"/>
    <w:rsid w:val="00E6563B"/>
    <w:rsid w:val="00E6685D"/>
    <w:rsid w:val="00E66D57"/>
    <w:rsid w:val="00E66EF1"/>
    <w:rsid w:val="00E6755A"/>
    <w:rsid w:val="00E678FF"/>
    <w:rsid w:val="00E70419"/>
    <w:rsid w:val="00E707AE"/>
    <w:rsid w:val="00E709DE"/>
    <w:rsid w:val="00E7105E"/>
    <w:rsid w:val="00E714DC"/>
    <w:rsid w:val="00E71509"/>
    <w:rsid w:val="00E71822"/>
    <w:rsid w:val="00E719B9"/>
    <w:rsid w:val="00E71DF8"/>
    <w:rsid w:val="00E72441"/>
    <w:rsid w:val="00E72792"/>
    <w:rsid w:val="00E73041"/>
    <w:rsid w:val="00E7330E"/>
    <w:rsid w:val="00E7336D"/>
    <w:rsid w:val="00E73B2B"/>
    <w:rsid w:val="00E73FFF"/>
    <w:rsid w:val="00E74275"/>
    <w:rsid w:val="00E74962"/>
    <w:rsid w:val="00E74A90"/>
    <w:rsid w:val="00E74E3E"/>
    <w:rsid w:val="00E74E9D"/>
    <w:rsid w:val="00E751D5"/>
    <w:rsid w:val="00E7522D"/>
    <w:rsid w:val="00E753C6"/>
    <w:rsid w:val="00E755A3"/>
    <w:rsid w:val="00E755A7"/>
    <w:rsid w:val="00E759A5"/>
    <w:rsid w:val="00E75E36"/>
    <w:rsid w:val="00E75FE3"/>
    <w:rsid w:val="00E75FF3"/>
    <w:rsid w:val="00E7643C"/>
    <w:rsid w:val="00E7677E"/>
    <w:rsid w:val="00E768AF"/>
    <w:rsid w:val="00E76C02"/>
    <w:rsid w:val="00E76F0A"/>
    <w:rsid w:val="00E7716E"/>
    <w:rsid w:val="00E77190"/>
    <w:rsid w:val="00E77260"/>
    <w:rsid w:val="00E77845"/>
    <w:rsid w:val="00E77B21"/>
    <w:rsid w:val="00E77C75"/>
    <w:rsid w:val="00E77DB8"/>
    <w:rsid w:val="00E803A4"/>
    <w:rsid w:val="00E80671"/>
    <w:rsid w:val="00E809D5"/>
    <w:rsid w:val="00E80B68"/>
    <w:rsid w:val="00E812A4"/>
    <w:rsid w:val="00E816BD"/>
    <w:rsid w:val="00E81B1A"/>
    <w:rsid w:val="00E81C00"/>
    <w:rsid w:val="00E81C1F"/>
    <w:rsid w:val="00E81CB0"/>
    <w:rsid w:val="00E81F1A"/>
    <w:rsid w:val="00E820AD"/>
    <w:rsid w:val="00E8264E"/>
    <w:rsid w:val="00E82729"/>
    <w:rsid w:val="00E82C35"/>
    <w:rsid w:val="00E82C3B"/>
    <w:rsid w:val="00E82CC6"/>
    <w:rsid w:val="00E832A7"/>
    <w:rsid w:val="00E83F44"/>
    <w:rsid w:val="00E83F7F"/>
    <w:rsid w:val="00E83F82"/>
    <w:rsid w:val="00E84832"/>
    <w:rsid w:val="00E84AC0"/>
    <w:rsid w:val="00E84F3A"/>
    <w:rsid w:val="00E84F73"/>
    <w:rsid w:val="00E855B5"/>
    <w:rsid w:val="00E85B73"/>
    <w:rsid w:val="00E85CFA"/>
    <w:rsid w:val="00E85D72"/>
    <w:rsid w:val="00E864AF"/>
    <w:rsid w:val="00E86816"/>
    <w:rsid w:val="00E86F95"/>
    <w:rsid w:val="00E87406"/>
    <w:rsid w:val="00E874B5"/>
    <w:rsid w:val="00E87849"/>
    <w:rsid w:val="00E87871"/>
    <w:rsid w:val="00E878A0"/>
    <w:rsid w:val="00E87C28"/>
    <w:rsid w:val="00E87F46"/>
    <w:rsid w:val="00E87FF9"/>
    <w:rsid w:val="00E90726"/>
    <w:rsid w:val="00E90864"/>
    <w:rsid w:val="00E90D06"/>
    <w:rsid w:val="00E9122C"/>
    <w:rsid w:val="00E918F8"/>
    <w:rsid w:val="00E91A17"/>
    <w:rsid w:val="00E91BEA"/>
    <w:rsid w:val="00E92237"/>
    <w:rsid w:val="00E9223B"/>
    <w:rsid w:val="00E92252"/>
    <w:rsid w:val="00E92498"/>
    <w:rsid w:val="00E925DC"/>
    <w:rsid w:val="00E9272B"/>
    <w:rsid w:val="00E92AD5"/>
    <w:rsid w:val="00E92CA7"/>
    <w:rsid w:val="00E932B4"/>
    <w:rsid w:val="00E93A83"/>
    <w:rsid w:val="00E93A8A"/>
    <w:rsid w:val="00E93CBF"/>
    <w:rsid w:val="00E93F03"/>
    <w:rsid w:val="00E9404D"/>
    <w:rsid w:val="00E94069"/>
    <w:rsid w:val="00E941D5"/>
    <w:rsid w:val="00E94297"/>
    <w:rsid w:val="00E9449F"/>
    <w:rsid w:val="00E94A42"/>
    <w:rsid w:val="00E951D0"/>
    <w:rsid w:val="00E95259"/>
    <w:rsid w:val="00E956E1"/>
    <w:rsid w:val="00E95D63"/>
    <w:rsid w:val="00E95F95"/>
    <w:rsid w:val="00E96123"/>
    <w:rsid w:val="00E965F9"/>
    <w:rsid w:val="00E96A49"/>
    <w:rsid w:val="00E96C7A"/>
    <w:rsid w:val="00E9738F"/>
    <w:rsid w:val="00E976F2"/>
    <w:rsid w:val="00E97F4E"/>
    <w:rsid w:val="00EA02FD"/>
    <w:rsid w:val="00EA03B2"/>
    <w:rsid w:val="00EA04B5"/>
    <w:rsid w:val="00EA0518"/>
    <w:rsid w:val="00EA0A67"/>
    <w:rsid w:val="00EA16D6"/>
    <w:rsid w:val="00EA18B6"/>
    <w:rsid w:val="00EA1BA5"/>
    <w:rsid w:val="00EA2351"/>
    <w:rsid w:val="00EA2605"/>
    <w:rsid w:val="00EA2BB7"/>
    <w:rsid w:val="00EA2C9E"/>
    <w:rsid w:val="00EA2CB3"/>
    <w:rsid w:val="00EA3009"/>
    <w:rsid w:val="00EA3254"/>
    <w:rsid w:val="00EA3425"/>
    <w:rsid w:val="00EA3712"/>
    <w:rsid w:val="00EA38C2"/>
    <w:rsid w:val="00EA3ADD"/>
    <w:rsid w:val="00EA3C1D"/>
    <w:rsid w:val="00EA3D43"/>
    <w:rsid w:val="00EA3D72"/>
    <w:rsid w:val="00EA3EED"/>
    <w:rsid w:val="00EA40AE"/>
    <w:rsid w:val="00EA4346"/>
    <w:rsid w:val="00EA4913"/>
    <w:rsid w:val="00EA5243"/>
    <w:rsid w:val="00EA524D"/>
    <w:rsid w:val="00EA5287"/>
    <w:rsid w:val="00EA54B6"/>
    <w:rsid w:val="00EA5D48"/>
    <w:rsid w:val="00EA5FE5"/>
    <w:rsid w:val="00EA63BE"/>
    <w:rsid w:val="00EA6A26"/>
    <w:rsid w:val="00EA73CB"/>
    <w:rsid w:val="00EA7845"/>
    <w:rsid w:val="00EA7F2C"/>
    <w:rsid w:val="00EB0298"/>
    <w:rsid w:val="00EB05E5"/>
    <w:rsid w:val="00EB0B3C"/>
    <w:rsid w:val="00EB145C"/>
    <w:rsid w:val="00EB1722"/>
    <w:rsid w:val="00EB194B"/>
    <w:rsid w:val="00EB1CE7"/>
    <w:rsid w:val="00EB1E5F"/>
    <w:rsid w:val="00EB2843"/>
    <w:rsid w:val="00EB2D1E"/>
    <w:rsid w:val="00EB2D32"/>
    <w:rsid w:val="00EB2F99"/>
    <w:rsid w:val="00EB309F"/>
    <w:rsid w:val="00EB38C1"/>
    <w:rsid w:val="00EB3A90"/>
    <w:rsid w:val="00EB44F7"/>
    <w:rsid w:val="00EB4C4F"/>
    <w:rsid w:val="00EB515F"/>
    <w:rsid w:val="00EB5170"/>
    <w:rsid w:val="00EB52E5"/>
    <w:rsid w:val="00EB5931"/>
    <w:rsid w:val="00EB611A"/>
    <w:rsid w:val="00EB6199"/>
    <w:rsid w:val="00EB6665"/>
    <w:rsid w:val="00EB6DDC"/>
    <w:rsid w:val="00EB7043"/>
    <w:rsid w:val="00EB74B8"/>
    <w:rsid w:val="00EB7858"/>
    <w:rsid w:val="00EB78DC"/>
    <w:rsid w:val="00EB7936"/>
    <w:rsid w:val="00EC00F5"/>
    <w:rsid w:val="00EC0341"/>
    <w:rsid w:val="00EC03F4"/>
    <w:rsid w:val="00EC06A5"/>
    <w:rsid w:val="00EC07D1"/>
    <w:rsid w:val="00EC0879"/>
    <w:rsid w:val="00EC0903"/>
    <w:rsid w:val="00EC0B61"/>
    <w:rsid w:val="00EC10F1"/>
    <w:rsid w:val="00EC1B25"/>
    <w:rsid w:val="00EC21B3"/>
    <w:rsid w:val="00EC2647"/>
    <w:rsid w:val="00EC29CD"/>
    <w:rsid w:val="00EC2D09"/>
    <w:rsid w:val="00EC31C5"/>
    <w:rsid w:val="00EC36F1"/>
    <w:rsid w:val="00EC3A92"/>
    <w:rsid w:val="00EC4406"/>
    <w:rsid w:val="00EC4676"/>
    <w:rsid w:val="00EC4AB6"/>
    <w:rsid w:val="00EC5011"/>
    <w:rsid w:val="00EC5264"/>
    <w:rsid w:val="00EC56CD"/>
    <w:rsid w:val="00EC5811"/>
    <w:rsid w:val="00EC58A6"/>
    <w:rsid w:val="00EC5D58"/>
    <w:rsid w:val="00EC5F58"/>
    <w:rsid w:val="00EC602B"/>
    <w:rsid w:val="00EC6B32"/>
    <w:rsid w:val="00EC6D35"/>
    <w:rsid w:val="00EC6F98"/>
    <w:rsid w:val="00EC707F"/>
    <w:rsid w:val="00EC70DF"/>
    <w:rsid w:val="00EC772D"/>
    <w:rsid w:val="00EC7DB0"/>
    <w:rsid w:val="00ED12FF"/>
    <w:rsid w:val="00ED1541"/>
    <w:rsid w:val="00ED1A1F"/>
    <w:rsid w:val="00ED2368"/>
    <w:rsid w:val="00ED270E"/>
    <w:rsid w:val="00ED2C80"/>
    <w:rsid w:val="00ED2D42"/>
    <w:rsid w:val="00ED2D50"/>
    <w:rsid w:val="00ED30B3"/>
    <w:rsid w:val="00ED3178"/>
    <w:rsid w:val="00ED3492"/>
    <w:rsid w:val="00ED3B4A"/>
    <w:rsid w:val="00ED3B57"/>
    <w:rsid w:val="00ED3F4E"/>
    <w:rsid w:val="00ED40BA"/>
    <w:rsid w:val="00ED418A"/>
    <w:rsid w:val="00ED439E"/>
    <w:rsid w:val="00ED4581"/>
    <w:rsid w:val="00ED45C5"/>
    <w:rsid w:val="00ED47C4"/>
    <w:rsid w:val="00ED48E0"/>
    <w:rsid w:val="00ED4B24"/>
    <w:rsid w:val="00ED4F3A"/>
    <w:rsid w:val="00ED5116"/>
    <w:rsid w:val="00ED5EEB"/>
    <w:rsid w:val="00ED62DB"/>
    <w:rsid w:val="00ED649C"/>
    <w:rsid w:val="00ED69DE"/>
    <w:rsid w:val="00EDD496"/>
    <w:rsid w:val="00EE0358"/>
    <w:rsid w:val="00EE0A6D"/>
    <w:rsid w:val="00EE0A97"/>
    <w:rsid w:val="00EE0E39"/>
    <w:rsid w:val="00EE0FB6"/>
    <w:rsid w:val="00EE1125"/>
    <w:rsid w:val="00EE1282"/>
    <w:rsid w:val="00EE1A51"/>
    <w:rsid w:val="00EE1D4C"/>
    <w:rsid w:val="00EE1EB1"/>
    <w:rsid w:val="00EE2128"/>
    <w:rsid w:val="00EE2322"/>
    <w:rsid w:val="00EE23AA"/>
    <w:rsid w:val="00EE28DC"/>
    <w:rsid w:val="00EE2A05"/>
    <w:rsid w:val="00EE2B52"/>
    <w:rsid w:val="00EE2CE4"/>
    <w:rsid w:val="00EE32E9"/>
    <w:rsid w:val="00EE3356"/>
    <w:rsid w:val="00EE3742"/>
    <w:rsid w:val="00EE3949"/>
    <w:rsid w:val="00EE3BF1"/>
    <w:rsid w:val="00EE3E8B"/>
    <w:rsid w:val="00EE3FCE"/>
    <w:rsid w:val="00EE44FC"/>
    <w:rsid w:val="00EE497B"/>
    <w:rsid w:val="00EE4D6E"/>
    <w:rsid w:val="00EE4F8C"/>
    <w:rsid w:val="00EE5234"/>
    <w:rsid w:val="00EE5286"/>
    <w:rsid w:val="00EE58B4"/>
    <w:rsid w:val="00EE58F8"/>
    <w:rsid w:val="00EE5919"/>
    <w:rsid w:val="00EE59B9"/>
    <w:rsid w:val="00EE5A52"/>
    <w:rsid w:val="00EE5B70"/>
    <w:rsid w:val="00EE5C6E"/>
    <w:rsid w:val="00EE5D72"/>
    <w:rsid w:val="00EE6032"/>
    <w:rsid w:val="00EE620D"/>
    <w:rsid w:val="00EE6419"/>
    <w:rsid w:val="00EE65A5"/>
    <w:rsid w:val="00EE671D"/>
    <w:rsid w:val="00EE68A1"/>
    <w:rsid w:val="00EE6A36"/>
    <w:rsid w:val="00EE6C06"/>
    <w:rsid w:val="00EE6C5D"/>
    <w:rsid w:val="00EE7040"/>
    <w:rsid w:val="00EE79E8"/>
    <w:rsid w:val="00EE7A73"/>
    <w:rsid w:val="00EF029F"/>
    <w:rsid w:val="00EF05D4"/>
    <w:rsid w:val="00EF0DD0"/>
    <w:rsid w:val="00EF0EB4"/>
    <w:rsid w:val="00EF0FB6"/>
    <w:rsid w:val="00EF1543"/>
    <w:rsid w:val="00EF1899"/>
    <w:rsid w:val="00EF1980"/>
    <w:rsid w:val="00EF19EC"/>
    <w:rsid w:val="00EF1B45"/>
    <w:rsid w:val="00EF1BC9"/>
    <w:rsid w:val="00EF1D8A"/>
    <w:rsid w:val="00EF2086"/>
    <w:rsid w:val="00EF20FD"/>
    <w:rsid w:val="00EF235C"/>
    <w:rsid w:val="00EF24CD"/>
    <w:rsid w:val="00EF25F1"/>
    <w:rsid w:val="00EF2B09"/>
    <w:rsid w:val="00EF2B6A"/>
    <w:rsid w:val="00EF2C6B"/>
    <w:rsid w:val="00EF32B3"/>
    <w:rsid w:val="00EF3472"/>
    <w:rsid w:val="00EF386F"/>
    <w:rsid w:val="00EF3B3C"/>
    <w:rsid w:val="00EF3DCB"/>
    <w:rsid w:val="00EF404B"/>
    <w:rsid w:val="00EF41DB"/>
    <w:rsid w:val="00EF47ED"/>
    <w:rsid w:val="00EF4899"/>
    <w:rsid w:val="00EF49C2"/>
    <w:rsid w:val="00EF49E5"/>
    <w:rsid w:val="00EF554F"/>
    <w:rsid w:val="00EF57E1"/>
    <w:rsid w:val="00EF5C70"/>
    <w:rsid w:val="00EF5F28"/>
    <w:rsid w:val="00EF617D"/>
    <w:rsid w:val="00EF6921"/>
    <w:rsid w:val="00EF692E"/>
    <w:rsid w:val="00EF6AC0"/>
    <w:rsid w:val="00EF6ECE"/>
    <w:rsid w:val="00EF7021"/>
    <w:rsid w:val="00EF734E"/>
    <w:rsid w:val="00EF73C9"/>
    <w:rsid w:val="00EF7ABD"/>
    <w:rsid w:val="00EF7FF7"/>
    <w:rsid w:val="00F0002B"/>
    <w:rsid w:val="00F000A8"/>
    <w:rsid w:val="00F00666"/>
    <w:rsid w:val="00F00A56"/>
    <w:rsid w:val="00F00BAD"/>
    <w:rsid w:val="00F00FE2"/>
    <w:rsid w:val="00F010CD"/>
    <w:rsid w:val="00F01928"/>
    <w:rsid w:val="00F01B24"/>
    <w:rsid w:val="00F01EAB"/>
    <w:rsid w:val="00F022E0"/>
    <w:rsid w:val="00F02A05"/>
    <w:rsid w:val="00F02A64"/>
    <w:rsid w:val="00F02D42"/>
    <w:rsid w:val="00F03109"/>
    <w:rsid w:val="00F031B2"/>
    <w:rsid w:val="00F035E0"/>
    <w:rsid w:val="00F035EE"/>
    <w:rsid w:val="00F03673"/>
    <w:rsid w:val="00F03788"/>
    <w:rsid w:val="00F03AF6"/>
    <w:rsid w:val="00F04379"/>
    <w:rsid w:val="00F04882"/>
    <w:rsid w:val="00F04AAF"/>
    <w:rsid w:val="00F04C6A"/>
    <w:rsid w:val="00F050E2"/>
    <w:rsid w:val="00F053F6"/>
    <w:rsid w:val="00F05714"/>
    <w:rsid w:val="00F05CE2"/>
    <w:rsid w:val="00F05D3F"/>
    <w:rsid w:val="00F061E9"/>
    <w:rsid w:val="00F06728"/>
    <w:rsid w:val="00F068D2"/>
    <w:rsid w:val="00F069F5"/>
    <w:rsid w:val="00F070E8"/>
    <w:rsid w:val="00F07150"/>
    <w:rsid w:val="00F07843"/>
    <w:rsid w:val="00F079CA"/>
    <w:rsid w:val="00F10212"/>
    <w:rsid w:val="00F10240"/>
    <w:rsid w:val="00F104CA"/>
    <w:rsid w:val="00F105E7"/>
    <w:rsid w:val="00F10A18"/>
    <w:rsid w:val="00F10A8A"/>
    <w:rsid w:val="00F10F4C"/>
    <w:rsid w:val="00F112F1"/>
    <w:rsid w:val="00F11478"/>
    <w:rsid w:val="00F11536"/>
    <w:rsid w:val="00F123E4"/>
    <w:rsid w:val="00F1254F"/>
    <w:rsid w:val="00F12655"/>
    <w:rsid w:val="00F128D6"/>
    <w:rsid w:val="00F12BC6"/>
    <w:rsid w:val="00F133D8"/>
    <w:rsid w:val="00F13901"/>
    <w:rsid w:val="00F13E30"/>
    <w:rsid w:val="00F14000"/>
    <w:rsid w:val="00F140AE"/>
    <w:rsid w:val="00F14D2A"/>
    <w:rsid w:val="00F14D6C"/>
    <w:rsid w:val="00F1519B"/>
    <w:rsid w:val="00F1582E"/>
    <w:rsid w:val="00F15B0A"/>
    <w:rsid w:val="00F169B0"/>
    <w:rsid w:val="00F16B17"/>
    <w:rsid w:val="00F16C2A"/>
    <w:rsid w:val="00F16D47"/>
    <w:rsid w:val="00F17442"/>
    <w:rsid w:val="00F1753F"/>
    <w:rsid w:val="00F17940"/>
    <w:rsid w:val="00F17A1D"/>
    <w:rsid w:val="00F17BD8"/>
    <w:rsid w:val="00F17CD9"/>
    <w:rsid w:val="00F17FDB"/>
    <w:rsid w:val="00F201A1"/>
    <w:rsid w:val="00F203DB"/>
    <w:rsid w:val="00F2065B"/>
    <w:rsid w:val="00F20927"/>
    <w:rsid w:val="00F2096B"/>
    <w:rsid w:val="00F20A9E"/>
    <w:rsid w:val="00F20DE3"/>
    <w:rsid w:val="00F21061"/>
    <w:rsid w:val="00F215DF"/>
    <w:rsid w:val="00F21933"/>
    <w:rsid w:val="00F220A3"/>
    <w:rsid w:val="00F22588"/>
    <w:rsid w:val="00F229A0"/>
    <w:rsid w:val="00F22DC6"/>
    <w:rsid w:val="00F234DF"/>
    <w:rsid w:val="00F2350B"/>
    <w:rsid w:val="00F23A0D"/>
    <w:rsid w:val="00F23C48"/>
    <w:rsid w:val="00F24028"/>
    <w:rsid w:val="00F244E1"/>
    <w:rsid w:val="00F244EF"/>
    <w:rsid w:val="00F24508"/>
    <w:rsid w:val="00F249FF"/>
    <w:rsid w:val="00F24C98"/>
    <w:rsid w:val="00F24E43"/>
    <w:rsid w:val="00F253A5"/>
    <w:rsid w:val="00F25A49"/>
    <w:rsid w:val="00F25EFF"/>
    <w:rsid w:val="00F26079"/>
    <w:rsid w:val="00F26238"/>
    <w:rsid w:val="00F2634C"/>
    <w:rsid w:val="00F26428"/>
    <w:rsid w:val="00F264E9"/>
    <w:rsid w:val="00F265D5"/>
    <w:rsid w:val="00F26718"/>
    <w:rsid w:val="00F269FF"/>
    <w:rsid w:val="00F27961"/>
    <w:rsid w:val="00F27AC8"/>
    <w:rsid w:val="00F3050F"/>
    <w:rsid w:val="00F30610"/>
    <w:rsid w:val="00F30925"/>
    <w:rsid w:val="00F30968"/>
    <w:rsid w:val="00F30C4D"/>
    <w:rsid w:val="00F30F16"/>
    <w:rsid w:val="00F31A31"/>
    <w:rsid w:val="00F31A7D"/>
    <w:rsid w:val="00F3209C"/>
    <w:rsid w:val="00F320BE"/>
    <w:rsid w:val="00F321E7"/>
    <w:rsid w:val="00F32481"/>
    <w:rsid w:val="00F326C4"/>
    <w:rsid w:val="00F32CEB"/>
    <w:rsid w:val="00F32ED2"/>
    <w:rsid w:val="00F32FF2"/>
    <w:rsid w:val="00F330A7"/>
    <w:rsid w:val="00F334E8"/>
    <w:rsid w:val="00F33A12"/>
    <w:rsid w:val="00F33C55"/>
    <w:rsid w:val="00F3406C"/>
    <w:rsid w:val="00F34104"/>
    <w:rsid w:val="00F3433D"/>
    <w:rsid w:val="00F34346"/>
    <w:rsid w:val="00F34CAD"/>
    <w:rsid w:val="00F34F72"/>
    <w:rsid w:val="00F35211"/>
    <w:rsid w:val="00F3557F"/>
    <w:rsid w:val="00F35612"/>
    <w:rsid w:val="00F3595C"/>
    <w:rsid w:val="00F35A40"/>
    <w:rsid w:val="00F35DE3"/>
    <w:rsid w:val="00F35E19"/>
    <w:rsid w:val="00F36124"/>
    <w:rsid w:val="00F361D4"/>
    <w:rsid w:val="00F362E5"/>
    <w:rsid w:val="00F363D7"/>
    <w:rsid w:val="00F366D2"/>
    <w:rsid w:val="00F36967"/>
    <w:rsid w:val="00F37D09"/>
    <w:rsid w:val="00F37F9B"/>
    <w:rsid w:val="00F402AB"/>
    <w:rsid w:val="00F403D7"/>
    <w:rsid w:val="00F40978"/>
    <w:rsid w:val="00F40CDA"/>
    <w:rsid w:val="00F41156"/>
    <w:rsid w:val="00F4140C"/>
    <w:rsid w:val="00F4191A"/>
    <w:rsid w:val="00F41ED0"/>
    <w:rsid w:val="00F41F6B"/>
    <w:rsid w:val="00F4201E"/>
    <w:rsid w:val="00F420C2"/>
    <w:rsid w:val="00F422C8"/>
    <w:rsid w:val="00F4251F"/>
    <w:rsid w:val="00F4276C"/>
    <w:rsid w:val="00F43023"/>
    <w:rsid w:val="00F430BC"/>
    <w:rsid w:val="00F4329E"/>
    <w:rsid w:val="00F436DA"/>
    <w:rsid w:val="00F43AD0"/>
    <w:rsid w:val="00F43BE5"/>
    <w:rsid w:val="00F43E1B"/>
    <w:rsid w:val="00F44A46"/>
    <w:rsid w:val="00F44A6A"/>
    <w:rsid w:val="00F44AC0"/>
    <w:rsid w:val="00F44C79"/>
    <w:rsid w:val="00F44F8C"/>
    <w:rsid w:val="00F45157"/>
    <w:rsid w:val="00F4568B"/>
    <w:rsid w:val="00F4599B"/>
    <w:rsid w:val="00F45A1E"/>
    <w:rsid w:val="00F461EF"/>
    <w:rsid w:val="00F46256"/>
    <w:rsid w:val="00F46329"/>
    <w:rsid w:val="00F46529"/>
    <w:rsid w:val="00F468AF"/>
    <w:rsid w:val="00F46D45"/>
    <w:rsid w:val="00F46D6B"/>
    <w:rsid w:val="00F47D2C"/>
    <w:rsid w:val="00F50FE1"/>
    <w:rsid w:val="00F51154"/>
    <w:rsid w:val="00F517CE"/>
    <w:rsid w:val="00F51913"/>
    <w:rsid w:val="00F5257B"/>
    <w:rsid w:val="00F52687"/>
    <w:rsid w:val="00F527F1"/>
    <w:rsid w:val="00F52B10"/>
    <w:rsid w:val="00F52E26"/>
    <w:rsid w:val="00F5361D"/>
    <w:rsid w:val="00F536BB"/>
    <w:rsid w:val="00F53C60"/>
    <w:rsid w:val="00F53F8B"/>
    <w:rsid w:val="00F54252"/>
    <w:rsid w:val="00F54AAD"/>
    <w:rsid w:val="00F54C09"/>
    <w:rsid w:val="00F54E39"/>
    <w:rsid w:val="00F54E58"/>
    <w:rsid w:val="00F55035"/>
    <w:rsid w:val="00F55148"/>
    <w:rsid w:val="00F55B76"/>
    <w:rsid w:val="00F5613C"/>
    <w:rsid w:val="00F565F9"/>
    <w:rsid w:val="00F5668E"/>
    <w:rsid w:val="00F572D5"/>
    <w:rsid w:val="00F57853"/>
    <w:rsid w:val="00F5799A"/>
    <w:rsid w:val="00F57A3A"/>
    <w:rsid w:val="00F57BA8"/>
    <w:rsid w:val="00F57D35"/>
    <w:rsid w:val="00F6008B"/>
    <w:rsid w:val="00F6034E"/>
    <w:rsid w:val="00F60671"/>
    <w:rsid w:val="00F6080C"/>
    <w:rsid w:val="00F608A1"/>
    <w:rsid w:val="00F6117B"/>
    <w:rsid w:val="00F614EB"/>
    <w:rsid w:val="00F61545"/>
    <w:rsid w:val="00F616C3"/>
    <w:rsid w:val="00F618FD"/>
    <w:rsid w:val="00F61B6B"/>
    <w:rsid w:val="00F6259B"/>
    <w:rsid w:val="00F62A59"/>
    <w:rsid w:val="00F62C71"/>
    <w:rsid w:val="00F62D3F"/>
    <w:rsid w:val="00F63653"/>
    <w:rsid w:val="00F638E5"/>
    <w:rsid w:val="00F63C11"/>
    <w:rsid w:val="00F63CF5"/>
    <w:rsid w:val="00F63D6D"/>
    <w:rsid w:val="00F63E41"/>
    <w:rsid w:val="00F64059"/>
    <w:rsid w:val="00F64507"/>
    <w:rsid w:val="00F64531"/>
    <w:rsid w:val="00F648A3"/>
    <w:rsid w:val="00F64951"/>
    <w:rsid w:val="00F64D54"/>
    <w:rsid w:val="00F64DD2"/>
    <w:rsid w:val="00F64FE4"/>
    <w:rsid w:val="00F6506B"/>
    <w:rsid w:val="00F652E7"/>
    <w:rsid w:val="00F65488"/>
    <w:rsid w:val="00F65B2D"/>
    <w:rsid w:val="00F65D99"/>
    <w:rsid w:val="00F66510"/>
    <w:rsid w:val="00F665D4"/>
    <w:rsid w:val="00F666A8"/>
    <w:rsid w:val="00F66749"/>
    <w:rsid w:val="00F667B2"/>
    <w:rsid w:val="00F66B61"/>
    <w:rsid w:val="00F66CBF"/>
    <w:rsid w:val="00F66E3D"/>
    <w:rsid w:val="00F6712C"/>
    <w:rsid w:val="00F6749F"/>
    <w:rsid w:val="00F704F0"/>
    <w:rsid w:val="00F70733"/>
    <w:rsid w:val="00F7086C"/>
    <w:rsid w:val="00F70898"/>
    <w:rsid w:val="00F70E22"/>
    <w:rsid w:val="00F714A7"/>
    <w:rsid w:val="00F714D6"/>
    <w:rsid w:val="00F715C5"/>
    <w:rsid w:val="00F71662"/>
    <w:rsid w:val="00F71A57"/>
    <w:rsid w:val="00F71CE6"/>
    <w:rsid w:val="00F730BC"/>
    <w:rsid w:val="00F73520"/>
    <w:rsid w:val="00F735C1"/>
    <w:rsid w:val="00F73681"/>
    <w:rsid w:val="00F73CD6"/>
    <w:rsid w:val="00F745EC"/>
    <w:rsid w:val="00F74629"/>
    <w:rsid w:val="00F749FE"/>
    <w:rsid w:val="00F7517A"/>
    <w:rsid w:val="00F7557F"/>
    <w:rsid w:val="00F759E9"/>
    <w:rsid w:val="00F75A14"/>
    <w:rsid w:val="00F75C45"/>
    <w:rsid w:val="00F75DFE"/>
    <w:rsid w:val="00F7671D"/>
    <w:rsid w:val="00F76783"/>
    <w:rsid w:val="00F76798"/>
    <w:rsid w:val="00F76EAF"/>
    <w:rsid w:val="00F76F56"/>
    <w:rsid w:val="00F77151"/>
    <w:rsid w:val="00F771EF"/>
    <w:rsid w:val="00F77555"/>
    <w:rsid w:val="00F77587"/>
    <w:rsid w:val="00F77F6F"/>
    <w:rsid w:val="00F802C0"/>
    <w:rsid w:val="00F8030D"/>
    <w:rsid w:val="00F8091A"/>
    <w:rsid w:val="00F80FF2"/>
    <w:rsid w:val="00F812CE"/>
    <w:rsid w:val="00F8142A"/>
    <w:rsid w:val="00F816A7"/>
    <w:rsid w:val="00F8170D"/>
    <w:rsid w:val="00F82359"/>
    <w:rsid w:val="00F8242C"/>
    <w:rsid w:val="00F82B37"/>
    <w:rsid w:val="00F82BBB"/>
    <w:rsid w:val="00F83855"/>
    <w:rsid w:val="00F84B36"/>
    <w:rsid w:val="00F84B3F"/>
    <w:rsid w:val="00F84C4D"/>
    <w:rsid w:val="00F84F28"/>
    <w:rsid w:val="00F85482"/>
    <w:rsid w:val="00F854F1"/>
    <w:rsid w:val="00F8559B"/>
    <w:rsid w:val="00F856A3"/>
    <w:rsid w:val="00F856BE"/>
    <w:rsid w:val="00F85B40"/>
    <w:rsid w:val="00F85B74"/>
    <w:rsid w:val="00F8620C"/>
    <w:rsid w:val="00F8639F"/>
    <w:rsid w:val="00F86455"/>
    <w:rsid w:val="00F8645A"/>
    <w:rsid w:val="00F86F60"/>
    <w:rsid w:val="00F87CA1"/>
    <w:rsid w:val="00F87FDD"/>
    <w:rsid w:val="00F9013A"/>
    <w:rsid w:val="00F903F9"/>
    <w:rsid w:val="00F9079B"/>
    <w:rsid w:val="00F91322"/>
    <w:rsid w:val="00F9164E"/>
    <w:rsid w:val="00F91831"/>
    <w:rsid w:val="00F91D7C"/>
    <w:rsid w:val="00F91DB1"/>
    <w:rsid w:val="00F92538"/>
    <w:rsid w:val="00F92678"/>
    <w:rsid w:val="00F92786"/>
    <w:rsid w:val="00F92E72"/>
    <w:rsid w:val="00F92FF4"/>
    <w:rsid w:val="00F93437"/>
    <w:rsid w:val="00F93546"/>
    <w:rsid w:val="00F93884"/>
    <w:rsid w:val="00F93BE2"/>
    <w:rsid w:val="00F93D8D"/>
    <w:rsid w:val="00F9427C"/>
    <w:rsid w:val="00F943E9"/>
    <w:rsid w:val="00F945EA"/>
    <w:rsid w:val="00F94A6F"/>
    <w:rsid w:val="00F95372"/>
    <w:rsid w:val="00F95839"/>
    <w:rsid w:val="00F95A39"/>
    <w:rsid w:val="00F96402"/>
    <w:rsid w:val="00F966CA"/>
    <w:rsid w:val="00F96A50"/>
    <w:rsid w:val="00F96F22"/>
    <w:rsid w:val="00FA03F7"/>
    <w:rsid w:val="00FA0561"/>
    <w:rsid w:val="00FA06A1"/>
    <w:rsid w:val="00FA0A6D"/>
    <w:rsid w:val="00FA0AC6"/>
    <w:rsid w:val="00FA113F"/>
    <w:rsid w:val="00FA14BA"/>
    <w:rsid w:val="00FA1AEA"/>
    <w:rsid w:val="00FA1E06"/>
    <w:rsid w:val="00FA20A5"/>
    <w:rsid w:val="00FA243B"/>
    <w:rsid w:val="00FA24AA"/>
    <w:rsid w:val="00FA28A2"/>
    <w:rsid w:val="00FA29DD"/>
    <w:rsid w:val="00FA2C3D"/>
    <w:rsid w:val="00FA34D9"/>
    <w:rsid w:val="00FA37D0"/>
    <w:rsid w:val="00FA381C"/>
    <w:rsid w:val="00FA3938"/>
    <w:rsid w:val="00FA39A2"/>
    <w:rsid w:val="00FA39BA"/>
    <w:rsid w:val="00FA3DB5"/>
    <w:rsid w:val="00FA415A"/>
    <w:rsid w:val="00FA42CC"/>
    <w:rsid w:val="00FA466F"/>
    <w:rsid w:val="00FA46AD"/>
    <w:rsid w:val="00FA4A7F"/>
    <w:rsid w:val="00FA50D0"/>
    <w:rsid w:val="00FA52AD"/>
    <w:rsid w:val="00FA532B"/>
    <w:rsid w:val="00FA57AB"/>
    <w:rsid w:val="00FA5B2D"/>
    <w:rsid w:val="00FA6330"/>
    <w:rsid w:val="00FA67E1"/>
    <w:rsid w:val="00FA6B59"/>
    <w:rsid w:val="00FA6C59"/>
    <w:rsid w:val="00FA6C97"/>
    <w:rsid w:val="00FA7633"/>
    <w:rsid w:val="00FB00F4"/>
    <w:rsid w:val="00FB01F1"/>
    <w:rsid w:val="00FB0603"/>
    <w:rsid w:val="00FB06B4"/>
    <w:rsid w:val="00FB0735"/>
    <w:rsid w:val="00FB0D7E"/>
    <w:rsid w:val="00FB14F5"/>
    <w:rsid w:val="00FB15E2"/>
    <w:rsid w:val="00FB180F"/>
    <w:rsid w:val="00FB1F5E"/>
    <w:rsid w:val="00FB20CF"/>
    <w:rsid w:val="00FB210B"/>
    <w:rsid w:val="00FB2444"/>
    <w:rsid w:val="00FB28EE"/>
    <w:rsid w:val="00FB28FF"/>
    <w:rsid w:val="00FB2A95"/>
    <w:rsid w:val="00FB2DED"/>
    <w:rsid w:val="00FB2F36"/>
    <w:rsid w:val="00FB3142"/>
    <w:rsid w:val="00FB3164"/>
    <w:rsid w:val="00FB353A"/>
    <w:rsid w:val="00FB362E"/>
    <w:rsid w:val="00FB3A5F"/>
    <w:rsid w:val="00FB404C"/>
    <w:rsid w:val="00FB4102"/>
    <w:rsid w:val="00FB4142"/>
    <w:rsid w:val="00FB4A0D"/>
    <w:rsid w:val="00FB4ADA"/>
    <w:rsid w:val="00FB4FF6"/>
    <w:rsid w:val="00FB5834"/>
    <w:rsid w:val="00FB59AD"/>
    <w:rsid w:val="00FB5B8F"/>
    <w:rsid w:val="00FB5C3A"/>
    <w:rsid w:val="00FB6152"/>
    <w:rsid w:val="00FB6E9B"/>
    <w:rsid w:val="00FB74A9"/>
    <w:rsid w:val="00FB77F7"/>
    <w:rsid w:val="00FB79D2"/>
    <w:rsid w:val="00FB79E1"/>
    <w:rsid w:val="00FC04E7"/>
    <w:rsid w:val="00FC0F0F"/>
    <w:rsid w:val="00FC1601"/>
    <w:rsid w:val="00FC177E"/>
    <w:rsid w:val="00FC1AA5"/>
    <w:rsid w:val="00FC1B5A"/>
    <w:rsid w:val="00FC1B97"/>
    <w:rsid w:val="00FC23FA"/>
    <w:rsid w:val="00FC2643"/>
    <w:rsid w:val="00FC3895"/>
    <w:rsid w:val="00FC38E1"/>
    <w:rsid w:val="00FC3AB6"/>
    <w:rsid w:val="00FC3BB2"/>
    <w:rsid w:val="00FC43CF"/>
    <w:rsid w:val="00FC4993"/>
    <w:rsid w:val="00FC4DCF"/>
    <w:rsid w:val="00FC5392"/>
    <w:rsid w:val="00FC5857"/>
    <w:rsid w:val="00FC61D0"/>
    <w:rsid w:val="00FC648D"/>
    <w:rsid w:val="00FC6855"/>
    <w:rsid w:val="00FC71ED"/>
    <w:rsid w:val="00FC7256"/>
    <w:rsid w:val="00FC7A34"/>
    <w:rsid w:val="00FC7E24"/>
    <w:rsid w:val="00FD0298"/>
    <w:rsid w:val="00FD0547"/>
    <w:rsid w:val="00FD082E"/>
    <w:rsid w:val="00FD0961"/>
    <w:rsid w:val="00FD0BDE"/>
    <w:rsid w:val="00FD0D33"/>
    <w:rsid w:val="00FD0F53"/>
    <w:rsid w:val="00FD1172"/>
    <w:rsid w:val="00FD1302"/>
    <w:rsid w:val="00FD143B"/>
    <w:rsid w:val="00FD160F"/>
    <w:rsid w:val="00FD17B8"/>
    <w:rsid w:val="00FD18DC"/>
    <w:rsid w:val="00FD1A96"/>
    <w:rsid w:val="00FD2115"/>
    <w:rsid w:val="00FD2514"/>
    <w:rsid w:val="00FD3068"/>
    <w:rsid w:val="00FD32CD"/>
    <w:rsid w:val="00FD3559"/>
    <w:rsid w:val="00FD3D54"/>
    <w:rsid w:val="00FD3E6E"/>
    <w:rsid w:val="00FD3ECE"/>
    <w:rsid w:val="00FD421B"/>
    <w:rsid w:val="00FD4309"/>
    <w:rsid w:val="00FD470D"/>
    <w:rsid w:val="00FD4883"/>
    <w:rsid w:val="00FD5274"/>
    <w:rsid w:val="00FD56DF"/>
    <w:rsid w:val="00FD56E5"/>
    <w:rsid w:val="00FD57F2"/>
    <w:rsid w:val="00FD57FC"/>
    <w:rsid w:val="00FD5C31"/>
    <w:rsid w:val="00FD5DF5"/>
    <w:rsid w:val="00FD5E84"/>
    <w:rsid w:val="00FD6162"/>
    <w:rsid w:val="00FD64DC"/>
    <w:rsid w:val="00FD6558"/>
    <w:rsid w:val="00FD6AFE"/>
    <w:rsid w:val="00FD6F99"/>
    <w:rsid w:val="00FD7311"/>
    <w:rsid w:val="00FD7640"/>
    <w:rsid w:val="00FE1526"/>
    <w:rsid w:val="00FE1D48"/>
    <w:rsid w:val="00FE20A9"/>
    <w:rsid w:val="00FE237B"/>
    <w:rsid w:val="00FE2803"/>
    <w:rsid w:val="00FE2C4A"/>
    <w:rsid w:val="00FE3512"/>
    <w:rsid w:val="00FE3C50"/>
    <w:rsid w:val="00FE3DC2"/>
    <w:rsid w:val="00FE3F16"/>
    <w:rsid w:val="00FE40B6"/>
    <w:rsid w:val="00FE43C3"/>
    <w:rsid w:val="00FE450C"/>
    <w:rsid w:val="00FE499B"/>
    <w:rsid w:val="00FE580E"/>
    <w:rsid w:val="00FE5824"/>
    <w:rsid w:val="00FE5AE2"/>
    <w:rsid w:val="00FE5B85"/>
    <w:rsid w:val="00FE5DA8"/>
    <w:rsid w:val="00FE5E0A"/>
    <w:rsid w:val="00FE6C6E"/>
    <w:rsid w:val="00FE75E1"/>
    <w:rsid w:val="00FE7967"/>
    <w:rsid w:val="00FE7C49"/>
    <w:rsid w:val="00FE7C87"/>
    <w:rsid w:val="00FF0018"/>
    <w:rsid w:val="00FF0144"/>
    <w:rsid w:val="00FF01D3"/>
    <w:rsid w:val="00FF0580"/>
    <w:rsid w:val="00FF1530"/>
    <w:rsid w:val="00FF21CE"/>
    <w:rsid w:val="00FF265A"/>
    <w:rsid w:val="00FF2703"/>
    <w:rsid w:val="00FF2716"/>
    <w:rsid w:val="00FF2B29"/>
    <w:rsid w:val="00FF313F"/>
    <w:rsid w:val="00FF31FA"/>
    <w:rsid w:val="00FF372C"/>
    <w:rsid w:val="00FF3A6A"/>
    <w:rsid w:val="00FF418E"/>
    <w:rsid w:val="00FF4550"/>
    <w:rsid w:val="00FF4B7D"/>
    <w:rsid w:val="00FF4BD2"/>
    <w:rsid w:val="00FF4CDB"/>
    <w:rsid w:val="00FF5149"/>
    <w:rsid w:val="00FF54B6"/>
    <w:rsid w:val="00FF5728"/>
    <w:rsid w:val="00FF63C3"/>
    <w:rsid w:val="00FF6421"/>
    <w:rsid w:val="00FF6672"/>
    <w:rsid w:val="00FF6683"/>
    <w:rsid w:val="00FF68DF"/>
    <w:rsid w:val="00FF6CA2"/>
    <w:rsid w:val="00FF6D42"/>
    <w:rsid w:val="00FF73C4"/>
    <w:rsid w:val="00FF757C"/>
    <w:rsid w:val="00FF77E1"/>
    <w:rsid w:val="010CCC31"/>
    <w:rsid w:val="01105CE9"/>
    <w:rsid w:val="012BFB9C"/>
    <w:rsid w:val="0131B1C9"/>
    <w:rsid w:val="0133D619"/>
    <w:rsid w:val="0139D1AD"/>
    <w:rsid w:val="013CB0A4"/>
    <w:rsid w:val="0141D958"/>
    <w:rsid w:val="0146C435"/>
    <w:rsid w:val="014C2A2D"/>
    <w:rsid w:val="01511097"/>
    <w:rsid w:val="015BE631"/>
    <w:rsid w:val="015FB307"/>
    <w:rsid w:val="0167786F"/>
    <w:rsid w:val="01749ED7"/>
    <w:rsid w:val="0176D484"/>
    <w:rsid w:val="018FD2B2"/>
    <w:rsid w:val="01941AD0"/>
    <w:rsid w:val="019B25CE"/>
    <w:rsid w:val="01A6448D"/>
    <w:rsid w:val="01AEB22C"/>
    <w:rsid w:val="01BAE2F7"/>
    <w:rsid w:val="01BD4743"/>
    <w:rsid w:val="01CB3040"/>
    <w:rsid w:val="01CE523F"/>
    <w:rsid w:val="01D355A1"/>
    <w:rsid w:val="01D72BA6"/>
    <w:rsid w:val="01D7DF4C"/>
    <w:rsid w:val="01D884CC"/>
    <w:rsid w:val="01DEA100"/>
    <w:rsid w:val="01E5D641"/>
    <w:rsid w:val="01E63B6E"/>
    <w:rsid w:val="01EC609A"/>
    <w:rsid w:val="01ED87A8"/>
    <w:rsid w:val="01F71A10"/>
    <w:rsid w:val="01F820CF"/>
    <w:rsid w:val="01FE73A8"/>
    <w:rsid w:val="0211CDCA"/>
    <w:rsid w:val="0219B2D6"/>
    <w:rsid w:val="0223D649"/>
    <w:rsid w:val="0223F96A"/>
    <w:rsid w:val="02268219"/>
    <w:rsid w:val="0228F90D"/>
    <w:rsid w:val="02290B9A"/>
    <w:rsid w:val="022FC535"/>
    <w:rsid w:val="0232502B"/>
    <w:rsid w:val="023A75B5"/>
    <w:rsid w:val="023FA8B5"/>
    <w:rsid w:val="024CD577"/>
    <w:rsid w:val="024D0520"/>
    <w:rsid w:val="025B08ED"/>
    <w:rsid w:val="025EAE6B"/>
    <w:rsid w:val="0264EEF2"/>
    <w:rsid w:val="026AE92F"/>
    <w:rsid w:val="02716E4E"/>
    <w:rsid w:val="0277AFB4"/>
    <w:rsid w:val="028323A0"/>
    <w:rsid w:val="02873BCA"/>
    <w:rsid w:val="028C2E93"/>
    <w:rsid w:val="0296D329"/>
    <w:rsid w:val="0297FE89"/>
    <w:rsid w:val="0298C4DA"/>
    <w:rsid w:val="029AF4D2"/>
    <w:rsid w:val="029C33A5"/>
    <w:rsid w:val="029F67DC"/>
    <w:rsid w:val="02A5F0E9"/>
    <w:rsid w:val="02B1CD3D"/>
    <w:rsid w:val="02B7589E"/>
    <w:rsid w:val="02BA50D6"/>
    <w:rsid w:val="02BA86C9"/>
    <w:rsid w:val="02BB6E07"/>
    <w:rsid w:val="02BBF948"/>
    <w:rsid w:val="02BC9818"/>
    <w:rsid w:val="02C28CA7"/>
    <w:rsid w:val="02C5BBAF"/>
    <w:rsid w:val="02CB4EBD"/>
    <w:rsid w:val="02D7C12D"/>
    <w:rsid w:val="02DCA26A"/>
    <w:rsid w:val="02E82C12"/>
    <w:rsid w:val="02EFD076"/>
    <w:rsid w:val="02F33C47"/>
    <w:rsid w:val="02FC3F98"/>
    <w:rsid w:val="02FEA2B5"/>
    <w:rsid w:val="0300AA28"/>
    <w:rsid w:val="03043FAD"/>
    <w:rsid w:val="0307B89B"/>
    <w:rsid w:val="030C3BEF"/>
    <w:rsid w:val="030D1AF1"/>
    <w:rsid w:val="03127D47"/>
    <w:rsid w:val="0312A9B0"/>
    <w:rsid w:val="03150739"/>
    <w:rsid w:val="0321BED7"/>
    <w:rsid w:val="0324888A"/>
    <w:rsid w:val="032B3E8D"/>
    <w:rsid w:val="032B7F20"/>
    <w:rsid w:val="032CEB41"/>
    <w:rsid w:val="032E79CD"/>
    <w:rsid w:val="033381FA"/>
    <w:rsid w:val="0337FAFE"/>
    <w:rsid w:val="03394A4E"/>
    <w:rsid w:val="033D64C0"/>
    <w:rsid w:val="0340684B"/>
    <w:rsid w:val="03468749"/>
    <w:rsid w:val="0349ECBC"/>
    <w:rsid w:val="035BDF43"/>
    <w:rsid w:val="035C013C"/>
    <w:rsid w:val="03647A25"/>
    <w:rsid w:val="0366133F"/>
    <w:rsid w:val="03684E41"/>
    <w:rsid w:val="03688830"/>
    <w:rsid w:val="03783587"/>
    <w:rsid w:val="037EE10A"/>
    <w:rsid w:val="03825025"/>
    <w:rsid w:val="0383E0F0"/>
    <w:rsid w:val="038E35A1"/>
    <w:rsid w:val="039BEF0D"/>
    <w:rsid w:val="039EC09F"/>
    <w:rsid w:val="039F1FF8"/>
    <w:rsid w:val="03A54BBE"/>
    <w:rsid w:val="03AF9BCA"/>
    <w:rsid w:val="03B3A86B"/>
    <w:rsid w:val="03BC8F5E"/>
    <w:rsid w:val="03C2527A"/>
    <w:rsid w:val="03C27E1B"/>
    <w:rsid w:val="03C3C9B1"/>
    <w:rsid w:val="03CF70C4"/>
    <w:rsid w:val="03D01077"/>
    <w:rsid w:val="03D63550"/>
    <w:rsid w:val="03DB7F24"/>
    <w:rsid w:val="03E19800"/>
    <w:rsid w:val="03E7DE63"/>
    <w:rsid w:val="0400D2D4"/>
    <w:rsid w:val="040AEC53"/>
    <w:rsid w:val="041C6CF5"/>
    <w:rsid w:val="0428D7B0"/>
    <w:rsid w:val="042AC289"/>
    <w:rsid w:val="04313AFE"/>
    <w:rsid w:val="04329079"/>
    <w:rsid w:val="043BB6BC"/>
    <w:rsid w:val="043E75A0"/>
    <w:rsid w:val="0441B070"/>
    <w:rsid w:val="044EC211"/>
    <w:rsid w:val="04561111"/>
    <w:rsid w:val="045E4E03"/>
    <w:rsid w:val="0461C9D7"/>
    <w:rsid w:val="0462B382"/>
    <w:rsid w:val="046A6FDE"/>
    <w:rsid w:val="0487E652"/>
    <w:rsid w:val="0489E7CD"/>
    <w:rsid w:val="048D0C60"/>
    <w:rsid w:val="04973A79"/>
    <w:rsid w:val="04980FF9"/>
    <w:rsid w:val="049BD4D7"/>
    <w:rsid w:val="04A088F6"/>
    <w:rsid w:val="04B71E4C"/>
    <w:rsid w:val="04BD9778"/>
    <w:rsid w:val="04BF8F2D"/>
    <w:rsid w:val="04C035EA"/>
    <w:rsid w:val="04CEDAF4"/>
    <w:rsid w:val="04D2D371"/>
    <w:rsid w:val="04E2645B"/>
    <w:rsid w:val="04E6E2EE"/>
    <w:rsid w:val="04E92C51"/>
    <w:rsid w:val="04EDF6C3"/>
    <w:rsid w:val="04F30FF0"/>
    <w:rsid w:val="04F5730B"/>
    <w:rsid w:val="050383CB"/>
    <w:rsid w:val="050A1038"/>
    <w:rsid w:val="051B2B89"/>
    <w:rsid w:val="051E2086"/>
    <w:rsid w:val="05219186"/>
    <w:rsid w:val="052317A8"/>
    <w:rsid w:val="05233F5E"/>
    <w:rsid w:val="052C50E9"/>
    <w:rsid w:val="053AA176"/>
    <w:rsid w:val="053EF9B1"/>
    <w:rsid w:val="054106CB"/>
    <w:rsid w:val="054D0BFC"/>
    <w:rsid w:val="055C94DD"/>
    <w:rsid w:val="05626D4C"/>
    <w:rsid w:val="0568C564"/>
    <w:rsid w:val="0572E0BB"/>
    <w:rsid w:val="057D0F69"/>
    <w:rsid w:val="0580ADEE"/>
    <w:rsid w:val="058E6A6C"/>
    <w:rsid w:val="05A3E1CC"/>
    <w:rsid w:val="05A5518F"/>
    <w:rsid w:val="05AC5604"/>
    <w:rsid w:val="05AED2CC"/>
    <w:rsid w:val="05B5ABE1"/>
    <w:rsid w:val="05B8D3F0"/>
    <w:rsid w:val="05CC0383"/>
    <w:rsid w:val="05D081EB"/>
    <w:rsid w:val="05D1A4F5"/>
    <w:rsid w:val="05D214D2"/>
    <w:rsid w:val="05F75679"/>
    <w:rsid w:val="05FC2023"/>
    <w:rsid w:val="060A93D4"/>
    <w:rsid w:val="060F1401"/>
    <w:rsid w:val="061E3133"/>
    <w:rsid w:val="062E2541"/>
    <w:rsid w:val="063A00CB"/>
    <w:rsid w:val="063B3CF8"/>
    <w:rsid w:val="06519AE4"/>
    <w:rsid w:val="06584EEA"/>
    <w:rsid w:val="06624636"/>
    <w:rsid w:val="06657C94"/>
    <w:rsid w:val="066CC0CD"/>
    <w:rsid w:val="0673220B"/>
    <w:rsid w:val="06748A50"/>
    <w:rsid w:val="067F3286"/>
    <w:rsid w:val="06949FE6"/>
    <w:rsid w:val="0698CC45"/>
    <w:rsid w:val="06A2962E"/>
    <w:rsid w:val="06AA3121"/>
    <w:rsid w:val="06ACC4AE"/>
    <w:rsid w:val="06C506F5"/>
    <w:rsid w:val="06C5ED5E"/>
    <w:rsid w:val="06CC450C"/>
    <w:rsid w:val="06D12AEE"/>
    <w:rsid w:val="06E5DAB9"/>
    <w:rsid w:val="06E6397B"/>
    <w:rsid w:val="06EF451D"/>
    <w:rsid w:val="06F3CC07"/>
    <w:rsid w:val="06F9EFBC"/>
    <w:rsid w:val="070A3C7C"/>
    <w:rsid w:val="070F2A22"/>
    <w:rsid w:val="0713A094"/>
    <w:rsid w:val="07179626"/>
    <w:rsid w:val="072645EC"/>
    <w:rsid w:val="07268162"/>
    <w:rsid w:val="07318872"/>
    <w:rsid w:val="073C277C"/>
    <w:rsid w:val="07407C07"/>
    <w:rsid w:val="074858CB"/>
    <w:rsid w:val="074B772F"/>
    <w:rsid w:val="074DF92D"/>
    <w:rsid w:val="0752403C"/>
    <w:rsid w:val="075F0DBC"/>
    <w:rsid w:val="07604C16"/>
    <w:rsid w:val="0765D7D2"/>
    <w:rsid w:val="07772F53"/>
    <w:rsid w:val="077D6C79"/>
    <w:rsid w:val="0784A719"/>
    <w:rsid w:val="07853825"/>
    <w:rsid w:val="078B7A7F"/>
    <w:rsid w:val="0793743C"/>
    <w:rsid w:val="079B7C5A"/>
    <w:rsid w:val="07A2C709"/>
    <w:rsid w:val="07A7C338"/>
    <w:rsid w:val="07AB05C7"/>
    <w:rsid w:val="07B3C475"/>
    <w:rsid w:val="07B434FF"/>
    <w:rsid w:val="07B87915"/>
    <w:rsid w:val="07B8E729"/>
    <w:rsid w:val="07B92F08"/>
    <w:rsid w:val="07BCD81F"/>
    <w:rsid w:val="07C11ACE"/>
    <w:rsid w:val="07C42786"/>
    <w:rsid w:val="07C4C7E1"/>
    <w:rsid w:val="07CEB955"/>
    <w:rsid w:val="07CFE50F"/>
    <w:rsid w:val="07DAC84E"/>
    <w:rsid w:val="07E417A6"/>
    <w:rsid w:val="07E45489"/>
    <w:rsid w:val="07E4A1BA"/>
    <w:rsid w:val="07FA780D"/>
    <w:rsid w:val="0807F1CF"/>
    <w:rsid w:val="08080EED"/>
    <w:rsid w:val="080C79ED"/>
    <w:rsid w:val="080DC285"/>
    <w:rsid w:val="081050E0"/>
    <w:rsid w:val="081985BA"/>
    <w:rsid w:val="081B40B9"/>
    <w:rsid w:val="0833C263"/>
    <w:rsid w:val="083B0A02"/>
    <w:rsid w:val="083F12A5"/>
    <w:rsid w:val="083FE1A8"/>
    <w:rsid w:val="0840D722"/>
    <w:rsid w:val="0848F308"/>
    <w:rsid w:val="086009F7"/>
    <w:rsid w:val="08648A02"/>
    <w:rsid w:val="0870DFAD"/>
    <w:rsid w:val="08715D5D"/>
    <w:rsid w:val="087C0EA5"/>
    <w:rsid w:val="0882281E"/>
    <w:rsid w:val="088F0AC0"/>
    <w:rsid w:val="08980952"/>
    <w:rsid w:val="089972E0"/>
    <w:rsid w:val="089F0540"/>
    <w:rsid w:val="08A2D4AC"/>
    <w:rsid w:val="08AE0BA2"/>
    <w:rsid w:val="08BA8EC2"/>
    <w:rsid w:val="08BE2CD2"/>
    <w:rsid w:val="08BF7D4B"/>
    <w:rsid w:val="08BFF4A1"/>
    <w:rsid w:val="08CA170C"/>
    <w:rsid w:val="08D254F6"/>
    <w:rsid w:val="08D380B5"/>
    <w:rsid w:val="08E6BDC3"/>
    <w:rsid w:val="08F97C72"/>
    <w:rsid w:val="08FB579D"/>
    <w:rsid w:val="08FC2E6C"/>
    <w:rsid w:val="090996D6"/>
    <w:rsid w:val="090CFD26"/>
    <w:rsid w:val="090DA326"/>
    <w:rsid w:val="091A878D"/>
    <w:rsid w:val="091D44B2"/>
    <w:rsid w:val="0935D2E3"/>
    <w:rsid w:val="093B080D"/>
    <w:rsid w:val="093BE1A3"/>
    <w:rsid w:val="093E68AC"/>
    <w:rsid w:val="093FEA98"/>
    <w:rsid w:val="094D92C3"/>
    <w:rsid w:val="094EC4BF"/>
    <w:rsid w:val="09518BA8"/>
    <w:rsid w:val="095666DA"/>
    <w:rsid w:val="095AE3AF"/>
    <w:rsid w:val="096B0039"/>
    <w:rsid w:val="096F5796"/>
    <w:rsid w:val="097626BE"/>
    <w:rsid w:val="09839AC0"/>
    <w:rsid w:val="0986EBCC"/>
    <w:rsid w:val="098A04E6"/>
    <w:rsid w:val="098EBB8B"/>
    <w:rsid w:val="09926CDC"/>
    <w:rsid w:val="09A62CE1"/>
    <w:rsid w:val="09A7436A"/>
    <w:rsid w:val="09AA94C3"/>
    <w:rsid w:val="09ACD702"/>
    <w:rsid w:val="09BA31FE"/>
    <w:rsid w:val="09BCF560"/>
    <w:rsid w:val="09BF45AE"/>
    <w:rsid w:val="09C01BDB"/>
    <w:rsid w:val="09C034EB"/>
    <w:rsid w:val="09C2F07F"/>
    <w:rsid w:val="09C4EB86"/>
    <w:rsid w:val="09CA4BA8"/>
    <w:rsid w:val="09CF8FAB"/>
    <w:rsid w:val="09D2CAA1"/>
    <w:rsid w:val="09DA9729"/>
    <w:rsid w:val="09DED6AF"/>
    <w:rsid w:val="09F806FB"/>
    <w:rsid w:val="0A0136FE"/>
    <w:rsid w:val="0A053E73"/>
    <w:rsid w:val="0A0A600B"/>
    <w:rsid w:val="0A0A8817"/>
    <w:rsid w:val="0A116DB5"/>
    <w:rsid w:val="0A189CA0"/>
    <w:rsid w:val="0A19D1AF"/>
    <w:rsid w:val="0A1F2BD6"/>
    <w:rsid w:val="0A24C4BB"/>
    <w:rsid w:val="0A3193FE"/>
    <w:rsid w:val="0A48C25C"/>
    <w:rsid w:val="0A5000D7"/>
    <w:rsid w:val="0A59E1D9"/>
    <w:rsid w:val="0A5F0753"/>
    <w:rsid w:val="0A701458"/>
    <w:rsid w:val="0A8637DB"/>
    <w:rsid w:val="0A97F2FA"/>
    <w:rsid w:val="0AAB925C"/>
    <w:rsid w:val="0AC61D13"/>
    <w:rsid w:val="0AD1820A"/>
    <w:rsid w:val="0AD506BD"/>
    <w:rsid w:val="0AD59824"/>
    <w:rsid w:val="0AEB8814"/>
    <w:rsid w:val="0AEE8C50"/>
    <w:rsid w:val="0AF4E717"/>
    <w:rsid w:val="0B00A6A5"/>
    <w:rsid w:val="0B06D8D8"/>
    <w:rsid w:val="0B08ACAE"/>
    <w:rsid w:val="0B0EF2E7"/>
    <w:rsid w:val="0B1311AF"/>
    <w:rsid w:val="0B15BEF2"/>
    <w:rsid w:val="0B1BE54A"/>
    <w:rsid w:val="0B1D804C"/>
    <w:rsid w:val="0B1FF8EE"/>
    <w:rsid w:val="0B2309FD"/>
    <w:rsid w:val="0B322598"/>
    <w:rsid w:val="0B335C00"/>
    <w:rsid w:val="0B3BD2F0"/>
    <w:rsid w:val="0B3C5DA6"/>
    <w:rsid w:val="0B51F543"/>
    <w:rsid w:val="0B55FDBB"/>
    <w:rsid w:val="0B5645E8"/>
    <w:rsid w:val="0B5C72BB"/>
    <w:rsid w:val="0B6B32F2"/>
    <w:rsid w:val="0B72CF85"/>
    <w:rsid w:val="0B7C02B9"/>
    <w:rsid w:val="0B7E41B5"/>
    <w:rsid w:val="0BA994E5"/>
    <w:rsid w:val="0BC266B8"/>
    <w:rsid w:val="0BC441CA"/>
    <w:rsid w:val="0BC728C3"/>
    <w:rsid w:val="0BCC6F80"/>
    <w:rsid w:val="0BD3A25E"/>
    <w:rsid w:val="0BD4E026"/>
    <w:rsid w:val="0BD65183"/>
    <w:rsid w:val="0BD6E4C3"/>
    <w:rsid w:val="0BE15BE0"/>
    <w:rsid w:val="0BF0FEAF"/>
    <w:rsid w:val="0BF1314D"/>
    <w:rsid w:val="0BF2379F"/>
    <w:rsid w:val="0BF3BFBD"/>
    <w:rsid w:val="0BF55200"/>
    <w:rsid w:val="0C04AC92"/>
    <w:rsid w:val="0C06F6F9"/>
    <w:rsid w:val="0C0A2A74"/>
    <w:rsid w:val="0C0E260E"/>
    <w:rsid w:val="0C104905"/>
    <w:rsid w:val="0C12B2BC"/>
    <w:rsid w:val="0C19C1BC"/>
    <w:rsid w:val="0C1DE282"/>
    <w:rsid w:val="0C2AEAA9"/>
    <w:rsid w:val="0C2E0A66"/>
    <w:rsid w:val="0C35FA94"/>
    <w:rsid w:val="0C36F577"/>
    <w:rsid w:val="0C499FBB"/>
    <w:rsid w:val="0C4A0057"/>
    <w:rsid w:val="0C4C19BE"/>
    <w:rsid w:val="0C4EB5F7"/>
    <w:rsid w:val="0C5B17FA"/>
    <w:rsid w:val="0C5C4A8E"/>
    <w:rsid w:val="0C6D0FE6"/>
    <w:rsid w:val="0C6DB6E8"/>
    <w:rsid w:val="0C6DC754"/>
    <w:rsid w:val="0C726E64"/>
    <w:rsid w:val="0C78C674"/>
    <w:rsid w:val="0C799030"/>
    <w:rsid w:val="0C7A7FA2"/>
    <w:rsid w:val="0C8044D5"/>
    <w:rsid w:val="0C893A7E"/>
    <w:rsid w:val="0C8E1B92"/>
    <w:rsid w:val="0C9BB181"/>
    <w:rsid w:val="0C9FBF46"/>
    <w:rsid w:val="0CA02B63"/>
    <w:rsid w:val="0CA321DE"/>
    <w:rsid w:val="0CA7CEE0"/>
    <w:rsid w:val="0CA8D0B2"/>
    <w:rsid w:val="0CDA69ED"/>
    <w:rsid w:val="0CE94B19"/>
    <w:rsid w:val="0CEB4C5D"/>
    <w:rsid w:val="0CECB576"/>
    <w:rsid w:val="0D06DBFC"/>
    <w:rsid w:val="0D07BB5F"/>
    <w:rsid w:val="0D0BA037"/>
    <w:rsid w:val="0D0DCC71"/>
    <w:rsid w:val="0D0DD59D"/>
    <w:rsid w:val="0D154273"/>
    <w:rsid w:val="0D20FAE5"/>
    <w:rsid w:val="0D214A78"/>
    <w:rsid w:val="0D22674A"/>
    <w:rsid w:val="0D249AC7"/>
    <w:rsid w:val="0D2F0657"/>
    <w:rsid w:val="0D526D4C"/>
    <w:rsid w:val="0D5E01AE"/>
    <w:rsid w:val="0D65D8EF"/>
    <w:rsid w:val="0D66C9F2"/>
    <w:rsid w:val="0D6DE7BE"/>
    <w:rsid w:val="0D762BB7"/>
    <w:rsid w:val="0D797B94"/>
    <w:rsid w:val="0D7D1D93"/>
    <w:rsid w:val="0D9C7A0A"/>
    <w:rsid w:val="0D9ECFF6"/>
    <w:rsid w:val="0DA35FE7"/>
    <w:rsid w:val="0DB1D9FE"/>
    <w:rsid w:val="0DC0F916"/>
    <w:rsid w:val="0DC43ED3"/>
    <w:rsid w:val="0DC707FB"/>
    <w:rsid w:val="0DCA906A"/>
    <w:rsid w:val="0DCE2774"/>
    <w:rsid w:val="0DCE9720"/>
    <w:rsid w:val="0DD4FF11"/>
    <w:rsid w:val="0DE259CD"/>
    <w:rsid w:val="0DE32427"/>
    <w:rsid w:val="0DEA3CD6"/>
    <w:rsid w:val="0DF24228"/>
    <w:rsid w:val="0E1B4BB0"/>
    <w:rsid w:val="0E1E0411"/>
    <w:rsid w:val="0E1FB1E6"/>
    <w:rsid w:val="0E2D5E3E"/>
    <w:rsid w:val="0E2EBD93"/>
    <w:rsid w:val="0E330FDD"/>
    <w:rsid w:val="0E392FDE"/>
    <w:rsid w:val="0E3EF23F"/>
    <w:rsid w:val="0E48411A"/>
    <w:rsid w:val="0E4BD252"/>
    <w:rsid w:val="0E5CF930"/>
    <w:rsid w:val="0E5FD62D"/>
    <w:rsid w:val="0E68755B"/>
    <w:rsid w:val="0E68C5C5"/>
    <w:rsid w:val="0E97B332"/>
    <w:rsid w:val="0EA0F15E"/>
    <w:rsid w:val="0EA2610D"/>
    <w:rsid w:val="0EA45559"/>
    <w:rsid w:val="0EA8F90F"/>
    <w:rsid w:val="0EAA49A6"/>
    <w:rsid w:val="0ECED78C"/>
    <w:rsid w:val="0ECFBDFE"/>
    <w:rsid w:val="0ED54397"/>
    <w:rsid w:val="0ED67501"/>
    <w:rsid w:val="0EF81927"/>
    <w:rsid w:val="0F020250"/>
    <w:rsid w:val="0F023EA0"/>
    <w:rsid w:val="0F0B8B08"/>
    <w:rsid w:val="0F0D0561"/>
    <w:rsid w:val="0F165A4F"/>
    <w:rsid w:val="0F204E94"/>
    <w:rsid w:val="0F216E3F"/>
    <w:rsid w:val="0F24C6AA"/>
    <w:rsid w:val="0F2DE007"/>
    <w:rsid w:val="0F2EF2D6"/>
    <w:rsid w:val="0F3646D1"/>
    <w:rsid w:val="0F443F64"/>
    <w:rsid w:val="0F44C28C"/>
    <w:rsid w:val="0F450DB4"/>
    <w:rsid w:val="0F4CA650"/>
    <w:rsid w:val="0F52B91E"/>
    <w:rsid w:val="0F53E134"/>
    <w:rsid w:val="0F58C963"/>
    <w:rsid w:val="0F6062DF"/>
    <w:rsid w:val="0F6C58F5"/>
    <w:rsid w:val="0F73F724"/>
    <w:rsid w:val="0F74644E"/>
    <w:rsid w:val="0F9828FC"/>
    <w:rsid w:val="0F9F7E60"/>
    <w:rsid w:val="0FA389FE"/>
    <w:rsid w:val="0FA9F08E"/>
    <w:rsid w:val="0FAC5DE3"/>
    <w:rsid w:val="0FB01D17"/>
    <w:rsid w:val="0FBBFB19"/>
    <w:rsid w:val="0FC0230F"/>
    <w:rsid w:val="0FD1A1F0"/>
    <w:rsid w:val="0FD20B43"/>
    <w:rsid w:val="0FD2AC17"/>
    <w:rsid w:val="0FD2D074"/>
    <w:rsid w:val="0FDAAC2D"/>
    <w:rsid w:val="0FDD3245"/>
    <w:rsid w:val="0FE0089A"/>
    <w:rsid w:val="0FE0436D"/>
    <w:rsid w:val="0FE196C6"/>
    <w:rsid w:val="0FE93015"/>
    <w:rsid w:val="1003FFC2"/>
    <w:rsid w:val="100808EC"/>
    <w:rsid w:val="102281C2"/>
    <w:rsid w:val="102CD7B5"/>
    <w:rsid w:val="10414E6B"/>
    <w:rsid w:val="1044EA85"/>
    <w:rsid w:val="1046BE9D"/>
    <w:rsid w:val="104E078D"/>
    <w:rsid w:val="105B7AE5"/>
    <w:rsid w:val="1063B3D6"/>
    <w:rsid w:val="10783789"/>
    <w:rsid w:val="107BDB6C"/>
    <w:rsid w:val="1086F87C"/>
    <w:rsid w:val="10943792"/>
    <w:rsid w:val="109681B7"/>
    <w:rsid w:val="10993184"/>
    <w:rsid w:val="10B7DCA2"/>
    <w:rsid w:val="10C77A10"/>
    <w:rsid w:val="10D06714"/>
    <w:rsid w:val="10D187FA"/>
    <w:rsid w:val="10D3A3E1"/>
    <w:rsid w:val="10D4CE84"/>
    <w:rsid w:val="10DAE0B4"/>
    <w:rsid w:val="10DEA2E9"/>
    <w:rsid w:val="10E37EBF"/>
    <w:rsid w:val="10EE6563"/>
    <w:rsid w:val="10F15A36"/>
    <w:rsid w:val="10F65AF3"/>
    <w:rsid w:val="10F7EF3B"/>
    <w:rsid w:val="10FD47F4"/>
    <w:rsid w:val="1104B4FE"/>
    <w:rsid w:val="1111F6E4"/>
    <w:rsid w:val="11149535"/>
    <w:rsid w:val="111F00B5"/>
    <w:rsid w:val="1131B152"/>
    <w:rsid w:val="114C72B8"/>
    <w:rsid w:val="1156E790"/>
    <w:rsid w:val="115BF078"/>
    <w:rsid w:val="115CEAF8"/>
    <w:rsid w:val="1168DF9F"/>
    <w:rsid w:val="11691E80"/>
    <w:rsid w:val="117537DB"/>
    <w:rsid w:val="117DFFA4"/>
    <w:rsid w:val="118691D8"/>
    <w:rsid w:val="118ABD8B"/>
    <w:rsid w:val="118F9754"/>
    <w:rsid w:val="11943A71"/>
    <w:rsid w:val="1197507B"/>
    <w:rsid w:val="119A9F6E"/>
    <w:rsid w:val="11AA8870"/>
    <w:rsid w:val="11B2EF71"/>
    <w:rsid w:val="11B5FAB4"/>
    <w:rsid w:val="11B9B867"/>
    <w:rsid w:val="11CD2D51"/>
    <w:rsid w:val="11E2B051"/>
    <w:rsid w:val="11E45848"/>
    <w:rsid w:val="12020B04"/>
    <w:rsid w:val="1207C66E"/>
    <w:rsid w:val="12098ADA"/>
    <w:rsid w:val="121247E9"/>
    <w:rsid w:val="121945C2"/>
    <w:rsid w:val="121A0604"/>
    <w:rsid w:val="121CC0E4"/>
    <w:rsid w:val="12237D86"/>
    <w:rsid w:val="123682FD"/>
    <w:rsid w:val="12397193"/>
    <w:rsid w:val="123BEA31"/>
    <w:rsid w:val="123BF59F"/>
    <w:rsid w:val="123EAED0"/>
    <w:rsid w:val="1243F855"/>
    <w:rsid w:val="124492BB"/>
    <w:rsid w:val="12454214"/>
    <w:rsid w:val="1247CE27"/>
    <w:rsid w:val="124945C1"/>
    <w:rsid w:val="12503EC2"/>
    <w:rsid w:val="125AB9FF"/>
    <w:rsid w:val="125C1029"/>
    <w:rsid w:val="1265B093"/>
    <w:rsid w:val="1268B01D"/>
    <w:rsid w:val="12709E34"/>
    <w:rsid w:val="12725060"/>
    <w:rsid w:val="1292CA87"/>
    <w:rsid w:val="12933774"/>
    <w:rsid w:val="12A3F9B7"/>
    <w:rsid w:val="12AFD1F5"/>
    <w:rsid w:val="12B0F89A"/>
    <w:rsid w:val="12B4B4FD"/>
    <w:rsid w:val="12BA1FA3"/>
    <w:rsid w:val="12C6EAF3"/>
    <w:rsid w:val="12D44B09"/>
    <w:rsid w:val="12DE2897"/>
    <w:rsid w:val="12E8A862"/>
    <w:rsid w:val="12F82309"/>
    <w:rsid w:val="1300F531"/>
    <w:rsid w:val="1302F41C"/>
    <w:rsid w:val="1303A9C9"/>
    <w:rsid w:val="131F0663"/>
    <w:rsid w:val="131FBCB0"/>
    <w:rsid w:val="1324681F"/>
    <w:rsid w:val="132B85D8"/>
    <w:rsid w:val="1331BAEF"/>
    <w:rsid w:val="1332D020"/>
    <w:rsid w:val="1334FAE3"/>
    <w:rsid w:val="1338877D"/>
    <w:rsid w:val="1339AEEA"/>
    <w:rsid w:val="13436854"/>
    <w:rsid w:val="1344D641"/>
    <w:rsid w:val="1347284C"/>
    <w:rsid w:val="1348E064"/>
    <w:rsid w:val="1350FA31"/>
    <w:rsid w:val="1351CB15"/>
    <w:rsid w:val="13522B9A"/>
    <w:rsid w:val="1353E53D"/>
    <w:rsid w:val="1353E938"/>
    <w:rsid w:val="13599458"/>
    <w:rsid w:val="135CC902"/>
    <w:rsid w:val="135EF284"/>
    <w:rsid w:val="1365CFD3"/>
    <w:rsid w:val="1365E90F"/>
    <w:rsid w:val="1367A14F"/>
    <w:rsid w:val="1375ACB2"/>
    <w:rsid w:val="1378DAC0"/>
    <w:rsid w:val="137BEA6F"/>
    <w:rsid w:val="1381265C"/>
    <w:rsid w:val="139F2ACD"/>
    <w:rsid w:val="13AFA0ED"/>
    <w:rsid w:val="13B7968A"/>
    <w:rsid w:val="13BA5F97"/>
    <w:rsid w:val="13BC83A2"/>
    <w:rsid w:val="13C1A969"/>
    <w:rsid w:val="13C589F5"/>
    <w:rsid w:val="13CBC511"/>
    <w:rsid w:val="13D9CB93"/>
    <w:rsid w:val="13E2EE28"/>
    <w:rsid w:val="13E324A6"/>
    <w:rsid w:val="13E36D30"/>
    <w:rsid w:val="13E7ABBB"/>
    <w:rsid w:val="13E81E98"/>
    <w:rsid w:val="13F4BD0D"/>
    <w:rsid w:val="13F56C88"/>
    <w:rsid w:val="13F95270"/>
    <w:rsid w:val="1400FD71"/>
    <w:rsid w:val="14020D66"/>
    <w:rsid w:val="1420A991"/>
    <w:rsid w:val="14230E78"/>
    <w:rsid w:val="1424E2D2"/>
    <w:rsid w:val="14256456"/>
    <w:rsid w:val="1426A2FA"/>
    <w:rsid w:val="143C24C7"/>
    <w:rsid w:val="143F7981"/>
    <w:rsid w:val="145183BD"/>
    <w:rsid w:val="145FDEEC"/>
    <w:rsid w:val="146AD551"/>
    <w:rsid w:val="1473E72A"/>
    <w:rsid w:val="1474A4EA"/>
    <w:rsid w:val="14805BA8"/>
    <w:rsid w:val="14829DAE"/>
    <w:rsid w:val="148D5722"/>
    <w:rsid w:val="148F86B4"/>
    <w:rsid w:val="149DA8BD"/>
    <w:rsid w:val="14A62719"/>
    <w:rsid w:val="14B422FC"/>
    <w:rsid w:val="14BC71D6"/>
    <w:rsid w:val="14C9B415"/>
    <w:rsid w:val="14CA80DF"/>
    <w:rsid w:val="14D7426F"/>
    <w:rsid w:val="14DB638D"/>
    <w:rsid w:val="14DDB0B1"/>
    <w:rsid w:val="14E8C726"/>
    <w:rsid w:val="14FC33DD"/>
    <w:rsid w:val="150BB623"/>
    <w:rsid w:val="151D7B95"/>
    <w:rsid w:val="152B5122"/>
    <w:rsid w:val="152EE13C"/>
    <w:rsid w:val="15336838"/>
    <w:rsid w:val="153E9847"/>
    <w:rsid w:val="1542165D"/>
    <w:rsid w:val="154EF617"/>
    <w:rsid w:val="15556FC8"/>
    <w:rsid w:val="1557A20D"/>
    <w:rsid w:val="155D44C0"/>
    <w:rsid w:val="156F85D1"/>
    <w:rsid w:val="1570D760"/>
    <w:rsid w:val="157C49CF"/>
    <w:rsid w:val="15880A34"/>
    <w:rsid w:val="15881CDC"/>
    <w:rsid w:val="158D6B7D"/>
    <w:rsid w:val="1591A6B1"/>
    <w:rsid w:val="1598848A"/>
    <w:rsid w:val="159CAFC5"/>
    <w:rsid w:val="15A1F6B6"/>
    <w:rsid w:val="15A37FC6"/>
    <w:rsid w:val="15B34705"/>
    <w:rsid w:val="15C703DB"/>
    <w:rsid w:val="15C79636"/>
    <w:rsid w:val="15CEFAA1"/>
    <w:rsid w:val="15D402E0"/>
    <w:rsid w:val="15D6A634"/>
    <w:rsid w:val="15D999BD"/>
    <w:rsid w:val="15DC7F57"/>
    <w:rsid w:val="15DEA16A"/>
    <w:rsid w:val="15E2330A"/>
    <w:rsid w:val="15E42DBF"/>
    <w:rsid w:val="15E47D8C"/>
    <w:rsid w:val="15F2F73E"/>
    <w:rsid w:val="15F43841"/>
    <w:rsid w:val="15F8B6F4"/>
    <w:rsid w:val="15FB2A15"/>
    <w:rsid w:val="15FDB799"/>
    <w:rsid w:val="16012219"/>
    <w:rsid w:val="16013F51"/>
    <w:rsid w:val="161C9179"/>
    <w:rsid w:val="161D05BD"/>
    <w:rsid w:val="16275177"/>
    <w:rsid w:val="164635F3"/>
    <w:rsid w:val="1651BA1C"/>
    <w:rsid w:val="165577C1"/>
    <w:rsid w:val="165697B6"/>
    <w:rsid w:val="165E4F40"/>
    <w:rsid w:val="166B1756"/>
    <w:rsid w:val="166B3063"/>
    <w:rsid w:val="166BF27F"/>
    <w:rsid w:val="166DDC97"/>
    <w:rsid w:val="16701FD9"/>
    <w:rsid w:val="167332CD"/>
    <w:rsid w:val="16789AE9"/>
    <w:rsid w:val="167A8D08"/>
    <w:rsid w:val="1684EA63"/>
    <w:rsid w:val="168A1BA7"/>
    <w:rsid w:val="168D1CD1"/>
    <w:rsid w:val="16972CD1"/>
    <w:rsid w:val="169836F5"/>
    <w:rsid w:val="169AA163"/>
    <w:rsid w:val="169D49C7"/>
    <w:rsid w:val="16A31F44"/>
    <w:rsid w:val="16A6BBA1"/>
    <w:rsid w:val="16AC321B"/>
    <w:rsid w:val="16AD5501"/>
    <w:rsid w:val="16B21B3A"/>
    <w:rsid w:val="16B56CDB"/>
    <w:rsid w:val="16BC14AC"/>
    <w:rsid w:val="16BDCE4E"/>
    <w:rsid w:val="16CDF57E"/>
    <w:rsid w:val="16D042EB"/>
    <w:rsid w:val="16D06387"/>
    <w:rsid w:val="16DC6D74"/>
    <w:rsid w:val="16E52840"/>
    <w:rsid w:val="16EA511D"/>
    <w:rsid w:val="16F7040E"/>
    <w:rsid w:val="16FC66CF"/>
    <w:rsid w:val="170504B0"/>
    <w:rsid w:val="17067ADD"/>
    <w:rsid w:val="1711BB00"/>
    <w:rsid w:val="17179F30"/>
    <w:rsid w:val="171948AC"/>
    <w:rsid w:val="172E31B3"/>
    <w:rsid w:val="17318498"/>
    <w:rsid w:val="173605ED"/>
    <w:rsid w:val="17377360"/>
    <w:rsid w:val="173909DB"/>
    <w:rsid w:val="173AC781"/>
    <w:rsid w:val="174743DD"/>
    <w:rsid w:val="1757FD93"/>
    <w:rsid w:val="175AAF3A"/>
    <w:rsid w:val="175FDAF2"/>
    <w:rsid w:val="176071BE"/>
    <w:rsid w:val="1761F595"/>
    <w:rsid w:val="176D018C"/>
    <w:rsid w:val="177033EA"/>
    <w:rsid w:val="1774770C"/>
    <w:rsid w:val="177B09E5"/>
    <w:rsid w:val="178E4F13"/>
    <w:rsid w:val="1792CC9F"/>
    <w:rsid w:val="17972F5C"/>
    <w:rsid w:val="179F7A90"/>
    <w:rsid w:val="17A74553"/>
    <w:rsid w:val="17AB87EC"/>
    <w:rsid w:val="17ACCE34"/>
    <w:rsid w:val="17B657CD"/>
    <w:rsid w:val="17B952CF"/>
    <w:rsid w:val="17B97A3C"/>
    <w:rsid w:val="17BB7782"/>
    <w:rsid w:val="17BCA4A1"/>
    <w:rsid w:val="17C8608B"/>
    <w:rsid w:val="17DD87F3"/>
    <w:rsid w:val="17DDE259"/>
    <w:rsid w:val="17EE4432"/>
    <w:rsid w:val="17F18796"/>
    <w:rsid w:val="17F3B0B7"/>
    <w:rsid w:val="17F4B351"/>
    <w:rsid w:val="17FBAA04"/>
    <w:rsid w:val="17FFC640"/>
    <w:rsid w:val="18113EF4"/>
    <w:rsid w:val="181B9A4C"/>
    <w:rsid w:val="182051EA"/>
    <w:rsid w:val="1829D6A7"/>
    <w:rsid w:val="183A48FF"/>
    <w:rsid w:val="183A4A2B"/>
    <w:rsid w:val="183DC22C"/>
    <w:rsid w:val="183F38D3"/>
    <w:rsid w:val="18411A10"/>
    <w:rsid w:val="184EFF80"/>
    <w:rsid w:val="18555A1D"/>
    <w:rsid w:val="185929D2"/>
    <w:rsid w:val="185B292D"/>
    <w:rsid w:val="1869E234"/>
    <w:rsid w:val="187707F2"/>
    <w:rsid w:val="187A7054"/>
    <w:rsid w:val="18806AD6"/>
    <w:rsid w:val="1888CDF8"/>
    <w:rsid w:val="189BCD4C"/>
    <w:rsid w:val="18A0D511"/>
    <w:rsid w:val="18A343FC"/>
    <w:rsid w:val="18A72495"/>
    <w:rsid w:val="18ADF497"/>
    <w:rsid w:val="18AE724E"/>
    <w:rsid w:val="18BC7794"/>
    <w:rsid w:val="18C8CD57"/>
    <w:rsid w:val="18C9AE13"/>
    <w:rsid w:val="18CE92B9"/>
    <w:rsid w:val="18D04CCF"/>
    <w:rsid w:val="18E889BB"/>
    <w:rsid w:val="18F51884"/>
    <w:rsid w:val="18F5C562"/>
    <w:rsid w:val="18FB9E7A"/>
    <w:rsid w:val="18FD29F4"/>
    <w:rsid w:val="18FD3CC8"/>
    <w:rsid w:val="19010E57"/>
    <w:rsid w:val="19028281"/>
    <w:rsid w:val="1906F260"/>
    <w:rsid w:val="190A0896"/>
    <w:rsid w:val="1911C48A"/>
    <w:rsid w:val="19132822"/>
    <w:rsid w:val="191BD566"/>
    <w:rsid w:val="1927154E"/>
    <w:rsid w:val="19321CD1"/>
    <w:rsid w:val="193786F4"/>
    <w:rsid w:val="1938A115"/>
    <w:rsid w:val="1940341A"/>
    <w:rsid w:val="19468F5A"/>
    <w:rsid w:val="1948DE99"/>
    <w:rsid w:val="1948F127"/>
    <w:rsid w:val="194F3B41"/>
    <w:rsid w:val="1952795B"/>
    <w:rsid w:val="195CF23F"/>
    <w:rsid w:val="19614029"/>
    <w:rsid w:val="19772806"/>
    <w:rsid w:val="1985948B"/>
    <w:rsid w:val="198A5D74"/>
    <w:rsid w:val="198DA5C7"/>
    <w:rsid w:val="199083B2"/>
    <w:rsid w:val="199204E7"/>
    <w:rsid w:val="1997F822"/>
    <w:rsid w:val="1997F977"/>
    <w:rsid w:val="19995BB7"/>
    <w:rsid w:val="19A07017"/>
    <w:rsid w:val="19A380FC"/>
    <w:rsid w:val="19C96B95"/>
    <w:rsid w:val="19CB99AF"/>
    <w:rsid w:val="19CD1DAF"/>
    <w:rsid w:val="19CDB0B1"/>
    <w:rsid w:val="19CDD402"/>
    <w:rsid w:val="19E4EE36"/>
    <w:rsid w:val="19E74573"/>
    <w:rsid w:val="19EBD7E4"/>
    <w:rsid w:val="19F838A4"/>
    <w:rsid w:val="1A07A0C4"/>
    <w:rsid w:val="1A10E8C5"/>
    <w:rsid w:val="1A12D853"/>
    <w:rsid w:val="1A1DFCC5"/>
    <w:rsid w:val="1A1FE1FB"/>
    <w:rsid w:val="1A30077D"/>
    <w:rsid w:val="1A31EFEF"/>
    <w:rsid w:val="1A37555E"/>
    <w:rsid w:val="1A4280A2"/>
    <w:rsid w:val="1A42FF21"/>
    <w:rsid w:val="1A4A5E5F"/>
    <w:rsid w:val="1A4D5A50"/>
    <w:rsid w:val="1A5870E1"/>
    <w:rsid w:val="1A5E9D44"/>
    <w:rsid w:val="1A651E44"/>
    <w:rsid w:val="1A652F13"/>
    <w:rsid w:val="1A68DA2E"/>
    <w:rsid w:val="1A6C8D6A"/>
    <w:rsid w:val="1A6D97D2"/>
    <w:rsid w:val="1A708EE4"/>
    <w:rsid w:val="1A71B221"/>
    <w:rsid w:val="1A7966FF"/>
    <w:rsid w:val="1A7D0ED7"/>
    <w:rsid w:val="1A880DF7"/>
    <w:rsid w:val="1A8F3133"/>
    <w:rsid w:val="1A972A32"/>
    <w:rsid w:val="1AA9C0FC"/>
    <w:rsid w:val="1AC99FEC"/>
    <w:rsid w:val="1ACB77CE"/>
    <w:rsid w:val="1ACC17E7"/>
    <w:rsid w:val="1AD1CD1B"/>
    <w:rsid w:val="1AD4F20F"/>
    <w:rsid w:val="1AE37F43"/>
    <w:rsid w:val="1AE407F7"/>
    <w:rsid w:val="1AE6ECF6"/>
    <w:rsid w:val="1AEB02E0"/>
    <w:rsid w:val="1AEF3B8E"/>
    <w:rsid w:val="1AF606A8"/>
    <w:rsid w:val="1AF6F819"/>
    <w:rsid w:val="1AFCABE3"/>
    <w:rsid w:val="1B03552B"/>
    <w:rsid w:val="1B0525B8"/>
    <w:rsid w:val="1B06DDD3"/>
    <w:rsid w:val="1B1E7756"/>
    <w:rsid w:val="1B1FBA7E"/>
    <w:rsid w:val="1B243A4E"/>
    <w:rsid w:val="1B396736"/>
    <w:rsid w:val="1B3FAA2F"/>
    <w:rsid w:val="1B4B0B19"/>
    <w:rsid w:val="1B513A4D"/>
    <w:rsid w:val="1B51594A"/>
    <w:rsid w:val="1B52A919"/>
    <w:rsid w:val="1B5521F1"/>
    <w:rsid w:val="1B55BAE5"/>
    <w:rsid w:val="1B5A483D"/>
    <w:rsid w:val="1B5D103B"/>
    <w:rsid w:val="1B5D74F8"/>
    <w:rsid w:val="1B656E65"/>
    <w:rsid w:val="1B65D0D4"/>
    <w:rsid w:val="1B66CB15"/>
    <w:rsid w:val="1B736DB0"/>
    <w:rsid w:val="1B79275F"/>
    <w:rsid w:val="1B7AFA8A"/>
    <w:rsid w:val="1B7B5DF4"/>
    <w:rsid w:val="1B88728C"/>
    <w:rsid w:val="1B8F7A24"/>
    <w:rsid w:val="1BA2CE8F"/>
    <w:rsid w:val="1BA943CE"/>
    <w:rsid w:val="1BAF2317"/>
    <w:rsid w:val="1BAF5FCA"/>
    <w:rsid w:val="1BB4BEC1"/>
    <w:rsid w:val="1BB53A71"/>
    <w:rsid w:val="1BB666EB"/>
    <w:rsid w:val="1BB6CADD"/>
    <w:rsid w:val="1BC30F1A"/>
    <w:rsid w:val="1BCD2FF9"/>
    <w:rsid w:val="1BD6B7DA"/>
    <w:rsid w:val="1BE0DB07"/>
    <w:rsid w:val="1BEA8FB9"/>
    <w:rsid w:val="1BEE5451"/>
    <w:rsid w:val="1BF260D8"/>
    <w:rsid w:val="1C009E95"/>
    <w:rsid w:val="1C00FF74"/>
    <w:rsid w:val="1C011235"/>
    <w:rsid w:val="1C0D3937"/>
    <w:rsid w:val="1C17DC78"/>
    <w:rsid w:val="1C1EC252"/>
    <w:rsid w:val="1C20E8FF"/>
    <w:rsid w:val="1C33A8FC"/>
    <w:rsid w:val="1C3FD3E8"/>
    <w:rsid w:val="1C4197F5"/>
    <w:rsid w:val="1C54ECE9"/>
    <w:rsid w:val="1C5525A0"/>
    <w:rsid w:val="1C5851F3"/>
    <w:rsid w:val="1C7915BD"/>
    <w:rsid w:val="1C7CEA4C"/>
    <w:rsid w:val="1C7E86D3"/>
    <w:rsid w:val="1C840ABE"/>
    <w:rsid w:val="1C8E7AF5"/>
    <w:rsid w:val="1C98ABD5"/>
    <w:rsid w:val="1C99E1B6"/>
    <w:rsid w:val="1CB1537C"/>
    <w:rsid w:val="1CC05DAE"/>
    <w:rsid w:val="1CC146A7"/>
    <w:rsid w:val="1CD03D72"/>
    <w:rsid w:val="1CD4FA07"/>
    <w:rsid w:val="1CD9CC34"/>
    <w:rsid w:val="1CE067B1"/>
    <w:rsid w:val="1CF6334A"/>
    <w:rsid w:val="1D033A71"/>
    <w:rsid w:val="1D0538C0"/>
    <w:rsid w:val="1D13EB65"/>
    <w:rsid w:val="1D24392E"/>
    <w:rsid w:val="1D269648"/>
    <w:rsid w:val="1D2EF403"/>
    <w:rsid w:val="1D32863C"/>
    <w:rsid w:val="1D354D7D"/>
    <w:rsid w:val="1D3C7BC3"/>
    <w:rsid w:val="1D3EC1F5"/>
    <w:rsid w:val="1D55AA86"/>
    <w:rsid w:val="1D6553C2"/>
    <w:rsid w:val="1D6D404C"/>
    <w:rsid w:val="1D6F5E85"/>
    <w:rsid w:val="1D782546"/>
    <w:rsid w:val="1D7A5EFA"/>
    <w:rsid w:val="1D7DCA8C"/>
    <w:rsid w:val="1D91DC42"/>
    <w:rsid w:val="1D92628F"/>
    <w:rsid w:val="1D940AFB"/>
    <w:rsid w:val="1D9CCFD5"/>
    <w:rsid w:val="1DB3AE4C"/>
    <w:rsid w:val="1DB6AFA5"/>
    <w:rsid w:val="1DBF4CE3"/>
    <w:rsid w:val="1DBFDA2F"/>
    <w:rsid w:val="1DC5C66A"/>
    <w:rsid w:val="1DC78BD7"/>
    <w:rsid w:val="1DCE7439"/>
    <w:rsid w:val="1DDDC41D"/>
    <w:rsid w:val="1DDF4487"/>
    <w:rsid w:val="1DE13759"/>
    <w:rsid w:val="1DE74029"/>
    <w:rsid w:val="1DE8760B"/>
    <w:rsid w:val="1DFB69DD"/>
    <w:rsid w:val="1E03F2BC"/>
    <w:rsid w:val="1E26AAD9"/>
    <w:rsid w:val="1E26B421"/>
    <w:rsid w:val="1E3723A6"/>
    <w:rsid w:val="1E47E218"/>
    <w:rsid w:val="1E4B5AF4"/>
    <w:rsid w:val="1E4C8E96"/>
    <w:rsid w:val="1E54485C"/>
    <w:rsid w:val="1E56DF00"/>
    <w:rsid w:val="1E56FD0A"/>
    <w:rsid w:val="1E5D0A5B"/>
    <w:rsid w:val="1E72BF1B"/>
    <w:rsid w:val="1E7B3DC2"/>
    <w:rsid w:val="1E7C0998"/>
    <w:rsid w:val="1E7C545B"/>
    <w:rsid w:val="1E7F1312"/>
    <w:rsid w:val="1E80A730"/>
    <w:rsid w:val="1E8CFEF2"/>
    <w:rsid w:val="1E922B7C"/>
    <w:rsid w:val="1E972BF3"/>
    <w:rsid w:val="1E9A3B0D"/>
    <w:rsid w:val="1E9C084D"/>
    <w:rsid w:val="1E9C737F"/>
    <w:rsid w:val="1EA065E7"/>
    <w:rsid w:val="1EAAFD5C"/>
    <w:rsid w:val="1EB05B94"/>
    <w:rsid w:val="1EB2CE6F"/>
    <w:rsid w:val="1EB33958"/>
    <w:rsid w:val="1EBFF4CB"/>
    <w:rsid w:val="1EC0098F"/>
    <w:rsid w:val="1EC83042"/>
    <w:rsid w:val="1ECEC2E4"/>
    <w:rsid w:val="1ED562D0"/>
    <w:rsid w:val="1ED675E6"/>
    <w:rsid w:val="1ED84629"/>
    <w:rsid w:val="1EE45667"/>
    <w:rsid w:val="1EF85AAF"/>
    <w:rsid w:val="1EFCD533"/>
    <w:rsid w:val="1F072CED"/>
    <w:rsid w:val="1F1980F5"/>
    <w:rsid w:val="1F2D4582"/>
    <w:rsid w:val="1F302548"/>
    <w:rsid w:val="1F3075EF"/>
    <w:rsid w:val="1F362B56"/>
    <w:rsid w:val="1F4BF843"/>
    <w:rsid w:val="1F6220DE"/>
    <w:rsid w:val="1F635C38"/>
    <w:rsid w:val="1F6A449A"/>
    <w:rsid w:val="1F73D67D"/>
    <w:rsid w:val="1F7C6835"/>
    <w:rsid w:val="1F80C759"/>
    <w:rsid w:val="1F8B16EA"/>
    <w:rsid w:val="1F909A83"/>
    <w:rsid w:val="1F95F957"/>
    <w:rsid w:val="1F97C90A"/>
    <w:rsid w:val="1F97E0CD"/>
    <w:rsid w:val="1F9AEBD5"/>
    <w:rsid w:val="1F9CC11C"/>
    <w:rsid w:val="1FA6FDDB"/>
    <w:rsid w:val="1FB2672D"/>
    <w:rsid w:val="1FC1F021"/>
    <w:rsid w:val="1FC77F73"/>
    <w:rsid w:val="1FC79E57"/>
    <w:rsid w:val="1FDEF00F"/>
    <w:rsid w:val="1FE959E0"/>
    <w:rsid w:val="1FF416B4"/>
    <w:rsid w:val="1FF5CC81"/>
    <w:rsid w:val="1FF9B783"/>
    <w:rsid w:val="1FFEC742"/>
    <w:rsid w:val="200739A6"/>
    <w:rsid w:val="20077BDF"/>
    <w:rsid w:val="200F76B3"/>
    <w:rsid w:val="2017AEE4"/>
    <w:rsid w:val="20196BD7"/>
    <w:rsid w:val="2019FFC7"/>
    <w:rsid w:val="201A2C03"/>
    <w:rsid w:val="2025F9B5"/>
    <w:rsid w:val="203024E0"/>
    <w:rsid w:val="2033FDCE"/>
    <w:rsid w:val="2039A502"/>
    <w:rsid w:val="2043324C"/>
    <w:rsid w:val="204EF1EC"/>
    <w:rsid w:val="204F72E4"/>
    <w:rsid w:val="2055511A"/>
    <w:rsid w:val="20598F56"/>
    <w:rsid w:val="2059BED7"/>
    <w:rsid w:val="205DD4AF"/>
    <w:rsid w:val="205F6091"/>
    <w:rsid w:val="2068F17A"/>
    <w:rsid w:val="20693CF9"/>
    <w:rsid w:val="20699B1D"/>
    <w:rsid w:val="206BB2C2"/>
    <w:rsid w:val="207009B0"/>
    <w:rsid w:val="20718C8A"/>
    <w:rsid w:val="2073FB2E"/>
    <w:rsid w:val="207521C4"/>
    <w:rsid w:val="2084217C"/>
    <w:rsid w:val="208A6D06"/>
    <w:rsid w:val="208C0E11"/>
    <w:rsid w:val="20967D9B"/>
    <w:rsid w:val="209AC972"/>
    <w:rsid w:val="20A4157B"/>
    <w:rsid w:val="20A8C678"/>
    <w:rsid w:val="20A998D8"/>
    <w:rsid w:val="20AD7013"/>
    <w:rsid w:val="20B0AC7F"/>
    <w:rsid w:val="20BFAABB"/>
    <w:rsid w:val="20C58A36"/>
    <w:rsid w:val="20C7E60B"/>
    <w:rsid w:val="20CA09CC"/>
    <w:rsid w:val="20D5D3D4"/>
    <w:rsid w:val="20DE8280"/>
    <w:rsid w:val="20E6326D"/>
    <w:rsid w:val="20E6341F"/>
    <w:rsid w:val="20EEBCB3"/>
    <w:rsid w:val="20F5652C"/>
    <w:rsid w:val="21071A1F"/>
    <w:rsid w:val="210D8B15"/>
    <w:rsid w:val="211819EB"/>
    <w:rsid w:val="211DE8F8"/>
    <w:rsid w:val="212067E7"/>
    <w:rsid w:val="212E6778"/>
    <w:rsid w:val="2130EEA1"/>
    <w:rsid w:val="213DDF13"/>
    <w:rsid w:val="213F134C"/>
    <w:rsid w:val="2142F00D"/>
    <w:rsid w:val="21451CE0"/>
    <w:rsid w:val="214CC9E6"/>
    <w:rsid w:val="2155DF36"/>
    <w:rsid w:val="21617E2D"/>
    <w:rsid w:val="2167D34B"/>
    <w:rsid w:val="2167EB07"/>
    <w:rsid w:val="216A8080"/>
    <w:rsid w:val="217269E4"/>
    <w:rsid w:val="21763F67"/>
    <w:rsid w:val="217FB52A"/>
    <w:rsid w:val="2184C49F"/>
    <w:rsid w:val="2187024A"/>
    <w:rsid w:val="218CC34B"/>
    <w:rsid w:val="219193E2"/>
    <w:rsid w:val="219DB1A5"/>
    <w:rsid w:val="21A17B52"/>
    <w:rsid w:val="21A6CAC8"/>
    <w:rsid w:val="21AD3D57"/>
    <w:rsid w:val="21B9C201"/>
    <w:rsid w:val="21BABDA5"/>
    <w:rsid w:val="21BBE325"/>
    <w:rsid w:val="21C19372"/>
    <w:rsid w:val="21C5A70D"/>
    <w:rsid w:val="21C89F17"/>
    <w:rsid w:val="21CAB2C7"/>
    <w:rsid w:val="21CE4814"/>
    <w:rsid w:val="21D30291"/>
    <w:rsid w:val="21D3E901"/>
    <w:rsid w:val="21DE7C13"/>
    <w:rsid w:val="21E07F1B"/>
    <w:rsid w:val="21E48E8A"/>
    <w:rsid w:val="21E78828"/>
    <w:rsid w:val="220C7C22"/>
    <w:rsid w:val="220F54D3"/>
    <w:rsid w:val="2212C758"/>
    <w:rsid w:val="2222BD9D"/>
    <w:rsid w:val="222CEF00"/>
    <w:rsid w:val="2246B6DF"/>
    <w:rsid w:val="224AF8D3"/>
    <w:rsid w:val="22557AB2"/>
    <w:rsid w:val="226A156E"/>
    <w:rsid w:val="2275BED6"/>
    <w:rsid w:val="227CE7C2"/>
    <w:rsid w:val="228076E7"/>
    <w:rsid w:val="22912639"/>
    <w:rsid w:val="229B6C4E"/>
    <w:rsid w:val="22A20744"/>
    <w:rsid w:val="22A2EA80"/>
    <w:rsid w:val="22A41A93"/>
    <w:rsid w:val="22A4DB3A"/>
    <w:rsid w:val="22ADC00A"/>
    <w:rsid w:val="22B0898F"/>
    <w:rsid w:val="22B75E49"/>
    <w:rsid w:val="22BFF620"/>
    <w:rsid w:val="22CEEE01"/>
    <w:rsid w:val="22E41DE4"/>
    <w:rsid w:val="22F07222"/>
    <w:rsid w:val="230B040B"/>
    <w:rsid w:val="2312C34F"/>
    <w:rsid w:val="231C9F1F"/>
    <w:rsid w:val="231EC5FD"/>
    <w:rsid w:val="231FD0BA"/>
    <w:rsid w:val="2324A02A"/>
    <w:rsid w:val="232871EB"/>
    <w:rsid w:val="23290592"/>
    <w:rsid w:val="2333BE49"/>
    <w:rsid w:val="23379484"/>
    <w:rsid w:val="2338C5E1"/>
    <w:rsid w:val="234B1196"/>
    <w:rsid w:val="2351C72D"/>
    <w:rsid w:val="2364AC76"/>
    <w:rsid w:val="2365AD81"/>
    <w:rsid w:val="2367DE88"/>
    <w:rsid w:val="23766EFB"/>
    <w:rsid w:val="237CFA54"/>
    <w:rsid w:val="237EE420"/>
    <w:rsid w:val="23872C47"/>
    <w:rsid w:val="2396F156"/>
    <w:rsid w:val="23A30486"/>
    <w:rsid w:val="23ABBCAC"/>
    <w:rsid w:val="23B0A27E"/>
    <w:rsid w:val="23B264BB"/>
    <w:rsid w:val="23B7580F"/>
    <w:rsid w:val="23BC0020"/>
    <w:rsid w:val="23BE3786"/>
    <w:rsid w:val="23C0C821"/>
    <w:rsid w:val="23C4E156"/>
    <w:rsid w:val="23D190CF"/>
    <w:rsid w:val="23E60981"/>
    <w:rsid w:val="23F5A7B3"/>
    <w:rsid w:val="23F772D6"/>
    <w:rsid w:val="23F9F0F3"/>
    <w:rsid w:val="23FC7CDA"/>
    <w:rsid w:val="2400668F"/>
    <w:rsid w:val="240B0191"/>
    <w:rsid w:val="240B0747"/>
    <w:rsid w:val="240BE060"/>
    <w:rsid w:val="24148D14"/>
    <w:rsid w:val="241D4922"/>
    <w:rsid w:val="24230503"/>
    <w:rsid w:val="2427C161"/>
    <w:rsid w:val="242999D3"/>
    <w:rsid w:val="2436FC6B"/>
    <w:rsid w:val="243FA955"/>
    <w:rsid w:val="2448149D"/>
    <w:rsid w:val="24498546"/>
    <w:rsid w:val="245E91B2"/>
    <w:rsid w:val="246F7739"/>
    <w:rsid w:val="2470E2DA"/>
    <w:rsid w:val="2471BDA7"/>
    <w:rsid w:val="248103CC"/>
    <w:rsid w:val="248682F6"/>
    <w:rsid w:val="248D434B"/>
    <w:rsid w:val="24920557"/>
    <w:rsid w:val="24B8F2FE"/>
    <w:rsid w:val="24BAFEAC"/>
    <w:rsid w:val="24C21F60"/>
    <w:rsid w:val="24C425DE"/>
    <w:rsid w:val="24DABC7E"/>
    <w:rsid w:val="24DE6B8A"/>
    <w:rsid w:val="24E3249D"/>
    <w:rsid w:val="24E3C85F"/>
    <w:rsid w:val="24E45F0A"/>
    <w:rsid w:val="24E5451A"/>
    <w:rsid w:val="24ED0E71"/>
    <w:rsid w:val="24F70182"/>
    <w:rsid w:val="24FD4A05"/>
    <w:rsid w:val="250110C4"/>
    <w:rsid w:val="25054EAE"/>
    <w:rsid w:val="2508C173"/>
    <w:rsid w:val="251131D7"/>
    <w:rsid w:val="25117BBC"/>
    <w:rsid w:val="25200800"/>
    <w:rsid w:val="2530F3A4"/>
    <w:rsid w:val="2534C857"/>
    <w:rsid w:val="2535C8C0"/>
    <w:rsid w:val="25365696"/>
    <w:rsid w:val="253B230C"/>
    <w:rsid w:val="25400059"/>
    <w:rsid w:val="25415D5F"/>
    <w:rsid w:val="25455389"/>
    <w:rsid w:val="254AECCB"/>
    <w:rsid w:val="254BAB67"/>
    <w:rsid w:val="255AC38C"/>
    <w:rsid w:val="2561AA7D"/>
    <w:rsid w:val="2562A807"/>
    <w:rsid w:val="256C3661"/>
    <w:rsid w:val="256D0767"/>
    <w:rsid w:val="256D16B2"/>
    <w:rsid w:val="256D437E"/>
    <w:rsid w:val="257158F3"/>
    <w:rsid w:val="2579FB71"/>
    <w:rsid w:val="258E54B6"/>
    <w:rsid w:val="25916387"/>
    <w:rsid w:val="259514AE"/>
    <w:rsid w:val="25A37465"/>
    <w:rsid w:val="25ABD236"/>
    <w:rsid w:val="25BE5CB8"/>
    <w:rsid w:val="25C2AA0F"/>
    <w:rsid w:val="25C38455"/>
    <w:rsid w:val="25CEB0AD"/>
    <w:rsid w:val="25D5C359"/>
    <w:rsid w:val="25D99B8B"/>
    <w:rsid w:val="25DAE718"/>
    <w:rsid w:val="25ED688F"/>
    <w:rsid w:val="25EDCEBD"/>
    <w:rsid w:val="25EEC5AD"/>
    <w:rsid w:val="25FBA0A8"/>
    <w:rsid w:val="2600C08F"/>
    <w:rsid w:val="2603D833"/>
    <w:rsid w:val="26085212"/>
    <w:rsid w:val="260A7908"/>
    <w:rsid w:val="260D4088"/>
    <w:rsid w:val="261395FE"/>
    <w:rsid w:val="26241FEA"/>
    <w:rsid w:val="2627E3E2"/>
    <w:rsid w:val="262A6988"/>
    <w:rsid w:val="262C423A"/>
    <w:rsid w:val="263A79DA"/>
    <w:rsid w:val="26442CC0"/>
    <w:rsid w:val="264E5774"/>
    <w:rsid w:val="264E6C34"/>
    <w:rsid w:val="2662E39F"/>
    <w:rsid w:val="2666AB12"/>
    <w:rsid w:val="26697B63"/>
    <w:rsid w:val="266D4FC5"/>
    <w:rsid w:val="266DBA8D"/>
    <w:rsid w:val="2670956F"/>
    <w:rsid w:val="26771D45"/>
    <w:rsid w:val="2677A30F"/>
    <w:rsid w:val="267F084F"/>
    <w:rsid w:val="26820984"/>
    <w:rsid w:val="269C4D38"/>
    <w:rsid w:val="26A9C756"/>
    <w:rsid w:val="26AA4A4D"/>
    <w:rsid w:val="26C2A5E5"/>
    <w:rsid w:val="26C62540"/>
    <w:rsid w:val="26D355D2"/>
    <w:rsid w:val="26D44722"/>
    <w:rsid w:val="26DCA668"/>
    <w:rsid w:val="26DD78E7"/>
    <w:rsid w:val="270372C3"/>
    <w:rsid w:val="2706F394"/>
    <w:rsid w:val="2709092B"/>
    <w:rsid w:val="270BBC41"/>
    <w:rsid w:val="2713BD9B"/>
    <w:rsid w:val="2719FDA6"/>
    <w:rsid w:val="271AA094"/>
    <w:rsid w:val="271C7B22"/>
    <w:rsid w:val="272C7082"/>
    <w:rsid w:val="272C9A58"/>
    <w:rsid w:val="27323A4F"/>
    <w:rsid w:val="2734D945"/>
    <w:rsid w:val="273AA254"/>
    <w:rsid w:val="273C8C0D"/>
    <w:rsid w:val="274E7C9E"/>
    <w:rsid w:val="274F6910"/>
    <w:rsid w:val="275230E6"/>
    <w:rsid w:val="27649E0D"/>
    <w:rsid w:val="276872B4"/>
    <w:rsid w:val="276BDB20"/>
    <w:rsid w:val="2771A697"/>
    <w:rsid w:val="277DB4C9"/>
    <w:rsid w:val="27842C75"/>
    <w:rsid w:val="2790F44A"/>
    <w:rsid w:val="27A0BAB5"/>
    <w:rsid w:val="27A42273"/>
    <w:rsid w:val="27A95274"/>
    <w:rsid w:val="27AD16B0"/>
    <w:rsid w:val="27ADEF26"/>
    <w:rsid w:val="27B8023D"/>
    <w:rsid w:val="27B8FDBA"/>
    <w:rsid w:val="27C152B3"/>
    <w:rsid w:val="27C292A5"/>
    <w:rsid w:val="27C295AE"/>
    <w:rsid w:val="27C56216"/>
    <w:rsid w:val="27D2A787"/>
    <w:rsid w:val="27DE7858"/>
    <w:rsid w:val="27EA3C95"/>
    <w:rsid w:val="27F019C4"/>
    <w:rsid w:val="27F4F217"/>
    <w:rsid w:val="2800EB91"/>
    <w:rsid w:val="280101D3"/>
    <w:rsid w:val="281544EA"/>
    <w:rsid w:val="2817CDEA"/>
    <w:rsid w:val="281B519C"/>
    <w:rsid w:val="281B7D8A"/>
    <w:rsid w:val="2836B737"/>
    <w:rsid w:val="2840C2A5"/>
    <w:rsid w:val="2840C9A6"/>
    <w:rsid w:val="284B56AD"/>
    <w:rsid w:val="2851ECDC"/>
    <w:rsid w:val="2861C1A5"/>
    <w:rsid w:val="28639734"/>
    <w:rsid w:val="28646547"/>
    <w:rsid w:val="28705EDA"/>
    <w:rsid w:val="2875FAD2"/>
    <w:rsid w:val="287DD6B4"/>
    <w:rsid w:val="2884ECC8"/>
    <w:rsid w:val="288B3F92"/>
    <w:rsid w:val="28989BF8"/>
    <w:rsid w:val="289BB3F9"/>
    <w:rsid w:val="28A62740"/>
    <w:rsid w:val="28A635B2"/>
    <w:rsid w:val="28AC522F"/>
    <w:rsid w:val="28B02EED"/>
    <w:rsid w:val="28BDD282"/>
    <w:rsid w:val="28CC1605"/>
    <w:rsid w:val="28D3FD0C"/>
    <w:rsid w:val="28D663DA"/>
    <w:rsid w:val="28EAA036"/>
    <w:rsid w:val="28F1A0FB"/>
    <w:rsid w:val="290A3428"/>
    <w:rsid w:val="2919E651"/>
    <w:rsid w:val="29217407"/>
    <w:rsid w:val="29287D68"/>
    <w:rsid w:val="293E5179"/>
    <w:rsid w:val="294974BB"/>
    <w:rsid w:val="29515B8E"/>
    <w:rsid w:val="295B6B0C"/>
    <w:rsid w:val="295C1438"/>
    <w:rsid w:val="297617AA"/>
    <w:rsid w:val="2986671E"/>
    <w:rsid w:val="2989705A"/>
    <w:rsid w:val="2989A164"/>
    <w:rsid w:val="298BB1FF"/>
    <w:rsid w:val="298C915D"/>
    <w:rsid w:val="2993306D"/>
    <w:rsid w:val="2998DCCF"/>
    <w:rsid w:val="299CBBF2"/>
    <w:rsid w:val="299F5C45"/>
    <w:rsid w:val="29AD9164"/>
    <w:rsid w:val="29B8DFDA"/>
    <w:rsid w:val="29C085FC"/>
    <w:rsid w:val="29D0BB28"/>
    <w:rsid w:val="29DA8457"/>
    <w:rsid w:val="29E1EA51"/>
    <w:rsid w:val="29E7658E"/>
    <w:rsid w:val="29ED260B"/>
    <w:rsid w:val="29FC3C04"/>
    <w:rsid w:val="2A01462B"/>
    <w:rsid w:val="2A04E9D3"/>
    <w:rsid w:val="2A0D520A"/>
    <w:rsid w:val="2A0DF0FD"/>
    <w:rsid w:val="2A102B2E"/>
    <w:rsid w:val="2A1432DF"/>
    <w:rsid w:val="2A19FEBD"/>
    <w:rsid w:val="2A20D378"/>
    <w:rsid w:val="2A21C961"/>
    <w:rsid w:val="2A26AAC9"/>
    <w:rsid w:val="2A30538A"/>
    <w:rsid w:val="2A3357C8"/>
    <w:rsid w:val="2A3583A8"/>
    <w:rsid w:val="2A389624"/>
    <w:rsid w:val="2A40C6F7"/>
    <w:rsid w:val="2A499E58"/>
    <w:rsid w:val="2A4A2CC9"/>
    <w:rsid w:val="2A6AB638"/>
    <w:rsid w:val="2A70B162"/>
    <w:rsid w:val="2A7F5ABB"/>
    <w:rsid w:val="2A803F78"/>
    <w:rsid w:val="2A8598F3"/>
    <w:rsid w:val="2A87BB0C"/>
    <w:rsid w:val="2A910187"/>
    <w:rsid w:val="2A99999A"/>
    <w:rsid w:val="2AB1BB3B"/>
    <w:rsid w:val="2AB24736"/>
    <w:rsid w:val="2AB643B5"/>
    <w:rsid w:val="2ABC103E"/>
    <w:rsid w:val="2AC6CDAD"/>
    <w:rsid w:val="2ACA6F6B"/>
    <w:rsid w:val="2ACA83A0"/>
    <w:rsid w:val="2AD0BCC7"/>
    <w:rsid w:val="2AD18BEA"/>
    <w:rsid w:val="2AD5AC96"/>
    <w:rsid w:val="2AD6C045"/>
    <w:rsid w:val="2ADDBB4C"/>
    <w:rsid w:val="2AE1E400"/>
    <w:rsid w:val="2AF28CEC"/>
    <w:rsid w:val="2B0157C7"/>
    <w:rsid w:val="2B04ACD7"/>
    <w:rsid w:val="2B08257A"/>
    <w:rsid w:val="2B0DB9E0"/>
    <w:rsid w:val="2B1054BA"/>
    <w:rsid w:val="2B119960"/>
    <w:rsid w:val="2B160C20"/>
    <w:rsid w:val="2B2188BA"/>
    <w:rsid w:val="2B2504E4"/>
    <w:rsid w:val="2B2B1E9D"/>
    <w:rsid w:val="2B2D417F"/>
    <w:rsid w:val="2B4FF828"/>
    <w:rsid w:val="2B57DD08"/>
    <w:rsid w:val="2B5D25A4"/>
    <w:rsid w:val="2B63A0FC"/>
    <w:rsid w:val="2B6D3059"/>
    <w:rsid w:val="2B75DDF8"/>
    <w:rsid w:val="2B761DF7"/>
    <w:rsid w:val="2B78A855"/>
    <w:rsid w:val="2B7AE7BD"/>
    <w:rsid w:val="2B80D7A6"/>
    <w:rsid w:val="2B8B8BB1"/>
    <w:rsid w:val="2B93B012"/>
    <w:rsid w:val="2BA08246"/>
    <w:rsid w:val="2BA45461"/>
    <w:rsid w:val="2BAE3BB9"/>
    <w:rsid w:val="2BAF5E67"/>
    <w:rsid w:val="2BB88E1E"/>
    <w:rsid w:val="2BBE87F4"/>
    <w:rsid w:val="2BCB8953"/>
    <w:rsid w:val="2BD07885"/>
    <w:rsid w:val="2BD42A4A"/>
    <w:rsid w:val="2BD5CD7E"/>
    <w:rsid w:val="2BD613AD"/>
    <w:rsid w:val="2BD77947"/>
    <w:rsid w:val="2BE10307"/>
    <w:rsid w:val="2BE85F0E"/>
    <w:rsid w:val="2C000B7B"/>
    <w:rsid w:val="2C02E8BD"/>
    <w:rsid w:val="2C0B7F36"/>
    <w:rsid w:val="2C0D1CF2"/>
    <w:rsid w:val="2C168FE0"/>
    <w:rsid w:val="2C17E45E"/>
    <w:rsid w:val="2C36C0EF"/>
    <w:rsid w:val="2C3D1FC7"/>
    <w:rsid w:val="2C49CCC6"/>
    <w:rsid w:val="2C4A954E"/>
    <w:rsid w:val="2C51F000"/>
    <w:rsid w:val="2C525D12"/>
    <w:rsid w:val="2C55F2C9"/>
    <w:rsid w:val="2C57F05B"/>
    <w:rsid w:val="2C5DF472"/>
    <w:rsid w:val="2C601924"/>
    <w:rsid w:val="2C74B62A"/>
    <w:rsid w:val="2C7F20D8"/>
    <w:rsid w:val="2C829EB0"/>
    <w:rsid w:val="2C8A45EA"/>
    <w:rsid w:val="2C8C694D"/>
    <w:rsid w:val="2C91539B"/>
    <w:rsid w:val="2C9DF0E2"/>
    <w:rsid w:val="2CA363D9"/>
    <w:rsid w:val="2CA460BA"/>
    <w:rsid w:val="2CAAA065"/>
    <w:rsid w:val="2CB260B3"/>
    <w:rsid w:val="2CD059EA"/>
    <w:rsid w:val="2CD88C56"/>
    <w:rsid w:val="2CEC35F2"/>
    <w:rsid w:val="2CF8CAE0"/>
    <w:rsid w:val="2CFE0121"/>
    <w:rsid w:val="2D03DAAD"/>
    <w:rsid w:val="2D1743F2"/>
    <w:rsid w:val="2D2F832C"/>
    <w:rsid w:val="2D36C7E5"/>
    <w:rsid w:val="2D3DF790"/>
    <w:rsid w:val="2D3F0F9A"/>
    <w:rsid w:val="2D4F4ECD"/>
    <w:rsid w:val="2D562101"/>
    <w:rsid w:val="2D612954"/>
    <w:rsid w:val="2D789C2B"/>
    <w:rsid w:val="2D78EEE4"/>
    <w:rsid w:val="2D8F4C7D"/>
    <w:rsid w:val="2D919AD3"/>
    <w:rsid w:val="2D961FBF"/>
    <w:rsid w:val="2D9BDBDC"/>
    <w:rsid w:val="2DA35537"/>
    <w:rsid w:val="2DA8CF9E"/>
    <w:rsid w:val="2DA920B5"/>
    <w:rsid w:val="2DA9E195"/>
    <w:rsid w:val="2DB8F34C"/>
    <w:rsid w:val="2DCB2DC2"/>
    <w:rsid w:val="2DCBDFF6"/>
    <w:rsid w:val="2DCDC134"/>
    <w:rsid w:val="2DCEF97D"/>
    <w:rsid w:val="2DD29150"/>
    <w:rsid w:val="2DD600B5"/>
    <w:rsid w:val="2DDB4E7F"/>
    <w:rsid w:val="2DF2C362"/>
    <w:rsid w:val="2DF3B100"/>
    <w:rsid w:val="2DF48160"/>
    <w:rsid w:val="2DFAF979"/>
    <w:rsid w:val="2DFF0E3B"/>
    <w:rsid w:val="2E007CD9"/>
    <w:rsid w:val="2E0F000A"/>
    <w:rsid w:val="2E117638"/>
    <w:rsid w:val="2E12431F"/>
    <w:rsid w:val="2E191B79"/>
    <w:rsid w:val="2E24364E"/>
    <w:rsid w:val="2E2CBA8A"/>
    <w:rsid w:val="2E3C88EA"/>
    <w:rsid w:val="2E3FD547"/>
    <w:rsid w:val="2E44641C"/>
    <w:rsid w:val="2E44EBD1"/>
    <w:rsid w:val="2E51479F"/>
    <w:rsid w:val="2E525C47"/>
    <w:rsid w:val="2E52C20E"/>
    <w:rsid w:val="2E530510"/>
    <w:rsid w:val="2E57A7CD"/>
    <w:rsid w:val="2E5914B9"/>
    <w:rsid w:val="2E65960D"/>
    <w:rsid w:val="2E702DCB"/>
    <w:rsid w:val="2E78EC56"/>
    <w:rsid w:val="2E7B663A"/>
    <w:rsid w:val="2E85F68A"/>
    <w:rsid w:val="2E943859"/>
    <w:rsid w:val="2EA10E0D"/>
    <w:rsid w:val="2EA89B82"/>
    <w:rsid w:val="2EACFBD2"/>
    <w:rsid w:val="2EAFF905"/>
    <w:rsid w:val="2EC3FF43"/>
    <w:rsid w:val="2EC58399"/>
    <w:rsid w:val="2ED9519B"/>
    <w:rsid w:val="2EDCF5BF"/>
    <w:rsid w:val="2EEFAD3C"/>
    <w:rsid w:val="2EF9C869"/>
    <w:rsid w:val="2EFC8986"/>
    <w:rsid w:val="2EFCEE1E"/>
    <w:rsid w:val="2EFE9A78"/>
    <w:rsid w:val="2F0BAAE3"/>
    <w:rsid w:val="2F1745AA"/>
    <w:rsid w:val="2F1DAF79"/>
    <w:rsid w:val="2F28CEAA"/>
    <w:rsid w:val="2F2AE23F"/>
    <w:rsid w:val="2F39C494"/>
    <w:rsid w:val="2F3D8691"/>
    <w:rsid w:val="2F41430F"/>
    <w:rsid w:val="2F41D2A8"/>
    <w:rsid w:val="2F49F163"/>
    <w:rsid w:val="2F4D8533"/>
    <w:rsid w:val="2F6C13C7"/>
    <w:rsid w:val="2F8080FD"/>
    <w:rsid w:val="2F83ADE6"/>
    <w:rsid w:val="2F84A34D"/>
    <w:rsid w:val="2F8B8741"/>
    <w:rsid w:val="2F8BE2A5"/>
    <w:rsid w:val="2F9BB7EB"/>
    <w:rsid w:val="2FA45E94"/>
    <w:rsid w:val="2FA6AA66"/>
    <w:rsid w:val="2FB5BBAB"/>
    <w:rsid w:val="2FC5FE0F"/>
    <w:rsid w:val="2FCAFE10"/>
    <w:rsid w:val="2FD4AB21"/>
    <w:rsid w:val="2FD4C3D4"/>
    <w:rsid w:val="2FD72DAA"/>
    <w:rsid w:val="2FD80071"/>
    <w:rsid w:val="2FE3268F"/>
    <w:rsid w:val="2FE83EC0"/>
    <w:rsid w:val="2FF26CC5"/>
    <w:rsid w:val="2FF545A8"/>
    <w:rsid w:val="2FF7AAF7"/>
    <w:rsid w:val="3001CDDF"/>
    <w:rsid w:val="300A4076"/>
    <w:rsid w:val="300E6863"/>
    <w:rsid w:val="3021F1B5"/>
    <w:rsid w:val="3025AF1D"/>
    <w:rsid w:val="302DEE02"/>
    <w:rsid w:val="30374F64"/>
    <w:rsid w:val="304EA3DA"/>
    <w:rsid w:val="3052552B"/>
    <w:rsid w:val="3053E3E2"/>
    <w:rsid w:val="30589C20"/>
    <w:rsid w:val="30616DAF"/>
    <w:rsid w:val="3063D4F8"/>
    <w:rsid w:val="3065446C"/>
    <w:rsid w:val="307985DB"/>
    <w:rsid w:val="3083AD18"/>
    <w:rsid w:val="3089B526"/>
    <w:rsid w:val="3097285E"/>
    <w:rsid w:val="309BE29C"/>
    <w:rsid w:val="309E1E03"/>
    <w:rsid w:val="30A6E6A7"/>
    <w:rsid w:val="30AF06B2"/>
    <w:rsid w:val="30AFBA0E"/>
    <w:rsid w:val="30B508AA"/>
    <w:rsid w:val="30B5AEA9"/>
    <w:rsid w:val="30BF27DC"/>
    <w:rsid w:val="30CB2317"/>
    <w:rsid w:val="30D66976"/>
    <w:rsid w:val="30DEA451"/>
    <w:rsid w:val="30E2057C"/>
    <w:rsid w:val="3117F8D2"/>
    <w:rsid w:val="311D34D3"/>
    <w:rsid w:val="3120578B"/>
    <w:rsid w:val="312AF396"/>
    <w:rsid w:val="312C6A87"/>
    <w:rsid w:val="312CC354"/>
    <w:rsid w:val="3132B9C5"/>
    <w:rsid w:val="3133E39D"/>
    <w:rsid w:val="313BC15A"/>
    <w:rsid w:val="313DCEC4"/>
    <w:rsid w:val="314B8E05"/>
    <w:rsid w:val="3151AA19"/>
    <w:rsid w:val="31684594"/>
    <w:rsid w:val="316A3A1C"/>
    <w:rsid w:val="316A4F35"/>
    <w:rsid w:val="316A9635"/>
    <w:rsid w:val="316ADDBB"/>
    <w:rsid w:val="31821EF9"/>
    <w:rsid w:val="3186A83B"/>
    <w:rsid w:val="318BB9F0"/>
    <w:rsid w:val="3197DE42"/>
    <w:rsid w:val="319C346B"/>
    <w:rsid w:val="31A09CF6"/>
    <w:rsid w:val="31AD1E85"/>
    <w:rsid w:val="31B08C4B"/>
    <w:rsid w:val="31B2BC6D"/>
    <w:rsid w:val="31B930AA"/>
    <w:rsid w:val="31BA854C"/>
    <w:rsid w:val="31BB85F7"/>
    <w:rsid w:val="31D88FC0"/>
    <w:rsid w:val="31DEA0EA"/>
    <w:rsid w:val="31E02150"/>
    <w:rsid w:val="31E2D8CD"/>
    <w:rsid w:val="31E52C86"/>
    <w:rsid w:val="31EA5EE5"/>
    <w:rsid w:val="31F587E1"/>
    <w:rsid w:val="31FE1ECE"/>
    <w:rsid w:val="31FF35BF"/>
    <w:rsid w:val="3203F06D"/>
    <w:rsid w:val="3206C195"/>
    <w:rsid w:val="3206FF3A"/>
    <w:rsid w:val="320E0969"/>
    <w:rsid w:val="3218A2A7"/>
    <w:rsid w:val="322CE5BD"/>
    <w:rsid w:val="32316692"/>
    <w:rsid w:val="3233BE96"/>
    <w:rsid w:val="3235A546"/>
    <w:rsid w:val="32392E67"/>
    <w:rsid w:val="323CC7FE"/>
    <w:rsid w:val="324B92CE"/>
    <w:rsid w:val="32555698"/>
    <w:rsid w:val="32567441"/>
    <w:rsid w:val="325AEB9E"/>
    <w:rsid w:val="325E3C07"/>
    <w:rsid w:val="326C8A71"/>
    <w:rsid w:val="326F92B0"/>
    <w:rsid w:val="32734BAF"/>
    <w:rsid w:val="327551DC"/>
    <w:rsid w:val="32756050"/>
    <w:rsid w:val="328C20A8"/>
    <w:rsid w:val="3294D93D"/>
    <w:rsid w:val="329AB9D1"/>
    <w:rsid w:val="329E9B56"/>
    <w:rsid w:val="32A803CE"/>
    <w:rsid w:val="32AA9786"/>
    <w:rsid w:val="32B02B05"/>
    <w:rsid w:val="32B419D2"/>
    <w:rsid w:val="32CA335E"/>
    <w:rsid w:val="32CFE8A7"/>
    <w:rsid w:val="32D11D61"/>
    <w:rsid w:val="32D1D533"/>
    <w:rsid w:val="32D39795"/>
    <w:rsid w:val="32E284E3"/>
    <w:rsid w:val="32EA59C2"/>
    <w:rsid w:val="32EE35C0"/>
    <w:rsid w:val="32EF8090"/>
    <w:rsid w:val="32F0BFAD"/>
    <w:rsid w:val="32F0F3F0"/>
    <w:rsid w:val="32F50952"/>
    <w:rsid w:val="3306FDD9"/>
    <w:rsid w:val="33105380"/>
    <w:rsid w:val="3314C13E"/>
    <w:rsid w:val="331F680C"/>
    <w:rsid w:val="3322F3DE"/>
    <w:rsid w:val="332B75A0"/>
    <w:rsid w:val="332F537E"/>
    <w:rsid w:val="33316D92"/>
    <w:rsid w:val="3332214E"/>
    <w:rsid w:val="333A11BD"/>
    <w:rsid w:val="3345B6D8"/>
    <w:rsid w:val="33508921"/>
    <w:rsid w:val="3355928F"/>
    <w:rsid w:val="33580FC1"/>
    <w:rsid w:val="335BF0F7"/>
    <w:rsid w:val="3372C12E"/>
    <w:rsid w:val="33782497"/>
    <w:rsid w:val="337C7844"/>
    <w:rsid w:val="33814DE4"/>
    <w:rsid w:val="33874CEE"/>
    <w:rsid w:val="3388435C"/>
    <w:rsid w:val="338CADF3"/>
    <w:rsid w:val="3393A8E0"/>
    <w:rsid w:val="339694D6"/>
    <w:rsid w:val="339B5BEC"/>
    <w:rsid w:val="33A2A2D2"/>
    <w:rsid w:val="33A41B1F"/>
    <w:rsid w:val="33A7C448"/>
    <w:rsid w:val="33AB97CC"/>
    <w:rsid w:val="33AF2E68"/>
    <w:rsid w:val="33B39881"/>
    <w:rsid w:val="33C086B1"/>
    <w:rsid w:val="33C8AE13"/>
    <w:rsid w:val="33C8B971"/>
    <w:rsid w:val="33CC6519"/>
    <w:rsid w:val="33D632AA"/>
    <w:rsid w:val="33E13909"/>
    <w:rsid w:val="33FCD4EC"/>
    <w:rsid w:val="3405E633"/>
    <w:rsid w:val="340BE2A3"/>
    <w:rsid w:val="340C5836"/>
    <w:rsid w:val="340E3138"/>
    <w:rsid w:val="3414E4DE"/>
    <w:rsid w:val="341E3C25"/>
    <w:rsid w:val="34201750"/>
    <w:rsid w:val="3420B694"/>
    <w:rsid w:val="3422612B"/>
    <w:rsid w:val="3423A3F5"/>
    <w:rsid w:val="3427F109"/>
    <w:rsid w:val="34325442"/>
    <w:rsid w:val="34335989"/>
    <w:rsid w:val="34361F54"/>
    <w:rsid w:val="3439FC30"/>
    <w:rsid w:val="343FE79B"/>
    <w:rsid w:val="34573D30"/>
    <w:rsid w:val="34633A55"/>
    <w:rsid w:val="34647A2E"/>
    <w:rsid w:val="3470827D"/>
    <w:rsid w:val="3474A909"/>
    <w:rsid w:val="34796E8A"/>
    <w:rsid w:val="347DB54E"/>
    <w:rsid w:val="3491509C"/>
    <w:rsid w:val="3493F5C0"/>
    <w:rsid w:val="3494DF9A"/>
    <w:rsid w:val="349E4E3D"/>
    <w:rsid w:val="34A03E92"/>
    <w:rsid w:val="34A506FD"/>
    <w:rsid w:val="34C0D69A"/>
    <w:rsid w:val="34C31159"/>
    <w:rsid w:val="34D88B71"/>
    <w:rsid w:val="34ED5E71"/>
    <w:rsid w:val="34F133EE"/>
    <w:rsid w:val="34F3E517"/>
    <w:rsid w:val="351463B6"/>
    <w:rsid w:val="3514ADB6"/>
    <w:rsid w:val="3514C8E0"/>
    <w:rsid w:val="351A2E05"/>
    <w:rsid w:val="351F4CAE"/>
    <w:rsid w:val="3523B1C2"/>
    <w:rsid w:val="352C62BC"/>
    <w:rsid w:val="3531A9A1"/>
    <w:rsid w:val="3534E13A"/>
    <w:rsid w:val="353971E6"/>
    <w:rsid w:val="353E0B96"/>
    <w:rsid w:val="3544975B"/>
    <w:rsid w:val="354D5C63"/>
    <w:rsid w:val="35527BCA"/>
    <w:rsid w:val="3560546D"/>
    <w:rsid w:val="358DFCCB"/>
    <w:rsid w:val="3599327A"/>
    <w:rsid w:val="35A0DF00"/>
    <w:rsid w:val="35A271D4"/>
    <w:rsid w:val="35A6CF89"/>
    <w:rsid w:val="35ADAF97"/>
    <w:rsid w:val="35AFBB8C"/>
    <w:rsid w:val="35BE03A9"/>
    <w:rsid w:val="35C32752"/>
    <w:rsid w:val="35C3EA29"/>
    <w:rsid w:val="35C59F65"/>
    <w:rsid w:val="35CFBF90"/>
    <w:rsid w:val="35D20BE8"/>
    <w:rsid w:val="35D5948D"/>
    <w:rsid w:val="35DBCE71"/>
    <w:rsid w:val="35DD0BED"/>
    <w:rsid w:val="35E21549"/>
    <w:rsid w:val="35F0AF0C"/>
    <w:rsid w:val="35F4B63F"/>
    <w:rsid w:val="36019208"/>
    <w:rsid w:val="3601C02F"/>
    <w:rsid w:val="3607240D"/>
    <w:rsid w:val="3607EC35"/>
    <w:rsid w:val="360FFC12"/>
    <w:rsid w:val="361533AF"/>
    <w:rsid w:val="3617D167"/>
    <w:rsid w:val="36181EC4"/>
    <w:rsid w:val="361F03CE"/>
    <w:rsid w:val="361F7398"/>
    <w:rsid w:val="3625F999"/>
    <w:rsid w:val="3628AF7A"/>
    <w:rsid w:val="36294907"/>
    <w:rsid w:val="362DDF0C"/>
    <w:rsid w:val="362DFA51"/>
    <w:rsid w:val="3633FB73"/>
    <w:rsid w:val="36409D9A"/>
    <w:rsid w:val="3643EE75"/>
    <w:rsid w:val="364A1E10"/>
    <w:rsid w:val="36550A23"/>
    <w:rsid w:val="3668F3FD"/>
    <w:rsid w:val="366979D1"/>
    <w:rsid w:val="366DD13B"/>
    <w:rsid w:val="366F9224"/>
    <w:rsid w:val="367FC553"/>
    <w:rsid w:val="367FFB56"/>
    <w:rsid w:val="36836CC8"/>
    <w:rsid w:val="3684EB15"/>
    <w:rsid w:val="3687A44F"/>
    <w:rsid w:val="3698AD7E"/>
    <w:rsid w:val="36995936"/>
    <w:rsid w:val="369B6A6A"/>
    <w:rsid w:val="36B07E17"/>
    <w:rsid w:val="36B0F1AB"/>
    <w:rsid w:val="36B35801"/>
    <w:rsid w:val="36C00DB0"/>
    <w:rsid w:val="36CB49A2"/>
    <w:rsid w:val="36CED177"/>
    <w:rsid w:val="36D3968B"/>
    <w:rsid w:val="36D4793F"/>
    <w:rsid w:val="36EFD546"/>
    <w:rsid w:val="3701AE9A"/>
    <w:rsid w:val="3711DCB0"/>
    <w:rsid w:val="371D98F4"/>
    <w:rsid w:val="372ABEAD"/>
    <w:rsid w:val="373314A2"/>
    <w:rsid w:val="3736CCBD"/>
    <w:rsid w:val="373BE19A"/>
    <w:rsid w:val="374308D2"/>
    <w:rsid w:val="374BF9B0"/>
    <w:rsid w:val="3755713C"/>
    <w:rsid w:val="376382EA"/>
    <w:rsid w:val="37772242"/>
    <w:rsid w:val="3778F5C3"/>
    <w:rsid w:val="378BD1EA"/>
    <w:rsid w:val="378BF319"/>
    <w:rsid w:val="37915199"/>
    <w:rsid w:val="3792B5A7"/>
    <w:rsid w:val="3792CEC2"/>
    <w:rsid w:val="379A5BDB"/>
    <w:rsid w:val="379ADB17"/>
    <w:rsid w:val="37A7C83F"/>
    <w:rsid w:val="37B05975"/>
    <w:rsid w:val="37B5B054"/>
    <w:rsid w:val="37BA03F8"/>
    <w:rsid w:val="37C412CB"/>
    <w:rsid w:val="37C4BC4A"/>
    <w:rsid w:val="37D6C8B0"/>
    <w:rsid w:val="37DF9522"/>
    <w:rsid w:val="37F2E326"/>
    <w:rsid w:val="37F3CE9E"/>
    <w:rsid w:val="37F5955D"/>
    <w:rsid w:val="37F772AA"/>
    <w:rsid w:val="37FAE583"/>
    <w:rsid w:val="380E161F"/>
    <w:rsid w:val="380FD027"/>
    <w:rsid w:val="3818D971"/>
    <w:rsid w:val="381A0795"/>
    <w:rsid w:val="381AE377"/>
    <w:rsid w:val="384FE3F5"/>
    <w:rsid w:val="3850A113"/>
    <w:rsid w:val="3851C4DD"/>
    <w:rsid w:val="3858DC38"/>
    <w:rsid w:val="3863E534"/>
    <w:rsid w:val="387B2FE1"/>
    <w:rsid w:val="3884FD25"/>
    <w:rsid w:val="38892351"/>
    <w:rsid w:val="389638F5"/>
    <w:rsid w:val="389E7244"/>
    <w:rsid w:val="38A33600"/>
    <w:rsid w:val="38AD799E"/>
    <w:rsid w:val="38B47703"/>
    <w:rsid w:val="38BA8B94"/>
    <w:rsid w:val="38BE6C19"/>
    <w:rsid w:val="38C06AEA"/>
    <w:rsid w:val="38C18E14"/>
    <w:rsid w:val="38D39A39"/>
    <w:rsid w:val="38D93FBC"/>
    <w:rsid w:val="38DDA364"/>
    <w:rsid w:val="38DF2361"/>
    <w:rsid w:val="38E06FA6"/>
    <w:rsid w:val="38EF7D8E"/>
    <w:rsid w:val="38F73A23"/>
    <w:rsid w:val="39010C30"/>
    <w:rsid w:val="3909E2E5"/>
    <w:rsid w:val="390D3D3B"/>
    <w:rsid w:val="39151184"/>
    <w:rsid w:val="39170C73"/>
    <w:rsid w:val="3921E040"/>
    <w:rsid w:val="3936AB78"/>
    <w:rsid w:val="3950E991"/>
    <w:rsid w:val="3952C0D5"/>
    <w:rsid w:val="395A101E"/>
    <w:rsid w:val="395C0E5F"/>
    <w:rsid w:val="395C99A9"/>
    <w:rsid w:val="395E0424"/>
    <w:rsid w:val="395E6170"/>
    <w:rsid w:val="395F4E55"/>
    <w:rsid w:val="3960E239"/>
    <w:rsid w:val="396A4C5B"/>
    <w:rsid w:val="396EB40F"/>
    <w:rsid w:val="396F12DB"/>
    <w:rsid w:val="39785764"/>
    <w:rsid w:val="397AFD3B"/>
    <w:rsid w:val="397BD5F8"/>
    <w:rsid w:val="3983197E"/>
    <w:rsid w:val="39845414"/>
    <w:rsid w:val="3984779C"/>
    <w:rsid w:val="39897D7C"/>
    <w:rsid w:val="398AAD2C"/>
    <w:rsid w:val="39989CEC"/>
    <w:rsid w:val="39A11A93"/>
    <w:rsid w:val="39A41E46"/>
    <w:rsid w:val="39A7F330"/>
    <w:rsid w:val="39A9F224"/>
    <w:rsid w:val="39B6B3D8"/>
    <w:rsid w:val="39B8B7E6"/>
    <w:rsid w:val="39B916EE"/>
    <w:rsid w:val="39B92919"/>
    <w:rsid w:val="39BAB56F"/>
    <w:rsid w:val="39C4B922"/>
    <w:rsid w:val="39C68ED0"/>
    <w:rsid w:val="39C6DE3D"/>
    <w:rsid w:val="39C9F7EF"/>
    <w:rsid w:val="39CB4868"/>
    <w:rsid w:val="39CFAD3B"/>
    <w:rsid w:val="39D1E575"/>
    <w:rsid w:val="39D49740"/>
    <w:rsid w:val="39E7A142"/>
    <w:rsid w:val="39EE55D4"/>
    <w:rsid w:val="39FDDCD8"/>
    <w:rsid w:val="39FE57DC"/>
    <w:rsid w:val="3A103050"/>
    <w:rsid w:val="3A12E1D0"/>
    <w:rsid w:val="3A20CD86"/>
    <w:rsid w:val="3A21A65B"/>
    <w:rsid w:val="3A26AA16"/>
    <w:rsid w:val="3A27BC3A"/>
    <w:rsid w:val="3A2ABE98"/>
    <w:rsid w:val="3A2D319A"/>
    <w:rsid w:val="3A3DCB8B"/>
    <w:rsid w:val="3A475FB4"/>
    <w:rsid w:val="3A4AC0F2"/>
    <w:rsid w:val="3A53DDF7"/>
    <w:rsid w:val="3A540874"/>
    <w:rsid w:val="3A67A924"/>
    <w:rsid w:val="3A7469DF"/>
    <w:rsid w:val="3A75D505"/>
    <w:rsid w:val="3A7A46CE"/>
    <w:rsid w:val="3A7CE301"/>
    <w:rsid w:val="3A8AF12E"/>
    <w:rsid w:val="3A8D9F70"/>
    <w:rsid w:val="3A90018E"/>
    <w:rsid w:val="3A91F4F4"/>
    <w:rsid w:val="3A9C34C0"/>
    <w:rsid w:val="3AAB8B96"/>
    <w:rsid w:val="3AB0A29C"/>
    <w:rsid w:val="3AB13C05"/>
    <w:rsid w:val="3AB833AF"/>
    <w:rsid w:val="3AB8E066"/>
    <w:rsid w:val="3AC4245A"/>
    <w:rsid w:val="3AC8133D"/>
    <w:rsid w:val="3AC9BE63"/>
    <w:rsid w:val="3ACE572D"/>
    <w:rsid w:val="3AD0E99A"/>
    <w:rsid w:val="3AD76BBF"/>
    <w:rsid w:val="3AF3C19F"/>
    <w:rsid w:val="3AF6F346"/>
    <w:rsid w:val="3AFE91E0"/>
    <w:rsid w:val="3B04756D"/>
    <w:rsid w:val="3B213F5C"/>
    <w:rsid w:val="3B2AE03B"/>
    <w:rsid w:val="3B34BF62"/>
    <w:rsid w:val="3B3F9A0A"/>
    <w:rsid w:val="3B4493D5"/>
    <w:rsid w:val="3B450177"/>
    <w:rsid w:val="3B45D8EA"/>
    <w:rsid w:val="3B54F97A"/>
    <w:rsid w:val="3B62AE9E"/>
    <w:rsid w:val="3B6321A6"/>
    <w:rsid w:val="3B66AAAD"/>
    <w:rsid w:val="3B67CC41"/>
    <w:rsid w:val="3B68C04B"/>
    <w:rsid w:val="3B74CB74"/>
    <w:rsid w:val="3B7669F0"/>
    <w:rsid w:val="3B7DD313"/>
    <w:rsid w:val="3B9078B1"/>
    <w:rsid w:val="3B94BE0A"/>
    <w:rsid w:val="3B96F1E4"/>
    <w:rsid w:val="3B974EC1"/>
    <w:rsid w:val="3B983B6A"/>
    <w:rsid w:val="3B98EDCB"/>
    <w:rsid w:val="3BA06487"/>
    <w:rsid w:val="3BA5E4AD"/>
    <w:rsid w:val="3BA91798"/>
    <w:rsid w:val="3BB43855"/>
    <w:rsid w:val="3BB4D807"/>
    <w:rsid w:val="3BB9FFFD"/>
    <w:rsid w:val="3BBC9DE7"/>
    <w:rsid w:val="3BCABC58"/>
    <w:rsid w:val="3BCE3AB7"/>
    <w:rsid w:val="3BD1DB63"/>
    <w:rsid w:val="3BDB6AB7"/>
    <w:rsid w:val="3BE36223"/>
    <w:rsid w:val="3BF11D0A"/>
    <w:rsid w:val="3BF1A202"/>
    <w:rsid w:val="3BF21138"/>
    <w:rsid w:val="3BFD06E8"/>
    <w:rsid w:val="3C01E98D"/>
    <w:rsid w:val="3C1769C1"/>
    <w:rsid w:val="3C1CDCC6"/>
    <w:rsid w:val="3C25ED8C"/>
    <w:rsid w:val="3C26CB6B"/>
    <w:rsid w:val="3C28E25F"/>
    <w:rsid w:val="3C2B2C16"/>
    <w:rsid w:val="3C2C70C1"/>
    <w:rsid w:val="3C34DB5C"/>
    <w:rsid w:val="3C38BF68"/>
    <w:rsid w:val="3C3AC49B"/>
    <w:rsid w:val="3C3BAA12"/>
    <w:rsid w:val="3C3D8FE8"/>
    <w:rsid w:val="3C42EEE2"/>
    <w:rsid w:val="3C4A5E32"/>
    <w:rsid w:val="3C4B9E0C"/>
    <w:rsid w:val="3C51FFAE"/>
    <w:rsid w:val="3C53880A"/>
    <w:rsid w:val="3C6E82E5"/>
    <w:rsid w:val="3C745B95"/>
    <w:rsid w:val="3C76CAED"/>
    <w:rsid w:val="3C7867CA"/>
    <w:rsid w:val="3C787FB4"/>
    <w:rsid w:val="3C7E16B9"/>
    <w:rsid w:val="3C800989"/>
    <w:rsid w:val="3C8296D4"/>
    <w:rsid w:val="3C8F93F3"/>
    <w:rsid w:val="3C904124"/>
    <w:rsid w:val="3C963E3B"/>
    <w:rsid w:val="3C9DFCDB"/>
    <w:rsid w:val="3CACD979"/>
    <w:rsid w:val="3CB60F25"/>
    <w:rsid w:val="3CB73F94"/>
    <w:rsid w:val="3CBCC52B"/>
    <w:rsid w:val="3CC1996A"/>
    <w:rsid w:val="3CC3B727"/>
    <w:rsid w:val="3CC6B19D"/>
    <w:rsid w:val="3CC7CBA6"/>
    <w:rsid w:val="3CD6A6CD"/>
    <w:rsid w:val="3CD92640"/>
    <w:rsid w:val="3CDD5974"/>
    <w:rsid w:val="3CEDF849"/>
    <w:rsid w:val="3CF88EF4"/>
    <w:rsid w:val="3CFE7EFF"/>
    <w:rsid w:val="3D05970A"/>
    <w:rsid w:val="3D1BF1BD"/>
    <w:rsid w:val="3D1C052E"/>
    <w:rsid w:val="3D346860"/>
    <w:rsid w:val="3D37CD70"/>
    <w:rsid w:val="3D419D80"/>
    <w:rsid w:val="3D4C6A2B"/>
    <w:rsid w:val="3D518DCA"/>
    <w:rsid w:val="3D67060F"/>
    <w:rsid w:val="3D7EA8D4"/>
    <w:rsid w:val="3D853BEB"/>
    <w:rsid w:val="3D87365D"/>
    <w:rsid w:val="3D88DAF9"/>
    <w:rsid w:val="3D8A6E90"/>
    <w:rsid w:val="3D9A483F"/>
    <w:rsid w:val="3D9C5B68"/>
    <w:rsid w:val="3DA87EE8"/>
    <w:rsid w:val="3DB493C5"/>
    <w:rsid w:val="3DB4BA34"/>
    <w:rsid w:val="3DC53EE1"/>
    <w:rsid w:val="3DC88738"/>
    <w:rsid w:val="3DCC59A5"/>
    <w:rsid w:val="3DCF61B9"/>
    <w:rsid w:val="3DE7F843"/>
    <w:rsid w:val="3DEBAF42"/>
    <w:rsid w:val="3DF89845"/>
    <w:rsid w:val="3E06B102"/>
    <w:rsid w:val="3E071950"/>
    <w:rsid w:val="3E0915E4"/>
    <w:rsid w:val="3E0A76F0"/>
    <w:rsid w:val="3E106CA2"/>
    <w:rsid w:val="3E124E26"/>
    <w:rsid w:val="3E12D790"/>
    <w:rsid w:val="3E1BBBC8"/>
    <w:rsid w:val="3E24F5AB"/>
    <w:rsid w:val="3E255604"/>
    <w:rsid w:val="3E341A06"/>
    <w:rsid w:val="3E361955"/>
    <w:rsid w:val="3E42D4D7"/>
    <w:rsid w:val="3E4813B4"/>
    <w:rsid w:val="3E48F5EB"/>
    <w:rsid w:val="3E53A0C6"/>
    <w:rsid w:val="3E592553"/>
    <w:rsid w:val="3E62F18F"/>
    <w:rsid w:val="3E743448"/>
    <w:rsid w:val="3E746977"/>
    <w:rsid w:val="3E75BC49"/>
    <w:rsid w:val="3E799BF8"/>
    <w:rsid w:val="3E7E3183"/>
    <w:rsid w:val="3E8C9F20"/>
    <w:rsid w:val="3E8D5CE1"/>
    <w:rsid w:val="3E9C508A"/>
    <w:rsid w:val="3EA762FE"/>
    <w:rsid w:val="3EAFC794"/>
    <w:rsid w:val="3EB6263C"/>
    <w:rsid w:val="3EBAD948"/>
    <w:rsid w:val="3EBAF173"/>
    <w:rsid w:val="3EBB9B8F"/>
    <w:rsid w:val="3EC5F96B"/>
    <w:rsid w:val="3EDDF4AB"/>
    <w:rsid w:val="3EE13111"/>
    <w:rsid w:val="3EE2818A"/>
    <w:rsid w:val="3EEF83E4"/>
    <w:rsid w:val="3EFA596E"/>
    <w:rsid w:val="3EFB3550"/>
    <w:rsid w:val="3F01391E"/>
    <w:rsid w:val="3F048CC7"/>
    <w:rsid w:val="3F05C3E2"/>
    <w:rsid w:val="3F089B80"/>
    <w:rsid w:val="3F0ECB0E"/>
    <w:rsid w:val="3F24AB5A"/>
    <w:rsid w:val="3F2D2B59"/>
    <w:rsid w:val="3F315680"/>
    <w:rsid w:val="3F398A4F"/>
    <w:rsid w:val="3F41C9ED"/>
    <w:rsid w:val="3F436D72"/>
    <w:rsid w:val="3F4E4CDF"/>
    <w:rsid w:val="3F530572"/>
    <w:rsid w:val="3F53E610"/>
    <w:rsid w:val="3F61D4D6"/>
    <w:rsid w:val="3F6857B0"/>
    <w:rsid w:val="3F6D81E0"/>
    <w:rsid w:val="3F710037"/>
    <w:rsid w:val="3F7460EE"/>
    <w:rsid w:val="3F75331D"/>
    <w:rsid w:val="3F760C30"/>
    <w:rsid w:val="3F81AA79"/>
    <w:rsid w:val="3F8569C7"/>
    <w:rsid w:val="3F9092B2"/>
    <w:rsid w:val="3F98A744"/>
    <w:rsid w:val="3FA3FD3A"/>
    <w:rsid w:val="3FA87F59"/>
    <w:rsid w:val="3FB63C76"/>
    <w:rsid w:val="3FB65D39"/>
    <w:rsid w:val="3FB9DFC2"/>
    <w:rsid w:val="3FC9F3C6"/>
    <w:rsid w:val="3FCDB421"/>
    <w:rsid w:val="3FD18D6B"/>
    <w:rsid w:val="3FD40343"/>
    <w:rsid w:val="3FD9BE9A"/>
    <w:rsid w:val="3FE5A402"/>
    <w:rsid w:val="3FE7012B"/>
    <w:rsid w:val="3FE78BF4"/>
    <w:rsid w:val="3FE813D2"/>
    <w:rsid w:val="40135FCA"/>
    <w:rsid w:val="402689C6"/>
    <w:rsid w:val="40285812"/>
    <w:rsid w:val="402D03DA"/>
    <w:rsid w:val="40493D1F"/>
    <w:rsid w:val="40557A91"/>
    <w:rsid w:val="4055A773"/>
    <w:rsid w:val="4057AF78"/>
    <w:rsid w:val="40680351"/>
    <w:rsid w:val="407F3814"/>
    <w:rsid w:val="408685BD"/>
    <w:rsid w:val="40880112"/>
    <w:rsid w:val="40900F0A"/>
    <w:rsid w:val="409317B4"/>
    <w:rsid w:val="40938B39"/>
    <w:rsid w:val="4094C1AC"/>
    <w:rsid w:val="4096FD29"/>
    <w:rsid w:val="40998D5A"/>
    <w:rsid w:val="40B11E6D"/>
    <w:rsid w:val="40B4409F"/>
    <w:rsid w:val="40BDE6C6"/>
    <w:rsid w:val="40BFB73F"/>
    <w:rsid w:val="40C2F73A"/>
    <w:rsid w:val="40C61264"/>
    <w:rsid w:val="40D476BB"/>
    <w:rsid w:val="40DC54A8"/>
    <w:rsid w:val="40DC5C45"/>
    <w:rsid w:val="40E77D89"/>
    <w:rsid w:val="40EB8B97"/>
    <w:rsid w:val="40F904BD"/>
    <w:rsid w:val="40FF8EFA"/>
    <w:rsid w:val="4116A0E1"/>
    <w:rsid w:val="4132099E"/>
    <w:rsid w:val="4134B7D3"/>
    <w:rsid w:val="413CDCD6"/>
    <w:rsid w:val="41403997"/>
    <w:rsid w:val="4146C50F"/>
    <w:rsid w:val="416559A8"/>
    <w:rsid w:val="4165C06D"/>
    <w:rsid w:val="416FD3A4"/>
    <w:rsid w:val="4174DBB2"/>
    <w:rsid w:val="41765408"/>
    <w:rsid w:val="4177A72C"/>
    <w:rsid w:val="417A4BD6"/>
    <w:rsid w:val="4195E76E"/>
    <w:rsid w:val="4197489B"/>
    <w:rsid w:val="41B0C1AF"/>
    <w:rsid w:val="41B5D245"/>
    <w:rsid w:val="41C43AFE"/>
    <w:rsid w:val="41D2D854"/>
    <w:rsid w:val="41DE169B"/>
    <w:rsid w:val="41DE3B7A"/>
    <w:rsid w:val="41E54F8A"/>
    <w:rsid w:val="41E63124"/>
    <w:rsid w:val="41EE7F2B"/>
    <w:rsid w:val="41F06005"/>
    <w:rsid w:val="4201367A"/>
    <w:rsid w:val="420A038F"/>
    <w:rsid w:val="42130085"/>
    <w:rsid w:val="4215D0B8"/>
    <w:rsid w:val="421BEDA0"/>
    <w:rsid w:val="421CDE89"/>
    <w:rsid w:val="42211A45"/>
    <w:rsid w:val="422CA1AF"/>
    <w:rsid w:val="422EF64D"/>
    <w:rsid w:val="423377BC"/>
    <w:rsid w:val="423E5B5B"/>
    <w:rsid w:val="423F5C75"/>
    <w:rsid w:val="424225A4"/>
    <w:rsid w:val="4246D112"/>
    <w:rsid w:val="424A2D3D"/>
    <w:rsid w:val="424E80F8"/>
    <w:rsid w:val="42532161"/>
    <w:rsid w:val="4256B845"/>
    <w:rsid w:val="425A27A1"/>
    <w:rsid w:val="425A4BCA"/>
    <w:rsid w:val="42633B84"/>
    <w:rsid w:val="426A710D"/>
    <w:rsid w:val="42763A36"/>
    <w:rsid w:val="428F3DBB"/>
    <w:rsid w:val="4296F7E9"/>
    <w:rsid w:val="42983E65"/>
    <w:rsid w:val="42AE7569"/>
    <w:rsid w:val="42B3BB7A"/>
    <w:rsid w:val="42B436E5"/>
    <w:rsid w:val="42C22FF7"/>
    <w:rsid w:val="42C30F09"/>
    <w:rsid w:val="42D4BEF1"/>
    <w:rsid w:val="42DA2945"/>
    <w:rsid w:val="42DCFF38"/>
    <w:rsid w:val="42DD400C"/>
    <w:rsid w:val="42DE5444"/>
    <w:rsid w:val="42E7199E"/>
    <w:rsid w:val="42ED11DD"/>
    <w:rsid w:val="430327A8"/>
    <w:rsid w:val="4308EB26"/>
    <w:rsid w:val="430BA405"/>
    <w:rsid w:val="430E16F0"/>
    <w:rsid w:val="431FBF1B"/>
    <w:rsid w:val="43238049"/>
    <w:rsid w:val="43244F75"/>
    <w:rsid w:val="4329BE97"/>
    <w:rsid w:val="43317D5B"/>
    <w:rsid w:val="433B3FDF"/>
    <w:rsid w:val="4341E39B"/>
    <w:rsid w:val="43438F43"/>
    <w:rsid w:val="434897D4"/>
    <w:rsid w:val="434E255F"/>
    <w:rsid w:val="43512DCC"/>
    <w:rsid w:val="4351607C"/>
    <w:rsid w:val="4365C83B"/>
    <w:rsid w:val="436677F6"/>
    <w:rsid w:val="4370B8F8"/>
    <w:rsid w:val="4373A9F2"/>
    <w:rsid w:val="43757E78"/>
    <w:rsid w:val="4377D964"/>
    <w:rsid w:val="437FA5BF"/>
    <w:rsid w:val="43902D01"/>
    <w:rsid w:val="4396C0D3"/>
    <w:rsid w:val="43A8E59B"/>
    <w:rsid w:val="43AC68EC"/>
    <w:rsid w:val="43B36675"/>
    <w:rsid w:val="43B392A2"/>
    <w:rsid w:val="43BAA2FA"/>
    <w:rsid w:val="43BC94CD"/>
    <w:rsid w:val="43C0A707"/>
    <w:rsid w:val="43CD8A72"/>
    <w:rsid w:val="43D1620A"/>
    <w:rsid w:val="43DF957F"/>
    <w:rsid w:val="43E2A173"/>
    <w:rsid w:val="43E3251E"/>
    <w:rsid w:val="43E3DEE2"/>
    <w:rsid w:val="43E52481"/>
    <w:rsid w:val="43E570EE"/>
    <w:rsid w:val="43F9163E"/>
    <w:rsid w:val="43F96FFB"/>
    <w:rsid w:val="44021383"/>
    <w:rsid w:val="44027761"/>
    <w:rsid w:val="44078614"/>
    <w:rsid w:val="4408B631"/>
    <w:rsid w:val="441382E1"/>
    <w:rsid w:val="44181688"/>
    <w:rsid w:val="4418C6ED"/>
    <w:rsid w:val="4428135E"/>
    <w:rsid w:val="442BF4A0"/>
    <w:rsid w:val="442F64B0"/>
    <w:rsid w:val="4430AECD"/>
    <w:rsid w:val="4435B390"/>
    <w:rsid w:val="443D2DB8"/>
    <w:rsid w:val="44469A4F"/>
    <w:rsid w:val="4449E18B"/>
    <w:rsid w:val="444DAB6D"/>
    <w:rsid w:val="4452E62D"/>
    <w:rsid w:val="445A874D"/>
    <w:rsid w:val="4468D64E"/>
    <w:rsid w:val="4469CFF6"/>
    <w:rsid w:val="44780E6C"/>
    <w:rsid w:val="44814BA5"/>
    <w:rsid w:val="448B452C"/>
    <w:rsid w:val="44908375"/>
    <w:rsid w:val="449966C7"/>
    <w:rsid w:val="449FEC78"/>
    <w:rsid w:val="44A02DC5"/>
    <w:rsid w:val="44A25FA8"/>
    <w:rsid w:val="44A9BA89"/>
    <w:rsid w:val="44B82EA5"/>
    <w:rsid w:val="44C1BC4D"/>
    <w:rsid w:val="44C6DF22"/>
    <w:rsid w:val="44CAE906"/>
    <w:rsid w:val="44D7721E"/>
    <w:rsid w:val="44DD1E6A"/>
    <w:rsid w:val="44DF37B1"/>
    <w:rsid w:val="44E03AD1"/>
    <w:rsid w:val="44E9F6B4"/>
    <w:rsid w:val="44FE5175"/>
    <w:rsid w:val="4505E621"/>
    <w:rsid w:val="45135814"/>
    <w:rsid w:val="4516F2A7"/>
    <w:rsid w:val="45179B1F"/>
    <w:rsid w:val="451BD697"/>
    <w:rsid w:val="452A58FC"/>
    <w:rsid w:val="453111FC"/>
    <w:rsid w:val="453991A0"/>
    <w:rsid w:val="453AFBC2"/>
    <w:rsid w:val="453FDD98"/>
    <w:rsid w:val="4554A334"/>
    <w:rsid w:val="45642471"/>
    <w:rsid w:val="45694773"/>
    <w:rsid w:val="457D9D79"/>
    <w:rsid w:val="4584E179"/>
    <w:rsid w:val="458DF947"/>
    <w:rsid w:val="45983FE1"/>
    <w:rsid w:val="459C6CDD"/>
    <w:rsid w:val="45A25C63"/>
    <w:rsid w:val="45A279E1"/>
    <w:rsid w:val="45A3D1E6"/>
    <w:rsid w:val="45A5DA8B"/>
    <w:rsid w:val="45AA84D0"/>
    <w:rsid w:val="45B9077A"/>
    <w:rsid w:val="45B939F2"/>
    <w:rsid w:val="45BC0420"/>
    <w:rsid w:val="45D65BA4"/>
    <w:rsid w:val="45D83600"/>
    <w:rsid w:val="45DC9B96"/>
    <w:rsid w:val="45DFD098"/>
    <w:rsid w:val="45E1D09C"/>
    <w:rsid w:val="45EC71EA"/>
    <w:rsid w:val="460306CB"/>
    <w:rsid w:val="461036A9"/>
    <w:rsid w:val="4613B983"/>
    <w:rsid w:val="461D1C06"/>
    <w:rsid w:val="4628304B"/>
    <w:rsid w:val="4629CCB1"/>
    <w:rsid w:val="4632078E"/>
    <w:rsid w:val="4643E95B"/>
    <w:rsid w:val="464DB74B"/>
    <w:rsid w:val="465127B9"/>
    <w:rsid w:val="46547A13"/>
    <w:rsid w:val="466329F9"/>
    <w:rsid w:val="466F19ED"/>
    <w:rsid w:val="4673E4D5"/>
    <w:rsid w:val="4673E991"/>
    <w:rsid w:val="46894368"/>
    <w:rsid w:val="468CB63B"/>
    <w:rsid w:val="468D8EEC"/>
    <w:rsid w:val="468FCC95"/>
    <w:rsid w:val="46943028"/>
    <w:rsid w:val="4695FF97"/>
    <w:rsid w:val="46992007"/>
    <w:rsid w:val="469A658F"/>
    <w:rsid w:val="469B576D"/>
    <w:rsid w:val="469F65AA"/>
    <w:rsid w:val="46D30582"/>
    <w:rsid w:val="46DB4D18"/>
    <w:rsid w:val="46DCD7DD"/>
    <w:rsid w:val="46DD3872"/>
    <w:rsid w:val="46DDCA68"/>
    <w:rsid w:val="46E3EBBD"/>
    <w:rsid w:val="46E4B148"/>
    <w:rsid w:val="46EDE655"/>
    <w:rsid w:val="46EF3A0D"/>
    <w:rsid w:val="46FE76F4"/>
    <w:rsid w:val="47037F04"/>
    <w:rsid w:val="470AE997"/>
    <w:rsid w:val="47133B33"/>
    <w:rsid w:val="4713B48C"/>
    <w:rsid w:val="47207CC4"/>
    <w:rsid w:val="474CFE68"/>
    <w:rsid w:val="4767FA90"/>
    <w:rsid w:val="47732CC9"/>
    <w:rsid w:val="4778F998"/>
    <w:rsid w:val="4778FC4F"/>
    <w:rsid w:val="4779DBA1"/>
    <w:rsid w:val="477BE8B9"/>
    <w:rsid w:val="477F8A95"/>
    <w:rsid w:val="477FAFAE"/>
    <w:rsid w:val="478000F2"/>
    <w:rsid w:val="4786B5CF"/>
    <w:rsid w:val="479DF396"/>
    <w:rsid w:val="479FB9DA"/>
    <w:rsid w:val="47A64A31"/>
    <w:rsid w:val="47A98A04"/>
    <w:rsid w:val="47AE330B"/>
    <w:rsid w:val="47AE9292"/>
    <w:rsid w:val="47B99709"/>
    <w:rsid w:val="47BF6CBE"/>
    <w:rsid w:val="47C14D49"/>
    <w:rsid w:val="47C41302"/>
    <w:rsid w:val="47C49824"/>
    <w:rsid w:val="47C567E3"/>
    <w:rsid w:val="47CB6ADC"/>
    <w:rsid w:val="47CC59DA"/>
    <w:rsid w:val="47D12EE2"/>
    <w:rsid w:val="47D4483B"/>
    <w:rsid w:val="47D6135D"/>
    <w:rsid w:val="47D898FD"/>
    <w:rsid w:val="47D912C3"/>
    <w:rsid w:val="47DC164A"/>
    <w:rsid w:val="47DC35AA"/>
    <w:rsid w:val="47E0D691"/>
    <w:rsid w:val="47E1DDD1"/>
    <w:rsid w:val="47E5C39B"/>
    <w:rsid w:val="47FCA72A"/>
    <w:rsid w:val="48001C6F"/>
    <w:rsid w:val="48091D87"/>
    <w:rsid w:val="480ACBC2"/>
    <w:rsid w:val="481B4628"/>
    <w:rsid w:val="481CA311"/>
    <w:rsid w:val="482B3864"/>
    <w:rsid w:val="482C8A52"/>
    <w:rsid w:val="48319FDC"/>
    <w:rsid w:val="483E1C68"/>
    <w:rsid w:val="483FD5DB"/>
    <w:rsid w:val="48428165"/>
    <w:rsid w:val="484FF0D4"/>
    <w:rsid w:val="48526FD4"/>
    <w:rsid w:val="4854E1D6"/>
    <w:rsid w:val="485CE33B"/>
    <w:rsid w:val="48613080"/>
    <w:rsid w:val="4863C8B6"/>
    <w:rsid w:val="48694328"/>
    <w:rsid w:val="486A31F6"/>
    <w:rsid w:val="486F2F2C"/>
    <w:rsid w:val="48789129"/>
    <w:rsid w:val="4887307E"/>
    <w:rsid w:val="488CA2BF"/>
    <w:rsid w:val="4895D66F"/>
    <w:rsid w:val="489DE895"/>
    <w:rsid w:val="48B1736B"/>
    <w:rsid w:val="48B796A6"/>
    <w:rsid w:val="48B8A47A"/>
    <w:rsid w:val="48CAE4AC"/>
    <w:rsid w:val="48D3C117"/>
    <w:rsid w:val="48D6093A"/>
    <w:rsid w:val="48D7CD25"/>
    <w:rsid w:val="48D817B3"/>
    <w:rsid w:val="48D9F31E"/>
    <w:rsid w:val="48DAF169"/>
    <w:rsid w:val="48DC751D"/>
    <w:rsid w:val="48DE9F42"/>
    <w:rsid w:val="48E46910"/>
    <w:rsid w:val="48F9F146"/>
    <w:rsid w:val="4901CBD0"/>
    <w:rsid w:val="4918F0FF"/>
    <w:rsid w:val="49318392"/>
    <w:rsid w:val="4931A867"/>
    <w:rsid w:val="49354BB3"/>
    <w:rsid w:val="493C2EE4"/>
    <w:rsid w:val="493CF4AE"/>
    <w:rsid w:val="493E263F"/>
    <w:rsid w:val="494434E8"/>
    <w:rsid w:val="4944DECE"/>
    <w:rsid w:val="49450C13"/>
    <w:rsid w:val="49465F5D"/>
    <w:rsid w:val="49474FF2"/>
    <w:rsid w:val="494799AB"/>
    <w:rsid w:val="496045A3"/>
    <w:rsid w:val="4981CBD4"/>
    <w:rsid w:val="49887231"/>
    <w:rsid w:val="498B0240"/>
    <w:rsid w:val="498E0878"/>
    <w:rsid w:val="4990566E"/>
    <w:rsid w:val="4990D5BC"/>
    <w:rsid w:val="49945673"/>
    <w:rsid w:val="499ACABB"/>
    <w:rsid w:val="499E8A27"/>
    <w:rsid w:val="49A320BF"/>
    <w:rsid w:val="49A6DA82"/>
    <w:rsid w:val="49ABB0FF"/>
    <w:rsid w:val="49B3C5E5"/>
    <w:rsid w:val="49B63D54"/>
    <w:rsid w:val="49B89851"/>
    <w:rsid w:val="49BF2BE3"/>
    <w:rsid w:val="49CB64CE"/>
    <w:rsid w:val="49D169BA"/>
    <w:rsid w:val="49D36016"/>
    <w:rsid w:val="49D64C51"/>
    <w:rsid w:val="49DB28F7"/>
    <w:rsid w:val="49E25054"/>
    <w:rsid w:val="49E477C5"/>
    <w:rsid w:val="49F93B66"/>
    <w:rsid w:val="4A008DAF"/>
    <w:rsid w:val="4A0CCEE5"/>
    <w:rsid w:val="4A1A029C"/>
    <w:rsid w:val="4A1B358D"/>
    <w:rsid w:val="4A1F0658"/>
    <w:rsid w:val="4A200298"/>
    <w:rsid w:val="4A23AE6F"/>
    <w:rsid w:val="4A2492F8"/>
    <w:rsid w:val="4A2E1389"/>
    <w:rsid w:val="4A30BE76"/>
    <w:rsid w:val="4A34E6EB"/>
    <w:rsid w:val="4A3950E7"/>
    <w:rsid w:val="4A4F476B"/>
    <w:rsid w:val="4A534E15"/>
    <w:rsid w:val="4A65E79B"/>
    <w:rsid w:val="4A6694B3"/>
    <w:rsid w:val="4A66BAF8"/>
    <w:rsid w:val="4A691488"/>
    <w:rsid w:val="4A78A168"/>
    <w:rsid w:val="4A7CCF88"/>
    <w:rsid w:val="4A8182C3"/>
    <w:rsid w:val="4A82B1C1"/>
    <w:rsid w:val="4A857DD7"/>
    <w:rsid w:val="4A8B5246"/>
    <w:rsid w:val="4A913A25"/>
    <w:rsid w:val="4A93FADB"/>
    <w:rsid w:val="4A9867B5"/>
    <w:rsid w:val="4A9A5016"/>
    <w:rsid w:val="4A9D7D36"/>
    <w:rsid w:val="4AAE2A51"/>
    <w:rsid w:val="4AB1EC66"/>
    <w:rsid w:val="4ACE008A"/>
    <w:rsid w:val="4ACE5B80"/>
    <w:rsid w:val="4AD52F25"/>
    <w:rsid w:val="4AD80F4B"/>
    <w:rsid w:val="4ADCFFC5"/>
    <w:rsid w:val="4AE05AE0"/>
    <w:rsid w:val="4AE8B58E"/>
    <w:rsid w:val="4AF2A42B"/>
    <w:rsid w:val="4AF8F8E6"/>
    <w:rsid w:val="4AFBAEDA"/>
    <w:rsid w:val="4AFBF089"/>
    <w:rsid w:val="4B0584D4"/>
    <w:rsid w:val="4B09C517"/>
    <w:rsid w:val="4B0E7AE3"/>
    <w:rsid w:val="4B0E9BEC"/>
    <w:rsid w:val="4B13C4B0"/>
    <w:rsid w:val="4B18AF6F"/>
    <w:rsid w:val="4B1E7A3E"/>
    <w:rsid w:val="4B2F6E17"/>
    <w:rsid w:val="4B413B3A"/>
    <w:rsid w:val="4B47653C"/>
    <w:rsid w:val="4B492D1C"/>
    <w:rsid w:val="4B4AD8E7"/>
    <w:rsid w:val="4B4B8762"/>
    <w:rsid w:val="4B4CDBC7"/>
    <w:rsid w:val="4B620C85"/>
    <w:rsid w:val="4B6552BE"/>
    <w:rsid w:val="4B66D78C"/>
    <w:rsid w:val="4B714CFC"/>
    <w:rsid w:val="4B7386F1"/>
    <w:rsid w:val="4B781671"/>
    <w:rsid w:val="4B7DF705"/>
    <w:rsid w:val="4B7E77DF"/>
    <w:rsid w:val="4B83250E"/>
    <w:rsid w:val="4B87C2A0"/>
    <w:rsid w:val="4B968E1A"/>
    <w:rsid w:val="4BAD4675"/>
    <w:rsid w:val="4BC111F6"/>
    <w:rsid w:val="4BCD95CF"/>
    <w:rsid w:val="4BD08656"/>
    <w:rsid w:val="4BD76889"/>
    <w:rsid w:val="4BDCDA5D"/>
    <w:rsid w:val="4BDD9F32"/>
    <w:rsid w:val="4BDF159C"/>
    <w:rsid w:val="4BDF3C22"/>
    <w:rsid w:val="4BE416A4"/>
    <w:rsid w:val="4BE53C37"/>
    <w:rsid w:val="4BFD1AB2"/>
    <w:rsid w:val="4BFEE4FA"/>
    <w:rsid w:val="4C09F872"/>
    <w:rsid w:val="4C13A584"/>
    <w:rsid w:val="4C3C1EA6"/>
    <w:rsid w:val="4C3C52AB"/>
    <w:rsid w:val="4C499784"/>
    <w:rsid w:val="4C55DDF8"/>
    <w:rsid w:val="4C5AEB09"/>
    <w:rsid w:val="4C72A375"/>
    <w:rsid w:val="4C777FC1"/>
    <w:rsid w:val="4C7BB3E0"/>
    <w:rsid w:val="4C7CC4D8"/>
    <w:rsid w:val="4C81E71C"/>
    <w:rsid w:val="4C85A0D6"/>
    <w:rsid w:val="4C85C632"/>
    <w:rsid w:val="4C9706DA"/>
    <w:rsid w:val="4C9B9490"/>
    <w:rsid w:val="4C9DB2D6"/>
    <w:rsid w:val="4C9F0412"/>
    <w:rsid w:val="4CA0565C"/>
    <w:rsid w:val="4CA6207A"/>
    <w:rsid w:val="4CAB7D2F"/>
    <w:rsid w:val="4CAD7150"/>
    <w:rsid w:val="4CB39F56"/>
    <w:rsid w:val="4CB42039"/>
    <w:rsid w:val="4CBC10C8"/>
    <w:rsid w:val="4CBD3A32"/>
    <w:rsid w:val="4CBD7A87"/>
    <w:rsid w:val="4CC43C80"/>
    <w:rsid w:val="4CD51224"/>
    <w:rsid w:val="4CDEF8E1"/>
    <w:rsid w:val="4CDFD4A8"/>
    <w:rsid w:val="4CE4D3D9"/>
    <w:rsid w:val="4CEEA302"/>
    <w:rsid w:val="4CF302A8"/>
    <w:rsid w:val="4CF666AC"/>
    <w:rsid w:val="4CF6CCA5"/>
    <w:rsid w:val="4D05FC6A"/>
    <w:rsid w:val="4D0AA06C"/>
    <w:rsid w:val="4D0DC01F"/>
    <w:rsid w:val="4D1782A9"/>
    <w:rsid w:val="4D19ABF9"/>
    <w:rsid w:val="4D1B1B8C"/>
    <w:rsid w:val="4D1BC3E8"/>
    <w:rsid w:val="4D1E4589"/>
    <w:rsid w:val="4D2CBFF3"/>
    <w:rsid w:val="4D3481FF"/>
    <w:rsid w:val="4D36EE7B"/>
    <w:rsid w:val="4D4802B7"/>
    <w:rsid w:val="4D4B6399"/>
    <w:rsid w:val="4D4B935E"/>
    <w:rsid w:val="4D515E0F"/>
    <w:rsid w:val="4D547D23"/>
    <w:rsid w:val="4D5E87BE"/>
    <w:rsid w:val="4D65CD26"/>
    <w:rsid w:val="4D7192E6"/>
    <w:rsid w:val="4D83D048"/>
    <w:rsid w:val="4D9F5287"/>
    <w:rsid w:val="4DA067E6"/>
    <w:rsid w:val="4DA7348C"/>
    <w:rsid w:val="4DA9A21E"/>
    <w:rsid w:val="4DC1B722"/>
    <w:rsid w:val="4DC6D4A4"/>
    <w:rsid w:val="4DC779EA"/>
    <w:rsid w:val="4DC82934"/>
    <w:rsid w:val="4DCC775D"/>
    <w:rsid w:val="4DD2ECF7"/>
    <w:rsid w:val="4DD4AFDB"/>
    <w:rsid w:val="4DDA8B1C"/>
    <w:rsid w:val="4DDE333B"/>
    <w:rsid w:val="4DE1C34A"/>
    <w:rsid w:val="4DE47873"/>
    <w:rsid w:val="4DE4EFBC"/>
    <w:rsid w:val="4DE5A67B"/>
    <w:rsid w:val="4DED3F2C"/>
    <w:rsid w:val="4DEDA5F0"/>
    <w:rsid w:val="4DFB2283"/>
    <w:rsid w:val="4DFD269D"/>
    <w:rsid w:val="4E08C89E"/>
    <w:rsid w:val="4E093A21"/>
    <w:rsid w:val="4E23EF49"/>
    <w:rsid w:val="4E26843F"/>
    <w:rsid w:val="4E3B578B"/>
    <w:rsid w:val="4E43A827"/>
    <w:rsid w:val="4E46CF0E"/>
    <w:rsid w:val="4E61C372"/>
    <w:rsid w:val="4E63A0F5"/>
    <w:rsid w:val="4E6638BB"/>
    <w:rsid w:val="4E667361"/>
    <w:rsid w:val="4E6EE69C"/>
    <w:rsid w:val="4E8A6186"/>
    <w:rsid w:val="4E909D3B"/>
    <w:rsid w:val="4E9449BA"/>
    <w:rsid w:val="4EAAF8AF"/>
    <w:rsid w:val="4EB0427D"/>
    <w:rsid w:val="4EBA13C7"/>
    <w:rsid w:val="4EBA993B"/>
    <w:rsid w:val="4EBC1698"/>
    <w:rsid w:val="4EBE8345"/>
    <w:rsid w:val="4ED5BBDB"/>
    <w:rsid w:val="4ED5C73D"/>
    <w:rsid w:val="4EDC56C3"/>
    <w:rsid w:val="4EDD50D3"/>
    <w:rsid w:val="4EE34000"/>
    <w:rsid w:val="4EE61A04"/>
    <w:rsid w:val="4EEC4446"/>
    <w:rsid w:val="4EFABB4A"/>
    <w:rsid w:val="4F0C9382"/>
    <w:rsid w:val="4F1B45DE"/>
    <w:rsid w:val="4F22A2F4"/>
    <w:rsid w:val="4F2C0FF3"/>
    <w:rsid w:val="4F2CABE2"/>
    <w:rsid w:val="4F2EF66A"/>
    <w:rsid w:val="4F3B871F"/>
    <w:rsid w:val="4F421B4B"/>
    <w:rsid w:val="4F432274"/>
    <w:rsid w:val="4F50EA47"/>
    <w:rsid w:val="4F562E6F"/>
    <w:rsid w:val="4F59E418"/>
    <w:rsid w:val="4F5CCDF3"/>
    <w:rsid w:val="4F635234"/>
    <w:rsid w:val="4F647705"/>
    <w:rsid w:val="4F67F31E"/>
    <w:rsid w:val="4F6876B1"/>
    <w:rsid w:val="4F794858"/>
    <w:rsid w:val="4F8B98E4"/>
    <w:rsid w:val="4FA4CAFE"/>
    <w:rsid w:val="4FAA9CE9"/>
    <w:rsid w:val="4FB28557"/>
    <w:rsid w:val="4FBB135B"/>
    <w:rsid w:val="4FBB69E7"/>
    <w:rsid w:val="4FBB84C5"/>
    <w:rsid w:val="4FBC199F"/>
    <w:rsid w:val="4FC326DE"/>
    <w:rsid w:val="4FC629DA"/>
    <w:rsid w:val="4FCFC5A3"/>
    <w:rsid w:val="4FD23F01"/>
    <w:rsid w:val="4FD3901A"/>
    <w:rsid w:val="4FE36998"/>
    <w:rsid w:val="4FE680B0"/>
    <w:rsid w:val="4FF67887"/>
    <w:rsid w:val="50038DCF"/>
    <w:rsid w:val="500DF760"/>
    <w:rsid w:val="5016FD51"/>
    <w:rsid w:val="501A6282"/>
    <w:rsid w:val="5029596B"/>
    <w:rsid w:val="502ECCB6"/>
    <w:rsid w:val="503ACC19"/>
    <w:rsid w:val="50421B9B"/>
    <w:rsid w:val="50431C53"/>
    <w:rsid w:val="50509C34"/>
    <w:rsid w:val="50524818"/>
    <w:rsid w:val="50616FA1"/>
    <w:rsid w:val="50708D79"/>
    <w:rsid w:val="5074AC93"/>
    <w:rsid w:val="5075D35E"/>
    <w:rsid w:val="5077F0FC"/>
    <w:rsid w:val="507B7EB0"/>
    <w:rsid w:val="50896E2C"/>
    <w:rsid w:val="508C7775"/>
    <w:rsid w:val="509D44CF"/>
    <w:rsid w:val="50A7F984"/>
    <w:rsid w:val="50AF5899"/>
    <w:rsid w:val="50BB25BD"/>
    <w:rsid w:val="50BE0408"/>
    <w:rsid w:val="50C45FB9"/>
    <w:rsid w:val="50C53E06"/>
    <w:rsid w:val="50C899CB"/>
    <w:rsid w:val="50D4F7F4"/>
    <w:rsid w:val="50E8453D"/>
    <w:rsid w:val="50EF4B4F"/>
    <w:rsid w:val="50F1F69F"/>
    <w:rsid w:val="50F957E4"/>
    <w:rsid w:val="50FCBD99"/>
    <w:rsid w:val="51033959"/>
    <w:rsid w:val="51050BEE"/>
    <w:rsid w:val="5108DA3A"/>
    <w:rsid w:val="5128C1BE"/>
    <w:rsid w:val="512AC7CF"/>
    <w:rsid w:val="512FEDE1"/>
    <w:rsid w:val="513AFAF2"/>
    <w:rsid w:val="514FF72A"/>
    <w:rsid w:val="5154A7D6"/>
    <w:rsid w:val="51571BCB"/>
    <w:rsid w:val="51574BCD"/>
    <w:rsid w:val="515B08E1"/>
    <w:rsid w:val="51629611"/>
    <w:rsid w:val="516B8643"/>
    <w:rsid w:val="51738572"/>
    <w:rsid w:val="518295BE"/>
    <w:rsid w:val="5190D4F1"/>
    <w:rsid w:val="519D2831"/>
    <w:rsid w:val="519D444A"/>
    <w:rsid w:val="519E9401"/>
    <w:rsid w:val="51A634F0"/>
    <w:rsid w:val="51A8B589"/>
    <w:rsid w:val="51AC312C"/>
    <w:rsid w:val="51AD313C"/>
    <w:rsid w:val="51B50FFE"/>
    <w:rsid w:val="51B6AA85"/>
    <w:rsid w:val="51C00830"/>
    <w:rsid w:val="51C46EE1"/>
    <w:rsid w:val="51C65E7D"/>
    <w:rsid w:val="51E24B17"/>
    <w:rsid w:val="51E6BAC9"/>
    <w:rsid w:val="51E7CEB1"/>
    <w:rsid w:val="51ED14C9"/>
    <w:rsid w:val="51EE13CC"/>
    <w:rsid w:val="51F5EE94"/>
    <w:rsid w:val="5202DE41"/>
    <w:rsid w:val="52056FCC"/>
    <w:rsid w:val="52133B19"/>
    <w:rsid w:val="5215DD8F"/>
    <w:rsid w:val="522503FD"/>
    <w:rsid w:val="52253DA8"/>
    <w:rsid w:val="5227555E"/>
    <w:rsid w:val="522C0511"/>
    <w:rsid w:val="52313436"/>
    <w:rsid w:val="5250C73D"/>
    <w:rsid w:val="52540A4F"/>
    <w:rsid w:val="525503AB"/>
    <w:rsid w:val="525515A9"/>
    <w:rsid w:val="5257CBD9"/>
    <w:rsid w:val="52667616"/>
    <w:rsid w:val="52667802"/>
    <w:rsid w:val="5268A820"/>
    <w:rsid w:val="526986D2"/>
    <w:rsid w:val="527774B5"/>
    <w:rsid w:val="527CF846"/>
    <w:rsid w:val="5280CA7E"/>
    <w:rsid w:val="52861798"/>
    <w:rsid w:val="5287947E"/>
    <w:rsid w:val="5287A60F"/>
    <w:rsid w:val="528ECB0A"/>
    <w:rsid w:val="52909FB9"/>
    <w:rsid w:val="5293517F"/>
    <w:rsid w:val="52962E81"/>
    <w:rsid w:val="529D5EFF"/>
    <w:rsid w:val="52A063A2"/>
    <w:rsid w:val="52A11AA9"/>
    <w:rsid w:val="52AD479C"/>
    <w:rsid w:val="52BCEC37"/>
    <w:rsid w:val="52C2EB3D"/>
    <w:rsid w:val="52CA0E12"/>
    <w:rsid w:val="52CB7499"/>
    <w:rsid w:val="52D43B9F"/>
    <w:rsid w:val="52D7A3D7"/>
    <w:rsid w:val="52D9622A"/>
    <w:rsid w:val="52EB9AF1"/>
    <w:rsid w:val="52F31852"/>
    <w:rsid w:val="52F41B04"/>
    <w:rsid w:val="52F73BCD"/>
    <w:rsid w:val="52FA0EE1"/>
    <w:rsid w:val="52FB1E77"/>
    <w:rsid w:val="5305CD03"/>
    <w:rsid w:val="530C0A06"/>
    <w:rsid w:val="5314C6FC"/>
    <w:rsid w:val="5321EEEF"/>
    <w:rsid w:val="53274647"/>
    <w:rsid w:val="53310DC5"/>
    <w:rsid w:val="53320C15"/>
    <w:rsid w:val="534A92CC"/>
    <w:rsid w:val="534AE601"/>
    <w:rsid w:val="535C819E"/>
    <w:rsid w:val="53640E5E"/>
    <w:rsid w:val="5364A88E"/>
    <w:rsid w:val="537E1BA6"/>
    <w:rsid w:val="537FA894"/>
    <w:rsid w:val="53825A4C"/>
    <w:rsid w:val="5384BC6E"/>
    <w:rsid w:val="53892266"/>
    <w:rsid w:val="5396E768"/>
    <w:rsid w:val="539C07F0"/>
    <w:rsid w:val="539CB83A"/>
    <w:rsid w:val="539D9BE9"/>
    <w:rsid w:val="53A7AF92"/>
    <w:rsid w:val="53AD618A"/>
    <w:rsid w:val="53BD008C"/>
    <w:rsid w:val="53BEB461"/>
    <w:rsid w:val="53C53185"/>
    <w:rsid w:val="53C6B670"/>
    <w:rsid w:val="53CE82C9"/>
    <w:rsid w:val="53CEA673"/>
    <w:rsid w:val="53D0A05F"/>
    <w:rsid w:val="53E276A1"/>
    <w:rsid w:val="53F3DF8D"/>
    <w:rsid w:val="53FD30FC"/>
    <w:rsid w:val="53FEACC5"/>
    <w:rsid w:val="53FF58E4"/>
    <w:rsid w:val="5406E98A"/>
    <w:rsid w:val="5409BD62"/>
    <w:rsid w:val="540A3328"/>
    <w:rsid w:val="5416CB62"/>
    <w:rsid w:val="541D3AE7"/>
    <w:rsid w:val="542F1F31"/>
    <w:rsid w:val="54338014"/>
    <w:rsid w:val="543CDC84"/>
    <w:rsid w:val="543F7989"/>
    <w:rsid w:val="5443B763"/>
    <w:rsid w:val="544660EF"/>
    <w:rsid w:val="545DFA85"/>
    <w:rsid w:val="5463CF37"/>
    <w:rsid w:val="5470397A"/>
    <w:rsid w:val="54787560"/>
    <w:rsid w:val="547D290B"/>
    <w:rsid w:val="547D8D05"/>
    <w:rsid w:val="548E0903"/>
    <w:rsid w:val="548E4A57"/>
    <w:rsid w:val="549348EB"/>
    <w:rsid w:val="54940117"/>
    <w:rsid w:val="54947DE2"/>
    <w:rsid w:val="549F45CF"/>
    <w:rsid w:val="54A9A5B6"/>
    <w:rsid w:val="54AAAB29"/>
    <w:rsid w:val="54BF1FC2"/>
    <w:rsid w:val="54C21F4D"/>
    <w:rsid w:val="54CA184D"/>
    <w:rsid w:val="54CCBB5B"/>
    <w:rsid w:val="54D635FF"/>
    <w:rsid w:val="54DA8045"/>
    <w:rsid w:val="54DCF78B"/>
    <w:rsid w:val="54E21629"/>
    <w:rsid w:val="54EB1B24"/>
    <w:rsid w:val="54ED0D97"/>
    <w:rsid w:val="54F52E05"/>
    <w:rsid w:val="5502B0AE"/>
    <w:rsid w:val="55062EA4"/>
    <w:rsid w:val="550709B3"/>
    <w:rsid w:val="55097CF3"/>
    <w:rsid w:val="5514084F"/>
    <w:rsid w:val="5515AAD6"/>
    <w:rsid w:val="5516743A"/>
    <w:rsid w:val="5516C625"/>
    <w:rsid w:val="551CA55D"/>
    <w:rsid w:val="5523315B"/>
    <w:rsid w:val="5533D761"/>
    <w:rsid w:val="5535E1A6"/>
    <w:rsid w:val="555034FF"/>
    <w:rsid w:val="55558219"/>
    <w:rsid w:val="555D734C"/>
    <w:rsid w:val="556540D0"/>
    <w:rsid w:val="556692BB"/>
    <w:rsid w:val="55671FFF"/>
    <w:rsid w:val="556A76D4"/>
    <w:rsid w:val="556D3511"/>
    <w:rsid w:val="557030B8"/>
    <w:rsid w:val="557378AA"/>
    <w:rsid w:val="55788A3B"/>
    <w:rsid w:val="55789005"/>
    <w:rsid w:val="5591B0D3"/>
    <w:rsid w:val="55922844"/>
    <w:rsid w:val="5597B25B"/>
    <w:rsid w:val="559B43F5"/>
    <w:rsid w:val="55A1F294"/>
    <w:rsid w:val="55A36C17"/>
    <w:rsid w:val="55A73F6D"/>
    <w:rsid w:val="55A909C3"/>
    <w:rsid w:val="55AFD591"/>
    <w:rsid w:val="55B0D6D7"/>
    <w:rsid w:val="55BBE775"/>
    <w:rsid w:val="55C1FF9E"/>
    <w:rsid w:val="55CD81BD"/>
    <w:rsid w:val="55CE4FB9"/>
    <w:rsid w:val="55D0A628"/>
    <w:rsid w:val="55D82735"/>
    <w:rsid w:val="55DD9A7B"/>
    <w:rsid w:val="55E4D3ED"/>
    <w:rsid w:val="55FA7166"/>
    <w:rsid w:val="55FCEA63"/>
    <w:rsid w:val="5600F0FC"/>
    <w:rsid w:val="56035F04"/>
    <w:rsid w:val="56090B19"/>
    <w:rsid w:val="560F3F7F"/>
    <w:rsid w:val="5618F96C"/>
    <w:rsid w:val="562BD4C2"/>
    <w:rsid w:val="56365B6B"/>
    <w:rsid w:val="563CA5C3"/>
    <w:rsid w:val="5642C746"/>
    <w:rsid w:val="56431AB4"/>
    <w:rsid w:val="56450B2A"/>
    <w:rsid w:val="5648C19E"/>
    <w:rsid w:val="564BFFC5"/>
    <w:rsid w:val="56601092"/>
    <w:rsid w:val="566AA0B3"/>
    <w:rsid w:val="566D8F8A"/>
    <w:rsid w:val="56749CB5"/>
    <w:rsid w:val="56777E06"/>
    <w:rsid w:val="567892E4"/>
    <w:rsid w:val="568286C3"/>
    <w:rsid w:val="56881263"/>
    <w:rsid w:val="569B4B72"/>
    <w:rsid w:val="569EDC70"/>
    <w:rsid w:val="569F8B20"/>
    <w:rsid w:val="56C0E127"/>
    <w:rsid w:val="56CC7421"/>
    <w:rsid w:val="56D906BA"/>
    <w:rsid w:val="56DAA7DB"/>
    <w:rsid w:val="570384F4"/>
    <w:rsid w:val="570936AC"/>
    <w:rsid w:val="5715E91E"/>
    <w:rsid w:val="571DB932"/>
    <w:rsid w:val="571FE472"/>
    <w:rsid w:val="57234017"/>
    <w:rsid w:val="572D458C"/>
    <w:rsid w:val="573D235F"/>
    <w:rsid w:val="57440987"/>
    <w:rsid w:val="57454FEA"/>
    <w:rsid w:val="5747ED92"/>
    <w:rsid w:val="5752A410"/>
    <w:rsid w:val="575915CF"/>
    <w:rsid w:val="575A3751"/>
    <w:rsid w:val="575B5932"/>
    <w:rsid w:val="576A8ED5"/>
    <w:rsid w:val="577C71CD"/>
    <w:rsid w:val="578400B2"/>
    <w:rsid w:val="57861787"/>
    <w:rsid w:val="578C433C"/>
    <w:rsid w:val="579785DC"/>
    <w:rsid w:val="5799E46F"/>
    <w:rsid w:val="579F2131"/>
    <w:rsid w:val="57A32934"/>
    <w:rsid w:val="57A87F7C"/>
    <w:rsid w:val="57AA5BD4"/>
    <w:rsid w:val="57AB64D5"/>
    <w:rsid w:val="57BB1FE2"/>
    <w:rsid w:val="57BE3EED"/>
    <w:rsid w:val="57C3539F"/>
    <w:rsid w:val="57C59CD3"/>
    <w:rsid w:val="57D259FD"/>
    <w:rsid w:val="57D32CC3"/>
    <w:rsid w:val="57E2E638"/>
    <w:rsid w:val="57F8C3A7"/>
    <w:rsid w:val="57F9EE4D"/>
    <w:rsid w:val="5803E941"/>
    <w:rsid w:val="5807D1BF"/>
    <w:rsid w:val="58086E2E"/>
    <w:rsid w:val="580F255E"/>
    <w:rsid w:val="5823BEA7"/>
    <w:rsid w:val="5829C183"/>
    <w:rsid w:val="582DD132"/>
    <w:rsid w:val="582E51F9"/>
    <w:rsid w:val="5838EBE8"/>
    <w:rsid w:val="5842DD65"/>
    <w:rsid w:val="5849A769"/>
    <w:rsid w:val="584C23AB"/>
    <w:rsid w:val="5855391E"/>
    <w:rsid w:val="5859C0F0"/>
    <w:rsid w:val="585C71E7"/>
    <w:rsid w:val="58608ECC"/>
    <w:rsid w:val="58690F0C"/>
    <w:rsid w:val="586E2373"/>
    <w:rsid w:val="5870C43C"/>
    <w:rsid w:val="5886126A"/>
    <w:rsid w:val="588B9A61"/>
    <w:rsid w:val="588E51AC"/>
    <w:rsid w:val="58907425"/>
    <w:rsid w:val="5899908C"/>
    <w:rsid w:val="58A3AFD3"/>
    <w:rsid w:val="58A496BB"/>
    <w:rsid w:val="58AB33FB"/>
    <w:rsid w:val="58ABCD8A"/>
    <w:rsid w:val="58B1B747"/>
    <w:rsid w:val="58B91901"/>
    <w:rsid w:val="58C74CA4"/>
    <w:rsid w:val="58C7D6A9"/>
    <w:rsid w:val="58D0569D"/>
    <w:rsid w:val="58D36A71"/>
    <w:rsid w:val="58D78011"/>
    <w:rsid w:val="58DA13E7"/>
    <w:rsid w:val="58DE99B7"/>
    <w:rsid w:val="58E22147"/>
    <w:rsid w:val="58EE3C73"/>
    <w:rsid w:val="58F1C299"/>
    <w:rsid w:val="58FB8764"/>
    <w:rsid w:val="59007852"/>
    <w:rsid w:val="590377CF"/>
    <w:rsid w:val="59181E2B"/>
    <w:rsid w:val="5919A0AF"/>
    <w:rsid w:val="591E2FE1"/>
    <w:rsid w:val="59220633"/>
    <w:rsid w:val="59325EAE"/>
    <w:rsid w:val="5933DBC3"/>
    <w:rsid w:val="59370642"/>
    <w:rsid w:val="593CE814"/>
    <w:rsid w:val="5940B409"/>
    <w:rsid w:val="59509A2E"/>
    <w:rsid w:val="596DFC2D"/>
    <w:rsid w:val="5970D7DE"/>
    <w:rsid w:val="5973B967"/>
    <w:rsid w:val="5975651A"/>
    <w:rsid w:val="59828EF4"/>
    <w:rsid w:val="598BCC1C"/>
    <w:rsid w:val="598E2E91"/>
    <w:rsid w:val="598E61E3"/>
    <w:rsid w:val="598FFF1C"/>
    <w:rsid w:val="5991787C"/>
    <w:rsid w:val="599EE2BF"/>
    <w:rsid w:val="59B01970"/>
    <w:rsid w:val="59BA4D46"/>
    <w:rsid w:val="59BB181F"/>
    <w:rsid w:val="59BBD19E"/>
    <w:rsid w:val="59CABCD7"/>
    <w:rsid w:val="59CE7EE7"/>
    <w:rsid w:val="59CEBF69"/>
    <w:rsid w:val="59D0E4B3"/>
    <w:rsid w:val="59D484E5"/>
    <w:rsid w:val="59D6E08A"/>
    <w:rsid w:val="59DAF274"/>
    <w:rsid w:val="59E2FFA9"/>
    <w:rsid w:val="59E7E948"/>
    <w:rsid w:val="59EBADA2"/>
    <w:rsid w:val="59F71065"/>
    <w:rsid w:val="5A00E113"/>
    <w:rsid w:val="5A129FB4"/>
    <w:rsid w:val="5A13912C"/>
    <w:rsid w:val="5A187E2D"/>
    <w:rsid w:val="5A1C6A5B"/>
    <w:rsid w:val="5A1EB6DD"/>
    <w:rsid w:val="5A25E742"/>
    <w:rsid w:val="5A27E5F2"/>
    <w:rsid w:val="5A3ADE54"/>
    <w:rsid w:val="5A453357"/>
    <w:rsid w:val="5A4C61B5"/>
    <w:rsid w:val="5A54F1B5"/>
    <w:rsid w:val="5A60E979"/>
    <w:rsid w:val="5A692E11"/>
    <w:rsid w:val="5A6AEB01"/>
    <w:rsid w:val="5A6BB4E4"/>
    <w:rsid w:val="5A7BA72C"/>
    <w:rsid w:val="5A7BB005"/>
    <w:rsid w:val="5A8D43B2"/>
    <w:rsid w:val="5A92125E"/>
    <w:rsid w:val="5A92B00F"/>
    <w:rsid w:val="5A97DC64"/>
    <w:rsid w:val="5A9E93F4"/>
    <w:rsid w:val="5A9F2DE3"/>
    <w:rsid w:val="5AA294E0"/>
    <w:rsid w:val="5AA6C417"/>
    <w:rsid w:val="5AC7B69B"/>
    <w:rsid w:val="5ACDE969"/>
    <w:rsid w:val="5AD2ADB4"/>
    <w:rsid w:val="5AD56C84"/>
    <w:rsid w:val="5AD8C79F"/>
    <w:rsid w:val="5AED0489"/>
    <w:rsid w:val="5AEE97D5"/>
    <w:rsid w:val="5AEF981B"/>
    <w:rsid w:val="5AEF9F98"/>
    <w:rsid w:val="5B22B5B0"/>
    <w:rsid w:val="5B23FB63"/>
    <w:rsid w:val="5B2B579C"/>
    <w:rsid w:val="5B30D58E"/>
    <w:rsid w:val="5B389E80"/>
    <w:rsid w:val="5B4C6387"/>
    <w:rsid w:val="5B5AF829"/>
    <w:rsid w:val="5B5F6098"/>
    <w:rsid w:val="5B64AFA0"/>
    <w:rsid w:val="5B75108B"/>
    <w:rsid w:val="5B78474D"/>
    <w:rsid w:val="5B7AC41A"/>
    <w:rsid w:val="5B7ACEB2"/>
    <w:rsid w:val="5B7BDB52"/>
    <w:rsid w:val="5B9278F4"/>
    <w:rsid w:val="5B9A3C04"/>
    <w:rsid w:val="5BA11042"/>
    <w:rsid w:val="5BA22A96"/>
    <w:rsid w:val="5BA2C152"/>
    <w:rsid w:val="5BB7D1AF"/>
    <w:rsid w:val="5BC95134"/>
    <w:rsid w:val="5BD01ADF"/>
    <w:rsid w:val="5BD633CA"/>
    <w:rsid w:val="5BD66EA7"/>
    <w:rsid w:val="5BD9CC7E"/>
    <w:rsid w:val="5BDC6C5D"/>
    <w:rsid w:val="5BE6CE7B"/>
    <w:rsid w:val="5BE71AB3"/>
    <w:rsid w:val="5BE9C53A"/>
    <w:rsid w:val="5BF38A0C"/>
    <w:rsid w:val="5BFAA010"/>
    <w:rsid w:val="5BFCB9DA"/>
    <w:rsid w:val="5C00EA44"/>
    <w:rsid w:val="5C00F41F"/>
    <w:rsid w:val="5C073947"/>
    <w:rsid w:val="5C0CDF21"/>
    <w:rsid w:val="5C124007"/>
    <w:rsid w:val="5C1CDD27"/>
    <w:rsid w:val="5C253917"/>
    <w:rsid w:val="5C2FB1EC"/>
    <w:rsid w:val="5C33B810"/>
    <w:rsid w:val="5C3EB6CE"/>
    <w:rsid w:val="5C430CFC"/>
    <w:rsid w:val="5C49862C"/>
    <w:rsid w:val="5C52E925"/>
    <w:rsid w:val="5C55D68A"/>
    <w:rsid w:val="5C56AAE0"/>
    <w:rsid w:val="5C5BDBA4"/>
    <w:rsid w:val="5C5EC63A"/>
    <w:rsid w:val="5C65EB87"/>
    <w:rsid w:val="5C669E66"/>
    <w:rsid w:val="5C684F78"/>
    <w:rsid w:val="5C6D6850"/>
    <w:rsid w:val="5C806351"/>
    <w:rsid w:val="5C872298"/>
    <w:rsid w:val="5C88B2B5"/>
    <w:rsid w:val="5C8AE1C0"/>
    <w:rsid w:val="5C95CBB2"/>
    <w:rsid w:val="5C99D55E"/>
    <w:rsid w:val="5C9C2E9B"/>
    <w:rsid w:val="5C9D8D47"/>
    <w:rsid w:val="5CA3D782"/>
    <w:rsid w:val="5CA8257A"/>
    <w:rsid w:val="5CB1645C"/>
    <w:rsid w:val="5CC602A5"/>
    <w:rsid w:val="5CD1E6AE"/>
    <w:rsid w:val="5CDC6E83"/>
    <w:rsid w:val="5CE58B69"/>
    <w:rsid w:val="5CE86931"/>
    <w:rsid w:val="5CEC6594"/>
    <w:rsid w:val="5CEE3D35"/>
    <w:rsid w:val="5CF1C847"/>
    <w:rsid w:val="5CFAAD8C"/>
    <w:rsid w:val="5D06BCF7"/>
    <w:rsid w:val="5D096157"/>
    <w:rsid w:val="5D1B78C6"/>
    <w:rsid w:val="5D2292DF"/>
    <w:rsid w:val="5D2ABE12"/>
    <w:rsid w:val="5D3A86C9"/>
    <w:rsid w:val="5D410353"/>
    <w:rsid w:val="5D446830"/>
    <w:rsid w:val="5D48D75F"/>
    <w:rsid w:val="5D819976"/>
    <w:rsid w:val="5D826D5D"/>
    <w:rsid w:val="5D8E3FA3"/>
    <w:rsid w:val="5D8E6CAC"/>
    <w:rsid w:val="5D8EAF03"/>
    <w:rsid w:val="5D967071"/>
    <w:rsid w:val="5D98FB21"/>
    <w:rsid w:val="5D9A32F1"/>
    <w:rsid w:val="5DABAB3E"/>
    <w:rsid w:val="5DB0053F"/>
    <w:rsid w:val="5DC9405E"/>
    <w:rsid w:val="5DCCB952"/>
    <w:rsid w:val="5DE1AB28"/>
    <w:rsid w:val="5DECA8C5"/>
    <w:rsid w:val="5DEE40D3"/>
    <w:rsid w:val="5DF37493"/>
    <w:rsid w:val="5DF89823"/>
    <w:rsid w:val="5E037EEB"/>
    <w:rsid w:val="5E087ADB"/>
    <w:rsid w:val="5E0938B1"/>
    <w:rsid w:val="5E0B3DAF"/>
    <w:rsid w:val="5E128C96"/>
    <w:rsid w:val="5E25280C"/>
    <w:rsid w:val="5E261494"/>
    <w:rsid w:val="5E309D9A"/>
    <w:rsid w:val="5E32076F"/>
    <w:rsid w:val="5E37DF37"/>
    <w:rsid w:val="5E3F831A"/>
    <w:rsid w:val="5E429B06"/>
    <w:rsid w:val="5E48852F"/>
    <w:rsid w:val="5E490A86"/>
    <w:rsid w:val="5E58C502"/>
    <w:rsid w:val="5E5B05BB"/>
    <w:rsid w:val="5E5D3358"/>
    <w:rsid w:val="5E608DD7"/>
    <w:rsid w:val="5E77A14D"/>
    <w:rsid w:val="5E7BF4CE"/>
    <w:rsid w:val="5E7C5716"/>
    <w:rsid w:val="5E7E6B46"/>
    <w:rsid w:val="5E80E48F"/>
    <w:rsid w:val="5E83D989"/>
    <w:rsid w:val="5E8872AB"/>
    <w:rsid w:val="5E8B915C"/>
    <w:rsid w:val="5E942FA8"/>
    <w:rsid w:val="5EA6813F"/>
    <w:rsid w:val="5EB566EA"/>
    <w:rsid w:val="5EBB8994"/>
    <w:rsid w:val="5EBE7E1E"/>
    <w:rsid w:val="5EC42DFE"/>
    <w:rsid w:val="5EC68FE0"/>
    <w:rsid w:val="5ED91800"/>
    <w:rsid w:val="5EDB8216"/>
    <w:rsid w:val="5EDD48AB"/>
    <w:rsid w:val="5EDFA2AB"/>
    <w:rsid w:val="5EE2D3ED"/>
    <w:rsid w:val="5EE8EE4D"/>
    <w:rsid w:val="5EF913F1"/>
    <w:rsid w:val="5EFACB3D"/>
    <w:rsid w:val="5EFD5DD2"/>
    <w:rsid w:val="5EFF79CB"/>
    <w:rsid w:val="5F0681D4"/>
    <w:rsid w:val="5F073DFA"/>
    <w:rsid w:val="5F08FC86"/>
    <w:rsid w:val="5F13CFDA"/>
    <w:rsid w:val="5F1DE9AC"/>
    <w:rsid w:val="5F204B49"/>
    <w:rsid w:val="5F206216"/>
    <w:rsid w:val="5F218137"/>
    <w:rsid w:val="5F2900E7"/>
    <w:rsid w:val="5F2A002A"/>
    <w:rsid w:val="5F3240D2"/>
    <w:rsid w:val="5F3CBFE8"/>
    <w:rsid w:val="5F43E536"/>
    <w:rsid w:val="5F4B6D81"/>
    <w:rsid w:val="5F4CD8ED"/>
    <w:rsid w:val="5F4F6FAB"/>
    <w:rsid w:val="5F515FE8"/>
    <w:rsid w:val="5F52296C"/>
    <w:rsid w:val="5F61D622"/>
    <w:rsid w:val="5F67098C"/>
    <w:rsid w:val="5F7A1E75"/>
    <w:rsid w:val="5F80FB75"/>
    <w:rsid w:val="5F84BE1B"/>
    <w:rsid w:val="5F890801"/>
    <w:rsid w:val="5F8ADA2F"/>
    <w:rsid w:val="5F8BCDF7"/>
    <w:rsid w:val="5F9B69EC"/>
    <w:rsid w:val="5F9DE18C"/>
    <w:rsid w:val="5FA61A86"/>
    <w:rsid w:val="5FA85F54"/>
    <w:rsid w:val="5FAB9BA7"/>
    <w:rsid w:val="5FBADA28"/>
    <w:rsid w:val="5FBE4798"/>
    <w:rsid w:val="5FC7A6A3"/>
    <w:rsid w:val="5FC86949"/>
    <w:rsid w:val="5FCAF6AA"/>
    <w:rsid w:val="5FDA1E77"/>
    <w:rsid w:val="5FDCB41C"/>
    <w:rsid w:val="5FE2C2EF"/>
    <w:rsid w:val="5FE90E55"/>
    <w:rsid w:val="5FEF97ED"/>
    <w:rsid w:val="5FF000C1"/>
    <w:rsid w:val="5FF97960"/>
    <w:rsid w:val="600D56E9"/>
    <w:rsid w:val="6013BBA7"/>
    <w:rsid w:val="6021E60B"/>
    <w:rsid w:val="6024F0DC"/>
    <w:rsid w:val="60296909"/>
    <w:rsid w:val="602AC436"/>
    <w:rsid w:val="60304471"/>
    <w:rsid w:val="60307B4A"/>
    <w:rsid w:val="6030A0AB"/>
    <w:rsid w:val="60353C77"/>
    <w:rsid w:val="60399CDD"/>
    <w:rsid w:val="603B02C0"/>
    <w:rsid w:val="603CC244"/>
    <w:rsid w:val="603D1225"/>
    <w:rsid w:val="60633744"/>
    <w:rsid w:val="60657F48"/>
    <w:rsid w:val="606769DA"/>
    <w:rsid w:val="6067E059"/>
    <w:rsid w:val="6072F478"/>
    <w:rsid w:val="60813583"/>
    <w:rsid w:val="60864172"/>
    <w:rsid w:val="60865965"/>
    <w:rsid w:val="608EA8AE"/>
    <w:rsid w:val="60938BDB"/>
    <w:rsid w:val="6098F08C"/>
    <w:rsid w:val="60AF01C2"/>
    <w:rsid w:val="60C4E473"/>
    <w:rsid w:val="60D0C359"/>
    <w:rsid w:val="60D2BA43"/>
    <w:rsid w:val="60F02CDE"/>
    <w:rsid w:val="60F2B852"/>
    <w:rsid w:val="60F7E2BA"/>
    <w:rsid w:val="60FAE7A1"/>
    <w:rsid w:val="60FC52BE"/>
    <w:rsid w:val="61011BB5"/>
    <w:rsid w:val="6108BD18"/>
    <w:rsid w:val="611007EF"/>
    <w:rsid w:val="6112D0AB"/>
    <w:rsid w:val="6119BB1F"/>
    <w:rsid w:val="612790D7"/>
    <w:rsid w:val="612FA9BF"/>
    <w:rsid w:val="6137086B"/>
    <w:rsid w:val="61483DE2"/>
    <w:rsid w:val="6152375E"/>
    <w:rsid w:val="61531A83"/>
    <w:rsid w:val="615AAB8F"/>
    <w:rsid w:val="615DD533"/>
    <w:rsid w:val="617DC8D7"/>
    <w:rsid w:val="617FB624"/>
    <w:rsid w:val="6195C661"/>
    <w:rsid w:val="61967DFB"/>
    <w:rsid w:val="61973D98"/>
    <w:rsid w:val="6197C680"/>
    <w:rsid w:val="619B34D8"/>
    <w:rsid w:val="61ACB4CC"/>
    <w:rsid w:val="61B312F2"/>
    <w:rsid w:val="61B6B587"/>
    <w:rsid w:val="61BA88B0"/>
    <w:rsid w:val="61BE32C8"/>
    <w:rsid w:val="61C4D8F0"/>
    <w:rsid w:val="61C5396A"/>
    <w:rsid w:val="61CA2785"/>
    <w:rsid w:val="61DA3AE1"/>
    <w:rsid w:val="61F9B207"/>
    <w:rsid w:val="6202B3E1"/>
    <w:rsid w:val="62059832"/>
    <w:rsid w:val="620A0BB2"/>
    <w:rsid w:val="620E9CCF"/>
    <w:rsid w:val="620F54AB"/>
    <w:rsid w:val="621062D6"/>
    <w:rsid w:val="62187B03"/>
    <w:rsid w:val="62187BFD"/>
    <w:rsid w:val="622E8E44"/>
    <w:rsid w:val="62317383"/>
    <w:rsid w:val="62380303"/>
    <w:rsid w:val="623898D9"/>
    <w:rsid w:val="623EC5CB"/>
    <w:rsid w:val="6241A113"/>
    <w:rsid w:val="6241F354"/>
    <w:rsid w:val="624F5A98"/>
    <w:rsid w:val="6252437B"/>
    <w:rsid w:val="625524AC"/>
    <w:rsid w:val="625C66A9"/>
    <w:rsid w:val="626934D9"/>
    <w:rsid w:val="626EC73C"/>
    <w:rsid w:val="627D494B"/>
    <w:rsid w:val="6290BE91"/>
    <w:rsid w:val="6299105D"/>
    <w:rsid w:val="62AAAAE4"/>
    <w:rsid w:val="62B270BE"/>
    <w:rsid w:val="62B7865C"/>
    <w:rsid w:val="62BF2103"/>
    <w:rsid w:val="62C101E4"/>
    <w:rsid w:val="62C225AB"/>
    <w:rsid w:val="62C8B9AF"/>
    <w:rsid w:val="62CFA4B2"/>
    <w:rsid w:val="62D5F5F2"/>
    <w:rsid w:val="62E5E50C"/>
    <w:rsid w:val="62E5EB80"/>
    <w:rsid w:val="62E87A6E"/>
    <w:rsid w:val="62F6973C"/>
    <w:rsid w:val="62F6E71A"/>
    <w:rsid w:val="63000C20"/>
    <w:rsid w:val="6306CCF8"/>
    <w:rsid w:val="63112D7E"/>
    <w:rsid w:val="6314F0B3"/>
    <w:rsid w:val="632E65F5"/>
    <w:rsid w:val="633005CF"/>
    <w:rsid w:val="6336B405"/>
    <w:rsid w:val="6339D4E2"/>
    <w:rsid w:val="635A9EF1"/>
    <w:rsid w:val="6368E9FF"/>
    <w:rsid w:val="63734D31"/>
    <w:rsid w:val="637971CA"/>
    <w:rsid w:val="637EB1E1"/>
    <w:rsid w:val="6388BE94"/>
    <w:rsid w:val="63923550"/>
    <w:rsid w:val="639263A4"/>
    <w:rsid w:val="63940DA8"/>
    <w:rsid w:val="6394137C"/>
    <w:rsid w:val="6399D96B"/>
    <w:rsid w:val="639A23B1"/>
    <w:rsid w:val="639D1057"/>
    <w:rsid w:val="639DADC7"/>
    <w:rsid w:val="63A473B2"/>
    <w:rsid w:val="63A654C9"/>
    <w:rsid w:val="63A858FF"/>
    <w:rsid w:val="63AA03A0"/>
    <w:rsid w:val="63D29A93"/>
    <w:rsid w:val="63D985B7"/>
    <w:rsid w:val="63DB1CDB"/>
    <w:rsid w:val="63DD0620"/>
    <w:rsid w:val="63DEDAF2"/>
    <w:rsid w:val="63EAACF4"/>
    <w:rsid w:val="63EC77DB"/>
    <w:rsid w:val="63EFDA9B"/>
    <w:rsid w:val="640BEAEF"/>
    <w:rsid w:val="6415AD92"/>
    <w:rsid w:val="64188A72"/>
    <w:rsid w:val="6418BC64"/>
    <w:rsid w:val="6418CC4A"/>
    <w:rsid w:val="6418D4C0"/>
    <w:rsid w:val="64217226"/>
    <w:rsid w:val="6425AD06"/>
    <w:rsid w:val="643147C7"/>
    <w:rsid w:val="64374A20"/>
    <w:rsid w:val="6438791B"/>
    <w:rsid w:val="643F4BB2"/>
    <w:rsid w:val="644D20F9"/>
    <w:rsid w:val="644E36B8"/>
    <w:rsid w:val="64537BBF"/>
    <w:rsid w:val="64592FF9"/>
    <w:rsid w:val="645FADBA"/>
    <w:rsid w:val="64648A10"/>
    <w:rsid w:val="6478063B"/>
    <w:rsid w:val="64806890"/>
    <w:rsid w:val="648CCBD1"/>
    <w:rsid w:val="6495C10A"/>
    <w:rsid w:val="6498876E"/>
    <w:rsid w:val="649DEBF9"/>
    <w:rsid w:val="64AF4C1E"/>
    <w:rsid w:val="64BACF73"/>
    <w:rsid w:val="64C28123"/>
    <w:rsid w:val="64C43973"/>
    <w:rsid w:val="64CDBA74"/>
    <w:rsid w:val="64D06759"/>
    <w:rsid w:val="64D0C7CD"/>
    <w:rsid w:val="64D1C1EA"/>
    <w:rsid w:val="64D5A4E7"/>
    <w:rsid w:val="64E39D12"/>
    <w:rsid w:val="64FDD84D"/>
    <w:rsid w:val="650773E7"/>
    <w:rsid w:val="651AD3DA"/>
    <w:rsid w:val="651BEE4A"/>
    <w:rsid w:val="652AC669"/>
    <w:rsid w:val="653646DA"/>
    <w:rsid w:val="6540A5DE"/>
    <w:rsid w:val="65455258"/>
    <w:rsid w:val="654A0914"/>
    <w:rsid w:val="6555BD93"/>
    <w:rsid w:val="65565F7A"/>
    <w:rsid w:val="65589193"/>
    <w:rsid w:val="656074CD"/>
    <w:rsid w:val="6561D5E5"/>
    <w:rsid w:val="65628256"/>
    <w:rsid w:val="65705162"/>
    <w:rsid w:val="657DB568"/>
    <w:rsid w:val="657FAAEF"/>
    <w:rsid w:val="65861D94"/>
    <w:rsid w:val="659A61FD"/>
    <w:rsid w:val="65AD342D"/>
    <w:rsid w:val="65AF1A69"/>
    <w:rsid w:val="65AF89A5"/>
    <w:rsid w:val="65B420D7"/>
    <w:rsid w:val="65B64416"/>
    <w:rsid w:val="65B7E5CE"/>
    <w:rsid w:val="65BC2A4B"/>
    <w:rsid w:val="65C39557"/>
    <w:rsid w:val="65C43068"/>
    <w:rsid w:val="65C49956"/>
    <w:rsid w:val="65C52886"/>
    <w:rsid w:val="65D07548"/>
    <w:rsid w:val="65D569A9"/>
    <w:rsid w:val="65DA0888"/>
    <w:rsid w:val="65DABACD"/>
    <w:rsid w:val="65E4A97C"/>
    <w:rsid w:val="65E714F4"/>
    <w:rsid w:val="65E749CA"/>
    <w:rsid w:val="65F08F9B"/>
    <w:rsid w:val="65F09D1F"/>
    <w:rsid w:val="65F6F454"/>
    <w:rsid w:val="65FDD858"/>
    <w:rsid w:val="6606BC9A"/>
    <w:rsid w:val="660E2DCE"/>
    <w:rsid w:val="66103F2F"/>
    <w:rsid w:val="661A6A17"/>
    <w:rsid w:val="661BA19B"/>
    <w:rsid w:val="662C9250"/>
    <w:rsid w:val="66318CC8"/>
    <w:rsid w:val="663D4FA0"/>
    <w:rsid w:val="66426E9A"/>
    <w:rsid w:val="664273B3"/>
    <w:rsid w:val="664A86D5"/>
    <w:rsid w:val="66539714"/>
    <w:rsid w:val="66546CBB"/>
    <w:rsid w:val="6654B1B1"/>
    <w:rsid w:val="6658481E"/>
    <w:rsid w:val="665D1053"/>
    <w:rsid w:val="6660FC33"/>
    <w:rsid w:val="66670D74"/>
    <w:rsid w:val="666F2791"/>
    <w:rsid w:val="667A91E1"/>
    <w:rsid w:val="66878F1B"/>
    <w:rsid w:val="66936914"/>
    <w:rsid w:val="66A3F4CA"/>
    <w:rsid w:val="66A56A13"/>
    <w:rsid w:val="66B53DA3"/>
    <w:rsid w:val="66BEF554"/>
    <w:rsid w:val="66C81FB7"/>
    <w:rsid w:val="66C8AEB4"/>
    <w:rsid w:val="66CDAE5C"/>
    <w:rsid w:val="66CF4E7F"/>
    <w:rsid w:val="66D2173B"/>
    <w:rsid w:val="66D90955"/>
    <w:rsid w:val="66DE9455"/>
    <w:rsid w:val="66E86E8B"/>
    <w:rsid w:val="66F0E81E"/>
    <w:rsid w:val="67138B71"/>
    <w:rsid w:val="67156616"/>
    <w:rsid w:val="671B9AB0"/>
    <w:rsid w:val="67219F04"/>
    <w:rsid w:val="6725407D"/>
    <w:rsid w:val="6731217D"/>
    <w:rsid w:val="67355397"/>
    <w:rsid w:val="674A818C"/>
    <w:rsid w:val="67559477"/>
    <w:rsid w:val="6757535A"/>
    <w:rsid w:val="67687963"/>
    <w:rsid w:val="6773B3A6"/>
    <w:rsid w:val="67805CF9"/>
    <w:rsid w:val="678EBF2E"/>
    <w:rsid w:val="67AA3B7E"/>
    <w:rsid w:val="67B56C59"/>
    <w:rsid w:val="67BC8F2E"/>
    <w:rsid w:val="67BCDEF0"/>
    <w:rsid w:val="67BD8670"/>
    <w:rsid w:val="67CC8FB3"/>
    <w:rsid w:val="67D7FE9A"/>
    <w:rsid w:val="67D83972"/>
    <w:rsid w:val="67D90926"/>
    <w:rsid w:val="67DCBC84"/>
    <w:rsid w:val="67DD7976"/>
    <w:rsid w:val="67E01089"/>
    <w:rsid w:val="67E0FC06"/>
    <w:rsid w:val="67E1D838"/>
    <w:rsid w:val="67E8AC8C"/>
    <w:rsid w:val="67E9A05B"/>
    <w:rsid w:val="67ED6232"/>
    <w:rsid w:val="67F23E31"/>
    <w:rsid w:val="67F61B2F"/>
    <w:rsid w:val="67F86437"/>
    <w:rsid w:val="680CCA40"/>
    <w:rsid w:val="680D2172"/>
    <w:rsid w:val="681254E4"/>
    <w:rsid w:val="6817AF73"/>
    <w:rsid w:val="681C2AA7"/>
    <w:rsid w:val="681FE2F4"/>
    <w:rsid w:val="682173A7"/>
    <w:rsid w:val="68262D91"/>
    <w:rsid w:val="6826CB58"/>
    <w:rsid w:val="683AA667"/>
    <w:rsid w:val="68444176"/>
    <w:rsid w:val="6846DAD0"/>
    <w:rsid w:val="684914CA"/>
    <w:rsid w:val="684A10C9"/>
    <w:rsid w:val="684BE8B2"/>
    <w:rsid w:val="684F5070"/>
    <w:rsid w:val="685870D8"/>
    <w:rsid w:val="6861C601"/>
    <w:rsid w:val="68703294"/>
    <w:rsid w:val="6870ED57"/>
    <w:rsid w:val="688534DC"/>
    <w:rsid w:val="688F7292"/>
    <w:rsid w:val="68949555"/>
    <w:rsid w:val="68972539"/>
    <w:rsid w:val="689DCFC8"/>
    <w:rsid w:val="68A3DDEA"/>
    <w:rsid w:val="68A8D972"/>
    <w:rsid w:val="68AEF03E"/>
    <w:rsid w:val="68B39ED3"/>
    <w:rsid w:val="68B55A19"/>
    <w:rsid w:val="68B89464"/>
    <w:rsid w:val="68BA68A0"/>
    <w:rsid w:val="68C2E15C"/>
    <w:rsid w:val="68D04AF8"/>
    <w:rsid w:val="68D1A86D"/>
    <w:rsid w:val="68DAF6B9"/>
    <w:rsid w:val="68DC8F81"/>
    <w:rsid w:val="68DFC317"/>
    <w:rsid w:val="68E42256"/>
    <w:rsid w:val="68E89787"/>
    <w:rsid w:val="68FD7E00"/>
    <w:rsid w:val="68FDAB2E"/>
    <w:rsid w:val="68FF5676"/>
    <w:rsid w:val="68FFDEAB"/>
    <w:rsid w:val="6918AFEE"/>
    <w:rsid w:val="6918D365"/>
    <w:rsid w:val="6918ED52"/>
    <w:rsid w:val="69198967"/>
    <w:rsid w:val="6935A372"/>
    <w:rsid w:val="693D0BA7"/>
    <w:rsid w:val="6941044F"/>
    <w:rsid w:val="69453B88"/>
    <w:rsid w:val="694C6D15"/>
    <w:rsid w:val="694C8381"/>
    <w:rsid w:val="69531B08"/>
    <w:rsid w:val="69573255"/>
    <w:rsid w:val="695EFF79"/>
    <w:rsid w:val="69602B35"/>
    <w:rsid w:val="69660F62"/>
    <w:rsid w:val="697006BF"/>
    <w:rsid w:val="6975EE5C"/>
    <w:rsid w:val="697E5597"/>
    <w:rsid w:val="69861431"/>
    <w:rsid w:val="69867438"/>
    <w:rsid w:val="698F8003"/>
    <w:rsid w:val="698FCC53"/>
    <w:rsid w:val="6996FD65"/>
    <w:rsid w:val="69999540"/>
    <w:rsid w:val="699D2044"/>
    <w:rsid w:val="69A118E6"/>
    <w:rsid w:val="69A1FBB5"/>
    <w:rsid w:val="69AC1054"/>
    <w:rsid w:val="69B87E1F"/>
    <w:rsid w:val="69C57AEE"/>
    <w:rsid w:val="69DA4C2D"/>
    <w:rsid w:val="69DA5D50"/>
    <w:rsid w:val="69EE3212"/>
    <w:rsid w:val="69F7BE4F"/>
    <w:rsid w:val="69FD5EE3"/>
    <w:rsid w:val="6A0072DE"/>
    <w:rsid w:val="6A02A742"/>
    <w:rsid w:val="6A0C5F4C"/>
    <w:rsid w:val="6A0EC8A9"/>
    <w:rsid w:val="6A19DC88"/>
    <w:rsid w:val="6A228AD8"/>
    <w:rsid w:val="6A231401"/>
    <w:rsid w:val="6A27288B"/>
    <w:rsid w:val="6A27FEBA"/>
    <w:rsid w:val="6A2AD2E4"/>
    <w:rsid w:val="6A2FCFF1"/>
    <w:rsid w:val="6A31EEDA"/>
    <w:rsid w:val="6A385F47"/>
    <w:rsid w:val="6A456777"/>
    <w:rsid w:val="6A4D5784"/>
    <w:rsid w:val="6A4DFDE7"/>
    <w:rsid w:val="6A5433E4"/>
    <w:rsid w:val="6A58E011"/>
    <w:rsid w:val="6A6AD661"/>
    <w:rsid w:val="6A6CA5D0"/>
    <w:rsid w:val="6A73EDE2"/>
    <w:rsid w:val="6A769E57"/>
    <w:rsid w:val="6A79189C"/>
    <w:rsid w:val="6A7CF20F"/>
    <w:rsid w:val="6A8DD778"/>
    <w:rsid w:val="6A93805C"/>
    <w:rsid w:val="6A995AD0"/>
    <w:rsid w:val="6A9D7EB2"/>
    <w:rsid w:val="6AA190B4"/>
    <w:rsid w:val="6AA33504"/>
    <w:rsid w:val="6AAA21F1"/>
    <w:rsid w:val="6AB5ACFD"/>
    <w:rsid w:val="6ABC40C4"/>
    <w:rsid w:val="6AC46E49"/>
    <w:rsid w:val="6AD142A4"/>
    <w:rsid w:val="6AD57B27"/>
    <w:rsid w:val="6ADD593B"/>
    <w:rsid w:val="6AEC44BF"/>
    <w:rsid w:val="6AFAEB60"/>
    <w:rsid w:val="6B01DC59"/>
    <w:rsid w:val="6B067D36"/>
    <w:rsid w:val="6B0CA453"/>
    <w:rsid w:val="6B21CA73"/>
    <w:rsid w:val="6B31CB40"/>
    <w:rsid w:val="6B3C6616"/>
    <w:rsid w:val="6B51A7D9"/>
    <w:rsid w:val="6B5326C2"/>
    <w:rsid w:val="6B5417E2"/>
    <w:rsid w:val="6B567A1B"/>
    <w:rsid w:val="6B5ABFBE"/>
    <w:rsid w:val="6B6A67C6"/>
    <w:rsid w:val="6B756FA7"/>
    <w:rsid w:val="6B79D834"/>
    <w:rsid w:val="6B8D8A8A"/>
    <w:rsid w:val="6B90CA83"/>
    <w:rsid w:val="6B9238C0"/>
    <w:rsid w:val="6B957642"/>
    <w:rsid w:val="6B95A2B3"/>
    <w:rsid w:val="6B98210C"/>
    <w:rsid w:val="6BA1FC54"/>
    <w:rsid w:val="6BB3B0B1"/>
    <w:rsid w:val="6BB41CE6"/>
    <w:rsid w:val="6BB559B0"/>
    <w:rsid w:val="6BBC521F"/>
    <w:rsid w:val="6BC74C65"/>
    <w:rsid w:val="6BCA646C"/>
    <w:rsid w:val="6BD0C47A"/>
    <w:rsid w:val="6BD3F32F"/>
    <w:rsid w:val="6BDF345E"/>
    <w:rsid w:val="6BE2258A"/>
    <w:rsid w:val="6BE4AC21"/>
    <w:rsid w:val="6BF2C20D"/>
    <w:rsid w:val="6BF71838"/>
    <w:rsid w:val="6BFE17DA"/>
    <w:rsid w:val="6C07EBBA"/>
    <w:rsid w:val="6C0F2C50"/>
    <w:rsid w:val="6C1EE35D"/>
    <w:rsid w:val="6C2761BE"/>
    <w:rsid w:val="6C39D041"/>
    <w:rsid w:val="6C50E061"/>
    <w:rsid w:val="6C5836E9"/>
    <w:rsid w:val="6C60299F"/>
    <w:rsid w:val="6C6083E9"/>
    <w:rsid w:val="6C7661D4"/>
    <w:rsid w:val="6C90048F"/>
    <w:rsid w:val="6C926CC4"/>
    <w:rsid w:val="6CA08F88"/>
    <w:rsid w:val="6CA79C21"/>
    <w:rsid w:val="6CAB12F6"/>
    <w:rsid w:val="6CADEB72"/>
    <w:rsid w:val="6CC1C42C"/>
    <w:rsid w:val="6CC25857"/>
    <w:rsid w:val="6CC2E841"/>
    <w:rsid w:val="6CCAF9B3"/>
    <w:rsid w:val="6CD30380"/>
    <w:rsid w:val="6CD67929"/>
    <w:rsid w:val="6CD6F67C"/>
    <w:rsid w:val="6CE881E4"/>
    <w:rsid w:val="6CEDBF0E"/>
    <w:rsid w:val="6CF8E95C"/>
    <w:rsid w:val="6CFB7739"/>
    <w:rsid w:val="6CFE37D2"/>
    <w:rsid w:val="6D072BB3"/>
    <w:rsid w:val="6D09801E"/>
    <w:rsid w:val="6D0E1640"/>
    <w:rsid w:val="6D124BC8"/>
    <w:rsid w:val="6D1B7A5D"/>
    <w:rsid w:val="6D283293"/>
    <w:rsid w:val="6D2B1CED"/>
    <w:rsid w:val="6D3E21AA"/>
    <w:rsid w:val="6D63CEDA"/>
    <w:rsid w:val="6D78455B"/>
    <w:rsid w:val="6D799CC9"/>
    <w:rsid w:val="6D7A7BB8"/>
    <w:rsid w:val="6D7C2E59"/>
    <w:rsid w:val="6D7FE5BC"/>
    <w:rsid w:val="6D979D5F"/>
    <w:rsid w:val="6D9AAA74"/>
    <w:rsid w:val="6D9E2BD3"/>
    <w:rsid w:val="6DA0B905"/>
    <w:rsid w:val="6DB7B36E"/>
    <w:rsid w:val="6DBD6AD5"/>
    <w:rsid w:val="6DC02651"/>
    <w:rsid w:val="6DCC8F4C"/>
    <w:rsid w:val="6DCE4A3F"/>
    <w:rsid w:val="6DD852D8"/>
    <w:rsid w:val="6DE6BFB5"/>
    <w:rsid w:val="6DED0A53"/>
    <w:rsid w:val="6DF06973"/>
    <w:rsid w:val="6DF11E19"/>
    <w:rsid w:val="6DF1E637"/>
    <w:rsid w:val="6DF965C4"/>
    <w:rsid w:val="6E1AF90E"/>
    <w:rsid w:val="6E1DB7F3"/>
    <w:rsid w:val="6E221D9D"/>
    <w:rsid w:val="6E28332D"/>
    <w:rsid w:val="6E38BE22"/>
    <w:rsid w:val="6E39FF30"/>
    <w:rsid w:val="6E3D1FE4"/>
    <w:rsid w:val="6E44089F"/>
    <w:rsid w:val="6E4423F3"/>
    <w:rsid w:val="6E45CA45"/>
    <w:rsid w:val="6E47926A"/>
    <w:rsid w:val="6E524D82"/>
    <w:rsid w:val="6E557C0C"/>
    <w:rsid w:val="6E6E2BC6"/>
    <w:rsid w:val="6E6FE36B"/>
    <w:rsid w:val="6E6FF5C4"/>
    <w:rsid w:val="6E746E85"/>
    <w:rsid w:val="6E773942"/>
    <w:rsid w:val="6E7DA56B"/>
    <w:rsid w:val="6E818175"/>
    <w:rsid w:val="6E823D42"/>
    <w:rsid w:val="6E885D20"/>
    <w:rsid w:val="6E99DD61"/>
    <w:rsid w:val="6EAE2D2C"/>
    <w:rsid w:val="6EAF620A"/>
    <w:rsid w:val="6EB03D7D"/>
    <w:rsid w:val="6EB1E462"/>
    <w:rsid w:val="6EB22BCB"/>
    <w:rsid w:val="6EBA29B1"/>
    <w:rsid w:val="6EBDB1D0"/>
    <w:rsid w:val="6EBE7A0E"/>
    <w:rsid w:val="6EC33B56"/>
    <w:rsid w:val="6EC733EF"/>
    <w:rsid w:val="6EC93E50"/>
    <w:rsid w:val="6ECCB49F"/>
    <w:rsid w:val="6ED1B9C6"/>
    <w:rsid w:val="6ED6B62F"/>
    <w:rsid w:val="6EE2294E"/>
    <w:rsid w:val="6EE606EC"/>
    <w:rsid w:val="6EEB8981"/>
    <w:rsid w:val="6F0DB91B"/>
    <w:rsid w:val="6F0F22B8"/>
    <w:rsid w:val="6F11B315"/>
    <w:rsid w:val="6F1A4F1E"/>
    <w:rsid w:val="6F1FA380"/>
    <w:rsid w:val="6F2137F5"/>
    <w:rsid w:val="6F2A6161"/>
    <w:rsid w:val="6F2B144C"/>
    <w:rsid w:val="6F2DE5CD"/>
    <w:rsid w:val="6F306837"/>
    <w:rsid w:val="6F392A7D"/>
    <w:rsid w:val="6F53626D"/>
    <w:rsid w:val="6F5CFF88"/>
    <w:rsid w:val="6F66419A"/>
    <w:rsid w:val="6F671631"/>
    <w:rsid w:val="6F685FAD"/>
    <w:rsid w:val="6F697B43"/>
    <w:rsid w:val="6F6D2D8B"/>
    <w:rsid w:val="6F743647"/>
    <w:rsid w:val="6F7A945D"/>
    <w:rsid w:val="6F8A6365"/>
    <w:rsid w:val="6F8DCB26"/>
    <w:rsid w:val="6F8FCB2F"/>
    <w:rsid w:val="6F91A23C"/>
    <w:rsid w:val="6F9295EB"/>
    <w:rsid w:val="6FA2047F"/>
    <w:rsid w:val="6FA49B55"/>
    <w:rsid w:val="6FA49FC9"/>
    <w:rsid w:val="6FA929FD"/>
    <w:rsid w:val="6FA9342F"/>
    <w:rsid w:val="6FAE3BDB"/>
    <w:rsid w:val="6FB01504"/>
    <w:rsid w:val="6FB8FE1B"/>
    <w:rsid w:val="6FC766AC"/>
    <w:rsid w:val="6FCAA263"/>
    <w:rsid w:val="6FD012BE"/>
    <w:rsid w:val="6FD18DA6"/>
    <w:rsid w:val="6FD9ED35"/>
    <w:rsid w:val="6FDD35CD"/>
    <w:rsid w:val="6FDFB014"/>
    <w:rsid w:val="6FE0D291"/>
    <w:rsid w:val="6FE3008B"/>
    <w:rsid w:val="6FE477A5"/>
    <w:rsid w:val="6FEBB6BC"/>
    <w:rsid w:val="6FF1DC54"/>
    <w:rsid w:val="6FF234A9"/>
    <w:rsid w:val="6FF84720"/>
    <w:rsid w:val="7000B4D7"/>
    <w:rsid w:val="700C6A91"/>
    <w:rsid w:val="700F94EC"/>
    <w:rsid w:val="7013894A"/>
    <w:rsid w:val="701A4864"/>
    <w:rsid w:val="701B379C"/>
    <w:rsid w:val="701CE866"/>
    <w:rsid w:val="7023C2A3"/>
    <w:rsid w:val="7023C964"/>
    <w:rsid w:val="702463D4"/>
    <w:rsid w:val="70261E98"/>
    <w:rsid w:val="703948A5"/>
    <w:rsid w:val="704217A6"/>
    <w:rsid w:val="70493E90"/>
    <w:rsid w:val="704D0A0B"/>
    <w:rsid w:val="705F649F"/>
    <w:rsid w:val="706036C6"/>
    <w:rsid w:val="7066F803"/>
    <w:rsid w:val="7068EB82"/>
    <w:rsid w:val="706C2E82"/>
    <w:rsid w:val="707A724A"/>
    <w:rsid w:val="7081D74D"/>
    <w:rsid w:val="708476AB"/>
    <w:rsid w:val="70A16216"/>
    <w:rsid w:val="70A4359D"/>
    <w:rsid w:val="70AA4A3C"/>
    <w:rsid w:val="70B21617"/>
    <w:rsid w:val="70B5A64C"/>
    <w:rsid w:val="70BD89FA"/>
    <w:rsid w:val="70BE826C"/>
    <w:rsid w:val="70C0A658"/>
    <w:rsid w:val="70C250ED"/>
    <w:rsid w:val="70C37175"/>
    <w:rsid w:val="70C4E889"/>
    <w:rsid w:val="70C6B2DF"/>
    <w:rsid w:val="70C76004"/>
    <w:rsid w:val="70CC1AAB"/>
    <w:rsid w:val="70CCE45E"/>
    <w:rsid w:val="70D58469"/>
    <w:rsid w:val="70DAAB47"/>
    <w:rsid w:val="70DB5CDD"/>
    <w:rsid w:val="70DBED68"/>
    <w:rsid w:val="70E0693F"/>
    <w:rsid w:val="70E53A38"/>
    <w:rsid w:val="70FEB37F"/>
    <w:rsid w:val="710B446A"/>
    <w:rsid w:val="71158BD6"/>
    <w:rsid w:val="711BD07A"/>
    <w:rsid w:val="7123FCAA"/>
    <w:rsid w:val="71241107"/>
    <w:rsid w:val="71289F0C"/>
    <w:rsid w:val="71334300"/>
    <w:rsid w:val="71338420"/>
    <w:rsid w:val="7134F058"/>
    <w:rsid w:val="71404759"/>
    <w:rsid w:val="71409374"/>
    <w:rsid w:val="7164E6F1"/>
    <w:rsid w:val="7170241C"/>
    <w:rsid w:val="71702B7E"/>
    <w:rsid w:val="7172F116"/>
    <w:rsid w:val="71753CD9"/>
    <w:rsid w:val="717CB5DD"/>
    <w:rsid w:val="717CBA86"/>
    <w:rsid w:val="717E4F32"/>
    <w:rsid w:val="71803AE8"/>
    <w:rsid w:val="71867169"/>
    <w:rsid w:val="718C93E6"/>
    <w:rsid w:val="719577C1"/>
    <w:rsid w:val="71971F62"/>
    <w:rsid w:val="71A16DD8"/>
    <w:rsid w:val="71A77614"/>
    <w:rsid w:val="71A86F17"/>
    <w:rsid w:val="71BAEB84"/>
    <w:rsid w:val="71BF0B07"/>
    <w:rsid w:val="71C482AE"/>
    <w:rsid w:val="71CB6858"/>
    <w:rsid w:val="71CC751D"/>
    <w:rsid w:val="71D3203B"/>
    <w:rsid w:val="71E284AA"/>
    <w:rsid w:val="71F86313"/>
    <w:rsid w:val="7209E937"/>
    <w:rsid w:val="72106BD7"/>
    <w:rsid w:val="7213FE7C"/>
    <w:rsid w:val="7218FE28"/>
    <w:rsid w:val="721B2613"/>
    <w:rsid w:val="721E7415"/>
    <w:rsid w:val="72304848"/>
    <w:rsid w:val="72387058"/>
    <w:rsid w:val="7240DFF5"/>
    <w:rsid w:val="7242E95E"/>
    <w:rsid w:val="7243102F"/>
    <w:rsid w:val="72459E9A"/>
    <w:rsid w:val="7245CAC2"/>
    <w:rsid w:val="724A637E"/>
    <w:rsid w:val="724F9F7C"/>
    <w:rsid w:val="7250F229"/>
    <w:rsid w:val="72580754"/>
    <w:rsid w:val="72615690"/>
    <w:rsid w:val="726D1CEB"/>
    <w:rsid w:val="7286D812"/>
    <w:rsid w:val="7293E640"/>
    <w:rsid w:val="729BB29E"/>
    <w:rsid w:val="72ADC377"/>
    <w:rsid w:val="72AEE569"/>
    <w:rsid w:val="72C55FDA"/>
    <w:rsid w:val="72C8AC16"/>
    <w:rsid w:val="72D22861"/>
    <w:rsid w:val="72D58570"/>
    <w:rsid w:val="72EA0C32"/>
    <w:rsid w:val="72F629D8"/>
    <w:rsid w:val="7300B752"/>
    <w:rsid w:val="7302A188"/>
    <w:rsid w:val="730F8ECD"/>
    <w:rsid w:val="731C9F86"/>
    <w:rsid w:val="733C5871"/>
    <w:rsid w:val="733D369C"/>
    <w:rsid w:val="73508519"/>
    <w:rsid w:val="73512038"/>
    <w:rsid w:val="73535CDB"/>
    <w:rsid w:val="7357A6CF"/>
    <w:rsid w:val="7367B1CC"/>
    <w:rsid w:val="7381ED0A"/>
    <w:rsid w:val="73858ECD"/>
    <w:rsid w:val="73A278D8"/>
    <w:rsid w:val="73A2E418"/>
    <w:rsid w:val="73A6B530"/>
    <w:rsid w:val="73A7BD7D"/>
    <w:rsid w:val="73ACCB60"/>
    <w:rsid w:val="73B21164"/>
    <w:rsid w:val="73BE90D6"/>
    <w:rsid w:val="73C8A58F"/>
    <w:rsid w:val="73D566DD"/>
    <w:rsid w:val="73DFD76D"/>
    <w:rsid w:val="73E663AC"/>
    <w:rsid w:val="73F76858"/>
    <w:rsid w:val="73FB162A"/>
    <w:rsid w:val="7403D766"/>
    <w:rsid w:val="740A6BC5"/>
    <w:rsid w:val="740D2056"/>
    <w:rsid w:val="740F8544"/>
    <w:rsid w:val="7411D01F"/>
    <w:rsid w:val="741F8BA1"/>
    <w:rsid w:val="7424A979"/>
    <w:rsid w:val="7424BD5A"/>
    <w:rsid w:val="742B5B54"/>
    <w:rsid w:val="74334220"/>
    <w:rsid w:val="74390DEA"/>
    <w:rsid w:val="74422878"/>
    <w:rsid w:val="744347BD"/>
    <w:rsid w:val="744977F2"/>
    <w:rsid w:val="7458F45D"/>
    <w:rsid w:val="74609537"/>
    <w:rsid w:val="7462C11D"/>
    <w:rsid w:val="746A5AB3"/>
    <w:rsid w:val="746AD4DB"/>
    <w:rsid w:val="746CA5D9"/>
    <w:rsid w:val="746E7635"/>
    <w:rsid w:val="7470D39D"/>
    <w:rsid w:val="7477FD8A"/>
    <w:rsid w:val="748B34D9"/>
    <w:rsid w:val="748E5551"/>
    <w:rsid w:val="74901C6B"/>
    <w:rsid w:val="749436D4"/>
    <w:rsid w:val="74975129"/>
    <w:rsid w:val="7497A740"/>
    <w:rsid w:val="749AD7CF"/>
    <w:rsid w:val="74A2722C"/>
    <w:rsid w:val="74B77442"/>
    <w:rsid w:val="74C776CC"/>
    <w:rsid w:val="74CBFFBB"/>
    <w:rsid w:val="74CE4C85"/>
    <w:rsid w:val="74DEB5E6"/>
    <w:rsid w:val="74E5CFC6"/>
    <w:rsid w:val="74FC468B"/>
    <w:rsid w:val="75041ECE"/>
    <w:rsid w:val="750A5D0A"/>
    <w:rsid w:val="750C3AC0"/>
    <w:rsid w:val="751EDBB3"/>
    <w:rsid w:val="7525F7CC"/>
    <w:rsid w:val="7528D0E3"/>
    <w:rsid w:val="753E64BD"/>
    <w:rsid w:val="753F455C"/>
    <w:rsid w:val="7544250B"/>
    <w:rsid w:val="75513066"/>
    <w:rsid w:val="7551A1C7"/>
    <w:rsid w:val="75583EC1"/>
    <w:rsid w:val="755FA9FF"/>
    <w:rsid w:val="7563050D"/>
    <w:rsid w:val="75679AB9"/>
    <w:rsid w:val="75686F5E"/>
    <w:rsid w:val="756A017B"/>
    <w:rsid w:val="756BC84B"/>
    <w:rsid w:val="756F5A68"/>
    <w:rsid w:val="7573FDE4"/>
    <w:rsid w:val="75812E28"/>
    <w:rsid w:val="758A3602"/>
    <w:rsid w:val="75A09895"/>
    <w:rsid w:val="75AC229D"/>
    <w:rsid w:val="75B750AA"/>
    <w:rsid w:val="75C1A1D0"/>
    <w:rsid w:val="75CE5239"/>
    <w:rsid w:val="75E7BAD1"/>
    <w:rsid w:val="75FBC73F"/>
    <w:rsid w:val="75FFD6BF"/>
    <w:rsid w:val="760072E7"/>
    <w:rsid w:val="760F8FE2"/>
    <w:rsid w:val="76100A1D"/>
    <w:rsid w:val="761AEF4E"/>
    <w:rsid w:val="761F8CF0"/>
    <w:rsid w:val="7620CF3A"/>
    <w:rsid w:val="762724FA"/>
    <w:rsid w:val="762BF88C"/>
    <w:rsid w:val="762E06FB"/>
    <w:rsid w:val="7630EAF6"/>
    <w:rsid w:val="7637F67F"/>
    <w:rsid w:val="763A1B12"/>
    <w:rsid w:val="765526FE"/>
    <w:rsid w:val="7655DEAF"/>
    <w:rsid w:val="768006BB"/>
    <w:rsid w:val="768845EC"/>
    <w:rsid w:val="7690C1D4"/>
    <w:rsid w:val="769951A4"/>
    <w:rsid w:val="769C4806"/>
    <w:rsid w:val="769F7D20"/>
    <w:rsid w:val="76A5FB3D"/>
    <w:rsid w:val="76B7E8AB"/>
    <w:rsid w:val="76BB04CC"/>
    <w:rsid w:val="76BD838D"/>
    <w:rsid w:val="76C1E016"/>
    <w:rsid w:val="76C60B53"/>
    <w:rsid w:val="76D841C3"/>
    <w:rsid w:val="76DAA1C0"/>
    <w:rsid w:val="76E6817B"/>
    <w:rsid w:val="76E6B7A7"/>
    <w:rsid w:val="76E8B286"/>
    <w:rsid w:val="76EBD26D"/>
    <w:rsid w:val="76FAA3C0"/>
    <w:rsid w:val="76FD2020"/>
    <w:rsid w:val="76FD7B19"/>
    <w:rsid w:val="770907D6"/>
    <w:rsid w:val="770E6227"/>
    <w:rsid w:val="7722819F"/>
    <w:rsid w:val="77273479"/>
    <w:rsid w:val="773E3B65"/>
    <w:rsid w:val="773E713A"/>
    <w:rsid w:val="773FD29B"/>
    <w:rsid w:val="77446188"/>
    <w:rsid w:val="7746697D"/>
    <w:rsid w:val="77548E77"/>
    <w:rsid w:val="77556E36"/>
    <w:rsid w:val="77700455"/>
    <w:rsid w:val="7771CBDC"/>
    <w:rsid w:val="7782ED28"/>
    <w:rsid w:val="778F372B"/>
    <w:rsid w:val="77901B59"/>
    <w:rsid w:val="77A3F8CA"/>
    <w:rsid w:val="77ADE986"/>
    <w:rsid w:val="77D742F7"/>
    <w:rsid w:val="77DA925A"/>
    <w:rsid w:val="77E11C58"/>
    <w:rsid w:val="77E5F41F"/>
    <w:rsid w:val="77ED18D8"/>
    <w:rsid w:val="77ED3889"/>
    <w:rsid w:val="77F44AE3"/>
    <w:rsid w:val="77F9C3BF"/>
    <w:rsid w:val="77FAD766"/>
    <w:rsid w:val="7800DFCE"/>
    <w:rsid w:val="7803C09E"/>
    <w:rsid w:val="780B7D14"/>
    <w:rsid w:val="780ECAD1"/>
    <w:rsid w:val="781AD1E6"/>
    <w:rsid w:val="78212DF3"/>
    <w:rsid w:val="78243DDF"/>
    <w:rsid w:val="782B3E3E"/>
    <w:rsid w:val="782DB652"/>
    <w:rsid w:val="783D1BF3"/>
    <w:rsid w:val="78424E7F"/>
    <w:rsid w:val="78457C7A"/>
    <w:rsid w:val="7848B12E"/>
    <w:rsid w:val="78505BD3"/>
    <w:rsid w:val="785A80CC"/>
    <w:rsid w:val="785EAE98"/>
    <w:rsid w:val="786251A3"/>
    <w:rsid w:val="7869496C"/>
    <w:rsid w:val="787007D3"/>
    <w:rsid w:val="78729337"/>
    <w:rsid w:val="7873F2E0"/>
    <w:rsid w:val="78806F18"/>
    <w:rsid w:val="78AF93A5"/>
    <w:rsid w:val="78B72462"/>
    <w:rsid w:val="78C9CC11"/>
    <w:rsid w:val="78DA0F0F"/>
    <w:rsid w:val="78DD421E"/>
    <w:rsid w:val="7900BE33"/>
    <w:rsid w:val="7901EB98"/>
    <w:rsid w:val="7902E1BA"/>
    <w:rsid w:val="79088753"/>
    <w:rsid w:val="790B7790"/>
    <w:rsid w:val="790D30C2"/>
    <w:rsid w:val="790D8D6D"/>
    <w:rsid w:val="79167669"/>
    <w:rsid w:val="791A06F2"/>
    <w:rsid w:val="7920F91A"/>
    <w:rsid w:val="79274F5D"/>
    <w:rsid w:val="7928109B"/>
    <w:rsid w:val="792A8431"/>
    <w:rsid w:val="792D24B7"/>
    <w:rsid w:val="7930DEE6"/>
    <w:rsid w:val="79576AA8"/>
    <w:rsid w:val="795A34E2"/>
    <w:rsid w:val="795E89CC"/>
    <w:rsid w:val="795EA5FC"/>
    <w:rsid w:val="7969DE73"/>
    <w:rsid w:val="796B9D9A"/>
    <w:rsid w:val="79797E80"/>
    <w:rsid w:val="7980C865"/>
    <w:rsid w:val="798A8533"/>
    <w:rsid w:val="798A90B4"/>
    <w:rsid w:val="79958DE8"/>
    <w:rsid w:val="7995E5AA"/>
    <w:rsid w:val="79A04D80"/>
    <w:rsid w:val="79A3AA47"/>
    <w:rsid w:val="79A85439"/>
    <w:rsid w:val="79AD90DA"/>
    <w:rsid w:val="79AEBE89"/>
    <w:rsid w:val="79D9E5CA"/>
    <w:rsid w:val="79E29FFD"/>
    <w:rsid w:val="79E9CDA8"/>
    <w:rsid w:val="79F77A66"/>
    <w:rsid w:val="79F7E60D"/>
    <w:rsid w:val="79F8E1B9"/>
    <w:rsid w:val="7A078891"/>
    <w:rsid w:val="7A0AACF7"/>
    <w:rsid w:val="7A0AC941"/>
    <w:rsid w:val="7A0F3AC0"/>
    <w:rsid w:val="7A1D9897"/>
    <w:rsid w:val="7A22B95A"/>
    <w:rsid w:val="7A23B62A"/>
    <w:rsid w:val="7A2509F0"/>
    <w:rsid w:val="7A2D1860"/>
    <w:rsid w:val="7A343269"/>
    <w:rsid w:val="7A3F8175"/>
    <w:rsid w:val="7A40B183"/>
    <w:rsid w:val="7A458F14"/>
    <w:rsid w:val="7A47F0B5"/>
    <w:rsid w:val="7A51096B"/>
    <w:rsid w:val="7A58323D"/>
    <w:rsid w:val="7A5BC591"/>
    <w:rsid w:val="7A60BAAB"/>
    <w:rsid w:val="7A69D26E"/>
    <w:rsid w:val="7A6C8D25"/>
    <w:rsid w:val="7A75DC27"/>
    <w:rsid w:val="7A7CE88C"/>
    <w:rsid w:val="7A7DF308"/>
    <w:rsid w:val="7A924978"/>
    <w:rsid w:val="7A976C87"/>
    <w:rsid w:val="7A9D7DB1"/>
    <w:rsid w:val="7A9F5D47"/>
    <w:rsid w:val="7AA21E8A"/>
    <w:rsid w:val="7AA76DF6"/>
    <w:rsid w:val="7AB1C90A"/>
    <w:rsid w:val="7AB659F0"/>
    <w:rsid w:val="7AC2F318"/>
    <w:rsid w:val="7AD2F111"/>
    <w:rsid w:val="7AD359C4"/>
    <w:rsid w:val="7ADB314C"/>
    <w:rsid w:val="7ADD52B0"/>
    <w:rsid w:val="7ADD768D"/>
    <w:rsid w:val="7ADDA5ED"/>
    <w:rsid w:val="7AE5E689"/>
    <w:rsid w:val="7AEC1264"/>
    <w:rsid w:val="7AF6FA8C"/>
    <w:rsid w:val="7AF96092"/>
    <w:rsid w:val="7AF9B297"/>
    <w:rsid w:val="7AFD7AF3"/>
    <w:rsid w:val="7B03B5D0"/>
    <w:rsid w:val="7B067CD4"/>
    <w:rsid w:val="7B10231F"/>
    <w:rsid w:val="7B1DF2B1"/>
    <w:rsid w:val="7B289821"/>
    <w:rsid w:val="7B30059E"/>
    <w:rsid w:val="7B34A13E"/>
    <w:rsid w:val="7B3C810B"/>
    <w:rsid w:val="7B41E4EB"/>
    <w:rsid w:val="7B452932"/>
    <w:rsid w:val="7B49D7B3"/>
    <w:rsid w:val="7B53DA0B"/>
    <w:rsid w:val="7B57FE34"/>
    <w:rsid w:val="7B5891A6"/>
    <w:rsid w:val="7B63BE54"/>
    <w:rsid w:val="7B68EFE5"/>
    <w:rsid w:val="7B76159B"/>
    <w:rsid w:val="7B77B904"/>
    <w:rsid w:val="7B828FC4"/>
    <w:rsid w:val="7B938BCF"/>
    <w:rsid w:val="7B96F14C"/>
    <w:rsid w:val="7BA2243C"/>
    <w:rsid w:val="7BADD5BB"/>
    <w:rsid w:val="7BAF0273"/>
    <w:rsid w:val="7BB98F28"/>
    <w:rsid w:val="7BBE303A"/>
    <w:rsid w:val="7BBEB4FD"/>
    <w:rsid w:val="7BC161B8"/>
    <w:rsid w:val="7BC9E12B"/>
    <w:rsid w:val="7BCE377E"/>
    <w:rsid w:val="7BCF6979"/>
    <w:rsid w:val="7BD6445B"/>
    <w:rsid w:val="7BD65388"/>
    <w:rsid w:val="7BE470CB"/>
    <w:rsid w:val="7BE8584E"/>
    <w:rsid w:val="7BECC0CD"/>
    <w:rsid w:val="7BEF1079"/>
    <w:rsid w:val="7BF5DF88"/>
    <w:rsid w:val="7BF75A7D"/>
    <w:rsid w:val="7BFA229F"/>
    <w:rsid w:val="7C1780D7"/>
    <w:rsid w:val="7C19F80E"/>
    <w:rsid w:val="7C3FDFB9"/>
    <w:rsid w:val="7C435F73"/>
    <w:rsid w:val="7C4379D5"/>
    <w:rsid w:val="7C497573"/>
    <w:rsid w:val="7C52321B"/>
    <w:rsid w:val="7C572588"/>
    <w:rsid w:val="7C575968"/>
    <w:rsid w:val="7C606442"/>
    <w:rsid w:val="7C63E545"/>
    <w:rsid w:val="7C65EC05"/>
    <w:rsid w:val="7C683C71"/>
    <w:rsid w:val="7C81FCC5"/>
    <w:rsid w:val="7C858996"/>
    <w:rsid w:val="7C886EAC"/>
    <w:rsid w:val="7C90F659"/>
    <w:rsid w:val="7C93BC0A"/>
    <w:rsid w:val="7CA6F402"/>
    <w:rsid w:val="7CAB570C"/>
    <w:rsid w:val="7CAE1216"/>
    <w:rsid w:val="7CAE93A9"/>
    <w:rsid w:val="7CB22E5C"/>
    <w:rsid w:val="7CB48D7B"/>
    <w:rsid w:val="7CBA661A"/>
    <w:rsid w:val="7CC48CEF"/>
    <w:rsid w:val="7CCF035E"/>
    <w:rsid w:val="7CCFB447"/>
    <w:rsid w:val="7CD87CFE"/>
    <w:rsid w:val="7CDE4BA2"/>
    <w:rsid w:val="7CE05092"/>
    <w:rsid w:val="7CED69B8"/>
    <w:rsid w:val="7CF2AD64"/>
    <w:rsid w:val="7CF60BC3"/>
    <w:rsid w:val="7CF8D96E"/>
    <w:rsid w:val="7CFA846C"/>
    <w:rsid w:val="7CFBFBE6"/>
    <w:rsid w:val="7CFC9B35"/>
    <w:rsid w:val="7D0019BB"/>
    <w:rsid w:val="7D0145AB"/>
    <w:rsid w:val="7D05A49E"/>
    <w:rsid w:val="7D090528"/>
    <w:rsid w:val="7D0E4DD0"/>
    <w:rsid w:val="7D175C42"/>
    <w:rsid w:val="7D2D358B"/>
    <w:rsid w:val="7D2EBA69"/>
    <w:rsid w:val="7D3990BC"/>
    <w:rsid w:val="7D3BD2A4"/>
    <w:rsid w:val="7D411B40"/>
    <w:rsid w:val="7D49D91A"/>
    <w:rsid w:val="7D58696A"/>
    <w:rsid w:val="7D59A86D"/>
    <w:rsid w:val="7D63FC9F"/>
    <w:rsid w:val="7D68BF9B"/>
    <w:rsid w:val="7D728F6B"/>
    <w:rsid w:val="7D780A91"/>
    <w:rsid w:val="7D875C05"/>
    <w:rsid w:val="7D8B3D47"/>
    <w:rsid w:val="7D8D777C"/>
    <w:rsid w:val="7D919E55"/>
    <w:rsid w:val="7D934AFB"/>
    <w:rsid w:val="7D9D0FC5"/>
    <w:rsid w:val="7D9D64CA"/>
    <w:rsid w:val="7DA34F24"/>
    <w:rsid w:val="7DA51F85"/>
    <w:rsid w:val="7DA83AF3"/>
    <w:rsid w:val="7DA96FA2"/>
    <w:rsid w:val="7DAA2C38"/>
    <w:rsid w:val="7DCB2B5F"/>
    <w:rsid w:val="7DD6D7DA"/>
    <w:rsid w:val="7DDBB825"/>
    <w:rsid w:val="7DE34959"/>
    <w:rsid w:val="7DE9BA33"/>
    <w:rsid w:val="7DEBC4F2"/>
    <w:rsid w:val="7DEEF632"/>
    <w:rsid w:val="7DF05337"/>
    <w:rsid w:val="7DF5C831"/>
    <w:rsid w:val="7E030A28"/>
    <w:rsid w:val="7E2BAE4E"/>
    <w:rsid w:val="7E3BECB5"/>
    <w:rsid w:val="7E420DD6"/>
    <w:rsid w:val="7E450219"/>
    <w:rsid w:val="7E4E0213"/>
    <w:rsid w:val="7E534C5B"/>
    <w:rsid w:val="7E56BF23"/>
    <w:rsid w:val="7E5827D3"/>
    <w:rsid w:val="7E629981"/>
    <w:rsid w:val="7E65EE2D"/>
    <w:rsid w:val="7E6E6C37"/>
    <w:rsid w:val="7E7A9576"/>
    <w:rsid w:val="7E7B4D9B"/>
    <w:rsid w:val="7E7E29AF"/>
    <w:rsid w:val="7E80D3DB"/>
    <w:rsid w:val="7E8BB294"/>
    <w:rsid w:val="7E928135"/>
    <w:rsid w:val="7E93179C"/>
    <w:rsid w:val="7E948F16"/>
    <w:rsid w:val="7E95694C"/>
    <w:rsid w:val="7E9D2B95"/>
    <w:rsid w:val="7EA411B2"/>
    <w:rsid w:val="7EA6A78C"/>
    <w:rsid w:val="7EB17D02"/>
    <w:rsid w:val="7EC44601"/>
    <w:rsid w:val="7EC877C1"/>
    <w:rsid w:val="7EC92E1A"/>
    <w:rsid w:val="7ECCABC9"/>
    <w:rsid w:val="7EDB15F7"/>
    <w:rsid w:val="7EE21CF1"/>
    <w:rsid w:val="7EE2BB49"/>
    <w:rsid w:val="7EE7026C"/>
    <w:rsid w:val="7EE70AB1"/>
    <w:rsid w:val="7EEDE9E0"/>
    <w:rsid w:val="7EEF366B"/>
    <w:rsid w:val="7EF4394D"/>
    <w:rsid w:val="7F065269"/>
    <w:rsid w:val="7F0DDA70"/>
    <w:rsid w:val="7F13AC7B"/>
    <w:rsid w:val="7F14A3E1"/>
    <w:rsid w:val="7F226422"/>
    <w:rsid w:val="7F243D36"/>
    <w:rsid w:val="7F25D4E9"/>
    <w:rsid w:val="7F293713"/>
    <w:rsid w:val="7F349AD9"/>
    <w:rsid w:val="7F3BB862"/>
    <w:rsid w:val="7F3C5851"/>
    <w:rsid w:val="7F45EE77"/>
    <w:rsid w:val="7F49DA34"/>
    <w:rsid w:val="7F59A3B8"/>
    <w:rsid w:val="7F5AFD6B"/>
    <w:rsid w:val="7F647EA0"/>
    <w:rsid w:val="7F6D1E35"/>
    <w:rsid w:val="7F6ECEFE"/>
    <w:rsid w:val="7F7601A8"/>
    <w:rsid w:val="7F7917C1"/>
    <w:rsid w:val="7F83542D"/>
    <w:rsid w:val="7F875A41"/>
    <w:rsid w:val="7F8812C6"/>
    <w:rsid w:val="7F88E6E7"/>
    <w:rsid w:val="7F8E6A7B"/>
    <w:rsid w:val="7F9E961F"/>
    <w:rsid w:val="7F9F03C3"/>
    <w:rsid w:val="7FAE35B4"/>
    <w:rsid w:val="7FAF8A3E"/>
    <w:rsid w:val="7FB1827F"/>
    <w:rsid w:val="7FB524F3"/>
    <w:rsid w:val="7FCF4F48"/>
    <w:rsid w:val="7FD18833"/>
    <w:rsid w:val="7FD1C6BF"/>
    <w:rsid w:val="7FEA07C2"/>
    <w:rsid w:val="7FEEBA21"/>
    <w:rsid w:val="7FFAE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71C44"/>
  <w15:chartTrackingRefBased/>
  <w15:docId w15:val="{64AC275E-23AB-4BB7-B2E4-F15D31F8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845"/>
    <w:pPr>
      <w:spacing w:before="120" w:after="240" w:line="254" w:lineRule="auto"/>
    </w:pPr>
    <w:rPr>
      <w:rFonts w:ascii="Arial" w:hAnsi="Arial"/>
      <w:sz w:val="22"/>
    </w:rPr>
  </w:style>
  <w:style w:type="paragraph" w:styleId="Heading1">
    <w:name w:val="heading 1"/>
    <w:basedOn w:val="Normal"/>
    <w:next w:val="Normal"/>
    <w:link w:val="Heading1Char"/>
    <w:qFormat/>
    <w:rsid w:val="003A0F7A"/>
    <w:pPr>
      <w:keepNext/>
      <w:keepLines/>
      <w:spacing w:after="120"/>
      <w:outlineLvl w:val="0"/>
    </w:pPr>
    <w:rPr>
      <w:rFonts w:eastAsiaTheme="majorEastAsia" w:cstheme="majorBidi"/>
      <w:b/>
      <w:color w:val="182E50" w:themeColor="accent3" w:themeShade="40"/>
      <w:sz w:val="36"/>
      <w:szCs w:val="32"/>
    </w:rPr>
  </w:style>
  <w:style w:type="paragraph" w:styleId="Heading2">
    <w:name w:val="heading 2"/>
    <w:basedOn w:val="Normal"/>
    <w:next w:val="Normal"/>
    <w:link w:val="Heading2Char"/>
    <w:uiPriority w:val="9"/>
    <w:unhideWhenUsed/>
    <w:qFormat/>
    <w:rsid w:val="003A0F7A"/>
    <w:pPr>
      <w:keepNext/>
      <w:keepLines/>
      <w:spacing w:before="360"/>
      <w:outlineLvl w:val="1"/>
    </w:pPr>
    <w:rPr>
      <w:rFonts w:eastAsiaTheme="majorEastAsia" w:cstheme="majorBidi"/>
      <w:b/>
      <w:color w:val="305DA1" w:themeColor="accent3" w:themeShade="80"/>
      <w:sz w:val="28"/>
      <w:szCs w:val="26"/>
    </w:rPr>
  </w:style>
  <w:style w:type="paragraph" w:styleId="Heading3">
    <w:name w:val="heading 3"/>
    <w:basedOn w:val="Normal"/>
    <w:next w:val="Normal"/>
    <w:link w:val="Heading3Char"/>
    <w:uiPriority w:val="9"/>
    <w:unhideWhenUsed/>
    <w:qFormat/>
    <w:rsid w:val="00C769D1"/>
    <w:pPr>
      <w:keepNext/>
      <w:keepLines/>
      <w:spacing w:before="240" w:after="120"/>
      <w:outlineLvl w:val="2"/>
    </w:pPr>
    <w:rPr>
      <w:rFonts w:eastAsiaTheme="majorEastAsia" w:cstheme="majorBidi"/>
      <w:b/>
      <w:color w:val="6791D2" w:themeColor="accent3" w:themeShade="BF"/>
      <w:sz w:val="24"/>
    </w:rPr>
  </w:style>
  <w:style w:type="paragraph" w:styleId="Heading4">
    <w:name w:val="heading 4"/>
    <w:basedOn w:val="Normal"/>
    <w:next w:val="Normal"/>
    <w:link w:val="Heading4Char"/>
    <w:uiPriority w:val="9"/>
    <w:unhideWhenUsed/>
    <w:qFormat/>
    <w:rsid w:val="005B4851"/>
    <w:pPr>
      <w:keepNext/>
      <w:keepLines/>
      <w:spacing w:before="40" w:after="0"/>
      <w:outlineLvl w:val="3"/>
    </w:pPr>
    <w:rPr>
      <w:rFonts w:eastAsiaTheme="majorEastAsia" w:cstheme="majorBidi"/>
      <w:b/>
      <w:i/>
      <w:iCs/>
      <w:color w:val="5C88DA" w:themeColor="accen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081CC5"/>
    <w:pPr>
      <w:keepLines/>
      <w:numPr>
        <w:numId w:val="3"/>
      </w:numPr>
      <w:spacing w:before="40" w:after="80"/>
    </w:pPr>
    <w:rPr>
      <w:rFonts w:cs="Arial"/>
      <w:szCs w:val="20"/>
    </w:rPr>
  </w:style>
  <w:style w:type="paragraph" w:styleId="Revision">
    <w:name w:val="Revision"/>
    <w:hidden/>
    <w:uiPriority w:val="99"/>
    <w:semiHidden/>
    <w:rsid w:val="001C24A4"/>
    <w:pPr>
      <w:spacing w:after="0" w:line="240" w:lineRule="auto"/>
    </w:pPr>
  </w:style>
  <w:style w:type="table" w:styleId="TableGrid">
    <w:name w:val="Table Grid"/>
    <w:basedOn w:val="TableNormal"/>
    <w:uiPriority w:val="39"/>
    <w:rsid w:val="001F3486"/>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3486"/>
    <w:rPr>
      <w:color w:val="004672" w:themeColor="text2" w:themeTint="E6"/>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1CC5"/>
    <w:rPr>
      <w:rFonts w:ascii="Arial" w:hAnsi="Arial" w:cs="Arial"/>
      <w:sz w:val="22"/>
      <w:szCs w:val="20"/>
    </w:rPr>
  </w:style>
  <w:style w:type="character" w:styleId="CommentReference">
    <w:name w:val="annotation reference"/>
    <w:basedOn w:val="DefaultParagraphFont"/>
    <w:uiPriority w:val="99"/>
    <w:semiHidden/>
    <w:unhideWhenUsed/>
    <w:rsid w:val="009072C7"/>
    <w:rPr>
      <w:sz w:val="16"/>
      <w:szCs w:val="16"/>
    </w:rPr>
  </w:style>
  <w:style w:type="paragraph" w:styleId="CommentText">
    <w:name w:val="annotation text"/>
    <w:basedOn w:val="Normal"/>
    <w:link w:val="CommentTextChar"/>
    <w:uiPriority w:val="99"/>
    <w:unhideWhenUsed/>
    <w:rsid w:val="009072C7"/>
    <w:pPr>
      <w:spacing w:line="240" w:lineRule="auto"/>
    </w:pPr>
    <w:rPr>
      <w:szCs w:val="20"/>
    </w:rPr>
  </w:style>
  <w:style w:type="character" w:customStyle="1" w:styleId="CommentTextChar">
    <w:name w:val="Comment Text Char"/>
    <w:basedOn w:val="DefaultParagraphFont"/>
    <w:link w:val="CommentText"/>
    <w:uiPriority w:val="99"/>
    <w:rsid w:val="009072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072C7"/>
    <w:rPr>
      <w:b/>
      <w:bCs/>
    </w:rPr>
  </w:style>
  <w:style w:type="character" w:customStyle="1" w:styleId="CommentSubjectChar">
    <w:name w:val="Comment Subject Char"/>
    <w:basedOn w:val="CommentTextChar"/>
    <w:link w:val="CommentSubject"/>
    <w:uiPriority w:val="99"/>
    <w:semiHidden/>
    <w:rsid w:val="009072C7"/>
    <w:rPr>
      <w:rFonts w:ascii="Arial" w:hAnsi="Arial"/>
      <w:b/>
      <w:bCs/>
      <w:sz w:val="20"/>
      <w:szCs w:val="20"/>
    </w:rPr>
  </w:style>
  <w:style w:type="paragraph" w:styleId="NoSpacing">
    <w:name w:val="No Spacing"/>
    <w:uiPriority w:val="1"/>
    <w:rsid w:val="00861639"/>
    <w:pPr>
      <w:spacing w:after="0" w:line="240" w:lineRule="auto"/>
    </w:pPr>
  </w:style>
  <w:style w:type="character" w:styleId="BookTitle">
    <w:name w:val="Book Title"/>
    <w:basedOn w:val="DefaultParagraphFont"/>
    <w:uiPriority w:val="33"/>
    <w:qFormat/>
    <w:rsid w:val="00054EB8"/>
    <w:rPr>
      <w:b/>
      <w:bCs/>
      <w:i/>
      <w:iCs/>
      <w:spacing w:val="5"/>
    </w:rPr>
  </w:style>
  <w:style w:type="paragraph" w:customStyle="1" w:styleId="Copyright">
    <w:name w:val="Copyright"/>
    <w:basedOn w:val="Normal"/>
    <w:qFormat/>
    <w:rsid w:val="00653E0C"/>
    <w:pPr>
      <w:spacing w:before="0"/>
      <w:textAlignment w:val="baseline"/>
    </w:pPr>
    <w:rPr>
      <w:rFonts w:cs="Segoe UI"/>
      <w:sz w:val="17"/>
      <w:szCs w:val="21"/>
    </w:rPr>
  </w:style>
  <w:style w:type="paragraph" w:styleId="Caption">
    <w:name w:val="caption"/>
    <w:basedOn w:val="Normal"/>
    <w:next w:val="Normal"/>
    <w:uiPriority w:val="35"/>
    <w:unhideWhenUsed/>
    <w:qFormat/>
    <w:rsid w:val="00081CC5"/>
    <w:pPr>
      <w:spacing w:before="240" w:after="200" w:line="240" w:lineRule="auto"/>
    </w:pPr>
    <w:rPr>
      <w:b/>
      <w:i/>
      <w:iCs/>
      <w:color w:val="002C47" w:themeColor="text2"/>
      <w:szCs w:val="18"/>
    </w:rPr>
  </w:style>
  <w:style w:type="paragraph" w:styleId="Header">
    <w:name w:val="header"/>
    <w:basedOn w:val="Normal"/>
    <w:link w:val="HeaderChar"/>
    <w:uiPriority w:val="99"/>
    <w:unhideWhenUsed/>
    <w:rsid w:val="00FD5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C31"/>
  </w:style>
  <w:style w:type="paragraph" w:styleId="Footer">
    <w:name w:val="footer"/>
    <w:basedOn w:val="Normal"/>
    <w:link w:val="FooterChar"/>
    <w:uiPriority w:val="99"/>
    <w:unhideWhenUsed/>
    <w:rsid w:val="00FD5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C31"/>
  </w:style>
  <w:style w:type="character" w:styleId="Mention">
    <w:name w:val="Mention"/>
    <w:basedOn w:val="DefaultParagraphFont"/>
    <w:uiPriority w:val="99"/>
    <w:unhideWhenUsed/>
    <w:rsid w:val="00320799"/>
    <w:rPr>
      <w:color w:val="2B579A"/>
      <w:shd w:val="clear" w:color="auto" w:fill="E6E6E6"/>
    </w:rPr>
  </w:style>
  <w:style w:type="paragraph" w:styleId="FootnoteText">
    <w:name w:val="footnote text"/>
    <w:basedOn w:val="Normal"/>
    <w:link w:val="FootnoteTextChar"/>
    <w:uiPriority w:val="99"/>
    <w:unhideWhenUsed/>
    <w:rsid w:val="00993483"/>
    <w:pPr>
      <w:spacing w:after="0" w:line="240" w:lineRule="auto"/>
    </w:pPr>
    <w:rPr>
      <w:rFonts w:ascii="Segoe UI Semilight" w:eastAsia="Cambria" w:hAnsi="Segoe UI Semilight"/>
      <w:szCs w:val="20"/>
    </w:rPr>
  </w:style>
  <w:style w:type="character" w:customStyle="1" w:styleId="FootnoteTextChar">
    <w:name w:val="Footnote Text Char"/>
    <w:basedOn w:val="DefaultParagraphFont"/>
    <w:link w:val="FootnoteText"/>
    <w:uiPriority w:val="99"/>
    <w:rsid w:val="00993483"/>
    <w:rPr>
      <w:rFonts w:ascii="Segoe UI Semilight" w:eastAsia="Cambria" w:hAnsi="Segoe UI Semilight"/>
      <w:sz w:val="20"/>
      <w:szCs w:val="20"/>
    </w:rPr>
  </w:style>
  <w:style w:type="character" w:styleId="FootnoteReference">
    <w:name w:val="footnote reference"/>
    <w:basedOn w:val="DefaultParagraphFont"/>
    <w:uiPriority w:val="99"/>
    <w:unhideWhenUsed/>
    <w:rsid w:val="00993483"/>
    <w:rPr>
      <w:vertAlign w:val="superscript"/>
    </w:rPr>
  </w:style>
  <w:style w:type="paragraph" w:styleId="NormalWeb">
    <w:name w:val="Normal (Web)"/>
    <w:basedOn w:val="Normal"/>
    <w:uiPriority w:val="99"/>
    <w:unhideWhenUsed/>
    <w:rsid w:val="00B1424F"/>
    <w:pPr>
      <w:spacing w:before="100" w:beforeAutospacing="1" w:after="100" w:afterAutospacing="1" w:line="240" w:lineRule="auto"/>
    </w:pPr>
    <w:rPr>
      <w:rFonts w:eastAsia="Times New Roman"/>
      <w:lang w:eastAsia="en-AU"/>
    </w:rPr>
  </w:style>
  <w:style w:type="table" w:customStyle="1" w:styleId="TableTGAblue">
    <w:name w:val="Table TGA blue"/>
    <w:basedOn w:val="TableNormal"/>
    <w:uiPriority w:val="99"/>
    <w:qFormat/>
    <w:rsid w:val="008D17CE"/>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1">
    <w:name w:val="Table Grid1"/>
    <w:basedOn w:val="TableNormal"/>
    <w:next w:val="TableGrid"/>
    <w:uiPriority w:val="39"/>
    <w:rsid w:val="0090715B"/>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umbered">
    <w:name w:val="Heading 2 - numbered"/>
    <w:basedOn w:val="Heading1"/>
    <w:uiPriority w:val="1"/>
    <w:qFormat/>
    <w:rsid w:val="0090715B"/>
    <w:pPr>
      <w:spacing w:line="240" w:lineRule="auto"/>
    </w:pPr>
    <w:rPr>
      <w:rFonts w:ascii="Segoe UI Semilight" w:hAnsi="Segoe UI Semilight"/>
      <w:b w:val="0"/>
      <w:lang w:eastAsia="en-AU"/>
    </w:rPr>
  </w:style>
  <w:style w:type="paragraph" w:customStyle="1" w:styleId="Heading3-numbered">
    <w:name w:val="Heading 3 - numbered"/>
    <w:basedOn w:val="Normal"/>
    <w:uiPriority w:val="1"/>
    <w:qFormat/>
    <w:rsid w:val="0090715B"/>
    <w:pPr>
      <w:keepNext/>
      <w:keepLines/>
      <w:adjustRightInd w:val="0"/>
      <w:spacing w:before="360" w:after="120" w:line="240" w:lineRule="auto"/>
      <w:outlineLvl w:val="2"/>
    </w:pPr>
    <w:rPr>
      <w:rFonts w:ascii="Segoe UI Semilight" w:eastAsia="Times New Roman" w:hAnsi="Segoe UI Semilight" w:cstheme="majorBidi"/>
      <w:bCs/>
      <w:color w:val="29527F"/>
      <w:sz w:val="26"/>
      <w:szCs w:val="26"/>
      <w:lang w:val="en"/>
      <w14:textFill>
        <w14:solidFill>
          <w14:srgbClr w14:val="29527F">
            <w14:lumMod w14:val="90000"/>
            <w14:lumOff w14:val="10000"/>
          </w14:srgbClr>
        </w14:solidFill>
      </w14:textFill>
    </w:rPr>
  </w:style>
  <w:style w:type="numbering" w:customStyle="1" w:styleId="Multilevelheading">
    <w:name w:val="Multilevel heading"/>
    <w:uiPriority w:val="99"/>
    <w:rsid w:val="0090715B"/>
    <w:pPr>
      <w:numPr>
        <w:numId w:val="6"/>
      </w:numPr>
    </w:pPr>
  </w:style>
  <w:style w:type="character" w:customStyle="1" w:styleId="Heading1Char">
    <w:name w:val="Heading 1 Char"/>
    <w:basedOn w:val="DefaultParagraphFont"/>
    <w:link w:val="Heading1"/>
    <w:rsid w:val="003A0F7A"/>
    <w:rPr>
      <w:rFonts w:ascii="Arial" w:eastAsiaTheme="majorEastAsia" w:hAnsi="Arial" w:cstheme="majorBidi"/>
      <w:b/>
      <w:color w:val="182E50" w:themeColor="accent3" w:themeShade="40"/>
      <w:sz w:val="36"/>
      <w:szCs w:val="32"/>
    </w:rPr>
  </w:style>
  <w:style w:type="table" w:customStyle="1" w:styleId="TableTGAblue3">
    <w:name w:val="Table TGA blue3"/>
    <w:basedOn w:val="TableNormal"/>
    <w:uiPriority w:val="99"/>
    <w:qFormat/>
    <w:rsid w:val="00A01028"/>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A01028"/>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8">
    <w:name w:val="Table TGA blue8"/>
    <w:basedOn w:val="TableNormal"/>
    <w:uiPriority w:val="99"/>
    <w:qFormat/>
    <w:rsid w:val="00A01028"/>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2">
    <w:name w:val="Table Grid2"/>
    <w:basedOn w:val="TableNormal"/>
    <w:next w:val="TableGrid"/>
    <w:uiPriority w:val="39"/>
    <w:rsid w:val="00A01028"/>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1E4D6C"/>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1E4D6C"/>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91">
    <w:name w:val="Table TGA blue91"/>
    <w:basedOn w:val="TableNormal"/>
    <w:uiPriority w:val="99"/>
    <w:qFormat/>
    <w:rsid w:val="001E4D6C"/>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9">
    <w:name w:val="Table TGA blue9"/>
    <w:basedOn w:val="TableNormal"/>
    <w:uiPriority w:val="99"/>
    <w:qFormat/>
    <w:rsid w:val="001E4D6C"/>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Bold SemiConden" w:hAnsi="Bahnschrift SemiBold SemiConden"/>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0">
    <w:name w:val="Table TGA blue10"/>
    <w:basedOn w:val="TableNormal"/>
    <w:uiPriority w:val="99"/>
    <w:qFormat/>
    <w:rsid w:val="00D12421"/>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92">
    <w:name w:val="Table TGA blue92"/>
    <w:basedOn w:val="TableNormal"/>
    <w:uiPriority w:val="99"/>
    <w:qFormat/>
    <w:rsid w:val="00D12421"/>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Bold SemiConden" w:hAnsi="Bahnschrift SemiBold SemiConden"/>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01">
    <w:name w:val="Table TGA blue101"/>
    <w:basedOn w:val="TableNormal"/>
    <w:uiPriority w:val="99"/>
    <w:qFormat/>
    <w:rsid w:val="00D12421"/>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character" w:styleId="UnresolvedMention">
    <w:name w:val="Unresolved Mention"/>
    <w:basedOn w:val="DefaultParagraphFont"/>
    <w:uiPriority w:val="99"/>
    <w:semiHidden/>
    <w:unhideWhenUsed/>
    <w:rsid w:val="004F21CC"/>
    <w:rPr>
      <w:color w:val="605E5C"/>
      <w:shd w:val="clear" w:color="auto" w:fill="E1DFDD"/>
    </w:rPr>
  </w:style>
  <w:style w:type="character" w:styleId="FollowedHyperlink">
    <w:name w:val="FollowedHyperlink"/>
    <w:basedOn w:val="DefaultParagraphFont"/>
    <w:uiPriority w:val="99"/>
    <w:semiHidden/>
    <w:unhideWhenUsed/>
    <w:rsid w:val="002E1605"/>
    <w:rPr>
      <w:color w:val="6E2B62" w:themeColor="followedHyperlink"/>
      <w:u w:val="single"/>
    </w:rPr>
  </w:style>
  <w:style w:type="table" w:customStyle="1" w:styleId="TableTGAblue5">
    <w:name w:val="Table TGA blue5"/>
    <w:basedOn w:val="TableNormal"/>
    <w:uiPriority w:val="99"/>
    <w:qFormat/>
    <w:rsid w:val="00120A1B"/>
    <w:pPr>
      <w:spacing w:after="0" w:line="240" w:lineRule="auto"/>
    </w:pPr>
    <w:rPr>
      <w:rFonts w:ascii="Cambria" w:eastAsia="Cambria" w:hAnsi="Cambria"/>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MS UI Gothic" w:hAnsi="MS UI Gothic"/>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character" w:customStyle="1" w:styleId="Heading2Char">
    <w:name w:val="Heading 2 Char"/>
    <w:basedOn w:val="DefaultParagraphFont"/>
    <w:link w:val="Heading2"/>
    <w:uiPriority w:val="9"/>
    <w:rsid w:val="003A0F7A"/>
    <w:rPr>
      <w:rFonts w:ascii="Arial" w:eastAsiaTheme="majorEastAsia" w:hAnsi="Arial" w:cstheme="majorBidi"/>
      <w:b/>
      <w:color w:val="305DA1" w:themeColor="accent3" w:themeShade="80"/>
      <w:sz w:val="28"/>
      <w:szCs w:val="26"/>
    </w:rPr>
  </w:style>
  <w:style w:type="character" w:customStyle="1" w:styleId="Heading3Char">
    <w:name w:val="Heading 3 Char"/>
    <w:basedOn w:val="DefaultParagraphFont"/>
    <w:link w:val="Heading3"/>
    <w:uiPriority w:val="9"/>
    <w:rsid w:val="00C769D1"/>
    <w:rPr>
      <w:rFonts w:ascii="Arial" w:eastAsiaTheme="majorEastAsia" w:hAnsi="Arial" w:cstheme="majorBidi"/>
      <w:b/>
      <w:color w:val="6791D2" w:themeColor="accent3" w:themeShade="BF"/>
    </w:rPr>
  </w:style>
  <w:style w:type="character" w:customStyle="1" w:styleId="Heading4Char">
    <w:name w:val="Heading 4 Char"/>
    <w:basedOn w:val="DefaultParagraphFont"/>
    <w:link w:val="Heading4"/>
    <w:uiPriority w:val="9"/>
    <w:rsid w:val="005B4851"/>
    <w:rPr>
      <w:rFonts w:ascii="Arial" w:eastAsiaTheme="majorEastAsia" w:hAnsi="Arial" w:cstheme="majorBidi"/>
      <w:b/>
      <w:i/>
      <w:iCs/>
      <w:color w:val="5C88DA" w:themeColor="accent2"/>
    </w:rPr>
  </w:style>
  <w:style w:type="paragraph" w:styleId="Subtitle">
    <w:name w:val="Subtitle"/>
    <w:basedOn w:val="Normal"/>
    <w:next w:val="Normal"/>
    <w:link w:val="SubtitleChar"/>
    <w:uiPriority w:val="11"/>
    <w:qFormat/>
    <w:rsid w:val="0058501F"/>
    <w:pPr>
      <w:numPr>
        <w:ilvl w:val="1"/>
      </w:numPr>
      <w:spacing w:after="160"/>
    </w:pPr>
    <w:rPr>
      <w:rFonts w:asciiTheme="minorHAnsi" w:eastAsiaTheme="minorEastAsia" w:hAnsiTheme="minorHAnsi" w:cstheme="minorBidi"/>
      <w:color w:val="008BE1" w:themeColor="text1" w:themeTint="A5"/>
      <w:spacing w:val="15"/>
      <w:szCs w:val="22"/>
    </w:rPr>
  </w:style>
  <w:style w:type="character" w:customStyle="1" w:styleId="SubtitleChar">
    <w:name w:val="Subtitle Char"/>
    <w:basedOn w:val="DefaultParagraphFont"/>
    <w:link w:val="Subtitle"/>
    <w:uiPriority w:val="11"/>
    <w:rsid w:val="0058501F"/>
    <w:rPr>
      <w:rFonts w:asciiTheme="minorHAnsi" w:eastAsiaTheme="minorEastAsia" w:hAnsiTheme="minorHAnsi" w:cstheme="minorBidi"/>
      <w:color w:val="008BE1" w:themeColor="text1" w:themeTint="A5"/>
      <w:spacing w:val="15"/>
      <w:sz w:val="22"/>
      <w:szCs w:val="22"/>
    </w:rPr>
  </w:style>
  <w:style w:type="paragraph" w:styleId="TOCHeading">
    <w:name w:val="TOC Heading"/>
    <w:basedOn w:val="Heading1"/>
    <w:next w:val="Normal"/>
    <w:uiPriority w:val="39"/>
    <w:unhideWhenUsed/>
    <w:qFormat/>
    <w:rsid w:val="00DA025A"/>
    <w:pPr>
      <w:spacing w:line="259" w:lineRule="auto"/>
      <w:outlineLvl w:val="9"/>
    </w:pPr>
    <w:rPr>
      <w:lang w:val="en-US"/>
    </w:rPr>
  </w:style>
  <w:style w:type="paragraph" w:styleId="TOC2">
    <w:name w:val="toc 2"/>
    <w:basedOn w:val="Normal"/>
    <w:next w:val="Normal"/>
    <w:autoRedefine/>
    <w:uiPriority w:val="39"/>
    <w:unhideWhenUsed/>
    <w:rsid w:val="001F5BB2"/>
    <w:pPr>
      <w:tabs>
        <w:tab w:val="right" w:leader="dot" w:pos="9016"/>
      </w:tabs>
      <w:spacing w:after="100"/>
      <w:ind w:left="220"/>
    </w:pPr>
  </w:style>
  <w:style w:type="paragraph" w:styleId="TOC3">
    <w:name w:val="toc 3"/>
    <w:basedOn w:val="Normal"/>
    <w:next w:val="Normal"/>
    <w:autoRedefine/>
    <w:uiPriority w:val="39"/>
    <w:unhideWhenUsed/>
    <w:rsid w:val="00F856A3"/>
    <w:pPr>
      <w:tabs>
        <w:tab w:val="right" w:leader="dot" w:pos="9015"/>
      </w:tabs>
      <w:spacing w:after="100"/>
      <w:ind w:left="440"/>
    </w:pPr>
  </w:style>
  <w:style w:type="paragraph" w:styleId="TOC1">
    <w:name w:val="toc 1"/>
    <w:basedOn w:val="Normal"/>
    <w:next w:val="Normal"/>
    <w:autoRedefine/>
    <w:uiPriority w:val="39"/>
    <w:unhideWhenUsed/>
    <w:rsid w:val="001F5BB2"/>
    <w:pPr>
      <w:tabs>
        <w:tab w:val="right" w:leader="dot" w:pos="9016"/>
      </w:tabs>
      <w:spacing w:after="100"/>
    </w:pPr>
    <w:rPr>
      <w:b/>
      <w:bCs/>
      <w:noProof/>
    </w:rPr>
  </w:style>
  <w:style w:type="character" w:customStyle="1" w:styleId="normaltextrun">
    <w:name w:val="normaltextrun"/>
    <w:basedOn w:val="DefaultParagraphFont"/>
    <w:rsid w:val="00D2588F"/>
  </w:style>
  <w:style w:type="character" w:customStyle="1" w:styleId="eop">
    <w:name w:val="eop"/>
    <w:basedOn w:val="DefaultParagraphFont"/>
    <w:rsid w:val="00263472"/>
  </w:style>
  <w:style w:type="paragraph" w:customStyle="1" w:styleId="Default">
    <w:name w:val="Default"/>
    <w:rsid w:val="0029534A"/>
    <w:pPr>
      <w:autoSpaceDE w:val="0"/>
      <w:autoSpaceDN w:val="0"/>
      <w:adjustRightInd w:val="0"/>
      <w:spacing w:after="0" w:line="240" w:lineRule="auto"/>
    </w:pPr>
    <w:rPr>
      <w:rFonts w:ascii="Cambria" w:hAnsi="Cambria" w:cs="Cambria"/>
      <w:color w:val="000000"/>
    </w:rPr>
  </w:style>
  <w:style w:type="paragraph" w:styleId="EndnoteText">
    <w:name w:val="endnote text"/>
    <w:basedOn w:val="Normal"/>
    <w:link w:val="EndnoteTextChar"/>
    <w:uiPriority w:val="99"/>
    <w:semiHidden/>
    <w:unhideWhenUsed/>
    <w:rsid w:val="0011256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1256B"/>
    <w:rPr>
      <w:rFonts w:ascii="Arial" w:hAnsi="Arial"/>
      <w:sz w:val="20"/>
      <w:szCs w:val="20"/>
    </w:rPr>
  </w:style>
  <w:style w:type="character" w:styleId="EndnoteReference">
    <w:name w:val="endnote reference"/>
    <w:basedOn w:val="DefaultParagraphFont"/>
    <w:uiPriority w:val="99"/>
    <w:semiHidden/>
    <w:unhideWhenUsed/>
    <w:rsid w:val="0011256B"/>
    <w:rPr>
      <w:vertAlign w:val="superscript"/>
    </w:rPr>
  </w:style>
  <w:style w:type="paragraph" w:styleId="TOC4">
    <w:name w:val="toc 4"/>
    <w:basedOn w:val="Normal"/>
    <w:next w:val="Normal"/>
    <w:autoRedefine/>
    <w:uiPriority w:val="39"/>
    <w:unhideWhenUsed/>
    <w:rsid w:val="00053D71"/>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053D71"/>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053D71"/>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053D71"/>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053D71"/>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053D71"/>
    <w:pPr>
      <w:spacing w:before="0" w:after="100" w:line="259"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69361">
      <w:bodyDiv w:val="1"/>
      <w:marLeft w:val="0"/>
      <w:marRight w:val="0"/>
      <w:marTop w:val="0"/>
      <w:marBottom w:val="0"/>
      <w:divBdr>
        <w:top w:val="none" w:sz="0" w:space="0" w:color="auto"/>
        <w:left w:val="none" w:sz="0" w:space="0" w:color="auto"/>
        <w:bottom w:val="none" w:sz="0" w:space="0" w:color="auto"/>
        <w:right w:val="none" w:sz="0" w:space="0" w:color="auto"/>
      </w:divBdr>
    </w:div>
    <w:div w:id="120610906">
      <w:bodyDiv w:val="1"/>
      <w:marLeft w:val="0"/>
      <w:marRight w:val="0"/>
      <w:marTop w:val="0"/>
      <w:marBottom w:val="0"/>
      <w:divBdr>
        <w:top w:val="none" w:sz="0" w:space="0" w:color="auto"/>
        <w:left w:val="none" w:sz="0" w:space="0" w:color="auto"/>
        <w:bottom w:val="none" w:sz="0" w:space="0" w:color="auto"/>
        <w:right w:val="none" w:sz="0" w:space="0" w:color="auto"/>
      </w:divBdr>
    </w:div>
    <w:div w:id="125897676">
      <w:bodyDiv w:val="1"/>
      <w:marLeft w:val="0"/>
      <w:marRight w:val="0"/>
      <w:marTop w:val="0"/>
      <w:marBottom w:val="0"/>
      <w:divBdr>
        <w:top w:val="none" w:sz="0" w:space="0" w:color="auto"/>
        <w:left w:val="none" w:sz="0" w:space="0" w:color="auto"/>
        <w:bottom w:val="none" w:sz="0" w:space="0" w:color="auto"/>
        <w:right w:val="none" w:sz="0" w:space="0" w:color="auto"/>
      </w:divBdr>
      <w:divsChild>
        <w:div w:id="272440296">
          <w:marLeft w:val="0"/>
          <w:marRight w:val="0"/>
          <w:marTop w:val="0"/>
          <w:marBottom w:val="0"/>
          <w:divBdr>
            <w:top w:val="none" w:sz="0" w:space="0" w:color="auto"/>
            <w:left w:val="none" w:sz="0" w:space="0" w:color="auto"/>
            <w:bottom w:val="none" w:sz="0" w:space="0" w:color="auto"/>
            <w:right w:val="none" w:sz="0" w:space="0" w:color="auto"/>
          </w:divBdr>
        </w:div>
        <w:div w:id="777212260">
          <w:marLeft w:val="0"/>
          <w:marRight w:val="0"/>
          <w:marTop w:val="0"/>
          <w:marBottom w:val="0"/>
          <w:divBdr>
            <w:top w:val="none" w:sz="0" w:space="0" w:color="auto"/>
            <w:left w:val="none" w:sz="0" w:space="0" w:color="auto"/>
            <w:bottom w:val="none" w:sz="0" w:space="0" w:color="auto"/>
            <w:right w:val="none" w:sz="0" w:space="0" w:color="auto"/>
          </w:divBdr>
          <w:divsChild>
            <w:div w:id="285821331">
              <w:marLeft w:val="0"/>
              <w:marRight w:val="0"/>
              <w:marTop w:val="0"/>
              <w:marBottom w:val="0"/>
              <w:divBdr>
                <w:top w:val="none" w:sz="0" w:space="0" w:color="auto"/>
                <w:left w:val="none" w:sz="0" w:space="0" w:color="auto"/>
                <w:bottom w:val="none" w:sz="0" w:space="0" w:color="auto"/>
                <w:right w:val="none" w:sz="0" w:space="0" w:color="auto"/>
              </w:divBdr>
            </w:div>
            <w:div w:id="572355972">
              <w:marLeft w:val="0"/>
              <w:marRight w:val="0"/>
              <w:marTop w:val="0"/>
              <w:marBottom w:val="0"/>
              <w:divBdr>
                <w:top w:val="none" w:sz="0" w:space="0" w:color="auto"/>
                <w:left w:val="none" w:sz="0" w:space="0" w:color="auto"/>
                <w:bottom w:val="none" w:sz="0" w:space="0" w:color="auto"/>
                <w:right w:val="none" w:sz="0" w:space="0" w:color="auto"/>
              </w:divBdr>
            </w:div>
            <w:div w:id="988629584">
              <w:marLeft w:val="0"/>
              <w:marRight w:val="0"/>
              <w:marTop w:val="0"/>
              <w:marBottom w:val="0"/>
              <w:divBdr>
                <w:top w:val="none" w:sz="0" w:space="0" w:color="auto"/>
                <w:left w:val="none" w:sz="0" w:space="0" w:color="auto"/>
                <w:bottom w:val="none" w:sz="0" w:space="0" w:color="auto"/>
                <w:right w:val="none" w:sz="0" w:space="0" w:color="auto"/>
              </w:divBdr>
            </w:div>
            <w:div w:id="1992129653">
              <w:marLeft w:val="0"/>
              <w:marRight w:val="0"/>
              <w:marTop w:val="0"/>
              <w:marBottom w:val="0"/>
              <w:divBdr>
                <w:top w:val="none" w:sz="0" w:space="0" w:color="auto"/>
                <w:left w:val="none" w:sz="0" w:space="0" w:color="auto"/>
                <w:bottom w:val="none" w:sz="0" w:space="0" w:color="auto"/>
                <w:right w:val="none" w:sz="0" w:space="0" w:color="auto"/>
              </w:divBdr>
            </w:div>
          </w:divsChild>
        </w:div>
        <w:div w:id="917521465">
          <w:marLeft w:val="0"/>
          <w:marRight w:val="0"/>
          <w:marTop w:val="0"/>
          <w:marBottom w:val="0"/>
          <w:divBdr>
            <w:top w:val="none" w:sz="0" w:space="0" w:color="auto"/>
            <w:left w:val="none" w:sz="0" w:space="0" w:color="auto"/>
            <w:bottom w:val="none" w:sz="0" w:space="0" w:color="auto"/>
            <w:right w:val="none" w:sz="0" w:space="0" w:color="auto"/>
          </w:divBdr>
        </w:div>
        <w:div w:id="1304312542">
          <w:marLeft w:val="0"/>
          <w:marRight w:val="0"/>
          <w:marTop w:val="0"/>
          <w:marBottom w:val="0"/>
          <w:divBdr>
            <w:top w:val="none" w:sz="0" w:space="0" w:color="auto"/>
            <w:left w:val="none" w:sz="0" w:space="0" w:color="auto"/>
            <w:bottom w:val="none" w:sz="0" w:space="0" w:color="auto"/>
            <w:right w:val="none" w:sz="0" w:space="0" w:color="auto"/>
          </w:divBdr>
          <w:divsChild>
            <w:div w:id="160433632">
              <w:marLeft w:val="0"/>
              <w:marRight w:val="0"/>
              <w:marTop w:val="0"/>
              <w:marBottom w:val="0"/>
              <w:divBdr>
                <w:top w:val="none" w:sz="0" w:space="0" w:color="auto"/>
                <w:left w:val="none" w:sz="0" w:space="0" w:color="auto"/>
                <w:bottom w:val="none" w:sz="0" w:space="0" w:color="auto"/>
                <w:right w:val="none" w:sz="0" w:space="0" w:color="auto"/>
              </w:divBdr>
            </w:div>
            <w:div w:id="1773470531">
              <w:marLeft w:val="0"/>
              <w:marRight w:val="0"/>
              <w:marTop w:val="0"/>
              <w:marBottom w:val="0"/>
              <w:divBdr>
                <w:top w:val="none" w:sz="0" w:space="0" w:color="auto"/>
                <w:left w:val="none" w:sz="0" w:space="0" w:color="auto"/>
                <w:bottom w:val="none" w:sz="0" w:space="0" w:color="auto"/>
                <w:right w:val="none" w:sz="0" w:space="0" w:color="auto"/>
              </w:divBdr>
            </w:div>
            <w:div w:id="1803503503">
              <w:marLeft w:val="0"/>
              <w:marRight w:val="0"/>
              <w:marTop w:val="0"/>
              <w:marBottom w:val="0"/>
              <w:divBdr>
                <w:top w:val="none" w:sz="0" w:space="0" w:color="auto"/>
                <w:left w:val="none" w:sz="0" w:space="0" w:color="auto"/>
                <w:bottom w:val="none" w:sz="0" w:space="0" w:color="auto"/>
                <w:right w:val="none" w:sz="0" w:space="0" w:color="auto"/>
              </w:divBdr>
            </w:div>
            <w:div w:id="2104645334">
              <w:marLeft w:val="0"/>
              <w:marRight w:val="0"/>
              <w:marTop w:val="0"/>
              <w:marBottom w:val="0"/>
              <w:divBdr>
                <w:top w:val="none" w:sz="0" w:space="0" w:color="auto"/>
                <w:left w:val="none" w:sz="0" w:space="0" w:color="auto"/>
                <w:bottom w:val="none" w:sz="0" w:space="0" w:color="auto"/>
                <w:right w:val="none" w:sz="0" w:space="0" w:color="auto"/>
              </w:divBdr>
            </w:div>
          </w:divsChild>
        </w:div>
        <w:div w:id="1675567653">
          <w:marLeft w:val="0"/>
          <w:marRight w:val="0"/>
          <w:marTop w:val="0"/>
          <w:marBottom w:val="0"/>
          <w:divBdr>
            <w:top w:val="none" w:sz="0" w:space="0" w:color="auto"/>
            <w:left w:val="none" w:sz="0" w:space="0" w:color="auto"/>
            <w:bottom w:val="none" w:sz="0" w:space="0" w:color="auto"/>
            <w:right w:val="none" w:sz="0" w:space="0" w:color="auto"/>
          </w:divBdr>
        </w:div>
        <w:div w:id="2130855444">
          <w:marLeft w:val="0"/>
          <w:marRight w:val="0"/>
          <w:marTop w:val="0"/>
          <w:marBottom w:val="0"/>
          <w:divBdr>
            <w:top w:val="none" w:sz="0" w:space="0" w:color="auto"/>
            <w:left w:val="none" w:sz="0" w:space="0" w:color="auto"/>
            <w:bottom w:val="none" w:sz="0" w:space="0" w:color="auto"/>
            <w:right w:val="none" w:sz="0" w:space="0" w:color="auto"/>
          </w:divBdr>
        </w:div>
      </w:divsChild>
    </w:div>
    <w:div w:id="129326196">
      <w:bodyDiv w:val="1"/>
      <w:marLeft w:val="0"/>
      <w:marRight w:val="0"/>
      <w:marTop w:val="0"/>
      <w:marBottom w:val="0"/>
      <w:divBdr>
        <w:top w:val="none" w:sz="0" w:space="0" w:color="auto"/>
        <w:left w:val="none" w:sz="0" w:space="0" w:color="auto"/>
        <w:bottom w:val="none" w:sz="0" w:space="0" w:color="auto"/>
        <w:right w:val="none" w:sz="0" w:space="0" w:color="auto"/>
      </w:divBdr>
    </w:div>
    <w:div w:id="141898117">
      <w:bodyDiv w:val="1"/>
      <w:marLeft w:val="0"/>
      <w:marRight w:val="0"/>
      <w:marTop w:val="0"/>
      <w:marBottom w:val="0"/>
      <w:divBdr>
        <w:top w:val="none" w:sz="0" w:space="0" w:color="auto"/>
        <w:left w:val="none" w:sz="0" w:space="0" w:color="auto"/>
        <w:bottom w:val="none" w:sz="0" w:space="0" w:color="auto"/>
        <w:right w:val="none" w:sz="0" w:space="0" w:color="auto"/>
      </w:divBdr>
    </w:div>
    <w:div w:id="172426887">
      <w:bodyDiv w:val="1"/>
      <w:marLeft w:val="0"/>
      <w:marRight w:val="0"/>
      <w:marTop w:val="0"/>
      <w:marBottom w:val="0"/>
      <w:divBdr>
        <w:top w:val="none" w:sz="0" w:space="0" w:color="auto"/>
        <w:left w:val="none" w:sz="0" w:space="0" w:color="auto"/>
        <w:bottom w:val="none" w:sz="0" w:space="0" w:color="auto"/>
        <w:right w:val="none" w:sz="0" w:space="0" w:color="auto"/>
      </w:divBdr>
    </w:div>
    <w:div w:id="377438050">
      <w:bodyDiv w:val="1"/>
      <w:marLeft w:val="0"/>
      <w:marRight w:val="0"/>
      <w:marTop w:val="0"/>
      <w:marBottom w:val="0"/>
      <w:divBdr>
        <w:top w:val="none" w:sz="0" w:space="0" w:color="auto"/>
        <w:left w:val="none" w:sz="0" w:space="0" w:color="auto"/>
        <w:bottom w:val="none" w:sz="0" w:space="0" w:color="auto"/>
        <w:right w:val="none" w:sz="0" w:space="0" w:color="auto"/>
      </w:divBdr>
      <w:divsChild>
        <w:div w:id="1012219194">
          <w:marLeft w:val="0"/>
          <w:marRight w:val="0"/>
          <w:marTop w:val="0"/>
          <w:marBottom w:val="0"/>
          <w:divBdr>
            <w:top w:val="none" w:sz="0" w:space="0" w:color="auto"/>
            <w:left w:val="none" w:sz="0" w:space="0" w:color="auto"/>
            <w:bottom w:val="none" w:sz="0" w:space="0" w:color="auto"/>
            <w:right w:val="none" w:sz="0" w:space="0" w:color="auto"/>
          </w:divBdr>
          <w:divsChild>
            <w:div w:id="486098093">
              <w:marLeft w:val="0"/>
              <w:marRight w:val="0"/>
              <w:marTop w:val="0"/>
              <w:marBottom w:val="0"/>
              <w:divBdr>
                <w:top w:val="none" w:sz="0" w:space="0" w:color="auto"/>
                <w:left w:val="none" w:sz="0" w:space="0" w:color="auto"/>
                <w:bottom w:val="none" w:sz="0" w:space="0" w:color="auto"/>
                <w:right w:val="none" w:sz="0" w:space="0" w:color="auto"/>
              </w:divBdr>
            </w:div>
            <w:div w:id="519467721">
              <w:marLeft w:val="0"/>
              <w:marRight w:val="0"/>
              <w:marTop w:val="0"/>
              <w:marBottom w:val="0"/>
              <w:divBdr>
                <w:top w:val="none" w:sz="0" w:space="0" w:color="auto"/>
                <w:left w:val="none" w:sz="0" w:space="0" w:color="auto"/>
                <w:bottom w:val="none" w:sz="0" w:space="0" w:color="auto"/>
                <w:right w:val="none" w:sz="0" w:space="0" w:color="auto"/>
              </w:divBdr>
            </w:div>
            <w:div w:id="963118344">
              <w:marLeft w:val="0"/>
              <w:marRight w:val="0"/>
              <w:marTop w:val="0"/>
              <w:marBottom w:val="0"/>
              <w:divBdr>
                <w:top w:val="none" w:sz="0" w:space="0" w:color="auto"/>
                <w:left w:val="none" w:sz="0" w:space="0" w:color="auto"/>
                <w:bottom w:val="none" w:sz="0" w:space="0" w:color="auto"/>
                <w:right w:val="none" w:sz="0" w:space="0" w:color="auto"/>
              </w:divBdr>
            </w:div>
            <w:div w:id="1253051565">
              <w:marLeft w:val="0"/>
              <w:marRight w:val="0"/>
              <w:marTop w:val="0"/>
              <w:marBottom w:val="0"/>
              <w:divBdr>
                <w:top w:val="none" w:sz="0" w:space="0" w:color="auto"/>
                <w:left w:val="none" w:sz="0" w:space="0" w:color="auto"/>
                <w:bottom w:val="none" w:sz="0" w:space="0" w:color="auto"/>
                <w:right w:val="none" w:sz="0" w:space="0" w:color="auto"/>
              </w:divBdr>
            </w:div>
            <w:div w:id="1703363593">
              <w:marLeft w:val="0"/>
              <w:marRight w:val="0"/>
              <w:marTop w:val="0"/>
              <w:marBottom w:val="0"/>
              <w:divBdr>
                <w:top w:val="none" w:sz="0" w:space="0" w:color="auto"/>
                <w:left w:val="none" w:sz="0" w:space="0" w:color="auto"/>
                <w:bottom w:val="none" w:sz="0" w:space="0" w:color="auto"/>
                <w:right w:val="none" w:sz="0" w:space="0" w:color="auto"/>
              </w:divBdr>
            </w:div>
          </w:divsChild>
        </w:div>
        <w:div w:id="1721130541">
          <w:marLeft w:val="0"/>
          <w:marRight w:val="0"/>
          <w:marTop w:val="0"/>
          <w:marBottom w:val="0"/>
          <w:divBdr>
            <w:top w:val="none" w:sz="0" w:space="0" w:color="auto"/>
            <w:left w:val="none" w:sz="0" w:space="0" w:color="auto"/>
            <w:bottom w:val="none" w:sz="0" w:space="0" w:color="auto"/>
            <w:right w:val="none" w:sz="0" w:space="0" w:color="auto"/>
          </w:divBdr>
          <w:divsChild>
            <w:div w:id="286359433">
              <w:marLeft w:val="0"/>
              <w:marRight w:val="0"/>
              <w:marTop w:val="0"/>
              <w:marBottom w:val="0"/>
              <w:divBdr>
                <w:top w:val="none" w:sz="0" w:space="0" w:color="auto"/>
                <w:left w:val="none" w:sz="0" w:space="0" w:color="auto"/>
                <w:bottom w:val="none" w:sz="0" w:space="0" w:color="auto"/>
                <w:right w:val="none" w:sz="0" w:space="0" w:color="auto"/>
              </w:divBdr>
            </w:div>
            <w:div w:id="1743913188">
              <w:marLeft w:val="0"/>
              <w:marRight w:val="0"/>
              <w:marTop w:val="0"/>
              <w:marBottom w:val="0"/>
              <w:divBdr>
                <w:top w:val="none" w:sz="0" w:space="0" w:color="auto"/>
                <w:left w:val="none" w:sz="0" w:space="0" w:color="auto"/>
                <w:bottom w:val="none" w:sz="0" w:space="0" w:color="auto"/>
                <w:right w:val="none" w:sz="0" w:space="0" w:color="auto"/>
              </w:divBdr>
            </w:div>
            <w:div w:id="2059358446">
              <w:marLeft w:val="0"/>
              <w:marRight w:val="0"/>
              <w:marTop w:val="0"/>
              <w:marBottom w:val="0"/>
              <w:divBdr>
                <w:top w:val="none" w:sz="0" w:space="0" w:color="auto"/>
                <w:left w:val="none" w:sz="0" w:space="0" w:color="auto"/>
                <w:bottom w:val="none" w:sz="0" w:space="0" w:color="auto"/>
                <w:right w:val="none" w:sz="0" w:space="0" w:color="auto"/>
              </w:divBdr>
            </w:div>
          </w:divsChild>
        </w:div>
        <w:div w:id="2134976075">
          <w:marLeft w:val="0"/>
          <w:marRight w:val="0"/>
          <w:marTop w:val="0"/>
          <w:marBottom w:val="0"/>
          <w:divBdr>
            <w:top w:val="none" w:sz="0" w:space="0" w:color="auto"/>
            <w:left w:val="none" w:sz="0" w:space="0" w:color="auto"/>
            <w:bottom w:val="none" w:sz="0" w:space="0" w:color="auto"/>
            <w:right w:val="none" w:sz="0" w:space="0" w:color="auto"/>
          </w:divBdr>
        </w:div>
      </w:divsChild>
    </w:div>
    <w:div w:id="441267215">
      <w:bodyDiv w:val="1"/>
      <w:marLeft w:val="0"/>
      <w:marRight w:val="0"/>
      <w:marTop w:val="0"/>
      <w:marBottom w:val="0"/>
      <w:divBdr>
        <w:top w:val="none" w:sz="0" w:space="0" w:color="auto"/>
        <w:left w:val="none" w:sz="0" w:space="0" w:color="auto"/>
        <w:bottom w:val="none" w:sz="0" w:space="0" w:color="auto"/>
        <w:right w:val="none" w:sz="0" w:space="0" w:color="auto"/>
      </w:divBdr>
    </w:div>
    <w:div w:id="625624642">
      <w:bodyDiv w:val="1"/>
      <w:marLeft w:val="0"/>
      <w:marRight w:val="0"/>
      <w:marTop w:val="0"/>
      <w:marBottom w:val="0"/>
      <w:divBdr>
        <w:top w:val="none" w:sz="0" w:space="0" w:color="auto"/>
        <w:left w:val="none" w:sz="0" w:space="0" w:color="auto"/>
        <w:bottom w:val="none" w:sz="0" w:space="0" w:color="auto"/>
        <w:right w:val="none" w:sz="0" w:space="0" w:color="auto"/>
      </w:divBdr>
      <w:divsChild>
        <w:div w:id="911351237">
          <w:marLeft w:val="0"/>
          <w:marRight w:val="0"/>
          <w:marTop w:val="0"/>
          <w:marBottom w:val="0"/>
          <w:divBdr>
            <w:top w:val="none" w:sz="0" w:space="0" w:color="auto"/>
            <w:left w:val="none" w:sz="0" w:space="0" w:color="auto"/>
            <w:bottom w:val="none" w:sz="0" w:space="0" w:color="auto"/>
            <w:right w:val="none" w:sz="0" w:space="0" w:color="auto"/>
          </w:divBdr>
        </w:div>
        <w:div w:id="1011026209">
          <w:marLeft w:val="0"/>
          <w:marRight w:val="0"/>
          <w:marTop w:val="0"/>
          <w:marBottom w:val="0"/>
          <w:divBdr>
            <w:top w:val="none" w:sz="0" w:space="0" w:color="auto"/>
            <w:left w:val="none" w:sz="0" w:space="0" w:color="auto"/>
            <w:bottom w:val="none" w:sz="0" w:space="0" w:color="auto"/>
            <w:right w:val="none" w:sz="0" w:space="0" w:color="auto"/>
          </w:divBdr>
        </w:div>
        <w:div w:id="1065376389">
          <w:marLeft w:val="0"/>
          <w:marRight w:val="0"/>
          <w:marTop w:val="0"/>
          <w:marBottom w:val="0"/>
          <w:divBdr>
            <w:top w:val="none" w:sz="0" w:space="0" w:color="auto"/>
            <w:left w:val="none" w:sz="0" w:space="0" w:color="auto"/>
            <w:bottom w:val="none" w:sz="0" w:space="0" w:color="auto"/>
            <w:right w:val="none" w:sz="0" w:space="0" w:color="auto"/>
          </w:divBdr>
        </w:div>
        <w:div w:id="1166021049">
          <w:marLeft w:val="0"/>
          <w:marRight w:val="0"/>
          <w:marTop w:val="0"/>
          <w:marBottom w:val="0"/>
          <w:divBdr>
            <w:top w:val="none" w:sz="0" w:space="0" w:color="auto"/>
            <w:left w:val="none" w:sz="0" w:space="0" w:color="auto"/>
            <w:bottom w:val="none" w:sz="0" w:space="0" w:color="auto"/>
            <w:right w:val="none" w:sz="0" w:space="0" w:color="auto"/>
          </w:divBdr>
        </w:div>
        <w:div w:id="1853638566">
          <w:marLeft w:val="0"/>
          <w:marRight w:val="0"/>
          <w:marTop w:val="0"/>
          <w:marBottom w:val="0"/>
          <w:divBdr>
            <w:top w:val="none" w:sz="0" w:space="0" w:color="auto"/>
            <w:left w:val="none" w:sz="0" w:space="0" w:color="auto"/>
            <w:bottom w:val="none" w:sz="0" w:space="0" w:color="auto"/>
            <w:right w:val="none" w:sz="0" w:space="0" w:color="auto"/>
          </w:divBdr>
        </w:div>
      </w:divsChild>
    </w:div>
    <w:div w:id="633996028">
      <w:bodyDiv w:val="1"/>
      <w:marLeft w:val="0"/>
      <w:marRight w:val="0"/>
      <w:marTop w:val="0"/>
      <w:marBottom w:val="0"/>
      <w:divBdr>
        <w:top w:val="none" w:sz="0" w:space="0" w:color="auto"/>
        <w:left w:val="none" w:sz="0" w:space="0" w:color="auto"/>
        <w:bottom w:val="none" w:sz="0" w:space="0" w:color="auto"/>
        <w:right w:val="none" w:sz="0" w:space="0" w:color="auto"/>
      </w:divBdr>
    </w:div>
    <w:div w:id="636765686">
      <w:bodyDiv w:val="1"/>
      <w:marLeft w:val="0"/>
      <w:marRight w:val="0"/>
      <w:marTop w:val="0"/>
      <w:marBottom w:val="0"/>
      <w:divBdr>
        <w:top w:val="none" w:sz="0" w:space="0" w:color="auto"/>
        <w:left w:val="none" w:sz="0" w:space="0" w:color="auto"/>
        <w:bottom w:val="none" w:sz="0" w:space="0" w:color="auto"/>
        <w:right w:val="none" w:sz="0" w:space="0" w:color="auto"/>
      </w:divBdr>
    </w:div>
    <w:div w:id="658730681">
      <w:bodyDiv w:val="1"/>
      <w:marLeft w:val="0"/>
      <w:marRight w:val="0"/>
      <w:marTop w:val="0"/>
      <w:marBottom w:val="0"/>
      <w:divBdr>
        <w:top w:val="none" w:sz="0" w:space="0" w:color="auto"/>
        <w:left w:val="none" w:sz="0" w:space="0" w:color="auto"/>
        <w:bottom w:val="none" w:sz="0" w:space="0" w:color="auto"/>
        <w:right w:val="none" w:sz="0" w:space="0" w:color="auto"/>
      </w:divBdr>
    </w:div>
    <w:div w:id="723725146">
      <w:bodyDiv w:val="1"/>
      <w:marLeft w:val="0"/>
      <w:marRight w:val="0"/>
      <w:marTop w:val="0"/>
      <w:marBottom w:val="0"/>
      <w:divBdr>
        <w:top w:val="none" w:sz="0" w:space="0" w:color="auto"/>
        <w:left w:val="none" w:sz="0" w:space="0" w:color="auto"/>
        <w:bottom w:val="none" w:sz="0" w:space="0" w:color="auto"/>
        <w:right w:val="none" w:sz="0" w:space="0" w:color="auto"/>
      </w:divBdr>
    </w:div>
    <w:div w:id="928660473">
      <w:bodyDiv w:val="1"/>
      <w:marLeft w:val="0"/>
      <w:marRight w:val="0"/>
      <w:marTop w:val="0"/>
      <w:marBottom w:val="0"/>
      <w:divBdr>
        <w:top w:val="none" w:sz="0" w:space="0" w:color="auto"/>
        <w:left w:val="none" w:sz="0" w:space="0" w:color="auto"/>
        <w:bottom w:val="none" w:sz="0" w:space="0" w:color="auto"/>
        <w:right w:val="none" w:sz="0" w:space="0" w:color="auto"/>
      </w:divBdr>
    </w:div>
    <w:div w:id="954747560">
      <w:bodyDiv w:val="1"/>
      <w:marLeft w:val="0"/>
      <w:marRight w:val="0"/>
      <w:marTop w:val="0"/>
      <w:marBottom w:val="0"/>
      <w:divBdr>
        <w:top w:val="none" w:sz="0" w:space="0" w:color="auto"/>
        <w:left w:val="none" w:sz="0" w:space="0" w:color="auto"/>
        <w:bottom w:val="none" w:sz="0" w:space="0" w:color="auto"/>
        <w:right w:val="none" w:sz="0" w:space="0" w:color="auto"/>
      </w:divBdr>
    </w:div>
    <w:div w:id="969238886">
      <w:bodyDiv w:val="1"/>
      <w:marLeft w:val="0"/>
      <w:marRight w:val="0"/>
      <w:marTop w:val="0"/>
      <w:marBottom w:val="0"/>
      <w:divBdr>
        <w:top w:val="none" w:sz="0" w:space="0" w:color="auto"/>
        <w:left w:val="none" w:sz="0" w:space="0" w:color="auto"/>
        <w:bottom w:val="none" w:sz="0" w:space="0" w:color="auto"/>
        <w:right w:val="none" w:sz="0" w:space="0" w:color="auto"/>
      </w:divBdr>
    </w:div>
    <w:div w:id="985429744">
      <w:bodyDiv w:val="1"/>
      <w:marLeft w:val="0"/>
      <w:marRight w:val="0"/>
      <w:marTop w:val="0"/>
      <w:marBottom w:val="0"/>
      <w:divBdr>
        <w:top w:val="none" w:sz="0" w:space="0" w:color="auto"/>
        <w:left w:val="none" w:sz="0" w:space="0" w:color="auto"/>
        <w:bottom w:val="none" w:sz="0" w:space="0" w:color="auto"/>
        <w:right w:val="none" w:sz="0" w:space="0" w:color="auto"/>
      </w:divBdr>
    </w:div>
    <w:div w:id="1087573437">
      <w:bodyDiv w:val="1"/>
      <w:marLeft w:val="0"/>
      <w:marRight w:val="0"/>
      <w:marTop w:val="0"/>
      <w:marBottom w:val="0"/>
      <w:divBdr>
        <w:top w:val="none" w:sz="0" w:space="0" w:color="auto"/>
        <w:left w:val="none" w:sz="0" w:space="0" w:color="auto"/>
        <w:bottom w:val="none" w:sz="0" w:space="0" w:color="auto"/>
        <w:right w:val="none" w:sz="0" w:space="0" w:color="auto"/>
      </w:divBdr>
    </w:div>
    <w:div w:id="1133716030">
      <w:bodyDiv w:val="1"/>
      <w:marLeft w:val="0"/>
      <w:marRight w:val="0"/>
      <w:marTop w:val="0"/>
      <w:marBottom w:val="0"/>
      <w:divBdr>
        <w:top w:val="none" w:sz="0" w:space="0" w:color="auto"/>
        <w:left w:val="none" w:sz="0" w:space="0" w:color="auto"/>
        <w:bottom w:val="none" w:sz="0" w:space="0" w:color="auto"/>
        <w:right w:val="none" w:sz="0" w:space="0" w:color="auto"/>
      </w:divBdr>
    </w:div>
    <w:div w:id="1175801443">
      <w:bodyDiv w:val="1"/>
      <w:marLeft w:val="0"/>
      <w:marRight w:val="0"/>
      <w:marTop w:val="0"/>
      <w:marBottom w:val="0"/>
      <w:divBdr>
        <w:top w:val="none" w:sz="0" w:space="0" w:color="auto"/>
        <w:left w:val="none" w:sz="0" w:space="0" w:color="auto"/>
        <w:bottom w:val="none" w:sz="0" w:space="0" w:color="auto"/>
        <w:right w:val="none" w:sz="0" w:space="0" w:color="auto"/>
      </w:divBdr>
    </w:div>
    <w:div w:id="1229346687">
      <w:bodyDiv w:val="1"/>
      <w:marLeft w:val="0"/>
      <w:marRight w:val="0"/>
      <w:marTop w:val="0"/>
      <w:marBottom w:val="0"/>
      <w:divBdr>
        <w:top w:val="none" w:sz="0" w:space="0" w:color="auto"/>
        <w:left w:val="none" w:sz="0" w:space="0" w:color="auto"/>
        <w:bottom w:val="none" w:sz="0" w:space="0" w:color="auto"/>
        <w:right w:val="none" w:sz="0" w:space="0" w:color="auto"/>
      </w:divBdr>
    </w:div>
    <w:div w:id="1244678130">
      <w:bodyDiv w:val="1"/>
      <w:marLeft w:val="0"/>
      <w:marRight w:val="0"/>
      <w:marTop w:val="0"/>
      <w:marBottom w:val="0"/>
      <w:divBdr>
        <w:top w:val="none" w:sz="0" w:space="0" w:color="auto"/>
        <w:left w:val="none" w:sz="0" w:space="0" w:color="auto"/>
        <w:bottom w:val="none" w:sz="0" w:space="0" w:color="auto"/>
        <w:right w:val="none" w:sz="0" w:space="0" w:color="auto"/>
      </w:divBdr>
    </w:div>
    <w:div w:id="1251696718">
      <w:bodyDiv w:val="1"/>
      <w:marLeft w:val="0"/>
      <w:marRight w:val="0"/>
      <w:marTop w:val="0"/>
      <w:marBottom w:val="0"/>
      <w:divBdr>
        <w:top w:val="none" w:sz="0" w:space="0" w:color="auto"/>
        <w:left w:val="none" w:sz="0" w:space="0" w:color="auto"/>
        <w:bottom w:val="none" w:sz="0" w:space="0" w:color="auto"/>
        <w:right w:val="none" w:sz="0" w:space="0" w:color="auto"/>
      </w:divBdr>
    </w:div>
    <w:div w:id="1351031342">
      <w:bodyDiv w:val="1"/>
      <w:marLeft w:val="0"/>
      <w:marRight w:val="0"/>
      <w:marTop w:val="0"/>
      <w:marBottom w:val="0"/>
      <w:divBdr>
        <w:top w:val="none" w:sz="0" w:space="0" w:color="auto"/>
        <w:left w:val="none" w:sz="0" w:space="0" w:color="auto"/>
        <w:bottom w:val="none" w:sz="0" w:space="0" w:color="auto"/>
        <w:right w:val="none" w:sz="0" w:space="0" w:color="auto"/>
      </w:divBdr>
      <w:divsChild>
        <w:div w:id="594360077">
          <w:marLeft w:val="0"/>
          <w:marRight w:val="0"/>
          <w:marTop w:val="0"/>
          <w:marBottom w:val="0"/>
          <w:divBdr>
            <w:top w:val="none" w:sz="0" w:space="0" w:color="auto"/>
            <w:left w:val="none" w:sz="0" w:space="0" w:color="auto"/>
            <w:bottom w:val="none" w:sz="0" w:space="0" w:color="auto"/>
            <w:right w:val="none" w:sz="0" w:space="0" w:color="auto"/>
          </w:divBdr>
          <w:divsChild>
            <w:div w:id="523327705">
              <w:marLeft w:val="0"/>
              <w:marRight w:val="0"/>
              <w:marTop w:val="0"/>
              <w:marBottom w:val="0"/>
              <w:divBdr>
                <w:top w:val="none" w:sz="0" w:space="0" w:color="auto"/>
                <w:left w:val="none" w:sz="0" w:space="0" w:color="auto"/>
                <w:bottom w:val="none" w:sz="0" w:space="0" w:color="auto"/>
                <w:right w:val="none" w:sz="0" w:space="0" w:color="auto"/>
              </w:divBdr>
            </w:div>
            <w:div w:id="2043702057">
              <w:marLeft w:val="0"/>
              <w:marRight w:val="0"/>
              <w:marTop w:val="0"/>
              <w:marBottom w:val="0"/>
              <w:divBdr>
                <w:top w:val="none" w:sz="0" w:space="0" w:color="auto"/>
                <w:left w:val="none" w:sz="0" w:space="0" w:color="auto"/>
                <w:bottom w:val="none" w:sz="0" w:space="0" w:color="auto"/>
                <w:right w:val="none" w:sz="0" w:space="0" w:color="auto"/>
              </w:divBdr>
            </w:div>
          </w:divsChild>
        </w:div>
        <w:div w:id="934022909">
          <w:marLeft w:val="0"/>
          <w:marRight w:val="0"/>
          <w:marTop w:val="0"/>
          <w:marBottom w:val="0"/>
          <w:divBdr>
            <w:top w:val="none" w:sz="0" w:space="0" w:color="auto"/>
            <w:left w:val="none" w:sz="0" w:space="0" w:color="auto"/>
            <w:bottom w:val="none" w:sz="0" w:space="0" w:color="auto"/>
            <w:right w:val="none" w:sz="0" w:space="0" w:color="auto"/>
          </w:divBdr>
          <w:divsChild>
            <w:div w:id="81339753">
              <w:marLeft w:val="0"/>
              <w:marRight w:val="0"/>
              <w:marTop w:val="0"/>
              <w:marBottom w:val="0"/>
              <w:divBdr>
                <w:top w:val="none" w:sz="0" w:space="0" w:color="auto"/>
                <w:left w:val="none" w:sz="0" w:space="0" w:color="auto"/>
                <w:bottom w:val="none" w:sz="0" w:space="0" w:color="auto"/>
                <w:right w:val="none" w:sz="0" w:space="0" w:color="auto"/>
              </w:divBdr>
            </w:div>
            <w:div w:id="1945534236">
              <w:marLeft w:val="0"/>
              <w:marRight w:val="0"/>
              <w:marTop w:val="0"/>
              <w:marBottom w:val="0"/>
              <w:divBdr>
                <w:top w:val="none" w:sz="0" w:space="0" w:color="auto"/>
                <w:left w:val="none" w:sz="0" w:space="0" w:color="auto"/>
                <w:bottom w:val="none" w:sz="0" w:space="0" w:color="auto"/>
                <w:right w:val="none" w:sz="0" w:space="0" w:color="auto"/>
              </w:divBdr>
            </w:div>
          </w:divsChild>
        </w:div>
        <w:div w:id="1274509380">
          <w:marLeft w:val="0"/>
          <w:marRight w:val="0"/>
          <w:marTop w:val="0"/>
          <w:marBottom w:val="0"/>
          <w:divBdr>
            <w:top w:val="none" w:sz="0" w:space="0" w:color="auto"/>
            <w:left w:val="none" w:sz="0" w:space="0" w:color="auto"/>
            <w:bottom w:val="none" w:sz="0" w:space="0" w:color="auto"/>
            <w:right w:val="none" w:sz="0" w:space="0" w:color="auto"/>
          </w:divBdr>
          <w:divsChild>
            <w:div w:id="84309129">
              <w:marLeft w:val="0"/>
              <w:marRight w:val="0"/>
              <w:marTop w:val="0"/>
              <w:marBottom w:val="0"/>
              <w:divBdr>
                <w:top w:val="none" w:sz="0" w:space="0" w:color="auto"/>
                <w:left w:val="none" w:sz="0" w:space="0" w:color="auto"/>
                <w:bottom w:val="none" w:sz="0" w:space="0" w:color="auto"/>
                <w:right w:val="none" w:sz="0" w:space="0" w:color="auto"/>
              </w:divBdr>
            </w:div>
          </w:divsChild>
        </w:div>
        <w:div w:id="1391072938">
          <w:marLeft w:val="0"/>
          <w:marRight w:val="0"/>
          <w:marTop w:val="0"/>
          <w:marBottom w:val="0"/>
          <w:divBdr>
            <w:top w:val="none" w:sz="0" w:space="0" w:color="auto"/>
            <w:left w:val="none" w:sz="0" w:space="0" w:color="auto"/>
            <w:bottom w:val="none" w:sz="0" w:space="0" w:color="auto"/>
            <w:right w:val="none" w:sz="0" w:space="0" w:color="auto"/>
          </w:divBdr>
          <w:divsChild>
            <w:div w:id="409429754">
              <w:marLeft w:val="0"/>
              <w:marRight w:val="0"/>
              <w:marTop w:val="0"/>
              <w:marBottom w:val="0"/>
              <w:divBdr>
                <w:top w:val="none" w:sz="0" w:space="0" w:color="auto"/>
                <w:left w:val="none" w:sz="0" w:space="0" w:color="auto"/>
                <w:bottom w:val="none" w:sz="0" w:space="0" w:color="auto"/>
                <w:right w:val="none" w:sz="0" w:space="0" w:color="auto"/>
              </w:divBdr>
            </w:div>
            <w:div w:id="898976852">
              <w:marLeft w:val="0"/>
              <w:marRight w:val="0"/>
              <w:marTop w:val="0"/>
              <w:marBottom w:val="0"/>
              <w:divBdr>
                <w:top w:val="none" w:sz="0" w:space="0" w:color="auto"/>
                <w:left w:val="none" w:sz="0" w:space="0" w:color="auto"/>
                <w:bottom w:val="none" w:sz="0" w:space="0" w:color="auto"/>
                <w:right w:val="none" w:sz="0" w:space="0" w:color="auto"/>
              </w:divBdr>
            </w:div>
          </w:divsChild>
        </w:div>
        <w:div w:id="1820682274">
          <w:marLeft w:val="0"/>
          <w:marRight w:val="0"/>
          <w:marTop w:val="0"/>
          <w:marBottom w:val="0"/>
          <w:divBdr>
            <w:top w:val="none" w:sz="0" w:space="0" w:color="auto"/>
            <w:left w:val="none" w:sz="0" w:space="0" w:color="auto"/>
            <w:bottom w:val="none" w:sz="0" w:space="0" w:color="auto"/>
            <w:right w:val="none" w:sz="0" w:space="0" w:color="auto"/>
          </w:divBdr>
          <w:divsChild>
            <w:div w:id="362636178">
              <w:marLeft w:val="0"/>
              <w:marRight w:val="0"/>
              <w:marTop w:val="0"/>
              <w:marBottom w:val="0"/>
              <w:divBdr>
                <w:top w:val="none" w:sz="0" w:space="0" w:color="auto"/>
                <w:left w:val="none" w:sz="0" w:space="0" w:color="auto"/>
                <w:bottom w:val="none" w:sz="0" w:space="0" w:color="auto"/>
                <w:right w:val="none" w:sz="0" w:space="0" w:color="auto"/>
              </w:divBdr>
            </w:div>
            <w:div w:id="2025865942">
              <w:marLeft w:val="0"/>
              <w:marRight w:val="0"/>
              <w:marTop w:val="0"/>
              <w:marBottom w:val="0"/>
              <w:divBdr>
                <w:top w:val="none" w:sz="0" w:space="0" w:color="auto"/>
                <w:left w:val="none" w:sz="0" w:space="0" w:color="auto"/>
                <w:bottom w:val="none" w:sz="0" w:space="0" w:color="auto"/>
                <w:right w:val="none" w:sz="0" w:space="0" w:color="auto"/>
              </w:divBdr>
            </w:div>
          </w:divsChild>
        </w:div>
        <w:div w:id="1967541797">
          <w:marLeft w:val="0"/>
          <w:marRight w:val="0"/>
          <w:marTop w:val="0"/>
          <w:marBottom w:val="0"/>
          <w:divBdr>
            <w:top w:val="none" w:sz="0" w:space="0" w:color="auto"/>
            <w:left w:val="none" w:sz="0" w:space="0" w:color="auto"/>
            <w:bottom w:val="none" w:sz="0" w:space="0" w:color="auto"/>
            <w:right w:val="none" w:sz="0" w:space="0" w:color="auto"/>
          </w:divBdr>
          <w:divsChild>
            <w:div w:id="1273979180">
              <w:marLeft w:val="0"/>
              <w:marRight w:val="0"/>
              <w:marTop w:val="0"/>
              <w:marBottom w:val="0"/>
              <w:divBdr>
                <w:top w:val="none" w:sz="0" w:space="0" w:color="auto"/>
                <w:left w:val="none" w:sz="0" w:space="0" w:color="auto"/>
                <w:bottom w:val="none" w:sz="0" w:space="0" w:color="auto"/>
                <w:right w:val="none" w:sz="0" w:space="0" w:color="auto"/>
              </w:divBdr>
            </w:div>
            <w:div w:id="17263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7987">
      <w:bodyDiv w:val="1"/>
      <w:marLeft w:val="0"/>
      <w:marRight w:val="0"/>
      <w:marTop w:val="0"/>
      <w:marBottom w:val="0"/>
      <w:divBdr>
        <w:top w:val="none" w:sz="0" w:space="0" w:color="auto"/>
        <w:left w:val="none" w:sz="0" w:space="0" w:color="auto"/>
        <w:bottom w:val="none" w:sz="0" w:space="0" w:color="auto"/>
        <w:right w:val="none" w:sz="0" w:space="0" w:color="auto"/>
      </w:divBdr>
    </w:div>
    <w:div w:id="1429813668">
      <w:bodyDiv w:val="1"/>
      <w:marLeft w:val="0"/>
      <w:marRight w:val="0"/>
      <w:marTop w:val="0"/>
      <w:marBottom w:val="0"/>
      <w:divBdr>
        <w:top w:val="none" w:sz="0" w:space="0" w:color="auto"/>
        <w:left w:val="none" w:sz="0" w:space="0" w:color="auto"/>
        <w:bottom w:val="none" w:sz="0" w:space="0" w:color="auto"/>
        <w:right w:val="none" w:sz="0" w:space="0" w:color="auto"/>
      </w:divBdr>
    </w:div>
    <w:div w:id="143794723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83447171">
      <w:bodyDiv w:val="1"/>
      <w:marLeft w:val="0"/>
      <w:marRight w:val="0"/>
      <w:marTop w:val="0"/>
      <w:marBottom w:val="0"/>
      <w:divBdr>
        <w:top w:val="none" w:sz="0" w:space="0" w:color="auto"/>
        <w:left w:val="none" w:sz="0" w:space="0" w:color="auto"/>
        <w:bottom w:val="none" w:sz="0" w:space="0" w:color="auto"/>
        <w:right w:val="none" w:sz="0" w:space="0" w:color="auto"/>
      </w:divBdr>
      <w:divsChild>
        <w:div w:id="1454471669">
          <w:marLeft w:val="0"/>
          <w:marRight w:val="0"/>
          <w:marTop w:val="0"/>
          <w:marBottom w:val="0"/>
          <w:divBdr>
            <w:top w:val="none" w:sz="0" w:space="0" w:color="auto"/>
            <w:left w:val="none" w:sz="0" w:space="0" w:color="auto"/>
            <w:bottom w:val="none" w:sz="0" w:space="0" w:color="auto"/>
            <w:right w:val="none" w:sz="0" w:space="0" w:color="auto"/>
          </w:divBdr>
        </w:div>
        <w:div w:id="1617131854">
          <w:marLeft w:val="0"/>
          <w:marRight w:val="0"/>
          <w:marTop w:val="0"/>
          <w:marBottom w:val="0"/>
          <w:divBdr>
            <w:top w:val="none" w:sz="0" w:space="0" w:color="auto"/>
            <w:left w:val="none" w:sz="0" w:space="0" w:color="auto"/>
            <w:bottom w:val="none" w:sz="0" w:space="0" w:color="auto"/>
            <w:right w:val="none" w:sz="0" w:space="0" w:color="auto"/>
          </w:divBdr>
        </w:div>
      </w:divsChild>
    </w:div>
    <w:div w:id="1621186263">
      <w:bodyDiv w:val="1"/>
      <w:marLeft w:val="0"/>
      <w:marRight w:val="0"/>
      <w:marTop w:val="0"/>
      <w:marBottom w:val="0"/>
      <w:divBdr>
        <w:top w:val="none" w:sz="0" w:space="0" w:color="auto"/>
        <w:left w:val="none" w:sz="0" w:space="0" w:color="auto"/>
        <w:bottom w:val="none" w:sz="0" w:space="0" w:color="auto"/>
        <w:right w:val="none" w:sz="0" w:space="0" w:color="auto"/>
      </w:divBdr>
      <w:divsChild>
        <w:div w:id="333193138">
          <w:marLeft w:val="0"/>
          <w:marRight w:val="0"/>
          <w:marTop w:val="0"/>
          <w:marBottom w:val="0"/>
          <w:divBdr>
            <w:top w:val="none" w:sz="0" w:space="0" w:color="auto"/>
            <w:left w:val="none" w:sz="0" w:space="0" w:color="auto"/>
            <w:bottom w:val="none" w:sz="0" w:space="0" w:color="auto"/>
            <w:right w:val="none" w:sz="0" w:space="0" w:color="auto"/>
          </w:divBdr>
        </w:div>
        <w:div w:id="695354607">
          <w:marLeft w:val="0"/>
          <w:marRight w:val="0"/>
          <w:marTop w:val="0"/>
          <w:marBottom w:val="0"/>
          <w:divBdr>
            <w:top w:val="none" w:sz="0" w:space="0" w:color="auto"/>
            <w:left w:val="none" w:sz="0" w:space="0" w:color="auto"/>
            <w:bottom w:val="none" w:sz="0" w:space="0" w:color="auto"/>
            <w:right w:val="none" w:sz="0" w:space="0" w:color="auto"/>
          </w:divBdr>
        </w:div>
        <w:div w:id="1533886533">
          <w:marLeft w:val="0"/>
          <w:marRight w:val="0"/>
          <w:marTop w:val="0"/>
          <w:marBottom w:val="0"/>
          <w:divBdr>
            <w:top w:val="none" w:sz="0" w:space="0" w:color="auto"/>
            <w:left w:val="none" w:sz="0" w:space="0" w:color="auto"/>
            <w:bottom w:val="none" w:sz="0" w:space="0" w:color="auto"/>
            <w:right w:val="none" w:sz="0" w:space="0" w:color="auto"/>
          </w:divBdr>
        </w:div>
        <w:div w:id="1703827421">
          <w:marLeft w:val="0"/>
          <w:marRight w:val="0"/>
          <w:marTop w:val="0"/>
          <w:marBottom w:val="0"/>
          <w:divBdr>
            <w:top w:val="none" w:sz="0" w:space="0" w:color="auto"/>
            <w:left w:val="none" w:sz="0" w:space="0" w:color="auto"/>
            <w:bottom w:val="none" w:sz="0" w:space="0" w:color="auto"/>
            <w:right w:val="none" w:sz="0" w:space="0" w:color="auto"/>
          </w:divBdr>
        </w:div>
        <w:div w:id="1894273282">
          <w:marLeft w:val="0"/>
          <w:marRight w:val="0"/>
          <w:marTop w:val="0"/>
          <w:marBottom w:val="0"/>
          <w:divBdr>
            <w:top w:val="none" w:sz="0" w:space="0" w:color="auto"/>
            <w:left w:val="none" w:sz="0" w:space="0" w:color="auto"/>
            <w:bottom w:val="none" w:sz="0" w:space="0" w:color="auto"/>
            <w:right w:val="none" w:sz="0" w:space="0" w:color="auto"/>
          </w:divBdr>
        </w:div>
      </w:divsChild>
    </w:div>
    <w:div w:id="1747338036">
      <w:bodyDiv w:val="1"/>
      <w:marLeft w:val="0"/>
      <w:marRight w:val="0"/>
      <w:marTop w:val="0"/>
      <w:marBottom w:val="0"/>
      <w:divBdr>
        <w:top w:val="none" w:sz="0" w:space="0" w:color="auto"/>
        <w:left w:val="none" w:sz="0" w:space="0" w:color="auto"/>
        <w:bottom w:val="none" w:sz="0" w:space="0" w:color="auto"/>
        <w:right w:val="none" w:sz="0" w:space="0" w:color="auto"/>
      </w:divBdr>
      <w:divsChild>
        <w:div w:id="1052075952">
          <w:marLeft w:val="0"/>
          <w:marRight w:val="0"/>
          <w:marTop w:val="0"/>
          <w:marBottom w:val="0"/>
          <w:divBdr>
            <w:top w:val="none" w:sz="0" w:space="0" w:color="auto"/>
            <w:left w:val="none" w:sz="0" w:space="0" w:color="auto"/>
            <w:bottom w:val="none" w:sz="0" w:space="0" w:color="auto"/>
            <w:right w:val="none" w:sz="0" w:space="0" w:color="auto"/>
          </w:divBdr>
          <w:divsChild>
            <w:div w:id="606619795">
              <w:marLeft w:val="0"/>
              <w:marRight w:val="0"/>
              <w:marTop w:val="0"/>
              <w:marBottom w:val="0"/>
              <w:divBdr>
                <w:top w:val="none" w:sz="0" w:space="0" w:color="auto"/>
                <w:left w:val="none" w:sz="0" w:space="0" w:color="auto"/>
                <w:bottom w:val="none" w:sz="0" w:space="0" w:color="auto"/>
                <w:right w:val="none" w:sz="0" w:space="0" w:color="auto"/>
              </w:divBdr>
            </w:div>
            <w:div w:id="1222402837">
              <w:marLeft w:val="0"/>
              <w:marRight w:val="0"/>
              <w:marTop w:val="0"/>
              <w:marBottom w:val="0"/>
              <w:divBdr>
                <w:top w:val="none" w:sz="0" w:space="0" w:color="auto"/>
                <w:left w:val="none" w:sz="0" w:space="0" w:color="auto"/>
                <w:bottom w:val="none" w:sz="0" w:space="0" w:color="auto"/>
                <w:right w:val="none" w:sz="0" w:space="0" w:color="auto"/>
              </w:divBdr>
            </w:div>
            <w:div w:id="1385105427">
              <w:marLeft w:val="0"/>
              <w:marRight w:val="0"/>
              <w:marTop w:val="0"/>
              <w:marBottom w:val="0"/>
              <w:divBdr>
                <w:top w:val="none" w:sz="0" w:space="0" w:color="auto"/>
                <w:left w:val="none" w:sz="0" w:space="0" w:color="auto"/>
                <w:bottom w:val="none" w:sz="0" w:space="0" w:color="auto"/>
                <w:right w:val="none" w:sz="0" w:space="0" w:color="auto"/>
              </w:divBdr>
            </w:div>
            <w:div w:id="1398670424">
              <w:marLeft w:val="0"/>
              <w:marRight w:val="0"/>
              <w:marTop w:val="0"/>
              <w:marBottom w:val="0"/>
              <w:divBdr>
                <w:top w:val="none" w:sz="0" w:space="0" w:color="auto"/>
                <w:left w:val="none" w:sz="0" w:space="0" w:color="auto"/>
                <w:bottom w:val="none" w:sz="0" w:space="0" w:color="auto"/>
                <w:right w:val="none" w:sz="0" w:space="0" w:color="auto"/>
              </w:divBdr>
            </w:div>
          </w:divsChild>
        </w:div>
        <w:div w:id="1431855724">
          <w:marLeft w:val="0"/>
          <w:marRight w:val="0"/>
          <w:marTop w:val="0"/>
          <w:marBottom w:val="0"/>
          <w:divBdr>
            <w:top w:val="none" w:sz="0" w:space="0" w:color="auto"/>
            <w:left w:val="none" w:sz="0" w:space="0" w:color="auto"/>
            <w:bottom w:val="none" w:sz="0" w:space="0" w:color="auto"/>
            <w:right w:val="none" w:sz="0" w:space="0" w:color="auto"/>
          </w:divBdr>
        </w:div>
        <w:div w:id="1683125563">
          <w:marLeft w:val="0"/>
          <w:marRight w:val="0"/>
          <w:marTop w:val="0"/>
          <w:marBottom w:val="0"/>
          <w:divBdr>
            <w:top w:val="none" w:sz="0" w:space="0" w:color="auto"/>
            <w:left w:val="none" w:sz="0" w:space="0" w:color="auto"/>
            <w:bottom w:val="none" w:sz="0" w:space="0" w:color="auto"/>
            <w:right w:val="none" w:sz="0" w:space="0" w:color="auto"/>
          </w:divBdr>
          <w:divsChild>
            <w:div w:id="82801441">
              <w:marLeft w:val="0"/>
              <w:marRight w:val="0"/>
              <w:marTop w:val="0"/>
              <w:marBottom w:val="0"/>
              <w:divBdr>
                <w:top w:val="none" w:sz="0" w:space="0" w:color="auto"/>
                <w:left w:val="none" w:sz="0" w:space="0" w:color="auto"/>
                <w:bottom w:val="none" w:sz="0" w:space="0" w:color="auto"/>
                <w:right w:val="none" w:sz="0" w:space="0" w:color="auto"/>
              </w:divBdr>
            </w:div>
            <w:div w:id="874122883">
              <w:marLeft w:val="0"/>
              <w:marRight w:val="0"/>
              <w:marTop w:val="0"/>
              <w:marBottom w:val="0"/>
              <w:divBdr>
                <w:top w:val="none" w:sz="0" w:space="0" w:color="auto"/>
                <w:left w:val="none" w:sz="0" w:space="0" w:color="auto"/>
                <w:bottom w:val="none" w:sz="0" w:space="0" w:color="auto"/>
                <w:right w:val="none" w:sz="0" w:space="0" w:color="auto"/>
              </w:divBdr>
            </w:div>
            <w:div w:id="1039284087">
              <w:marLeft w:val="0"/>
              <w:marRight w:val="0"/>
              <w:marTop w:val="0"/>
              <w:marBottom w:val="0"/>
              <w:divBdr>
                <w:top w:val="none" w:sz="0" w:space="0" w:color="auto"/>
                <w:left w:val="none" w:sz="0" w:space="0" w:color="auto"/>
                <w:bottom w:val="none" w:sz="0" w:space="0" w:color="auto"/>
                <w:right w:val="none" w:sz="0" w:space="0" w:color="auto"/>
              </w:divBdr>
            </w:div>
            <w:div w:id="1750955268">
              <w:marLeft w:val="0"/>
              <w:marRight w:val="0"/>
              <w:marTop w:val="0"/>
              <w:marBottom w:val="0"/>
              <w:divBdr>
                <w:top w:val="none" w:sz="0" w:space="0" w:color="auto"/>
                <w:left w:val="none" w:sz="0" w:space="0" w:color="auto"/>
                <w:bottom w:val="none" w:sz="0" w:space="0" w:color="auto"/>
                <w:right w:val="none" w:sz="0" w:space="0" w:color="auto"/>
              </w:divBdr>
            </w:div>
          </w:divsChild>
        </w:div>
        <w:div w:id="1902017303">
          <w:marLeft w:val="0"/>
          <w:marRight w:val="0"/>
          <w:marTop w:val="0"/>
          <w:marBottom w:val="0"/>
          <w:divBdr>
            <w:top w:val="none" w:sz="0" w:space="0" w:color="auto"/>
            <w:left w:val="none" w:sz="0" w:space="0" w:color="auto"/>
            <w:bottom w:val="none" w:sz="0" w:space="0" w:color="auto"/>
            <w:right w:val="none" w:sz="0" w:space="0" w:color="auto"/>
          </w:divBdr>
        </w:div>
      </w:divsChild>
    </w:div>
    <w:div w:id="1895770136">
      <w:bodyDiv w:val="1"/>
      <w:marLeft w:val="0"/>
      <w:marRight w:val="0"/>
      <w:marTop w:val="0"/>
      <w:marBottom w:val="0"/>
      <w:divBdr>
        <w:top w:val="none" w:sz="0" w:space="0" w:color="auto"/>
        <w:left w:val="none" w:sz="0" w:space="0" w:color="auto"/>
        <w:bottom w:val="none" w:sz="0" w:space="0" w:color="auto"/>
        <w:right w:val="none" w:sz="0" w:space="0" w:color="auto"/>
      </w:divBdr>
    </w:div>
    <w:div w:id="2025283270">
      <w:bodyDiv w:val="1"/>
      <w:marLeft w:val="0"/>
      <w:marRight w:val="0"/>
      <w:marTop w:val="0"/>
      <w:marBottom w:val="0"/>
      <w:divBdr>
        <w:top w:val="none" w:sz="0" w:space="0" w:color="auto"/>
        <w:left w:val="none" w:sz="0" w:space="0" w:color="auto"/>
        <w:bottom w:val="none" w:sz="0" w:space="0" w:color="auto"/>
        <w:right w:val="none" w:sz="0" w:space="0" w:color="auto"/>
      </w:divBdr>
      <w:divsChild>
        <w:div w:id="32778860">
          <w:marLeft w:val="0"/>
          <w:marRight w:val="0"/>
          <w:marTop w:val="0"/>
          <w:marBottom w:val="0"/>
          <w:divBdr>
            <w:top w:val="none" w:sz="0" w:space="0" w:color="auto"/>
            <w:left w:val="none" w:sz="0" w:space="0" w:color="auto"/>
            <w:bottom w:val="none" w:sz="0" w:space="0" w:color="auto"/>
            <w:right w:val="none" w:sz="0" w:space="0" w:color="auto"/>
          </w:divBdr>
        </w:div>
        <w:div w:id="267931903">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0"/>
          <w:marBottom w:val="0"/>
          <w:divBdr>
            <w:top w:val="none" w:sz="0" w:space="0" w:color="auto"/>
            <w:left w:val="none" w:sz="0" w:space="0" w:color="auto"/>
            <w:bottom w:val="none" w:sz="0" w:space="0" w:color="auto"/>
            <w:right w:val="none" w:sz="0" w:space="0" w:color="auto"/>
          </w:divBdr>
        </w:div>
        <w:div w:id="360859473">
          <w:marLeft w:val="0"/>
          <w:marRight w:val="0"/>
          <w:marTop w:val="0"/>
          <w:marBottom w:val="0"/>
          <w:divBdr>
            <w:top w:val="none" w:sz="0" w:space="0" w:color="auto"/>
            <w:left w:val="none" w:sz="0" w:space="0" w:color="auto"/>
            <w:bottom w:val="none" w:sz="0" w:space="0" w:color="auto"/>
            <w:right w:val="none" w:sz="0" w:space="0" w:color="auto"/>
          </w:divBdr>
        </w:div>
        <w:div w:id="405342478">
          <w:marLeft w:val="0"/>
          <w:marRight w:val="0"/>
          <w:marTop w:val="0"/>
          <w:marBottom w:val="0"/>
          <w:divBdr>
            <w:top w:val="none" w:sz="0" w:space="0" w:color="auto"/>
            <w:left w:val="none" w:sz="0" w:space="0" w:color="auto"/>
            <w:bottom w:val="none" w:sz="0" w:space="0" w:color="auto"/>
            <w:right w:val="none" w:sz="0" w:space="0" w:color="auto"/>
          </w:divBdr>
        </w:div>
        <w:div w:id="476610339">
          <w:marLeft w:val="0"/>
          <w:marRight w:val="0"/>
          <w:marTop w:val="0"/>
          <w:marBottom w:val="0"/>
          <w:divBdr>
            <w:top w:val="none" w:sz="0" w:space="0" w:color="auto"/>
            <w:left w:val="none" w:sz="0" w:space="0" w:color="auto"/>
            <w:bottom w:val="none" w:sz="0" w:space="0" w:color="auto"/>
            <w:right w:val="none" w:sz="0" w:space="0" w:color="auto"/>
          </w:divBdr>
        </w:div>
        <w:div w:id="527762179">
          <w:marLeft w:val="0"/>
          <w:marRight w:val="0"/>
          <w:marTop w:val="0"/>
          <w:marBottom w:val="0"/>
          <w:divBdr>
            <w:top w:val="none" w:sz="0" w:space="0" w:color="auto"/>
            <w:left w:val="none" w:sz="0" w:space="0" w:color="auto"/>
            <w:bottom w:val="none" w:sz="0" w:space="0" w:color="auto"/>
            <w:right w:val="none" w:sz="0" w:space="0" w:color="auto"/>
          </w:divBdr>
        </w:div>
        <w:div w:id="622151547">
          <w:marLeft w:val="0"/>
          <w:marRight w:val="0"/>
          <w:marTop w:val="0"/>
          <w:marBottom w:val="0"/>
          <w:divBdr>
            <w:top w:val="none" w:sz="0" w:space="0" w:color="auto"/>
            <w:left w:val="none" w:sz="0" w:space="0" w:color="auto"/>
            <w:bottom w:val="none" w:sz="0" w:space="0" w:color="auto"/>
            <w:right w:val="none" w:sz="0" w:space="0" w:color="auto"/>
          </w:divBdr>
        </w:div>
        <w:div w:id="677924982">
          <w:marLeft w:val="0"/>
          <w:marRight w:val="0"/>
          <w:marTop w:val="0"/>
          <w:marBottom w:val="0"/>
          <w:divBdr>
            <w:top w:val="none" w:sz="0" w:space="0" w:color="auto"/>
            <w:left w:val="none" w:sz="0" w:space="0" w:color="auto"/>
            <w:bottom w:val="none" w:sz="0" w:space="0" w:color="auto"/>
            <w:right w:val="none" w:sz="0" w:space="0" w:color="auto"/>
          </w:divBdr>
        </w:div>
        <w:div w:id="720639729">
          <w:marLeft w:val="0"/>
          <w:marRight w:val="0"/>
          <w:marTop w:val="0"/>
          <w:marBottom w:val="0"/>
          <w:divBdr>
            <w:top w:val="none" w:sz="0" w:space="0" w:color="auto"/>
            <w:left w:val="none" w:sz="0" w:space="0" w:color="auto"/>
            <w:bottom w:val="none" w:sz="0" w:space="0" w:color="auto"/>
            <w:right w:val="none" w:sz="0" w:space="0" w:color="auto"/>
          </w:divBdr>
        </w:div>
        <w:div w:id="860237549">
          <w:marLeft w:val="0"/>
          <w:marRight w:val="0"/>
          <w:marTop w:val="0"/>
          <w:marBottom w:val="0"/>
          <w:divBdr>
            <w:top w:val="none" w:sz="0" w:space="0" w:color="auto"/>
            <w:left w:val="none" w:sz="0" w:space="0" w:color="auto"/>
            <w:bottom w:val="none" w:sz="0" w:space="0" w:color="auto"/>
            <w:right w:val="none" w:sz="0" w:space="0" w:color="auto"/>
          </w:divBdr>
        </w:div>
        <w:div w:id="1089037044">
          <w:marLeft w:val="0"/>
          <w:marRight w:val="0"/>
          <w:marTop w:val="0"/>
          <w:marBottom w:val="0"/>
          <w:divBdr>
            <w:top w:val="none" w:sz="0" w:space="0" w:color="auto"/>
            <w:left w:val="none" w:sz="0" w:space="0" w:color="auto"/>
            <w:bottom w:val="none" w:sz="0" w:space="0" w:color="auto"/>
            <w:right w:val="none" w:sz="0" w:space="0" w:color="auto"/>
          </w:divBdr>
        </w:div>
        <w:div w:id="1390612532">
          <w:marLeft w:val="0"/>
          <w:marRight w:val="0"/>
          <w:marTop w:val="0"/>
          <w:marBottom w:val="0"/>
          <w:divBdr>
            <w:top w:val="none" w:sz="0" w:space="0" w:color="auto"/>
            <w:left w:val="none" w:sz="0" w:space="0" w:color="auto"/>
            <w:bottom w:val="none" w:sz="0" w:space="0" w:color="auto"/>
            <w:right w:val="none" w:sz="0" w:space="0" w:color="auto"/>
          </w:divBdr>
        </w:div>
        <w:div w:id="1446272771">
          <w:marLeft w:val="0"/>
          <w:marRight w:val="0"/>
          <w:marTop w:val="0"/>
          <w:marBottom w:val="0"/>
          <w:divBdr>
            <w:top w:val="none" w:sz="0" w:space="0" w:color="auto"/>
            <w:left w:val="none" w:sz="0" w:space="0" w:color="auto"/>
            <w:bottom w:val="none" w:sz="0" w:space="0" w:color="auto"/>
            <w:right w:val="none" w:sz="0" w:space="0" w:color="auto"/>
          </w:divBdr>
        </w:div>
        <w:div w:id="1566260415">
          <w:marLeft w:val="0"/>
          <w:marRight w:val="0"/>
          <w:marTop w:val="0"/>
          <w:marBottom w:val="0"/>
          <w:divBdr>
            <w:top w:val="none" w:sz="0" w:space="0" w:color="auto"/>
            <w:left w:val="none" w:sz="0" w:space="0" w:color="auto"/>
            <w:bottom w:val="none" w:sz="0" w:space="0" w:color="auto"/>
            <w:right w:val="none" w:sz="0" w:space="0" w:color="auto"/>
          </w:divBdr>
        </w:div>
        <w:div w:id="1638142121">
          <w:marLeft w:val="0"/>
          <w:marRight w:val="0"/>
          <w:marTop w:val="0"/>
          <w:marBottom w:val="0"/>
          <w:divBdr>
            <w:top w:val="none" w:sz="0" w:space="0" w:color="auto"/>
            <w:left w:val="none" w:sz="0" w:space="0" w:color="auto"/>
            <w:bottom w:val="none" w:sz="0" w:space="0" w:color="auto"/>
            <w:right w:val="none" w:sz="0" w:space="0" w:color="auto"/>
          </w:divBdr>
        </w:div>
        <w:div w:id="1675494117">
          <w:marLeft w:val="0"/>
          <w:marRight w:val="0"/>
          <w:marTop w:val="0"/>
          <w:marBottom w:val="0"/>
          <w:divBdr>
            <w:top w:val="none" w:sz="0" w:space="0" w:color="auto"/>
            <w:left w:val="none" w:sz="0" w:space="0" w:color="auto"/>
            <w:bottom w:val="none" w:sz="0" w:space="0" w:color="auto"/>
            <w:right w:val="none" w:sz="0" w:space="0" w:color="auto"/>
          </w:divBdr>
        </w:div>
        <w:div w:id="1759135206">
          <w:marLeft w:val="0"/>
          <w:marRight w:val="0"/>
          <w:marTop w:val="0"/>
          <w:marBottom w:val="0"/>
          <w:divBdr>
            <w:top w:val="none" w:sz="0" w:space="0" w:color="auto"/>
            <w:left w:val="none" w:sz="0" w:space="0" w:color="auto"/>
            <w:bottom w:val="none" w:sz="0" w:space="0" w:color="auto"/>
            <w:right w:val="none" w:sz="0" w:space="0" w:color="auto"/>
          </w:divBdr>
        </w:div>
        <w:div w:id="1801074145">
          <w:marLeft w:val="0"/>
          <w:marRight w:val="0"/>
          <w:marTop w:val="0"/>
          <w:marBottom w:val="0"/>
          <w:divBdr>
            <w:top w:val="none" w:sz="0" w:space="0" w:color="auto"/>
            <w:left w:val="none" w:sz="0" w:space="0" w:color="auto"/>
            <w:bottom w:val="none" w:sz="0" w:space="0" w:color="auto"/>
            <w:right w:val="none" w:sz="0" w:space="0" w:color="auto"/>
          </w:divBdr>
        </w:div>
      </w:divsChild>
    </w:div>
    <w:div w:id="208522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Details/F2019C00136" TargetMode="External"/><Relationship Id="rId18" Type="http://schemas.openxmlformats.org/officeDocument/2006/relationships/hyperlink" Target="https://www.tga.gov.au/resources/publication/publications/health-products-regulation-group-regulatory-science-strategy-2020-2025" TargetMode="External"/><Relationship Id="rId26" Type="http://schemas.openxmlformats.org/officeDocument/2006/relationships/image" Target="media/image6.png"/><Relationship Id="rId39" Type="http://schemas.openxmlformats.org/officeDocument/2006/relationships/hyperlink" Target="https://www.tga.gov.au/news/news/new-guidance-published-manufacturer-evidence-ivd-medical-devices" TargetMode="External"/><Relationship Id="rId21" Type="http://schemas.openxmlformats.org/officeDocument/2006/relationships/image" Target="media/image2.png"/><Relationship Id="rId34" Type="http://schemas.openxmlformats.org/officeDocument/2006/relationships/hyperlink" Target="https://www.tga.gov.au/how-we-regulate/manufacturing/manufacture-medicine/good-manufacturing-practice-gmp/international-agreements-and-arrangements-gmp-clearance" TargetMode="External"/><Relationship Id="rId42" Type="http://schemas.openxmlformats.org/officeDocument/2006/relationships/hyperlink" Target="https://www.tga.gov.au/resources/resource/guidance/application-requirements-new-substances-listed-medicines" TargetMode="External"/><Relationship Id="rId47" Type="http://schemas.openxmlformats.org/officeDocument/2006/relationships/hyperlink" Target="https://www.tga.gov.au/publication/australian-regulatory-guidelines-biologicals-argb" TargetMode="External"/><Relationship Id="rId50" Type="http://schemas.openxmlformats.org/officeDocument/2006/relationships/hyperlink" Target="https://www.tga.gov.au/resources/resource/guidance/good-clinical-practice-gcp-inspection-program" TargetMode="External"/><Relationship Id="rId55" Type="http://schemas.openxmlformats.org/officeDocument/2006/relationships/hyperlink" Target="https://www.tga.gov.au/safety/shortages/medicine-shortage-alerts/substitution-instrument-address-shortage-coumadin-warfarin-5mg-tablet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resources/publication/publications/therapeutic-goods-advertising-compliance-2022-23-annual-report" TargetMode="External"/><Relationship Id="rId20" Type="http://schemas.openxmlformats.org/officeDocument/2006/relationships/hyperlink" Target="https://www.tga.gov.au/resources/publication/publications/tga-business-plan-2022-23" TargetMode="External"/><Relationship Id="rId29" Type="http://schemas.openxmlformats.org/officeDocument/2006/relationships/image" Target="media/image9.jpg"/><Relationship Id="rId41" Type="http://schemas.openxmlformats.org/officeDocument/2006/relationships/hyperlink" Target="https://www.tga.gov.au/news/news/tga-publishes-updated-guidelines-sunscreens" TargetMode="External"/><Relationship Id="rId54" Type="http://schemas.openxmlformats.org/officeDocument/2006/relationships/hyperlink" Target="https://www.legislation.gov.au/Details/F2022L017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hyperlink" Target="https://www.tga.gov.au/how-we-regulate/advertising/how-advertise/advertising-guidance/resources/resource/guidance/guidance-applying-advertising-code-rules" TargetMode="External"/><Relationship Id="rId45" Type="http://schemas.openxmlformats.org/officeDocument/2006/relationships/image" Target="media/image16.png"/><Relationship Id="rId53" Type="http://schemas.openxmlformats.org/officeDocument/2006/relationships/hyperlink" Target="https://www.tga.gov.au/safety/shortages/medicine-shortage-alerts/substitution-allowed-address-shortage-cefalexin" TargetMode="External"/><Relationship Id="rId58" Type="http://schemas.openxmlformats.org/officeDocument/2006/relationships/hyperlink" Target="https://www.tga.gov.au/safety/shortages/medicine-shortage-alerts/antibiotics-shortage-update-and-substitution-allowed-address-shortage-cefaclor" TargetMode="External"/><Relationship Id="rId5" Type="http://schemas.openxmlformats.org/officeDocument/2006/relationships/numbering" Target="numbering.xml"/><Relationship Id="rId15" Type="http://schemas.openxmlformats.org/officeDocument/2006/relationships/hyperlink" Target="https://www.tga.gov.au/resources/publication/publications/tga-stakeholder-survey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tga.gov.au/products/travelling-medicines-and-medical-devices" TargetMode="External"/><Relationship Id="rId49" Type="http://schemas.openxmlformats.org/officeDocument/2006/relationships/hyperlink" Target="https://www.tga.gov.au/pharmacovigilance-inspection-program" TargetMode="External"/><Relationship Id="rId57" Type="http://schemas.openxmlformats.org/officeDocument/2006/relationships/hyperlink" Target="https://www.legislation.gov.au/Details/F2023L00438"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udget.gov.au/content/bp2/download/bp2_2023-24.pdf"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www.legislation.gov.au/Details/F2022L01565"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ga.gov.au/resources/publication/publications/tga-business-plan-2022-23" TargetMode="External"/><Relationship Id="rId22" Type="http://schemas.openxmlformats.org/officeDocument/2006/relationships/hyperlink" Target="https://www.tga.gov.au/safety/shortages/medicine-shortage-reports-database" TargetMode="External"/><Relationship Id="rId27" Type="http://schemas.openxmlformats.org/officeDocument/2006/relationships/image" Target="media/image7.jpg"/><Relationship Id="rId30" Type="http://schemas.openxmlformats.org/officeDocument/2006/relationships/hyperlink" Target="https://consultations.tga.gov.au/medical-devices-and-product-quality-division/feedback-on-improvements-to-the-recalls-process/user_uploads/therapeutic-goods-recall-processes---discussion-paper---january-2023-2.pdf" TargetMode="External"/><Relationship Id="rId35" Type="http://schemas.openxmlformats.org/officeDocument/2006/relationships/image" Target="media/image13.jpeg"/><Relationship Id="rId43" Type="http://schemas.openxmlformats.org/officeDocument/2006/relationships/hyperlink" Target="https://www.tga.gov.au/resources/resource/guidance/listed-medicines-training" TargetMode="External"/><Relationship Id="rId48" Type="http://schemas.openxmlformats.org/officeDocument/2006/relationships/hyperlink" Target="https://www.tga.gov.au/testing-face-masks-and-respirators" TargetMode="External"/><Relationship Id="rId56" Type="http://schemas.openxmlformats.org/officeDocument/2006/relationships/hyperlink" Target="https://www.tga.gov.au/safety/shortages/medicine-shortage-alerts/substitution-allowed-address-shortage-phenoxymethylpenicillin"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tga.gov.au/safety/shortages/medicine-shortage-alerts/substitution-allowed-address-shortage-amoxicilli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tga.gov.au/about-tga/international/tga-international-engagement-strategy"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https://www.tga.gov.au/resources/resource/guidance/section-19a-guidance-industry" TargetMode="External"/><Relationship Id="rId46" Type="http://schemas.openxmlformats.org/officeDocument/2006/relationships/hyperlink" Target="https://www.tga.gov.au/resources/publication/publications/health-products-regulation-group-regulatory-science-strategy-2020-2025" TargetMode="External"/><Relationship Id="rId59" Type="http://schemas.openxmlformats.org/officeDocument/2006/relationships/hyperlink" Target="https://www.legislation.gov.au/Details/F2023L0049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sites/default/files/real-world-evidence-and-patient-reported-outcomes-in-the-regulatory-contex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documenttasks/documenttasks1.xml><?xml version="1.0" encoding="utf-8"?>
<t:Tasks xmlns:t="http://schemas.microsoft.com/office/tasks/2019/documenttasks" xmlns:oel="http://schemas.microsoft.com/office/2019/extlst">
  <t:Task id="{67E8BE77-60E1-44C3-BB43-66B59E9B9377}">
    <t:Anchor>
      <t:Comment id="681932653"/>
    </t:Anchor>
    <t:History>
      <t:Event id="{41256D74-264A-45EF-BAB9-03D94BD17EE3}" time="2023-09-12T06:24:52.081Z">
        <t:Attribution userId="S::vanessa.caig@health.gov.au::62e4e1df-a93e-47a4-8830-937d2e959c06" userProvider="AD" userName="CAIG, Vanessa"/>
        <t:Anchor>
          <t:Comment id="892681345"/>
        </t:Anchor>
        <t:Create/>
      </t:Event>
      <t:Event id="{BD785A66-6E46-48A2-AA86-056F5EA32944}" time="2023-09-12T06:24:52.081Z">
        <t:Attribution userId="S::vanessa.caig@health.gov.au::62e4e1df-a93e-47a4-8830-937d2e959c06" userProvider="AD" userName="CAIG, Vanessa"/>
        <t:Anchor>
          <t:Comment id="892681345"/>
        </t:Anchor>
        <t:Assign userId="S::Tahli.Fenner@health.gov.au::16de0b32-d668-4bde-b625-fde0f19eb22d" userProvider="AD" userName="FENNER, Tahli"/>
      </t:Event>
      <t:Event id="{7E505A14-0E18-4943-BE1C-9927EB6DC04B}" time="2023-09-12T06:24:52.081Z">
        <t:Attribution userId="S::vanessa.caig@health.gov.au::62e4e1df-a93e-47a4-8830-937d2e959c06" userProvider="AD" userName="CAIG, Vanessa"/>
        <t:Anchor>
          <t:Comment id="892681345"/>
        </t:Anchor>
        <t:SetTitle title="@FENNER, Tahli this may need your input"/>
      </t:Event>
      <t:Event id="{BEAD9C77-A71C-46C3-B5E1-ADACE6C80890}" time="2023-09-12T06:46:03.064Z">
        <t:Attribution userId="S::tahli.fenner@health.gov.au::16de0b32-d668-4bde-b625-fde0f19eb22d" userProvider="AD" userName="FENNER, Tahli"/>
        <t:Progress percentComplete="100"/>
      </t:Event>
    </t:History>
  </t:Task>
  <t:Task id="{DD088763-72F0-47CD-92F2-6E371CE7382D}">
    <t:Anchor>
      <t:Comment id="682203204"/>
    </t:Anchor>
    <t:History>
      <t:Event id="{AA4B2DD3-C136-49D5-81ED-9292ED6E8939}" time="2023-09-13T22:34:15.087Z">
        <t:Attribution userId="S::phillipa.olrick@health.gov.au::ae673a1f-fd06-4283-bc0a-ec04bbcd4ee6" userProvider="AD" userName="OLRICK, Phillipa"/>
        <t:Anchor>
          <t:Comment id="795118948"/>
        </t:Anchor>
        <t:Create/>
      </t:Event>
      <t:Event id="{53E4766A-37EC-480E-81A4-B89E4CA8739D}" time="2023-09-13T22:34:15.087Z">
        <t:Attribution userId="S::phillipa.olrick@health.gov.au::ae673a1f-fd06-4283-bc0a-ec04bbcd4ee6" userProvider="AD" userName="OLRICK, Phillipa"/>
        <t:Anchor>
          <t:Comment id="795118948"/>
        </t:Anchor>
        <t:Assign userId="S::Natasha.VANDEBRUG3@Health.gov.au::86639aff-9737-4955-9b7c-68413b68acc4" userProvider="AD" userName="VAN DE BRUG, Natasha"/>
      </t:Event>
      <t:Event id="{24E24D0B-28A8-45C3-AE64-061AEFF3874F}" time="2023-09-13T22:34:15.087Z">
        <t:Attribution userId="S::phillipa.olrick@health.gov.au::ae673a1f-fd06-4283-bc0a-ec04bbcd4ee6" userProvider="AD" userName="OLRICK, Phillipa"/>
        <t:Anchor>
          <t:Comment id="795118948"/>
        </t:Anchor>
        <t:SetTitle title="@VAN DE BRUG, Natasha - Appreciate your review this content. Thank you."/>
      </t:Event>
    </t:History>
  </t:Task>
  <t:Task id="{4F708596-30DC-426C-A8F4-1746BD9889D6}">
    <t:Anchor>
      <t:Comment id="976011948"/>
    </t:Anchor>
    <t:History>
      <t:Event id="{31168386-C644-4616-9422-AEE98CBE8E21}" time="2023-11-14T09:07:53.444Z">
        <t:Attribution userId="S::olivia.richardson@health.gov.au::7748e3e5-ff60-496f-9b7f-f81a78a3368a" userProvider="AD" userName="RICHARDSON, Olivia"/>
        <t:Anchor>
          <t:Comment id="976011948"/>
        </t:Anchor>
        <t:Create/>
      </t:Event>
      <t:Event id="{159D3E99-D840-46FB-848F-4047A9F8E7F5}" time="2023-11-14T09:07:53.444Z">
        <t:Attribution userId="S::olivia.richardson@health.gov.au::7748e3e5-ff60-496f-9b7f-f81a78a3368a" userProvider="AD" userName="RICHARDSON, Olivia"/>
        <t:Anchor>
          <t:Comment id="976011948"/>
        </t:Anchor>
        <t:Assign userId="S::Elspeth.KAY@Health.gov.au::6ba90b27-99ae-4e40-aa59-7dd39c57e764" userProvider="AD" userName="KAY, Elspeth"/>
      </t:Event>
      <t:Event id="{D54BE8C0-5765-4259-8172-464E7857CB67}" time="2023-11-14T09:07:53.444Z">
        <t:Attribution userId="S::olivia.richardson@health.gov.au::7748e3e5-ff60-496f-9b7f-f81a78a3368a" userProvider="AD" userName="RICHARDSON, Olivia"/>
        <t:Anchor>
          <t:Comment id="976011948"/>
        </t:Anchor>
        <t:SetTitle title="Hi @KAY, Elspeth not sure if we would like to advertise this fact or not?"/>
      </t:Event>
      <t:Event id="{34C5A257-9C8D-4B94-8EF0-CAFA4CC8659D}" time="2023-11-14T22:00:56.046Z">
        <t:Attribution userId="S::olivia.richardson@health.gov.au::7748e3e5-ff60-496f-9b7f-f81a78a3368a" userProvider="AD" userName="RICHARDSON, Olivia"/>
        <t:Progress percentComplete="100"/>
      </t:Event>
    </t:History>
  </t:Task>
  <t:Task id="{9485395B-D9FC-4295-820C-82E07F0DC3A2}">
    <t:Anchor>
      <t:Comment id="527635368"/>
    </t:Anchor>
    <t:History>
      <t:Event id="{3CCD8CF3-9E4F-4509-A8DB-9744FE8E4C22}" time="2023-11-23T20:30:33.951Z">
        <t:Attribution userId="S::georgia.marler@health.gov.au::c40b2245-be09-44b7-9cc5-21ecdfcd54aa" userProvider="AD" userName="MARLER, Georgia"/>
        <t:Anchor>
          <t:Comment id="527635368"/>
        </t:Anchor>
        <t:Create/>
      </t:Event>
      <t:Event id="{0A5F019B-1BA9-417A-AEEF-CFA7F71F8FC4}" time="2023-11-23T20:30:33.951Z">
        <t:Attribution userId="S::georgia.marler@health.gov.au::c40b2245-be09-44b7-9cc5-21ecdfcd54aa" userProvider="AD" userName="MARLER, Georgia"/>
        <t:Anchor>
          <t:Comment id="527635368"/>
        </t:Anchor>
        <t:Assign userId="S::Maria.Ong@health.gov.au::ed2e60bd-1d7c-48b8-bbd2-d4ea243b8b62" userProvider="AD" userName="ONG, Maria"/>
      </t:Event>
      <t:Event id="{332DC779-2E03-4E22-895C-5F88A6EC8F97}" time="2023-11-23T20:30:33.951Z">
        <t:Attribution userId="S::georgia.marler@health.gov.au::c40b2245-be09-44b7-9cc5-21ecdfcd54aa" userProvider="AD" userName="MARLER, Georgia"/>
        <t:Anchor>
          <t:Comment id="527635368"/>
        </t:Anchor>
        <t:SetTitle title="@ONG, Maria Can you please include some input in relation to the working groups?"/>
      </t:Event>
    </t:History>
  </t:Task>
  <t:Task id="{E2F823B3-849F-4DC9-852F-AA0D773B975C}">
    <t:Anchor>
      <t:Comment id="1914171026"/>
    </t:Anchor>
    <t:History>
      <t:Event id="{CC66364B-E677-4D55-9A6A-E7E26BA845DF}" time="2023-11-16T23:35:40.954Z">
        <t:Attribution userId="S::elspeth.kay@health.gov.au::6ba90b27-99ae-4e40-aa59-7dd39c57e764" userProvider="AD" userName="KAY, Elspeth"/>
        <t:Anchor>
          <t:Comment id="1914171026"/>
        </t:Anchor>
        <t:Create/>
      </t:Event>
      <t:Event id="{C1C050F8-F4D1-4E79-A099-FD52792BCA2D}" time="2023-11-16T23:35:40.954Z">
        <t:Attribution userId="S::elspeth.kay@health.gov.au::6ba90b27-99ae-4e40-aa59-7dd39c57e764" userProvider="AD" userName="KAY, Elspeth"/>
        <t:Anchor>
          <t:Comment id="1914171026"/>
        </t:Anchor>
        <t:Assign userId="S::Fiona.MACKINNON@Health.gov.au::935940b3-1850-40f4-8cbf-b22af8958580" userProvider="AD" userName="MACKINNON, Fiona"/>
      </t:Event>
      <t:Event id="{65A6E2FA-7807-4608-BBD2-32503560DE9E}" time="2023-11-16T23:35:40.954Z">
        <t:Attribution userId="S::elspeth.kay@health.gov.au::6ba90b27-99ae-4e40-aa59-7dd39c57e764" userProvider="AD" userName="KAY, Elspeth"/>
        <t:Anchor>
          <t:Comment id="1914171026"/>
        </t:Anchor>
        <t:SetTitle title="@MACKINNON, Fiona please could your team add some info (after the next para) about the value of the changes to the DAEN?"/>
      </t:Event>
      <t:Event id="{FD65A639-95CB-424A-ACFD-EC91387E9BD7}" time="2023-11-17T02:53:35.738Z">
        <t:Attribution userId="S::elspeth.kay@health.gov.au::6ba90b27-99ae-4e40-aa59-7dd39c57e764" userProvider="AD" userName="KAY, Elspeth"/>
        <t:Progress percentComplete="100"/>
      </t:Event>
    </t:History>
  </t:Task>
  <t:Task id="{155C3E51-046B-400F-938E-A406E834760E}">
    <t:Anchor>
      <t:Comment id="1716640386"/>
    </t:Anchor>
    <t:History>
      <t:Event id="{944D90ED-A1D5-450F-99FC-566B1D72D00C}" time="2023-11-16T23:41:54.517Z">
        <t:Attribution userId="S::elspeth.kay@health.gov.au::6ba90b27-99ae-4e40-aa59-7dd39c57e764" userProvider="AD" userName="KAY, Elspeth"/>
        <t:Anchor>
          <t:Comment id="1716640386"/>
        </t:Anchor>
        <t:Create/>
      </t:Event>
      <t:Event id="{53E89FAE-6D9F-45BB-891C-7143C8263A12}" time="2023-11-16T23:41:54.517Z">
        <t:Attribution userId="S::elspeth.kay@health.gov.au::6ba90b27-99ae-4e40-aa59-7dd39c57e764" userProvider="AD" userName="KAY, Elspeth"/>
        <t:Anchor>
          <t:Comment id="1716640386"/>
        </t:Anchor>
        <t:Assign userId="S::Fiona.MACKINNON@Health.gov.au::935940b3-1850-40f4-8cbf-b22af8958580" userProvider="AD" userName="MACKINNON, Fiona"/>
      </t:Event>
      <t:Event id="{9CBEA378-02EB-4E4E-947B-E4329278E592}" time="2023-11-16T23:41:54.517Z">
        <t:Attribution userId="S::elspeth.kay@health.gov.au::6ba90b27-99ae-4e40-aa59-7dd39c57e764" userProvider="AD" userName="KAY, Elspeth"/>
        <t:Anchor>
          <t:Comment id="1716640386"/>
        </t:Anchor>
        <t:SetTitle title="@MACKINNON, Fiona please could your team add some words here about education and awareness activities? I think we could talk about continuing to publish MSU and safety alerts and the weekly report demonstrating the value of reporting to safety …"/>
      </t:Event>
      <t:Event id="{498802D2-D59A-458C-8866-084D34F33665}" time="2023-11-17T02:54:54.609Z">
        <t:Attribution userId="S::elspeth.kay@health.gov.au::6ba90b27-99ae-4e40-aa59-7dd39c57e764" userProvider="AD" userName="KAY, Elspeth"/>
        <t:Progress percentComplete="100"/>
      </t:Event>
    </t:History>
  </t:Task>
  <t:Task id="{7D0AF534-9128-40C2-8B4A-E02A3679398E}">
    <t:Anchor>
      <t:Comment id="327128342"/>
    </t:Anchor>
    <t:History>
      <t:Event id="{092CA74D-00AF-4FC2-8FDA-4EF4E5C64F8D}" time="2023-11-16T23:39:46.966Z">
        <t:Attribution userId="S::elspeth.kay@health.gov.au::6ba90b27-99ae-4e40-aa59-7dd39c57e764" userProvider="AD" userName="KAY, Elspeth"/>
        <t:Anchor>
          <t:Comment id="327128342"/>
        </t:Anchor>
        <t:Create/>
      </t:Event>
      <t:Event id="{88753045-6315-4419-A06C-DFA5CBF814FF}" time="2023-11-16T23:39:46.966Z">
        <t:Attribution userId="S::elspeth.kay@health.gov.au::6ba90b27-99ae-4e40-aa59-7dd39c57e764" userProvider="AD" userName="KAY, Elspeth"/>
        <t:Anchor>
          <t:Comment id="327128342"/>
        </t:Anchor>
        <t:Assign userId="S::Sophie.Russell@health.gov.au::c887d8aa-0db1-47a5-bc5d-d959deaa869b" userProvider="AD" userName="RUSSELL, Sophie"/>
      </t:Event>
      <t:Event id="{443BEEF0-A72F-494B-84D1-344B45764C8B}" time="2023-11-16T23:39:46.966Z">
        <t:Attribution userId="S::elspeth.kay@health.gov.au::6ba90b27-99ae-4e40-aa59-7dd39c57e764" userProvider="AD" userName="KAY, Elspeth"/>
        <t:Anchor>
          <t:Comment id="327128342"/>
        </t:Anchor>
        <t:SetTitle title="@RUSSELL, Sophie please could your team add some information here about links with universities to enhance our regulatory practice? Could mention regular meetings with MI-CRE and work with NCIRS (annual AEFI reports plus investigations?)"/>
      </t:Event>
      <t:Event id="{50F92EDF-A632-4C32-960E-22F02136B1C3}" time="2023-11-17T02:14:06.506Z">
        <t:Attribution userId="S::sophie.russell@health.gov.au::c887d8aa-0db1-47a5-bc5d-d959deaa869b" userProvider="AD" userName="RUSSELL, Sophie"/>
        <t:Anchor>
          <t:Comment id="78298959"/>
        </t:Anchor>
        <t:UnassignAll/>
      </t:Event>
      <t:Event id="{5EA66936-3352-4AC3-A6E2-7203E5DB67C3}" time="2023-11-17T02:14:06.506Z">
        <t:Attribution userId="S::sophie.russell@health.gov.au::c887d8aa-0db1-47a5-bc5d-d959deaa869b" userProvider="AD" userName="RUSSELL, Sophie"/>
        <t:Anchor>
          <t:Comment id="78298959"/>
        </t:Anchor>
        <t:Assign userId="S::Elspeth.KAY@Health.gov.au::6ba90b27-99ae-4e40-aa59-7dd39c57e764" userProvider="AD" userName="KAY, Elspeth"/>
      </t:Event>
      <t:Event id="{448C310A-E8AF-4445-BD2F-9BF54CB11ECF}" time="2023-11-17T02:54:59.012Z">
        <t:Attribution userId="S::elspeth.kay@health.gov.au::6ba90b27-99ae-4e40-aa59-7dd39c57e764" userProvider="AD" userName="KAY, Elspeth"/>
        <t:Progress percentComplete="100"/>
      </t:Event>
    </t:History>
  </t:Task>
  <t:Task id="{E994E2B0-9516-42DD-80FC-5E2756E4AD47}">
    <t:Anchor>
      <t:Comment id="897083888"/>
    </t:Anchor>
    <t:History>
      <t:Event id="{A9A9050B-32CA-4BB4-8637-C283AC39B8D2}" time="2023-11-21T02:46:46.092Z">
        <t:Attribution userId="S::elise.watt@health.gov.au::3247a67c-98c3-46d3-981d-d3af35e532eb" userProvider="AD" userName="WATT, Elise"/>
        <t:Anchor>
          <t:Comment id="822097231"/>
        </t:Anchor>
        <t:Create/>
      </t:Event>
      <t:Event id="{C2771012-11F1-4DD6-81A6-FD33B146F19E}" time="2023-11-21T02:46:46.092Z">
        <t:Attribution userId="S::elise.watt@health.gov.au::3247a67c-98c3-46d3-981d-d3af35e532eb" userProvider="AD" userName="WATT, Elise"/>
        <t:Anchor>
          <t:Comment id="822097231"/>
        </t:Anchor>
        <t:Assign userId="S::Kaylene.Raynes@health.gov.au::d5fb3657-fc06-4270-ae11-8272f4b11320" userProvider="AD" userName="RAYNES, Kaylene"/>
      </t:Event>
      <t:Event id="{AA90DD8F-E511-42D0-B09A-6973B447020D}" time="2023-11-21T02:46:46.092Z">
        <t:Attribution userId="S::elise.watt@health.gov.au::3247a67c-98c3-46d3-981d-d3af35e532eb" userProvider="AD" userName="WATT, Elise"/>
        <t:Anchor>
          <t:Comment id="822097231"/>
        </t:Anchor>
        <t:SetTitle title="Hello @RAYNES, Kaylene amd @HABERMEHL, Nicolle - I have had a go at shortening this, can you please let me know if it's okay or make edits? We are going to be updating this table to it looks a lot clearer but agree the naming conventions need to be …"/>
      </t:Event>
    </t:History>
  </t:Task>
</t:Task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5" ma:contentTypeDescription="Create a new document." ma:contentTypeScope="" ma:versionID="0e0589afe275bf2c08c6cf713fa8d60b">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c1e806050582725296aec7152663c446"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11bf8d-7caa-406f-aac4-39f7ba1f5f20">
      <UserInfo>
        <DisplayName>PATEL, Zaheeda</DisplayName>
        <AccountId>29</AccountId>
        <AccountType/>
      </UserInfo>
      <UserInfo>
        <DisplayName>KEARNS, Kylie</DisplayName>
        <AccountId>14</AccountId>
        <AccountType/>
      </UserInfo>
      <UserInfo>
        <DisplayName>SHIRES, Lucy</DisplayName>
        <AccountId>115</AccountId>
        <AccountType/>
      </UserInfo>
      <UserInfo>
        <DisplayName>LOSIK, Andrew</DisplayName>
        <AccountId>45</AccountId>
        <AccountType/>
      </UserInfo>
      <UserInfo>
        <DisplayName>KRASOWSKI, Shari</DisplayName>
        <AccountId>51</AccountId>
        <AccountType/>
      </UserInfo>
      <UserInfo>
        <DisplayName>NOYEN, Benjamin</DisplayName>
        <AccountId>113</AccountId>
        <AccountType/>
      </UserInfo>
      <UserInfo>
        <DisplayName>FLOOD, Daniel</DisplayName>
        <AccountId>120</AccountId>
        <AccountType/>
      </UserInfo>
      <UserInfo>
        <DisplayName>BEDFORD, Chris</DisplayName>
        <AccountId>131</AccountId>
        <AccountType/>
      </UserInfo>
      <UserInfo>
        <DisplayName>DERYNGOWSKI, Annette</DisplayName>
        <AccountId>39</AccountId>
        <AccountType/>
      </UserInfo>
      <UserInfo>
        <DisplayName>REBERA, Avi</DisplayName>
        <AccountId>50</AccountId>
        <AccountType/>
      </UserInfo>
      <UserInfo>
        <DisplayName>TRUSSLER, Kalista</DisplayName>
        <AccountId>58</AccountId>
        <AccountType/>
      </UserInfo>
      <UserInfo>
        <DisplayName>MCLAY, Nicole</DisplayName>
        <AccountId>52</AccountId>
        <AccountType/>
      </UserInfo>
      <UserInfo>
        <DisplayName>HUTCHISON, Grace</DisplayName>
        <AccountId>61</AccountId>
        <AccountType/>
      </UserInfo>
      <UserInfo>
        <DisplayName>ALZUBI, Dania</DisplayName>
        <AccountId>59</AccountId>
        <AccountType/>
      </UserInfo>
      <UserInfo>
        <DisplayName>DREYER, Terri</DisplayName>
        <AccountId>49</AccountId>
        <AccountType/>
      </UserInfo>
      <UserInfo>
        <DisplayName>DUFFY, Tracey</DisplayName>
        <AccountId>47</AccountId>
        <AccountType/>
      </UserInfo>
      <UserInfo>
        <DisplayName>JAMIESON, John</DisplayName>
        <AccountId>138</AccountId>
        <AccountType/>
      </UserInfo>
      <UserInfo>
        <DisplayName>SHEEHAN, Deanna</DisplayName>
        <AccountId>139</AccountId>
        <AccountType/>
      </UserInfo>
      <UserInfo>
        <DisplayName>BURNETT, Jennifer</DisplayName>
        <AccountId>26</AccountId>
        <AccountType/>
      </UserInfo>
      <UserInfo>
        <DisplayName>MORGAN, Ariana</DisplayName>
        <AccountId>22</AccountId>
        <AccountType/>
      </UserInfo>
      <UserInfo>
        <DisplayName>OGILVIE, Toni</DisplayName>
        <AccountId>20</AccountId>
        <AccountType/>
      </UserInfo>
      <UserInfo>
        <DisplayName>KERR, Lisa</DisplayName>
        <AccountId>104</AccountId>
        <AccountType/>
      </UserInfo>
      <UserInfo>
        <DisplayName>HART, Neeza</DisplayName>
        <AccountId>24</AccountId>
        <AccountType/>
      </UserInfo>
      <UserInfo>
        <DisplayName>GOH, Xin-Lin</DisplayName>
        <AccountId>25</AccountId>
        <AccountType/>
      </UserInfo>
      <UserInfo>
        <DisplayName>HENDERSON, Nick</DisplayName>
        <AccountId>133</AccountId>
        <AccountType/>
      </UserInfo>
      <UserInfo>
        <DisplayName>MCRAE, Cheryl</DisplayName>
        <AccountId>140</AccountId>
        <AccountType/>
      </UserInfo>
      <UserInfo>
        <DisplayName>SIMPSON, Andrew</DisplayName>
        <AccountId>141</AccountId>
        <AccountType/>
      </UserInfo>
      <UserInfo>
        <DisplayName>GRIFFITHS, Kate</DisplayName>
        <AccountId>142</AccountId>
        <AccountType/>
      </UserInfo>
      <UserInfo>
        <DisplayName>PERRY, Katie</DisplayName>
        <AccountId>30</AccountId>
        <AccountType/>
      </UserInfo>
      <UserInfo>
        <DisplayName>DAHLITZ, Patti</DisplayName>
        <AccountId>40</AccountId>
        <AccountType/>
      </UserInfo>
      <UserInfo>
        <DisplayName>VUCKOVIC, George</DisplayName>
        <AccountId>71</AccountId>
        <AccountType/>
      </UserInfo>
      <UserInfo>
        <DisplayName>LISSON, Kylie</DisplayName>
        <AccountId>27</AccountId>
        <AccountType/>
      </UserInfo>
      <UserInfo>
        <DisplayName>WISEMAN, Michael</DisplayName>
        <AccountId>41</AccountId>
        <AccountType/>
      </UserInfo>
      <UserInfo>
        <DisplayName>KAY, Elspeth</DisplayName>
        <AccountId>43</AccountId>
        <AccountType/>
      </UserInfo>
      <UserInfo>
        <DisplayName>GOSPER, Karen</DisplayName>
        <AccountId>44</AccountId>
        <AccountType/>
      </UserInfo>
      <UserInfo>
        <DisplayName>EDLINGTON, Mandy</DisplayName>
        <AccountId>143</AccountId>
        <AccountType/>
      </UserInfo>
      <UserInfo>
        <DisplayName>BHULA, Raj</DisplayName>
        <AccountId>144</AccountId>
        <AccountType/>
      </UserInfo>
      <UserInfo>
        <DisplayName>MUSOLINO, Angela</DisplayName>
        <AccountId>145</AccountId>
        <AccountType/>
      </UserInfo>
      <UserInfo>
        <DisplayName>BARDEN, Graeme</DisplayName>
        <AccountId>146</AccountId>
        <AccountType/>
      </UserInfo>
      <UserInfo>
        <DisplayName>PETROVSKI, Jasmina</DisplayName>
        <AccountId>147</AccountId>
        <AccountType/>
      </UserInfo>
      <UserInfo>
        <DisplayName>GILMOUR-WALSH, Bridget</DisplayName>
        <AccountId>132</AccountId>
        <AccountType/>
      </UserInfo>
      <UserInfo>
        <DisplayName>WILBERS, Kristy</DisplayName>
        <AccountId>53</AccountId>
        <AccountType/>
      </UserInfo>
      <UserInfo>
        <DisplayName>BATESON, Rebecca</DisplayName>
        <AccountId>190</AccountId>
        <AccountType/>
      </UserInfo>
      <UserInfo>
        <DisplayName>MCCORMACK, Fiona</DisplayName>
        <AccountId>94</AccountId>
        <AccountType/>
      </UserInfo>
      <UserInfo>
        <DisplayName>WILSON, Carolyn</DisplayName>
        <AccountId>191</AccountId>
        <AccountType/>
      </UserInfo>
      <UserInfo>
        <DisplayName>PASCOE, Gary</DisplayName>
        <AccountId>192</AccountId>
        <AccountType/>
      </UserInfo>
      <UserInfo>
        <DisplayName>ONG, Maria</DisplayName>
        <AccountId>96</AccountId>
        <AccountType/>
      </UserInfo>
      <UserInfo>
        <DisplayName>GIESS, Jodie</DisplayName>
        <AccountId>199</AccountId>
        <AccountType/>
      </UserInfo>
    </SharedWithUsers>
  </documentManagement>
</p:properties>
</file>

<file path=customXml/itemProps1.xml><?xml version="1.0" encoding="utf-8"?>
<ds:datastoreItem xmlns:ds="http://schemas.openxmlformats.org/officeDocument/2006/customXml" ds:itemID="{A5161DE7-2650-434B-987A-1719D2F20C77}">
  <ds:schemaRefs>
    <ds:schemaRef ds:uri="http://schemas.openxmlformats.org/officeDocument/2006/bibliography"/>
  </ds:schemaRefs>
</ds:datastoreItem>
</file>

<file path=customXml/itemProps2.xml><?xml version="1.0" encoding="utf-8"?>
<ds:datastoreItem xmlns:ds="http://schemas.openxmlformats.org/officeDocument/2006/customXml" ds:itemID="{6C17E759-1EE4-4360-B550-958B75222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10630-EC28-4C4E-BCE8-342787C0C3D0}">
  <ds:schemaRefs>
    <ds:schemaRef ds:uri="http://schemas.microsoft.com/sharepoint/v3/contenttype/forms"/>
  </ds:schemaRefs>
</ds:datastoreItem>
</file>

<file path=customXml/itemProps4.xml><?xml version="1.0" encoding="utf-8"?>
<ds:datastoreItem xmlns:ds="http://schemas.openxmlformats.org/officeDocument/2006/customXml" ds:itemID="{CAEBA06B-4E6C-4CDC-9BE0-A268C95BE6D2}">
  <ds:schemaRefs>
    <ds:schemaRef ds:uri="http://schemas.microsoft.com/office/2006/metadata/properties"/>
    <ds:schemaRef ds:uri="http://schemas.microsoft.com/office/infopath/2007/PartnerControls"/>
    <ds:schemaRef ds:uri="6a11bf8d-7caa-406f-aac4-39f7ba1f5f20"/>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118</Pages>
  <Words>34565</Words>
  <Characters>197025</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Therapeutic Goods Administration Performance Report - 2022-23</vt:lpstr>
    </vt:vector>
  </TitlesOfParts>
  <Company>Department of Health and Aged Care</Company>
  <LinksUpToDate>false</LinksUpToDate>
  <CharactersWithSpaces>231128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Therapeutic Goods Administration Performance Report - 2022-23</dc:title>
  <dc:subject/>
  <dc:creator>Therapeutic Goods Administration</dc:creator>
  <cp:keywords/>
  <dc:description/>
  <cp:lastModifiedBy>LACK, Janet</cp:lastModifiedBy>
  <cp:revision>3</cp:revision>
  <cp:lastPrinted>2023-09-29T19:57:00Z</cp:lastPrinted>
  <dcterms:created xsi:type="dcterms:W3CDTF">2024-03-17T23:01:00Z</dcterms:created>
  <dcterms:modified xsi:type="dcterms:W3CDTF">2024-03-17T23:04:00Z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ies>
</file>