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A5016F" w:rsidRPr="00A5016F" w14:paraId="49FD4E7E" w14:textId="77777777" w:rsidTr="00792EB0">
        <w:tc>
          <w:tcPr>
            <w:tcW w:w="8720" w:type="dxa"/>
          </w:tcPr>
          <w:p w14:paraId="458CEA17" w14:textId="77777777" w:rsidR="00A5016F" w:rsidRPr="00A5016F" w:rsidRDefault="00A5016F" w:rsidP="00A5016F">
            <w:pPr>
              <w:spacing w:before="0" w:after="0" w:line="240" w:lineRule="auto"/>
              <w:contextualSpacing/>
              <w:outlineLvl w:val="0"/>
              <w:rPr>
                <w:rFonts w:ascii="Arial" w:eastAsia="Times New Roman" w:hAnsi="Arial"/>
                <w:color w:val="001871"/>
                <w:spacing w:val="5"/>
                <w:kern w:val="28"/>
                <w:sz w:val="52"/>
                <w:szCs w:val="52"/>
              </w:rPr>
            </w:pPr>
            <w:bookmarkStart w:id="0" w:name="_Toc143009493"/>
            <w:r w:rsidRPr="00A5016F">
              <w:rPr>
                <w:rFonts w:ascii="Arial" w:eastAsia="Times New Roman" w:hAnsi="Arial"/>
                <w:color w:val="001871"/>
                <w:spacing w:val="5"/>
                <w:kern w:val="28"/>
                <w:sz w:val="52"/>
                <w:szCs w:val="52"/>
              </w:rPr>
              <w:t>Notice of final decisions to amend (or not amend) the current Poisons Standard</w:t>
            </w:r>
            <w:bookmarkEnd w:id="0"/>
          </w:p>
        </w:tc>
      </w:tr>
      <w:tr w:rsidR="00A5016F" w:rsidRPr="00A5016F" w14:paraId="059E1364" w14:textId="77777777" w:rsidTr="00792EB0">
        <w:trPr>
          <w:trHeight w:val="1916"/>
        </w:trPr>
        <w:tc>
          <w:tcPr>
            <w:tcW w:w="8720" w:type="dxa"/>
          </w:tcPr>
          <w:p w14:paraId="15B92552" w14:textId="77777777" w:rsidR="00A5016F" w:rsidRPr="00A5016F" w:rsidRDefault="00A5016F" w:rsidP="00A5016F">
            <w:pPr>
              <w:numPr>
                <w:ilvl w:val="1"/>
                <w:numId w:val="0"/>
              </w:numPr>
              <w:spacing w:before="0" w:after="0"/>
              <w:rPr>
                <w:rFonts w:ascii="Arial" w:eastAsia="Times New Roman" w:hAnsi="Arial"/>
                <w:bCs/>
                <w:iCs/>
                <w:color w:val="006BA6"/>
                <w:sz w:val="40"/>
                <w:szCs w:val="24"/>
              </w:rPr>
            </w:pPr>
          </w:p>
          <w:p w14:paraId="7AD983B1" w14:textId="26492A69" w:rsidR="00A5016F" w:rsidRPr="00A5016F" w:rsidRDefault="00DC7734" w:rsidP="00A5016F">
            <w:pPr>
              <w:numPr>
                <w:ilvl w:val="1"/>
                <w:numId w:val="0"/>
              </w:numPr>
              <w:spacing w:before="0" w:after="0"/>
              <w:rPr>
                <w:rFonts w:ascii="Arial" w:eastAsia="Times New Roman" w:hAnsi="Arial"/>
                <w:bCs/>
                <w:iCs/>
                <w:color w:val="006BA6"/>
                <w:sz w:val="40"/>
                <w:szCs w:val="24"/>
              </w:rPr>
            </w:pPr>
            <w:r>
              <w:rPr>
                <w:rFonts w:ascii="Arial" w:eastAsia="Times New Roman" w:hAnsi="Arial"/>
                <w:bCs/>
                <w:iCs/>
                <w:color w:val="006BA6"/>
                <w:sz w:val="40"/>
                <w:szCs w:val="24"/>
              </w:rPr>
              <w:t>15</w:t>
            </w:r>
            <w:r w:rsidR="00A5016F" w:rsidRPr="00A5016F">
              <w:rPr>
                <w:rFonts w:ascii="Arial" w:eastAsia="Times New Roman" w:hAnsi="Arial"/>
                <w:bCs/>
                <w:iCs/>
                <w:color w:val="006BA6"/>
                <w:sz w:val="40"/>
                <w:szCs w:val="24"/>
              </w:rPr>
              <w:t xml:space="preserve"> </w:t>
            </w:r>
            <w:r w:rsidR="00DF71E9">
              <w:rPr>
                <w:rFonts w:ascii="Arial" w:eastAsia="Times New Roman" w:hAnsi="Arial"/>
                <w:bCs/>
                <w:iCs/>
                <w:color w:val="006BA6"/>
                <w:sz w:val="40"/>
                <w:szCs w:val="24"/>
              </w:rPr>
              <w:t>December</w:t>
            </w:r>
            <w:r w:rsidR="00DF71E9" w:rsidRPr="00A5016F">
              <w:rPr>
                <w:rFonts w:ascii="Arial" w:eastAsia="Times New Roman" w:hAnsi="Arial"/>
                <w:bCs/>
                <w:iCs/>
                <w:color w:val="006BA6"/>
                <w:sz w:val="40"/>
                <w:szCs w:val="24"/>
              </w:rPr>
              <w:t xml:space="preserve"> </w:t>
            </w:r>
            <w:r w:rsidR="00A5016F" w:rsidRPr="00A5016F">
              <w:rPr>
                <w:rFonts w:ascii="Arial" w:eastAsia="Times New Roman" w:hAnsi="Arial"/>
                <w:bCs/>
                <w:iCs/>
                <w:color w:val="006BA6"/>
                <w:sz w:val="40"/>
                <w:szCs w:val="24"/>
              </w:rPr>
              <w:t>2023</w:t>
            </w:r>
          </w:p>
        </w:tc>
      </w:tr>
      <w:tr w:rsidR="00A5016F" w:rsidRPr="00A5016F" w14:paraId="5BDF1CEB" w14:textId="77777777" w:rsidTr="00792EB0">
        <w:tc>
          <w:tcPr>
            <w:tcW w:w="8720" w:type="dxa"/>
          </w:tcPr>
          <w:p w14:paraId="1C5AA0FF" w14:textId="77777777" w:rsidR="00A5016F" w:rsidRPr="00A5016F" w:rsidRDefault="00A5016F" w:rsidP="00A5016F">
            <w:pPr>
              <w:spacing w:before="120" w:after="0"/>
              <w:rPr>
                <w:rFonts w:ascii="Arial" w:hAnsi="Arial"/>
                <w:color w:val="333F4A"/>
                <w:sz w:val="28"/>
              </w:rPr>
            </w:pPr>
          </w:p>
        </w:tc>
      </w:tr>
    </w:tbl>
    <w:p w14:paraId="5BB649E0" w14:textId="77777777" w:rsidR="0023336F" w:rsidRDefault="0023336F" w:rsidP="0023336F">
      <w:pPr>
        <w:ind w:firstLine="720"/>
      </w:pPr>
    </w:p>
    <w:p w14:paraId="369EA13F" w14:textId="77777777" w:rsidR="0023336F" w:rsidRDefault="0023336F" w:rsidP="0023336F"/>
    <w:p w14:paraId="5F09A95D" w14:textId="7DA824F4" w:rsidR="0023336F" w:rsidRPr="0023336F" w:rsidRDefault="0023336F" w:rsidP="0023336F">
      <w:pPr>
        <w:sectPr w:rsidR="0023336F" w:rsidRPr="0023336F"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606B80C4" w:rsidR="0023336F" w:rsidRDefault="00F02AEC" w:rsidP="00DE78C9">
      <w:pPr>
        <w:rPr>
          <w:sz w:val="16"/>
          <w:szCs w:val="16"/>
        </w:rPr>
      </w:pPr>
      <w:r w:rsidRPr="00DE78C9">
        <w:rPr>
          <w:sz w:val="16"/>
          <w:szCs w:val="16"/>
        </w:rPr>
        <w:t>© Commonwealth of Australia 202</w:t>
      </w:r>
      <w:r w:rsidR="00457050" w:rsidRPr="00DE78C9">
        <w:rPr>
          <w:sz w:val="16"/>
          <w:szCs w:val="16"/>
        </w:rPr>
        <w:t>3</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w:t>
      </w:r>
      <w:r w:rsidR="00784741">
        <w:rPr>
          <w:sz w:val="16"/>
          <w:szCs w:val="16"/>
        </w:rPr>
        <w:t xml:space="preserve"> </w:t>
      </w:r>
      <w:hyperlink r:id="rId11" w:history="1">
        <w:r w:rsidRPr="00DE78C9">
          <w:rPr>
            <w:rStyle w:val="Hyperlink"/>
            <w:rFonts w:cs="Arial"/>
            <w:sz w:val="16"/>
            <w:szCs w:val="16"/>
          </w:rPr>
          <w:t>tga.copyright@tga.gov.au</w:t>
        </w:r>
      </w:hyperlink>
      <w:r w:rsidRPr="00DE78C9">
        <w:rPr>
          <w:sz w:val="16"/>
          <w:szCs w:val="16"/>
        </w:rPr>
        <w:t>.</w:t>
      </w:r>
    </w:p>
    <w:p w14:paraId="04C3F643" w14:textId="77777777" w:rsidR="0023336F" w:rsidRDefault="0023336F">
      <w:pPr>
        <w:spacing w:before="0" w:after="120" w:line="259" w:lineRule="auto"/>
        <w:rPr>
          <w:sz w:val="16"/>
          <w:szCs w:val="16"/>
        </w:rPr>
      </w:pPr>
      <w:r>
        <w:rPr>
          <w:sz w:val="16"/>
          <w:szCs w:val="16"/>
        </w:rPr>
        <w:br w:type="page"/>
      </w:r>
    </w:p>
    <w:sdt>
      <w:sdtPr>
        <w:rPr>
          <w:rFonts w:ascii="Cambria" w:eastAsiaTheme="minorHAnsi" w:hAnsi="Cambria"/>
          <w:b w:val="0"/>
          <w:sz w:val="22"/>
        </w:rPr>
        <w:id w:val="21514769"/>
        <w:docPartObj>
          <w:docPartGallery w:val="Table of Contents"/>
          <w:docPartUnique/>
        </w:docPartObj>
      </w:sdtPr>
      <w:sdtEndPr>
        <w:rPr>
          <w:rFonts w:asciiTheme="minorHAnsi" w:eastAsia="Cambria" w:hAnsiTheme="minorHAnsi"/>
        </w:rPr>
      </w:sdtEndPr>
      <w:sdtContent>
        <w:p w14:paraId="495F5FE1" w14:textId="77777777" w:rsidR="00F02AEC" w:rsidRPr="00215D48" w:rsidRDefault="00F02AEC" w:rsidP="00967490">
          <w:pPr>
            <w:pStyle w:val="NonTOCheading2"/>
          </w:pPr>
          <w:r w:rsidRPr="00215D48">
            <w:t>Contents</w:t>
          </w:r>
        </w:p>
        <w:p w14:paraId="3E300FDD" w14:textId="5B1BB1DF" w:rsidR="003D1264" w:rsidRDefault="00F02AEC">
          <w:pPr>
            <w:pStyle w:val="TOC1"/>
            <w:rPr>
              <w:rFonts w:asciiTheme="minorHAnsi" w:eastAsiaTheme="minorEastAsia" w:hAnsiTheme="minorHAnsi"/>
              <w:b w:val="0"/>
              <w:noProof/>
              <w:sz w:val="22"/>
              <w:lang w:eastAsia="en-AU"/>
            </w:rPr>
          </w:pPr>
          <w:r w:rsidRPr="00215D48">
            <w:rPr>
              <w:rFonts w:cs="Times New Roman"/>
              <w:color w:val="333F48"/>
              <w:sz w:val="32"/>
            </w:rPr>
            <w:fldChar w:fldCharType="begin"/>
          </w:r>
          <w:r w:rsidRPr="00215D48">
            <w:instrText xml:space="preserve"> TOC \h \z \u \t "Heading 2,1,Heading 3,2,Heading 4,3" </w:instrText>
          </w:r>
          <w:r w:rsidRPr="00215D48">
            <w:rPr>
              <w:rFonts w:cs="Times New Roman"/>
              <w:color w:val="333F48"/>
              <w:sz w:val="32"/>
            </w:rPr>
            <w:fldChar w:fldCharType="separate"/>
          </w:r>
          <w:hyperlink w:anchor="_Toc153188990" w:history="1">
            <w:r w:rsidR="003D1264" w:rsidRPr="009F65DF">
              <w:rPr>
                <w:rStyle w:val="Hyperlink"/>
                <w:noProof/>
              </w:rPr>
              <w:t>Notice of final decisions to amend (or not amend) the current Poisons Standard</w:t>
            </w:r>
            <w:r w:rsidR="003D1264">
              <w:rPr>
                <w:noProof/>
                <w:webHidden/>
              </w:rPr>
              <w:tab/>
            </w:r>
            <w:r w:rsidR="003D1264">
              <w:rPr>
                <w:noProof/>
                <w:webHidden/>
              </w:rPr>
              <w:fldChar w:fldCharType="begin"/>
            </w:r>
            <w:r w:rsidR="003D1264">
              <w:rPr>
                <w:noProof/>
                <w:webHidden/>
              </w:rPr>
              <w:instrText xml:space="preserve"> PAGEREF _Toc153188990 \h </w:instrText>
            </w:r>
            <w:r w:rsidR="003D1264">
              <w:rPr>
                <w:noProof/>
                <w:webHidden/>
              </w:rPr>
            </w:r>
            <w:r w:rsidR="003D1264">
              <w:rPr>
                <w:noProof/>
                <w:webHidden/>
              </w:rPr>
              <w:fldChar w:fldCharType="separate"/>
            </w:r>
            <w:r w:rsidR="003D1264">
              <w:rPr>
                <w:noProof/>
                <w:webHidden/>
              </w:rPr>
              <w:t>4</w:t>
            </w:r>
            <w:r w:rsidR="003D1264">
              <w:rPr>
                <w:noProof/>
                <w:webHidden/>
              </w:rPr>
              <w:fldChar w:fldCharType="end"/>
            </w:r>
          </w:hyperlink>
        </w:p>
        <w:p w14:paraId="54DD7790" w14:textId="38FAA5DD" w:rsidR="003D1264" w:rsidRDefault="0097241E">
          <w:pPr>
            <w:pStyle w:val="TOC1"/>
            <w:rPr>
              <w:rFonts w:asciiTheme="minorHAnsi" w:eastAsiaTheme="minorEastAsia" w:hAnsiTheme="minorHAnsi"/>
              <w:b w:val="0"/>
              <w:noProof/>
              <w:sz w:val="22"/>
              <w:lang w:eastAsia="en-AU"/>
            </w:rPr>
          </w:pPr>
          <w:hyperlink w:anchor="_Toc153188991" w:history="1">
            <w:r w:rsidR="003D1264" w:rsidRPr="009F65DF">
              <w:rPr>
                <w:rStyle w:val="Hyperlink"/>
                <w:noProof/>
              </w:rPr>
              <w:t>Final decisions on proposed amendments referred to the Advisory Committee on Medicines Scheduling (ACMS #42, June 2023)</w:t>
            </w:r>
            <w:r w:rsidR="003D1264">
              <w:rPr>
                <w:noProof/>
                <w:webHidden/>
              </w:rPr>
              <w:tab/>
            </w:r>
            <w:r w:rsidR="003D1264">
              <w:rPr>
                <w:noProof/>
                <w:webHidden/>
              </w:rPr>
              <w:fldChar w:fldCharType="begin"/>
            </w:r>
            <w:r w:rsidR="003D1264">
              <w:rPr>
                <w:noProof/>
                <w:webHidden/>
              </w:rPr>
              <w:instrText xml:space="preserve"> PAGEREF _Toc153188991 \h </w:instrText>
            </w:r>
            <w:r w:rsidR="003D1264">
              <w:rPr>
                <w:noProof/>
                <w:webHidden/>
              </w:rPr>
            </w:r>
            <w:r w:rsidR="003D1264">
              <w:rPr>
                <w:noProof/>
                <w:webHidden/>
              </w:rPr>
              <w:fldChar w:fldCharType="separate"/>
            </w:r>
            <w:r w:rsidR="003D1264">
              <w:rPr>
                <w:noProof/>
                <w:webHidden/>
              </w:rPr>
              <w:t>5</w:t>
            </w:r>
            <w:r w:rsidR="003D1264">
              <w:rPr>
                <w:noProof/>
                <w:webHidden/>
              </w:rPr>
              <w:fldChar w:fldCharType="end"/>
            </w:r>
          </w:hyperlink>
        </w:p>
        <w:p w14:paraId="4F40A6D4" w14:textId="2A42F005" w:rsidR="003D1264" w:rsidRDefault="0097241E">
          <w:pPr>
            <w:pStyle w:val="TOC2"/>
            <w:rPr>
              <w:rFonts w:eastAsiaTheme="minorEastAsia"/>
              <w:noProof/>
              <w:sz w:val="22"/>
              <w:lang w:eastAsia="en-AU"/>
            </w:rPr>
          </w:pPr>
          <w:hyperlink w:anchor="_Toc153188992" w:history="1">
            <w:r w:rsidR="003D1264" w:rsidRPr="009F65DF">
              <w:rPr>
                <w:rStyle w:val="Hyperlink"/>
                <w:noProof/>
              </w:rPr>
              <w:t>Final decision in relation to bisacodyl</w:t>
            </w:r>
            <w:r w:rsidR="003D1264">
              <w:rPr>
                <w:noProof/>
                <w:webHidden/>
              </w:rPr>
              <w:tab/>
            </w:r>
            <w:r w:rsidR="003D1264">
              <w:rPr>
                <w:noProof/>
                <w:webHidden/>
              </w:rPr>
              <w:fldChar w:fldCharType="begin"/>
            </w:r>
            <w:r w:rsidR="003D1264">
              <w:rPr>
                <w:noProof/>
                <w:webHidden/>
              </w:rPr>
              <w:instrText xml:space="preserve"> PAGEREF _Toc153188992 \h </w:instrText>
            </w:r>
            <w:r w:rsidR="003D1264">
              <w:rPr>
                <w:noProof/>
                <w:webHidden/>
              </w:rPr>
            </w:r>
            <w:r w:rsidR="003D1264">
              <w:rPr>
                <w:noProof/>
                <w:webHidden/>
              </w:rPr>
              <w:fldChar w:fldCharType="separate"/>
            </w:r>
            <w:r w:rsidR="003D1264">
              <w:rPr>
                <w:noProof/>
                <w:webHidden/>
              </w:rPr>
              <w:t>5</w:t>
            </w:r>
            <w:r w:rsidR="003D1264">
              <w:rPr>
                <w:noProof/>
                <w:webHidden/>
              </w:rPr>
              <w:fldChar w:fldCharType="end"/>
            </w:r>
          </w:hyperlink>
        </w:p>
        <w:p w14:paraId="7E4CF2D8" w14:textId="48759E39" w:rsidR="003D1264" w:rsidRDefault="0097241E">
          <w:pPr>
            <w:pStyle w:val="TOC2"/>
            <w:rPr>
              <w:rFonts w:eastAsiaTheme="minorEastAsia"/>
              <w:noProof/>
              <w:sz w:val="22"/>
              <w:lang w:eastAsia="en-AU"/>
            </w:rPr>
          </w:pPr>
          <w:hyperlink w:anchor="_Toc153188993" w:history="1">
            <w:r w:rsidR="003D1264" w:rsidRPr="009F65DF">
              <w:rPr>
                <w:rStyle w:val="Hyperlink"/>
                <w:noProof/>
              </w:rPr>
              <w:t>Final decision in relation to olopatadine</w:t>
            </w:r>
            <w:r w:rsidR="003D1264">
              <w:rPr>
                <w:noProof/>
                <w:webHidden/>
              </w:rPr>
              <w:tab/>
            </w:r>
            <w:r w:rsidR="003D1264">
              <w:rPr>
                <w:noProof/>
                <w:webHidden/>
              </w:rPr>
              <w:fldChar w:fldCharType="begin"/>
            </w:r>
            <w:r w:rsidR="003D1264">
              <w:rPr>
                <w:noProof/>
                <w:webHidden/>
              </w:rPr>
              <w:instrText xml:space="preserve"> PAGEREF _Toc153188993 \h </w:instrText>
            </w:r>
            <w:r w:rsidR="003D1264">
              <w:rPr>
                <w:noProof/>
                <w:webHidden/>
              </w:rPr>
            </w:r>
            <w:r w:rsidR="003D1264">
              <w:rPr>
                <w:noProof/>
                <w:webHidden/>
              </w:rPr>
              <w:fldChar w:fldCharType="separate"/>
            </w:r>
            <w:r w:rsidR="003D1264">
              <w:rPr>
                <w:noProof/>
                <w:webHidden/>
              </w:rPr>
              <w:t>7</w:t>
            </w:r>
            <w:r w:rsidR="003D1264">
              <w:rPr>
                <w:noProof/>
                <w:webHidden/>
              </w:rPr>
              <w:fldChar w:fldCharType="end"/>
            </w:r>
          </w:hyperlink>
        </w:p>
        <w:p w14:paraId="690D54E2" w14:textId="1BAFB202" w:rsidR="003D1264" w:rsidRDefault="0097241E">
          <w:pPr>
            <w:pStyle w:val="TOC1"/>
            <w:rPr>
              <w:rFonts w:asciiTheme="minorHAnsi" w:eastAsiaTheme="minorEastAsia" w:hAnsiTheme="minorHAnsi"/>
              <w:b w:val="0"/>
              <w:noProof/>
              <w:sz w:val="22"/>
              <w:lang w:eastAsia="en-AU"/>
            </w:rPr>
          </w:pPr>
          <w:hyperlink w:anchor="_Toc153188994" w:history="1">
            <w:r w:rsidR="003D1264" w:rsidRPr="009F65DF">
              <w:rPr>
                <w:rStyle w:val="Hyperlink"/>
                <w:noProof/>
              </w:rPr>
              <w:t>Final decisions on proposed amendments referred to the Advisory Committees on Medicines and Chemicals Scheduling in joint session (Joint ACMS-ACCS #34, June 2023)</w:t>
            </w:r>
            <w:r w:rsidR="003D1264">
              <w:rPr>
                <w:noProof/>
                <w:webHidden/>
              </w:rPr>
              <w:tab/>
            </w:r>
            <w:r w:rsidR="003D1264">
              <w:rPr>
                <w:noProof/>
                <w:webHidden/>
              </w:rPr>
              <w:fldChar w:fldCharType="begin"/>
            </w:r>
            <w:r w:rsidR="003D1264">
              <w:rPr>
                <w:noProof/>
                <w:webHidden/>
              </w:rPr>
              <w:instrText xml:space="preserve"> PAGEREF _Toc153188994 \h </w:instrText>
            </w:r>
            <w:r w:rsidR="003D1264">
              <w:rPr>
                <w:noProof/>
                <w:webHidden/>
              </w:rPr>
            </w:r>
            <w:r w:rsidR="003D1264">
              <w:rPr>
                <w:noProof/>
                <w:webHidden/>
              </w:rPr>
              <w:fldChar w:fldCharType="separate"/>
            </w:r>
            <w:r w:rsidR="003D1264">
              <w:rPr>
                <w:noProof/>
                <w:webHidden/>
              </w:rPr>
              <w:t>10</w:t>
            </w:r>
            <w:r w:rsidR="003D1264">
              <w:rPr>
                <w:noProof/>
                <w:webHidden/>
              </w:rPr>
              <w:fldChar w:fldCharType="end"/>
            </w:r>
          </w:hyperlink>
        </w:p>
        <w:p w14:paraId="3F7E4B3A" w14:textId="658694C3" w:rsidR="003D1264" w:rsidRDefault="0097241E">
          <w:pPr>
            <w:pStyle w:val="TOC2"/>
            <w:rPr>
              <w:rFonts w:eastAsiaTheme="minorEastAsia"/>
              <w:noProof/>
              <w:sz w:val="22"/>
              <w:lang w:eastAsia="en-AU"/>
            </w:rPr>
          </w:pPr>
          <w:hyperlink w:anchor="_Toc153188995" w:history="1">
            <w:r w:rsidR="003D1264" w:rsidRPr="009F65DF">
              <w:rPr>
                <w:rStyle w:val="Hyperlink"/>
                <w:noProof/>
              </w:rPr>
              <w:t>Final decision in relation to ibotenic acid</w:t>
            </w:r>
            <w:r w:rsidR="003D1264">
              <w:rPr>
                <w:noProof/>
                <w:webHidden/>
              </w:rPr>
              <w:tab/>
            </w:r>
            <w:r w:rsidR="003D1264">
              <w:rPr>
                <w:noProof/>
                <w:webHidden/>
              </w:rPr>
              <w:fldChar w:fldCharType="begin"/>
            </w:r>
            <w:r w:rsidR="003D1264">
              <w:rPr>
                <w:noProof/>
                <w:webHidden/>
              </w:rPr>
              <w:instrText xml:space="preserve"> PAGEREF _Toc153188995 \h </w:instrText>
            </w:r>
            <w:r w:rsidR="003D1264">
              <w:rPr>
                <w:noProof/>
                <w:webHidden/>
              </w:rPr>
            </w:r>
            <w:r w:rsidR="003D1264">
              <w:rPr>
                <w:noProof/>
                <w:webHidden/>
              </w:rPr>
              <w:fldChar w:fldCharType="separate"/>
            </w:r>
            <w:r w:rsidR="003D1264">
              <w:rPr>
                <w:noProof/>
                <w:webHidden/>
              </w:rPr>
              <w:t>10</w:t>
            </w:r>
            <w:r w:rsidR="003D1264">
              <w:rPr>
                <w:noProof/>
                <w:webHidden/>
              </w:rPr>
              <w:fldChar w:fldCharType="end"/>
            </w:r>
          </w:hyperlink>
        </w:p>
        <w:p w14:paraId="6B18C3D6" w14:textId="76D921D7" w:rsidR="003D1264" w:rsidRDefault="0097241E">
          <w:pPr>
            <w:pStyle w:val="TOC1"/>
            <w:rPr>
              <w:rFonts w:asciiTheme="minorHAnsi" w:eastAsiaTheme="minorEastAsia" w:hAnsiTheme="minorHAnsi"/>
              <w:b w:val="0"/>
              <w:noProof/>
              <w:sz w:val="22"/>
              <w:lang w:eastAsia="en-AU"/>
            </w:rPr>
          </w:pPr>
          <w:hyperlink w:anchor="_Toc153188996" w:history="1">
            <w:r w:rsidR="003D1264" w:rsidRPr="009F65DF">
              <w:rPr>
                <w:rStyle w:val="Hyperlink"/>
                <w:noProof/>
              </w:rPr>
              <w:t>Amendments to the Poisons Standard in relation to NCEs</w:t>
            </w:r>
            <w:r w:rsidR="003D1264">
              <w:rPr>
                <w:noProof/>
                <w:webHidden/>
              </w:rPr>
              <w:tab/>
            </w:r>
            <w:r w:rsidR="003D1264">
              <w:rPr>
                <w:noProof/>
                <w:webHidden/>
              </w:rPr>
              <w:fldChar w:fldCharType="begin"/>
            </w:r>
            <w:r w:rsidR="003D1264">
              <w:rPr>
                <w:noProof/>
                <w:webHidden/>
              </w:rPr>
              <w:instrText xml:space="preserve"> PAGEREF _Toc153188996 \h </w:instrText>
            </w:r>
            <w:r w:rsidR="003D1264">
              <w:rPr>
                <w:noProof/>
                <w:webHidden/>
              </w:rPr>
            </w:r>
            <w:r w:rsidR="003D1264">
              <w:rPr>
                <w:noProof/>
                <w:webHidden/>
              </w:rPr>
              <w:fldChar w:fldCharType="separate"/>
            </w:r>
            <w:r w:rsidR="003D1264">
              <w:rPr>
                <w:noProof/>
                <w:webHidden/>
              </w:rPr>
              <w:t>12</w:t>
            </w:r>
            <w:r w:rsidR="003D1264">
              <w:rPr>
                <w:noProof/>
                <w:webHidden/>
              </w:rPr>
              <w:fldChar w:fldCharType="end"/>
            </w:r>
          </w:hyperlink>
        </w:p>
        <w:p w14:paraId="301DEBCB" w14:textId="67B4FE2F" w:rsidR="003D1264" w:rsidRDefault="0097241E">
          <w:pPr>
            <w:pStyle w:val="TOC2"/>
            <w:rPr>
              <w:rFonts w:eastAsiaTheme="minorEastAsia"/>
              <w:noProof/>
              <w:sz w:val="22"/>
              <w:lang w:eastAsia="en-AU"/>
            </w:rPr>
          </w:pPr>
          <w:hyperlink w:anchor="_Toc153188997" w:history="1">
            <w:r w:rsidR="003D1264" w:rsidRPr="009F65DF">
              <w:rPr>
                <w:rStyle w:val="Hyperlink"/>
                <w:noProof/>
              </w:rPr>
              <w:t>Nirsevimab</w:t>
            </w:r>
            <w:r w:rsidR="003D1264">
              <w:rPr>
                <w:noProof/>
                <w:webHidden/>
              </w:rPr>
              <w:tab/>
            </w:r>
            <w:r w:rsidR="003D1264">
              <w:rPr>
                <w:noProof/>
                <w:webHidden/>
              </w:rPr>
              <w:fldChar w:fldCharType="begin"/>
            </w:r>
            <w:r w:rsidR="003D1264">
              <w:rPr>
                <w:noProof/>
                <w:webHidden/>
              </w:rPr>
              <w:instrText xml:space="preserve"> PAGEREF _Toc153188997 \h </w:instrText>
            </w:r>
            <w:r w:rsidR="003D1264">
              <w:rPr>
                <w:noProof/>
                <w:webHidden/>
              </w:rPr>
            </w:r>
            <w:r w:rsidR="003D1264">
              <w:rPr>
                <w:noProof/>
                <w:webHidden/>
              </w:rPr>
              <w:fldChar w:fldCharType="separate"/>
            </w:r>
            <w:r w:rsidR="003D1264">
              <w:rPr>
                <w:noProof/>
                <w:webHidden/>
              </w:rPr>
              <w:t>12</w:t>
            </w:r>
            <w:r w:rsidR="003D1264">
              <w:rPr>
                <w:noProof/>
                <w:webHidden/>
              </w:rPr>
              <w:fldChar w:fldCharType="end"/>
            </w:r>
          </w:hyperlink>
        </w:p>
        <w:p w14:paraId="06EB98C0" w14:textId="3E90EBA3" w:rsidR="003D1264" w:rsidRDefault="0097241E">
          <w:pPr>
            <w:pStyle w:val="TOC2"/>
            <w:rPr>
              <w:rFonts w:eastAsiaTheme="minorEastAsia"/>
              <w:noProof/>
              <w:sz w:val="22"/>
              <w:lang w:eastAsia="en-AU"/>
            </w:rPr>
          </w:pPr>
          <w:hyperlink w:anchor="_Toc153188998" w:history="1">
            <w:r w:rsidR="003D1264" w:rsidRPr="009F65DF">
              <w:rPr>
                <w:rStyle w:val="Hyperlink"/>
                <w:noProof/>
              </w:rPr>
              <w:t>Tislelizumab</w:t>
            </w:r>
            <w:r w:rsidR="003D1264">
              <w:rPr>
                <w:noProof/>
                <w:webHidden/>
              </w:rPr>
              <w:tab/>
            </w:r>
            <w:r w:rsidR="003D1264">
              <w:rPr>
                <w:noProof/>
                <w:webHidden/>
              </w:rPr>
              <w:fldChar w:fldCharType="begin"/>
            </w:r>
            <w:r w:rsidR="003D1264">
              <w:rPr>
                <w:noProof/>
                <w:webHidden/>
              </w:rPr>
              <w:instrText xml:space="preserve"> PAGEREF _Toc153188998 \h </w:instrText>
            </w:r>
            <w:r w:rsidR="003D1264">
              <w:rPr>
                <w:noProof/>
                <w:webHidden/>
              </w:rPr>
            </w:r>
            <w:r w:rsidR="003D1264">
              <w:rPr>
                <w:noProof/>
                <w:webHidden/>
              </w:rPr>
              <w:fldChar w:fldCharType="separate"/>
            </w:r>
            <w:r w:rsidR="003D1264">
              <w:rPr>
                <w:noProof/>
                <w:webHidden/>
              </w:rPr>
              <w:t>12</w:t>
            </w:r>
            <w:r w:rsidR="003D1264">
              <w:rPr>
                <w:noProof/>
                <w:webHidden/>
              </w:rPr>
              <w:fldChar w:fldCharType="end"/>
            </w:r>
          </w:hyperlink>
        </w:p>
        <w:p w14:paraId="09B05728" w14:textId="174FB49A" w:rsidR="00F02AEC" w:rsidRPr="00215D48" w:rsidRDefault="00F02AEC" w:rsidP="00967490">
          <w:r w:rsidRPr="00215D48">
            <w:fldChar w:fldCharType="end"/>
          </w:r>
        </w:p>
      </w:sdtContent>
    </w:sdt>
    <w:p w14:paraId="4D0C412B" w14:textId="1BF9CA3B" w:rsidR="00F02AEC" w:rsidRPr="00215D48" w:rsidRDefault="00F02AEC" w:rsidP="00967490">
      <w:r w:rsidRPr="00215D48">
        <w:br w:type="page"/>
      </w:r>
    </w:p>
    <w:p w14:paraId="3A06BE1E" w14:textId="32AB79CF" w:rsidR="00457050" w:rsidRPr="00BC2009" w:rsidRDefault="00457050" w:rsidP="00967490">
      <w:pPr>
        <w:pStyle w:val="Heading2"/>
      </w:pPr>
      <w:bookmarkStart w:id="1" w:name="_Toc97640261"/>
      <w:bookmarkStart w:id="2" w:name="_Toc153188990"/>
      <w:r w:rsidRPr="00597B50">
        <w:lastRenderedPageBreak/>
        <w:t>Notice of final decisions to amend (or not amend) the current Poisons Standard</w:t>
      </w:r>
      <w:bookmarkEnd w:id="1"/>
      <w:bookmarkEnd w:id="2"/>
    </w:p>
    <w:p w14:paraId="2FB850E1" w14:textId="7DFF9738" w:rsidR="00457050" w:rsidRPr="00E907FA" w:rsidRDefault="00457050" w:rsidP="00967490">
      <w:r w:rsidRPr="00457050">
        <w:t xml:space="preserve">This web publication constitutes a notice for </w:t>
      </w:r>
      <w:r w:rsidRPr="00E907FA">
        <w:t>the purposes of 42ZCZS</w:t>
      </w:r>
      <w:r w:rsidR="000230ED" w:rsidRPr="00E907FA">
        <w:t xml:space="preserve"> </w:t>
      </w:r>
      <w:r w:rsidRPr="00E907FA">
        <w:t xml:space="preserve">of the </w:t>
      </w:r>
      <w:r w:rsidRPr="00E907FA">
        <w:rPr>
          <w:i/>
        </w:rPr>
        <w:t xml:space="preserve">Therapeutic Goods Regulations 1990 </w:t>
      </w:r>
      <w:r w:rsidRPr="00E907FA">
        <w:t xml:space="preserve">(the </w:t>
      </w:r>
      <w:r w:rsidRPr="00E907FA">
        <w:rPr>
          <w:b/>
        </w:rPr>
        <w:t>Regulations</w:t>
      </w:r>
      <w:r w:rsidRPr="00E907FA">
        <w:t>). In accordance with regulation</w:t>
      </w:r>
      <w:r w:rsidR="00F74266" w:rsidRPr="00E907FA">
        <w:t>s</w:t>
      </w:r>
      <w:r w:rsidRPr="00E907FA">
        <w:t xml:space="preserve"> 42ZCZS, this notice publishes:</w:t>
      </w:r>
    </w:p>
    <w:p w14:paraId="4D038242" w14:textId="113587A3" w:rsidR="00457050" w:rsidRPr="00E907FA" w:rsidRDefault="00457050" w:rsidP="009F7996">
      <w:pPr>
        <w:pStyle w:val="ListBullet"/>
      </w:pPr>
      <w:r w:rsidRPr="00E907FA">
        <w:t>the decisions made by a delegate</w:t>
      </w:r>
      <w:r w:rsidRPr="00E907FA">
        <w:rPr>
          <w:rStyle w:val="FootnoteReference"/>
        </w:rPr>
        <w:footnoteReference w:id="1"/>
      </w:r>
      <w:r w:rsidRPr="00E907FA">
        <w:t xml:space="preserve"> of the Secretary of the Department of Health and Aged Care (the </w:t>
      </w:r>
      <w:r w:rsidRPr="00E907FA">
        <w:rPr>
          <w:b/>
          <w:bCs/>
        </w:rPr>
        <w:t>Delegate</w:t>
      </w:r>
      <w:r w:rsidRPr="00E907FA">
        <w:t xml:space="preserve">) pursuant to regulation </w:t>
      </w:r>
      <w:proofErr w:type="gramStart"/>
      <w:r w:rsidRPr="00E907FA">
        <w:t>42</w:t>
      </w:r>
      <w:r w:rsidR="007121A6" w:rsidRPr="00E907FA">
        <w:t>Z</w:t>
      </w:r>
      <w:r w:rsidRPr="00E907FA">
        <w:t>CZR</w:t>
      </w:r>
      <w:proofErr w:type="gramEnd"/>
    </w:p>
    <w:p w14:paraId="1AA8F280" w14:textId="776CC859" w:rsidR="00457050" w:rsidRPr="00B7137A" w:rsidRDefault="00457050" w:rsidP="009F7996">
      <w:pPr>
        <w:pStyle w:val="ListBullet"/>
      </w:pPr>
      <w:r w:rsidRPr="00457050">
        <w:t xml:space="preserve">the </w:t>
      </w:r>
      <w:r w:rsidRPr="00B7137A">
        <w:t>reasons for those final decisions</w:t>
      </w:r>
      <w:r w:rsidR="00DF71E9">
        <w:t>,</w:t>
      </w:r>
      <w:r w:rsidRPr="00B7137A">
        <w:t xml:space="preserve"> and</w:t>
      </w:r>
    </w:p>
    <w:p w14:paraId="5E6BC7C7" w14:textId="22F59578" w:rsidR="00457050" w:rsidRPr="00B7137A" w:rsidRDefault="00457050" w:rsidP="009F7996">
      <w:pPr>
        <w:pStyle w:val="ListBullet"/>
      </w:pPr>
      <w:r w:rsidRPr="00B7137A">
        <w:t>the date of effect of those decisions.</w:t>
      </w:r>
    </w:p>
    <w:p w14:paraId="67DC0EBB" w14:textId="6242BB51" w:rsidR="00457050" w:rsidRPr="00D13874" w:rsidRDefault="00831B56" w:rsidP="00D13874">
      <w:pPr>
        <w:rPr>
          <w:b/>
          <w:bCs/>
        </w:rPr>
      </w:pPr>
      <w:r w:rsidRPr="00D13874">
        <w:rPr>
          <w:b/>
          <w:bCs/>
        </w:rPr>
        <w:t xml:space="preserve">Defined </w:t>
      </w:r>
      <w:proofErr w:type="gramStart"/>
      <w:r w:rsidRPr="00D13874">
        <w:rPr>
          <w:b/>
          <w:bCs/>
        </w:rPr>
        <w:t>terms</w:t>
      </w:r>
      <w:proofErr w:type="gramEnd"/>
    </w:p>
    <w:p w14:paraId="3518FC9A" w14:textId="39B18FB7" w:rsidR="00831B56" w:rsidRDefault="00831B56" w:rsidP="00103E4A">
      <w:pPr>
        <w:pStyle w:val="ListBullet"/>
        <w:numPr>
          <w:ilvl w:val="0"/>
          <w:numId w:val="0"/>
        </w:numPr>
        <w:ind w:left="360" w:hanging="360"/>
      </w:pPr>
      <w:r>
        <w:t>In this notice the following defined terms are used in addition to those above:</w:t>
      </w:r>
    </w:p>
    <w:p w14:paraId="6BE33439" w14:textId="5CEE14C7" w:rsidR="00831B56" w:rsidRDefault="00831B56" w:rsidP="009F7996">
      <w:pPr>
        <w:pStyle w:val="ListBullet"/>
      </w:pPr>
      <w:r>
        <w:t xml:space="preserve">the </w:t>
      </w:r>
      <w:r w:rsidRPr="00103E4A">
        <w:rPr>
          <w:i/>
          <w:iCs/>
        </w:rPr>
        <w:t>Therapeutic Goods Act 1989</w:t>
      </w:r>
      <w:r>
        <w:t xml:space="preserve"> (Cth) (the </w:t>
      </w:r>
      <w:r w:rsidRPr="00831B56">
        <w:rPr>
          <w:b/>
          <w:bCs/>
        </w:rPr>
        <w:t>Act</w:t>
      </w:r>
      <w:r>
        <w:t>)</w:t>
      </w:r>
    </w:p>
    <w:p w14:paraId="6550B5E6" w14:textId="3A44F07C" w:rsidR="00831B56" w:rsidRDefault="00831B56" w:rsidP="009F7996">
      <w:pPr>
        <w:pStyle w:val="ListBullet"/>
      </w:pPr>
      <w:r>
        <w:t xml:space="preserve">the </w:t>
      </w:r>
      <w:hyperlink r:id="rId12" w:history="1">
        <w:r w:rsidRPr="00AA12EC">
          <w:rPr>
            <w:rStyle w:val="Hyperlink"/>
          </w:rPr>
          <w:t>Scheduling Policy Framework</w:t>
        </w:r>
      </w:hyperlink>
      <w:r>
        <w:t xml:space="preserve"> 2018 (the </w:t>
      </w:r>
      <w:r w:rsidRPr="00831B56">
        <w:rPr>
          <w:b/>
          <w:bCs/>
        </w:rPr>
        <w:t>SPF</w:t>
      </w:r>
      <w:r>
        <w:t>)</w:t>
      </w:r>
    </w:p>
    <w:p w14:paraId="4CDC567B" w14:textId="09F30748" w:rsidR="00831B56" w:rsidRDefault="00831B56" w:rsidP="009F7996">
      <w:pPr>
        <w:pStyle w:val="ListBullet"/>
      </w:pPr>
      <w:r>
        <w:t>the Scheduling handbook</w:t>
      </w:r>
      <w:r w:rsidR="00DF71E9">
        <w:t>,</w:t>
      </w:r>
      <w:r>
        <w:t xml:space="preserve"> </w:t>
      </w:r>
      <w:hyperlink r:id="rId13" w:history="1">
        <w:r w:rsidRPr="00AA12EC">
          <w:rPr>
            <w:rStyle w:val="Hyperlink"/>
          </w:rPr>
          <w:t>Guidance for amending the Poisons Standard</w:t>
        </w:r>
      </w:hyperlink>
      <w:r>
        <w:t xml:space="preserve"> (the </w:t>
      </w:r>
      <w:r w:rsidRPr="00831B56">
        <w:rPr>
          <w:b/>
          <w:bCs/>
        </w:rPr>
        <w:t>Handbook</w:t>
      </w:r>
      <w:r>
        <w:t>) and</w:t>
      </w:r>
    </w:p>
    <w:p w14:paraId="78D91CCD" w14:textId="3DC73865" w:rsidR="00831B56" w:rsidRDefault="00831B56" w:rsidP="009F7996">
      <w:pPr>
        <w:pStyle w:val="ListBullet"/>
      </w:pPr>
      <w:r>
        <w:t xml:space="preserve">the Therapeutic Goods Administration (the </w:t>
      </w:r>
      <w:r w:rsidRPr="00831B56">
        <w:rPr>
          <w:b/>
          <w:bCs/>
        </w:rPr>
        <w:t>TGA</w:t>
      </w:r>
      <w:r>
        <w:t>).</w:t>
      </w:r>
    </w:p>
    <w:p w14:paraId="1ECB50B6" w14:textId="48984733" w:rsidR="00831B56" w:rsidRDefault="00831B56" w:rsidP="00103E4A">
      <w:pPr>
        <w:pStyle w:val="ListBullet"/>
        <w:numPr>
          <w:ilvl w:val="0"/>
          <w:numId w:val="0"/>
        </w:numPr>
      </w:pPr>
      <w:r w:rsidRPr="00103E4A">
        <w:rPr>
          <w:sz w:val="20"/>
          <w:szCs w:val="20"/>
        </w:rPr>
        <w:t>Note: additional terms are also defined for individual decisions.</w:t>
      </w:r>
    </w:p>
    <w:p w14:paraId="027EB38B" w14:textId="77777777" w:rsidR="00542687" w:rsidRDefault="00542687">
      <w:pPr>
        <w:spacing w:before="0" w:after="120" w:line="259" w:lineRule="auto"/>
        <w:rPr>
          <w:rFonts w:ascii="Arial" w:eastAsia="Times New Roman" w:hAnsi="Arial"/>
          <w:b/>
          <w:bCs/>
          <w:sz w:val="38"/>
          <w:szCs w:val="38"/>
        </w:rPr>
      </w:pPr>
      <w:bookmarkStart w:id="3" w:name="_Toc97640263"/>
      <w:r>
        <w:br w:type="page"/>
      </w:r>
    </w:p>
    <w:p w14:paraId="002E1C4A" w14:textId="7C48735D" w:rsidR="00457050" w:rsidRPr="00FA029A" w:rsidRDefault="00457050" w:rsidP="00967490">
      <w:pPr>
        <w:pStyle w:val="Heading2"/>
      </w:pPr>
      <w:bookmarkStart w:id="4" w:name="_Toc153188991"/>
      <w:r>
        <w:lastRenderedPageBreak/>
        <w:t>Final</w:t>
      </w:r>
      <w:r w:rsidRPr="00FA029A">
        <w:t xml:space="preserve"> decisions on proposed amendments referred to the Advisory Committee o</w:t>
      </w:r>
      <w:r>
        <w:t>n Medicines Scheduling (ACMS #</w:t>
      </w:r>
      <w:r w:rsidR="00B7137A">
        <w:t>42</w:t>
      </w:r>
      <w:r>
        <w:t xml:space="preserve">, </w:t>
      </w:r>
      <w:r w:rsidR="009C0195">
        <w:t>June</w:t>
      </w:r>
      <w:r>
        <w:t xml:space="preserve"> 20</w:t>
      </w:r>
      <w:r w:rsidR="00B7137A">
        <w:t>23</w:t>
      </w:r>
      <w:r w:rsidRPr="00FA029A">
        <w:t>)</w:t>
      </w:r>
      <w:bookmarkEnd w:id="3"/>
      <w:bookmarkEnd w:id="4"/>
    </w:p>
    <w:p w14:paraId="03FFFC22" w14:textId="15495AD2" w:rsidR="00457050" w:rsidRDefault="00457050" w:rsidP="00967490">
      <w:pPr>
        <w:pStyle w:val="Heading3"/>
      </w:pPr>
      <w:bookmarkStart w:id="5" w:name="_Toc46325255"/>
      <w:bookmarkStart w:id="6" w:name="_Toc46325611"/>
      <w:bookmarkStart w:id="7" w:name="_Toc46327427"/>
      <w:bookmarkStart w:id="8" w:name="_Toc46412213"/>
      <w:bookmarkStart w:id="9" w:name="_Final_decision_in"/>
      <w:bookmarkStart w:id="10" w:name="_Toc46325256"/>
      <w:bookmarkStart w:id="11" w:name="_Toc46325612"/>
      <w:bookmarkStart w:id="12" w:name="_Toc46327428"/>
      <w:bookmarkStart w:id="13" w:name="_Toc46412214"/>
      <w:bookmarkStart w:id="14" w:name="_Toc46325257"/>
      <w:bookmarkStart w:id="15" w:name="_Toc46325613"/>
      <w:bookmarkStart w:id="16" w:name="_Toc46327429"/>
      <w:bookmarkStart w:id="17" w:name="_Toc46412215"/>
      <w:bookmarkStart w:id="18" w:name="_Toc46325258"/>
      <w:bookmarkStart w:id="19" w:name="_Toc46325614"/>
      <w:bookmarkStart w:id="20" w:name="_Toc46327430"/>
      <w:bookmarkStart w:id="21" w:name="_Toc46412216"/>
      <w:bookmarkStart w:id="22" w:name="_Toc46325259"/>
      <w:bookmarkStart w:id="23" w:name="_Toc46325615"/>
      <w:bookmarkStart w:id="24" w:name="_Toc46327431"/>
      <w:bookmarkStart w:id="25" w:name="_Toc46412217"/>
      <w:bookmarkStart w:id="26" w:name="_Final_decision_in_1"/>
      <w:bookmarkStart w:id="27" w:name="_Toc15318899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 xml:space="preserve">Final decision in relation to </w:t>
      </w:r>
      <w:r w:rsidR="00B7137A">
        <w:t>bisacodyl</w:t>
      </w:r>
      <w:bookmarkEnd w:id="27"/>
    </w:p>
    <w:p w14:paraId="0E784F24" w14:textId="77777777" w:rsidR="00457050" w:rsidRPr="00967490" w:rsidRDefault="00457050" w:rsidP="00831B56">
      <w:pPr>
        <w:spacing w:before="240"/>
        <w:rPr>
          <w:b/>
          <w:bCs/>
          <w:i/>
          <w:iCs/>
        </w:rPr>
      </w:pPr>
      <w:r w:rsidRPr="00967490">
        <w:rPr>
          <w:b/>
          <w:bCs/>
          <w:i/>
          <w:iCs/>
        </w:rPr>
        <w:t>Proposal</w:t>
      </w:r>
    </w:p>
    <w:p w14:paraId="472D30DB" w14:textId="77777777" w:rsidR="00B7137A" w:rsidRPr="00C72DAB" w:rsidRDefault="00B7137A" w:rsidP="00B7137A">
      <w:pPr>
        <w:spacing w:after="240"/>
      </w:pPr>
      <w:r w:rsidRPr="00C72DAB">
        <w:t xml:space="preserve">The applicant proposed </w:t>
      </w:r>
      <w:r w:rsidRPr="00FE26E1">
        <w:rPr>
          <w:rFonts w:ascii="Calibri" w:hAnsi="Calibri" w:cs="Calibri"/>
          <w:lang w:eastAsia="en-AU"/>
        </w:rPr>
        <w:t>the creation of a new Schedule 2 entry for bisacodyl for oral use</w:t>
      </w:r>
      <w:r>
        <w:rPr>
          <w:rFonts w:ascii="Calibri" w:hAnsi="Calibri" w:cs="Calibri"/>
          <w:lang w:eastAsia="en-AU"/>
        </w:rPr>
        <w:t xml:space="preserve"> </w:t>
      </w:r>
      <w:r w:rsidRPr="00FE26E1">
        <w:rPr>
          <w:rFonts w:ascii="Calibri" w:hAnsi="Calibri" w:cs="Calibri"/>
          <w:lang w:eastAsia="en-AU"/>
        </w:rPr>
        <w:t>except in divided preparations in packs containing 20 tablets or less</w:t>
      </w:r>
      <w:r>
        <w:rPr>
          <w:rFonts w:ascii="Calibri" w:hAnsi="Calibri" w:cs="Calibri"/>
          <w:lang w:eastAsia="en-AU"/>
        </w:rPr>
        <w:t xml:space="preserve"> (the </w:t>
      </w:r>
      <w:r w:rsidRPr="005D5C09">
        <w:rPr>
          <w:rFonts w:ascii="Calibri" w:hAnsi="Calibri" w:cs="Calibri"/>
          <w:b/>
          <w:bCs/>
          <w:lang w:eastAsia="en-AU"/>
        </w:rPr>
        <w:t>Proposal</w:t>
      </w:r>
      <w:r>
        <w:rPr>
          <w:rFonts w:ascii="Calibri" w:hAnsi="Calibri" w:cs="Calibri"/>
          <w:lang w:eastAsia="en-AU"/>
        </w:rPr>
        <w:t>)</w:t>
      </w:r>
      <w:r w:rsidRPr="00FE26E1">
        <w:rPr>
          <w:rFonts w:ascii="Calibri" w:hAnsi="Calibri" w:cs="Calibri"/>
          <w:lang w:eastAsia="en-AU"/>
        </w:rPr>
        <w:t>. Bisacodyl is a laxative that is not currently scheduled. The proposed amendment would restrict all oral preparations of bisacodyl to pharmacy sale, except packs of 20 tablets or less which would still be available for purchase from supermarkets and convenience stores.</w:t>
      </w:r>
    </w:p>
    <w:p w14:paraId="40946833" w14:textId="234EE97B" w:rsidR="00457050" w:rsidRPr="00967490" w:rsidRDefault="00457050" w:rsidP="00967490">
      <w:pPr>
        <w:rPr>
          <w:b/>
          <w:bCs/>
          <w:i/>
          <w:iCs/>
        </w:rPr>
      </w:pPr>
      <w:r w:rsidRPr="00967490">
        <w:rPr>
          <w:b/>
          <w:bCs/>
          <w:i/>
          <w:iCs/>
        </w:rPr>
        <w:t>Final decision</w:t>
      </w:r>
    </w:p>
    <w:p w14:paraId="186E4459" w14:textId="070BBC4C" w:rsidR="00457050" w:rsidRDefault="00457050" w:rsidP="00967490">
      <w:r w:rsidRPr="00967490">
        <w:t xml:space="preserve">Pursuant to regulation 42ZCZR of the Regulations, the Delegate has made a final </w:t>
      </w:r>
      <w:r w:rsidRPr="00BD1E01">
        <w:t>decision to confirm the interim decision and amend the current Poisons Standard in relation to</w:t>
      </w:r>
      <w:r w:rsidR="00B7137A" w:rsidRPr="00BD1E01">
        <w:t xml:space="preserve"> bisacodyl </w:t>
      </w:r>
      <w:r w:rsidRPr="00BD1E01">
        <w:t>as follows:</w:t>
      </w:r>
      <w:r w:rsidR="001A5D46">
        <w:rPr>
          <w:rStyle w:val="FootnoteReference"/>
        </w:rPr>
        <w:footnoteReference w:id="2"/>
      </w:r>
    </w:p>
    <w:p w14:paraId="0438851C" w14:textId="77777777" w:rsidR="00B7137A" w:rsidRPr="00FE26E1" w:rsidRDefault="00B7137A" w:rsidP="00081D70">
      <w:pPr>
        <w:keepNext/>
        <w:spacing w:before="240"/>
        <w:ind w:left="425"/>
        <w:rPr>
          <w:rFonts w:ascii="Calibri" w:hAnsi="Calibri" w:cs="Calibri"/>
          <w:b/>
        </w:rPr>
      </w:pPr>
      <w:r w:rsidRPr="00FE26E1">
        <w:rPr>
          <w:rFonts w:ascii="Calibri" w:hAnsi="Calibri" w:cs="Calibri"/>
          <w:b/>
        </w:rPr>
        <w:t xml:space="preserve">Schedule 2 – New </w:t>
      </w:r>
      <w:r>
        <w:rPr>
          <w:rFonts w:ascii="Calibri" w:hAnsi="Calibri" w:cs="Calibri"/>
          <w:b/>
        </w:rPr>
        <w:t>e</w:t>
      </w:r>
      <w:r w:rsidRPr="00FE26E1">
        <w:rPr>
          <w:rFonts w:ascii="Calibri" w:hAnsi="Calibri" w:cs="Calibri"/>
          <w:b/>
        </w:rPr>
        <w:t>ntry</w:t>
      </w:r>
    </w:p>
    <w:p w14:paraId="075738C0" w14:textId="77777777" w:rsidR="00B7137A" w:rsidRPr="00941C29" w:rsidRDefault="00B7137A" w:rsidP="003F76B0">
      <w:pPr>
        <w:pStyle w:val="paragraph"/>
        <w:spacing w:before="120" w:beforeAutospacing="0" w:after="120" w:afterAutospacing="0"/>
        <w:ind w:left="425" w:firstLine="284"/>
        <w:textAlignment w:val="baseline"/>
        <w:rPr>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BISACODYL:</w:t>
      </w:r>
    </w:p>
    <w:p w14:paraId="3828CC5B" w14:textId="74173CDD" w:rsidR="00B7137A" w:rsidRPr="00FE1D52" w:rsidRDefault="00B7137A" w:rsidP="003F76B0">
      <w:pPr>
        <w:pStyle w:val="paragraph"/>
        <w:numPr>
          <w:ilvl w:val="0"/>
          <w:numId w:val="11"/>
        </w:numPr>
        <w:spacing w:before="120" w:beforeAutospacing="0" w:after="0" w:afterAutospacing="0"/>
        <w:ind w:left="1417" w:hanging="357"/>
        <w:textAlignment w:val="baseline"/>
        <w:rPr>
          <w:rStyle w:val="eop"/>
          <w:rFonts w:ascii="Calibri" w:hAnsi="Calibri" w:cs="Calibri"/>
          <w:sz w:val="22"/>
          <w:szCs w:val="22"/>
        </w:rPr>
      </w:pPr>
      <w:r w:rsidRPr="00941C29">
        <w:rPr>
          <w:rStyle w:val="normaltextrun"/>
          <w:rFonts w:ascii="Calibri" w:hAnsi="Calibri" w:cs="Calibri"/>
          <w:color w:val="00B050"/>
          <w:sz w:val="22"/>
          <w:szCs w:val="22"/>
          <w:u w:val="single"/>
        </w:rPr>
        <w:t xml:space="preserve">in divided preparations for oral use </w:t>
      </w:r>
      <w:r w:rsidRPr="00941C29">
        <w:rPr>
          <w:rStyle w:val="normaltextrun"/>
          <w:rFonts w:ascii="Calibri" w:hAnsi="Calibri" w:cs="Calibri"/>
          <w:b/>
          <w:bCs/>
          <w:color w:val="00B050"/>
          <w:sz w:val="22"/>
          <w:szCs w:val="22"/>
          <w:u w:val="single"/>
        </w:rPr>
        <w:t>except</w:t>
      </w:r>
      <w:r w:rsidRPr="00941C29">
        <w:rPr>
          <w:rStyle w:val="normaltextrun"/>
          <w:rFonts w:ascii="Calibri" w:hAnsi="Calibri" w:cs="Calibri"/>
          <w:color w:val="00B050"/>
          <w:sz w:val="22"/>
          <w:szCs w:val="22"/>
          <w:u w:val="single"/>
        </w:rPr>
        <w:t xml:space="preserve"> in </w:t>
      </w:r>
      <w:r w:rsidR="00784741">
        <w:rPr>
          <w:rStyle w:val="normaltextrun"/>
          <w:rFonts w:ascii="Calibri" w:hAnsi="Calibri" w:cs="Calibri"/>
          <w:color w:val="00B050"/>
          <w:sz w:val="22"/>
          <w:szCs w:val="22"/>
          <w:u w:val="single"/>
        </w:rPr>
        <w:t xml:space="preserve">a primary </w:t>
      </w:r>
      <w:r w:rsidRPr="00941C29">
        <w:rPr>
          <w:rStyle w:val="normaltextrun"/>
          <w:rFonts w:ascii="Calibri" w:hAnsi="Calibri" w:cs="Calibri"/>
          <w:color w:val="00B050"/>
          <w:sz w:val="22"/>
          <w:szCs w:val="22"/>
          <w:u w:val="single"/>
        </w:rPr>
        <w:t>pack containing 20 dosage units or less containing 5 mg or less of bisacodyl per dosage unit; or</w:t>
      </w:r>
      <w:r w:rsidRPr="00941C29">
        <w:rPr>
          <w:rStyle w:val="eop"/>
          <w:rFonts w:ascii="Calibri" w:hAnsi="Calibri" w:cs="Calibri"/>
          <w:color w:val="00B050"/>
          <w:sz w:val="22"/>
          <w:szCs w:val="22"/>
        </w:rPr>
        <w:t xml:space="preserve"> </w:t>
      </w:r>
    </w:p>
    <w:p w14:paraId="10349827" w14:textId="77777777" w:rsidR="00B7137A" w:rsidRPr="00941C29" w:rsidRDefault="00B7137A" w:rsidP="00B7137A">
      <w:pPr>
        <w:pStyle w:val="paragraph"/>
        <w:numPr>
          <w:ilvl w:val="0"/>
          <w:numId w:val="11"/>
        </w:numPr>
        <w:spacing w:before="240" w:beforeAutospacing="0" w:after="0" w:afterAutospacing="0"/>
        <w:ind w:left="1418" w:hanging="357"/>
        <w:textAlignment w:val="baseline"/>
        <w:rPr>
          <w:rStyle w:val="normaltextrun"/>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 xml:space="preserve">in divided preparations for rectal use </w:t>
      </w:r>
      <w:r w:rsidRPr="00941C29">
        <w:rPr>
          <w:rStyle w:val="normaltextrun"/>
          <w:rFonts w:ascii="Calibri" w:hAnsi="Calibri" w:cs="Calibri"/>
          <w:b/>
          <w:bCs/>
          <w:color w:val="00B050"/>
          <w:sz w:val="22"/>
          <w:szCs w:val="22"/>
          <w:u w:val="single"/>
          <w:shd w:val="clear" w:color="auto" w:fill="FFFFFF"/>
        </w:rPr>
        <w:t>except:</w:t>
      </w:r>
    </w:p>
    <w:p w14:paraId="4CBDC285" w14:textId="398BE57F" w:rsidR="00B7137A" w:rsidRPr="00941C29" w:rsidRDefault="00B7137A" w:rsidP="00B7137A">
      <w:pPr>
        <w:pStyle w:val="paragraph"/>
        <w:numPr>
          <w:ilvl w:val="1"/>
          <w:numId w:val="11"/>
        </w:numPr>
        <w:spacing w:before="240" w:beforeAutospacing="0" w:after="0" w:afterAutospacing="0"/>
        <w:ind w:left="1843" w:hanging="357"/>
        <w:textAlignment w:val="baseline"/>
        <w:rPr>
          <w:rStyle w:val="eop"/>
          <w:rFonts w:ascii="Calibri" w:hAnsi="Calibri" w:cs="Calibri"/>
          <w:sz w:val="22"/>
          <w:szCs w:val="22"/>
        </w:rPr>
      </w:pPr>
      <w:r w:rsidRPr="00941C29">
        <w:rPr>
          <w:rStyle w:val="normaltextrun"/>
          <w:rFonts w:ascii="Calibri" w:hAnsi="Calibri" w:cs="Calibri"/>
          <w:color w:val="00B050"/>
          <w:sz w:val="22"/>
          <w:szCs w:val="22"/>
          <w:u w:val="single"/>
          <w:shd w:val="clear" w:color="auto" w:fill="FFFFFF"/>
        </w:rPr>
        <w:t xml:space="preserve">in </w:t>
      </w:r>
      <w:r w:rsidR="00784741">
        <w:rPr>
          <w:rStyle w:val="normaltextrun"/>
          <w:rFonts w:ascii="Calibri" w:hAnsi="Calibri" w:cs="Calibri"/>
          <w:color w:val="00B050"/>
          <w:sz w:val="22"/>
          <w:szCs w:val="22"/>
          <w:u w:val="single"/>
          <w:shd w:val="clear" w:color="auto" w:fill="FFFFFF"/>
        </w:rPr>
        <w:t xml:space="preserve">a primary </w:t>
      </w:r>
      <w:r w:rsidRPr="00941C29">
        <w:rPr>
          <w:rStyle w:val="normaltextrun"/>
          <w:rFonts w:ascii="Calibri" w:hAnsi="Calibri" w:cs="Calibri"/>
          <w:color w:val="00B050"/>
          <w:sz w:val="22"/>
          <w:szCs w:val="22"/>
          <w:u w:val="single"/>
          <w:shd w:val="clear" w:color="auto" w:fill="FFFFFF"/>
        </w:rPr>
        <w:t>pack containing 12 dosage units or less suppositories containing 10 mg or less of bisacodyl per dosage unit; or</w:t>
      </w:r>
    </w:p>
    <w:p w14:paraId="26DC448E" w14:textId="014D9762" w:rsidR="00B7137A" w:rsidRPr="00FE1D52" w:rsidRDefault="00B7137A" w:rsidP="00B7137A">
      <w:pPr>
        <w:pStyle w:val="paragraph"/>
        <w:numPr>
          <w:ilvl w:val="1"/>
          <w:numId w:val="11"/>
        </w:numPr>
        <w:spacing w:before="240" w:beforeAutospacing="0" w:after="0" w:afterAutospacing="0"/>
        <w:ind w:left="1843" w:hanging="357"/>
        <w:textAlignment w:val="baseline"/>
        <w:rPr>
          <w:rFonts w:ascii="Calibri" w:hAnsi="Calibri" w:cs="Calibri"/>
          <w:sz w:val="22"/>
          <w:szCs w:val="22"/>
        </w:rPr>
      </w:pPr>
      <w:r w:rsidRPr="00941C29">
        <w:rPr>
          <w:rStyle w:val="normaltextrun"/>
          <w:rFonts w:ascii="Calibri" w:hAnsi="Calibri" w:cs="Calibri"/>
          <w:color w:val="00B050"/>
          <w:sz w:val="22"/>
          <w:szCs w:val="22"/>
          <w:u w:val="single"/>
        </w:rPr>
        <w:t xml:space="preserve">in </w:t>
      </w:r>
      <w:r w:rsidR="00784741">
        <w:rPr>
          <w:rStyle w:val="normaltextrun"/>
          <w:rFonts w:ascii="Calibri" w:hAnsi="Calibri" w:cs="Calibri"/>
          <w:color w:val="00B050"/>
          <w:sz w:val="22"/>
          <w:szCs w:val="22"/>
          <w:u w:val="single"/>
        </w:rPr>
        <w:t xml:space="preserve">a primary </w:t>
      </w:r>
      <w:r w:rsidRPr="00941C29">
        <w:rPr>
          <w:rStyle w:val="normaltextrun"/>
          <w:rFonts w:ascii="Calibri" w:hAnsi="Calibri" w:cs="Calibri"/>
          <w:color w:val="00B050"/>
          <w:sz w:val="22"/>
          <w:szCs w:val="22"/>
          <w:u w:val="single"/>
        </w:rPr>
        <w:t xml:space="preserve">pack containing 25 dosage units or less enemas </w:t>
      </w:r>
      <w:r w:rsidRPr="00941C29">
        <w:rPr>
          <w:rStyle w:val="normaltextrun"/>
          <w:rFonts w:ascii="Calibri" w:hAnsi="Calibri" w:cs="Calibri"/>
          <w:color w:val="00B050"/>
          <w:sz w:val="22"/>
          <w:szCs w:val="22"/>
          <w:u w:val="single"/>
          <w:shd w:val="clear" w:color="auto" w:fill="FFFFFF"/>
        </w:rPr>
        <w:t>containing 10 mg or less of bisacodyl per dosage unit</w:t>
      </w:r>
      <w:r w:rsidRPr="00941C29">
        <w:rPr>
          <w:rStyle w:val="normaltextrun"/>
          <w:rFonts w:ascii="Calibri" w:hAnsi="Calibri" w:cs="Calibri"/>
          <w:color w:val="00B050"/>
          <w:sz w:val="22"/>
          <w:szCs w:val="22"/>
          <w:u w:val="single"/>
        </w:rPr>
        <w:t>.</w:t>
      </w:r>
    </w:p>
    <w:p w14:paraId="6B3EC610" w14:textId="77777777" w:rsidR="00B7137A" w:rsidRPr="00941C29" w:rsidRDefault="00B7137A" w:rsidP="00B7137A">
      <w:pPr>
        <w:spacing w:before="240"/>
        <w:ind w:left="426"/>
        <w:rPr>
          <w:rFonts w:ascii="Calibri" w:hAnsi="Calibri" w:cs="Calibri"/>
          <w:b/>
        </w:rPr>
      </w:pPr>
      <w:r w:rsidRPr="00941C29">
        <w:rPr>
          <w:rFonts w:ascii="Calibri" w:hAnsi="Calibri" w:cs="Calibri"/>
          <w:b/>
        </w:rPr>
        <w:t xml:space="preserve">Index – New </w:t>
      </w:r>
      <w:r>
        <w:rPr>
          <w:rFonts w:ascii="Calibri" w:hAnsi="Calibri" w:cs="Calibri"/>
          <w:b/>
        </w:rPr>
        <w:t>e</w:t>
      </w:r>
      <w:r w:rsidRPr="00941C29">
        <w:rPr>
          <w:rFonts w:ascii="Calibri" w:hAnsi="Calibri" w:cs="Calibri"/>
          <w:b/>
        </w:rPr>
        <w:t>ntry</w:t>
      </w:r>
    </w:p>
    <w:p w14:paraId="7786AA19" w14:textId="12A5B92F" w:rsidR="00B7137A" w:rsidRPr="00E17389" w:rsidRDefault="00B7137A" w:rsidP="00E17389">
      <w:pPr>
        <w:ind w:left="709"/>
        <w:rPr>
          <w:rFonts w:ascii="Calibri" w:hAnsi="Calibri" w:cs="Calibri"/>
          <w:b/>
          <w:bCs/>
          <w:color w:val="00B050"/>
          <w:u w:val="single"/>
        </w:rPr>
      </w:pPr>
      <w:r w:rsidRPr="00791351">
        <w:rPr>
          <w:rFonts w:ascii="Calibri" w:hAnsi="Calibri" w:cs="Calibri"/>
          <w:b/>
          <w:bCs/>
          <w:color w:val="00B050"/>
          <w:u w:val="single"/>
        </w:rPr>
        <w:t>BISACODYL</w:t>
      </w:r>
      <w:r>
        <w:rPr>
          <w:rFonts w:ascii="Calibri" w:hAnsi="Calibri" w:cs="Calibri"/>
          <w:b/>
          <w:bCs/>
          <w:color w:val="00B050"/>
          <w:u w:val="single"/>
        </w:rPr>
        <w:br/>
      </w:r>
      <w:r w:rsidRPr="00941C29">
        <w:rPr>
          <w:rFonts w:ascii="Calibri" w:hAnsi="Calibri" w:cs="Calibri"/>
          <w:color w:val="00B050"/>
          <w:u w:val="single"/>
        </w:rPr>
        <w:t>Schedule 2</w:t>
      </w:r>
    </w:p>
    <w:p w14:paraId="5940B950" w14:textId="10766C9F" w:rsidR="00457050" w:rsidRPr="00967490" w:rsidRDefault="00457050" w:rsidP="00C4382C">
      <w:pPr>
        <w:tabs>
          <w:tab w:val="left" w:pos="8160"/>
        </w:tabs>
        <w:spacing w:before="240"/>
        <w:rPr>
          <w:b/>
          <w:bCs/>
          <w:i/>
          <w:iCs/>
        </w:rPr>
      </w:pPr>
      <w:r w:rsidRPr="00967490">
        <w:rPr>
          <w:b/>
          <w:bCs/>
          <w:i/>
          <w:iCs/>
        </w:rPr>
        <w:t xml:space="preserve">Materials </w:t>
      </w:r>
      <w:proofErr w:type="gramStart"/>
      <w:r w:rsidRPr="00967490">
        <w:rPr>
          <w:b/>
          <w:bCs/>
          <w:i/>
          <w:iCs/>
        </w:rPr>
        <w:t>considered</w:t>
      </w:r>
      <w:proofErr w:type="gramEnd"/>
    </w:p>
    <w:p w14:paraId="231207A2" w14:textId="77777777" w:rsidR="00457050" w:rsidRDefault="00457050" w:rsidP="00967490">
      <w:r>
        <w:t>In making this final decision, the Delegate considered the following material:</w:t>
      </w:r>
    </w:p>
    <w:p w14:paraId="05BB95F7" w14:textId="7073969E" w:rsidR="00457050" w:rsidRDefault="00A75778" w:rsidP="009F7996">
      <w:pPr>
        <w:pStyle w:val="ListBullet"/>
      </w:pPr>
      <w:r>
        <w:t>t</w:t>
      </w:r>
      <w:r w:rsidR="00457050">
        <w:t xml:space="preserve">he </w:t>
      </w:r>
      <w:hyperlink r:id="rId14" w:history="1">
        <w:r w:rsidR="00457050" w:rsidRPr="006D5159">
          <w:rPr>
            <w:rStyle w:val="Hyperlink"/>
          </w:rPr>
          <w:t>application</w:t>
        </w:r>
      </w:hyperlink>
      <w:r w:rsidR="00457050" w:rsidRPr="006039CE">
        <w:t xml:space="preserve"> to amend the</w:t>
      </w:r>
      <w:r w:rsidR="00457050">
        <w:t xml:space="preserve"> current Poisons Standard with respect to </w:t>
      </w:r>
      <w:r w:rsidR="00E17389">
        <w:t>bisacodyl</w:t>
      </w:r>
      <w:r w:rsidR="00457050">
        <w:t xml:space="preserve"> (the </w:t>
      </w:r>
      <w:r w:rsidR="00457050" w:rsidRPr="002F4418">
        <w:rPr>
          <w:b/>
          <w:bCs/>
        </w:rPr>
        <w:t>Application</w:t>
      </w:r>
      <w:r w:rsidR="00457050">
        <w:t>)</w:t>
      </w:r>
    </w:p>
    <w:p w14:paraId="0874DC7B" w14:textId="1D662755" w:rsidR="00457050" w:rsidRPr="00967490" w:rsidRDefault="00A75778" w:rsidP="009F7996">
      <w:pPr>
        <w:pStyle w:val="ListBullet"/>
      </w:pPr>
      <w:r>
        <w:lastRenderedPageBreak/>
        <w:t>t</w:t>
      </w:r>
      <w:r w:rsidR="00457050" w:rsidRPr="00967490">
        <w:t xml:space="preserve">he </w:t>
      </w:r>
      <w:r w:rsidR="00E17389">
        <w:t>9</w:t>
      </w:r>
      <w:r w:rsidR="00457050" w:rsidRPr="00967490">
        <w:t xml:space="preserve"> </w:t>
      </w:r>
      <w:hyperlink r:id="rId15" w:history="1">
        <w:r w:rsidR="00457050" w:rsidRPr="00E17389">
          <w:rPr>
            <w:rStyle w:val="Hyperlink"/>
          </w:rPr>
          <w:t>public submissions</w:t>
        </w:r>
      </w:hyperlink>
      <w:r w:rsidR="00457050" w:rsidRPr="00967490">
        <w:t xml:space="preserve"> received in response to the </w:t>
      </w:r>
      <w:hyperlink r:id="rId16" w:history="1">
        <w:r w:rsidR="00457050" w:rsidRPr="00B700F9">
          <w:rPr>
            <w:rStyle w:val="Hyperlink"/>
          </w:rPr>
          <w:t>pre-meeting consultation</w:t>
        </w:r>
      </w:hyperlink>
      <w:r w:rsidR="00457050" w:rsidRPr="00B700F9">
        <w:t xml:space="preserve"> under</w:t>
      </w:r>
      <w:r w:rsidR="00457050" w:rsidRPr="00967490">
        <w:t xml:space="preserve"> regulation 42ZCZK of the Regulations</w:t>
      </w:r>
    </w:p>
    <w:p w14:paraId="063B138F" w14:textId="72FFAC23" w:rsidR="00457050" w:rsidRDefault="00A75778" w:rsidP="009F7996">
      <w:pPr>
        <w:pStyle w:val="ListBullet"/>
      </w:pPr>
      <w:r>
        <w:t>t</w:t>
      </w:r>
      <w:r w:rsidR="00457050">
        <w:t xml:space="preserve">he advice received from </w:t>
      </w:r>
      <w:r w:rsidR="00457050" w:rsidRPr="00E17389">
        <w:t xml:space="preserve">the </w:t>
      </w:r>
      <w:r w:rsidR="00E17389" w:rsidRPr="00E17389">
        <w:t>42</w:t>
      </w:r>
      <w:r w:rsidR="00E17389" w:rsidRPr="00E17389">
        <w:rPr>
          <w:vertAlign w:val="superscript"/>
        </w:rPr>
        <w:t>nd</w:t>
      </w:r>
      <w:r w:rsidR="00457050" w:rsidRPr="00E17389">
        <w:t xml:space="preserve"> meeting of the Advisory Committee on Medicines Scheduling (the </w:t>
      </w:r>
      <w:r w:rsidR="00457050" w:rsidRPr="00E17389">
        <w:rPr>
          <w:b/>
          <w:bCs/>
        </w:rPr>
        <w:t>Committee</w:t>
      </w:r>
      <w:r w:rsidR="00457050" w:rsidRPr="00E17389">
        <w:t>)</w:t>
      </w:r>
      <w:r w:rsidR="00457050" w:rsidRPr="00E17389">
        <w:rPr>
          <w:rStyle w:val="FootnoteReference"/>
        </w:rPr>
        <w:footnoteReference w:id="3"/>
      </w:r>
    </w:p>
    <w:p w14:paraId="537EA274" w14:textId="77777777" w:rsidR="00DF71E9" w:rsidRDefault="00DF71E9" w:rsidP="00DF71E9">
      <w:pPr>
        <w:pStyle w:val="ListBullet"/>
      </w:pPr>
      <w:r>
        <w:t xml:space="preserve">the </w:t>
      </w:r>
      <w:hyperlink r:id="rId17" w:history="1">
        <w:r w:rsidRPr="00E17389">
          <w:rPr>
            <w:rStyle w:val="Hyperlink"/>
          </w:rPr>
          <w:t>interim decision</w:t>
        </w:r>
      </w:hyperlink>
      <w:r>
        <w:t xml:space="preserve"> relating to bisacodyl and the materials considered as part of the interim decision, as published on 5 October 2023</w:t>
      </w:r>
    </w:p>
    <w:p w14:paraId="00BCBFEF" w14:textId="67D4BE1B" w:rsidR="00AC609D" w:rsidRDefault="00A75778" w:rsidP="009F7996">
      <w:pPr>
        <w:pStyle w:val="ListBullet"/>
      </w:pPr>
      <w:r>
        <w:t>t</w:t>
      </w:r>
      <w:r w:rsidR="00AC609D">
        <w:t xml:space="preserve">he </w:t>
      </w:r>
      <w:r w:rsidR="00A9162C">
        <w:t>2</w:t>
      </w:r>
      <w:r w:rsidR="00AC609D">
        <w:t xml:space="preserve"> </w:t>
      </w:r>
      <w:hyperlink r:id="rId18" w:history="1">
        <w:r w:rsidR="00AC609D" w:rsidRPr="00A9162C">
          <w:rPr>
            <w:rStyle w:val="Hyperlink"/>
          </w:rPr>
          <w:t>public submissions</w:t>
        </w:r>
      </w:hyperlink>
      <w:r w:rsidR="00AC609D">
        <w:t xml:space="preserve"> received in response to the </w:t>
      </w:r>
      <w:hyperlink r:id="rId19" w:history="1">
        <w:r w:rsidR="00AC609D" w:rsidRPr="00A9162C">
          <w:rPr>
            <w:rStyle w:val="Hyperlink"/>
          </w:rPr>
          <w:t>interim decision consultation</w:t>
        </w:r>
      </w:hyperlink>
      <w:r w:rsidR="00AC609D">
        <w:t xml:space="preserve"> </w:t>
      </w:r>
      <w:r w:rsidR="00AC609D" w:rsidRPr="002C1418">
        <w:t>under regulation 42ZCZP of the Regulations</w:t>
      </w:r>
      <w:r w:rsidR="00AC609D">
        <w:t xml:space="preserve"> (the </w:t>
      </w:r>
      <w:r w:rsidR="00AC609D" w:rsidRPr="00AC609D">
        <w:rPr>
          <w:b/>
          <w:bCs/>
        </w:rPr>
        <w:t>Submissions</w:t>
      </w:r>
      <w:r w:rsidR="00AC609D">
        <w:t>)</w:t>
      </w:r>
    </w:p>
    <w:p w14:paraId="350BB832" w14:textId="04AEF5AF" w:rsidR="00457050" w:rsidRDefault="00F67C3A" w:rsidP="009F7996">
      <w:pPr>
        <w:pStyle w:val="ListBullet"/>
      </w:pPr>
      <w:r>
        <w:t>s</w:t>
      </w:r>
      <w:r w:rsidR="00457050" w:rsidRPr="001169AC">
        <w:t xml:space="preserve">ubsection 52E(1) of </w:t>
      </w:r>
      <w:r w:rsidR="00457050">
        <w:rPr>
          <w:iCs/>
        </w:rPr>
        <w:t xml:space="preserve">the </w:t>
      </w:r>
      <w:r w:rsidR="00457050" w:rsidRPr="004D06D7">
        <w:rPr>
          <w:iCs/>
        </w:rPr>
        <w:t>Act</w:t>
      </w:r>
      <w:r w:rsidR="00457050"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r w:rsidR="00784741">
        <w:t>.</w:t>
      </w:r>
    </w:p>
    <w:p w14:paraId="1DA61901" w14:textId="45D7D919" w:rsidR="00457050" w:rsidRPr="00167C92" w:rsidRDefault="00C1211D" w:rsidP="009F7996">
      <w:pPr>
        <w:pStyle w:val="ListBullet"/>
      </w:pPr>
      <w:r>
        <w:t>p</w:t>
      </w:r>
      <w:r w:rsidR="004D06D7" w:rsidRPr="00167C92">
        <w:t>ursuant to paragraph 52E(2)(a) of the Act, t</w:t>
      </w:r>
      <w:r w:rsidR="00457050" w:rsidRPr="00167C92">
        <w:t>he SPF</w:t>
      </w:r>
      <w:r w:rsidR="00683077">
        <w:t>,</w:t>
      </w:r>
      <w:r w:rsidR="00457050" w:rsidRPr="00167C92">
        <w:t xml:space="preserve"> and</w:t>
      </w:r>
    </w:p>
    <w:p w14:paraId="0819EFBE" w14:textId="60E9128F" w:rsidR="00457050" w:rsidRPr="00167C92" w:rsidRDefault="00C1211D" w:rsidP="009F7996">
      <w:pPr>
        <w:pStyle w:val="ListBullet"/>
      </w:pPr>
      <w:r>
        <w:t>t</w:t>
      </w:r>
      <w:r w:rsidR="00457050" w:rsidRPr="00167C92">
        <w:t>he</w:t>
      </w:r>
      <w:r w:rsidR="00AA12EC" w:rsidRPr="00167C92">
        <w:t xml:space="preserve"> Handbook</w:t>
      </w:r>
      <w:r w:rsidR="006E2FCF">
        <w:t>.</w:t>
      </w:r>
    </w:p>
    <w:p w14:paraId="683BC55E" w14:textId="77777777" w:rsidR="00457050" w:rsidRPr="004D06D7" w:rsidRDefault="00457050" w:rsidP="004D06D7">
      <w:pPr>
        <w:rPr>
          <w:b/>
          <w:bCs/>
          <w:i/>
          <w:iCs/>
        </w:rPr>
      </w:pPr>
      <w:r w:rsidRPr="004D06D7">
        <w:rPr>
          <w:b/>
          <w:bCs/>
          <w:i/>
          <w:iCs/>
        </w:rPr>
        <w:t>Reasons for the final decision (including findings on material questions of fact)</w:t>
      </w:r>
    </w:p>
    <w:p w14:paraId="580FA03B" w14:textId="14282791" w:rsidR="00457050" w:rsidRDefault="00457050" w:rsidP="00967490">
      <w:r w:rsidRPr="00A9162C">
        <w:t>I have made a final decision to confirm</w:t>
      </w:r>
      <w:r w:rsidR="00167C92" w:rsidRPr="00A9162C">
        <w:t xml:space="preserve"> my </w:t>
      </w:r>
      <w:r w:rsidRPr="00A9162C">
        <w:t xml:space="preserve">interim decision to amend the current Poisons Standard with respect to </w:t>
      </w:r>
      <w:r w:rsidR="00167C92" w:rsidRPr="00A9162C">
        <w:t>bisacodyl</w:t>
      </w:r>
      <w:r w:rsidRPr="00A9162C">
        <w:t xml:space="preserve">. My reasons for making the final decision are those set out in the interim decision. In making my final decision, I have </w:t>
      </w:r>
      <w:proofErr w:type="gramStart"/>
      <w:r w:rsidRPr="00A9162C">
        <w:t>taken into account</w:t>
      </w:r>
      <w:proofErr w:type="gramEnd"/>
      <w:r w:rsidRPr="00A9162C">
        <w:t xml:space="preserve"> the material in the interim decision and the </w:t>
      </w:r>
      <w:r w:rsidR="00A9162C" w:rsidRPr="00A9162C">
        <w:t xml:space="preserve">2 </w:t>
      </w:r>
      <w:r w:rsidRPr="00A9162C">
        <w:t>public submissions</w:t>
      </w:r>
      <w:r w:rsidR="00B4618F">
        <w:t>, which were bo</w:t>
      </w:r>
      <w:r w:rsidR="00B4618F" w:rsidRPr="00DF71E9">
        <w:t>th in support of the interim decision,</w:t>
      </w:r>
      <w:r w:rsidRPr="00DF71E9">
        <w:t xml:space="preserve"> </w:t>
      </w:r>
      <w:r w:rsidR="00DF71E9">
        <w:t xml:space="preserve">which were </w:t>
      </w:r>
      <w:r w:rsidRPr="00DF71E9">
        <w:t xml:space="preserve">received in response to </w:t>
      </w:r>
      <w:r w:rsidR="00DF71E9">
        <w:t xml:space="preserve">the </w:t>
      </w:r>
      <w:r w:rsidR="00784741" w:rsidRPr="000F0F68">
        <w:t>interim decision consultation</w:t>
      </w:r>
      <w:r w:rsidRPr="00DF71E9">
        <w:t>.</w:t>
      </w:r>
    </w:p>
    <w:p w14:paraId="3EE7C1D9" w14:textId="4D387EC2" w:rsidR="009C0195" w:rsidRDefault="009C0195" w:rsidP="009C0195">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As outlined in my interim decision, I acknowledge the concerns in relation to the potential</w:t>
      </w:r>
      <w:r w:rsidR="00111F52">
        <w:rPr>
          <w:rFonts w:ascii="Calibri" w:hAnsi="Calibri" w:cs="Calibri"/>
          <w:color w:val="000000"/>
          <w:sz w:val="22"/>
          <w:szCs w:val="22"/>
        </w:rPr>
        <w:t xml:space="preserve"> public</w:t>
      </w:r>
      <w:r>
        <w:rPr>
          <w:rFonts w:ascii="Calibri" w:hAnsi="Calibri" w:cs="Calibri"/>
          <w:color w:val="000000"/>
          <w:sz w:val="22"/>
          <w:szCs w:val="22"/>
        </w:rPr>
        <w:t xml:space="preserve"> risks associated with senna and other stimulant laxatives. </w:t>
      </w:r>
      <w:r w:rsidR="00784741">
        <w:rPr>
          <w:rFonts w:ascii="Calibri" w:hAnsi="Calibri" w:cs="Calibri"/>
          <w:color w:val="000000"/>
          <w:sz w:val="22"/>
          <w:szCs w:val="22"/>
        </w:rPr>
        <w:t>T</w:t>
      </w:r>
      <w:r>
        <w:rPr>
          <w:rFonts w:ascii="Calibri" w:hAnsi="Calibri" w:cs="Calibri"/>
          <w:color w:val="000000"/>
          <w:sz w:val="22"/>
          <w:szCs w:val="22"/>
        </w:rPr>
        <w:t xml:space="preserve">here is insufficient evidence before me at present to consider </w:t>
      </w:r>
      <w:r w:rsidR="008513A0">
        <w:rPr>
          <w:rFonts w:ascii="Calibri" w:hAnsi="Calibri" w:cs="Calibri"/>
          <w:color w:val="000000"/>
          <w:sz w:val="22"/>
          <w:szCs w:val="22"/>
        </w:rPr>
        <w:t xml:space="preserve">changes to </w:t>
      </w:r>
      <w:r>
        <w:rPr>
          <w:rFonts w:ascii="Calibri" w:hAnsi="Calibri" w:cs="Calibri"/>
          <w:color w:val="000000"/>
          <w:sz w:val="22"/>
          <w:szCs w:val="22"/>
        </w:rPr>
        <w:t>the scheduling of these substances</w:t>
      </w:r>
      <w:r w:rsidR="00784741">
        <w:rPr>
          <w:rFonts w:ascii="Calibri" w:hAnsi="Calibri" w:cs="Calibri"/>
          <w:color w:val="000000"/>
          <w:sz w:val="22"/>
          <w:szCs w:val="22"/>
        </w:rPr>
        <w:t xml:space="preserve">. </w:t>
      </w:r>
      <w:r w:rsidR="00B4618F">
        <w:rPr>
          <w:rFonts w:ascii="Calibri" w:hAnsi="Calibri" w:cs="Calibri"/>
          <w:color w:val="000000"/>
          <w:sz w:val="22"/>
          <w:szCs w:val="22"/>
        </w:rPr>
        <w:t xml:space="preserve">I </w:t>
      </w:r>
      <w:r>
        <w:rPr>
          <w:rFonts w:ascii="Calibri" w:hAnsi="Calibri" w:cs="Calibri"/>
          <w:color w:val="000000"/>
          <w:sz w:val="22"/>
          <w:szCs w:val="22"/>
        </w:rPr>
        <w:t xml:space="preserve">welcome any application to amend the Poisons Standard in relation to </w:t>
      </w:r>
      <w:r w:rsidR="008513A0">
        <w:rPr>
          <w:rFonts w:ascii="Calibri" w:hAnsi="Calibri" w:cs="Calibri"/>
          <w:color w:val="000000"/>
          <w:sz w:val="22"/>
          <w:szCs w:val="22"/>
        </w:rPr>
        <w:t>other stimulant laxatives</w:t>
      </w:r>
      <w:r>
        <w:rPr>
          <w:rFonts w:ascii="Calibri" w:hAnsi="Calibri" w:cs="Calibri"/>
          <w:sz w:val="22"/>
          <w:szCs w:val="22"/>
          <w:lang w:val="en-GB"/>
        </w:rPr>
        <w:t xml:space="preserve"> if supported by sufficient scientific and clinical evidence</w:t>
      </w:r>
      <w:r>
        <w:rPr>
          <w:rFonts w:ascii="Calibri" w:hAnsi="Calibri" w:cs="Calibri"/>
          <w:color w:val="000000"/>
          <w:sz w:val="22"/>
          <w:szCs w:val="22"/>
        </w:rPr>
        <w:t>.</w:t>
      </w:r>
    </w:p>
    <w:p w14:paraId="5C047454" w14:textId="692883DE" w:rsidR="009C0195" w:rsidRDefault="009C0195" w:rsidP="009C0195">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 xml:space="preserve">I have </w:t>
      </w:r>
      <w:r w:rsidR="00B4618F">
        <w:rPr>
          <w:rFonts w:ascii="Calibri" w:hAnsi="Calibri" w:cs="Calibri"/>
          <w:color w:val="000000"/>
          <w:sz w:val="22"/>
          <w:szCs w:val="22"/>
        </w:rPr>
        <w:t xml:space="preserve">considered </w:t>
      </w:r>
      <w:r>
        <w:rPr>
          <w:rFonts w:ascii="Calibri" w:hAnsi="Calibri" w:cs="Calibri"/>
          <w:color w:val="000000"/>
          <w:sz w:val="22"/>
          <w:szCs w:val="22"/>
        </w:rPr>
        <w:t>the request</w:t>
      </w:r>
      <w:r w:rsidR="00253E5F">
        <w:rPr>
          <w:rFonts w:ascii="Calibri" w:hAnsi="Calibri" w:cs="Calibri"/>
          <w:color w:val="000000"/>
          <w:sz w:val="22"/>
          <w:szCs w:val="22"/>
        </w:rPr>
        <w:t>s</w:t>
      </w:r>
      <w:r>
        <w:rPr>
          <w:rFonts w:ascii="Calibri" w:hAnsi="Calibri" w:cs="Calibri"/>
          <w:color w:val="000000"/>
          <w:sz w:val="22"/>
          <w:szCs w:val="22"/>
        </w:rPr>
        <w:t xml:space="preserve"> </w:t>
      </w:r>
      <w:r w:rsidR="00B4618F">
        <w:rPr>
          <w:rFonts w:ascii="Calibri" w:hAnsi="Calibri" w:cs="Calibri"/>
          <w:color w:val="000000"/>
          <w:sz w:val="22"/>
          <w:szCs w:val="22"/>
        </w:rPr>
        <w:t xml:space="preserve">for </w:t>
      </w:r>
      <w:r>
        <w:rPr>
          <w:rFonts w:ascii="Calibri" w:hAnsi="Calibri" w:cs="Calibri"/>
          <w:color w:val="000000"/>
          <w:sz w:val="22"/>
          <w:szCs w:val="22"/>
        </w:rPr>
        <w:t>a</w:t>
      </w:r>
      <w:r w:rsidR="00253E5F">
        <w:rPr>
          <w:rFonts w:ascii="Calibri" w:hAnsi="Calibri" w:cs="Calibri"/>
          <w:color w:val="000000"/>
          <w:sz w:val="22"/>
          <w:szCs w:val="22"/>
        </w:rPr>
        <w:t xml:space="preserve"> delay</w:t>
      </w:r>
      <w:r>
        <w:rPr>
          <w:rFonts w:ascii="Calibri" w:hAnsi="Calibri" w:cs="Calibri"/>
          <w:color w:val="000000"/>
          <w:sz w:val="22"/>
          <w:szCs w:val="22"/>
        </w:rPr>
        <w:t xml:space="preserve"> to the implementation </w:t>
      </w:r>
      <w:r w:rsidR="00253E5F">
        <w:rPr>
          <w:rFonts w:ascii="Calibri" w:hAnsi="Calibri" w:cs="Calibri"/>
          <w:color w:val="000000"/>
          <w:sz w:val="22"/>
          <w:szCs w:val="22"/>
        </w:rPr>
        <w:t>date</w:t>
      </w:r>
      <w:r w:rsidR="00B4618F">
        <w:rPr>
          <w:rFonts w:ascii="Calibri" w:hAnsi="Calibri" w:cs="Calibri"/>
          <w:color w:val="000000"/>
          <w:sz w:val="22"/>
          <w:szCs w:val="22"/>
        </w:rPr>
        <w:t xml:space="preserve"> </w:t>
      </w:r>
      <w:r>
        <w:rPr>
          <w:rFonts w:ascii="Calibri" w:hAnsi="Calibri" w:cs="Calibri"/>
          <w:color w:val="000000"/>
          <w:sz w:val="22"/>
          <w:szCs w:val="22"/>
        </w:rPr>
        <w:t>f</w:t>
      </w:r>
      <w:r w:rsidR="00B4618F">
        <w:rPr>
          <w:rFonts w:ascii="Calibri" w:hAnsi="Calibri" w:cs="Calibri"/>
          <w:color w:val="000000"/>
          <w:sz w:val="22"/>
          <w:szCs w:val="22"/>
        </w:rPr>
        <w:t>or</w:t>
      </w:r>
      <w:r>
        <w:rPr>
          <w:rFonts w:ascii="Calibri" w:hAnsi="Calibri" w:cs="Calibri"/>
          <w:color w:val="000000"/>
          <w:sz w:val="22"/>
          <w:szCs w:val="22"/>
        </w:rPr>
        <w:t xml:space="preserve"> this decision </w:t>
      </w:r>
      <w:r w:rsidR="00C7356D">
        <w:rPr>
          <w:rFonts w:ascii="Calibri" w:hAnsi="Calibri" w:cs="Calibri"/>
          <w:color w:val="000000"/>
          <w:sz w:val="22"/>
          <w:szCs w:val="22"/>
        </w:rPr>
        <w:t>and</w:t>
      </w:r>
      <w:r>
        <w:rPr>
          <w:rFonts w:ascii="Calibri" w:hAnsi="Calibri" w:cs="Calibri"/>
          <w:color w:val="000000"/>
          <w:sz w:val="22"/>
          <w:szCs w:val="22"/>
        </w:rPr>
        <w:t xml:space="preserve"> </w:t>
      </w:r>
      <w:r w:rsidR="00253E5F">
        <w:rPr>
          <w:rFonts w:ascii="Calibri" w:hAnsi="Calibri" w:cs="Calibri"/>
          <w:color w:val="000000"/>
          <w:sz w:val="22"/>
          <w:szCs w:val="22"/>
        </w:rPr>
        <w:t xml:space="preserve">also </w:t>
      </w:r>
      <w:r>
        <w:rPr>
          <w:rFonts w:ascii="Calibri" w:hAnsi="Calibri" w:cs="Calibri"/>
          <w:color w:val="000000"/>
          <w:sz w:val="22"/>
          <w:szCs w:val="22"/>
        </w:rPr>
        <w:t>a</w:t>
      </w:r>
      <w:r w:rsidR="00B4618F">
        <w:rPr>
          <w:rFonts w:ascii="Calibri" w:hAnsi="Calibri" w:cs="Calibri"/>
          <w:color w:val="000000"/>
          <w:sz w:val="22"/>
          <w:szCs w:val="22"/>
        </w:rPr>
        <w:t>n</w:t>
      </w:r>
      <w:r>
        <w:rPr>
          <w:rFonts w:ascii="Calibri" w:hAnsi="Calibri" w:cs="Calibri"/>
          <w:color w:val="000000"/>
          <w:sz w:val="22"/>
          <w:szCs w:val="22"/>
        </w:rPr>
        <w:t xml:space="preserve"> </w:t>
      </w:r>
      <w:r w:rsidR="00B4618F">
        <w:rPr>
          <w:rFonts w:ascii="Calibri" w:hAnsi="Calibri" w:cs="Calibri"/>
          <w:color w:val="000000"/>
          <w:sz w:val="22"/>
          <w:szCs w:val="22"/>
        </w:rPr>
        <w:t xml:space="preserve">additional </w:t>
      </w:r>
      <w:r>
        <w:rPr>
          <w:rFonts w:ascii="Calibri" w:hAnsi="Calibri" w:cs="Calibri"/>
          <w:color w:val="000000"/>
          <w:sz w:val="22"/>
          <w:szCs w:val="22"/>
        </w:rPr>
        <w:t xml:space="preserve">transition period, </w:t>
      </w:r>
      <w:r w:rsidR="00C7356D">
        <w:rPr>
          <w:rFonts w:ascii="Calibri" w:hAnsi="Calibri" w:cs="Calibri"/>
          <w:color w:val="000000"/>
          <w:sz w:val="22"/>
          <w:szCs w:val="22"/>
        </w:rPr>
        <w:t xml:space="preserve">similar </w:t>
      </w:r>
      <w:r>
        <w:rPr>
          <w:rFonts w:ascii="Calibri" w:hAnsi="Calibri" w:cs="Calibri"/>
          <w:color w:val="000000"/>
          <w:sz w:val="22"/>
          <w:szCs w:val="22"/>
        </w:rPr>
        <w:t xml:space="preserve">to the </w:t>
      </w:r>
      <w:r w:rsidR="00B4618F">
        <w:rPr>
          <w:rFonts w:ascii="Calibri" w:hAnsi="Calibri" w:cs="Calibri"/>
          <w:color w:val="000000"/>
          <w:sz w:val="22"/>
          <w:szCs w:val="22"/>
        </w:rPr>
        <w:t xml:space="preserve">supply arrangements </w:t>
      </w:r>
      <w:r w:rsidR="00C7356D">
        <w:rPr>
          <w:rFonts w:ascii="Calibri" w:hAnsi="Calibri" w:cs="Calibri"/>
          <w:color w:val="000000"/>
          <w:sz w:val="22"/>
          <w:szCs w:val="22"/>
        </w:rPr>
        <w:t xml:space="preserve">that were enacted </w:t>
      </w:r>
      <w:r w:rsidR="00B4618F">
        <w:rPr>
          <w:rFonts w:ascii="Calibri" w:hAnsi="Calibri" w:cs="Calibri"/>
          <w:color w:val="000000"/>
          <w:sz w:val="22"/>
          <w:szCs w:val="22"/>
        </w:rPr>
        <w:t xml:space="preserve">for the </w:t>
      </w:r>
      <w:hyperlink r:id="rId20" w:history="1">
        <w:r w:rsidRPr="00B4618F">
          <w:rPr>
            <w:rStyle w:val="Hyperlink"/>
            <w:rFonts w:ascii="Calibri" w:hAnsi="Calibri" w:cs="Calibri"/>
            <w:sz w:val="22"/>
            <w:szCs w:val="22"/>
          </w:rPr>
          <w:t>re-scheduling of codeine in February 2018</w:t>
        </w:r>
      </w:hyperlink>
      <w:r>
        <w:rPr>
          <w:rFonts w:ascii="Calibri" w:hAnsi="Calibri" w:cs="Calibri"/>
          <w:color w:val="000000"/>
          <w:sz w:val="22"/>
          <w:szCs w:val="22"/>
        </w:rPr>
        <w:t xml:space="preserve">. I note that the decision on codeine affected a significantly greater number of products in the Australian market compared to this decision on bisacodyl. Further, the continuation of supply of bisacodyl-containing products </w:t>
      </w:r>
      <w:r w:rsidR="00B4618F">
        <w:rPr>
          <w:rFonts w:ascii="Calibri" w:hAnsi="Calibri" w:cs="Calibri"/>
          <w:color w:val="000000"/>
          <w:sz w:val="22"/>
          <w:szCs w:val="22"/>
        </w:rPr>
        <w:t xml:space="preserve">in response to a scheduling change </w:t>
      </w:r>
      <w:r>
        <w:rPr>
          <w:rFonts w:ascii="Calibri" w:hAnsi="Calibri" w:cs="Calibri"/>
          <w:color w:val="000000"/>
          <w:sz w:val="22"/>
          <w:szCs w:val="22"/>
        </w:rPr>
        <w:t xml:space="preserve">is regulated by </w:t>
      </w:r>
      <w:r w:rsidR="00081D70">
        <w:rPr>
          <w:rFonts w:ascii="Calibri" w:hAnsi="Calibri" w:cs="Calibri"/>
          <w:color w:val="000000"/>
          <w:sz w:val="22"/>
          <w:szCs w:val="22"/>
        </w:rPr>
        <w:t xml:space="preserve">the legislation of </w:t>
      </w:r>
      <w:r>
        <w:rPr>
          <w:rFonts w:ascii="Calibri" w:hAnsi="Calibri" w:cs="Calibri"/>
          <w:color w:val="000000"/>
          <w:sz w:val="22"/>
          <w:szCs w:val="22"/>
        </w:rPr>
        <w:t xml:space="preserve">individual </w:t>
      </w:r>
      <w:r w:rsidR="00784741">
        <w:rPr>
          <w:rFonts w:ascii="Calibri" w:hAnsi="Calibri" w:cs="Calibri"/>
          <w:color w:val="000000"/>
          <w:sz w:val="22"/>
          <w:szCs w:val="22"/>
        </w:rPr>
        <w:t>s</w:t>
      </w:r>
      <w:r>
        <w:rPr>
          <w:rFonts w:ascii="Calibri" w:hAnsi="Calibri" w:cs="Calibri"/>
          <w:color w:val="000000"/>
          <w:sz w:val="22"/>
          <w:szCs w:val="22"/>
        </w:rPr>
        <w:t xml:space="preserve">tates and </w:t>
      </w:r>
      <w:r w:rsidR="00784741">
        <w:rPr>
          <w:rFonts w:ascii="Calibri" w:hAnsi="Calibri" w:cs="Calibri"/>
          <w:color w:val="000000"/>
          <w:sz w:val="22"/>
          <w:szCs w:val="22"/>
        </w:rPr>
        <w:t>t</w:t>
      </w:r>
      <w:r>
        <w:rPr>
          <w:rFonts w:ascii="Calibri" w:hAnsi="Calibri" w:cs="Calibri"/>
          <w:color w:val="000000"/>
          <w:sz w:val="22"/>
          <w:szCs w:val="22"/>
        </w:rPr>
        <w:t>erritories, and the Poisons Standard is not the appropriate mechanism to implement a transition period</w:t>
      </w:r>
      <w:r>
        <w:rPr>
          <w:rFonts w:ascii="Calibri" w:hAnsi="Calibri" w:cs="Calibri"/>
          <w:sz w:val="22"/>
          <w:szCs w:val="22"/>
          <w:lang w:val="en-GB"/>
        </w:rPr>
        <w:t xml:space="preserve">. </w:t>
      </w:r>
      <w:r>
        <w:rPr>
          <w:rFonts w:ascii="Calibri" w:hAnsi="Calibri" w:cs="Calibri"/>
          <w:color w:val="000000"/>
          <w:sz w:val="22"/>
          <w:szCs w:val="22"/>
        </w:rPr>
        <w:t xml:space="preserve">However, I acknowledge the implementation date of 1 October 2024, which provides a period of approximately 10 months from the date of publication, may cause disruption to </w:t>
      </w:r>
      <w:r w:rsidR="00111F52">
        <w:rPr>
          <w:rFonts w:ascii="Calibri" w:hAnsi="Calibri" w:cs="Calibri"/>
          <w:color w:val="000000"/>
          <w:sz w:val="22"/>
          <w:szCs w:val="22"/>
        </w:rPr>
        <w:t xml:space="preserve">the </w:t>
      </w:r>
      <w:r>
        <w:rPr>
          <w:rFonts w:ascii="Calibri" w:hAnsi="Calibri" w:cs="Calibri"/>
          <w:color w:val="000000"/>
          <w:sz w:val="22"/>
          <w:szCs w:val="22"/>
        </w:rPr>
        <w:t xml:space="preserve">supply </w:t>
      </w:r>
      <w:r w:rsidR="00111F52">
        <w:rPr>
          <w:rFonts w:ascii="Calibri" w:hAnsi="Calibri" w:cs="Calibri"/>
          <w:color w:val="000000"/>
          <w:sz w:val="22"/>
          <w:szCs w:val="22"/>
        </w:rPr>
        <w:t xml:space="preserve">of bisacodyl-containing products </w:t>
      </w:r>
      <w:r>
        <w:rPr>
          <w:rFonts w:ascii="Calibri" w:hAnsi="Calibri" w:cs="Calibri"/>
          <w:color w:val="000000"/>
          <w:sz w:val="22"/>
          <w:szCs w:val="22"/>
        </w:rPr>
        <w:t xml:space="preserve">due to the </w:t>
      </w:r>
      <w:r w:rsidR="00111F52">
        <w:rPr>
          <w:rFonts w:ascii="Calibri" w:hAnsi="Calibri" w:cs="Calibri"/>
          <w:color w:val="000000"/>
          <w:sz w:val="22"/>
          <w:szCs w:val="22"/>
        </w:rPr>
        <w:t>implementation of packaging changes in response to the decision</w:t>
      </w:r>
      <w:r>
        <w:rPr>
          <w:rFonts w:ascii="Calibri" w:hAnsi="Calibri" w:cs="Calibri"/>
          <w:color w:val="000000"/>
          <w:sz w:val="22"/>
          <w:szCs w:val="22"/>
        </w:rPr>
        <w:t>. As such, I have made a final decision to extend the implementation date to 1 February 2025.</w:t>
      </w:r>
    </w:p>
    <w:p w14:paraId="34E6D7C6" w14:textId="77777777" w:rsidR="00457050" w:rsidRPr="00E42057" w:rsidRDefault="00457050" w:rsidP="00081D70">
      <w:pPr>
        <w:spacing w:before="240"/>
        <w:rPr>
          <w:b/>
          <w:bCs/>
          <w:i/>
          <w:iCs/>
        </w:rPr>
      </w:pPr>
      <w:r w:rsidRPr="00E42057">
        <w:rPr>
          <w:b/>
          <w:bCs/>
          <w:i/>
          <w:iCs/>
        </w:rPr>
        <w:t>Implementation date</w:t>
      </w:r>
    </w:p>
    <w:p w14:paraId="1297976D" w14:textId="70736256" w:rsidR="00DF673C" w:rsidRPr="0023336F" w:rsidRDefault="00DF673C" w:rsidP="00967490">
      <w:pPr>
        <w:rPr>
          <w:b/>
          <w:bCs/>
        </w:rPr>
      </w:pPr>
      <w:r w:rsidRPr="0023336F">
        <w:rPr>
          <w:b/>
          <w:bCs/>
        </w:rPr>
        <w:lastRenderedPageBreak/>
        <w:t xml:space="preserve">1 </w:t>
      </w:r>
      <w:r w:rsidR="009C0195" w:rsidRPr="0023336F">
        <w:rPr>
          <w:b/>
          <w:bCs/>
        </w:rPr>
        <w:t>February</w:t>
      </w:r>
      <w:r w:rsidRPr="0023336F">
        <w:rPr>
          <w:b/>
          <w:bCs/>
        </w:rPr>
        <w:t xml:space="preserve"> 202</w:t>
      </w:r>
      <w:r w:rsidR="009C0195" w:rsidRPr="0023336F">
        <w:rPr>
          <w:b/>
          <w:bCs/>
        </w:rPr>
        <w:t>5</w:t>
      </w:r>
    </w:p>
    <w:p w14:paraId="75293FAA" w14:textId="1816827A" w:rsidR="00B7137A" w:rsidRDefault="00B7137A" w:rsidP="00B7137A">
      <w:pPr>
        <w:pStyle w:val="Heading3"/>
      </w:pPr>
      <w:bookmarkStart w:id="28" w:name="_Toc153188993"/>
      <w:r>
        <w:t xml:space="preserve">Final decision in relation to </w:t>
      </w:r>
      <w:r w:rsidR="009F53F4">
        <w:t>olopatadine</w:t>
      </w:r>
      <w:bookmarkEnd w:id="28"/>
    </w:p>
    <w:p w14:paraId="4A7C4C8D" w14:textId="77777777" w:rsidR="00B7137A" w:rsidRPr="00967490" w:rsidRDefault="00B7137A" w:rsidP="00B7137A">
      <w:pPr>
        <w:spacing w:before="240"/>
        <w:rPr>
          <w:b/>
          <w:bCs/>
          <w:i/>
          <w:iCs/>
        </w:rPr>
      </w:pPr>
      <w:r w:rsidRPr="00967490">
        <w:rPr>
          <w:b/>
          <w:bCs/>
          <w:i/>
          <w:iCs/>
        </w:rPr>
        <w:t>Proposal</w:t>
      </w:r>
    </w:p>
    <w:p w14:paraId="19F70DBB" w14:textId="77777777" w:rsidR="00C81367" w:rsidRDefault="00C81367" w:rsidP="00C81367">
      <w:r>
        <w:t xml:space="preserve">The applicant proposed the creation of a new Schedule 2 entry for olopatadine when combined with mometasone in aqueous nasal sprays with limitations on dose per actuation and maximum recommended daily dose, for the short-term treatment of allergy conditions in patients aged 12 and over (the </w:t>
      </w:r>
      <w:r>
        <w:rPr>
          <w:b/>
          <w:bCs/>
        </w:rPr>
        <w:t>Proposal</w:t>
      </w:r>
      <w:r w:rsidRPr="001C429A">
        <w:t>)</w:t>
      </w:r>
      <w:r>
        <w:t>. Olopatadine is an antihistamine that is currently available by prescription only (Schedule 4).</w:t>
      </w:r>
    </w:p>
    <w:p w14:paraId="756891F7" w14:textId="255FE3EF" w:rsidR="00B7137A" w:rsidRPr="00967490" w:rsidRDefault="00B7137A" w:rsidP="00B7137A">
      <w:pPr>
        <w:rPr>
          <w:b/>
          <w:bCs/>
          <w:i/>
          <w:iCs/>
        </w:rPr>
      </w:pPr>
      <w:r w:rsidRPr="00967490">
        <w:rPr>
          <w:b/>
          <w:bCs/>
          <w:i/>
          <w:iCs/>
        </w:rPr>
        <w:t>Final decision</w:t>
      </w:r>
    </w:p>
    <w:p w14:paraId="47B4A000" w14:textId="0C32B2F9" w:rsidR="00B7137A" w:rsidRDefault="00B7137A" w:rsidP="00B7137A">
      <w:r w:rsidRPr="00967490">
        <w:t xml:space="preserve">Pursuant to regulation 42ZCZR of the Regulations, the Delegate has made a final decision </w:t>
      </w:r>
      <w:r w:rsidRPr="00B700F9">
        <w:t xml:space="preserve">to </w:t>
      </w:r>
      <w:r w:rsidR="00491451">
        <w:t>vary</w:t>
      </w:r>
      <w:r w:rsidR="00491451" w:rsidRPr="00B700F9">
        <w:t xml:space="preserve"> </w:t>
      </w:r>
      <w:r w:rsidRPr="00B700F9">
        <w:t xml:space="preserve">the interim decision and amend the current Poisons Standard in relation to </w:t>
      </w:r>
      <w:r w:rsidR="00C81367" w:rsidRPr="00B700F9">
        <w:t>olopatadine</w:t>
      </w:r>
      <w:r w:rsidRPr="00B700F9">
        <w:t xml:space="preserve"> as follows:</w:t>
      </w:r>
      <w:r w:rsidR="001A5D46">
        <w:rPr>
          <w:rStyle w:val="FootnoteReference"/>
        </w:rPr>
        <w:footnoteReference w:id="4"/>
      </w:r>
    </w:p>
    <w:p w14:paraId="29E60000" w14:textId="77777777" w:rsidR="002C1E4A" w:rsidRDefault="002C1E4A" w:rsidP="002C1E4A">
      <w:pPr>
        <w:pStyle w:val="paragraph"/>
        <w:spacing w:before="0" w:beforeAutospacing="0" w:after="0" w:afterAutospacing="0"/>
        <w:ind w:left="420"/>
        <w:textAlignment w:val="baseline"/>
        <w:rPr>
          <w:rStyle w:val="normaltextrun"/>
          <w:rFonts w:asciiTheme="minorHAnsi" w:hAnsiTheme="minorHAnsi" w:cstheme="minorHAnsi"/>
          <w:b/>
          <w:bCs/>
          <w:sz w:val="22"/>
          <w:szCs w:val="22"/>
        </w:rPr>
      </w:pPr>
      <w:r w:rsidRPr="0018409C">
        <w:rPr>
          <w:rStyle w:val="normaltextrun"/>
          <w:rFonts w:asciiTheme="minorHAnsi" w:hAnsiTheme="minorHAnsi" w:cstheme="minorHAnsi"/>
          <w:b/>
          <w:bCs/>
          <w:sz w:val="22"/>
          <w:szCs w:val="22"/>
        </w:rPr>
        <w:t>Schedule 4 – Amend Entry</w:t>
      </w:r>
    </w:p>
    <w:p w14:paraId="078A827A" w14:textId="77777777" w:rsidR="002C1E4A" w:rsidRDefault="002C1E4A" w:rsidP="008513A0">
      <w:pPr>
        <w:pStyle w:val="paragraph"/>
        <w:spacing w:before="120" w:beforeAutospacing="0" w:after="0" w:afterAutospacing="0"/>
        <w:ind w:left="420" w:firstLine="284"/>
        <w:textAlignment w:val="baseline"/>
        <w:rPr>
          <w:rStyle w:val="eop"/>
          <w:rFonts w:asciiTheme="minorHAnsi" w:eastAsia="Cambria" w:hAnsiTheme="minorHAnsi" w:cstheme="minorHAnsi"/>
          <w:color w:val="00B050"/>
          <w:szCs w:val="22"/>
        </w:rPr>
      </w:pPr>
      <w:r w:rsidRPr="0018409C">
        <w:rPr>
          <w:rStyle w:val="normaltextrun"/>
          <w:rFonts w:asciiTheme="minorHAnsi" w:hAnsiTheme="minorHAnsi" w:cstheme="minorHAnsi"/>
          <w:sz w:val="22"/>
          <w:szCs w:val="22"/>
          <w:shd w:val="clear" w:color="auto" w:fill="FFFFFF"/>
        </w:rPr>
        <w:t>OLOPATADINE</w:t>
      </w:r>
      <w:r w:rsidRPr="0018409C">
        <w:rPr>
          <w:rStyle w:val="normaltextrun"/>
          <w:rFonts w:asciiTheme="minorHAnsi" w:hAnsiTheme="minorHAnsi" w:cstheme="minorHAnsi"/>
          <w:color w:val="00B050"/>
          <w:sz w:val="22"/>
          <w:szCs w:val="22"/>
          <w:u w:val="single"/>
          <w:shd w:val="clear" w:color="auto" w:fill="FFFFFF"/>
        </w:rPr>
        <w:t xml:space="preserve"> </w:t>
      </w:r>
      <w:r w:rsidRPr="00FE1D52">
        <w:rPr>
          <w:rStyle w:val="normaltextrun"/>
          <w:rFonts w:asciiTheme="minorHAnsi" w:hAnsiTheme="minorHAnsi" w:cstheme="minorHAnsi"/>
          <w:b/>
          <w:bCs/>
          <w:color w:val="00B050"/>
          <w:sz w:val="22"/>
          <w:szCs w:val="22"/>
          <w:u w:val="single"/>
          <w:shd w:val="clear" w:color="auto" w:fill="FFFFFF"/>
        </w:rPr>
        <w:t>except</w:t>
      </w:r>
      <w:r w:rsidRPr="0018409C">
        <w:rPr>
          <w:rStyle w:val="normaltextrun"/>
          <w:rFonts w:asciiTheme="minorHAnsi" w:hAnsiTheme="minorHAnsi" w:cstheme="minorHAnsi"/>
          <w:color w:val="00B050"/>
          <w:sz w:val="22"/>
          <w:szCs w:val="22"/>
          <w:u w:val="single"/>
          <w:shd w:val="clear" w:color="auto" w:fill="FFFFFF"/>
        </w:rPr>
        <w:t> when included in Schedule 2.</w:t>
      </w:r>
    </w:p>
    <w:p w14:paraId="3857BC94" w14:textId="77777777" w:rsidR="002C1E4A" w:rsidRDefault="002C1E4A" w:rsidP="008513A0">
      <w:pPr>
        <w:pStyle w:val="paragraph"/>
        <w:spacing w:before="240" w:beforeAutospacing="0" w:after="0" w:afterAutospacing="0"/>
        <w:ind w:left="420"/>
        <w:textAlignment w:val="baseline"/>
        <w:rPr>
          <w:rStyle w:val="normaltextrun"/>
          <w:rFonts w:asciiTheme="minorHAnsi" w:hAnsiTheme="minorHAnsi" w:cstheme="minorHAnsi"/>
          <w:b/>
          <w:bCs/>
          <w:sz w:val="22"/>
          <w:szCs w:val="22"/>
        </w:rPr>
      </w:pPr>
      <w:r w:rsidRPr="0018409C">
        <w:rPr>
          <w:rStyle w:val="normaltextrun"/>
          <w:rFonts w:asciiTheme="minorHAnsi" w:hAnsiTheme="minorHAnsi" w:cstheme="minorHAnsi"/>
          <w:b/>
          <w:bCs/>
          <w:sz w:val="22"/>
          <w:szCs w:val="22"/>
        </w:rPr>
        <w:t>Schedule 2 – New Entry</w:t>
      </w:r>
    </w:p>
    <w:p w14:paraId="6F2C0346" w14:textId="395D478E" w:rsidR="002C1E4A" w:rsidRDefault="002C1E4A" w:rsidP="008513A0">
      <w:pPr>
        <w:pStyle w:val="paragraph"/>
        <w:spacing w:before="120" w:beforeAutospacing="0" w:after="0" w:afterAutospacing="0"/>
        <w:ind w:left="720"/>
        <w:textAlignment w:val="baseline"/>
        <w:rPr>
          <w:rStyle w:val="eop"/>
          <w:rFonts w:asciiTheme="minorHAnsi" w:eastAsia="Cambria" w:hAnsiTheme="minorHAnsi" w:cstheme="minorHAnsi"/>
          <w:color w:val="00B050"/>
          <w:szCs w:val="22"/>
        </w:rPr>
      </w:pPr>
      <w:r w:rsidRPr="0018409C">
        <w:rPr>
          <w:rStyle w:val="normaltextrun"/>
          <w:rFonts w:asciiTheme="minorHAnsi" w:hAnsiTheme="minorHAnsi" w:cstheme="minorHAnsi"/>
          <w:color w:val="00B050"/>
          <w:sz w:val="22"/>
          <w:szCs w:val="22"/>
          <w:u w:val="single"/>
          <w:shd w:val="clear" w:color="auto" w:fill="FFFFFF"/>
        </w:rPr>
        <w:t>OLOPATADINE in preparations for nasal use delivering 600 micrograms or less of olopatadine per dose when the maximum recommended daily dose is no greater than 4</w:t>
      </w:r>
      <w:r>
        <w:rPr>
          <w:rStyle w:val="normaltextrun"/>
          <w:rFonts w:asciiTheme="minorHAnsi" w:hAnsiTheme="minorHAnsi" w:cstheme="minorHAnsi"/>
          <w:color w:val="00B050"/>
          <w:sz w:val="22"/>
          <w:szCs w:val="22"/>
          <w:u w:val="single"/>
          <w:shd w:val="clear" w:color="auto" w:fill="FFFFFF"/>
        </w:rPr>
        <w:t>,</w:t>
      </w:r>
      <w:r w:rsidRPr="0018409C">
        <w:rPr>
          <w:rStyle w:val="normaltextrun"/>
          <w:rFonts w:asciiTheme="minorHAnsi" w:hAnsiTheme="minorHAnsi" w:cstheme="minorHAnsi"/>
          <w:color w:val="00B050"/>
          <w:sz w:val="22"/>
          <w:szCs w:val="22"/>
          <w:u w:val="single"/>
          <w:shd w:val="clear" w:color="auto" w:fill="FFFFFF"/>
        </w:rPr>
        <w:t>800 micrograms for the treatment of allergic rhinitis</w:t>
      </w:r>
      <w:r w:rsidR="007160EC">
        <w:rPr>
          <w:rStyle w:val="normaltextrun"/>
          <w:rFonts w:asciiTheme="minorHAnsi" w:hAnsiTheme="minorHAnsi" w:cstheme="minorHAnsi"/>
          <w:color w:val="00B050"/>
          <w:sz w:val="22"/>
          <w:szCs w:val="22"/>
          <w:u w:val="single"/>
          <w:shd w:val="clear" w:color="auto" w:fill="FFFFFF"/>
        </w:rPr>
        <w:t xml:space="preserve"> </w:t>
      </w:r>
      <w:r w:rsidR="00137642">
        <w:rPr>
          <w:rStyle w:val="normaltextrun"/>
          <w:rFonts w:asciiTheme="minorHAnsi" w:hAnsiTheme="minorHAnsi" w:cstheme="minorHAnsi"/>
          <w:color w:val="00B050"/>
          <w:sz w:val="22"/>
          <w:szCs w:val="22"/>
          <w:u w:val="single"/>
          <w:shd w:val="clear" w:color="auto" w:fill="FFFFFF"/>
        </w:rPr>
        <w:t>or</w:t>
      </w:r>
      <w:r w:rsidR="007160EC">
        <w:rPr>
          <w:rStyle w:val="normaltextrun"/>
          <w:rFonts w:asciiTheme="minorHAnsi" w:hAnsiTheme="minorHAnsi" w:cstheme="minorHAnsi"/>
          <w:color w:val="00B050"/>
          <w:sz w:val="22"/>
          <w:szCs w:val="22"/>
          <w:u w:val="single"/>
          <w:shd w:val="clear" w:color="auto" w:fill="FFFFFF"/>
        </w:rPr>
        <w:t xml:space="preserve"> </w:t>
      </w:r>
      <w:proofErr w:type="spellStart"/>
      <w:r w:rsidR="007160EC">
        <w:rPr>
          <w:rStyle w:val="normaltextrun"/>
          <w:rFonts w:asciiTheme="minorHAnsi" w:hAnsiTheme="minorHAnsi" w:cstheme="minorHAnsi"/>
          <w:color w:val="00B050"/>
          <w:sz w:val="22"/>
          <w:szCs w:val="22"/>
          <w:u w:val="single"/>
          <w:shd w:val="clear" w:color="auto" w:fill="FFFFFF"/>
        </w:rPr>
        <w:t>rhinoconjunctivitis</w:t>
      </w:r>
      <w:proofErr w:type="spellEnd"/>
      <w:r w:rsidRPr="0018409C">
        <w:rPr>
          <w:rStyle w:val="normaltextrun"/>
          <w:rFonts w:asciiTheme="minorHAnsi" w:hAnsiTheme="minorHAnsi" w:cstheme="minorHAnsi"/>
          <w:color w:val="00B050"/>
          <w:sz w:val="22"/>
          <w:szCs w:val="22"/>
          <w:u w:val="single"/>
          <w:shd w:val="clear" w:color="auto" w:fill="FFFFFF"/>
        </w:rPr>
        <w:t xml:space="preserve"> for up to </w:t>
      </w:r>
      <w:r>
        <w:rPr>
          <w:rStyle w:val="normaltextrun"/>
          <w:rFonts w:asciiTheme="minorHAnsi" w:hAnsiTheme="minorHAnsi" w:cstheme="minorHAnsi"/>
          <w:color w:val="00B050"/>
          <w:sz w:val="22"/>
          <w:szCs w:val="22"/>
          <w:u w:val="single"/>
          <w:shd w:val="clear" w:color="auto" w:fill="FFFFFF"/>
        </w:rPr>
        <w:t>6</w:t>
      </w:r>
      <w:r w:rsidRPr="0018409C">
        <w:rPr>
          <w:rStyle w:val="normaltextrun"/>
          <w:rFonts w:asciiTheme="minorHAnsi" w:hAnsiTheme="minorHAnsi" w:cstheme="minorHAnsi"/>
          <w:color w:val="00B050"/>
          <w:sz w:val="22"/>
          <w:szCs w:val="22"/>
          <w:u w:val="single"/>
          <w:shd w:val="clear" w:color="auto" w:fill="FFFFFF"/>
        </w:rPr>
        <w:t xml:space="preserve"> months in adults and children 12 years of age and over.</w:t>
      </w:r>
    </w:p>
    <w:p w14:paraId="71437C27" w14:textId="77777777" w:rsidR="002C1E4A" w:rsidRDefault="002C1E4A" w:rsidP="008513A0">
      <w:pPr>
        <w:pStyle w:val="paragraph"/>
        <w:spacing w:before="240" w:beforeAutospacing="0" w:after="0" w:afterAutospacing="0"/>
        <w:ind w:left="420"/>
        <w:textAlignment w:val="baseline"/>
        <w:rPr>
          <w:rStyle w:val="eop"/>
          <w:rFonts w:asciiTheme="minorHAnsi" w:eastAsia="Cambria" w:hAnsiTheme="minorHAnsi" w:cstheme="minorHAnsi"/>
          <w:b/>
          <w:bCs/>
          <w:sz w:val="22"/>
          <w:szCs w:val="22"/>
        </w:rPr>
      </w:pPr>
      <w:r w:rsidRPr="0018409C">
        <w:rPr>
          <w:rStyle w:val="normaltextrun"/>
          <w:rFonts w:asciiTheme="minorHAnsi" w:hAnsiTheme="minorHAnsi" w:cstheme="minorHAnsi"/>
          <w:b/>
          <w:bCs/>
          <w:sz w:val="22"/>
          <w:szCs w:val="22"/>
        </w:rPr>
        <w:t>Index – Amend Entry</w:t>
      </w:r>
    </w:p>
    <w:p w14:paraId="7DFCAB54" w14:textId="77777777" w:rsidR="002C1E4A" w:rsidRPr="007A6634" w:rsidRDefault="002C1E4A" w:rsidP="008513A0">
      <w:pPr>
        <w:pStyle w:val="paragraph"/>
        <w:spacing w:before="120" w:beforeAutospacing="0" w:after="0" w:afterAutospacing="0"/>
        <w:ind w:left="720"/>
        <w:textAlignment w:val="baseline"/>
        <w:rPr>
          <w:rFonts w:asciiTheme="minorHAnsi" w:hAnsiTheme="minorHAnsi" w:cstheme="minorHAnsi"/>
          <w:b/>
          <w:bCs/>
          <w:sz w:val="18"/>
          <w:szCs w:val="18"/>
        </w:rPr>
      </w:pPr>
      <w:r w:rsidRPr="007A6634">
        <w:rPr>
          <w:rStyle w:val="normaltextrun"/>
          <w:rFonts w:asciiTheme="minorHAnsi" w:hAnsiTheme="minorHAnsi" w:cstheme="minorHAnsi"/>
          <w:b/>
          <w:bCs/>
          <w:sz w:val="22"/>
          <w:szCs w:val="22"/>
        </w:rPr>
        <w:t>OLOPATADINE</w:t>
      </w:r>
    </w:p>
    <w:p w14:paraId="61459EDD" w14:textId="77777777" w:rsidR="002C1E4A" w:rsidRDefault="002C1E4A" w:rsidP="002C1E4A">
      <w:pPr>
        <w:pStyle w:val="paragraph"/>
        <w:spacing w:before="0" w:beforeAutospacing="0" w:after="0" w:afterAutospacing="0"/>
        <w:ind w:left="720"/>
        <w:textAlignment w:val="baseline"/>
        <w:rPr>
          <w:rStyle w:val="normaltextrun"/>
          <w:rFonts w:asciiTheme="minorHAnsi" w:hAnsiTheme="minorHAnsi" w:cstheme="minorHAnsi"/>
          <w:color w:val="00B050"/>
          <w:sz w:val="22"/>
          <w:szCs w:val="22"/>
          <w:u w:val="single"/>
        </w:rPr>
      </w:pPr>
      <w:r w:rsidRPr="0018409C">
        <w:rPr>
          <w:rStyle w:val="normaltextrun"/>
          <w:rFonts w:asciiTheme="minorHAnsi" w:hAnsiTheme="minorHAnsi" w:cstheme="minorHAnsi"/>
          <w:sz w:val="22"/>
          <w:szCs w:val="22"/>
        </w:rPr>
        <w:t>Schedule 4</w:t>
      </w:r>
      <w:r w:rsidRPr="0018409C">
        <w:rPr>
          <w:rStyle w:val="scxw160020770"/>
          <w:rFonts w:asciiTheme="minorHAnsi" w:hAnsiTheme="minorHAnsi" w:cstheme="minorHAnsi"/>
        </w:rPr>
        <w:t> </w:t>
      </w:r>
      <w:r w:rsidRPr="0018409C">
        <w:rPr>
          <w:rFonts w:asciiTheme="minorHAnsi" w:hAnsiTheme="minorHAnsi" w:cstheme="minorHAnsi"/>
          <w:sz w:val="22"/>
          <w:szCs w:val="22"/>
        </w:rPr>
        <w:br/>
      </w:r>
      <w:r w:rsidRPr="0018409C">
        <w:rPr>
          <w:rStyle w:val="normaltextrun"/>
          <w:rFonts w:asciiTheme="minorHAnsi" w:hAnsiTheme="minorHAnsi" w:cstheme="minorHAnsi"/>
          <w:color w:val="00B050"/>
          <w:sz w:val="22"/>
          <w:szCs w:val="22"/>
          <w:u w:val="single"/>
        </w:rPr>
        <w:t>Schedule 2</w:t>
      </w:r>
    </w:p>
    <w:p w14:paraId="014FE48C" w14:textId="77777777" w:rsidR="000F0F68" w:rsidRDefault="002C1E4A" w:rsidP="002C1E4A">
      <w:pPr>
        <w:ind w:left="720"/>
        <w:rPr>
          <w:lang w:eastAsia="en-AU"/>
        </w:rPr>
      </w:pPr>
      <w:r w:rsidRPr="007A6634">
        <w:rPr>
          <w:b/>
          <w:bCs/>
          <w:lang w:eastAsia="en-AU"/>
        </w:rPr>
        <w:t>ANTIHISTAMINES</w:t>
      </w:r>
      <w:r w:rsidRPr="007A6634">
        <w:rPr>
          <w:b/>
          <w:bCs/>
          <w:lang w:eastAsia="en-AU"/>
        </w:rPr>
        <w:br/>
      </w:r>
      <w:r w:rsidRPr="007A6634">
        <w:rPr>
          <w:lang w:eastAsia="en-AU"/>
        </w:rPr>
        <w:t>cross reference: ASTEMIZOLE, AZELASTINE, BILASTINE,</w:t>
      </w:r>
      <w:r w:rsidR="00480D19" w:rsidRPr="007A6634">
        <w:rPr>
          <w:lang w:eastAsia="en-AU"/>
        </w:rPr>
        <w:t xml:space="preserve"> CETIRIZINE</w:t>
      </w:r>
      <w:r w:rsidR="00480D19">
        <w:rPr>
          <w:lang w:eastAsia="en-AU"/>
        </w:rPr>
        <w:t xml:space="preserve">, </w:t>
      </w:r>
      <w:r w:rsidRPr="007A6634">
        <w:rPr>
          <w:lang w:eastAsia="en-AU"/>
        </w:rPr>
        <w:t xml:space="preserve">DESLORATADINE, FEXOFENADINE, LORATADINE, </w:t>
      </w:r>
      <w:r>
        <w:rPr>
          <w:rStyle w:val="normaltextrun"/>
          <w:rFonts w:cstheme="minorHAnsi"/>
          <w:color w:val="00B050"/>
          <w:u w:val="single"/>
          <w:shd w:val="clear" w:color="auto" w:fill="FFFFFF"/>
        </w:rPr>
        <w:t xml:space="preserve">OLOPATADINE, </w:t>
      </w:r>
      <w:r w:rsidRPr="007A6634">
        <w:rPr>
          <w:lang w:eastAsia="en-AU"/>
        </w:rPr>
        <w:t>TERFENADINE</w:t>
      </w:r>
      <w:r w:rsidR="00480D19">
        <w:rPr>
          <w:lang w:eastAsia="en-AU"/>
        </w:rPr>
        <w:t xml:space="preserve"> </w:t>
      </w:r>
    </w:p>
    <w:p w14:paraId="7722A96E" w14:textId="4E58C1FA" w:rsidR="002C1E4A" w:rsidRDefault="002C1E4A" w:rsidP="002C1E4A">
      <w:pPr>
        <w:ind w:left="720"/>
        <w:rPr>
          <w:lang w:eastAsia="en-AU"/>
        </w:rPr>
      </w:pPr>
      <w:r w:rsidRPr="007A6634">
        <w:rPr>
          <w:lang w:eastAsia="en-AU"/>
        </w:rPr>
        <w:t>Schedule 4</w:t>
      </w:r>
      <w:r w:rsidRPr="007A6634">
        <w:rPr>
          <w:lang w:eastAsia="en-AU"/>
        </w:rPr>
        <w:br/>
        <w:t>Appendix F, clause 4</w:t>
      </w:r>
    </w:p>
    <w:tbl>
      <w:tblPr>
        <w:tblStyle w:val="TableTGAblue"/>
        <w:tblW w:w="9209" w:type="dxa"/>
        <w:tblLook w:val="04A0" w:firstRow="1" w:lastRow="0" w:firstColumn="1" w:lastColumn="0" w:noHBand="0" w:noVBand="1"/>
      </w:tblPr>
      <w:tblGrid>
        <w:gridCol w:w="754"/>
        <w:gridCol w:w="3802"/>
        <w:gridCol w:w="4653"/>
      </w:tblGrid>
      <w:tr w:rsidR="002C1E4A" w14:paraId="0A52BADB" w14:textId="77777777" w:rsidTr="00087CC0">
        <w:trPr>
          <w:cnfStyle w:val="100000000000" w:firstRow="1" w:lastRow="0" w:firstColumn="0" w:lastColumn="0" w:oddVBand="0" w:evenVBand="0" w:oddHBand="0" w:evenHBand="0" w:firstRowFirstColumn="0" w:firstRowLastColumn="0" w:lastRowFirstColumn="0" w:lastRowLastColumn="0"/>
        </w:trPr>
        <w:tc>
          <w:tcPr>
            <w:tcW w:w="9209" w:type="dxa"/>
            <w:gridSpan w:val="3"/>
          </w:tcPr>
          <w:p w14:paraId="07CACE23" w14:textId="77777777" w:rsidR="002C1E4A" w:rsidRPr="00423964" w:rsidRDefault="002C1E4A" w:rsidP="00BD1E01">
            <w:pPr>
              <w:keepLines/>
              <w:rPr>
                <w:rStyle w:val="normaltextrun"/>
                <w:rFonts w:asciiTheme="minorHAnsi" w:hAnsiTheme="minorHAnsi" w:cstheme="minorHAnsi"/>
                <w:color w:val="FFFFFF" w:themeColor="background1"/>
              </w:rPr>
            </w:pPr>
            <w:r w:rsidRPr="00423964">
              <w:rPr>
                <w:rStyle w:val="normaltextrun"/>
                <w:rFonts w:asciiTheme="minorHAnsi" w:hAnsiTheme="minorHAnsi" w:cstheme="minorHAnsi"/>
                <w:color w:val="FFFFFF" w:themeColor="background1"/>
                <w:sz w:val="20"/>
                <w:szCs w:val="20"/>
              </w:rPr>
              <w:lastRenderedPageBreak/>
              <w:t xml:space="preserve">Appendix F, clause 4 – </w:t>
            </w:r>
            <w:r w:rsidRPr="00423964">
              <w:rPr>
                <w:rStyle w:val="normaltextrun"/>
                <w:rFonts w:asciiTheme="minorHAnsi" w:hAnsiTheme="minorHAnsi" w:cstheme="minorHAnsi"/>
                <w:b w:val="0"/>
                <w:bCs/>
                <w:color w:val="FFFFFF" w:themeColor="background1"/>
                <w:sz w:val="20"/>
                <w:szCs w:val="20"/>
              </w:rPr>
              <w:t>Poisons that must be labelled with warning statements and safety directions</w:t>
            </w:r>
          </w:p>
        </w:tc>
      </w:tr>
      <w:tr w:rsidR="002C1E4A" w14:paraId="773FB604" w14:textId="77777777" w:rsidTr="00087CC0">
        <w:tc>
          <w:tcPr>
            <w:tcW w:w="754" w:type="dxa"/>
          </w:tcPr>
          <w:p w14:paraId="22D7287F" w14:textId="77777777" w:rsidR="002C1E4A" w:rsidRPr="00423964" w:rsidRDefault="002C1E4A" w:rsidP="00BD1E01">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Item</w:t>
            </w:r>
          </w:p>
        </w:tc>
        <w:tc>
          <w:tcPr>
            <w:tcW w:w="3802" w:type="dxa"/>
          </w:tcPr>
          <w:p w14:paraId="333947CF" w14:textId="77777777" w:rsidR="002C1E4A" w:rsidRPr="00423964" w:rsidRDefault="002C1E4A" w:rsidP="00BD1E01">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Poison</w:t>
            </w:r>
          </w:p>
        </w:tc>
        <w:tc>
          <w:tcPr>
            <w:tcW w:w="4653" w:type="dxa"/>
          </w:tcPr>
          <w:p w14:paraId="3784A877" w14:textId="77777777" w:rsidR="002C1E4A" w:rsidRPr="00423964" w:rsidRDefault="002C1E4A" w:rsidP="00BD1E01">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Warning statement item number</w:t>
            </w:r>
          </w:p>
        </w:tc>
      </w:tr>
      <w:tr w:rsidR="002C1E4A" w14:paraId="7ACF112D" w14:textId="77777777" w:rsidTr="00087CC0">
        <w:tc>
          <w:tcPr>
            <w:tcW w:w="754" w:type="dxa"/>
          </w:tcPr>
          <w:p w14:paraId="6236C105" w14:textId="77777777" w:rsidR="002C1E4A" w:rsidRPr="00423964" w:rsidRDefault="002C1E4A" w:rsidP="00BD1E01">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23</w:t>
            </w:r>
          </w:p>
        </w:tc>
        <w:tc>
          <w:tcPr>
            <w:tcW w:w="3802" w:type="dxa"/>
          </w:tcPr>
          <w:p w14:paraId="6997C989" w14:textId="77777777" w:rsidR="002C1E4A" w:rsidRPr="00423964" w:rsidRDefault="002C1E4A" w:rsidP="00BD1E01">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Antihistamines not separately specified in this Appendix </w:t>
            </w:r>
            <w:r w:rsidRPr="00423964">
              <w:rPr>
                <w:rStyle w:val="normaltextrun"/>
                <w:rFonts w:asciiTheme="minorHAnsi" w:hAnsiTheme="minorHAnsi" w:cstheme="minorHAnsi"/>
                <w:b/>
                <w:bCs/>
                <w:sz w:val="20"/>
                <w:szCs w:val="20"/>
              </w:rPr>
              <w:t xml:space="preserve">except </w:t>
            </w:r>
            <w:r w:rsidRPr="00423964">
              <w:rPr>
                <w:rStyle w:val="normaltextrun"/>
                <w:rFonts w:asciiTheme="minorHAnsi" w:hAnsiTheme="minorHAnsi" w:cstheme="minorHAnsi"/>
                <w:sz w:val="20"/>
                <w:szCs w:val="20"/>
              </w:rPr>
              <w:t xml:space="preserve">the following: </w:t>
            </w:r>
          </w:p>
          <w:p w14:paraId="7F1B7C1C" w14:textId="77777777" w:rsidR="002C1E4A" w:rsidRPr="00423964" w:rsidRDefault="002C1E4A" w:rsidP="00BD1E01">
            <w:pPr>
              <w:pStyle w:val="ListParagraph"/>
              <w:keepNext/>
              <w:keepLines/>
              <w:numPr>
                <w:ilvl w:val="0"/>
                <w:numId w:val="12"/>
              </w:numPr>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dermal, ocular, parenteral and paediatric </w:t>
            </w:r>
            <w:proofErr w:type="gramStart"/>
            <w:r w:rsidRPr="00423964">
              <w:rPr>
                <w:rStyle w:val="normaltextrun"/>
                <w:rFonts w:asciiTheme="minorHAnsi" w:hAnsiTheme="minorHAnsi" w:cstheme="minorHAnsi"/>
                <w:sz w:val="20"/>
                <w:szCs w:val="20"/>
              </w:rPr>
              <w:t>preparations;</w:t>
            </w:r>
            <w:proofErr w:type="gramEnd"/>
          </w:p>
          <w:p w14:paraId="0466EC86" w14:textId="795DDEEE" w:rsidR="002C1E4A" w:rsidRDefault="002C1E4A" w:rsidP="00BD1E01">
            <w:pPr>
              <w:pStyle w:val="ListParagraph"/>
              <w:keepNext/>
              <w:keepLines/>
              <w:numPr>
                <w:ilvl w:val="0"/>
                <w:numId w:val="12"/>
              </w:numPr>
              <w:rPr>
                <w:rStyle w:val="normaltextrun"/>
                <w:rFonts w:asciiTheme="minorHAnsi" w:hAnsiTheme="minorHAnsi" w:cstheme="minorHAnsi"/>
                <w:sz w:val="20"/>
                <w:szCs w:val="20"/>
              </w:rPr>
            </w:pPr>
            <w:r w:rsidRPr="00423964">
              <w:rPr>
                <w:rStyle w:val="normaltextrun"/>
                <w:rFonts w:asciiTheme="minorHAnsi" w:hAnsiTheme="minorHAnsi" w:cstheme="minorHAnsi"/>
                <w:sz w:val="20"/>
                <w:szCs w:val="20"/>
              </w:rPr>
              <w:t xml:space="preserve">oral preparations of </w:t>
            </w:r>
            <w:proofErr w:type="spellStart"/>
            <w:r w:rsidRPr="00423964">
              <w:rPr>
                <w:rStyle w:val="normaltextrun"/>
                <w:rFonts w:asciiTheme="minorHAnsi" w:hAnsiTheme="minorHAnsi" w:cstheme="minorHAnsi"/>
                <w:sz w:val="20"/>
                <w:szCs w:val="20"/>
              </w:rPr>
              <w:t>astemizole</w:t>
            </w:r>
            <w:proofErr w:type="spellEnd"/>
            <w:r w:rsidRPr="00423964">
              <w:rPr>
                <w:rStyle w:val="normaltextrun"/>
                <w:rFonts w:asciiTheme="minorHAnsi" w:hAnsiTheme="minorHAnsi" w:cstheme="minorHAnsi"/>
                <w:sz w:val="20"/>
                <w:szCs w:val="20"/>
              </w:rPr>
              <w:t xml:space="preserve">, azelastine, </w:t>
            </w:r>
            <w:proofErr w:type="spellStart"/>
            <w:r w:rsidRPr="00423964">
              <w:rPr>
                <w:rStyle w:val="normaltextrun"/>
                <w:rFonts w:asciiTheme="minorHAnsi" w:hAnsiTheme="minorHAnsi" w:cstheme="minorHAnsi"/>
                <w:sz w:val="20"/>
                <w:szCs w:val="20"/>
              </w:rPr>
              <w:t>bilastine</w:t>
            </w:r>
            <w:proofErr w:type="spellEnd"/>
            <w:r w:rsidRPr="00423964">
              <w:rPr>
                <w:rStyle w:val="normaltextrun"/>
                <w:rFonts w:asciiTheme="minorHAnsi" w:hAnsiTheme="minorHAnsi" w:cstheme="minorHAnsi"/>
                <w:sz w:val="20"/>
                <w:szCs w:val="20"/>
              </w:rPr>
              <w:t xml:space="preserve">, </w:t>
            </w:r>
            <w:r w:rsidR="00480D19" w:rsidRPr="00423964">
              <w:rPr>
                <w:rStyle w:val="normaltextrun"/>
                <w:rFonts w:asciiTheme="minorHAnsi" w:hAnsiTheme="minorHAnsi" w:cstheme="minorHAnsi"/>
                <w:sz w:val="20"/>
                <w:szCs w:val="20"/>
              </w:rPr>
              <w:t>cetirizine</w:t>
            </w:r>
            <w:r w:rsidR="00480D19">
              <w:rPr>
                <w:rStyle w:val="normaltextrun"/>
                <w:rFonts w:asciiTheme="minorHAnsi" w:hAnsiTheme="minorHAnsi" w:cstheme="minorHAnsi"/>
                <w:sz w:val="20"/>
                <w:szCs w:val="20"/>
              </w:rPr>
              <w:t>,</w:t>
            </w:r>
            <w:r w:rsidR="00480D19" w:rsidRPr="00423964">
              <w:rPr>
                <w:rStyle w:val="normaltextrun"/>
                <w:rFonts w:asciiTheme="minorHAnsi" w:hAnsiTheme="minorHAnsi" w:cstheme="minorHAnsi"/>
                <w:sz w:val="20"/>
                <w:szCs w:val="20"/>
              </w:rPr>
              <w:t xml:space="preserve"> </w:t>
            </w:r>
            <w:r w:rsidRPr="00423964">
              <w:rPr>
                <w:rStyle w:val="normaltextrun"/>
                <w:rFonts w:asciiTheme="minorHAnsi" w:hAnsiTheme="minorHAnsi" w:cstheme="minorHAnsi"/>
                <w:sz w:val="20"/>
                <w:szCs w:val="20"/>
              </w:rPr>
              <w:t xml:space="preserve">desloratadine, fexofenadine, loratadine </w:t>
            </w:r>
            <w:r w:rsidR="00480D19">
              <w:rPr>
                <w:rStyle w:val="normaltextrun"/>
                <w:rFonts w:asciiTheme="minorHAnsi" w:hAnsiTheme="minorHAnsi" w:cstheme="minorHAnsi"/>
                <w:sz w:val="20"/>
                <w:szCs w:val="20"/>
              </w:rPr>
              <w:t xml:space="preserve">or </w:t>
            </w:r>
            <w:proofErr w:type="spellStart"/>
            <w:proofErr w:type="gramStart"/>
            <w:r w:rsidRPr="00423964">
              <w:rPr>
                <w:rStyle w:val="normaltextrun"/>
                <w:rFonts w:asciiTheme="minorHAnsi" w:hAnsiTheme="minorHAnsi" w:cstheme="minorHAnsi"/>
                <w:sz w:val="20"/>
                <w:szCs w:val="20"/>
              </w:rPr>
              <w:t>ternadine</w:t>
            </w:r>
            <w:proofErr w:type="spellEnd"/>
            <w:r w:rsidR="00480D19">
              <w:rPr>
                <w:rStyle w:val="normaltextrun"/>
                <w:rFonts w:asciiTheme="minorHAnsi" w:hAnsiTheme="minorHAnsi" w:cstheme="minorHAnsi"/>
                <w:sz w:val="20"/>
                <w:szCs w:val="20"/>
              </w:rPr>
              <w:t>;</w:t>
            </w:r>
            <w:proofErr w:type="gramEnd"/>
          </w:p>
          <w:p w14:paraId="39783B2F" w14:textId="7D6AACBD" w:rsidR="00480D19" w:rsidRDefault="00480D19" w:rsidP="00BD1E01">
            <w:pPr>
              <w:pStyle w:val="ListParagraph"/>
              <w:keepNext/>
              <w:keepLines/>
              <w:numPr>
                <w:ilvl w:val="0"/>
                <w:numId w:val="12"/>
              </w:numPr>
              <w:rPr>
                <w:rStyle w:val="normaltextrun"/>
                <w:rFonts w:asciiTheme="minorHAnsi" w:hAnsiTheme="minorHAnsi" w:cstheme="minorHAnsi"/>
                <w:sz w:val="20"/>
                <w:szCs w:val="20"/>
              </w:rPr>
            </w:pPr>
            <w:r>
              <w:rPr>
                <w:rStyle w:val="normaltextrun"/>
                <w:rFonts w:asciiTheme="minorHAnsi" w:hAnsiTheme="minorHAnsi" w:cstheme="minorHAnsi"/>
                <w:sz w:val="20"/>
                <w:szCs w:val="20"/>
              </w:rPr>
              <w:t>nasal preparations of azelastine</w:t>
            </w:r>
            <w:r w:rsidR="006840AA">
              <w:rPr>
                <w:rStyle w:val="normaltextrun"/>
                <w:rFonts w:asciiTheme="minorHAnsi" w:hAnsiTheme="minorHAnsi" w:cstheme="minorHAnsi"/>
                <w:sz w:val="20"/>
                <w:szCs w:val="20"/>
              </w:rPr>
              <w:t xml:space="preserve"> </w:t>
            </w:r>
            <w:r w:rsidR="006840AA" w:rsidRPr="006840AA">
              <w:rPr>
                <w:rStyle w:val="normaltextrun"/>
                <w:rFonts w:asciiTheme="minorHAnsi" w:hAnsiTheme="minorHAnsi" w:cstheme="minorHAnsi"/>
                <w:color w:val="00B050"/>
                <w:sz w:val="20"/>
                <w:szCs w:val="20"/>
                <w:u w:val="single"/>
              </w:rPr>
              <w:t xml:space="preserve">or </w:t>
            </w:r>
            <w:proofErr w:type="gramStart"/>
            <w:r w:rsidR="006840AA" w:rsidRPr="006840AA">
              <w:rPr>
                <w:rStyle w:val="normaltextrun"/>
                <w:rFonts w:asciiTheme="minorHAnsi" w:hAnsiTheme="minorHAnsi" w:cstheme="minorHAnsi"/>
                <w:color w:val="00B050"/>
                <w:sz w:val="20"/>
                <w:szCs w:val="20"/>
                <w:u w:val="single"/>
              </w:rPr>
              <w:t>olopatadine</w:t>
            </w:r>
            <w:r>
              <w:rPr>
                <w:rStyle w:val="normaltextrun"/>
                <w:rFonts w:asciiTheme="minorHAnsi" w:hAnsiTheme="minorHAnsi" w:cstheme="minorHAnsi"/>
                <w:sz w:val="20"/>
                <w:szCs w:val="20"/>
              </w:rPr>
              <w:t>;</w:t>
            </w:r>
            <w:proofErr w:type="gramEnd"/>
          </w:p>
          <w:p w14:paraId="5C753B3A" w14:textId="24F06024" w:rsidR="00480D19" w:rsidRPr="00423964" w:rsidRDefault="00480D19" w:rsidP="00BD1E01">
            <w:pPr>
              <w:pStyle w:val="ListParagraph"/>
              <w:keepNext/>
              <w:keepLines/>
              <w:numPr>
                <w:ilvl w:val="0"/>
                <w:numId w:val="12"/>
              </w:numPr>
              <w:rPr>
                <w:rStyle w:val="normaltextrun"/>
                <w:rFonts w:asciiTheme="minorHAnsi" w:hAnsiTheme="minorHAnsi" w:cstheme="minorHAnsi"/>
                <w:sz w:val="20"/>
                <w:szCs w:val="20"/>
              </w:rPr>
            </w:pPr>
            <w:r>
              <w:rPr>
                <w:rStyle w:val="normaltextrun"/>
                <w:rFonts w:asciiTheme="minorHAnsi" w:hAnsiTheme="minorHAnsi" w:cstheme="minorHAnsi"/>
                <w:sz w:val="20"/>
                <w:szCs w:val="20"/>
              </w:rPr>
              <w:t>preparations for the treatment of animals</w:t>
            </w:r>
          </w:p>
        </w:tc>
        <w:tc>
          <w:tcPr>
            <w:tcW w:w="4653" w:type="dxa"/>
          </w:tcPr>
          <w:p w14:paraId="186E000E" w14:textId="77777777" w:rsidR="002C1E4A" w:rsidRDefault="002C1E4A" w:rsidP="00BD1E01">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b/>
                <w:bCs/>
                <w:sz w:val="20"/>
                <w:szCs w:val="20"/>
              </w:rPr>
              <w:t>39</w:t>
            </w:r>
            <w:r>
              <w:rPr>
                <w:rStyle w:val="normaltextrun"/>
                <w:rFonts w:asciiTheme="minorHAnsi" w:hAnsiTheme="minorHAnsi" w:cstheme="minorHAnsi"/>
                <w:sz w:val="20"/>
                <w:szCs w:val="20"/>
              </w:rPr>
              <w:t xml:space="preserve"> – This medication may cause drowsiness. If affected, do not drive a vehicle, or operate machinery. Avoid alcohol.</w:t>
            </w:r>
          </w:p>
          <w:p w14:paraId="4F04E6B6" w14:textId="72B6A8EF" w:rsidR="002C1E4A" w:rsidRDefault="002C1E4A" w:rsidP="00BD1E01">
            <w:pPr>
              <w:keepNext/>
              <w:keepLines/>
              <w:rPr>
                <w:rStyle w:val="normaltextrun"/>
                <w:rFonts w:asciiTheme="minorHAnsi" w:hAnsiTheme="minorHAnsi" w:cstheme="minorHAnsi"/>
                <w:sz w:val="20"/>
                <w:szCs w:val="20"/>
              </w:rPr>
            </w:pPr>
            <w:r>
              <w:rPr>
                <w:rStyle w:val="normaltextrun"/>
                <w:rFonts w:asciiTheme="minorHAnsi" w:hAnsiTheme="minorHAnsi" w:cstheme="minorHAnsi"/>
                <w:sz w:val="20"/>
                <w:szCs w:val="20"/>
              </w:rPr>
              <w:t>Or</w:t>
            </w:r>
          </w:p>
          <w:p w14:paraId="310DD5C7" w14:textId="4945FF6C" w:rsidR="002C1E4A" w:rsidRPr="00423964" w:rsidRDefault="002C1E4A" w:rsidP="00087CC0">
            <w:pPr>
              <w:keepNext/>
              <w:keepLines/>
              <w:rPr>
                <w:rStyle w:val="normaltextrun"/>
                <w:rFonts w:asciiTheme="minorHAnsi" w:hAnsiTheme="minorHAnsi" w:cstheme="minorHAnsi"/>
                <w:sz w:val="20"/>
                <w:szCs w:val="20"/>
              </w:rPr>
            </w:pPr>
            <w:r w:rsidRPr="00423964">
              <w:rPr>
                <w:rStyle w:val="normaltextrun"/>
                <w:rFonts w:asciiTheme="minorHAnsi" w:hAnsiTheme="minorHAnsi" w:cstheme="minorHAnsi"/>
                <w:b/>
                <w:bCs/>
                <w:sz w:val="20"/>
                <w:szCs w:val="20"/>
              </w:rPr>
              <w:t>40</w:t>
            </w:r>
            <w:r>
              <w:rPr>
                <w:rStyle w:val="normaltextrun"/>
                <w:rFonts w:asciiTheme="minorHAnsi" w:hAnsiTheme="minorHAnsi" w:cstheme="minorHAnsi"/>
                <w:sz w:val="20"/>
                <w:szCs w:val="20"/>
              </w:rPr>
              <w:t xml:space="preserve"> – This medication may cause drowsiness and may increase the effects of alcohol. I</w:t>
            </w:r>
            <w:r w:rsidR="00480D19">
              <w:rPr>
                <w:rStyle w:val="normaltextrun"/>
                <w:rFonts w:asciiTheme="minorHAnsi" w:hAnsiTheme="minorHAnsi" w:cstheme="minorHAnsi"/>
                <w:sz w:val="20"/>
                <w:szCs w:val="20"/>
              </w:rPr>
              <w:t>f</w:t>
            </w:r>
            <w:r>
              <w:rPr>
                <w:rStyle w:val="normaltextrun"/>
                <w:rFonts w:asciiTheme="minorHAnsi" w:hAnsiTheme="minorHAnsi" w:cstheme="minorHAnsi"/>
                <w:sz w:val="20"/>
                <w:szCs w:val="20"/>
              </w:rPr>
              <w:t xml:space="preserve"> </w:t>
            </w:r>
            <w:r w:rsidR="00480D19">
              <w:rPr>
                <w:rStyle w:val="normaltextrun"/>
                <w:rFonts w:asciiTheme="minorHAnsi" w:hAnsiTheme="minorHAnsi" w:cstheme="minorHAnsi"/>
                <w:sz w:val="20"/>
                <w:szCs w:val="20"/>
              </w:rPr>
              <w:t>a</w:t>
            </w:r>
            <w:r>
              <w:rPr>
                <w:rStyle w:val="normaltextrun"/>
                <w:rFonts w:asciiTheme="minorHAnsi" w:hAnsiTheme="minorHAnsi" w:cstheme="minorHAnsi"/>
                <w:sz w:val="20"/>
                <w:szCs w:val="20"/>
              </w:rPr>
              <w:t xml:space="preserve">ffected do not drive a motor vehicle or operate machinery. </w:t>
            </w:r>
          </w:p>
        </w:tc>
      </w:tr>
    </w:tbl>
    <w:p w14:paraId="776AEFCC" w14:textId="673E4E09" w:rsidR="00B7137A" w:rsidRPr="00967490" w:rsidRDefault="00B7137A" w:rsidP="00C4382C">
      <w:pPr>
        <w:spacing w:before="240"/>
        <w:rPr>
          <w:b/>
          <w:bCs/>
          <w:i/>
          <w:iCs/>
        </w:rPr>
      </w:pPr>
      <w:r w:rsidRPr="00967490">
        <w:rPr>
          <w:b/>
          <w:bCs/>
          <w:i/>
          <w:iCs/>
        </w:rPr>
        <w:t xml:space="preserve">Materials </w:t>
      </w:r>
      <w:proofErr w:type="gramStart"/>
      <w:r w:rsidRPr="00967490">
        <w:rPr>
          <w:b/>
          <w:bCs/>
          <w:i/>
          <w:iCs/>
        </w:rPr>
        <w:t>considered</w:t>
      </w:r>
      <w:proofErr w:type="gramEnd"/>
    </w:p>
    <w:p w14:paraId="5C7E501B" w14:textId="77777777" w:rsidR="00B7137A" w:rsidRPr="00471B79" w:rsidRDefault="00B7137A" w:rsidP="00B7137A">
      <w:r>
        <w:t xml:space="preserve">In </w:t>
      </w:r>
      <w:r w:rsidRPr="00471B79">
        <w:t>making this final decision, the Delegate considered the following material:</w:t>
      </w:r>
    </w:p>
    <w:p w14:paraId="74D40455" w14:textId="09BC670B" w:rsidR="00B7137A" w:rsidRDefault="00C1211D" w:rsidP="009F7996">
      <w:pPr>
        <w:pStyle w:val="ListBullet"/>
      </w:pPr>
      <w:r>
        <w:t>t</w:t>
      </w:r>
      <w:r w:rsidR="00B7137A" w:rsidRPr="00471B79">
        <w:t xml:space="preserve">he </w:t>
      </w:r>
      <w:hyperlink r:id="rId21" w:history="1">
        <w:r w:rsidR="00B7137A" w:rsidRPr="00471B79">
          <w:rPr>
            <w:rStyle w:val="Hyperlink"/>
          </w:rPr>
          <w:t>application</w:t>
        </w:r>
      </w:hyperlink>
      <w:r w:rsidR="00B7137A" w:rsidRPr="00471B79">
        <w:t xml:space="preserve"> to amend the current Poisons Standard with respect to </w:t>
      </w:r>
      <w:r w:rsidR="0005288E" w:rsidRPr="00471B79">
        <w:t>olopatadine</w:t>
      </w:r>
      <w:r w:rsidR="00B7137A" w:rsidRPr="00471B79">
        <w:t xml:space="preserve"> (the </w:t>
      </w:r>
      <w:r w:rsidR="00B7137A" w:rsidRPr="00471B79">
        <w:rPr>
          <w:b/>
          <w:bCs/>
        </w:rPr>
        <w:t>Application</w:t>
      </w:r>
      <w:r w:rsidR="00B7137A" w:rsidRPr="00471B79">
        <w:t>)</w:t>
      </w:r>
    </w:p>
    <w:p w14:paraId="04B719A2" w14:textId="1BC9BAF5" w:rsidR="00B7137A" w:rsidRPr="00471B79" w:rsidRDefault="00C1211D" w:rsidP="009F7996">
      <w:pPr>
        <w:pStyle w:val="ListBullet"/>
      </w:pPr>
      <w:r>
        <w:t>t</w:t>
      </w:r>
      <w:r w:rsidR="00B7137A" w:rsidRPr="00471B79">
        <w:t xml:space="preserve">he </w:t>
      </w:r>
      <w:r w:rsidR="000D5C70" w:rsidRPr="00471B79">
        <w:t>8</w:t>
      </w:r>
      <w:r w:rsidR="00B7137A" w:rsidRPr="00471B79">
        <w:t xml:space="preserve"> </w:t>
      </w:r>
      <w:hyperlink r:id="rId22" w:history="1">
        <w:r w:rsidR="00B7137A" w:rsidRPr="00471B79">
          <w:rPr>
            <w:rStyle w:val="Hyperlink"/>
          </w:rPr>
          <w:t>public submissions</w:t>
        </w:r>
      </w:hyperlink>
      <w:r w:rsidR="00B7137A" w:rsidRPr="00471B79">
        <w:t xml:space="preserve"> received in response to the </w:t>
      </w:r>
      <w:hyperlink r:id="rId23" w:history="1">
        <w:r w:rsidR="00B7137A" w:rsidRPr="00471B79">
          <w:rPr>
            <w:rStyle w:val="Hyperlink"/>
          </w:rPr>
          <w:t>pre-meeting consultation</w:t>
        </w:r>
      </w:hyperlink>
      <w:r w:rsidR="00B7137A" w:rsidRPr="00471B79">
        <w:t xml:space="preserve"> under regulation 42ZCZK of the Regulations</w:t>
      </w:r>
    </w:p>
    <w:p w14:paraId="7F5F0CED" w14:textId="2F9FCCAF" w:rsidR="00B7137A" w:rsidRDefault="00C1211D" w:rsidP="009F7996">
      <w:pPr>
        <w:pStyle w:val="ListBullet"/>
      </w:pPr>
      <w:r>
        <w:t>t</w:t>
      </w:r>
      <w:r w:rsidR="00B7137A" w:rsidRPr="00471B79">
        <w:t xml:space="preserve">he advice received from the </w:t>
      </w:r>
      <w:r w:rsidR="008952A0" w:rsidRPr="00471B79">
        <w:t>42</w:t>
      </w:r>
      <w:r w:rsidR="008952A0" w:rsidRPr="001B1847">
        <w:rPr>
          <w:vertAlign w:val="superscript"/>
        </w:rPr>
        <w:t>nd</w:t>
      </w:r>
      <w:r w:rsidR="00B7137A" w:rsidRPr="00471B79">
        <w:t xml:space="preserve"> meeting of the Advisory Committee on Medicines Scheduling (the </w:t>
      </w:r>
      <w:r w:rsidR="00B7137A" w:rsidRPr="00471B79">
        <w:rPr>
          <w:b/>
          <w:bCs/>
        </w:rPr>
        <w:t>Committee</w:t>
      </w:r>
      <w:r w:rsidR="00B7137A" w:rsidRPr="00471B79">
        <w:t>)</w:t>
      </w:r>
      <w:r w:rsidR="00B7137A" w:rsidRPr="00471B79">
        <w:rPr>
          <w:rStyle w:val="FootnoteReference"/>
        </w:rPr>
        <w:footnoteReference w:id="5"/>
      </w:r>
    </w:p>
    <w:p w14:paraId="3C9C05AE" w14:textId="77777777" w:rsidR="00F8313A" w:rsidRPr="00471B79" w:rsidRDefault="00F8313A" w:rsidP="00F8313A">
      <w:pPr>
        <w:pStyle w:val="ListBullet"/>
      </w:pPr>
      <w:r>
        <w:t xml:space="preserve">the </w:t>
      </w:r>
      <w:hyperlink r:id="rId24" w:history="1">
        <w:r w:rsidRPr="00E17389">
          <w:rPr>
            <w:rStyle w:val="Hyperlink"/>
          </w:rPr>
          <w:t>interim decision</w:t>
        </w:r>
      </w:hyperlink>
      <w:r>
        <w:t xml:space="preserve"> relating to olopatadine and the materials considered as part of the interim decision, as published on 5 October 2023</w:t>
      </w:r>
    </w:p>
    <w:p w14:paraId="390F1661" w14:textId="3E2874ED" w:rsidR="00AC609D" w:rsidRDefault="00C1211D" w:rsidP="009F7996">
      <w:pPr>
        <w:pStyle w:val="ListBullet"/>
      </w:pPr>
      <w:r>
        <w:t>t</w:t>
      </w:r>
      <w:r w:rsidR="00AC609D">
        <w:t xml:space="preserve">he </w:t>
      </w:r>
      <w:r w:rsidR="00683077">
        <w:t>2</w:t>
      </w:r>
      <w:r w:rsidR="00AC609D">
        <w:t xml:space="preserve"> </w:t>
      </w:r>
      <w:hyperlink r:id="rId25" w:history="1">
        <w:r w:rsidR="00AC609D" w:rsidRPr="00683077">
          <w:rPr>
            <w:rStyle w:val="Hyperlink"/>
          </w:rPr>
          <w:t>public submissions</w:t>
        </w:r>
      </w:hyperlink>
      <w:r w:rsidR="00AC609D">
        <w:t xml:space="preserve"> received in response to the </w:t>
      </w:r>
      <w:hyperlink r:id="rId26" w:history="1">
        <w:r w:rsidR="00AC609D" w:rsidRPr="00683077">
          <w:rPr>
            <w:rStyle w:val="Hyperlink"/>
          </w:rPr>
          <w:t>interim decision consultation</w:t>
        </w:r>
      </w:hyperlink>
      <w:r w:rsidR="00683077">
        <w:t xml:space="preserve"> </w:t>
      </w:r>
      <w:r w:rsidR="00AC609D" w:rsidRPr="002C1418">
        <w:t>under regulation 42ZCZP of the Regulations</w:t>
      </w:r>
      <w:r w:rsidR="00AC609D">
        <w:t xml:space="preserve"> (the </w:t>
      </w:r>
      <w:r w:rsidR="00AC609D" w:rsidRPr="00AC609D">
        <w:rPr>
          <w:b/>
          <w:bCs/>
        </w:rPr>
        <w:t>Submissions</w:t>
      </w:r>
      <w:r w:rsidR="00AC609D">
        <w:t>)</w:t>
      </w:r>
    </w:p>
    <w:p w14:paraId="311A84C9" w14:textId="2D228C3B" w:rsidR="007160EC" w:rsidRDefault="007160EC" w:rsidP="009F7996">
      <w:pPr>
        <w:pStyle w:val="ListBullet"/>
      </w:pPr>
      <w:r>
        <w:t xml:space="preserve">the </w:t>
      </w:r>
      <w:hyperlink r:id="rId27" w:history="1">
        <w:r w:rsidRPr="007160EC">
          <w:rPr>
            <w:rStyle w:val="Hyperlink"/>
          </w:rPr>
          <w:t>Australian Register of Therapeutic Goods</w:t>
        </w:r>
      </w:hyperlink>
      <w:r>
        <w:t xml:space="preserve"> (ARTG)</w:t>
      </w:r>
    </w:p>
    <w:p w14:paraId="183C2141" w14:textId="53483DDE" w:rsidR="000837D4" w:rsidRPr="000837D4" w:rsidRDefault="000837D4" w:rsidP="009F7996">
      <w:pPr>
        <w:pStyle w:val="ListBullet"/>
      </w:pPr>
      <w:r w:rsidRPr="000837D4">
        <w:t>subsection 52</w:t>
      </w:r>
      <w:proofErr w:type="gramStart"/>
      <w:r w:rsidRPr="000837D4">
        <w:t>E(</w:t>
      </w:r>
      <w:proofErr w:type="gramEnd"/>
      <w:r w:rsidRPr="000837D4">
        <w:t xml:space="preserve">1) of the </w:t>
      </w:r>
      <w:r w:rsidRPr="000837D4">
        <w:rPr>
          <w:iCs/>
        </w:rPr>
        <w:t>Act</w:t>
      </w:r>
      <w:r w:rsidRPr="000837D4">
        <w:rPr>
          <w:i/>
        </w:rPr>
        <w:t xml:space="preserve">, </w:t>
      </w:r>
      <w:r w:rsidRPr="000837D4">
        <w:t>in particular (a) risks and benefits of the use of a substance; (b) the purposes for which a substance is to be used and the extent of use of a substance; (c) the toxicity of a substance; and (d) the dosage, formulation, labelling, packaging and presentation of a substance</w:t>
      </w:r>
      <w:r w:rsidR="00784741">
        <w:t>.</w:t>
      </w:r>
    </w:p>
    <w:p w14:paraId="3FB9E192" w14:textId="1BF283E9" w:rsidR="00B7137A" w:rsidRPr="00024525" w:rsidRDefault="00C1211D" w:rsidP="009F7996">
      <w:pPr>
        <w:pStyle w:val="ListBullet"/>
      </w:pPr>
      <w:r>
        <w:t>p</w:t>
      </w:r>
      <w:r w:rsidR="00B7137A" w:rsidRPr="00024525">
        <w:t>ursuant to paragraph 52E(2)(a) of the Act, the SPF</w:t>
      </w:r>
      <w:r w:rsidR="00683077">
        <w:t>,</w:t>
      </w:r>
      <w:r w:rsidR="00B7137A" w:rsidRPr="00024525">
        <w:t xml:space="preserve"> and</w:t>
      </w:r>
    </w:p>
    <w:p w14:paraId="590F661E" w14:textId="7B5CB5A6" w:rsidR="00B7137A" w:rsidRPr="00024525" w:rsidRDefault="00C1211D" w:rsidP="009F7996">
      <w:pPr>
        <w:pStyle w:val="ListBullet"/>
      </w:pPr>
      <w:r>
        <w:t>t</w:t>
      </w:r>
      <w:r w:rsidR="00B7137A" w:rsidRPr="00024525">
        <w:t>he Handbook</w:t>
      </w:r>
      <w:r w:rsidR="006E2FCF">
        <w:t>.</w:t>
      </w:r>
    </w:p>
    <w:p w14:paraId="5ED3BC1A" w14:textId="77777777" w:rsidR="003D1264" w:rsidRDefault="003D1264">
      <w:pPr>
        <w:spacing w:before="0" w:after="120" w:line="259" w:lineRule="auto"/>
        <w:rPr>
          <w:b/>
          <w:bCs/>
          <w:i/>
          <w:iCs/>
        </w:rPr>
      </w:pPr>
      <w:r>
        <w:rPr>
          <w:b/>
          <w:bCs/>
          <w:i/>
          <w:iCs/>
        </w:rPr>
        <w:br w:type="page"/>
      </w:r>
    </w:p>
    <w:p w14:paraId="6D29C172" w14:textId="03A4A828" w:rsidR="00B7137A" w:rsidRPr="004D06D7" w:rsidRDefault="00B7137A" w:rsidP="00B7137A">
      <w:pPr>
        <w:rPr>
          <w:b/>
          <w:bCs/>
          <w:i/>
          <w:iCs/>
        </w:rPr>
      </w:pPr>
      <w:r w:rsidRPr="004D06D7">
        <w:rPr>
          <w:b/>
          <w:bCs/>
          <w:i/>
          <w:iCs/>
        </w:rPr>
        <w:lastRenderedPageBreak/>
        <w:t>Reasons for the final decision (including findings on material questions of fact)</w:t>
      </w:r>
    </w:p>
    <w:p w14:paraId="238239F8" w14:textId="74D592E4" w:rsidR="007160EC" w:rsidRDefault="007160EC" w:rsidP="007160EC">
      <w:r>
        <w:t xml:space="preserve">I have made a final decision to vary my interim decision and amend the current Poisons Standard to include </w:t>
      </w:r>
      <w:proofErr w:type="spellStart"/>
      <w:r>
        <w:t>rhinoconjunctivitis</w:t>
      </w:r>
      <w:proofErr w:type="spellEnd"/>
      <w:r w:rsidR="00480D19">
        <w:t xml:space="preserve"> </w:t>
      </w:r>
      <w:r w:rsidR="00BA44AB">
        <w:t xml:space="preserve">(the simultaneous presentation of allergic rhinitis and allergic conjunctivitis) </w:t>
      </w:r>
      <w:r w:rsidR="00480D19">
        <w:t>as a permitted indication</w:t>
      </w:r>
      <w:r>
        <w:t xml:space="preserve"> in the manner detailed above. </w:t>
      </w:r>
      <w:r w:rsidR="006840AA">
        <w:t xml:space="preserve">I have also </w:t>
      </w:r>
      <w:r w:rsidR="00784741">
        <w:t xml:space="preserve">revised </w:t>
      </w:r>
      <w:r w:rsidR="006840AA">
        <w:t>the proposed Appendix F entry to e</w:t>
      </w:r>
      <w:r w:rsidR="00D50009">
        <w:t xml:space="preserve">xclude </w:t>
      </w:r>
      <w:r w:rsidR="006840AA">
        <w:t>nasal preparations</w:t>
      </w:r>
      <w:r w:rsidR="00D50009">
        <w:t xml:space="preserve"> of olopatadine</w:t>
      </w:r>
      <w:r w:rsidR="006840AA">
        <w:t xml:space="preserve"> instead of oral preparations</w:t>
      </w:r>
      <w:r w:rsidR="00D50009">
        <w:t xml:space="preserve"> to align with the new Schedule 2 entry</w:t>
      </w:r>
      <w:r w:rsidR="006840AA">
        <w:t xml:space="preserve">. </w:t>
      </w:r>
      <w:r>
        <w:t xml:space="preserve">Consistent with my interim decision, I have decided to create a new Schedule 2 entry which will allow supply of olopatadine as a ‘Pharmacy Only’ medicine (Schedule 2) in certain formulations for </w:t>
      </w:r>
      <w:r w:rsidR="00480D19">
        <w:t>patients</w:t>
      </w:r>
      <w:r>
        <w:t xml:space="preserve"> 12 years of age and over.</w:t>
      </w:r>
    </w:p>
    <w:p w14:paraId="55F6A873" w14:textId="34F342AC" w:rsidR="007160EC" w:rsidRDefault="007160EC" w:rsidP="007160EC">
      <w:r>
        <w:t xml:space="preserve">In reaching my final decision, I have considered the </w:t>
      </w:r>
      <w:r w:rsidR="00784741">
        <w:t xml:space="preserve">2 </w:t>
      </w:r>
      <w:r>
        <w:t xml:space="preserve">written public submissions received </w:t>
      </w:r>
      <w:r w:rsidR="00784741">
        <w:t>in response to the interim decision consultation</w:t>
      </w:r>
      <w:r w:rsidRPr="00DF71E9">
        <w:t>.</w:t>
      </w:r>
      <w:r>
        <w:t xml:space="preserve"> I note that both submissions partially supported the interim decision.</w:t>
      </w:r>
    </w:p>
    <w:p w14:paraId="5BE23394" w14:textId="650D4404" w:rsidR="007160EC" w:rsidRPr="00B01AF9" w:rsidRDefault="007160EC" w:rsidP="007160EC">
      <w:pPr>
        <w:rPr>
          <w:rFonts w:cstheme="minorHAnsi"/>
        </w:rPr>
      </w:pPr>
      <w:r w:rsidRPr="00694553">
        <w:rPr>
          <w:rFonts w:cstheme="minorHAnsi"/>
        </w:rPr>
        <w:t xml:space="preserve">I acknowledge the concerns raised by the </w:t>
      </w:r>
      <w:r>
        <w:rPr>
          <w:rFonts w:cstheme="minorHAnsi"/>
        </w:rPr>
        <w:t>P</w:t>
      </w:r>
      <w:r w:rsidR="00491451">
        <w:rPr>
          <w:rFonts w:cstheme="minorHAnsi"/>
        </w:rPr>
        <w:t xml:space="preserve">harmacy </w:t>
      </w:r>
      <w:r>
        <w:rPr>
          <w:rFonts w:cstheme="minorHAnsi"/>
        </w:rPr>
        <w:t>G</w:t>
      </w:r>
      <w:r w:rsidR="00491451">
        <w:rPr>
          <w:rFonts w:cstheme="minorHAnsi"/>
        </w:rPr>
        <w:t xml:space="preserve">uild of </w:t>
      </w:r>
      <w:r>
        <w:rPr>
          <w:rFonts w:cstheme="minorHAnsi"/>
        </w:rPr>
        <w:t>A</w:t>
      </w:r>
      <w:r w:rsidR="00491451">
        <w:rPr>
          <w:rFonts w:cstheme="minorHAnsi"/>
        </w:rPr>
        <w:t>ustralia</w:t>
      </w:r>
      <w:r w:rsidRPr="00694553">
        <w:rPr>
          <w:rFonts w:cstheme="minorHAnsi"/>
        </w:rPr>
        <w:t xml:space="preserve">, </w:t>
      </w:r>
      <w:r w:rsidR="00E1676B">
        <w:rPr>
          <w:rFonts w:cstheme="minorHAnsi"/>
        </w:rPr>
        <w:t>which</w:t>
      </w:r>
      <w:r w:rsidR="00784741">
        <w:rPr>
          <w:rFonts w:cstheme="minorHAnsi"/>
        </w:rPr>
        <w:t xml:space="preserve"> </w:t>
      </w:r>
      <w:r w:rsidR="00491451">
        <w:rPr>
          <w:rFonts w:cstheme="minorHAnsi"/>
        </w:rPr>
        <w:t>suggested that a Schedule 3 entry for olopatadine may be more appropriate as the medicine is proposed to be used to treat allergic rhinitis, a chronic condition that may require monitoring by a health professional. However,</w:t>
      </w:r>
      <w:r w:rsidRPr="00694553">
        <w:rPr>
          <w:rFonts w:cstheme="minorHAnsi"/>
        </w:rPr>
        <w:t xml:space="preserve"> </w:t>
      </w:r>
      <w:r w:rsidR="00491451">
        <w:rPr>
          <w:rFonts w:cstheme="minorHAnsi"/>
        </w:rPr>
        <w:t xml:space="preserve">as </w:t>
      </w:r>
      <w:r w:rsidRPr="00694553">
        <w:rPr>
          <w:rFonts w:cstheme="minorHAnsi"/>
        </w:rPr>
        <w:t>outlined in the interim decisio</w:t>
      </w:r>
      <w:r>
        <w:rPr>
          <w:rFonts w:cstheme="minorHAnsi"/>
        </w:rPr>
        <w:t>n</w:t>
      </w:r>
      <w:r w:rsidRPr="00694553">
        <w:rPr>
          <w:rFonts w:cstheme="minorHAnsi"/>
        </w:rPr>
        <w:t xml:space="preserve">, I am not persuaded that </w:t>
      </w:r>
      <w:r>
        <w:rPr>
          <w:rFonts w:cstheme="minorHAnsi"/>
        </w:rPr>
        <w:t>the quality use of the medicine cannot be achieved as a ‘Pharmacy Only’ medicine (Schedule 2).</w:t>
      </w:r>
      <w:r w:rsidR="00491451">
        <w:rPr>
          <w:rFonts w:cstheme="minorHAnsi"/>
        </w:rPr>
        <w:t xml:space="preserve"> </w:t>
      </w:r>
      <w:r w:rsidR="00784741">
        <w:rPr>
          <w:rFonts w:cstheme="minorHAnsi"/>
        </w:rPr>
        <w:t>F</w:t>
      </w:r>
      <w:r w:rsidR="00491451">
        <w:rPr>
          <w:rFonts w:cstheme="minorHAnsi"/>
        </w:rPr>
        <w:t>urther</w:t>
      </w:r>
      <w:r w:rsidR="00784741">
        <w:rPr>
          <w:rFonts w:cstheme="minorHAnsi"/>
        </w:rPr>
        <w:t>,</w:t>
      </w:r>
      <w:r w:rsidR="00491451">
        <w:rPr>
          <w:rFonts w:cstheme="minorHAnsi"/>
        </w:rPr>
        <w:t xml:space="preserve"> many medicines for the treatment of allergic rhinitis are already available in Schedule 2</w:t>
      </w:r>
      <w:r>
        <w:rPr>
          <w:rFonts w:cstheme="minorHAnsi"/>
        </w:rPr>
        <w:t xml:space="preserve"> </w:t>
      </w:r>
      <w:r w:rsidR="00491451">
        <w:rPr>
          <w:rFonts w:cstheme="minorHAnsi"/>
        </w:rPr>
        <w:t>preparations.</w:t>
      </w:r>
    </w:p>
    <w:p w14:paraId="0FE1A3BD" w14:textId="307F780E" w:rsidR="007160EC" w:rsidRDefault="007160EC" w:rsidP="007160EC">
      <w:r>
        <w:t>I</w:t>
      </w:r>
      <w:r w:rsidR="00491451">
        <w:t xml:space="preserve"> have</w:t>
      </w:r>
      <w:r>
        <w:t xml:space="preserve"> note</w:t>
      </w:r>
      <w:r w:rsidR="00491451">
        <w:t>d</w:t>
      </w:r>
      <w:r>
        <w:t xml:space="preserve"> </w:t>
      </w:r>
      <w:r w:rsidR="00491451">
        <w:t>the</w:t>
      </w:r>
      <w:r>
        <w:t xml:space="preserve"> </w:t>
      </w:r>
      <w:r w:rsidR="00491451">
        <w:t xml:space="preserve">private </w:t>
      </w:r>
      <w:r>
        <w:t xml:space="preserve">submission that </w:t>
      </w:r>
      <w:r w:rsidR="00491451">
        <w:t xml:space="preserve">suggested </w:t>
      </w:r>
      <w:r>
        <w:t>inclu</w:t>
      </w:r>
      <w:r w:rsidR="00491451">
        <w:t>sion of</w:t>
      </w:r>
      <w:r>
        <w:t xml:space="preserve"> </w:t>
      </w:r>
      <w:proofErr w:type="spellStart"/>
      <w:r>
        <w:t>rhinoconjunctivitis</w:t>
      </w:r>
      <w:proofErr w:type="spellEnd"/>
      <w:r>
        <w:t xml:space="preserve"> </w:t>
      </w:r>
      <w:r w:rsidR="00491451">
        <w:t xml:space="preserve">as a permitted indication </w:t>
      </w:r>
      <w:r>
        <w:t xml:space="preserve">in the proposed Schedule 2 entry. The submission highlighted </w:t>
      </w:r>
      <w:proofErr w:type="gramStart"/>
      <w:r w:rsidR="00491451">
        <w:t xml:space="preserve">that </w:t>
      </w:r>
      <w:r>
        <w:t>consumers</w:t>
      </w:r>
      <w:proofErr w:type="gramEnd"/>
      <w:r>
        <w:t xml:space="preserve"> can recognise </w:t>
      </w:r>
      <w:r w:rsidR="00491451">
        <w:t xml:space="preserve">the symptoms of </w:t>
      </w:r>
      <w:proofErr w:type="spellStart"/>
      <w:r>
        <w:t>rhinoconjunctivitis</w:t>
      </w:r>
      <w:proofErr w:type="spellEnd"/>
      <w:r w:rsidR="00BA44AB">
        <w:t xml:space="preserve"> as</w:t>
      </w:r>
      <w:r w:rsidR="00491451">
        <w:t xml:space="preserve"> </w:t>
      </w:r>
      <w:r>
        <w:t xml:space="preserve">allergic rhinitis </w:t>
      </w:r>
      <w:r w:rsidR="00070605">
        <w:t>co-</w:t>
      </w:r>
      <w:r>
        <w:t xml:space="preserve">presents very frequently with </w:t>
      </w:r>
      <w:r w:rsidR="00BA44AB">
        <w:t xml:space="preserve">allergic </w:t>
      </w:r>
      <w:r>
        <w:t>conjunctivitis.</w:t>
      </w:r>
    </w:p>
    <w:p w14:paraId="5E533D82" w14:textId="201842EF" w:rsidR="007160EC" w:rsidRDefault="00784741" w:rsidP="007160EC">
      <w:pPr>
        <w:rPr>
          <w:rFonts w:cstheme="minorHAnsi"/>
        </w:rPr>
      </w:pPr>
      <w:r w:rsidRPr="00694553">
        <w:rPr>
          <w:rFonts w:cstheme="minorHAnsi"/>
        </w:rPr>
        <w:t>Considering</w:t>
      </w:r>
      <w:r w:rsidR="007160EC" w:rsidRPr="00694553">
        <w:rPr>
          <w:rFonts w:cstheme="minorHAnsi"/>
        </w:rPr>
        <w:t xml:space="preserve"> these views and pursuant to s 52E(1)(a) </w:t>
      </w:r>
      <w:r w:rsidR="007160EC">
        <w:rPr>
          <w:rFonts w:cstheme="minorHAnsi"/>
        </w:rPr>
        <w:t xml:space="preserve">and (b) </w:t>
      </w:r>
      <w:r w:rsidR="007160EC" w:rsidRPr="00694553">
        <w:rPr>
          <w:rFonts w:cstheme="minorHAnsi"/>
        </w:rPr>
        <w:t>of the Act, I have reconsidered the relative risks of</w:t>
      </w:r>
      <w:r w:rsidR="007160EC">
        <w:rPr>
          <w:rFonts w:cstheme="minorHAnsi"/>
        </w:rPr>
        <w:t xml:space="preserve"> olopatadine when used for </w:t>
      </w:r>
      <w:proofErr w:type="spellStart"/>
      <w:r w:rsidR="007160EC">
        <w:rPr>
          <w:rFonts w:cstheme="minorHAnsi"/>
        </w:rPr>
        <w:t>rhinoconjunctivitis</w:t>
      </w:r>
      <w:proofErr w:type="spellEnd"/>
      <w:r w:rsidR="007160EC">
        <w:rPr>
          <w:rFonts w:cstheme="minorHAnsi"/>
        </w:rPr>
        <w:t xml:space="preserve">. As expressed in my interim decision, the </w:t>
      </w:r>
      <w:r w:rsidR="007160EC" w:rsidRPr="007633A8">
        <w:rPr>
          <w:rFonts w:cstheme="minorHAnsi"/>
        </w:rPr>
        <w:t xml:space="preserve">risk profile for olopatadine is </w:t>
      </w:r>
      <w:r>
        <w:rPr>
          <w:rFonts w:cstheme="minorHAnsi"/>
        </w:rPr>
        <w:t xml:space="preserve">low </w:t>
      </w:r>
      <w:r w:rsidR="00491451">
        <w:rPr>
          <w:rFonts w:cstheme="minorHAnsi"/>
        </w:rPr>
        <w:t xml:space="preserve">and </w:t>
      </w:r>
      <w:r w:rsidR="007160EC" w:rsidRPr="007633A8">
        <w:rPr>
          <w:rFonts w:cstheme="minorHAnsi"/>
        </w:rPr>
        <w:t>well defined.</w:t>
      </w:r>
      <w:r w:rsidR="007160EC">
        <w:rPr>
          <w:rFonts w:cstheme="minorHAnsi"/>
        </w:rPr>
        <w:t xml:space="preserve"> I note several </w:t>
      </w:r>
      <w:r w:rsidR="00491451">
        <w:rPr>
          <w:rFonts w:cstheme="minorHAnsi"/>
        </w:rPr>
        <w:t xml:space="preserve">other Schedule 2 </w:t>
      </w:r>
      <w:r w:rsidR="007160EC">
        <w:rPr>
          <w:rFonts w:cstheme="minorHAnsi"/>
        </w:rPr>
        <w:t xml:space="preserve">antihistamine substances </w:t>
      </w:r>
      <w:r w:rsidR="00491451">
        <w:rPr>
          <w:rFonts w:cstheme="minorHAnsi"/>
        </w:rPr>
        <w:t xml:space="preserve">are already </w:t>
      </w:r>
      <w:r w:rsidR="007160EC">
        <w:rPr>
          <w:rFonts w:cstheme="minorHAnsi"/>
        </w:rPr>
        <w:t xml:space="preserve">listed on the </w:t>
      </w:r>
      <w:hyperlink r:id="rId28" w:history="1">
        <w:r w:rsidR="007160EC" w:rsidRPr="00637896">
          <w:rPr>
            <w:rStyle w:val="Hyperlink"/>
            <w:rFonts w:cstheme="minorHAnsi"/>
          </w:rPr>
          <w:t>Australian Register of Therapeutic Goods</w:t>
        </w:r>
      </w:hyperlink>
      <w:r w:rsidR="007160EC">
        <w:rPr>
          <w:rFonts w:cstheme="minorHAnsi"/>
        </w:rPr>
        <w:t xml:space="preserve"> (ARTG) for </w:t>
      </w:r>
      <w:r w:rsidR="00491451">
        <w:rPr>
          <w:rFonts w:cstheme="minorHAnsi"/>
        </w:rPr>
        <w:t>the treatment of</w:t>
      </w:r>
      <w:r w:rsidR="00137642">
        <w:rPr>
          <w:rFonts w:cstheme="minorHAnsi"/>
        </w:rPr>
        <w:t xml:space="preserve"> allergic rhinitis or allergic conjunctivitis, the two aspects of</w:t>
      </w:r>
      <w:r w:rsidR="00491451">
        <w:rPr>
          <w:rFonts w:cstheme="minorHAnsi"/>
        </w:rPr>
        <w:t xml:space="preserve"> </w:t>
      </w:r>
      <w:proofErr w:type="spellStart"/>
      <w:r w:rsidR="007160EC">
        <w:rPr>
          <w:rFonts w:cstheme="minorHAnsi"/>
        </w:rPr>
        <w:t>rhinoconjunctivitis</w:t>
      </w:r>
      <w:proofErr w:type="spellEnd"/>
      <w:r w:rsidR="007160EC">
        <w:rPr>
          <w:rFonts w:cstheme="minorHAnsi"/>
        </w:rPr>
        <w:t>.</w:t>
      </w:r>
    </w:p>
    <w:p w14:paraId="3A6B98BE" w14:textId="36EFAFAD" w:rsidR="007160EC" w:rsidRDefault="003B6FB9" w:rsidP="007160EC">
      <w:pPr>
        <w:rPr>
          <w:rFonts w:cstheme="minorHAnsi"/>
        </w:rPr>
      </w:pPr>
      <w:r>
        <w:rPr>
          <w:rFonts w:cstheme="minorHAnsi"/>
        </w:rPr>
        <w:t>T</w:t>
      </w:r>
      <w:r w:rsidR="007160EC">
        <w:rPr>
          <w:rFonts w:cstheme="minorHAnsi"/>
        </w:rPr>
        <w:t xml:space="preserve">he </w:t>
      </w:r>
      <w:r w:rsidR="007160EC" w:rsidRPr="00B11477">
        <w:t>availability of</w:t>
      </w:r>
      <w:r>
        <w:t xml:space="preserve"> a</w:t>
      </w:r>
      <w:r w:rsidR="007160EC" w:rsidRPr="00B11477">
        <w:t xml:space="preserve"> </w:t>
      </w:r>
      <w:r w:rsidR="007160EC">
        <w:t xml:space="preserve">‘Pharmacy Only’ medicine (Schedule 2) for </w:t>
      </w:r>
      <w:proofErr w:type="spellStart"/>
      <w:r w:rsidR="007160EC">
        <w:t>rhinoconjunctivitis</w:t>
      </w:r>
      <w:proofErr w:type="spellEnd"/>
      <w:r w:rsidR="007160EC" w:rsidRPr="00B11477">
        <w:t xml:space="preserve"> </w:t>
      </w:r>
      <w:r w:rsidR="007160EC">
        <w:t xml:space="preserve">aligns with </w:t>
      </w:r>
      <w:r>
        <w:t xml:space="preserve">the SPF </w:t>
      </w:r>
      <w:r w:rsidR="007160EC">
        <w:t xml:space="preserve">and supports </w:t>
      </w:r>
      <w:r>
        <w:t>the inclusion of this indication in the new Poisons Standard entry for olopatadine</w:t>
      </w:r>
      <w:r w:rsidR="007160EC">
        <w:rPr>
          <w:rFonts w:cstheme="minorHAnsi"/>
        </w:rPr>
        <w:t xml:space="preserve">. I am confident that consumers can successfully </w:t>
      </w:r>
      <w:r w:rsidR="007160EC" w:rsidRPr="00FE5545">
        <w:rPr>
          <w:rFonts w:cstheme="minorHAnsi"/>
        </w:rPr>
        <w:t>recognise</w:t>
      </w:r>
      <w:r w:rsidR="007160EC">
        <w:rPr>
          <w:rFonts w:cstheme="minorHAnsi"/>
        </w:rPr>
        <w:t xml:space="preserve"> </w:t>
      </w:r>
      <w:r>
        <w:rPr>
          <w:rFonts w:cstheme="minorHAnsi"/>
        </w:rPr>
        <w:t xml:space="preserve">the symptoms of </w:t>
      </w:r>
      <w:proofErr w:type="spellStart"/>
      <w:r w:rsidR="007160EC">
        <w:rPr>
          <w:rFonts w:cstheme="minorHAnsi"/>
        </w:rPr>
        <w:t>rhinoconjunctivitis</w:t>
      </w:r>
      <w:proofErr w:type="spellEnd"/>
      <w:r>
        <w:rPr>
          <w:rFonts w:cstheme="minorHAnsi"/>
        </w:rPr>
        <w:t>,</w:t>
      </w:r>
      <w:r w:rsidR="007160EC" w:rsidRPr="00FE5545">
        <w:rPr>
          <w:rFonts w:cstheme="minorHAnsi"/>
        </w:rPr>
        <w:t xml:space="preserve"> </w:t>
      </w:r>
      <w:r>
        <w:rPr>
          <w:rFonts w:cstheme="minorHAnsi"/>
        </w:rPr>
        <w:t xml:space="preserve">which is </w:t>
      </w:r>
      <w:r w:rsidR="007160EC" w:rsidRPr="00FE5545">
        <w:rPr>
          <w:rFonts w:cstheme="minorHAnsi"/>
        </w:rPr>
        <w:t xml:space="preserve">unlikely to be confused with other more serious </w:t>
      </w:r>
      <w:r>
        <w:rPr>
          <w:rFonts w:cstheme="minorHAnsi"/>
        </w:rPr>
        <w:t>conditions</w:t>
      </w:r>
      <w:r w:rsidR="007160EC">
        <w:rPr>
          <w:rFonts w:cstheme="minorHAnsi"/>
        </w:rPr>
        <w:t xml:space="preserve">. Consistent with my interim decision, I am </w:t>
      </w:r>
      <w:r>
        <w:rPr>
          <w:rFonts w:cstheme="minorHAnsi"/>
        </w:rPr>
        <w:t xml:space="preserve">of the view </w:t>
      </w:r>
      <w:r w:rsidR="007160EC">
        <w:rPr>
          <w:rFonts w:cstheme="minorHAnsi"/>
        </w:rPr>
        <w:t xml:space="preserve">that </w:t>
      </w:r>
      <w:r>
        <w:rPr>
          <w:rFonts w:cstheme="minorHAnsi"/>
        </w:rPr>
        <w:t xml:space="preserve">a </w:t>
      </w:r>
      <w:r w:rsidR="007160EC">
        <w:rPr>
          <w:rFonts w:cstheme="minorHAnsi"/>
        </w:rPr>
        <w:t xml:space="preserve">Schedule 2 </w:t>
      </w:r>
      <w:r>
        <w:rPr>
          <w:rFonts w:cstheme="minorHAnsi"/>
        </w:rPr>
        <w:t xml:space="preserve">classification </w:t>
      </w:r>
      <w:r w:rsidR="007160EC">
        <w:rPr>
          <w:rFonts w:cstheme="minorHAnsi"/>
        </w:rPr>
        <w:t xml:space="preserve">will provide opportunity for patients to be </w:t>
      </w:r>
      <w:r w:rsidR="007160EC">
        <w:t>screened, assessed, and counselled where necessary</w:t>
      </w:r>
      <w:r w:rsidR="007160EC">
        <w:rPr>
          <w:rFonts w:cstheme="minorHAnsi"/>
        </w:rPr>
        <w:t xml:space="preserve">. </w:t>
      </w:r>
      <w:r w:rsidR="00137642">
        <w:rPr>
          <w:rFonts w:cstheme="minorHAnsi"/>
        </w:rPr>
        <w:t xml:space="preserve">In addition, I affirm my interim decision that </w:t>
      </w:r>
      <w:r w:rsidR="00137642">
        <w:t xml:space="preserve">it is not unusual for both a first- and second-line treatment to be available in a pharmacy. </w:t>
      </w:r>
      <w:r w:rsidR="007160EC">
        <w:rPr>
          <w:rFonts w:cstheme="minorHAnsi"/>
        </w:rPr>
        <w:t xml:space="preserve">I </w:t>
      </w:r>
      <w:r>
        <w:rPr>
          <w:rFonts w:cstheme="minorHAnsi"/>
        </w:rPr>
        <w:t xml:space="preserve">have </w:t>
      </w:r>
      <w:r w:rsidR="007160EC">
        <w:rPr>
          <w:rFonts w:cstheme="minorHAnsi"/>
        </w:rPr>
        <w:t xml:space="preserve">therefore </w:t>
      </w:r>
      <w:r>
        <w:rPr>
          <w:rFonts w:cstheme="minorHAnsi"/>
        </w:rPr>
        <w:t xml:space="preserve">decided </w:t>
      </w:r>
      <w:r w:rsidR="007160EC">
        <w:rPr>
          <w:rFonts w:cstheme="minorHAnsi"/>
        </w:rPr>
        <w:t xml:space="preserve">to </w:t>
      </w:r>
      <w:r>
        <w:rPr>
          <w:rFonts w:cstheme="minorHAnsi"/>
        </w:rPr>
        <w:t xml:space="preserve">vary my interim decision to </w:t>
      </w:r>
      <w:r w:rsidR="007160EC">
        <w:rPr>
          <w:rFonts w:cstheme="minorHAnsi"/>
        </w:rPr>
        <w:t xml:space="preserve">include </w:t>
      </w:r>
      <w:proofErr w:type="spellStart"/>
      <w:r w:rsidR="007160EC">
        <w:rPr>
          <w:rFonts w:cstheme="minorHAnsi"/>
        </w:rPr>
        <w:t>rhinoconjunctivitis</w:t>
      </w:r>
      <w:proofErr w:type="spellEnd"/>
      <w:r w:rsidR="007160EC">
        <w:rPr>
          <w:rFonts w:cstheme="minorHAnsi"/>
        </w:rPr>
        <w:t xml:space="preserve"> in the Schedule 2 entry for olopatadine.</w:t>
      </w:r>
    </w:p>
    <w:p w14:paraId="709D97AA" w14:textId="77777777" w:rsidR="00B7137A" w:rsidRPr="00E42057" w:rsidRDefault="00B7137A" w:rsidP="00B7137A">
      <w:pPr>
        <w:rPr>
          <w:b/>
          <w:bCs/>
          <w:i/>
          <w:iCs/>
        </w:rPr>
      </w:pPr>
      <w:r w:rsidRPr="00E42057">
        <w:rPr>
          <w:b/>
          <w:bCs/>
          <w:i/>
          <w:iCs/>
        </w:rPr>
        <w:t>Implementation date</w:t>
      </w:r>
    </w:p>
    <w:p w14:paraId="68D049B8" w14:textId="33D18BAF" w:rsidR="00B7137A" w:rsidRPr="009F5EBF" w:rsidRDefault="009F5EBF" w:rsidP="00B7137A">
      <w:pPr>
        <w:rPr>
          <w:b/>
          <w:bCs/>
        </w:rPr>
      </w:pPr>
      <w:r w:rsidRPr="009F5EBF">
        <w:rPr>
          <w:b/>
          <w:bCs/>
        </w:rPr>
        <w:t>1 February 2024</w:t>
      </w:r>
    </w:p>
    <w:p w14:paraId="74AC3716" w14:textId="77777777" w:rsidR="00C4382C" w:rsidRDefault="00C4382C">
      <w:pPr>
        <w:spacing w:before="0" w:after="120" w:line="259" w:lineRule="auto"/>
        <w:rPr>
          <w:rFonts w:ascii="Arial" w:eastAsia="Times New Roman" w:hAnsi="Arial"/>
          <w:b/>
          <w:bCs/>
          <w:sz w:val="38"/>
          <w:szCs w:val="38"/>
        </w:rPr>
      </w:pPr>
      <w:bookmarkStart w:id="29" w:name="_Toc97640265"/>
      <w:r>
        <w:br w:type="page"/>
      </w:r>
    </w:p>
    <w:p w14:paraId="3952C828" w14:textId="5765BA62" w:rsidR="00457050" w:rsidRPr="00F41DCE" w:rsidRDefault="00457050" w:rsidP="00967490">
      <w:pPr>
        <w:pStyle w:val="Heading2"/>
      </w:pPr>
      <w:bookmarkStart w:id="30" w:name="_Toc153188994"/>
      <w:r>
        <w:lastRenderedPageBreak/>
        <w:t>Final</w:t>
      </w:r>
      <w:r w:rsidRPr="00FA029A">
        <w:t xml:space="preserve"> decisions on proposed amendments referred to the </w:t>
      </w:r>
      <w:r w:rsidRPr="00F41DCE">
        <w:t>Advisory Committee</w:t>
      </w:r>
      <w:r w:rsidR="00E1676B">
        <w:t>s</w:t>
      </w:r>
      <w:r w:rsidRPr="00F41DCE">
        <w:t xml:space="preserve"> on Medicines and Chemicals Scheduling in jo</w:t>
      </w:r>
      <w:r>
        <w:t>int session (Joint ACMS-ACCS #</w:t>
      </w:r>
      <w:r w:rsidR="009F5EBF">
        <w:t>34</w:t>
      </w:r>
      <w:r>
        <w:t xml:space="preserve">, </w:t>
      </w:r>
      <w:r w:rsidR="00784741">
        <w:t xml:space="preserve">June </w:t>
      </w:r>
      <w:r>
        <w:t>20</w:t>
      </w:r>
      <w:r w:rsidR="009F5EBF">
        <w:t>23</w:t>
      </w:r>
      <w:r w:rsidRPr="00F41DCE">
        <w:t>)</w:t>
      </w:r>
      <w:bookmarkEnd w:id="29"/>
      <w:bookmarkEnd w:id="30"/>
    </w:p>
    <w:p w14:paraId="37D57355" w14:textId="3464BBAD" w:rsidR="00457050" w:rsidRDefault="00457050" w:rsidP="00300CBB">
      <w:pPr>
        <w:pStyle w:val="Heading3"/>
      </w:pPr>
      <w:bookmarkStart w:id="31" w:name="_Toc153188995"/>
      <w:r>
        <w:t xml:space="preserve">Final decision in relation to </w:t>
      </w:r>
      <w:proofErr w:type="spellStart"/>
      <w:r w:rsidR="00DD43ED">
        <w:t>ibotenic</w:t>
      </w:r>
      <w:proofErr w:type="spellEnd"/>
      <w:r w:rsidR="00DD43ED">
        <w:t xml:space="preserve"> acid</w:t>
      </w:r>
      <w:bookmarkEnd w:id="31"/>
    </w:p>
    <w:p w14:paraId="12B664B0" w14:textId="77777777" w:rsidR="00457050" w:rsidRPr="00BB34CD" w:rsidRDefault="00457050" w:rsidP="00BB34CD">
      <w:pPr>
        <w:rPr>
          <w:b/>
          <w:bCs/>
          <w:i/>
          <w:iCs/>
        </w:rPr>
      </w:pPr>
      <w:r w:rsidRPr="00BB34CD">
        <w:rPr>
          <w:b/>
          <w:bCs/>
          <w:i/>
          <w:iCs/>
        </w:rPr>
        <w:t>Proposal</w:t>
      </w:r>
    </w:p>
    <w:p w14:paraId="35624AD8" w14:textId="77777777" w:rsidR="00D002AE" w:rsidRDefault="00D002AE" w:rsidP="00D002AE">
      <w:pPr>
        <w:spacing w:after="240"/>
      </w:pPr>
      <w:r>
        <w:t xml:space="preserve">The applicant proposed the creation of a new Schedule 4 entry for </w:t>
      </w:r>
      <w:proofErr w:type="spellStart"/>
      <w:r>
        <w:t>ibotenic</w:t>
      </w:r>
      <w:proofErr w:type="spellEnd"/>
      <w:r>
        <w:t xml:space="preserve"> acid for therapeutic use and a new Schedule 7 entry to capture all other use of the substance (the </w:t>
      </w:r>
      <w:r w:rsidRPr="00844EAA">
        <w:rPr>
          <w:b/>
          <w:bCs/>
        </w:rPr>
        <w:t>Proposal</w:t>
      </w:r>
      <w:r>
        <w:t xml:space="preserve">). </w:t>
      </w:r>
      <w:proofErr w:type="spellStart"/>
      <w:r>
        <w:t>Ibotenic</w:t>
      </w:r>
      <w:proofErr w:type="spellEnd"/>
      <w:r>
        <w:t xml:space="preserve"> acid is not currently listed in the Poisons Standard.</w:t>
      </w:r>
    </w:p>
    <w:p w14:paraId="3E11722D" w14:textId="6AB80FE7" w:rsidR="00457050" w:rsidRPr="00BB34CD" w:rsidRDefault="00457050" w:rsidP="00BB34CD">
      <w:pPr>
        <w:rPr>
          <w:b/>
          <w:bCs/>
          <w:i/>
          <w:iCs/>
        </w:rPr>
      </w:pPr>
      <w:r w:rsidRPr="00BB34CD">
        <w:rPr>
          <w:b/>
          <w:bCs/>
          <w:i/>
          <w:iCs/>
        </w:rPr>
        <w:t>Final decision</w:t>
      </w:r>
    </w:p>
    <w:p w14:paraId="3E55F334" w14:textId="32AC45D8" w:rsidR="00457050" w:rsidRDefault="00457050" w:rsidP="00967490">
      <w:r>
        <w:t xml:space="preserve">Pursuant to regulation 42ZCZR of the Regulations, the Delegate has made a final </w:t>
      </w:r>
      <w:r w:rsidRPr="009849A7">
        <w:t xml:space="preserve">decision to confirm the interim decision and amend the current Poisons Standard in relation to </w:t>
      </w:r>
      <w:proofErr w:type="spellStart"/>
      <w:r w:rsidR="00D002AE" w:rsidRPr="009849A7">
        <w:t>ibotenic</w:t>
      </w:r>
      <w:proofErr w:type="spellEnd"/>
      <w:r w:rsidR="00D002AE" w:rsidRPr="009849A7">
        <w:t xml:space="preserve"> acid</w:t>
      </w:r>
      <w:r w:rsidRPr="009849A7">
        <w:t xml:space="preserve"> as follows:</w:t>
      </w:r>
      <w:r w:rsidR="001A5D46">
        <w:rPr>
          <w:rStyle w:val="FootnoteReference"/>
        </w:rPr>
        <w:footnoteReference w:id="6"/>
      </w:r>
    </w:p>
    <w:p w14:paraId="143DB8CF" w14:textId="77777777" w:rsidR="00BF0BD3" w:rsidRPr="008F3AA5" w:rsidRDefault="00BF0BD3" w:rsidP="005B58FD">
      <w:pPr>
        <w:keepNext/>
        <w:spacing w:before="120"/>
        <w:ind w:left="425"/>
        <w:rPr>
          <w:b/>
          <w:bCs/>
        </w:rPr>
      </w:pPr>
      <w:r w:rsidRPr="008F3AA5">
        <w:rPr>
          <w:b/>
          <w:bCs/>
        </w:rPr>
        <w:t>Schedule 9 – New entry</w:t>
      </w:r>
    </w:p>
    <w:p w14:paraId="1EE79A45" w14:textId="77777777" w:rsidR="00BF0BD3" w:rsidRDefault="00BF0BD3" w:rsidP="005B58FD">
      <w:pPr>
        <w:shd w:val="clear" w:color="auto" w:fill="FFFFFF"/>
        <w:spacing w:before="120"/>
        <w:ind w:left="709"/>
        <w:rPr>
          <w:color w:val="00B050"/>
          <w:u w:val="single"/>
          <w:lang w:eastAsia="en-AU"/>
        </w:rPr>
      </w:pPr>
      <w:r>
        <w:rPr>
          <w:color w:val="00B050"/>
          <w:u w:val="single"/>
          <w:lang w:eastAsia="en-AU"/>
        </w:rPr>
        <w:t>IBOTENIC ACID</w:t>
      </w:r>
    </w:p>
    <w:p w14:paraId="3615FDF7" w14:textId="77777777" w:rsidR="00BF0BD3" w:rsidRPr="008F3AA5" w:rsidRDefault="00BF0BD3" w:rsidP="00BF0BD3">
      <w:pPr>
        <w:spacing w:after="0"/>
        <w:ind w:left="426"/>
        <w:rPr>
          <w:b/>
          <w:bCs/>
        </w:rPr>
      </w:pPr>
      <w:r w:rsidRPr="008F3AA5">
        <w:rPr>
          <w:b/>
          <w:bCs/>
        </w:rPr>
        <w:t>Index – New Entry</w:t>
      </w:r>
    </w:p>
    <w:p w14:paraId="4136E231" w14:textId="11936F56" w:rsidR="00D002AE" w:rsidRPr="00070605" w:rsidRDefault="00BF0BD3" w:rsidP="00070605">
      <w:pPr>
        <w:spacing w:before="120" w:after="0"/>
        <w:ind w:left="709"/>
        <w:rPr>
          <w:color w:val="00B050"/>
          <w:u w:val="single"/>
        </w:rPr>
      </w:pPr>
      <w:r w:rsidRPr="00472D41">
        <w:rPr>
          <w:b/>
          <w:bCs/>
          <w:color w:val="00B050"/>
          <w:u w:val="single"/>
        </w:rPr>
        <w:t>IBOTENIC ACID</w:t>
      </w:r>
      <w:r w:rsidR="00070605">
        <w:rPr>
          <w:b/>
          <w:bCs/>
          <w:color w:val="00B050"/>
          <w:u w:val="single"/>
        </w:rPr>
        <w:br/>
      </w:r>
      <w:r w:rsidR="00070605" w:rsidRPr="00070605">
        <w:rPr>
          <w:color w:val="00B050"/>
          <w:u w:val="single"/>
        </w:rPr>
        <w:t>cross reference: MUSCIMOL</w:t>
      </w:r>
    </w:p>
    <w:p w14:paraId="6022EA77" w14:textId="58CBC256" w:rsidR="00070605" w:rsidRPr="00070605" w:rsidRDefault="00070605" w:rsidP="00070605">
      <w:pPr>
        <w:spacing w:before="120" w:after="0"/>
        <w:ind w:left="709"/>
        <w:rPr>
          <w:color w:val="00B050"/>
          <w:u w:val="single"/>
        </w:rPr>
      </w:pPr>
      <w:r w:rsidRPr="00070605">
        <w:rPr>
          <w:color w:val="00B050"/>
          <w:u w:val="single"/>
        </w:rPr>
        <w:t>Schedule 9</w:t>
      </w:r>
    </w:p>
    <w:p w14:paraId="025FD6FB" w14:textId="77777777" w:rsidR="00457050" w:rsidRPr="00BB34CD" w:rsidRDefault="00457050" w:rsidP="005B58FD">
      <w:pPr>
        <w:spacing w:before="360"/>
        <w:rPr>
          <w:b/>
          <w:bCs/>
          <w:i/>
          <w:iCs/>
        </w:rPr>
      </w:pPr>
      <w:r w:rsidRPr="00BB34CD">
        <w:rPr>
          <w:b/>
          <w:bCs/>
          <w:i/>
          <w:iCs/>
        </w:rPr>
        <w:t xml:space="preserve">Materials </w:t>
      </w:r>
      <w:proofErr w:type="gramStart"/>
      <w:r w:rsidRPr="00BB34CD">
        <w:rPr>
          <w:b/>
          <w:bCs/>
          <w:i/>
          <w:iCs/>
        </w:rPr>
        <w:t>considered</w:t>
      </w:r>
      <w:proofErr w:type="gramEnd"/>
      <w:r w:rsidRPr="00BB34CD">
        <w:rPr>
          <w:b/>
          <w:bCs/>
          <w:i/>
          <w:iCs/>
        </w:rPr>
        <w:t xml:space="preserve"> </w:t>
      </w:r>
    </w:p>
    <w:p w14:paraId="31C6FA6E" w14:textId="77777777" w:rsidR="00457050" w:rsidRDefault="00457050" w:rsidP="00967490">
      <w:r>
        <w:t>In making this final decision, the Delegate considered the following material:</w:t>
      </w:r>
    </w:p>
    <w:p w14:paraId="39821DFD" w14:textId="30AE5366" w:rsidR="00457050" w:rsidRDefault="00435FDF" w:rsidP="009F7996">
      <w:pPr>
        <w:pStyle w:val="ListBullet"/>
      </w:pPr>
      <w:r>
        <w:t xml:space="preserve">the </w:t>
      </w:r>
      <w:hyperlink r:id="rId29" w:history="1">
        <w:r w:rsidR="00457050" w:rsidRPr="006039CE">
          <w:rPr>
            <w:rStyle w:val="Hyperlink"/>
          </w:rPr>
          <w:t>application</w:t>
        </w:r>
      </w:hyperlink>
      <w:r w:rsidR="00457050">
        <w:t xml:space="preserve"> to amend the current Poisons Standard with respect to </w:t>
      </w:r>
      <w:proofErr w:type="spellStart"/>
      <w:r w:rsidR="006039CE">
        <w:t>ibotenic</w:t>
      </w:r>
      <w:proofErr w:type="spellEnd"/>
      <w:r w:rsidR="006039CE">
        <w:t xml:space="preserve"> acid</w:t>
      </w:r>
      <w:r w:rsidR="00457050">
        <w:t xml:space="preserve"> (</w:t>
      </w:r>
      <w:r>
        <w:t xml:space="preserve">the </w:t>
      </w:r>
      <w:r w:rsidR="00457050" w:rsidRPr="004E2EBC">
        <w:rPr>
          <w:b/>
          <w:bCs/>
        </w:rPr>
        <w:t>Application</w:t>
      </w:r>
      <w:r w:rsidR="00457050">
        <w:t>)</w:t>
      </w:r>
    </w:p>
    <w:p w14:paraId="4FC53D17" w14:textId="1D68430F" w:rsidR="00457050" w:rsidRDefault="006479A0" w:rsidP="009F7996">
      <w:pPr>
        <w:pStyle w:val="ListBullet"/>
      </w:pPr>
      <w:r>
        <w:t>t</w:t>
      </w:r>
      <w:r w:rsidR="00457050">
        <w:t>he</w:t>
      </w:r>
      <w:r w:rsidR="002A4BFD">
        <w:t xml:space="preserve"> </w:t>
      </w:r>
      <w:r>
        <w:t>8</w:t>
      </w:r>
      <w:r w:rsidR="00457050">
        <w:t xml:space="preserve"> </w:t>
      </w:r>
      <w:r w:rsidR="00457050" w:rsidRPr="00ED6B23">
        <w:t>pu</w:t>
      </w:r>
      <w:r w:rsidR="00457050">
        <w:t xml:space="preserve">blic </w:t>
      </w:r>
      <w:hyperlink r:id="rId30" w:history="1">
        <w:r w:rsidR="00457050" w:rsidRPr="001E44FC">
          <w:rPr>
            <w:rStyle w:val="Hyperlink"/>
          </w:rPr>
          <w:t>submission</w:t>
        </w:r>
        <w:r w:rsidR="002A4BFD" w:rsidRPr="001E44FC">
          <w:rPr>
            <w:rStyle w:val="Hyperlink"/>
          </w:rPr>
          <w:t>s</w:t>
        </w:r>
        <w:r w:rsidR="00457050" w:rsidRPr="001E44FC">
          <w:rPr>
            <w:rStyle w:val="Hyperlink"/>
          </w:rPr>
          <w:t xml:space="preserve"> received</w:t>
        </w:r>
      </w:hyperlink>
      <w:r w:rsidR="00457050">
        <w:t xml:space="preserve"> in response to the </w:t>
      </w:r>
      <w:hyperlink r:id="rId31" w:history="1">
        <w:r w:rsidR="00457050" w:rsidRPr="00CE0AC0">
          <w:rPr>
            <w:rStyle w:val="Hyperlink"/>
          </w:rPr>
          <w:t>pre-meeting consultation</w:t>
        </w:r>
      </w:hyperlink>
      <w:r w:rsidR="00457050">
        <w:t xml:space="preserve"> under regulation 42ZCZK of the Regulations</w:t>
      </w:r>
    </w:p>
    <w:p w14:paraId="5CC56E73" w14:textId="0AC8E8F5" w:rsidR="00457050" w:rsidRDefault="006479A0" w:rsidP="009F7996">
      <w:pPr>
        <w:pStyle w:val="ListBullet"/>
      </w:pPr>
      <w:r>
        <w:t>t</w:t>
      </w:r>
      <w:r w:rsidR="00457050">
        <w:t xml:space="preserve">he advice received from the </w:t>
      </w:r>
      <w:r w:rsidR="00CE0AC0" w:rsidRPr="001B1847">
        <w:t>34</w:t>
      </w:r>
      <w:r w:rsidR="00CE0AC0" w:rsidRPr="001B1847">
        <w:rPr>
          <w:vertAlign w:val="superscript"/>
        </w:rPr>
        <w:t>th</w:t>
      </w:r>
      <w:r w:rsidR="00457050" w:rsidRPr="001B1847">
        <w:t xml:space="preserve"> meeting of the Advisory Committees on Medicines and Chemicals Scheduling in joint session (the </w:t>
      </w:r>
      <w:r w:rsidR="00457050" w:rsidRPr="001B1847">
        <w:rPr>
          <w:b/>
          <w:bCs/>
        </w:rPr>
        <w:t>Committee</w:t>
      </w:r>
      <w:r w:rsidR="00457050" w:rsidRPr="001B1847">
        <w:t>)</w:t>
      </w:r>
    </w:p>
    <w:p w14:paraId="49F47BF5" w14:textId="77777777" w:rsidR="00F8313A" w:rsidRDefault="00F8313A" w:rsidP="00F8313A">
      <w:pPr>
        <w:pStyle w:val="ListBullet"/>
      </w:pPr>
      <w:r>
        <w:t xml:space="preserve">the </w:t>
      </w:r>
      <w:hyperlink r:id="rId32" w:history="1">
        <w:r w:rsidRPr="00E17389">
          <w:rPr>
            <w:rStyle w:val="Hyperlink"/>
          </w:rPr>
          <w:t>interim decision</w:t>
        </w:r>
      </w:hyperlink>
      <w:r>
        <w:t xml:space="preserve"> relating to </w:t>
      </w:r>
      <w:proofErr w:type="spellStart"/>
      <w:r>
        <w:t>ibotenic</w:t>
      </w:r>
      <w:proofErr w:type="spellEnd"/>
      <w:r>
        <w:t xml:space="preserve"> acid and the materials considered as part of the interim decision, as published on 5 October 2023</w:t>
      </w:r>
    </w:p>
    <w:p w14:paraId="1D2B1C7A" w14:textId="61BAE33C" w:rsidR="00457050" w:rsidRDefault="006479A0" w:rsidP="009F7996">
      <w:pPr>
        <w:pStyle w:val="ListBullet"/>
      </w:pPr>
      <w:r>
        <w:lastRenderedPageBreak/>
        <w:t>t</w:t>
      </w:r>
      <w:r w:rsidR="00457050">
        <w:t xml:space="preserve">he </w:t>
      </w:r>
      <w:r w:rsidR="00EC2146">
        <w:t>3</w:t>
      </w:r>
      <w:r w:rsidR="00457050">
        <w:t xml:space="preserve"> </w:t>
      </w:r>
      <w:hyperlink r:id="rId33" w:history="1">
        <w:r w:rsidR="00457050" w:rsidRPr="00EC2146">
          <w:rPr>
            <w:rStyle w:val="Hyperlink"/>
          </w:rPr>
          <w:t>public submissions</w:t>
        </w:r>
      </w:hyperlink>
      <w:r w:rsidR="00457050">
        <w:t xml:space="preserve"> received in response to the </w:t>
      </w:r>
      <w:hyperlink r:id="rId34" w:history="1">
        <w:r w:rsidR="00457050" w:rsidRPr="00EC2146">
          <w:rPr>
            <w:rStyle w:val="Hyperlink"/>
          </w:rPr>
          <w:t>interim decision consultation</w:t>
        </w:r>
      </w:hyperlink>
      <w:r w:rsidR="00457050">
        <w:t xml:space="preserve"> </w:t>
      </w:r>
      <w:r w:rsidR="00457050" w:rsidRPr="002C1418">
        <w:t>under regulation 42ZCZP of the Regulations</w:t>
      </w:r>
      <w:r w:rsidR="00C917A8">
        <w:t xml:space="preserve"> </w:t>
      </w:r>
      <w:r w:rsidR="00AC609D">
        <w:t xml:space="preserve">(the </w:t>
      </w:r>
      <w:r w:rsidR="00AC609D" w:rsidRPr="00AC609D">
        <w:rPr>
          <w:b/>
          <w:bCs/>
        </w:rPr>
        <w:t>Submissions</w:t>
      </w:r>
      <w:r w:rsidR="00AC609D">
        <w:t>)</w:t>
      </w:r>
    </w:p>
    <w:p w14:paraId="19F040F9" w14:textId="0C0872A7" w:rsidR="00457050" w:rsidRDefault="006479A0" w:rsidP="009F7996">
      <w:pPr>
        <w:pStyle w:val="ListBullet"/>
      </w:pPr>
      <w:r>
        <w:t>s</w:t>
      </w:r>
      <w:r w:rsidR="00457050" w:rsidRPr="001169AC">
        <w:t>ubsection 52</w:t>
      </w:r>
      <w:proofErr w:type="gramStart"/>
      <w:r w:rsidR="00457050" w:rsidRPr="001169AC">
        <w:t>E(</w:t>
      </w:r>
      <w:proofErr w:type="gramEnd"/>
      <w:r w:rsidR="00457050" w:rsidRPr="001169AC">
        <w:t xml:space="preserve">1) of </w:t>
      </w:r>
      <w:r w:rsidR="00457050" w:rsidRPr="001169AC">
        <w:rPr>
          <w:i/>
        </w:rPr>
        <w:t>the Therapeutic Goods Act 1989</w:t>
      </w:r>
      <w:r w:rsidR="00457050" w:rsidRPr="001169AC">
        <w:t>, in particular (a) the risks and benefits of the use of a substance; (b) the purposes for which a substance is to be used and the extent of use of a substance; (c) the toxicity of a substance; (e) the potential for abuse of a substance; and (f) any other matters considered necessary to protect public health</w:t>
      </w:r>
      <w:r w:rsidR="00784741">
        <w:t>.</w:t>
      </w:r>
    </w:p>
    <w:p w14:paraId="30F96354" w14:textId="7A02506F" w:rsidR="00457050" w:rsidRPr="006E2FCF" w:rsidRDefault="006479A0" w:rsidP="009F7996">
      <w:pPr>
        <w:pStyle w:val="ListBullet"/>
      </w:pPr>
      <w:r>
        <w:t>p</w:t>
      </w:r>
      <w:r w:rsidR="00BB34CD">
        <w:t xml:space="preserve">ursuant to </w:t>
      </w:r>
      <w:r w:rsidR="00BB34CD" w:rsidRPr="006E2FCF">
        <w:t xml:space="preserve">paragraph 52E(2)(a) of the Act, the </w:t>
      </w:r>
      <w:r w:rsidR="00457050" w:rsidRPr="006E2FCF">
        <w:t>SPF</w:t>
      </w:r>
      <w:r w:rsidR="00784741">
        <w:t>,</w:t>
      </w:r>
      <w:r w:rsidR="00457050" w:rsidRPr="006E2FCF">
        <w:t xml:space="preserve"> and</w:t>
      </w:r>
    </w:p>
    <w:p w14:paraId="6A64634E" w14:textId="5CC9ADA9" w:rsidR="00457050" w:rsidRPr="006E2FCF" w:rsidRDefault="006479A0" w:rsidP="009F7996">
      <w:pPr>
        <w:pStyle w:val="ListBullet"/>
      </w:pPr>
      <w:r>
        <w:t>t</w:t>
      </w:r>
      <w:r w:rsidR="00457050" w:rsidRPr="006E2FCF">
        <w:t>he</w:t>
      </w:r>
      <w:r w:rsidR="00BB34CD" w:rsidRPr="006E2FCF">
        <w:t xml:space="preserve"> Handbook</w:t>
      </w:r>
      <w:r w:rsidR="006E2FCF" w:rsidRPr="006E2FCF">
        <w:t>.</w:t>
      </w:r>
    </w:p>
    <w:p w14:paraId="20028C3B" w14:textId="77777777" w:rsidR="00457050" w:rsidRPr="00BB34CD" w:rsidRDefault="00457050" w:rsidP="00BB34CD">
      <w:pPr>
        <w:rPr>
          <w:b/>
          <w:bCs/>
          <w:i/>
          <w:iCs/>
        </w:rPr>
      </w:pPr>
      <w:r w:rsidRPr="00BB34CD">
        <w:rPr>
          <w:b/>
          <w:bCs/>
          <w:i/>
          <w:iCs/>
        </w:rPr>
        <w:t>Reasons for the final decision (including findings on material questions of fact)</w:t>
      </w:r>
    </w:p>
    <w:p w14:paraId="454EA1FB" w14:textId="5D36087C" w:rsidR="009A5EF4" w:rsidRDefault="00457050" w:rsidP="00070605">
      <w:r w:rsidRPr="00EC2146">
        <w:t xml:space="preserve">I have made a final decision to confirm my interim decision to amend the current Poisons Standard with respect to </w:t>
      </w:r>
      <w:proofErr w:type="spellStart"/>
      <w:r w:rsidR="00EC2146" w:rsidRPr="00EC2146">
        <w:t>ibotenic</w:t>
      </w:r>
      <w:proofErr w:type="spellEnd"/>
      <w:r w:rsidR="00EC2146" w:rsidRPr="00EC2146">
        <w:t xml:space="preserve"> acid</w:t>
      </w:r>
      <w:r w:rsidRPr="00EC2146">
        <w:t>. My reasons for making the final decision are those set out in the interim decision</w:t>
      </w:r>
      <w:r w:rsidR="006114E9">
        <w:t xml:space="preserve">, and </w:t>
      </w:r>
      <w:r w:rsidR="00FF53F0">
        <w:t>where appli</w:t>
      </w:r>
      <w:r w:rsidR="0021214E">
        <w:t>c</w:t>
      </w:r>
      <w:r w:rsidR="00FF53F0">
        <w:t xml:space="preserve">able </w:t>
      </w:r>
      <w:r w:rsidR="0021214E">
        <w:t xml:space="preserve">are </w:t>
      </w:r>
      <w:r w:rsidR="00FF53F0">
        <w:t>also noted below</w:t>
      </w:r>
      <w:r w:rsidRPr="00EC2146">
        <w:t>.</w:t>
      </w:r>
    </w:p>
    <w:p w14:paraId="1CCA6D6E" w14:textId="13EAF5BE" w:rsidR="00457050" w:rsidRDefault="00457050" w:rsidP="00070605">
      <w:r w:rsidRPr="00EC2146">
        <w:t xml:space="preserve">In making my final decision, I have </w:t>
      </w:r>
      <w:r w:rsidR="00784741" w:rsidRPr="00EC2146">
        <w:t>considered</w:t>
      </w:r>
      <w:r w:rsidRPr="00EC2146">
        <w:t xml:space="preserve"> the material in the interim decision and the </w:t>
      </w:r>
      <w:r w:rsidR="00784741" w:rsidRPr="00EC2146">
        <w:t>3</w:t>
      </w:r>
      <w:r w:rsidR="00784741">
        <w:t> </w:t>
      </w:r>
      <w:r w:rsidRPr="00EC2146">
        <w:t xml:space="preserve">public submissions received in response to the </w:t>
      </w:r>
      <w:r w:rsidR="00784741">
        <w:t>interim decision consultation</w:t>
      </w:r>
      <w:r w:rsidRPr="00EC2146">
        <w:t>.</w:t>
      </w:r>
    </w:p>
    <w:p w14:paraId="3C68EDE2" w14:textId="3860F5B7" w:rsidR="001423CF" w:rsidRDefault="005B58FD" w:rsidP="00070605">
      <w:r>
        <w:t>I have considered the requests in one of the public submissions for a</w:t>
      </w:r>
      <w:r w:rsidR="00BC7020">
        <w:t xml:space="preserve"> new </w:t>
      </w:r>
      <w:r>
        <w:t xml:space="preserve">Schedule 8 entry for </w:t>
      </w:r>
      <w:proofErr w:type="spellStart"/>
      <w:r>
        <w:t>ibotenic</w:t>
      </w:r>
      <w:proofErr w:type="spellEnd"/>
      <w:r>
        <w:t xml:space="preserve"> acid</w:t>
      </w:r>
      <w:r w:rsidR="009A5EF4">
        <w:t>.</w:t>
      </w:r>
      <w:r w:rsidR="00103E4A">
        <w:t xml:space="preserve"> </w:t>
      </w:r>
      <w:r w:rsidR="009A5EF4">
        <w:t>Th</w:t>
      </w:r>
      <w:r w:rsidR="005E556C">
        <w:t>e</w:t>
      </w:r>
      <w:r w:rsidR="00FF53F0">
        <w:t xml:space="preserve"> submitter</w:t>
      </w:r>
      <w:r w:rsidR="009A5EF4">
        <w:t xml:space="preserve"> </w:t>
      </w:r>
      <w:r w:rsidR="00103E4A">
        <w:t xml:space="preserve">proposed </w:t>
      </w:r>
      <w:r w:rsidR="00B03F2C">
        <w:t xml:space="preserve">that the </w:t>
      </w:r>
      <w:r w:rsidR="00103E4A">
        <w:t>Schedule 8 entry is intended</w:t>
      </w:r>
      <w:r>
        <w:t xml:space="preserve"> to facilitate access for research purposes and to accommodate any future applications for registration of medical devices containing the substance</w:t>
      </w:r>
      <w:r w:rsidR="00BC7020">
        <w:t xml:space="preserve"> as an excipient</w:t>
      </w:r>
      <w:r>
        <w:t>.</w:t>
      </w:r>
    </w:p>
    <w:p w14:paraId="5015B497" w14:textId="52B0E787" w:rsidR="005B58FD" w:rsidRDefault="002F731F" w:rsidP="00070605">
      <w:r>
        <w:t xml:space="preserve">However, </w:t>
      </w:r>
      <w:r w:rsidR="001423CF">
        <w:t xml:space="preserve">Schedule 9 exists within the Poisons Standard to allow access to a substance for research purposes. Inclusion of a Schedule 8 entry for this purpose is therefore </w:t>
      </w:r>
      <w:r w:rsidR="000941EA">
        <w:t xml:space="preserve">not required </w:t>
      </w:r>
      <w:r w:rsidR="001423CF">
        <w:t xml:space="preserve">and inconsistent with the scheduling of other substances which have been deemed to present such risks to human health as to only permit access for research. </w:t>
      </w:r>
      <w:r w:rsidR="00784741">
        <w:t>F</w:t>
      </w:r>
      <w:r w:rsidR="001423CF">
        <w:t>urther</w:t>
      </w:r>
      <w:r w:rsidR="00450B60">
        <w:t>more</w:t>
      </w:r>
      <w:r w:rsidR="00784741">
        <w:t>,</w:t>
      </w:r>
      <w:r w:rsidR="001423CF">
        <w:t xml:space="preserve"> </w:t>
      </w:r>
      <w:r w:rsidR="001973BA">
        <w:t xml:space="preserve">as there are no </w:t>
      </w:r>
      <w:r w:rsidR="001423CF">
        <w:t>register</w:t>
      </w:r>
      <w:r w:rsidR="001973BA">
        <w:t>ed m</w:t>
      </w:r>
      <w:r w:rsidR="001423CF">
        <w:t>edical device</w:t>
      </w:r>
      <w:r w:rsidR="000428A0">
        <w:t>s</w:t>
      </w:r>
      <w:r w:rsidR="001423CF">
        <w:t xml:space="preserve"> containing </w:t>
      </w:r>
      <w:proofErr w:type="spellStart"/>
      <w:r w:rsidR="001423CF">
        <w:t>ibotenic</w:t>
      </w:r>
      <w:proofErr w:type="spellEnd"/>
      <w:r w:rsidR="001423CF">
        <w:t xml:space="preserve"> acid as an excipient</w:t>
      </w:r>
      <w:r w:rsidR="00E1676B">
        <w:t>,</w:t>
      </w:r>
      <w:r w:rsidR="001423CF">
        <w:t xml:space="preserve"> there is currently no reason to create a scheduling entry specifically in anticipation of such an application being </w:t>
      </w:r>
      <w:r w:rsidR="009F7996">
        <w:t>approved</w:t>
      </w:r>
      <w:r w:rsidR="001423CF">
        <w:t xml:space="preserve">. </w:t>
      </w:r>
      <w:r w:rsidR="000F1E92">
        <w:t>Should</w:t>
      </w:r>
      <w:r w:rsidR="00922B13">
        <w:t xml:space="preserve"> an application for</w:t>
      </w:r>
      <w:r w:rsidR="007A67E7">
        <w:t xml:space="preserve"> the</w:t>
      </w:r>
      <w:r w:rsidR="00922B13">
        <w:t xml:space="preserve"> registration of a medical device</w:t>
      </w:r>
      <w:r w:rsidR="007A67E7">
        <w:t xml:space="preserve"> or a medicine</w:t>
      </w:r>
      <w:r w:rsidR="00922B13">
        <w:t xml:space="preserve"> containing the substance be received by the TGA</w:t>
      </w:r>
      <w:r w:rsidR="004908D7">
        <w:t xml:space="preserve">, there would </w:t>
      </w:r>
      <w:r w:rsidR="005416EA">
        <w:t>further</w:t>
      </w:r>
      <w:r w:rsidR="00837F99">
        <w:t xml:space="preserve"> opportunity to review </w:t>
      </w:r>
      <w:r w:rsidR="008F27CC">
        <w:t xml:space="preserve">the </w:t>
      </w:r>
      <w:r w:rsidR="001423CF">
        <w:t xml:space="preserve">scheduling of </w:t>
      </w:r>
      <w:proofErr w:type="spellStart"/>
      <w:r w:rsidR="001423CF">
        <w:t>ibotenic</w:t>
      </w:r>
      <w:proofErr w:type="spellEnd"/>
      <w:r w:rsidR="001423CF">
        <w:t xml:space="preserve"> acid</w:t>
      </w:r>
      <w:r w:rsidR="000428A0">
        <w:t>.</w:t>
      </w:r>
    </w:p>
    <w:p w14:paraId="1C9BA7E5" w14:textId="55F97CB0" w:rsidR="00494C57" w:rsidRDefault="005B7B57" w:rsidP="00070605">
      <w:r>
        <w:t>Furthe</w:t>
      </w:r>
      <w:r w:rsidR="00450B60">
        <w:t>r</w:t>
      </w:r>
      <w:r>
        <w:t xml:space="preserve">, </w:t>
      </w:r>
      <w:r w:rsidR="00494C57">
        <w:t xml:space="preserve">I find that the comparison to the Schedule 8 entry for cannabis is not valid. At the time that the Schedule 8 entry </w:t>
      </w:r>
      <w:r w:rsidR="007B2C62">
        <w:t xml:space="preserve">for cannabis </w:t>
      </w:r>
      <w:r w:rsidR="00494C57">
        <w:t>was introduced</w:t>
      </w:r>
      <w:r w:rsidR="007B2C62">
        <w:t xml:space="preserve"> into the Poisons Standard</w:t>
      </w:r>
      <w:r w:rsidR="00494C57">
        <w:t>, there was emerging evidence of the therapeutic value of cannabis for certain medical conditions</w:t>
      </w:r>
      <w:r w:rsidR="00835FF4">
        <w:t xml:space="preserve">. Combined with a relatively limited acute toxicity profile, it was appropriate to include cannabis in Schedule 8 under strict conditions. </w:t>
      </w:r>
      <w:r w:rsidR="00103E4A">
        <w:t>By</w:t>
      </w:r>
      <w:r w:rsidR="005E556C">
        <w:t xml:space="preserve"> contrast,</w:t>
      </w:r>
      <w:r w:rsidR="008479A3">
        <w:t xml:space="preserve"> given its neurotox</w:t>
      </w:r>
      <w:r w:rsidR="0075593B">
        <w:t>i</w:t>
      </w:r>
      <w:r w:rsidR="008479A3">
        <w:t>city and</w:t>
      </w:r>
      <w:r w:rsidR="005E556C">
        <w:t xml:space="preserve"> t</w:t>
      </w:r>
      <w:r w:rsidR="00070605">
        <w:t xml:space="preserve">he </w:t>
      </w:r>
      <w:r w:rsidR="00835FF4">
        <w:t xml:space="preserve">lack of </w:t>
      </w:r>
      <w:r w:rsidR="009F7996">
        <w:t xml:space="preserve">clinical </w:t>
      </w:r>
      <w:r w:rsidR="00835FF4">
        <w:t xml:space="preserve">evidence </w:t>
      </w:r>
      <w:r w:rsidR="009F7996">
        <w:t>demonstrating the</w:t>
      </w:r>
      <w:r w:rsidR="00835FF4">
        <w:t xml:space="preserve"> therapeutic value </w:t>
      </w:r>
      <w:r w:rsidR="00070605">
        <w:t>of</w:t>
      </w:r>
      <w:r w:rsidR="00835FF4">
        <w:t xml:space="preserve"> </w:t>
      </w:r>
      <w:proofErr w:type="spellStart"/>
      <w:r w:rsidR="00835FF4">
        <w:t>ibotenic</w:t>
      </w:r>
      <w:proofErr w:type="spellEnd"/>
      <w:r w:rsidR="00835FF4">
        <w:t xml:space="preserve"> acid</w:t>
      </w:r>
      <w:r w:rsidR="0075593B">
        <w:t xml:space="preserve"> at this time</w:t>
      </w:r>
      <w:r w:rsidR="005E556C">
        <w:t>,</w:t>
      </w:r>
      <w:r w:rsidR="00835FF4">
        <w:t xml:space="preserve"> </w:t>
      </w:r>
      <w:r w:rsidR="00AB7A99">
        <w:t>the</w:t>
      </w:r>
      <w:r w:rsidR="00835FF4">
        <w:t xml:space="preserve"> inclusion</w:t>
      </w:r>
      <w:r w:rsidR="00AB7A99">
        <w:t xml:space="preserve"> of </w:t>
      </w:r>
      <w:proofErr w:type="spellStart"/>
      <w:r w:rsidR="00AB7A99">
        <w:t>ibotenic</w:t>
      </w:r>
      <w:proofErr w:type="spellEnd"/>
      <w:r w:rsidR="00AB7A99">
        <w:t xml:space="preserve"> acid</w:t>
      </w:r>
      <w:r w:rsidR="00835FF4">
        <w:t xml:space="preserve"> in Schedule 8 </w:t>
      </w:r>
      <w:r w:rsidR="00777B5C">
        <w:t xml:space="preserve">is </w:t>
      </w:r>
      <w:r w:rsidR="003B5250">
        <w:t xml:space="preserve">not supported </w:t>
      </w:r>
      <w:r w:rsidR="00835FF4">
        <w:t xml:space="preserve">as the risks outweigh the benefits of such a </w:t>
      </w:r>
      <w:r w:rsidR="004F0C53">
        <w:t xml:space="preserve">scheduling </w:t>
      </w:r>
      <w:r w:rsidR="00835FF4">
        <w:t>classification.</w:t>
      </w:r>
    </w:p>
    <w:p w14:paraId="6AAB0F2B" w14:textId="15CA7664" w:rsidR="003C009D" w:rsidRDefault="00E26AAC" w:rsidP="00070605">
      <w:proofErr w:type="spellStart"/>
      <w:r>
        <w:t>M</w:t>
      </w:r>
      <w:r w:rsidR="00757E04" w:rsidRPr="00757E04">
        <w:t>uscimol</w:t>
      </w:r>
      <w:proofErr w:type="spellEnd"/>
      <w:r w:rsidR="00757E04" w:rsidRPr="00757E04">
        <w:t xml:space="preserve"> </w:t>
      </w:r>
      <w:r>
        <w:t>is the</w:t>
      </w:r>
      <w:r w:rsidR="00683860">
        <w:t xml:space="preserve"> </w:t>
      </w:r>
      <w:r w:rsidR="00757E04">
        <w:t>active metabolite</w:t>
      </w:r>
      <w:r w:rsidR="00683860">
        <w:t xml:space="preserve"> of </w:t>
      </w:r>
      <w:proofErr w:type="spellStart"/>
      <w:r w:rsidR="00683860">
        <w:t>ibotenic</w:t>
      </w:r>
      <w:proofErr w:type="spellEnd"/>
      <w:r w:rsidR="00683860">
        <w:t xml:space="preserve"> acid</w:t>
      </w:r>
      <w:r w:rsidR="00757E04">
        <w:t xml:space="preserve"> and</w:t>
      </w:r>
      <w:r w:rsidR="00683860">
        <w:t xml:space="preserve"> is</w:t>
      </w:r>
      <w:r w:rsidR="00757E04">
        <w:t xml:space="preserve"> also </w:t>
      </w:r>
      <w:r w:rsidR="00757E04" w:rsidRPr="00757E04">
        <w:t>a psychedelic neurotoxin.</w:t>
      </w:r>
      <w:r w:rsidR="00757E04">
        <w:t xml:space="preserve"> </w:t>
      </w:r>
      <w:r w:rsidR="003C009D">
        <w:t xml:space="preserve">I have noted the claim of Generally Recognised </w:t>
      </w:r>
      <w:proofErr w:type="gramStart"/>
      <w:r w:rsidR="003C009D">
        <w:t>As</w:t>
      </w:r>
      <w:proofErr w:type="gramEnd"/>
      <w:r w:rsidR="003C009D">
        <w:t xml:space="preserve"> Safe (GRAS) status </w:t>
      </w:r>
      <w:r w:rsidR="000B4086">
        <w:t xml:space="preserve">in the </w:t>
      </w:r>
      <w:r w:rsidR="00E964BF">
        <w:t>USA</w:t>
      </w:r>
      <w:r w:rsidR="000B4086">
        <w:t xml:space="preserve"> </w:t>
      </w:r>
      <w:r w:rsidR="00435FDF">
        <w:t>is</w:t>
      </w:r>
      <w:r w:rsidR="00177092">
        <w:t xml:space="preserve"> related to</w:t>
      </w:r>
      <w:r w:rsidR="00811F5F">
        <w:t xml:space="preserve"> </w:t>
      </w:r>
      <w:r w:rsidR="00056202">
        <w:t xml:space="preserve">a proprietary </w:t>
      </w:r>
      <w:r w:rsidR="00B74CCD">
        <w:t>mushroom</w:t>
      </w:r>
      <w:r w:rsidR="00BB4005">
        <w:t xml:space="preserve"> (</w:t>
      </w:r>
      <w:r w:rsidR="00DB0F0A" w:rsidRPr="00435FDF">
        <w:rPr>
          <w:i/>
          <w:iCs/>
        </w:rPr>
        <w:t>A</w:t>
      </w:r>
      <w:r w:rsidR="00BB4005" w:rsidRPr="00435FDF">
        <w:rPr>
          <w:i/>
          <w:iCs/>
        </w:rPr>
        <w:t>m</w:t>
      </w:r>
      <w:r w:rsidR="00DB0F0A" w:rsidRPr="00435FDF">
        <w:rPr>
          <w:i/>
          <w:iCs/>
        </w:rPr>
        <w:t>anita muscaria</w:t>
      </w:r>
      <w:r w:rsidR="00DB0F0A">
        <w:t>)</w:t>
      </w:r>
      <w:r w:rsidR="00B74CCD">
        <w:t xml:space="preserve"> </w:t>
      </w:r>
      <w:r w:rsidR="00056202">
        <w:t>extract</w:t>
      </w:r>
      <w:r w:rsidR="00E964BF">
        <w:t>.</w:t>
      </w:r>
      <w:r w:rsidR="003C009D">
        <w:t xml:space="preserve"> Th</w:t>
      </w:r>
      <w:r w:rsidR="00070605">
        <w:t>is</w:t>
      </w:r>
      <w:r w:rsidR="003C009D">
        <w:t xml:space="preserve"> GRAS status does not pertain specifically to </w:t>
      </w:r>
      <w:proofErr w:type="spellStart"/>
      <w:r w:rsidR="003C009D">
        <w:t>muscimol</w:t>
      </w:r>
      <w:proofErr w:type="spellEnd"/>
      <w:r w:rsidR="003C009D">
        <w:t xml:space="preserve"> and was not </w:t>
      </w:r>
      <w:r w:rsidR="00F65AF1">
        <w:t xml:space="preserve">assessed </w:t>
      </w:r>
      <w:r w:rsidR="003C009D">
        <w:t>by a gover</w:t>
      </w:r>
      <w:r w:rsidR="00272154">
        <w:t>nment</w:t>
      </w:r>
      <w:r w:rsidR="003C009D">
        <w:t xml:space="preserve"> regulatory body</w:t>
      </w:r>
      <w:r w:rsidR="00E47AD6">
        <w:t>. F</w:t>
      </w:r>
      <w:r w:rsidR="003C009D">
        <w:t>or these reasons</w:t>
      </w:r>
      <w:r w:rsidR="00E47AD6">
        <w:t>,</w:t>
      </w:r>
      <w:r w:rsidR="003C009D">
        <w:t xml:space="preserve"> I consider </w:t>
      </w:r>
      <w:r w:rsidR="00435FDF">
        <w:t xml:space="preserve">that </w:t>
      </w:r>
      <w:r w:rsidR="000B4086">
        <w:t xml:space="preserve">this information </w:t>
      </w:r>
      <w:r w:rsidR="00F00856">
        <w:t xml:space="preserve">is not relevant </w:t>
      </w:r>
      <w:r w:rsidR="00FC04B5">
        <w:t>to</w:t>
      </w:r>
      <w:r w:rsidR="00FE7AF8">
        <w:t xml:space="preserve"> the</w:t>
      </w:r>
      <w:r w:rsidR="007D0AD7">
        <w:t xml:space="preserve"> </w:t>
      </w:r>
      <w:r w:rsidR="00FC04B5">
        <w:t>consideration of</w:t>
      </w:r>
      <w:r w:rsidR="000B4086">
        <w:t xml:space="preserve"> </w:t>
      </w:r>
      <w:proofErr w:type="spellStart"/>
      <w:r w:rsidR="000B4086">
        <w:t>ibotenic</w:t>
      </w:r>
      <w:proofErr w:type="spellEnd"/>
      <w:r w:rsidR="000B4086">
        <w:t xml:space="preserve"> acid</w:t>
      </w:r>
      <w:r w:rsidR="00FC04B5">
        <w:t xml:space="preserve"> </w:t>
      </w:r>
      <w:r w:rsidR="007D0AD7">
        <w:t>safety under the Poisons Standard.</w:t>
      </w:r>
    </w:p>
    <w:p w14:paraId="7569FFAF" w14:textId="605A93C8" w:rsidR="0029231D" w:rsidRPr="00EC2146" w:rsidRDefault="00BC7020" w:rsidP="00070605">
      <w:r>
        <w:t xml:space="preserve">I have also considered the cross-referencing of </w:t>
      </w:r>
      <w:proofErr w:type="spellStart"/>
      <w:r>
        <w:t>ibotenic</w:t>
      </w:r>
      <w:proofErr w:type="spellEnd"/>
      <w:r>
        <w:t xml:space="preserve"> acid </w:t>
      </w:r>
      <w:r w:rsidR="005268B0">
        <w:t xml:space="preserve">in the Poisons Standard </w:t>
      </w:r>
      <w:r>
        <w:t xml:space="preserve">with </w:t>
      </w:r>
      <w:proofErr w:type="spellStart"/>
      <w:r>
        <w:t>muscimol</w:t>
      </w:r>
      <w:proofErr w:type="spellEnd"/>
      <w:r w:rsidR="00757E04">
        <w:t xml:space="preserve">. </w:t>
      </w:r>
      <w:proofErr w:type="spellStart"/>
      <w:r w:rsidR="00327EE3">
        <w:t>Muscimol</w:t>
      </w:r>
      <w:proofErr w:type="spellEnd"/>
      <w:r w:rsidR="00327EE3">
        <w:t xml:space="preserve"> is a Schedule 9 substance due to its </w:t>
      </w:r>
      <w:r w:rsidR="00494C57">
        <w:t xml:space="preserve">toxicity, </w:t>
      </w:r>
      <w:r w:rsidR="00327EE3">
        <w:t>potential for abuse and</w:t>
      </w:r>
      <w:r w:rsidR="007957F7">
        <w:t xml:space="preserve"> its</w:t>
      </w:r>
      <w:r w:rsidR="00327EE3">
        <w:t xml:space="preserve"> lack of therapeutic value</w:t>
      </w:r>
      <w:r w:rsidR="007957F7">
        <w:t>. T</w:t>
      </w:r>
      <w:r w:rsidR="00327EE3">
        <w:t>herefore</w:t>
      </w:r>
      <w:r w:rsidR="007957F7">
        <w:t xml:space="preserve">, </w:t>
      </w:r>
      <w:proofErr w:type="spellStart"/>
      <w:r w:rsidR="005F7C5D">
        <w:t>muscimol</w:t>
      </w:r>
      <w:proofErr w:type="spellEnd"/>
      <w:r w:rsidR="007957F7">
        <w:t xml:space="preserve"> is</w:t>
      </w:r>
      <w:r w:rsidR="00327EE3">
        <w:t xml:space="preserve"> not permitted for use outside of a research setting. I consider these characteristics to be shared by </w:t>
      </w:r>
      <w:proofErr w:type="spellStart"/>
      <w:r w:rsidR="00327EE3">
        <w:t>ibotenic</w:t>
      </w:r>
      <w:proofErr w:type="spellEnd"/>
      <w:r w:rsidR="00327EE3">
        <w:t xml:space="preserve"> acid, and therefore it is appropriate to cross reference the two similar substances in the Poisons Standard.</w:t>
      </w:r>
    </w:p>
    <w:p w14:paraId="5CBC093C" w14:textId="076A77DE" w:rsidR="00457050" w:rsidRPr="00BB34CD" w:rsidRDefault="00457050" w:rsidP="00BB34CD">
      <w:pPr>
        <w:rPr>
          <w:b/>
          <w:bCs/>
          <w:i/>
          <w:iCs/>
        </w:rPr>
      </w:pPr>
      <w:r w:rsidRPr="00BB34CD">
        <w:rPr>
          <w:b/>
          <w:bCs/>
          <w:i/>
          <w:iCs/>
        </w:rPr>
        <w:lastRenderedPageBreak/>
        <w:t>Implementation date</w:t>
      </w:r>
    </w:p>
    <w:p w14:paraId="6D25C85D" w14:textId="4BD9FCBA" w:rsidR="00542687" w:rsidRPr="00542687" w:rsidRDefault="002313A5" w:rsidP="00435FDF">
      <w:pPr>
        <w:spacing w:after="0"/>
        <w:rPr>
          <w:rFonts w:ascii="Arial" w:eastAsia="Times New Roman" w:hAnsi="Arial"/>
          <w:b/>
          <w:bCs/>
          <w:sz w:val="38"/>
          <w:szCs w:val="38"/>
        </w:rPr>
      </w:pPr>
      <w:r w:rsidRPr="002313A5">
        <w:rPr>
          <w:b/>
          <w:bCs/>
        </w:rPr>
        <w:t>1 February 2024</w:t>
      </w:r>
      <w:r w:rsidR="00784741">
        <w:br w:type="page"/>
      </w:r>
    </w:p>
    <w:p w14:paraId="09B0C61B" w14:textId="42D55CC7" w:rsidR="00457050" w:rsidRDefault="00081D70" w:rsidP="00967490">
      <w:pPr>
        <w:pStyle w:val="Heading2"/>
      </w:pPr>
      <w:bookmarkStart w:id="32" w:name="_Toc153188996"/>
      <w:r>
        <w:lastRenderedPageBreak/>
        <w:t>A</w:t>
      </w:r>
      <w:r w:rsidR="00457050" w:rsidRPr="00B41852">
        <w:t xml:space="preserve">mendments to the Poisons Standard </w:t>
      </w:r>
      <w:r>
        <w:t>in relation to NCEs</w:t>
      </w:r>
      <w:bookmarkEnd w:id="32"/>
    </w:p>
    <w:p w14:paraId="2375A407" w14:textId="7854C054" w:rsidR="00070605" w:rsidRDefault="00070605" w:rsidP="00070605">
      <w:r>
        <w:t xml:space="preserve">The NCEs listed below will be included in the new Poisons Standard that will come into effect on </w:t>
      </w:r>
      <w:r w:rsidR="00784741">
        <w:t>1 </w:t>
      </w:r>
      <w:r>
        <w:t>February 2024.</w:t>
      </w:r>
      <w:r w:rsidR="001A5D46">
        <w:rPr>
          <w:rStyle w:val="FootnoteReference"/>
        </w:rPr>
        <w:footnoteReference w:id="7"/>
      </w:r>
    </w:p>
    <w:p w14:paraId="468801EE" w14:textId="4CEB9A9C" w:rsidR="00D55567" w:rsidRPr="00612683" w:rsidRDefault="00D55567" w:rsidP="00D55567">
      <w:pPr>
        <w:pStyle w:val="Heading3"/>
        <w:spacing w:before="240" w:line="220" w:lineRule="atLeast"/>
      </w:pPr>
      <w:bookmarkStart w:id="33" w:name="_Toc153188997"/>
      <w:proofErr w:type="spellStart"/>
      <w:r>
        <w:t>Nirsevimab</w:t>
      </w:r>
      <w:bookmarkEnd w:id="33"/>
      <w:proofErr w:type="spellEnd"/>
    </w:p>
    <w:tbl>
      <w:tblPr>
        <w:tblStyle w:val="TableGrid"/>
        <w:tblW w:w="0" w:type="auto"/>
        <w:tblInd w:w="988" w:type="dxa"/>
        <w:tblLook w:val="04A0" w:firstRow="1" w:lastRow="0" w:firstColumn="1" w:lastColumn="0" w:noHBand="0" w:noVBand="1"/>
      </w:tblPr>
      <w:tblGrid>
        <w:gridCol w:w="8072"/>
      </w:tblGrid>
      <w:tr w:rsidR="00D55567" w14:paraId="58D360BD" w14:textId="77777777" w:rsidTr="00567FA5">
        <w:tc>
          <w:tcPr>
            <w:tcW w:w="8072" w:type="dxa"/>
          </w:tcPr>
          <w:p w14:paraId="6ABEE68B" w14:textId="77777777" w:rsidR="00D55567" w:rsidRPr="00105867" w:rsidRDefault="00D55567" w:rsidP="00567FA5">
            <w:pPr>
              <w:spacing w:before="120" w:after="120"/>
            </w:pPr>
            <w:r w:rsidRPr="00105867">
              <w:rPr>
                <w:rStyle w:val="Strong"/>
                <w:color w:val="000000"/>
              </w:rPr>
              <w:t xml:space="preserve">Schedule </w:t>
            </w:r>
            <w:r>
              <w:rPr>
                <w:rStyle w:val="Strong"/>
                <w:color w:val="000000"/>
              </w:rPr>
              <w:t>4</w:t>
            </w:r>
            <w:r w:rsidRPr="00105867">
              <w:rPr>
                <w:rStyle w:val="Strong"/>
                <w:color w:val="000000"/>
              </w:rPr>
              <w:t xml:space="preserve"> </w:t>
            </w:r>
            <w:r>
              <w:rPr>
                <w:rStyle w:val="Strong"/>
                <w:color w:val="000000"/>
              </w:rPr>
              <w:t>–</w:t>
            </w:r>
            <w:r w:rsidRPr="00105867">
              <w:rPr>
                <w:rStyle w:val="Strong"/>
                <w:color w:val="000000"/>
              </w:rPr>
              <w:t xml:space="preserve"> New Entry</w:t>
            </w:r>
          </w:p>
          <w:p w14:paraId="389F4F98" w14:textId="4F27D24C" w:rsidR="00D55567" w:rsidRPr="00612683" w:rsidRDefault="00D55567" w:rsidP="00567FA5">
            <w:pPr>
              <w:spacing w:before="120" w:after="120"/>
              <w:rPr>
                <w:color w:val="00B050"/>
                <w:u w:val="single"/>
              </w:rPr>
            </w:pPr>
            <w:r>
              <w:rPr>
                <w:color w:val="00B050"/>
                <w:u w:val="single"/>
              </w:rPr>
              <w:t>NIRSEVIMAB</w:t>
            </w:r>
          </w:p>
          <w:p w14:paraId="52BD3FAD" w14:textId="77777777" w:rsidR="00D55567" w:rsidRPr="00105867" w:rsidRDefault="00D55567" w:rsidP="00567FA5">
            <w:pPr>
              <w:spacing w:before="120" w:after="120"/>
            </w:pPr>
            <w:r w:rsidRPr="00105867">
              <w:rPr>
                <w:rStyle w:val="Strong"/>
                <w:color w:val="000000"/>
              </w:rPr>
              <w:t xml:space="preserve">Index </w:t>
            </w:r>
            <w:r>
              <w:rPr>
                <w:rStyle w:val="Strong"/>
                <w:color w:val="000000"/>
              </w:rPr>
              <w:t>–</w:t>
            </w:r>
            <w:r w:rsidRPr="00105867">
              <w:rPr>
                <w:rStyle w:val="Strong"/>
                <w:color w:val="000000"/>
              </w:rPr>
              <w:t xml:space="preserve"> New Entry</w:t>
            </w:r>
          </w:p>
          <w:p w14:paraId="4140B84C" w14:textId="52075049" w:rsidR="00D55567" w:rsidRPr="008C16FF" w:rsidRDefault="00D55567" w:rsidP="00567FA5">
            <w:pPr>
              <w:spacing w:before="120" w:after="120"/>
              <w:rPr>
                <w:b/>
                <w:bCs/>
                <w:color w:val="00B050"/>
                <w:u w:val="single"/>
              </w:rPr>
            </w:pPr>
            <w:r>
              <w:rPr>
                <w:b/>
                <w:bCs/>
                <w:color w:val="00B050"/>
                <w:u w:val="single"/>
              </w:rPr>
              <w:t>NIRSEVIMAB</w:t>
            </w:r>
          </w:p>
          <w:p w14:paraId="6AEB1D63" w14:textId="77777777" w:rsidR="00D55567" w:rsidRPr="00013BFF" w:rsidRDefault="00D55567" w:rsidP="00567FA5">
            <w:pPr>
              <w:spacing w:before="120" w:after="120"/>
              <w:rPr>
                <w:color w:val="00B050"/>
              </w:rPr>
            </w:pPr>
            <w:r w:rsidRPr="00612683">
              <w:rPr>
                <w:color w:val="00B050"/>
                <w:u w:val="single"/>
              </w:rPr>
              <w:t xml:space="preserve">Schedule </w:t>
            </w:r>
            <w:r>
              <w:rPr>
                <w:color w:val="00B050"/>
                <w:u w:val="single"/>
              </w:rPr>
              <w:t>4</w:t>
            </w:r>
          </w:p>
        </w:tc>
      </w:tr>
    </w:tbl>
    <w:p w14:paraId="19CA7B70" w14:textId="7D783CF5" w:rsidR="000D7942" w:rsidRPr="00612683" w:rsidRDefault="009E65EF" w:rsidP="000D7942">
      <w:pPr>
        <w:pStyle w:val="Heading3"/>
        <w:spacing w:before="240" w:line="220" w:lineRule="atLeast"/>
      </w:pPr>
      <w:bookmarkStart w:id="34" w:name="_Toc153188998"/>
      <w:r>
        <w:t>Tislelizumab</w:t>
      </w:r>
      <w:bookmarkEnd w:id="34"/>
    </w:p>
    <w:tbl>
      <w:tblPr>
        <w:tblStyle w:val="TableGrid"/>
        <w:tblW w:w="0" w:type="auto"/>
        <w:tblInd w:w="988" w:type="dxa"/>
        <w:tblLook w:val="04A0" w:firstRow="1" w:lastRow="0" w:firstColumn="1" w:lastColumn="0" w:noHBand="0" w:noVBand="1"/>
      </w:tblPr>
      <w:tblGrid>
        <w:gridCol w:w="8072"/>
      </w:tblGrid>
      <w:tr w:rsidR="000D7942" w14:paraId="34913987" w14:textId="77777777" w:rsidTr="00EE0811">
        <w:tc>
          <w:tcPr>
            <w:tcW w:w="8072" w:type="dxa"/>
          </w:tcPr>
          <w:p w14:paraId="07EE3D13" w14:textId="6AB08699" w:rsidR="000D7942" w:rsidRPr="00105867" w:rsidRDefault="000D7942" w:rsidP="00EE0811">
            <w:pPr>
              <w:spacing w:before="120" w:after="120"/>
            </w:pPr>
            <w:r w:rsidRPr="00105867">
              <w:rPr>
                <w:rStyle w:val="Strong"/>
                <w:color w:val="000000"/>
              </w:rPr>
              <w:t xml:space="preserve">Schedule </w:t>
            </w:r>
            <w:r w:rsidR="009E65EF">
              <w:rPr>
                <w:rStyle w:val="Strong"/>
                <w:color w:val="000000"/>
              </w:rPr>
              <w:t>4</w:t>
            </w:r>
            <w:r w:rsidRPr="00105867">
              <w:rPr>
                <w:rStyle w:val="Strong"/>
                <w:color w:val="000000"/>
              </w:rPr>
              <w:t xml:space="preserve"> </w:t>
            </w:r>
            <w:r>
              <w:rPr>
                <w:rStyle w:val="Strong"/>
                <w:color w:val="000000"/>
              </w:rPr>
              <w:t>–</w:t>
            </w:r>
            <w:r w:rsidRPr="00105867">
              <w:rPr>
                <w:rStyle w:val="Strong"/>
                <w:color w:val="000000"/>
              </w:rPr>
              <w:t xml:space="preserve"> New Entry</w:t>
            </w:r>
          </w:p>
          <w:p w14:paraId="59A9BD05" w14:textId="1F4FA722" w:rsidR="000D7942" w:rsidRPr="00612683" w:rsidRDefault="009E65EF" w:rsidP="00EE0811">
            <w:pPr>
              <w:spacing w:before="120" w:after="120"/>
              <w:rPr>
                <w:color w:val="00B050"/>
                <w:u w:val="single"/>
              </w:rPr>
            </w:pPr>
            <w:r>
              <w:rPr>
                <w:color w:val="00B050"/>
                <w:u w:val="single"/>
              </w:rPr>
              <w:t>TISLELIZUMAB</w:t>
            </w:r>
          </w:p>
          <w:p w14:paraId="5FC54EB8" w14:textId="77777777" w:rsidR="000D7942" w:rsidRPr="00105867" w:rsidRDefault="000D7942" w:rsidP="00EE0811">
            <w:pPr>
              <w:spacing w:before="120" w:after="120"/>
            </w:pPr>
            <w:r w:rsidRPr="00105867">
              <w:rPr>
                <w:rStyle w:val="Strong"/>
                <w:color w:val="000000"/>
              </w:rPr>
              <w:t xml:space="preserve">Index </w:t>
            </w:r>
            <w:r>
              <w:rPr>
                <w:rStyle w:val="Strong"/>
                <w:color w:val="000000"/>
              </w:rPr>
              <w:t>–</w:t>
            </w:r>
            <w:r w:rsidRPr="00105867">
              <w:rPr>
                <w:rStyle w:val="Strong"/>
                <w:color w:val="000000"/>
              </w:rPr>
              <w:t xml:space="preserve"> New Entry</w:t>
            </w:r>
          </w:p>
          <w:p w14:paraId="2F69C3E2" w14:textId="410D21EF" w:rsidR="000D7942" w:rsidRPr="008C16FF" w:rsidRDefault="009E65EF" w:rsidP="00EE0811">
            <w:pPr>
              <w:spacing w:before="120" w:after="120"/>
              <w:rPr>
                <w:b/>
                <w:bCs/>
                <w:color w:val="00B050"/>
                <w:u w:val="single"/>
              </w:rPr>
            </w:pPr>
            <w:r>
              <w:rPr>
                <w:b/>
                <w:bCs/>
                <w:color w:val="00B050"/>
                <w:u w:val="single"/>
              </w:rPr>
              <w:t>TISLELIZUMAB</w:t>
            </w:r>
          </w:p>
          <w:p w14:paraId="078C832E" w14:textId="68EC01C7" w:rsidR="000D7942" w:rsidRPr="00013BFF" w:rsidRDefault="000D7942" w:rsidP="00EE0811">
            <w:pPr>
              <w:spacing w:before="120" w:after="120"/>
              <w:rPr>
                <w:color w:val="00B050"/>
              </w:rPr>
            </w:pPr>
            <w:r w:rsidRPr="00612683">
              <w:rPr>
                <w:color w:val="00B050"/>
                <w:u w:val="single"/>
              </w:rPr>
              <w:t xml:space="preserve">Schedule </w:t>
            </w:r>
            <w:r w:rsidR="009E65EF">
              <w:rPr>
                <w:color w:val="00B050"/>
                <w:u w:val="single"/>
              </w:rPr>
              <w:t>4</w:t>
            </w:r>
          </w:p>
        </w:tc>
      </w:tr>
    </w:tbl>
    <w:p w14:paraId="22774C36" w14:textId="77777777" w:rsidR="000D7942" w:rsidRDefault="000D7942" w:rsidP="00967490"/>
    <w:p w14:paraId="1C7DEDBF" w14:textId="0FAB2B38" w:rsidR="00D13874" w:rsidRPr="00D13874" w:rsidRDefault="00D13874" w:rsidP="00D13874">
      <w:pPr>
        <w:sectPr w:rsidR="00D13874" w:rsidRPr="00D13874" w:rsidSect="00AE7C6A">
          <w:headerReference w:type="default" r:id="rId35"/>
          <w:footerReference w:type="default" r:id="rId3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DE76003" w:rsidR="00F02AEC" w:rsidRPr="00215D48" w:rsidRDefault="00E1676B" w:rsidP="00E1676B">
            <w:pPr>
              <w:pStyle w:val="TGASignoff"/>
              <w:tabs>
                <w:tab w:val="left" w:pos="1260"/>
                <w:tab w:val="center" w:pos="4572"/>
              </w:tabs>
              <w:jc w:val="left"/>
            </w:pPr>
            <w:r>
              <w:rPr>
                <w:color w:val="auto"/>
              </w:rPr>
              <w:lastRenderedPageBreak/>
              <w:tab/>
            </w:r>
            <w:r>
              <w:rPr>
                <w:color w:val="auto"/>
              </w:rPr>
              <w:tab/>
            </w:r>
            <w:r w:rsidR="00F02AEC" w:rsidRPr="00D1612F">
              <w:rPr>
                <w:color w:val="auto"/>
              </w:rPr>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37"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97241E" w:rsidP="00300CBB">
            <w:pPr>
              <w:pStyle w:val="Address"/>
              <w:jc w:val="center"/>
              <w:rPr>
                <w:rStyle w:val="Hyperlink"/>
                <w:b/>
                <w:color w:val="auto"/>
                <w:sz w:val="22"/>
              </w:rPr>
            </w:pPr>
            <w:hyperlink r:id="rId38" w:history="1">
              <w:r w:rsidR="00F02AEC" w:rsidRPr="00C4721A">
                <w:rPr>
                  <w:rStyle w:val="Hyperlink"/>
                  <w:b/>
                </w:rPr>
                <w:t>https://www.tga.gov.au</w:t>
              </w:r>
            </w:hyperlink>
          </w:p>
        </w:tc>
      </w:tr>
    </w:tbl>
    <w:p w14:paraId="221B1587" w14:textId="77777777" w:rsidR="002216A7" w:rsidRDefault="0097241E" w:rsidP="00784741"/>
    <w:sectPr w:rsidR="002216A7" w:rsidSect="00E1676B">
      <w:headerReference w:type="first" r:id="rId39"/>
      <w:footerReference w:type="first" r:id="rId40"/>
      <w:pgSz w:w="11906" w:h="16838" w:code="9"/>
      <w:pgMar w:top="13154" w:right="1701" w:bottom="567" w:left="1701" w:header="567"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A826" w14:textId="77777777" w:rsidR="007242FA" w:rsidRDefault="007242FA" w:rsidP="00967490">
      <w:r>
        <w:separator/>
      </w:r>
    </w:p>
    <w:p w14:paraId="3532870F" w14:textId="77777777" w:rsidR="007242FA" w:rsidRDefault="007242FA" w:rsidP="00967490"/>
    <w:p w14:paraId="6E740856" w14:textId="77777777" w:rsidR="007242FA" w:rsidRDefault="007242FA" w:rsidP="00967490"/>
  </w:endnote>
  <w:endnote w:type="continuationSeparator" w:id="0">
    <w:p w14:paraId="266D63D6" w14:textId="77777777" w:rsidR="007242FA" w:rsidRDefault="007242FA" w:rsidP="00967490">
      <w:r>
        <w:continuationSeparator/>
      </w:r>
    </w:p>
    <w:p w14:paraId="4D9BC55C" w14:textId="77777777" w:rsidR="007242FA" w:rsidRDefault="007242FA" w:rsidP="00967490"/>
    <w:p w14:paraId="6BEF323C" w14:textId="77777777" w:rsidR="007242FA" w:rsidRDefault="007242FA"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97241E">
                <w:fldChar w:fldCharType="begin"/>
              </w:r>
              <w:r w:rsidR="0097241E">
                <w:instrText xml:space="preserve"> NUMPAGES  </w:instrText>
              </w:r>
              <w:r w:rsidR="0097241E">
                <w:fldChar w:fldCharType="separate"/>
              </w:r>
              <w:r>
                <w:rPr>
                  <w:noProof/>
                </w:rPr>
                <w:t>2</w:t>
              </w:r>
              <w:r w:rsidR="0097241E">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6"/>
    </w:tblGrid>
    <w:tr w:rsidR="00F02AEC" w:rsidRPr="00DE78C9" w14:paraId="26871269" w14:textId="77777777" w:rsidTr="00DC7734">
      <w:trPr>
        <w:trHeight w:val="423"/>
      </w:trPr>
      <w:tc>
        <w:tcPr>
          <w:tcW w:w="7938" w:type="dxa"/>
          <w:tcBorders>
            <w:top w:val="single" w:sz="4" w:space="0" w:color="auto"/>
          </w:tcBorders>
        </w:tcPr>
        <w:p w14:paraId="5FF3321B" w14:textId="54769FEF" w:rsidR="00F02AEC" w:rsidRPr="00DE78C9" w:rsidRDefault="006479A0" w:rsidP="000F0F68">
          <w:pPr>
            <w:ind w:left="-113"/>
            <w:rPr>
              <w:rFonts w:cstheme="minorHAnsi"/>
              <w:sz w:val="18"/>
              <w:szCs w:val="18"/>
            </w:rPr>
          </w:pPr>
          <w:r>
            <w:rPr>
              <w:rFonts w:cstheme="minorHAnsi"/>
              <w:sz w:val="18"/>
              <w:szCs w:val="18"/>
            </w:rPr>
            <w:t>Notice of final decisions to amend (or not amend) the current Poisons Standard (June 2023)</w:t>
          </w:r>
          <w:r w:rsidR="00F02AEC" w:rsidRPr="00DE78C9">
            <w:rPr>
              <w:rFonts w:cstheme="minorHAnsi"/>
              <w:sz w:val="18"/>
              <w:szCs w:val="18"/>
            </w:rPr>
            <w:t xml:space="preserve"> </w:t>
          </w:r>
        </w:p>
      </w:tc>
      <w:tc>
        <w:tcPr>
          <w:tcW w:w="1276"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DC7734">
              <w:pPr>
                <w:ind w:left="40" w:right="-109"/>
                <w:jc w:val="right"/>
                <w:rPr>
                  <w:rFonts w:cstheme="minorHAnsi"/>
                  <w:sz w:val="18"/>
                  <w:szCs w:val="18"/>
                </w:rPr>
              </w:pPr>
              <w:r w:rsidRPr="00DE78C9">
                <w:rPr>
                  <w:rFonts w:cstheme="minorHAnsi"/>
                  <w:sz w:val="18"/>
                  <w:szCs w:val="18"/>
                </w:rPr>
                <w:t xml:space="preserve">Page </w:t>
              </w:r>
              <w:r w:rsidRPr="00DE78C9">
                <w:rPr>
                  <w:rFonts w:cstheme="minorHAnsi"/>
                  <w:sz w:val="18"/>
                  <w:szCs w:val="18"/>
                </w:rPr>
                <w:fldChar w:fldCharType="begin"/>
              </w:r>
              <w:r w:rsidRPr="00DE78C9">
                <w:rPr>
                  <w:rFonts w:cstheme="minorHAnsi"/>
                  <w:sz w:val="18"/>
                  <w:szCs w:val="18"/>
                </w:rPr>
                <w:instrText xml:space="preserve"> PAGE </w:instrText>
              </w:r>
              <w:r w:rsidRPr="00DE78C9">
                <w:rPr>
                  <w:rFonts w:cstheme="minorHAnsi"/>
                  <w:sz w:val="18"/>
                  <w:szCs w:val="18"/>
                </w:rPr>
                <w:fldChar w:fldCharType="separate"/>
              </w:r>
              <w:r w:rsidRPr="00DE78C9">
                <w:rPr>
                  <w:rFonts w:cstheme="minorHAnsi"/>
                  <w:noProof/>
                  <w:sz w:val="18"/>
                  <w:szCs w:val="18"/>
                </w:rPr>
                <w:t>6</w:t>
              </w:r>
              <w:r w:rsidRPr="00DE78C9">
                <w:rPr>
                  <w:rFonts w:cstheme="minorHAnsi"/>
                  <w:noProof/>
                  <w:sz w:val="18"/>
                  <w:szCs w:val="18"/>
                </w:rPr>
                <w:fldChar w:fldCharType="end"/>
              </w:r>
              <w:r w:rsidRPr="00DE78C9">
                <w:rPr>
                  <w:rFonts w:cstheme="minorHAnsi"/>
                  <w:sz w:val="18"/>
                  <w:szCs w:val="18"/>
                </w:rPr>
                <w:t xml:space="preserve"> of </w:t>
              </w:r>
              <w:r w:rsidRPr="00DE78C9">
                <w:rPr>
                  <w:rFonts w:cstheme="minorHAnsi"/>
                  <w:sz w:val="18"/>
                  <w:szCs w:val="18"/>
                </w:rPr>
                <w:fldChar w:fldCharType="begin"/>
              </w:r>
              <w:r w:rsidRPr="00DE78C9">
                <w:rPr>
                  <w:rFonts w:cstheme="minorHAnsi"/>
                  <w:sz w:val="18"/>
                  <w:szCs w:val="18"/>
                </w:rPr>
                <w:instrText xml:space="preserve"> NUMPAGES  </w:instrText>
              </w:r>
              <w:r w:rsidRPr="00DE78C9">
                <w:rPr>
                  <w:rFonts w:cstheme="minorHAnsi"/>
                  <w:sz w:val="18"/>
                  <w:szCs w:val="18"/>
                </w:rPr>
                <w:fldChar w:fldCharType="separate"/>
              </w:r>
              <w:r w:rsidRPr="00DE78C9">
                <w:rPr>
                  <w:rFonts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3D1264">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A77452" w:rsidRPr="008E3C43" w:rsidRDefault="0097241E"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6372" w14:textId="77777777" w:rsidR="007242FA" w:rsidRDefault="007242FA" w:rsidP="00967490">
      <w:r>
        <w:separator/>
      </w:r>
    </w:p>
  </w:footnote>
  <w:footnote w:type="continuationSeparator" w:id="0">
    <w:p w14:paraId="658B1E34" w14:textId="77777777" w:rsidR="007242FA" w:rsidRDefault="007242FA" w:rsidP="00967490">
      <w:r>
        <w:continuationSeparator/>
      </w:r>
    </w:p>
    <w:p w14:paraId="2512ADCC" w14:textId="77777777" w:rsidR="007242FA" w:rsidRDefault="007242FA" w:rsidP="00967490"/>
    <w:p w14:paraId="58A23D14" w14:textId="77777777" w:rsidR="007242FA" w:rsidRDefault="007242FA" w:rsidP="00967490"/>
  </w:footnote>
  <w:footnote w:id="1">
    <w:p w14:paraId="799494EA" w14:textId="77777777" w:rsidR="00457050" w:rsidRPr="00B27296" w:rsidRDefault="00457050" w:rsidP="00757E6A">
      <w:pPr>
        <w:pStyle w:val="FootnoteText"/>
        <w:keepLines w:val="0"/>
        <w:rPr>
          <w:rFonts w:cstheme="minorHAnsi"/>
          <w:sz w:val="18"/>
          <w:szCs w:val="18"/>
        </w:rPr>
      </w:pPr>
      <w:r w:rsidRPr="00B27296">
        <w:rPr>
          <w:rStyle w:val="FootnoteReference"/>
          <w:rFonts w:cstheme="minorHAnsi"/>
          <w:sz w:val="18"/>
          <w:szCs w:val="18"/>
        </w:rPr>
        <w:footnoteRef/>
      </w:r>
      <w:r w:rsidRPr="00B27296">
        <w:rPr>
          <w:rFonts w:cstheme="minorHAnsi"/>
          <w:sz w:val="18"/>
          <w:szCs w:val="18"/>
        </w:rPr>
        <w:t xml:space="preserve"> For the purposes of s 52D of the </w:t>
      </w:r>
      <w:r w:rsidRPr="00B27296">
        <w:rPr>
          <w:rFonts w:cstheme="minorHAnsi"/>
          <w:i/>
          <w:iCs/>
          <w:sz w:val="18"/>
          <w:szCs w:val="18"/>
        </w:rPr>
        <w:t>Therapeutic Goods Act 1989</w:t>
      </w:r>
      <w:r w:rsidRPr="00B27296">
        <w:rPr>
          <w:rFonts w:cstheme="minorHAnsi"/>
          <w:sz w:val="18"/>
          <w:szCs w:val="18"/>
        </w:rPr>
        <w:t xml:space="preserve"> (Cth). </w:t>
      </w:r>
    </w:p>
  </w:footnote>
  <w:footnote w:id="2">
    <w:p w14:paraId="68436C60" w14:textId="5100343F" w:rsidR="001A5D46" w:rsidRDefault="001A5D46">
      <w:pPr>
        <w:pStyle w:val="FootnoteText"/>
      </w:pPr>
      <w:r>
        <w:rPr>
          <w:rStyle w:val="FootnoteReference"/>
        </w:rPr>
        <w:footnoteRef/>
      </w:r>
      <w:r>
        <w:t xml:space="preserve"> </w:t>
      </w:r>
      <w:r w:rsidRPr="00687F35">
        <w:rPr>
          <w:rFonts w:cstheme="minorHAnsi"/>
          <w:sz w:val="18"/>
          <w:szCs w:val="18"/>
        </w:rPr>
        <w:t>Proposed additions are shown in green underlined font, proposed deletions are shown in red strikethrough font, and text without this formatting represents the current text in the Poisons Standard.</w:t>
      </w:r>
    </w:p>
  </w:footnote>
  <w:footnote w:id="3">
    <w:p w14:paraId="5421D73B" w14:textId="77777777" w:rsidR="00457050" w:rsidRPr="00967490" w:rsidRDefault="00457050" w:rsidP="008006C4">
      <w:pPr>
        <w:spacing w:before="0"/>
      </w:pPr>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(Cth).</w:t>
      </w:r>
    </w:p>
  </w:footnote>
  <w:footnote w:id="4">
    <w:p w14:paraId="1008A7A4" w14:textId="692E083C" w:rsidR="001A5D46" w:rsidRDefault="001A5D46">
      <w:pPr>
        <w:pStyle w:val="FootnoteText"/>
      </w:pPr>
      <w:r>
        <w:rPr>
          <w:rStyle w:val="FootnoteReference"/>
        </w:rPr>
        <w:footnoteRef/>
      </w:r>
      <w:r>
        <w:t xml:space="preserve"> </w:t>
      </w:r>
      <w:r w:rsidRPr="00687F35">
        <w:rPr>
          <w:rFonts w:cstheme="minorHAnsi"/>
          <w:sz w:val="18"/>
          <w:szCs w:val="18"/>
        </w:rPr>
        <w:t>Proposed additions are shown in green underlined font, proposed deletions are shown in red strikethrough font, and text without this formatting represents the current text in the Poisons Standard.</w:t>
      </w:r>
    </w:p>
  </w:footnote>
  <w:footnote w:id="5">
    <w:p w14:paraId="32F07FE2" w14:textId="77777777" w:rsidR="00B7137A" w:rsidRPr="00967490" w:rsidRDefault="00B7137A" w:rsidP="00B7137A">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(Cth).</w:t>
      </w:r>
    </w:p>
  </w:footnote>
  <w:footnote w:id="6">
    <w:p w14:paraId="16003D3F" w14:textId="0A92F180" w:rsidR="001A5D46" w:rsidRDefault="001A5D46">
      <w:pPr>
        <w:pStyle w:val="FootnoteText"/>
      </w:pPr>
      <w:r>
        <w:rPr>
          <w:rStyle w:val="FootnoteReference"/>
        </w:rPr>
        <w:footnoteRef/>
      </w:r>
      <w:r>
        <w:t xml:space="preserve"> </w:t>
      </w:r>
      <w:r w:rsidRPr="00687F35">
        <w:rPr>
          <w:rFonts w:cstheme="minorHAnsi"/>
          <w:sz w:val="18"/>
          <w:szCs w:val="18"/>
        </w:rPr>
        <w:t>Proposed additions are shown in green underlined font, proposed deletions are shown in red strikethrough font, and text without this formatting represents the current text in the Poisons Standard.</w:t>
      </w:r>
    </w:p>
  </w:footnote>
  <w:footnote w:id="7">
    <w:p w14:paraId="6663596A" w14:textId="70875E62" w:rsidR="001A5D46" w:rsidRDefault="001A5D46">
      <w:pPr>
        <w:pStyle w:val="FootnoteText"/>
      </w:pPr>
      <w:r>
        <w:rPr>
          <w:rStyle w:val="FootnoteReference"/>
        </w:rPr>
        <w:footnoteRef/>
      </w:r>
      <w:r>
        <w:t xml:space="preserve"> </w:t>
      </w:r>
      <w:r w:rsidRPr="00687F35">
        <w:rPr>
          <w:rFonts w:cstheme="minorHAnsi"/>
          <w:sz w:val="18"/>
          <w:szCs w:val="18"/>
        </w:rPr>
        <w:t>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inline distT="0" distB="0" distL="0" distR="0" wp14:anchorId="276EFB66" wp14:editId="1C82784A">
          <wp:extent cx="2676525" cy="621665"/>
          <wp:effectExtent l="0" t="0" r="9525" b="6985"/>
          <wp:docPr id="39" name="Picture 39"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ustralian Government, Department of Health and Aged Care, Therapeutic Goods Administration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468A6D8D" wp14:editId="1BFED816">
          <wp:simplePos x="0" y="0"/>
          <wp:positionH relativeFrom="page">
            <wp:align>left</wp:align>
          </wp:positionH>
          <wp:positionV relativeFrom="page">
            <wp:posOffset>3239495</wp:posOffset>
          </wp:positionV>
          <wp:extent cx="7663815" cy="4323091"/>
          <wp:effectExtent l="0" t="0" r="0" b="1270"/>
          <wp:wrapNone/>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9" w:type="dxa"/>
      <w:tblLook w:val="04A0" w:firstRow="1" w:lastRow="0" w:firstColumn="1" w:lastColumn="0" w:noHBand="0" w:noVBand="1"/>
    </w:tblPr>
    <w:tblGrid>
      <w:gridCol w:w="9219"/>
    </w:tblGrid>
    <w:tr w:rsidR="00DE78C9" w:rsidRPr="00DE78C9" w14:paraId="4FDD4AE2" w14:textId="77777777" w:rsidTr="00906572">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cstheme="minorHAnsi"/>
              <w:sz w:val="18"/>
              <w:szCs w:val="18"/>
            </w:rPr>
          </w:pPr>
          <w:r w:rsidRPr="00DE78C9">
            <w:rPr>
              <w:rFonts w:cstheme="minorHAnsi"/>
              <w:sz w:val="18"/>
              <w:szCs w:val="18"/>
            </w:rPr>
            <w:t>Therapeutic Goods Administration</w:t>
          </w:r>
        </w:p>
      </w:tc>
    </w:tr>
  </w:tbl>
  <w:p w14:paraId="32203310" w14:textId="7A0A9018" w:rsidR="00F02AEC" w:rsidRPr="00DE78C9" w:rsidRDefault="00F02AEC" w:rsidP="00542687">
    <w:pPr>
      <w:spacing w:before="0" w:after="0"/>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A77452" w:rsidRPr="00FE501F" w:rsidRDefault="0097241E" w:rsidP="00E1676B">
    <w:pPr>
      <w:pStyle w:val="Headernoli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3F187C"/>
    <w:multiLevelType w:val="hybridMultilevel"/>
    <w:tmpl w:val="20409048"/>
    <w:lvl w:ilvl="0" w:tplc="669A989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68F13E9"/>
    <w:multiLevelType w:val="multilevel"/>
    <w:tmpl w:val="D1D689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C621A92"/>
    <w:multiLevelType w:val="hybridMultilevel"/>
    <w:tmpl w:val="0EF642AA"/>
    <w:lvl w:ilvl="0" w:tplc="F38CFC06">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B0394"/>
    <w:multiLevelType w:val="hybridMultilevel"/>
    <w:tmpl w:val="F652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2" w15:restartNumberingAfterBreak="0">
    <w:nsid w:val="50336B0D"/>
    <w:multiLevelType w:val="hybridMultilevel"/>
    <w:tmpl w:val="5D54CD1A"/>
    <w:lvl w:ilvl="0" w:tplc="4EDE096A">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1D6719"/>
    <w:multiLevelType w:val="hybridMultilevel"/>
    <w:tmpl w:val="43CA02F6"/>
    <w:lvl w:ilvl="0" w:tplc="9828DFC0">
      <w:start w:val="1"/>
      <w:numFmt w:val="lowerLetter"/>
      <w:lvlText w:val="%1)"/>
      <w:lvlJc w:val="left"/>
      <w:pPr>
        <w:ind w:left="1425" w:hanging="360"/>
      </w:pPr>
      <w:rPr>
        <w:color w:val="00B050"/>
      </w:rPr>
    </w:lvl>
    <w:lvl w:ilvl="1" w:tplc="0BB46144">
      <w:start w:val="1"/>
      <w:numFmt w:val="lowerRoman"/>
      <w:lvlText w:val="(%2)"/>
      <w:lvlJc w:val="left"/>
      <w:pPr>
        <w:ind w:left="2145" w:hanging="360"/>
      </w:pPr>
      <w:rPr>
        <w:rFonts w:hint="default"/>
        <w:color w:val="00B050"/>
      </w:rPr>
    </w:lvl>
    <w:lvl w:ilvl="2" w:tplc="0C09001B" w:tentative="1">
      <w:start w:val="1"/>
      <w:numFmt w:val="lowerRoman"/>
      <w:lvlText w:val="%3."/>
      <w:lvlJc w:val="right"/>
      <w:pPr>
        <w:ind w:left="2865" w:hanging="180"/>
      </w:pPr>
    </w:lvl>
    <w:lvl w:ilvl="3" w:tplc="0C09000F" w:tentative="1">
      <w:start w:val="1"/>
      <w:numFmt w:val="decimal"/>
      <w:lvlText w:val="%4."/>
      <w:lvlJc w:val="left"/>
      <w:pPr>
        <w:ind w:left="3585" w:hanging="360"/>
      </w:pPr>
    </w:lvl>
    <w:lvl w:ilvl="4" w:tplc="0C090019" w:tentative="1">
      <w:start w:val="1"/>
      <w:numFmt w:val="lowerLetter"/>
      <w:lvlText w:val="%5."/>
      <w:lvlJc w:val="left"/>
      <w:pPr>
        <w:ind w:left="4305" w:hanging="360"/>
      </w:pPr>
    </w:lvl>
    <w:lvl w:ilvl="5" w:tplc="0C09001B" w:tentative="1">
      <w:start w:val="1"/>
      <w:numFmt w:val="lowerRoman"/>
      <w:lvlText w:val="%6."/>
      <w:lvlJc w:val="right"/>
      <w:pPr>
        <w:ind w:left="5025" w:hanging="180"/>
      </w:pPr>
    </w:lvl>
    <w:lvl w:ilvl="6" w:tplc="0C09000F" w:tentative="1">
      <w:start w:val="1"/>
      <w:numFmt w:val="decimal"/>
      <w:lvlText w:val="%7."/>
      <w:lvlJc w:val="left"/>
      <w:pPr>
        <w:ind w:left="5745" w:hanging="360"/>
      </w:pPr>
    </w:lvl>
    <w:lvl w:ilvl="7" w:tplc="0C090019" w:tentative="1">
      <w:start w:val="1"/>
      <w:numFmt w:val="lowerLetter"/>
      <w:lvlText w:val="%8."/>
      <w:lvlJc w:val="left"/>
      <w:pPr>
        <w:ind w:left="6465" w:hanging="360"/>
      </w:pPr>
    </w:lvl>
    <w:lvl w:ilvl="8" w:tplc="0C09001B" w:tentative="1">
      <w:start w:val="1"/>
      <w:numFmt w:val="lowerRoman"/>
      <w:lvlText w:val="%9."/>
      <w:lvlJc w:val="right"/>
      <w:pPr>
        <w:ind w:left="7185" w:hanging="180"/>
      </w:pPr>
    </w:lvl>
  </w:abstractNum>
  <w:abstractNum w:abstractNumId="29" w15:restartNumberingAfterBreak="0">
    <w:nsid w:val="7E111BA6"/>
    <w:multiLevelType w:val="multilevel"/>
    <w:tmpl w:val="7F7AF63E"/>
    <w:lvl w:ilvl="0">
      <w:start w:val="1"/>
      <w:numFmt w:val="lowerLetter"/>
      <w:lvlText w:val="%1)"/>
      <w:lvlJc w:val="left"/>
      <w:pPr>
        <w:ind w:left="360" w:hanging="360"/>
      </w:pPr>
      <w:rPr>
        <w:rFonts w:hint="default"/>
        <w:i/>
        <w:iCs w:val="0"/>
        <w:strike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F596093"/>
    <w:multiLevelType w:val="multilevel"/>
    <w:tmpl w:val="D1D689A0"/>
    <w:numStyleLink w:val="ListBullets"/>
  </w:abstractNum>
  <w:num w:numId="1" w16cid:durableId="389228736">
    <w:abstractNumId w:val="12"/>
    <w:lvlOverride w:ilvl="0">
      <w:lvl w:ilvl="0">
        <w:start w:val="4"/>
        <w:numFmt w:val="bullet"/>
        <w:pStyle w:val="ListBullet"/>
        <w:lvlText w:val="•"/>
        <w:lvlJc w:val="left"/>
        <w:pPr>
          <w:ind w:left="360" w:hanging="360"/>
        </w:pPr>
        <w:rPr>
          <w:rFonts w:ascii="Cambria" w:eastAsia="Cambria" w:hAnsi="Cambria" w:hint="default"/>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 w16cid:durableId="1035231497">
    <w:abstractNumId w:val="10"/>
  </w:num>
  <w:num w:numId="3" w16cid:durableId="1248614696">
    <w:abstractNumId w:val="11"/>
  </w:num>
  <w:num w:numId="4" w16cid:durableId="297951965">
    <w:abstractNumId w:val="22"/>
  </w:num>
  <w:num w:numId="5" w16cid:durableId="1535191726">
    <w:abstractNumId w:val="15"/>
  </w:num>
  <w:num w:numId="6" w16cid:durableId="224069918">
    <w:abstractNumId w:val="21"/>
  </w:num>
  <w:num w:numId="7" w16cid:durableId="1150249122">
    <w:abstractNumId w:val="14"/>
  </w:num>
  <w:num w:numId="8" w16cid:durableId="233053789">
    <w:abstractNumId w:val="9"/>
  </w:num>
  <w:num w:numId="9" w16cid:durableId="1393187700">
    <w:abstractNumId w:val="7"/>
  </w:num>
  <w:num w:numId="10" w16cid:durableId="442767819">
    <w:abstractNumId w:val="12"/>
  </w:num>
  <w:num w:numId="11" w16cid:durableId="736901871">
    <w:abstractNumId w:val="28"/>
  </w:num>
  <w:num w:numId="12" w16cid:durableId="176577710">
    <w:abstractNumId w:val="13"/>
  </w:num>
  <w:num w:numId="13" w16cid:durableId="1621838161">
    <w:abstractNumId w:val="30"/>
  </w:num>
  <w:num w:numId="14" w16cid:durableId="624851219">
    <w:abstractNumId w:val="29"/>
  </w:num>
  <w:num w:numId="15" w16cid:durableId="1777481172">
    <w:abstractNumId w:val="18"/>
  </w:num>
  <w:num w:numId="16" w16cid:durableId="61102819">
    <w:abstractNumId w:val="6"/>
  </w:num>
  <w:num w:numId="17" w16cid:durableId="1871215464">
    <w:abstractNumId w:val="24"/>
  </w:num>
  <w:num w:numId="18" w16cid:durableId="401485943">
    <w:abstractNumId w:val="25"/>
  </w:num>
  <w:num w:numId="19" w16cid:durableId="32003249">
    <w:abstractNumId w:val="26"/>
  </w:num>
  <w:num w:numId="20" w16cid:durableId="1446582226">
    <w:abstractNumId w:val="27"/>
  </w:num>
  <w:num w:numId="21" w16cid:durableId="2049334732">
    <w:abstractNumId w:val="19"/>
  </w:num>
  <w:num w:numId="22" w16cid:durableId="380132271">
    <w:abstractNumId w:val="16"/>
  </w:num>
  <w:num w:numId="23" w16cid:durableId="544492805">
    <w:abstractNumId w:val="17"/>
  </w:num>
  <w:num w:numId="24" w16cid:durableId="232548954">
    <w:abstractNumId w:val="23"/>
  </w:num>
  <w:num w:numId="25" w16cid:durableId="1152409231">
    <w:abstractNumId w:val="5"/>
  </w:num>
  <w:num w:numId="26" w16cid:durableId="1661156809">
    <w:abstractNumId w:val="4"/>
  </w:num>
  <w:num w:numId="27" w16cid:durableId="117454801">
    <w:abstractNumId w:val="8"/>
  </w:num>
  <w:num w:numId="28" w16cid:durableId="471287180">
    <w:abstractNumId w:val="3"/>
  </w:num>
  <w:num w:numId="29" w16cid:durableId="1015153600">
    <w:abstractNumId w:val="2"/>
  </w:num>
  <w:num w:numId="30" w16cid:durableId="395782714">
    <w:abstractNumId w:val="1"/>
  </w:num>
  <w:num w:numId="31" w16cid:durableId="940723948">
    <w:abstractNumId w:val="0"/>
  </w:num>
  <w:num w:numId="32" w16cid:durableId="1650265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170F5"/>
    <w:rsid w:val="000230ED"/>
    <w:rsid w:val="00024525"/>
    <w:rsid w:val="000428A0"/>
    <w:rsid w:val="0005288E"/>
    <w:rsid w:val="00054B81"/>
    <w:rsid w:val="00056202"/>
    <w:rsid w:val="00067EF4"/>
    <w:rsid w:val="00070605"/>
    <w:rsid w:val="00081D70"/>
    <w:rsid w:val="000837D4"/>
    <w:rsid w:val="00087CC0"/>
    <w:rsid w:val="000941EA"/>
    <w:rsid w:val="00094B81"/>
    <w:rsid w:val="000B4086"/>
    <w:rsid w:val="000D5C70"/>
    <w:rsid w:val="000D7942"/>
    <w:rsid w:val="000F0F68"/>
    <w:rsid w:val="000F1E92"/>
    <w:rsid w:val="00103E4A"/>
    <w:rsid w:val="00111F52"/>
    <w:rsid w:val="0012473C"/>
    <w:rsid w:val="00137642"/>
    <w:rsid w:val="001423CF"/>
    <w:rsid w:val="00167C92"/>
    <w:rsid w:val="00175CD8"/>
    <w:rsid w:val="00177092"/>
    <w:rsid w:val="001973BA"/>
    <w:rsid w:val="001A5D46"/>
    <w:rsid w:val="001B097A"/>
    <w:rsid w:val="001B1847"/>
    <w:rsid w:val="001D654B"/>
    <w:rsid w:val="001E0AD9"/>
    <w:rsid w:val="001E2403"/>
    <w:rsid w:val="001E44FC"/>
    <w:rsid w:val="001E4552"/>
    <w:rsid w:val="001E78E7"/>
    <w:rsid w:val="00205580"/>
    <w:rsid w:val="0021214E"/>
    <w:rsid w:val="00212683"/>
    <w:rsid w:val="00230B05"/>
    <w:rsid w:val="002313A5"/>
    <w:rsid w:val="0023336F"/>
    <w:rsid w:val="002410F3"/>
    <w:rsid w:val="00253E5F"/>
    <w:rsid w:val="00254A0C"/>
    <w:rsid w:val="00272154"/>
    <w:rsid w:val="0029231D"/>
    <w:rsid w:val="002A4BFD"/>
    <w:rsid w:val="002C18D6"/>
    <w:rsid w:val="002C1E4A"/>
    <w:rsid w:val="002D4734"/>
    <w:rsid w:val="002E307A"/>
    <w:rsid w:val="002F646C"/>
    <w:rsid w:val="002F731F"/>
    <w:rsid w:val="003008D8"/>
    <w:rsid w:val="00300CBB"/>
    <w:rsid w:val="00327EE3"/>
    <w:rsid w:val="0035444D"/>
    <w:rsid w:val="00355327"/>
    <w:rsid w:val="003B3144"/>
    <w:rsid w:val="003B3569"/>
    <w:rsid w:val="003B5250"/>
    <w:rsid w:val="003B6FB9"/>
    <w:rsid w:val="003C009D"/>
    <w:rsid w:val="003D1264"/>
    <w:rsid w:val="003F76B0"/>
    <w:rsid w:val="004072DA"/>
    <w:rsid w:val="004074D5"/>
    <w:rsid w:val="004246B8"/>
    <w:rsid w:val="00435FDF"/>
    <w:rsid w:val="00445350"/>
    <w:rsid w:val="00450B60"/>
    <w:rsid w:val="00455F82"/>
    <w:rsid w:val="00457050"/>
    <w:rsid w:val="00471B79"/>
    <w:rsid w:val="00480D19"/>
    <w:rsid w:val="004908D7"/>
    <w:rsid w:val="00491451"/>
    <w:rsid w:val="00494C57"/>
    <w:rsid w:val="004A0D62"/>
    <w:rsid w:val="004D06D7"/>
    <w:rsid w:val="004F0506"/>
    <w:rsid w:val="004F0C53"/>
    <w:rsid w:val="004F24D9"/>
    <w:rsid w:val="0050651F"/>
    <w:rsid w:val="005268B0"/>
    <w:rsid w:val="005416EA"/>
    <w:rsid w:val="00542687"/>
    <w:rsid w:val="005502E4"/>
    <w:rsid w:val="00560EA9"/>
    <w:rsid w:val="0058575E"/>
    <w:rsid w:val="005969E6"/>
    <w:rsid w:val="005B58FD"/>
    <w:rsid w:val="005B7B57"/>
    <w:rsid w:val="005C24C7"/>
    <w:rsid w:val="005C65E7"/>
    <w:rsid w:val="005C728A"/>
    <w:rsid w:val="005D487A"/>
    <w:rsid w:val="005D712A"/>
    <w:rsid w:val="005E3E9A"/>
    <w:rsid w:val="005E556C"/>
    <w:rsid w:val="005F7C5D"/>
    <w:rsid w:val="006039CE"/>
    <w:rsid w:val="006114E9"/>
    <w:rsid w:val="00630E80"/>
    <w:rsid w:val="006479A0"/>
    <w:rsid w:val="006538D9"/>
    <w:rsid w:val="00683077"/>
    <w:rsid w:val="00683860"/>
    <w:rsid w:val="006840AA"/>
    <w:rsid w:val="006A11B7"/>
    <w:rsid w:val="006A1F0B"/>
    <w:rsid w:val="006B5CB1"/>
    <w:rsid w:val="006C2932"/>
    <w:rsid w:val="006C59E0"/>
    <w:rsid w:val="006D5159"/>
    <w:rsid w:val="006E2FCF"/>
    <w:rsid w:val="007121A6"/>
    <w:rsid w:val="00714EA3"/>
    <w:rsid w:val="007160EC"/>
    <w:rsid w:val="007242FA"/>
    <w:rsid w:val="00746990"/>
    <w:rsid w:val="0075593B"/>
    <w:rsid w:val="00757E04"/>
    <w:rsid w:val="00757E6A"/>
    <w:rsid w:val="00760880"/>
    <w:rsid w:val="00777B5C"/>
    <w:rsid w:val="00784741"/>
    <w:rsid w:val="007957F7"/>
    <w:rsid w:val="007A67E7"/>
    <w:rsid w:val="007B2C62"/>
    <w:rsid w:val="007D0AD7"/>
    <w:rsid w:val="007F0A77"/>
    <w:rsid w:val="008006C4"/>
    <w:rsid w:val="00811F5F"/>
    <w:rsid w:val="008159EF"/>
    <w:rsid w:val="008174A6"/>
    <w:rsid w:val="00831B56"/>
    <w:rsid w:val="008329DB"/>
    <w:rsid w:val="00835617"/>
    <w:rsid w:val="00835FF4"/>
    <w:rsid w:val="00837F99"/>
    <w:rsid w:val="008479A3"/>
    <w:rsid w:val="008513A0"/>
    <w:rsid w:val="008521F9"/>
    <w:rsid w:val="00863147"/>
    <w:rsid w:val="008952A0"/>
    <w:rsid w:val="008A1780"/>
    <w:rsid w:val="008C32FD"/>
    <w:rsid w:val="008F27CC"/>
    <w:rsid w:val="00906572"/>
    <w:rsid w:val="00922B13"/>
    <w:rsid w:val="00930D58"/>
    <w:rsid w:val="009362BF"/>
    <w:rsid w:val="009510A3"/>
    <w:rsid w:val="00956D60"/>
    <w:rsid w:val="00957B9F"/>
    <w:rsid w:val="00963232"/>
    <w:rsid w:val="00967490"/>
    <w:rsid w:val="0097241E"/>
    <w:rsid w:val="009849A7"/>
    <w:rsid w:val="009A4603"/>
    <w:rsid w:val="009A5EF4"/>
    <w:rsid w:val="009A62A2"/>
    <w:rsid w:val="009C0195"/>
    <w:rsid w:val="009C3DA0"/>
    <w:rsid w:val="009E61D9"/>
    <w:rsid w:val="009E65EF"/>
    <w:rsid w:val="009E7D2B"/>
    <w:rsid w:val="009E7E17"/>
    <w:rsid w:val="009F05C8"/>
    <w:rsid w:val="009F2B04"/>
    <w:rsid w:val="009F4206"/>
    <w:rsid w:val="009F53F4"/>
    <w:rsid w:val="009F5EBF"/>
    <w:rsid w:val="009F7996"/>
    <w:rsid w:val="00A221D7"/>
    <w:rsid w:val="00A23C23"/>
    <w:rsid w:val="00A3400A"/>
    <w:rsid w:val="00A3725C"/>
    <w:rsid w:val="00A5016F"/>
    <w:rsid w:val="00A52A67"/>
    <w:rsid w:val="00A608B1"/>
    <w:rsid w:val="00A75778"/>
    <w:rsid w:val="00A9162C"/>
    <w:rsid w:val="00AA12EC"/>
    <w:rsid w:val="00AB02A1"/>
    <w:rsid w:val="00AB7A99"/>
    <w:rsid w:val="00AB7CBF"/>
    <w:rsid w:val="00AC547B"/>
    <w:rsid w:val="00AC609D"/>
    <w:rsid w:val="00AD58CF"/>
    <w:rsid w:val="00AD6442"/>
    <w:rsid w:val="00B0235E"/>
    <w:rsid w:val="00B03F2C"/>
    <w:rsid w:val="00B07004"/>
    <w:rsid w:val="00B167C2"/>
    <w:rsid w:val="00B256D6"/>
    <w:rsid w:val="00B27296"/>
    <w:rsid w:val="00B45A45"/>
    <w:rsid w:val="00B4618F"/>
    <w:rsid w:val="00B46BC0"/>
    <w:rsid w:val="00B508A7"/>
    <w:rsid w:val="00B700F9"/>
    <w:rsid w:val="00B7137A"/>
    <w:rsid w:val="00B74CCD"/>
    <w:rsid w:val="00B930E9"/>
    <w:rsid w:val="00B94D3A"/>
    <w:rsid w:val="00BA44AB"/>
    <w:rsid w:val="00BB34CD"/>
    <w:rsid w:val="00BB4005"/>
    <w:rsid w:val="00BC7020"/>
    <w:rsid w:val="00BD1E01"/>
    <w:rsid w:val="00BD4804"/>
    <w:rsid w:val="00BE0386"/>
    <w:rsid w:val="00BF0BD3"/>
    <w:rsid w:val="00C1211D"/>
    <w:rsid w:val="00C4382C"/>
    <w:rsid w:val="00C45E23"/>
    <w:rsid w:val="00C7356D"/>
    <w:rsid w:val="00C81367"/>
    <w:rsid w:val="00C9046F"/>
    <w:rsid w:val="00C917A8"/>
    <w:rsid w:val="00CB0550"/>
    <w:rsid w:val="00CD77BC"/>
    <w:rsid w:val="00CE0AC0"/>
    <w:rsid w:val="00D002AE"/>
    <w:rsid w:val="00D078BE"/>
    <w:rsid w:val="00D13874"/>
    <w:rsid w:val="00D13F8A"/>
    <w:rsid w:val="00D15E47"/>
    <w:rsid w:val="00D1612F"/>
    <w:rsid w:val="00D50009"/>
    <w:rsid w:val="00D55567"/>
    <w:rsid w:val="00D918D5"/>
    <w:rsid w:val="00D96948"/>
    <w:rsid w:val="00DA2716"/>
    <w:rsid w:val="00DB0F0A"/>
    <w:rsid w:val="00DC7734"/>
    <w:rsid w:val="00DD2332"/>
    <w:rsid w:val="00DD43ED"/>
    <w:rsid w:val="00DE74E5"/>
    <w:rsid w:val="00DE78C9"/>
    <w:rsid w:val="00DF2D84"/>
    <w:rsid w:val="00DF673C"/>
    <w:rsid w:val="00DF71E9"/>
    <w:rsid w:val="00E00271"/>
    <w:rsid w:val="00E1676B"/>
    <w:rsid w:val="00E17389"/>
    <w:rsid w:val="00E2652C"/>
    <w:rsid w:val="00E26AAC"/>
    <w:rsid w:val="00E42057"/>
    <w:rsid w:val="00E47AD6"/>
    <w:rsid w:val="00E524AE"/>
    <w:rsid w:val="00E53D3F"/>
    <w:rsid w:val="00E71ED0"/>
    <w:rsid w:val="00E85F52"/>
    <w:rsid w:val="00E907FA"/>
    <w:rsid w:val="00E964BF"/>
    <w:rsid w:val="00EA5604"/>
    <w:rsid w:val="00EC2146"/>
    <w:rsid w:val="00EE279A"/>
    <w:rsid w:val="00F00856"/>
    <w:rsid w:val="00F02AEC"/>
    <w:rsid w:val="00F07847"/>
    <w:rsid w:val="00F37C70"/>
    <w:rsid w:val="00F47795"/>
    <w:rsid w:val="00F65323"/>
    <w:rsid w:val="00F65AF1"/>
    <w:rsid w:val="00F67C3A"/>
    <w:rsid w:val="00F7063F"/>
    <w:rsid w:val="00F721D8"/>
    <w:rsid w:val="00F74266"/>
    <w:rsid w:val="00F764BC"/>
    <w:rsid w:val="00F8313A"/>
    <w:rsid w:val="00FA49C3"/>
    <w:rsid w:val="00FA77C8"/>
    <w:rsid w:val="00FB0776"/>
    <w:rsid w:val="00FC04B5"/>
    <w:rsid w:val="00FC4A34"/>
    <w:rsid w:val="00FE1D4F"/>
    <w:rsid w:val="00FE7AF8"/>
    <w:rsid w:val="00FF53F0"/>
    <w:rsid w:val="00FF6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5D46"/>
    <w:pPr>
      <w:spacing w:before="180" w:after="180" w:line="240" w:lineRule="atLeast"/>
    </w:pPr>
    <w:rPr>
      <w:rFonts w:eastAsia="Cambria"/>
      <w:sz w:val="22"/>
      <w:szCs w:val="22"/>
    </w:rPr>
  </w:style>
  <w:style w:type="paragraph" w:styleId="Heading1">
    <w:name w:val="heading 1"/>
    <w:basedOn w:val="Normal"/>
    <w:next w:val="Normal"/>
    <w:link w:val="Heading1Char"/>
    <w:qFormat/>
    <w:rsid w:val="001A5D4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1A5D46"/>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A5D46"/>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1A5D46"/>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1A5D46"/>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1A5D46"/>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1A5D46"/>
    <w:pPr>
      <w:keepNext/>
      <w:keepLines/>
      <w:spacing w:before="240" w:after="60" w:line="180" w:lineRule="atLeast"/>
      <w:outlineLvl w:val="6"/>
    </w:pPr>
    <w:rPr>
      <w:rFonts w:eastAsia="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1A5D46"/>
    <w:rPr>
      <w:rFonts w:ascii="Arial" w:eastAsia="Times New Roman" w:hAnsi="Arial"/>
      <w:b/>
      <w:bCs/>
      <w:sz w:val="38"/>
      <w:szCs w:val="38"/>
    </w:rPr>
  </w:style>
  <w:style w:type="character" w:customStyle="1" w:styleId="Heading3Char">
    <w:name w:val="Heading 3 Char"/>
    <w:basedOn w:val="DefaultParagraphFont"/>
    <w:link w:val="Heading3"/>
    <w:rsid w:val="001A5D46"/>
    <w:rPr>
      <w:rFonts w:ascii="Arial" w:eastAsia="Times New Roman" w:hAnsi="Arial"/>
      <w:b/>
      <w:bCs/>
      <w:sz w:val="32"/>
      <w:szCs w:val="32"/>
    </w:rPr>
  </w:style>
  <w:style w:type="character" w:customStyle="1" w:styleId="Heading4Char">
    <w:name w:val="Heading 4 Char"/>
    <w:basedOn w:val="DefaultParagraphFont"/>
    <w:link w:val="Heading4"/>
    <w:rsid w:val="001A5D46"/>
    <w:rPr>
      <w:rFonts w:ascii="Arial" w:eastAsia="Cambria" w:hAnsi="Arial"/>
      <w:b/>
      <w:bCs/>
      <w:sz w:val="26"/>
      <w:szCs w:val="26"/>
    </w:rPr>
  </w:style>
  <w:style w:type="character" w:customStyle="1" w:styleId="Heading5Char">
    <w:name w:val="Heading 5 Char"/>
    <w:basedOn w:val="DefaultParagraphFont"/>
    <w:link w:val="Heading5"/>
    <w:uiPriority w:val="9"/>
    <w:rsid w:val="001A5D46"/>
    <w:rPr>
      <w:rFonts w:eastAsia="Times New Roman"/>
      <w:b/>
      <w:bCs/>
      <w:color w:val="001523"/>
      <w:sz w:val="26"/>
      <w:szCs w:val="26"/>
    </w:rPr>
  </w:style>
  <w:style w:type="character" w:customStyle="1" w:styleId="Heading6Char">
    <w:name w:val="Heading 6 Char"/>
    <w:basedOn w:val="DefaultParagraphFont"/>
    <w:link w:val="Heading6"/>
    <w:uiPriority w:val="9"/>
    <w:rsid w:val="001A5D46"/>
    <w:rPr>
      <w:rFonts w:eastAsia="Times New Roman"/>
      <w:b/>
      <w:bCs/>
      <w:i/>
      <w:sz w:val="22"/>
      <w:szCs w:val="21"/>
    </w:rPr>
  </w:style>
  <w:style w:type="paragraph" w:styleId="Date">
    <w:name w:val="Date"/>
    <w:basedOn w:val="Normal"/>
    <w:next w:val="Normal"/>
    <w:link w:val="DateChar"/>
    <w:uiPriority w:val="99"/>
    <w:rsid w:val="00F02AEC"/>
    <w:pPr>
      <w:spacing w:before="120" w:after="0"/>
    </w:pPr>
    <w:rPr>
      <w:rFonts w:ascii="Arial"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1A5D46"/>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1A5D46"/>
    <w:rPr>
      <w:rFonts w:eastAsia="Cambria"/>
      <w:sz w:val="17"/>
      <w:szCs w:val="22"/>
    </w:rPr>
  </w:style>
  <w:style w:type="paragraph" w:styleId="Header">
    <w:name w:val="header"/>
    <w:basedOn w:val="Normal"/>
    <w:link w:val="HeaderChar"/>
    <w:uiPriority w:val="99"/>
    <w:rsid w:val="001A5D46"/>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1A5D46"/>
    <w:rPr>
      <w:rFonts w:eastAsia="Cambria"/>
      <w:sz w:val="17"/>
      <w:szCs w:val="22"/>
    </w:rPr>
  </w:style>
  <w:style w:type="character" w:styleId="Hyperlink">
    <w:name w:val="Hyperlink"/>
    <w:basedOn w:val="DefaultParagraphFont"/>
    <w:uiPriority w:val="99"/>
    <w:unhideWhenUsed/>
    <w:rsid w:val="001A5D46"/>
    <w:rPr>
      <w:color w:val="0000FF"/>
      <w:u w:val="single"/>
    </w:rPr>
  </w:style>
  <w:style w:type="paragraph" w:customStyle="1" w:styleId="LegalCopy">
    <w:name w:val="Legal Copy"/>
    <w:basedOn w:val="Footer"/>
    <w:unhideWhenUsed/>
    <w:rsid w:val="001A5D46"/>
  </w:style>
  <w:style w:type="paragraph" w:customStyle="1" w:styleId="LegalSubheading">
    <w:name w:val="Legal Subheading"/>
    <w:basedOn w:val="Footer"/>
    <w:unhideWhenUsed/>
    <w:rsid w:val="001A5D46"/>
    <w:rPr>
      <w:b/>
    </w:rPr>
  </w:style>
  <w:style w:type="paragraph" w:styleId="ListBullet">
    <w:name w:val="List Bullet"/>
    <w:basedOn w:val="Normal"/>
    <w:uiPriority w:val="2"/>
    <w:qFormat/>
    <w:rsid w:val="001A5D46"/>
    <w:pPr>
      <w:numPr>
        <w:numId w:val="10"/>
      </w:numPr>
    </w:pPr>
  </w:style>
  <w:style w:type="paragraph" w:styleId="ListBullet2">
    <w:name w:val="List Bullet 2"/>
    <w:basedOn w:val="Normal"/>
    <w:uiPriority w:val="2"/>
    <w:qFormat/>
    <w:rsid w:val="001A5D46"/>
    <w:pPr>
      <w:numPr>
        <w:ilvl w:val="1"/>
        <w:numId w:val="10"/>
      </w:numPr>
      <w:ind w:left="850" w:hanging="425"/>
    </w:pPr>
  </w:style>
  <w:style w:type="paragraph" w:styleId="ListBullet3">
    <w:name w:val="List Bullet 3"/>
    <w:basedOn w:val="Normal"/>
    <w:uiPriority w:val="2"/>
    <w:qFormat/>
    <w:rsid w:val="001A5D46"/>
    <w:pPr>
      <w:numPr>
        <w:numId w:val="32"/>
      </w:numPr>
      <w:ind w:left="1208" w:hanging="357"/>
    </w:pPr>
  </w:style>
  <w:style w:type="numbering" w:customStyle="1" w:styleId="ListBullets">
    <w:name w:val="ListBullets"/>
    <w:uiPriority w:val="99"/>
    <w:locked/>
    <w:rsid w:val="001A5D46"/>
    <w:pPr>
      <w:numPr>
        <w:numId w:val="10"/>
      </w:numPr>
    </w:pPr>
  </w:style>
  <w:style w:type="paragraph" w:customStyle="1" w:styleId="Numberbullet0">
    <w:name w:val="Number bullet"/>
    <w:basedOn w:val="ListBullet"/>
    <w:uiPriority w:val="3"/>
    <w:qFormat/>
    <w:rsid w:val="001A5D46"/>
    <w:pPr>
      <w:numPr>
        <w:numId w:val="2"/>
      </w:numPr>
    </w:pPr>
  </w:style>
  <w:style w:type="paragraph" w:customStyle="1" w:styleId="Numberbullet2">
    <w:name w:val="Number bullet 2"/>
    <w:basedOn w:val="ListBullet2"/>
    <w:uiPriority w:val="3"/>
    <w:qFormat/>
    <w:rsid w:val="001A5D46"/>
    <w:pPr>
      <w:numPr>
        <w:numId w:val="2"/>
      </w:numPr>
      <w:ind w:left="850" w:hanging="425"/>
    </w:pPr>
  </w:style>
  <w:style w:type="paragraph" w:customStyle="1" w:styleId="Numberbullet3">
    <w:name w:val="Number bullet 3"/>
    <w:basedOn w:val="ListBullet3"/>
    <w:uiPriority w:val="3"/>
    <w:qFormat/>
    <w:rsid w:val="001A5D46"/>
    <w:pPr>
      <w:numPr>
        <w:numId w:val="0"/>
      </w:numPr>
      <w:ind w:left="425" w:hanging="425"/>
    </w:pPr>
  </w:style>
  <w:style w:type="numbering" w:customStyle="1" w:styleId="NumberBullet">
    <w:name w:val="NumberBullet"/>
    <w:uiPriority w:val="99"/>
    <w:locked/>
    <w:rsid w:val="001A5D46"/>
    <w:pPr>
      <w:numPr>
        <w:numId w:val="2"/>
      </w:numPr>
    </w:pPr>
  </w:style>
  <w:style w:type="paragraph" w:styleId="Subtitle">
    <w:name w:val="Subtitle"/>
    <w:basedOn w:val="Normal"/>
    <w:next w:val="Normal"/>
    <w:link w:val="SubtitleChar"/>
    <w:uiPriority w:val="11"/>
    <w:unhideWhenUsed/>
    <w:rsid w:val="001A5D4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1A5D46"/>
    <w:rPr>
      <w:rFonts w:ascii="Arial" w:eastAsia="Times New Roman" w:hAnsi="Arial"/>
      <w:bCs/>
      <w:iCs/>
      <w:sz w:val="40"/>
      <w:szCs w:val="24"/>
    </w:rPr>
  </w:style>
  <w:style w:type="table" w:styleId="TableGrid">
    <w:name w:val="Table Grid"/>
    <w:basedOn w:val="TableNormal"/>
    <w:uiPriority w:val="59"/>
    <w:rsid w:val="001A5D46"/>
    <w:pPr>
      <w:spacing w:after="200" w:line="0" w:lineRule="auto"/>
    </w:pPr>
    <w:rPr>
      <w:rFonts w:eastAsia="Cambr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GASignoff">
    <w:name w:val="TGA Signoff"/>
    <w:basedOn w:val="Normal"/>
    <w:rsid w:val="00F02AEC"/>
    <w:pPr>
      <w:spacing w:before="120" w:after="360"/>
      <w:jc w:val="center"/>
    </w:pPr>
    <w:rPr>
      <w:rFonts w:ascii="Arial" w:hAnsi="Arial" w:cs="Times New Roman"/>
      <w:b/>
      <w:color w:val="333F48"/>
      <w:sz w:val="28"/>
    </w:rPr>
  </w:style>
  <w:style w:type="paragraph" w:styleId="Title">
    <w:name w:val="Title"/>
    <w:next w:val="Normal"/>
    <w:link w:val="TitleChar"/>
    <w:uiPriority w:val="10"/>
    <w:unhideWhenUsed/>
    <w:rsid w:val="001A5D46"/>
    <w:pPr>
      <w:spacing w:after="480" w:line="0" w:lineRule="auto"/>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1A5D46"/>
    <w:rPr>
      <w:rFonts w:ascii="Arial" w:eastAsia="Times New Roman" w:hAnsi="Arial"/>
      <w:spacing w:val="5"/>
      <w:kern w:val="28"/>
      <w:sz w:val="52"/>
      <w:szCs w:val="52"/>
    </w:rPr>
  </w:style>
  <w:style w:type="paragraph" w:styleId="TOC1">
    <w:name w:val="toc 1"/>
    <w:basedOn w:val="Normal"/>
    <w:next w:val="Normal"/>
    <w:uiPriority w:val="39"/>
    <w:unhideWhenUsed/>
    <w:rsid w:val="001A5D46"/>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1A5D46"/>
    <w:pPr>
      <w:keepLines/>
      <w:tabs>
        <w:tab w:val="right" w:leader="underscore" w:pos="9072"/>
      </w:tabs>
      <w:spacing w:after="100"/>
      <w:ind w:left="425"/>
    </w:pPr>
    <w:rPr>
      <w:sz w:val="25"/>
    </w:rPr>
  </w:style>
  <w:style w:type="paragraph" w:styleId="TOC3">
    <w:name w:val="toc 3"/>
    <w:basedOn w:val="Normal"/>
    <w:next w:val="Normal"/>
    <w:uiPriority w:val="39"/>
    <w:unhideWhenUsed/>
    <w:rsid w:val="001A5D46"/>
    <w:pPr>
      <w:keepLines/>
      <w:tabs>
        <w:tab w:val="right" w:leader="underscore" w:pos="9072"/>
      </w:tabs>
      <w:spacing w:after="100"/>
      <w:ind w:left="851"/>
    </w:pPr>
  </w:style>
  <w:style w:type="paragraph" w:styleId="FootnoteText">
    <w:name w:val="footnote text"/>
    <w:basedOn w:val="Normal"/>
    <w:link w:val="FootnoteTextChar"/>
    <w:rsid w:val="001A5D46"/>
    <w:pPr>
      <w:keepLines/>
    </w:pPr>
    <w:rPr>
      <w:sz w:val="20"/>
    </w:rPr>
  </w:style>
  <w:style w:type="character" w:customStyle="1" w:styleId="FootnoteTextChar">
    <w:name w:val="Footnote Text Char"/>
    <w:basedOn w:val="DefaultParagraphFont"/>
    <w:link w:val="FootnoteText"/>
    <w:rsid w:val="001A5D46"/>
    <w:rPr>
      <w:rFonts w:eastAsia="Cambria"/>
      <w:szCs w:val="22"/>
    </w:rPr>
  </w:style>
  <w:style w:type="character" w:styleId="FootnoteReference">
    <w:name w:val="footnote reference"/>
    <w:basedOn w:val="DefaultParagraphFont"/>
    <w:uiPriority w:val="99"/>
    <w:unhideWhenUsed/>
    <w:rsid w:val="001A5D46"/>
    <w:rPr>
      <w:vertAlign w:val="superscript"/>
    </w:rPr>
  </w:style>
  <w:style w:type="paragraph" w:customStyle="1" w:styleId="NonTOCheading2">
    <w:name w:val="Non TOC heading 2"/>
    <w:basedOn w:val="Normal"/>
    <w:next w:val="Normal"/>
    <w:rsid w:val="001A5D46"/>
    <w:pPr>
      <w:keepNext/>
      <w:keepLines/>
      <w:spacing w:before="360"/>
      <w:outlineLvl w:val="1"/>
    </w:pPr>
    <w:rPr>
      <w:rFonts w:ascii="Arial" w:hAnsi="Arial"/>
      <w:b/>
      <w:sz w:val="38"/>
    </w:rPr>
  </w:style>
  <w:style w:type="paragraph" w:customStyle="1" w:styleId="Headernoline">
    <w:name w:val="Header no line"/>
    <w:basedOn w:val="Header"/>
    <w:rsid w:val="001A5D46"/>
    <w:pPr>
      <w:pBdr>
        <w:bottom w:val="none" w:sz="0" w:space="0" w:color="auto"/>
      </w:pBdr>
      <w:spacing w:line="240" w:lineRule="atLeast"/>
    </w:pPr>
  </w:style>
  <w:style w:type="paragraph" w:customStyle="1" w:styleId="Tabledescription">
    <w:name w:val="Table description"/>
    <w:basedOn w:val="Figuredescription"/>
    <w:next w:val="Normal"/>
    <w:rsid w:val="001A5D46"/>
  </w:style>
  <w:style w:type="paragraph" w:customStyle="1" w:styleId="Tabletitle">
    <w:name w:val="Table title"/>
    <w:basedOn w:val="Normal"/>
    <w:next w:val="Normal"/>
    <w:rsid w:val="001A5D46"/>
    <w:pPr>
      <w:keepNext/>
      <w:outlineLvl w:val="4"/>
    </w:pPr>
    <w:rPr>
      <w:b/>
    </w:rPr>
  </w:style>
  <w:style w:type="paragraph" w:customStyle="1" w:styleId="Address">
    <w:name w:val="Address"/>
    <w:basedOn w:val="Normal"/>
    <w:rsid w:val="00F02AEC"/>
    <w:pPr>
      <w:spacing w:after="0" w:line="240" w:lineRule="auto"/>
    </w:pPr>
    <w:rPr>
      <w:rFonts w:ascii="Arial"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1A5D46"/>
    <w:rPr>
      <w:rFonts w:eastAsia="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line="240" w:lineRule="auto"/>
    </w:pPr>
    <w:rPr>
      <w:rFonts w:ascii="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355327"/>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355327"/>
    <w:rPr>
      <w:rFonts w:ascii="Cambria" w:eastAsia="Cambria" w:hAnsi="Cambria" w:cs="Times New Roman"/>
      <w:b/>
      <w:bCs/>
      <w:color w:val="000000" w:themeColor="text1"/>
    </w:rPr>
  </w:style>
  <w:style w:type="paragraph" w:customStyle="1" w:styleId="paragraph">
    <w:name w:val="paragraph"/>
    <w:basedOn w:val="Normal"/>
    <w:rsid w:val="00B7137A"/>
    <w:pPr>
      <w:spacing w:before="100" w:beforeAutospacing="1" w:after="100" w:afterAutospacing="1" w:line="240" w:lineRule="auto"/>
    </w:pPr>
    <w:rPr>
      <w:rFonts w:ascii="Times New Roman" w:eastAsia="Times New Roman" w:hAnsi="Times New Roman" w:cs="Times New Roman"/>
      <w:color w:val="0D0D0D" w:themeColor="text1" w:themeTint="F2"/>
      <w:sz w:val="24"/>
      <w:szCs w:val="24"/>
      <w:lang w:eastAsia="en-AU"/>
    </w:rPr>
  </w:style>
  <w:style w:type="character" w:customStyle="1" w:styleId="normaltextrun">
    <w:name w:val="normaltextrun"/>
    <w:basedOn w:val="DefaultParagraphFont"/>
    <w:rsid w:val="00B7137A"/>
  </w:style>
  <w:style w:type="character" w:customStyle="1" w:styleId="eop">
    <w:name w:val="eop"/>
    <w:basedOn w:val="DefaultParagraphFont"/>
    <w:rsid w:val="00B7137A"/>
  </w:style>
  <w:style w:type="character" w:customStyle="1" w:styleId="scxw160020770">
    <w:name w:val="scxw160020770"/>
    <w:basedOn w:val="DefaultParagraphFont"/>
    <w:rsid w:val="002C1E4A"/>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2C1E4A"/>
    <w:rPr>
      <w:color w:val="000000" w:themeColor="text1"/>
      <w:sz w:val="22"/>
      <w:szCs w:val="22"/>
    </w:rPr>
  </w:style>
  <w:style w:type="character" w:styleId="FollowedHyperlink">
    <w:name w:val="FollowedHyperlink"/>
    <w:basedOn w:val="DefaultParagraphFont"/>
    <w:semiHidden/>
    <w:unhideWhenUsed/>
    <w:rsid w:val="001A5D46"/>
    <w:rPr>
      <w:color w:val="800080"/>
      <w:u w:val="single"/>
    </w:rPr>
  </w:style>
  <w:style w:type="paragraph" w:styleId="NormalWeb">
    <w:name w:val="Normal (Web)"/>
    <w:basedOn w:val="Normal"/>
    <w:uiPriority w:val="99"/>
    <w:unhideWhenUsed/>
    <w:rsid w:val="009C019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rsid w:val="001A5D46"/>
    <w:rPr>
      <w:rFonts w:ascii="Arial" w:eastAsia="Times New Roman" w:hAnsi="Arial"/>
      <w:b/>
      <w:bCs/>
      <w:sz w:val="48"/>
      <w:szCs w:val="48"/>
    </w:rPr>
  </w:style>
  <w:style w:type="paragraph" w:styleId="BalloonText">
    <w:name w:val="Balloon Text"/>
    <w:basedOn w:val="Normal"/>
    <w:link w:val="BalloonTextChar"/>
    <w:uiPriority w:val="99"/>
    <w:semiHidden/>
    <w:unhideWhenUsed/>
    <w:rsid w:val="001A5D46"/>
    <w:rPr>
      <w:rFonts w:ascii="Tahoma" w:hAnsi="Tahoma" w:cs="Tahoma"/>
      <w:sz w:val="16"/>
      <w:szCs w:val="16"/>
    </w:rPr>
  </w:style>
  <w:style w:type="character" w:customStyle="1" w:styleId="BalloonTextChar">
    <w:name w:val="Balloon Text Char"/>
    <w:basedOn w:val="DefaultParagraphFont"/>
    <w:link w:val="BalloonText"/>
    <w:uiPriority w:val="99"/>
    <w:semiHidden/>
    <w:rsid w:val="001A5D46"/>
    <w:rPr>
      <w:rFonts w:ascii="Tahoma" w:eastAsia="Cambria" w:hAnsi="Tahoma" w:cs="Tahoma"/>
      <w:sz w:val="16"/>
      <w:szCs w:val="16"/>
    </w:rPr>
  </w:style>
  <w:style w:type="paragraph" w:customStyle="1" w:styleId="Figuredescription">
    <w:name w:val="Figure description"/>
    <w:basedOn w:val="Normal"/>
    <w:next w:val="Normal"/>
    <w:rsid w:val="001A5D46"/>
    <w:pPr>
      <w:spacing w:after="240" w:line="180" w:lineRule="atLeast"/>
    </w:pPr>
    <w:rPr>
      <w:sz w:val="18"/>
    </w:rPr>
  </w:style>
  <w:style w:type="paragraph" w:customStyle="1" w:styleId="Figuretitle">
    <w:name w:val="Figure title"/>
    <w:basedOn w:val="Normal"/>
    <w:next w:val="Normal"/>
    <w:rsid w:val="001A5D46"/>
    <w:pPr>
      <w:outlineLvl w:val="4"/>
    </w:pPr>
    <w:rPr>
      <w:b/>
    </w:rPr>
  </w:style>
  <w:style w:type="table" w:styleId="LightShading-Accent2">
    <w:name w:val="Light Shading Accent 2"/>
    <w:basedOn w:val="TableNormal"/>
    <w:uiPriority w:val="60"/>
    <w:rsid w:val="001A5D46"/>
    <w:pPr>
      <w:spacing w:after="200" w:line="0" w:lineRule="auto"/>
    </w:pPr>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1A5D46"/>
    <w:pPr>
      <w:spacing w:after="200" w:line="0" w:lineRule="auto"/>
    </w:pPr>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tes">
    <w:name w:val="Notes"/>
    <w:basedOn w:val="Normal"/>
    <w:semiHidden/>
    <w:locked/>
    <w:rsid w:val="001A5D46"/>
    <w:pPr>
      <w:spacing w:line="240" w:lineRule="auto"/>
    </w:pPr>
    <w:rPr>
      <w:rFonts w:ascii="Arial" w:hAnsi="Arial"/>
      <w:sz w:val="16"/>
    </w:rPr>
  </w:style>
  <w:style w:type="character" w:styleId="PlaceholderText">
    <w:name w:val="Placeholder Text"/>
    <w:basedOn w:val="DefaultParagraphFont"/>
    <w:uiPriority w:val="99"/>
    <w:semiHidden/>
    <w:rsid w:val="001A5D46"/>
    <w:rPr>
      <w:color w:val="808080"/>
    </w:rPr>
  </w:style>
  <w:style w:type="paragraph" w:customStyle="1" w:styleId="Reference">
    <w:name w:val="Reference"/>
    <w:basedOn w:val="Normal"/>
    <w:rsid w:val="001A5D46"/>
    <w:pPr>
      <w:spacing w:before="40"/>
      <w:ind w:left="170" w:hanging="170"/>
    </w:pPr>
    <w:rPr>
      <w:sz w:val="19"/>
    </w:rPr>
  </w:style>
  <w:style w:type="table" w:customStyle="1" w:styleId="TableTGAblue">
    <w:name w:val="Table TGA blue"/>
    <w:basedOn w:val="TableNormal"/>
    <w:uiPriority w:val="99"/>
    <w:qFormat/>
    <w:rsid w:val="001A5D46"/>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1A5D46"/>
    <w:pPr>
      <w:spacing w:after="200" w:line="0" w:lineRule="auto"/>
    </w:pPr>
    <w:rPr>
      <w:rFonts w:ascii="Cambria" w:eastAsia="Cambria" w:hAnsi="Cambria"/>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styleId="TOCHeading">
    <w:name w:val="TOC Heading"/>
    <w:basedOn w:val="Heading1"/>
    <w:next w:val="Normal"/>
    <w:uiPriority w:val="39"/>
    <w:semiHidden/>
    <w:unhideWhenUsed/>
    <w:qFormat/>
    <w:rsid w:val="001A5D46"/>
    <w:pPr>
      <w:spacing w:before="480" w:after="0" w:line="276" w:lineRule="auto"/>
      <w:outlineLvl w:val="9"/>
    </w:pPr>
    <w:rPr>
      <w:bCs w:val="0"/>
      <w:color w:val="002035"/>
      <w:sz w:val="28"/>
      <w:lang w:val="en-US"/>
    </w:rPr>
  </w:style>
  <w:style w:type="paragraph" w:customStyle="1" w:styleId="Subject">
    <w:name w:val="Subject"/>
    <w:basedOn w:val="Normal"/>
    <w:rsid w:val="001A5D46"/>
    <w:rPr>
      <w:b/>
    </w:rPr>
  </w:style>
  <w:style w:type="paragraph" w:styleId="Caption">
    <w:name w:val="caption"/>
    <w:basedOn w:val="Tabletitle"/>
    <w:next w:val="Normal"/>
    <w:uiPriority w:val="35"/>
    <w:semiHidden/>
    <w:rsid w:val="001A5D46"/>
  </w:style>
  <w:style w:type="paragraph" w:customStyle="1" w:styleId="FlowChartWhiteText">
    <w:name w:val="Flow Chart White Text"/>
    <w:basedOn w:val="Normal"/>
    <w:semiHidden/>
    <w:unhideWhenUsed/>
    <w:rsid w:val="001A5D46"/>
    <w:pPr>
      <w:jc w:val="center"/>
    </w:pPr>
    <w:rPr>
      <w:rFonts w:ascii="Arial" w:hAnsi="Arial"/>
      <w:color w:val="FFFFFF"/>
    </w:rPr>
  </w:style>
  <w:style w:type="paragraph" w:customStyle="1" w:styleId="FlowchartText">
    <w:name w:val="Flowchart Text"/>
    <w:basedOn w:val="Normal"/>
    <w:semiHidden/>
    <w:unhideWhenUsed/>
    <w:rsid w:val="001A5D46"/>
    <w:pPr>
      <w:jc w:val="center"/>
    </w:pPr>
    <w:rPr>
      <w:rFonts w:ascii="Arial" w:hAnsi="Arial"/>
    </w:rPr>
  </w:style>
  <w:style w:type="paragraph" w:customStyle="1" w:styleId="Quotation">
    <w:name w:val="Quotation"/>
    <w:basedOn w:val="Normal"/>
    <w:next w:val="Normal"/>
    <w:uiPriority w:val="4"/>
    <w:qFormat/>
    <w:rsid w:val="001A5D46"/>
    <w:pPr>
      <w:ind w:left="425"/>
    </w:pPr>
    <w:rPr>
      <w:sz w:val="20"/>
    </w:rPr>
  </w:style>
  <w:style w:type="paragraph" w:styleId="TOC4">
    <w:name w:val="toc 4"/>
    <w:basedOn w:val="Normal"/>
    <w:next w:val="Normal"/>
    <w:autoRedefine/>
    <w:uiPriority w:val="39"/>
    <w:unhideWhenUsed/>
    <w:rsid w:val="001A5D46"/>
    <w:pPr>
      <w:keepLines/>
      <w:tabs>
        <w:tab w:val="right" w:leader="underscore" w:pos="9072"/>
      </w:tabs>
      <w:spacing w:after="100"/>
      <w:ind w:left="1276"/>
    </w:pPr>
  </w:style>
  <w:style w:type="paragraph" w:styleId="TOC5">
    <w:name w:val="toc 5"/>
    <w:basedOn w:val="Normal"/>
    <w:next w:val="Normal"/>
    <w:autoRedefine/>
    <w:uiPriority w:val="39"/>
    <w:unhideWhenUsed/>
    <w:rsid w:val="001A5D46"/>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1A5D46"/>
    <w:pPr>
      <w:tabs>
        <w:tab w:val="right" w:pos="8505"/>
      </w:tabs>
      <w:spacing w:after="100"/>
      <w:ind w:left="2126"/>
    </w:pPr>
  </w:style>
  <w:style w:type="paragraph" w:styleId="TOC7">
    <w:name w:val="toc 7"/>
    <w:basedOn w:val="Normal"/>
    <w:next w:val="Normal"/>
    <w:autoRedefine/>
    <w:uiPriority w:val="39"/>
    <w:semiHidden/>
    <w:unhideWhenUsed/>
    <w:rsid w:val="001A5D46"/>
    <w:pPr>
      <w:spacing w:after="100"/>
      <w:ind w:left="2211"/>
    </w:pPr>
  </w:style>
  <w:style w:type="paragraph" w:styleId="EndnoteText">
    <w:name w:val="endnote text"/>
    <w:basedOn w:val="FootnoteText"/>
    <w:link w:val="EndnoteTextChar"/>
    <w:semiHidden/>
    <w:unhideWhenUsed/>
    <w:rsid w:val="001A5D46"/>
  </w:style>
  <w:style w:type="character" w:customStyle="1" w:styleId="EndnoteTextChar">
    <w:name w:val="Endnote Text Char"/>
    <w:basedOn w:val="DefaultParagraphFont"/>
    <w:link w:val="EndnoteText"/>
    <w:semiHidden/>
    <w:rsid w:val="001A5D46"/>
    <w:rPr>
      <w:rFonts w:eastAsia="Cambria"/>
      <w:szCs w:val="22"/>
    </w:rPr>
  </w:style>
  <w:style w:type="character" w:styleId="EndnoteReference">
    <w:name w:val="endnote reference"/>
    <w:basedOn w:val="DefaultParagraphFont"/>
    <w:uiPriority w:val="99"/>
    <w:semiHidden/>
    <w:unhideWhenUsed/>
    <w:rsid w:val="001A5D46"/>
    <w:rPr>
      <w:vertAlign w:val="superscript"/>
    </w:rPr>
  </w:style>
  <w:style w:type="paragraph" w:styleId="TableofFigures">
    <w:name w:val="table of figures"/>
    <w:basedOn w:val="Normal"/>
    <w:next w:val="Normal"/>
    <w:uiPriority w:val="99"/>
    <w:semiHidden/>
    <w:unhideWhenUsed/>
    <w:rsid w:val="001A5D46"/>
  </w:style>
  <w:style w:type="paragraph" w:styleId="Revision">
    <w:name w:val="Revision"/>
    <w:hidden/>
    <w:uiPriority w:val="99"/>
    <w:semiHidden/>
    <w:rsid w:val="00480D19"/>
    <w:pPr>
      <w:spacing w:after="0" w:line="240" w:lineRule="auto"/>
    </w:pPr>
    <w:rPr>
      <w:rFonts w:eastAsia="Cambria"/>
      <w:sz w:val="22"/>
      <w:szCs w:val="22"/>
    </w:rPr>
  </w:style>
  <w:style w:type="table" w:customStyle="1" w:styleId="TableGrid1">
    <w:name w:val="Table Grid1"/>
    <w:basedOn w:val="TableNormal"/>
    <w:next w:val="TableGrid"/>
    <w:uiPriority w:val="39"/>
    <w:rsid w:val="00A5016F"/>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31289">
      <w:bodyDiv w:val="1"/>
      <w:marLeft w:val="0"/>
      <w:marRight w:val="0"/>
      <w:marTop w:val="0"/>
      <w:marBottom w:val="0"/>
      <w:divBdr>
        <w:top w:val="none" w:sz="0" w:space="0" w:color="auto"/>
        <w:left w:val="none" w:sz="0" w:space="0" w:color="auto"/>
        <w:bottom w:val="none" w:sz="0" w:space="0" w:color="auto"/>
        <w:right w:val="none" w:sz="0" w:space="0" w:color="auto"/>
      </w:divBdr>
    </w:div>
    <w:div w:id="16235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consultations.tga.gov.au/tga/scheduling-interim-decision-june-2023/" TargetMode="External"/><Relationship Id="rId26" Type="http://schemas.openxmlformats.org/officeDocument/2006/relationships/hyperlink" Target="https://consultations.tga.gov.au/tga/scheduling-interim-decision-june-2023/user_uploads/public-notice-of-interim-decisions---june-2023---acms--42--joint-acms-accs-34-1.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ga.gov.au/resources/consultation/consultation-proposed-amendments-poisons-standard-acms-and-joint-acms-accs-meetings-june-2023" TargetMode="External"/><Relationship Id="rId34" Type="http://schemas.openxmlformats.org/officeDocument/2006/relationships/hyperlink" Target="https://consultations.tga.gov.au/tga/scheduling-interim-decision-june-2023/user_uploads/public-notice-of-interim-decisions---june-2023---acms--42--joint-acms-accs-34-1.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resources/publication/scheduling-decisions-interim/notice-interim-decisions-proposed-amendments-poisons-standard-acms-42-and-joint-acms-accs-34-june-2023" TargetMode="External"/><Relationship Id="rId25" Type="http://schemas.openxmlformats.org/officeDocument/2006/relationships/hyperlink" Target="https://consultations.tga.gov.au/tga/scheduling-interim-decision-june-2023/" TargetMode="External"/><Relationship Id="rId33" Type="http://schemas.openxmlformats.org/officeDocument/2006/relationships/hyperlink" Target="https://consultations.tga.gov.au/tga/scheduling-interim-decision-june-2023/" TargetMode="External"/><Relationship Id="rId38"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consultations.tga.gov.au/++preview++/tga/scheduling-pre-meeting-june-2023/user_uploads/june-pre-meeting-public-notice-acms--42-acms-accs--34-1.pdf" TargetMode="External"/><Relationship Id="rId20" Type="http://schemas.openxmlformats.org/officeDocument/2006/relationships/hyperlink" Target="https://www.tga.gov.au/news/news/codeine-stock-management-wholesalers-sponsors-and-retail-pharmacies" TargetMode="External"/><Relationship Id="rId29" Type="http://schemas.openxmlformats.org/officeDocument/2006/relationships/hyperlink" Target="https://www.tga.gov.au/resources/consultation/consultation-proposed-amendments-poisons-standard-acms-and-joint-acms-accs-meetings-june-20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resources/publication/scheduling-decisions-interim/notice-interim-decisions-proposed-amendments-poisons-standard-acms-42-and-joint-acms-accs-34-june-2023" TargetMode="External"/><Relationship Id="rId32" Type="http://schemas.openxmlformats.org/officeDocument/2006/relationships/hyperlink" Target="https://www.tga.gov.au/resources/publication/scheduling-decisions-interim/notice-interim-decisions-proposed-amendments-poisons-standard-acms-42-and-joint-acms-accs-34-june-2023" TargetMode="External"/><Relationship Id="rId37" Type="http://schemas.openxmlformats.org/officeDocument/2006/relationships/hyperlink" Target="mailto:info@tga.gov.au"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onsultations.tga.gov.au/tga/scheduling-pre-meeting-june-2023/" TargetMode="External"/><Relationship Id="rId23" Type="http://schemas.openxmlformats.org/officeDocument/2006/relationships/hyperlink" Target="https://consultations.tga.gov.au/tga/scheduling-pre-meeting-june-2023/user_uploads/june-pre-meeting-public-notice-acms--42-acms-accs--34-1.pdf" TargetMode="External"/><Relationship Id="rId28" Type="http://schemas.openxmlformats.org/officeDocument/2006/relationships/hyperlink" Target="https://www.tga.gov.au/resources/artg"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consultations.tga.gov.au/tga/scheduling-interim-decision-june-2023/user_uploads/public-notice-of-interim-decisions---june-2023---acms--42--joint-acms-accs-34-1.pdf" TargetMode="External"/><Relationship Id="rId31" Type="http://schemas.openxmlformats.org/officeDocument/2006/relationships/hyperlink" Target="https://consultations.tga.gov.au/tga/scheduling-pre-meeting-june-2023/user_uploads/june-pre-meeting-public-notice-acms--42-acms-accs--34-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resources/consultation/consultation-proposed-amendments-poisons-standard-acms-and-joint-acms-accs-meetings-june-2023" TargetMode="External"/><Relationship Id="rId22" Type="http://schemas.openxmlformats.org/officeDocument/2006/relationships/hyperlink" Target="https://consultations.tga.gov.au/tga/scheduling-pre-meeting-june-2023/user_uploads/june-pre-meeting-public-notice-acms--42-acms-accs--34-1.pdf" TargetMode="External"/><Relationship Id="rId27" Type="http://schemas.openxmlformats.org/officeDocument/2006/relationships/hyperlink" Target="https://www.tga.gov.au/resources/artg" TargetMode="External"/><Relationship Id="rId30" Type="http://schemas.openxmlformats.org/officeDocument/2006/relationships/hyperlink" Target="https://consultations.tga.gov.au/tga/scheduling-pre-meeting-june-2023/user_uploads/june-pre-meeting-public-notice-acms--42-acms-accs--34-1.pdf"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lld\OneDrive%20-%20Department%20of%20Health\Documents\Custom%20Office%20Templates\TGA-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TGA-Normal.DOTX</Template>
  <TotalTime>4</TotalTime>
  <Pages>14</Pages>
  <Words>3442</Words>
  <Characters>19758</Characters>
  <Application>Microsoft Office Word</Application>
  <DocSecurity>0</DocSecurity>
  <Lines>449</Lines>
  <Paragraphs>331</Paragraphs>
  <ScaleCrop>false</ScaleCrop>
  <HeadingPairs>
    <vt:vector size="2" baseType="variant">
      <vt:variant>
        <vt:lpstr>Title</vt:lpstr>
      </vt:variant>
      <vt:variant>
        <vt:i4>1</vt:i4>
      </vt:variant>
    </vt:vector>
  </HeadingPairs>
  <TitlesOfParts>
    <vt:vector size="1" baseType="lpstr">
      <vt:lpstr>Notice of final decisions to amend (or not amend) the current Poisons Standard</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
  <dc:creator>Therapeutic Goods Administration</dc:creator>
  <cp:keywords/>
  <dc:description/>
  <cp:revision>2</cp:revision>
  <dcterms:created xsi:type="dcterms:W3CDTF">2023-12-15T02:48:00Z</dcterms:created>
  <dcterms:modified xsi:type="dcterms:W3CDTF">2023-12-15T02:48:00Z</dcterms:modified>
</cp:coreProperties>
</file>