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5612CB" w14:paraId="08AE1D54" w14:textId="77777777" w:rsidTr="00346EC2">
        <w:trPr>
          <w:trHeight w:val="1558"/>
        </w:trPr>
        <w:tc>
          <w:tcPr>
            <w:tcW w:w="8720" w:type="dxa"/>
          </w:tcPr>
          <w:p w14:paraId="2538A211" w14:textId="4761DC25" w:rsidR="00F02AEC" w:rsidRPr="005612CB" w:rsidRDefault="00346EC2" w:rsidP="007452E8">
            <w:pPr>
              <w:pStyle w:val="Title"/>
            </w:pPr>
            <w:r w:rsidRPr="005612CB">
              <w:t xml:space="preserve">Australian Public Assessment Report for </w:t>
            </w:r>
            <w:r w:rsidR="0026248A" w:rsidRPr="005612CB">
              <w:t>Imfinzi</w:t>
            </w:r>
          </w:p>
        </w:tc>
      </w:tr>
      <w:tr w:rsidR="00F02AEC" w:rsidRPr="005612CB" w14:paraId="318A40A3" w14:textId="77777777" w:rsidTr="00346EC2">
        <w:trPr>
          <w:trHeight w:val="995"/>
        </w:trPr>
        <w:tc>
          <w:tcPr>
            <w:tcW w:w="8720" w:type="dxa"/>
          </w:tcPr>
          <w:p w14:paraId="1AA7C701" w14:textId="6F1BB256" w:rsidR="00F02AEC" w:rsidRPr="005612CB" w:rsidRDefault="00346EC2" w:rsidP="007452E8">
            <w:pPr>
              <w:pStyle w:val="Subtitle"/>
              <w:ind w:left="0"/>
            </w:pPr>
            <w:r w:rsidRPr="005612CB">
              <w:t xml:space="preserve">Active ingredient: </w:t>
            </w:r>
            <w:r w:rsidR="002221F2" w:rsidRPr="005612CB">
              <w:t>Durvalumab</w:t>
            </w:r>
          </w:p>
        </w:tc>
      </w:tr>
      <w:tr w:rsidR="00346EC2" w:rsidRPr="005612CB" w14:paraId="362CCAE4" w14:textId="77777777" w:rsidTr="007452E8">
        <w:trPr>
          <w:trHeight w:val="1916"/>
        </w:trPr>
        <w:tc>
          <w:tcPr>
            <w:tcW w:w="8720" w:type="dxa"/>
          </w:tcPr>
          <w:p w14:paraId="709C45C0" w14:textId="50657682" w:rsidR="00346EC2" w:rsidRPr="005612CB" w:rsidRDefault="00346EC2" w:rsidP="007452E8">
            <w:pPr>
              <w:pStyle w:val="Subtitle"/>
              <w:ind w:left="0"/>
            </w:pPr>
            <w:r w:rsidRPr="005612CB">
              <w:t xml:space="preserve">Sponsor: </w:t>
            </w:r>
            <w:r w:rsidR="00C95D33" w:rsidRPr="005612CB">
              <w:t>AstraZeneca Pty Ltd</w:t>
            </w:r>
          </w:p>
        </w:tc>
      </w:tr>
      <w:tr w:rsidR="00F02AEC" w:rsidRPr="005612CB" w14:paraId="37F2AA1F" w14:textId="77777777" w:rsidTr="007452E8">
        <w:tc>
          <w:tcPr>
            <w:tcW w:w="8720" w:type="dxa"/>
          </w:tcPr>
          <w:p w14:paraId="1FDE8DCD" w14:textId="7D38BEAB" w:rsidR="00F02AEC" w:rsidRPr="005612CB" w:rsidRDefault="00BF7F62" w:rsidP="007452E8">
            <w:pPr>
              <w:pStyle w:val="Date"/>
            </w:pPr>
            <w:r>
              <w:t>December</w:t>
            </w:r>
            <w:r w:rsidR="00C95D33" w:rsidRPr="005612CB">
              <w:t xml:space="preserve"> 2023</w:t>
            </w:r>
          </w:p>
        </w:tc>
      </w:tr>
    </w:tbl>
    <w:p w14:paraId="73752706" w14:textId="77777777" w:rsidR="00F02AEC" w:rsidRPr="005612CB" w:rsidRDefault="00F02AEC" w:rsidP="007452E8">
      <w:pPr>
        <w:pStyle w:val="ListBullet"/>
        <w:numPr>
          <w:ilvl w:val="0"/>
          <w:numId w:val="0"/>
        </w:numPr>
        <w:sectPr w:rsidR="00F02AEC" w:rsidRPr="005612CB"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5612CB" w:rsidRDefault="00346EC2" w:rsidP="00346EC2">
      <w:pPr>
        <w:pStyle w:val="NonTOCHeading20"/>
      </w:pPr>
      <w:r w:rsidRPr="005612CB">
        <w:lastRenderedPageBreak/>
        <w:t>About the Therapeutic Goods Administration (TGA)</w:t>
      </w:r>
    </w:p>
    <w:p w14:paraId="79558AE9" w14:textId="77777777" w:rsidR="00346EC2" w:rsidRPr="005612CB" w:rsidRDefault="00346EC2" w:rsidP="0056766D">
      <w:pPr>
        <w:pStyle w:val="ListBullet"/>
      </w:pPr>
      <w:r w:rsidRPr="005612CB">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5612CB" w:rsidRDefault="00346EC2" w:rsidP="00346EC2">
      <w:pPr>
        <w:pStyle w:val="ListBullet"/>
      </w:pPr>
      <w:r w:rsidRPr="005612CB">
        <w:t xml:space="preserve">The TGA administers the </w:t>
      </w:r>
      <w:r w:rsidRPr="005612CB">
        <w:rPr>
          <w:i/>
          <w:iCs/>
        </w:rPr>
        <w:t>Therapeutic Goods Act 1989</w:t>
      </w:r>
      <w:r w:rsidRPr="005612CB">
        <w:t xml:space="preserve"> (the Act), applying a risk management approach designed to ensure therapeutic goods supplied in Australia meet acceptable standards of quality, safety, and efficacy.</w:t>
      </w:r>
    </w:p>
    <w:p w14:paraId="77180CB3" w14:textId="77777777" w:rsidR="00346EC2" w:rsidRPr="005612CB" w:rsidRDefault="00346EC2" w:rsidP="00346EC2">
      <w:pPr>
        <w:pStyle w:val="ListBullet"/>
      </w:pPr>
      <w:r w:rsidRPr="005612CB">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5612CB" w:rsidRDefault="00346EC2" w:rsidP="00346EC2">
      <w:pPr>
        <w:pStyle w:val="ListBullet"/>
      </w:pPr>
      <w:r w:rsidRPr="005612CB">
        <w:t>The TGA relies on the public, healthcare professionals and industry to report problems with therapeutic goods. The TGA investigates reports received to determine any necessary regulatory action.</w:t>
      </w:r>
    </w:p>
    <w:p w14:paraId="17DC24C6" w14:textId="0E003A1C" w:rsidR="00346EC2" w:rsidRPr="005612CB" w:rsidRDefault="00346EC2" w:rsidP="00346EC2">
      <w:pPr>
        <w:pStyle w:val="ListBullet"/>
      </w:pPr>
      <w:r w:rsidRPr="005612CB">
        <w:t xml:space="preserve">To report a problem with a therapeutic good, please see the information on the </w:t>
      </w:r>
      <w:hyperlink r:id="rId12" w:history="1">
        <w:r w:rsidRPr="005612CB">
          <w:rPr>
            <w:rStyle w:val="Hyperlink"/>
          </w:rPr>
          <w:t>TGA website</w:t>
        </w:r>
      </w:hyperlink>
      <w:r w:rsidRPr="005612CB">
        <w:t>.</w:t>
      </w:r>
    </w:p>
    <w:p w14:paraId="737B7A99" w14:textId="77777777" w:rsidR="00346EC2" w:rsidRPr="005612CB" w:rsidRDefault="00346EC2" w:rsidP="00346EC2">
      <w:pPr>
        <w:pStyle w:val="NonTOCHeading20"/>
      </w:pPr>
      <w:r w:rsidRPr="005612CB">
        <w:t>About AusPARs</w:t>
      </w:r>
    </w:p>
    <w:p w14:paraId="631B2209" w14:textId="6082F5C5" w:rsidR="00346EC2" w:rsidRPr="005612CB" w:rsidRDefault="00346EC2" w:rsidP="00346EC2">
      <w:pPr>
        <w:pStyle w:val="ListBullet"/>
      </w:pPr>
      <w:r w:rsidRPr="005612CB">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3" w:history="1">
        <w:r w:rsidRPr="005612CB">
          <w:rPr>
            <w:rStyle w:val="Hyperlink"/>
          </w:rPr>
          <w:t>Australian Public Assessment Report (AusPAR) guidance</w:t>
        </w:r>
      </w:hyperlink>
      <w:r w:rsidRPr="005612CB">
        <w:t>.</w:t>
      </w:r>
    </w:p>
    <w:p w14:paraId="22F5A730" w14:textId="77777777" w:rsidR="00346EC2" w:rsidRPr="005612CB" w:rsidRDefault="00346EC2" w:rsidP="00346EC2">
      <w:pPr>
        <w:pStyle w:val="ListBullet"/>
      </w:pPr>
      <w:r w:rsidRPr="005612CB">
        <w:t>AusPARs are prepared and published by the TGA.</w:t>
      </w:r>
    </w:p>
    <w:p w14:paraId="451B8FD7" w14:textId="77777777" w:rsidR="00346EC2" w:rsidRPr="005612CB" w:rsidRDefault="00346EC2" w:rsidP="00346EC2">
      <w:pPr>
        <w:pStyle w:val="ListBullet"/>
      </w:pPr>
      <w:r w:rsidRPr="005612CB">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5612CB" w:rsidRDefault="00346EC2" w:rsidP="00346EC2">
      <w:pPr>
        <w:pStyle w:val="ListBullet"/>
      </w:pPr>
      <w:r w:rsidRPr="005612CB">
        <w:t>A new AusPAR may be provided to reflect changes to indications or major variations to a prescription medicine subject to evaluation by the TGA.</w:t>
      </w:r>
    </w:p>
    <w:p w14:paraId="7067011F" w14:textId="510D5C5C" w:rsidR="00F02AEC" w:rsidRPr="005612CB" w:rsidRDefault="00F02AEC" w:rsidP="00FE087C">
      <w:pPr>
        <w:pStyle w:val="LegalSubheading"/>
        <w:spacing w:before="3600"/>
      </w:pPr>
      <w:r w:rsidRPr="005612CB">
        <w:t>Copyright</w:t>
      </w:r>
    </w:p>
    <w:p w14:paraId="170A8A5D" w14:textId="05FD740F" w:rsidR="00175CD8" w:rsidRPr="005612CB" w:rsidRDefault="00F02AEC" w:rsidP="00346EC2">
      <w:pPr>
        <w:pStyle w:val="LegalCopy"/>
        <w:rPr>
          <w:rFonts w:cs="Arial"/>
        </w:rPr>
      </w:pPr>
      <w:r w:rsidRPr="005612CB">
        <w:rPr>
          <w:rFonts w:cs="Arial"/>
        </w:rPr>
        <w:t>© Commonwealth of Australia 202</w:t>
      </w:r>
      <w:r w:rsidR="00E47E0C" w:rsidRPr="005612CB">
        <w:rPr>
          <w:rFonts w:cs="Arial"/>
        </w:rPr>
        <w:t>3</w:t>
      </w:r>
      <w:r w:rsidRPr="005612CB">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5612CB">
        <w:rPr>
          <w:rFonts w:cs="Arial"/>
          <w:i/>
        </w:rPr>
        <w:t>Copyright Act 1968</w:t>
      </w:r>
      <w:r w:rsidRPr="005612CB">
        <w:rPr>
          <w:rFonts w:cs="Arial"/>
        </w:rPr>
        <w:t xml:space="preserve"> or allowed by this copyright notice, all other rights are </w:t>
      </w:r>
      <w:proofErr w:type="gramStart"/>
      <w:r w:rsidRPr="005612CB">
        <w:rPr>
          <w:rFonts w:cs="Arial"/>
        </w:rPr>
        <w:t>reserved</w:t>
      </w:r>
      <w:proofErr w:type="gramEnd"/>
      <w:r w:rsidRPr="005612CB">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5612CB">
          <w:rPr>
            <w:rStyle w:val="Hyperlink"/>
            <w:rFonts w:cs="Arial"/>
          </w:rPr>
          <w:t>tga.copyright@tga.gov.au</w:t>
        </w:r>
      </w:hyperlink>
      <w:r w:rsidRPr="005612CB">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5612CB" w:rsidRDefault="00F02AEC" w:rsidP="007452E8">
          <w:pPr>
            <w:pStyle w:val="NonTOCheading2"/>
          </w:pPr>
          <w:r w:rsidRPr="005612CB">
            <w:t>Contents</w:t>
          </w:r>
        </w:p>
        <w:p w14:paraId="6334C73D" w14:textId="6751A0E8" w:rsidR="00711616" w:rsidRDefault="00F02AEC">
          <w:pPr>
            <w:pStyle w:val="TOC1"/>
            <w:rPr>
              <w:rFonts w:asciiTheme="minorHAnsi" w:eastAsiaTheme="minorEastAsia" w:hAnsiTheme="minorHAnsi" w:cstheme="minorBidi"/>
              <w:b w:val="0"/>
              <w:noProof/>
              <w:color w:val="auto"/>
              <w:sz w:val="22"/>
              <w:szCs w:val="22"/>
              <w:lang w:eastAsia="en-AU"/>
            </w:rPr>
          </w:pPr>
          <w:r w:rsidRPr="005612CB">
            <w:fldChar w:fldCharType="begin"/>
          </w:r>
          <w:r w:rsidRPr="005612CB">
            <w:instrText xml:space="preserve"> TOC \h \z \u \t "Heading 2,1,Heading 3,2,Heading 4,3" </w:instrText>
          </w:r>
          <w:r w:rsidRPr="005612CB">
            <w:fldChar w:fldCharType="separate"/>
          </w:r>
          <w:hyperlink w:anchor="_Toc152934429" w:history="1">
            <w:r w:rsidR="00711616" w:rsidRPr="00FB5AA2">
              <w:rPr>
                <w:rStyle w:val="Hyperlink"/>
                <w:noProof/>
              </w:rPr>
              <w:t>List of abbreviations</w:t>
            </w:r>
            <w:r w:rsidR="00711616">
              <w:rPr>
                <w:noProof/>
                <w:webHidden/>
              </w:rPr>
              <w:tab/>
            </w:r>
            <w:r w:rsidR="00711616">
              <w:rPr>
                <w:noProof/>
                <w:webHidden/>
              </w:rPr>
              <w:fldChar w:fldCharType="begin"/>
            </w:r>
            <w:r w:rsidR="00711616">
              <w:rPr>
                <w:noProof/>
                <w:webHidden/>
              </w:rPr>
              <w:instrText xml:space="preserve"> PAGEREF _Toc152934429 \h </w:instrText>
            </w:r>
            <w:r w:rsidR="00711616">
              <w:rPr>
                <w:noProof/>
                <w:webHidden/>
              </w:rPr>
            </w:r>
            <w:r w:rsidR="00711616">
              <w:rPr>
                <w:noProof/>
                <w:webHidden/>
              </w:rPr>
              <w:fldChar w:fldCharType="separate"/>
            </w:r>
            <w:r w:rsidR="00711616">
              <w:rPr>
                <w:noProof/>
                <w:webHidden/>
              </w:rPr>
              <w:t>4</w:t>
            </w:r>
            <w:r w:rsidR="00711616">
              <w:rPr>
                <w:noProof/>
                <w:webHidden/>
              </w:rPr>
              <w:fldChar w:fldCharType="end"/>
            </w:r>
          </w:hyperlink>
        </w:p>
        <w:p w14:paraId="7ACC6C79" w14:textId="7D8AC670" w:rsidR="00711616" w:rsidRDefault="006379D5">
          <w:pPr>
            <w:pStyle w:val="TOC1"/>
            <w:rPr>
              <w:rFonts w:asciiTheme="minorHAnsi" w:eastAsiaTheme="minorEastAsia" w:hAnsiTheme="minorHAnsi" w:cstheme="minorBidi"/>
              <w:b w:val="0"/>
              <w:noProof/>
              <w:color w:val="auto"/>
              <w:sz w:val="22"/>
              <w:szCs w:val="22"/>
              <w:lang w:eastAsia="en-AU"/>
            </w:rPr>
          </w:pPr>
          <w:hyperlink w:anchor="_Toc152934430" w:history="1">
            <w:r w:rsidR="00711616" w:rsidRPr="00FB5AA2">
              <w:rPr>
                <w:rStyle w:val="Hyperlink"/>
                <w:noProof/>
              </w:rPr>
              <w:t>Product submission</w:t>
            </w:r>
            <w:r w:rsidR="00711616">
              <w:rPr>
                <w:noProof/>
                <w:webHidden/>
              </w:rPr>
              <w:tab/>
            </w:r>
            <w:r w:rsidR="00711616">
              <w:rPr>
                <w:noProof/>
                <w:webHidden/>
              </w:rPr>
              <w:fldChar w:fldCharType="begin"/>
            </w:r>
            <w:r w:rsidR="00711616">
              <w:rPr>
                <w:noProof/>
                <w:webHidden/>
              </w:rPr>
              <w:instrText xml:space="preserve"> PAGEREF _Toc152934430 \h </w:instrText>
            </w:r>
            <w:r w:rsidR="00711616">
              <w:rPr>
                <w:noProof/>
                <w:webHidden/>
              </w:rPr>
            </w:r>
            <w:r w:rsidR="00711616">
              <w:rPr>
                <w:noProof/>
                <w:webHidden/>
              </w:rPr>
              <w:fldChar w:fldCharType="separate"/>
            </w:r>
            <w:r w:rsidR="00711616">
              <w:rPr>
                <w:noProof/>
                <w:webHidden/>
              </w:rPr>
              <w:t>6</w:t>
            </w:r>
            <w:r w:rsidR="00711616">
              <w:rPr>
                <w:noProof/>
                <w:webHidden/>
              </w:rPr>
              <w:fldChar w:fldCharType="end"/>
            </w:r>
          </w:hyperlink>
        </w:p>
        <w:p w14:paraId="0F6A697A" w14:textId="3716DDAF"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31" w:history="1">
            <w:r w:rsidR="00711616" w:rsidRPr="00FB5AA2">
              <w:rPr>
                <w:rStyle w:val="Hyperlink"/>
                <w:noProof/>
                <w:lang w:eastAsia="en-AU"/>
              </w:rPr>
              <w:t>Submission details</w:t>
            </w:r>
            <w:r w:rsidR="00711616">
              <w:rPr>
                <w:noProof/>
                <w:webHidden/>
              </w:rPr>
              <w:tab/>
            </w:r>
            <w:r w:rsidR="00711616">
              <w:rPr>
                <w:noProof/>
                <w:webHidden/>
              </w:rPr>
              <w:fldChar w:fldCharType="begin"/>
            </w:r>
            <w:r w:rsidR="00711616">
              <w:rPr>
                <w:noProof/>
                <w:webHidden/>
              </w:rPr>
              <w:instrText xml:space="preserve"> PAGEREF _Toc152934431 \h </w:instrText>
            </w:r>
            <w:r w:rsidR="00711616">
              <w:rPr>
                <w:noProof/>
                <w:webHidden/>
              </w:rPr>
            </w:r>
            <w:r w:rsidR="00711616">
              <w:rPr>
                <w:noProof/>
                <w:webHidden/>
              </w:rPr>
              <w:fldChar w:fldCharType="separate"/>
            </w:r>
            <w:r w:rsidR="00711616">
              <w:rPr>
                <w:noProof/>
                <w:webHidden/>
              </w:rPr>
              <w:t>6</w:t>
            </w:r>
            <w:r w:rsidR="00711616">
              <w:rPr>
                <w:noProof/>
                <w:webHidden/>
              </w:rPr>
              <w:fldChar w:fldCharType="end"/>
            </w:r>
          </w:hyperlink>
        </w:p>
        <w:p w14:paraId="005D2931" w14:textId="71772D4E"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32" w:history="1">
            <w:r w:rsidR="00711616" w:rsidRPr="00FB5AA2">
              <w:rPr>
                <w:rStyle w:val="Hyperlink"/>
                <w:noProof/>
              </w:rPr>
              <w:t>Product background</w:t>
            </w:r>
            <w:r w:rsidR="00711616">
              <w:rPr>
                <w:noProof/>
                <w:webHidden/>
              </w:rPr>
              <w:tab/>
            </w:r>
            <w:r w:rsidR="00711616">
              <w:rPr>
                <w:noProof/>
                <w:webHidden/>
              </w:rPr>
              <w:fldChar w:fldCharType="begin"/>
            </w:r>
            <w:r w:rsidR="00711616">
              <w:rPr>
                <w:noProof/>
                <w:webHidden/>
              </w:rPr>
              <w:instrText xml:space="preserve"> PAGEREF _Toc152934432 \h </w:instrText>
            </w:r>
            <w:r w:rsidR="00711616">
              <w:rPr>
                <w:noProof/>
                <w:webHidden/>
              </w:rPr>
            </w:r>
            <w:r w:rsidR="00711616">
              <w:rPr>
                <w:noProof/>
                <w:webHidden/>
              </w:rPr>
              <w:fldChar w:fldCharType="separate"/>
            </w:r>
            <w:r w:rsidR="00711616">
              <w:rPr>
                <w:noProof/>
                <w:webHidden/>
              </w:rPr>
              <w:t>7</w:t>
            </w:r>
            <w:r w:rsidR="00711616">
              <w:rPr>
                <w:noProof/>
                <w:webHidden/>
              </w:rPr>
              <w:fldChar w:fldCharType="end"/>
            </w:r>
          </w:hyperlink>
        </w:p>
        <w:p w14:paraId="1101F54D" w14:textId="42760F91"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33" w:history="1">
            <w:r w:rsidR="00711616" w:rsidRPr="00FB5AA2">
              <w:rPr>
                <w:rStyle w:val="Hyperlink"/>
                <w:noProof/>
              </w:rPr>
              <w:t>Regulatory status</w:t>
            </w:r>
            <w:r w:rsidR="00711616">
              <w:rPr>
                <w:noProof/>
                <w:webHidden/>
              </w:rPr>
              <w:tab/>
            </w:r>
            <w:r w:rsidR="00711616">
              <w:rPr>
                <w:noProof/>
                <w:webHidden/>
              </w:rPr>
              <w:fldChar w:fldCharType="begin"/>
            </w:r>
            <w:r w:rsidR="00711616">
              <w:rPr>
                <w:noProof/>
                <w:webHidden/>
              </w:rPr>
              <w:instrText xml:space="preserve"> PAGEREF _Toc152934433 \h </w:instrText>
            </w:r>
            <w:r w:rsidR="00711616">
              <w:rPr>
                <w:noProof/>
                <w:webHidden/>
              </w:rPr>
            </w:r>
            <w:r w:rsidR="00711616">
              <w:rPr>
                <w:noProof/>
                <w:webHidden/>
              </w:rPr>
              <w:fldChar w:fldCharType="separate"/>
            </w:r>
            <w:r w:rsidR="00711616">
              <w:rPr>
                <w:noProof/>
                <w:webHidden/>
              </w:rPr>
              <w:t>10</w:t>
            </w:r>
            <w:r w:rsidR="00711616">
              <w:rPr>
                <w:noProof/>
                <w:webHidden/>
              </w:rPr>
              <w:fldChar w:fldCharType="end"/>
            </w:r>
          </w:hyperlink>
        </w:p>
        <w:p w14:paraId="132C3CCE" w14:textId="7CA55BD5"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34" w:history="1">
            <w:r w:rsidR="00711616" w:rsidRPr="00FB5AA2">
              <w:rPr>
                <w:rStyle w:val="Hyperlink"/>
                <w:noProof/>
              </w:rPr>
              <w:t>Product Information</w:t>
            </w:r>
            <w:r w:rsidR="00711616">
              <w:rPr>
                <w:noProof/>
                <w:webHidden/>
              </w:rPr>
              <w:tab/>
            </w:r>
            <w:r w:rsidR="00711616">
              <w:rPr>
                <w:noProof/>
                <w:webHidden/>
              </w:rPr>
              <w:fldChar w:fldCharType="begin"/>
            </w:r>
            <w:r w:rsidR="00711616">
              <w:rPr>
                <w:noProof/>
                <w:webHidden/>
              </w:rPr>
              <w:instrText xml:space="preserve"> PAGEREF _Toc152934434 \h </w:instrText>
            </w:r>
            <w:r w:rsidR="00711616">
              <w:rPr>
                <w:noProof/>
                <w:webHidden/>
              </w:rPr>
            </w:r>
            <w:r w:rsidR="00711616">
              <w:rPr>
                <w:noProof/>
                <w:webHidden/>
              </w:rPr>
              <w:fldChar w:fldCharType="separate"/>
            </w:r>
            <w:r w:rsidR="00711616">
              <w:rPr>
                <w:noProof/>
                <w:webHidden/>
              </w:rPr>
              <w:t>11</w:t>
            </w:r>
            <w:r w:rsidR="00711616">
              <w:rPr>
                <w:noProof/>
                <w:webHidden/>
              </w:rPr>
              <w:fldChar w:fldCharType="end"/>
            </w:r>
          </w:hyperlink>
        </w:p>
        <w:p w14:paraId="232564AA" w14:textId="73C6E570" w:rsidR="00711616" w:rsidRDefault="006379D5">
          <w:pPr>
            <w:pStyle w:val="TOC1"/>
            <w:rPr>
              <w:rFonts w:asciiTheme="minorHAnsi" w:eastAsiaTheme="minorEastAsia" w:hAnsiTheme="minorHAnsi" w:cstheme="minorBidi"/>
              <w:b w:val="0"/>
              <w:noProof/>
              <w:color w:val="auto"/>
              <w:sz w:val="22"/>
              <w:szCs w:val="22"/>
              <w:lang w:eastAsia="en-AU"/>
            </w:rPr>
          </w:pPr>
          <w:hyperlink w:anchor="_Toc152934435" w:history="1">
            <w:r w:rsidR="00711616" w:rsidRPr="00FB5AA2">
              <w:rPr>
                <w:rStyle w:val="Hyperlink"/>
                <w:noProof/>
              </w:rPr>
              <w:t>Registration timeline</w:t>
            </w:r>
            <w:r w:rsidR="00711616">
              <w:rPr>
                <w:noProof/>
                <w:webHidden/>
              </w:rPr>
              <w:tab/>
            </w:r>
            <w:r w:rsidR="00711616">
              <w:rPr>
                <w:noProof/>
                <w:webHidden/>
              </w:rPr>
              <w:fldChar w:fldCharType="begin"/>
            </w:r>
            <w:r w:rsidR="00711616">
              <w:rPr>
                <w:noProof/>
                <w:webHidden/>
              </w:rPr>
              <w:instrText xml:space="preserve"> PAGEREF _Toc152934435 \h </w:instrText>
            </w:r>
            <w:r w:rsidR="00711616">
              <w:rPr>
                <w:noProof/>
                <w:webHidden/>
              </w:rPr>
            </w:r>
            <w:r w:rsidR="00711616">
              <w:rPr>
                <w:noProof/>
                <w:webHidden/>
              </w:rPr>
              <w:fldChar w:fldCharType="separate"/>
            </w:r>
            <w:r w:rsidR="00711616">
              <w:rPr>
                <w:noProof/>
                <w:webHidden/>
              </w:rPr>
              <w:t>11</w:t>
            </w:r>
            <w:r w:rsidR="00711616">
              <w:rPr>
                <w:noProof/>
                <w:webHidden/>
              </w:rPr>
              <w:fldChar w:fldCharType="end"/>
            </w:r>
          </w:hyperlink>
        </w:p>
        <w:p w14:paraId="6C9391C6" w14:textId="4E720C03" w:rsidR="00711616" w:rsidRDefault="006379D5">
          <w:pPr>
            <w:pStyle w:val="TOC1"/>
            <w:rPr>
              <w:rFonts w:asciiTheme="minorHAnsi" w:eastAsiaTheme="minorEastAsia" w:hAnsiTheme="minorHAnsi" w:cstheme="minorBidi"/>
              <w:b w:val="0"/>
              <w:noProof/>
              <w:color w:val="auto"/>
              <w:sz w:val="22"/>
              <w:szCs w:val="22"/>
              <w:lang w:eastAsia="en-AU"/>
            </w:rPr>
          </w:pPr>
          <w:hyperlink w:anchor="_Toc152934436" w:history="1">
            <w:r w:rsidR="00711616" w:rsidRPr="00FB5AA2">
              <w:rPr>
                <w:rStyle w:val="Hyperlink"/>
                <w:noProof/>
              </w:rPr>
              <w:t>Submission overview and risk/benefit assessment</w:t>
            </w:r>
            <w:r w:rsidR="00711616">
              <w:rPr>
                <w:noProof/>
                <w:webHidden/>
              </w:rPr>
              <w:tab/>
            </w:r>
            <w:r w:rsidR="00711616">
              <w:rPr>
                <w:noProof/>
                <w:webHidden/>
              </w:rPr>
              <w:fldChar w:fldCharType="begin"/>
            </w:r>
            <w:r w:rsidR="00711616">
              <w:rPr>
                <w:noProof/>
                <w:webHidden/>
              </w:rPr>
              <w:instrText xml:space="preserve"> PAGEREF _Toc152934436 \h </w:instrText>
            </w:r>
            <w:r w:rsidR="00711616">
              <w:rPr>
                <w:noProof/>
                <w:webHidden/>
              </w:rPr>
            </w:r>
            <w:r w:rsidR="00711616">
              <w:rPr>
                <w:noProof/>
                <w:webHidden/>
              </w:rPr>
              <w:fldChar w:fldCharType="separate"/>
            </w:r>
            <w:r w:rsidR="00711616">
              <w:rPr>
                <w:noProof/>
                <w:webHidden/>
              </w:rPr>
              <w:t>12</w:t>
            </w:r>
            <w:r w:rsidR="00711616">
              <w:rPr>
                <w:noProof/>
                <w:webHidden/>
              </w:rPr>
              <w:fldChar w:fldCharType="end"/>
            </w:r>
          </w:hyperlink>
        </w:p>
        <w:p w14:paraId="744C37F0" w14:textId="2B0D50C0"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37" w:history="1">
            <w:r w:rsidR="00711616" w:rsidRPr="00FB5AA2">
              <w:rPr>
                <w:rStyle w:val="Hyperlink"/>
                <w:noProof/>
              </w:rPr>
              <w:t>Quality</w:t>
            </w:r>
            <w:r w:rsidR="00711616">
              <w:rPr>
                <w:noProof/>
                <w:webHidden/>
              </w:rPr>
              <w:tab/>
            </w:r>
            <w:r w:rsidR="00711616">
              <w:rPr>
                <w:noProof/>
                <w:webHidden/>
              </w:rPr>
              <w:fldChar w:fldCharType="begin"/>
            </w:r>
            <w:r w:rsidR="00711616">
              <w:rPr>
                <w:noProof/>
                <w:webHidden/>
              </w:rPr>
              <w:instrText xml:space="preserve"> PAGEREF _Toc152934437 \h </w:instrText>
            </w:r>
            <w:r w:rsidR="00711616">
              <w:rPr>
                <w:noProof/>
                <w:webHidden/>
              </w:rPr>
            </w:r>
            <w:r w:rsidR="00711616">
              <w:rPr>
                <w:noProof/>
                <w:webHidden/>
              </w:rPr>
              <w:fldChar w:fldCharType="separate"/>
            </w:r>
            <w:r w:rsidR="00711616">
              <w:rPr>
                <w:noProof/>
                <w:webHidden/>
              </w:rPr>
              <w:t>12</w:t>
            </w:r>
            <w:r w:rsidR="00711616">
              <w:rPr>
                <w:noProof/>
                <w:webHidden/>
              </w:rPr>
              <w:fldChar w:fldCharType="end"/>
            </w:r>
          </w:hyperlink>
        </w:p>
        <w:p w14:paraId="2B0AD851" w14:textId="40844F61"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38" w:history="1">
            <w:r w:rsidR="00711616" w:rsidRPr="00FB5AA2">
              <w:rPr>
                <w:rStyle w:val="Hyperlink"/>
                <w:noProof/>
              </w:rPr>
              <w:t>Nonclinical</w:t>
            </w:r>
            <w:r w:rsidR="00711616">
              <w:rPr>
                <w:noProof/>
                <w:webHidden/>
              </w:rPr>
              <w:tab/>
            </w:r>
            <w:r w:rsidR="00711616">
              <w:rPr>
                <w:noProof/>
                <w:webHidden/>
              </w:rPr>
              <w:fldChar w:fldCharType="begin"/>
            </w:r>
            <w:r w:rsidR="00711616">
              <w:rPr>
                <w:noProof/>
                <w:webHidden/>
              </w:rPr>
              <w:instrText xml:space="preserve"> PAGEREF _Toc152934438 \h </w:instrText>
            </w:r>
            <w:r w:rsidR="00711616">
              <w:rPr>
                <w:noProof/>
                <w:webHidden/>
              </w:rPr>
            </w:r>
            <w:r w:rsidR="00711616">
              <w:rPr>
                <w:noProof/>
                <w:webHidden/>
              </w:rPr>
              <w:fldChar w:fldCharType="separate"/>
            </w:r>
            <w:r w:rsidR="00711616">
              <w:rPr>
                <w:noProof/>
                <w:webHidden/>
              </w:rPr>
              <w:t>13</w:t>
            </w:r>
            <w:r w:rsidR="00711616">
              <w:rPr>
                <w:noProof/>
                <w:webHidden/>
              </w:rPr>
              <w:fldChar w:fldCharType="end"/>
            </w:r>
          </w:hyperlink>
        </w:p>
        <w:p w14:paraId="5A196514" w14:textId="6617FF11"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39" w:history="1">
            <w:r w:rsidR="00711616" w:rsidRPr="00FB5AA2">
              <w:rPr>
                <w:rStyle w:val="Hyperlink"/>
                <w:noProof/>
              </w:rPr>
              <w:t>Clinical</w:t>
            </w:r>
            <w:r w:rsidR="00711616">
              <w:rPr>
                <w:noProof/>
                <w:webHidden/>
              </w:rPr>
              <w:tab/>
            </w:r>
            <w:r w:rsidR="00711616">
              <w:rPr>
                <w:noProof/>
                <w:webHidden/>
              </w:rPr>
              <w:fldChar w:fldCharType="begin"/>
            </w:r>
            <w:r w:rsidR="00711616">
              <w:rPr>
                <w:noProof/>
                <w:webHidden/>
              </w:rPr>
              <w:instrText xml:space="preserve"> PAGEREF _Toc152934439 \h </w:instrText>
            </w:r>
            <w:r w:rsidR="00711616">
              <w:rPr>
                <w:noProof/>
                <w:webHidden/>
              </w:rPr>
            </w:r>
            <w:r w:rsidR="00711616">
              <w:rPr>
                <w:noProof/>
                <w:webHidden/>
              </w:rPr>
              <w:fldChar w:fldCharType="separate"/>
            </w:r>
            <w:r w:rsidR="00711616">
              <w:rPr>
                <w:noProof/>
                <w:webHidden/>
              </w:rPr>
              <w:t>13</w:t>
            </w:r>
            <w:r w:rsidR="00711616">
              <w:rPr>
                <w:noProof/>
                <w:webHidden/>
              </w:rPr>
              <w:fldChar w:fldCharType="end"/>
            </w:r>
          </w:hyperlink>
        </w:p>
        <w:p w14:paraId="1B479F50" w14:textId="7CB28A79" w:rsidR="00711616" w:rsidRDefault="006379D5">
          <w:pPr>
            <w:pStyle w:val="TOC3"/>
            <w:rPr>
              <w:rFonts w:asciiTheme="minorHAnsi" w:eastAsiaTheme="minorEastAsia" w:hAnsiTheme="minorHAnsi" w:cstheme="minorBidi"/>
              <w:b w:val="0"/>
              <w:noProof/>
              <w:color w:val="auto"/>
              <w:szCs w:val="22"/>
              <w:lang w:eastAsia="en-AU"/>
            </w:rPr>
          </w:pPr>
          <w:hyperlink w:anchor="_Toc152934440" w:history="1">
            <w:r w:rsidR="00711616" w:rsidRPr="00FB5AA2">
              <w:rPr>
                <w:rStyle w:val="Hyperlink"/>
                <w:noProof/>
              </w:rPr>
              <w:t>Summary of clinical studies</w:t>
            </w:r>
            <w:r w:rsidR="00711616">
              <w:rPr>
                <w:noProof/>
                <w:webHidden/>
              </w:rPr>
              <w:tab/>
            </w:r>
            <w:r w:rsidR="00711616">
              <w:rPr>
                <w:noProof/>
                <w:webHidden/>
              </w:rPr>
              <w:fldChar w:fldCharType="begin"/>
            </w:r>
            <w:r w:rsidR="00711616">
              <w:rPr>
                <w:noProof/>
                <w:webHidden/>
              </w:rPr>
              <w:instrText xml:space="preserve"> PAGEREF _Toc152934440 \h </w:instrText>
            </w:r>
            <w:r w:rsidR="00711616">
              <w:rPr>
                <w:noProof/>
                <w:webHidden/>
              </w:rPr>
            </w:r>
            <w:r w:rsidR="00711616">
              <w:rPr>
                <w:noProof/>
                <w:webHidden/>
              </w:rPr>
              <w:fldChar w:fldCharType="separate"/>
            </w:r>
            <w:r w:rsidR="00711616">
              <w:rPr>
                <w:noProof/>
                <w:webHidden/>
              </w:rPr>
              <w:t>13</w:t>
            </w:r>
            <w:r w:rsidR="00711616">
              <w:rPr>
                <w:noProof/>
                <w:webHidden/>
              </w:rPr>
              <w:fldChar w:fldCharType="end"/>
            </w:r>
          </w:hyperlink>
        </w:p>
        <w:p w14:paraId="25B77AE2" w14:textId="570D5429" w:rsidR="00711616" w:rsidRDefault="006379D5">
          <w:pPr>
            <w:pStyle w:val="TOC3"/>
            <w:rPr>
              <w:rFonts w:asciiTheme="minorHAnsi" w:eastAsiaTheme="minorEastAsia" w:hAnsiTheme="minorHAnsi" w:cstheme="minorBidi"/>
              <w:b w:val="0"/>
              <w:noProof/>
              <w:color w:val="auto"/>
              <w:szCs w:val="22"/>
              <w:lang w:eastAsia="en-AU"/>
            </w:rPr>
          </w:pPr>
          <w:hyperlink w:anchor="_Toc152934441" w:history="1">
            <w:r w:rsidR="00711616" w:rsidRPr="00FB5AA2">
              <w:rPr>
                <w:rStyle w:val="Hyperlink"/>
                <w:noProof/>
              </w:rPr>
              <w:t>Pharmacology</w:t>
            </w:r>
            <w:r w:rsidR="00711616">
              <w:rPr>
                <w:noProof/>
                <w:webHidden/>
              </w:rPr>
              <w:tab/>
            </w:r>
            <w:r w:rsidR="00711616">
              <w:rPr>
                <w:noProof/>
                <w:webHidden/>
              </w:rPr>
              <w:fldChar w:fldCharType="begin"/>
            </w:r>
            <w:r w:rsidR="00711616">
              <w:rPr>
                <w:noProof/>
                <w:webHidden/>
              </w:rPr>
              <w:instrText xml:space="preserve"> PAGEREF _Toc152934441 \h </w:instrText>
            </w:r>
            <w:r w:rsidR="00711616">
              <w:rPr>
                <w:noProof/>
                <w:webHidden/>
              </w:rPr>
            </w:r>
            <w:r w:rsidR="00711616">
              <w:rPr>
                <w:noProof/>
                <w:webHidden/>
              </w:rPr>
              <w:fldChar w:fldCharType="separate"/>
            </w:r>
            <w:r w:rsidR="00711616">
              <w:rPr>
                <w:noProof/>
                <w:webHidden/>
              </w:rPr>
              <w:t>13</w:t>
            </w:r>
            <w:r w:rsidR="00711616">
              <w:rPr>
                <w:noProof/>
                <w:webHidden/>
              </w:rPr>
              <w:fldChar w:fldCharType="end"/>
            </w:r>
          </w:hyperlink>
        </w:p>
        <w:p w14:paraId="0AF1FA22" w14:textId="0FA7F08C" w:rsidR="00711616" w:rsidRDefault="006379D5">
          <w:pPr>
            <w:pStyle w:val="TOC3"/>
            <w:rPr>
              <w:rFonts w:asciiTheme="minorHAnsi" w:eastAsiaTheme="minorEastAsia" w:hAnsiTheme="minorHAnsi" w:cstheme="minorBidi"/>
              <w:b w:val="0"/>
              <w:noProof/>
              <w:color w:val="auto"/>
              <w:szCs w:val="22"/>
              <w:lang w:eastAsia="en-AU"/>
            </w:rPr>
          </w:pPr>
          <w:hyperlink w:anchor="_Toc152934442" w:history="1">
            <w:r w:rsidR="00711616" w:rsidRPr="00FB5AA2">
              <w:rPr>
                <w:rStyle w:val="Hyperlink"/>
                <w:noProof/>
              </w:rPr>
              <w:t>Efficacy</w:t>
            </w:r>
            <w:r w:rsidR="00711616">
              <w:rPr>
                <w:noProof/>
                <w:webHidden/>
              </w:rPr>
              <w:tab/>
            </w:r>
            <w:r w:rsidR="00711616">
              <w:rPr>
                <w:noProof/>
                <w:webHidden/>
              </w:rPr>
              <w:fldChar w:fldCharType="begin"/>
            </w:r>
            <w:r w:rsidR="00711616">
              <w:rPr>
                <w:noProof/>
                <w:webHidden/>
              </w:rPr>
              <w:instrText xml:space="preserve"> PAGEREF _Toc152934442 \h </w:instrText>
            </w:r>
            <w:r w:rsidR="00711616">
              <w:rPr>
                <w:noProof/>
                <w:webHidden/>
              </w:rPr>
            </w:r>
            <w:r w:rsidR="00711616">
              <w:rPr>
                <w:noProof/>
                <w:webHidden/>
              </w:rPr>
              <w:fldChar w:fldCharType="separate"/>
            </w:r>
            <w:r w:rsidR="00711616">
              <w:rPr>
                <w:noProof/>
                <w:webHidden/>
              </w:rPr>
              <w:t>14</w:t>
            </w:r>
            <w:r w:rsidR="00711616">
              <w:rPr>
                <w:noProof/>
                <w:webHidden/>
              </w:rPr>
              <w:fldChar w:fldCharType="end"/>
            </w:r>
          </w:hyperlink>
        </w:p>
        <w:p w14:paraId="0015AF84" w14:textId="349901A9" w:rsidR="00711616" w:rsidRDefault="006379D5">
          <w:pPr>
            <w:pStyle w:val="TOC3"/>
            <w:rPr>
              <w:rFonts w:asciiTheme="minorHAnsi" w:eastAsiaTheme="minorEastAsia" w:hAnsiTheme="minorHAnsi" w:cstheme="minorBidi"/>
              <w:b w:val="0"/>
              <w:noProof/>
              <w:color w:val="auto"/>
              <w:szCs w:val="22"/>
              <w:lang w:eastAsia="en-AU"/>
            </w:rPr>
          </w:pPr>
          <w:hyperlink w:anchor="_Toc152934443" w:history="1">
            <w:r w:rsidR="00711616" w:rsidRPr="00FB5AA2">
              <w:rPr>
                <w:rStyle w:val="Hyperlink"/>
                <w:noProof/>
              </w:rPr>
              <w:t>Conclusions on clinical efficacy</w:t>
            </w:r>
            <w:r w:rsidR="00711616">
              <w:rPr>
                <w:noProof/>
                <w:webHidden/>
              </w:rPr>
              <w:tab/>
            </w:r>
            <w:r w:rsidR="00711616">
              <w:rPr>
                <w:noProof/>
                <w:webHidden/>
              </w:rPr>
              <w:fldChar w:fldCharType="begin"/>
            </w:r>
            <w:r w:rsidR="00711616">
              <w:rPr>
                <w:noProof/>
                <w:webHidden/>
              </w:rPr>
              <w:instrText xml:space="preserve"> PAGEREF _Toc152934443 \h </w:instrText>
            </w:r>
            <w:r w:rsidR="00711616">
              <w:rPr>
                <w:noProof/>
                <w:webHidden/>
              </w:rPr>
            </w:r>
            <w:r w:rsidR="00711616">
              <w:rPr>
                <w:noProof/>
                <w:webHidden/>
              </w:rPr>
              <w:fldChar w:fldCharType="separate"/>
            </w:r>
            <w:r w:rsidR="00711616">
              <w:rPr>
                <w:noProof/>
                <w:webHidden/>
              </w:rPr>
              <w:t>18</w:t>
            </w:r>
            <w:r w:rsidR="00711616">
              <w:rPr>
                <w:noProof/>
                <w:webHidden/>
              </w:rPr>
              <w:fldChar w:fldCharType="end"/>
            </w:r>
          </w:hyperlink>
        </w:p>
        <w:p w14:paraId="5AFB012A" w14:textId="15470743" w:rsidR="00711616" w:rsidRDefault="006379D5">
          <w:pPr>
            <w:pStyle w:val="TOC3"/>
            <w:rPr>
              <w:rFonts w:asciiTheme="minorHAnsi" w:eastAsiaTheme="minorEastAsia" w:hAnsiTheme="minorHAnsi" w:cstheme="minorBidi"/>
              <w:b w:val="0"/>
              <w:noProof/>
              <w:color w:val="auto"/>
              <w:szCs w:val="22"/>
              <w:lang w:eastAsia="en-AU"/>
            </w:rPr>
          </w:pPr>
          <w:hyperlink w:anchor="_Toc152934444" w:history="1">
            <w:r w:rsidR="00711616" w:rsidRPr="00FB5AA2">
              <w:rPr>
                <w:rStyle w:val="Hyperlink"/>
                <w:noProof/>
              </w:rPr>
              <w:t>Safety</w:t>
            </w:r>
            <w:r w:rsidR="00711616">
              <w:rPr>
                <w:noProof/>
                <w:webHidden/>
              </w:rPr>
              <w:tab/>
            </w:r>
            <w:r w:rsidR="00711616">
              <w:rPr>
                <w:noProof/>
                <w:webHidden/>
              </w:rPr>
              <w:fldChar w:fldCharType="begin"/>
            </w:r>
            <w:r w:rsidR="00711616">
              <w:rPr>
                <w:noProof/>
                <w:webHidden/>
              </w:rPr>
              <w:instrText xml:space="preserve"> PAGEREF _Toc152934444 \h </w:instrText>
            </w:r>
            <w:r w:rsidR="00711616">
              <w:rPr>
                <w:noProof/>
                <w:webHidden/>
              </w:rPr>
            </w:r>
            <w:r w:rsidR="00711616">
              <w:rPr>
                <w:noProof/>
                <w:webHidden/>
              </w:rPr>
              <w:fldChar w:fldCharType="separate"/>
            </w:r>
            <w:r w:rsidR="00711616">
              <w:rPr>
                <w:noProof/>
                <w:webHidden/>
              </w:rPr>
              <w:t>19</w:t>
            </w:r>
            <w:r w:rsidR="00711616">
              <w:rPr>
                <w:noProof/>
                <w:webHidden/>
              </w:rPr>
              <w:fldChar w:fldCharType="end"/>
            </w:r>
          </w:hyperlink>
        </w:p>
        <w:p w14:paraId="6A689A86" w14:textId="4D57B355" w:rsidR="00711616" w:rsidRDefault="006379D5">
          <w:pPr>
            <w:pStyle w:val="TOC3"/>
            <w:rPr>
              <w:rFonts w:asciiTheme="minorHAnsi" w:eastAsiaTheme="minorEastAsia" w:hAnsiTheme="minorHAnsi" w:cstheme="minorBidi"/>
              <w:b w:val="0"/>
              <w:noProof/>
              <w:color w:val="auto"/>
              <w:szCs w:val="22"/>
              <w:lang w:eastAsia="en-AU"/>
            </w:rPr>
          </w:pPr>
          <w:hyperlink w:anchor="_Toc152934445" w:history="1">
            <w:r w:rsidR="00711616" w:rsidRPr="00FB5AA2">
              <w:rPr>
                <w:rStyle w:val="Hyperlink"/>
                <w:noProof/>
              </w:rPr>
              <w:t>Recommendation following the clinical evaluation</w:t>
            </w:r>
            <w:r w:rsidR="00711616">
              <w:rPr>
                <w:noProof/>
                <w:webHidden/>
              </w:rPr>
              <w:tab/>
            </w:r>
            <w:r w:rsidR="00711616">
              <w:rPr>
                <w:noProof/>
                <w:webHidden/>
              </w:rPr>
              <w:fldChar w:fldCharType="begin"/>
            </w:r>
            <w:r w:rsidR="00711616">
              <w:rPr>
                <w:noProof/>
                <w:webHidden/>
              </w:rPr>
              <w:instrText xml:space="preserve"> PAGEREF _Toc152934445 \h </w:instrText>
            </w:r>
            <w:r w:rsidR="00711616">
              <w:rPr>
                <w:noProof/>
                <w:webHidden/>
              </w:rPr>
            </w:r>
            <w:r w:rsidR="00711616">
              <w:rPr>
                <w:noProof/>
                <w:webHidden/>
              </w:rPr>
              <w:fldChar w:fldCharType="separate"/>
            </w:r>
            <w:r w:rsidR="00711616">
              <w:rPr>
                <w:noProof/>
                <w:webHidden/>
              </w:rPr>
              <w:t>21</w:t>
            </w:r>
            <w:r w:rsidR="00711616">
              <w:rPr>
                <w:noProof/>
                <w:webHidden/>
              </w:rPr>
              <w:fldChar w:fldCharType="end"/>
            </w:r>
          </w:hyperlink>
        </w:p>
        <w:p w14:paraId="49FCEE3B" w14:textId="7E0B8019"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46" w:history="1">
            <w:r w:rsidR="00711616" w:rsidRPr="00FB5AA2">
              <w:rPr>
                <w:rStyle w:val="Hyperlink"/>
                <w:noProof/>
                <w:lang w:eastAsia="en-AU"/>
              </w:rPr>
              <w:t>Risk management plan</w:t>
            </w:r>
            <w:r w:rsidR="00711616">
              <w:rPr>
                <w:noProof/>
                <w:webHidden/>
              </w:rPr>
              <w:tab/>
            </w:r>
            <w:r w:rsidR="00711616">
              <w:rPr>
                <w:noProof/>
                <w:webHidden/>
              </w:rPr>
              <w:fldChar w:fldCharType="begin"/>
            </w:r>
            <w:r w:rsidR="00711616">
              <w:rPr>
                <w:noProof/>
                <w:webHidden/>
              </w:rPr>
              <w:instrText xml:space="preserve"> PAGEREF _Toc152934446 \h </w:instrText>
            </w:r>
            <w:r w:rsidR="00711616">
              <w:rPr>
                <w:noProof/>
                <w:webHidden/>
              </w:rPr>
            </w:r>
            <w:r w:rsidR="00711616">
              <w:rPr>
                <w:noProof/>
                <w:webHidden/>
              </w:rPr>
              <w:fldChar w:fldCharType="separate"/>
            </w:r>
            <w:r w:rsidR="00711616">
              <w:rPr>
                <w:noProof/>
                <w:webHidden/>
              </w:rPr>
              <w:t>23</w:t>
            </w:r>
            <w:r w:rsidR="00711616">
              <w:rPr>
                <w:noProof/>
                <w:webHidden/>
              </w:rPr>
              <w:fldChar w:fldCharType="end"/>
            </w:r>
          </w:hyperlink>
        </w:p>
        <w:p w14:paraId="074C2853" w14:textId="15AAD1E6" w:rsidR="00711616" w:rsidRDefault="006379D5">
          <w:pPr>
            <w:pStyle w:val="TOC2"/>
            <w:rPr>
              <w:rFonts w:asciiTheme="minorHAnsi" w:eastAsiaTheme="minorEastAsia" w:hAnsiTheme="minorHAnsi" w:cstheme="minorBidi"/>
              <w:b w:val="0"/>
              <w:noProof/>
              <w:color w:val="auto"/>
              <w:sz w:val="22"/>
              <w:szCs w:val="22"/>
              <w:lang w:eastAsia="en-AU"/>
            </w:rPr>
          </w:pPr>
          <w:hyperlink w:anchor="_Toc152934447" w:history="1">
            <w:r w:rsidR="00711616" w:rsidRPr="00FB5AA2">
              <w:rPr>
                <w:rStyle w:val="Hyperlink"/>
                <w:noProof/>
              </w:rPr>
              <w:t>Risk-benefit analysis</w:t>
            </w:r>
            <w:r w:rsidR="00711616">
              <w:rPr>
                <w:noProof/>
                <w:webHidden/>
              </w:rPr>
              <w:tab/>
            </w:r>
            <w:r w:rsidR="00711616">
              <w:rPr>
                <w:noProof/>
                <w:webHidden/>
              </w:rPr>
              <w:fldChar w:fldCharType="begin"/>
            </w:r>
            <w:r w:rsidR="00711616">
              <w:rPr>
                <w:noProof/>
                <w:webHidden/>
              </w:rPr>
              <w:instrText xml:space="preserve"> PAGEREF _Toc152934447 \h </w:instrText>
            </w:r>
            <w:r w:rsidR="00711616">
              <w:rPr>
                <w:noProof/>
                <w:webHidden/>
              </w:rPr>
            </w:r>
            <w:r w:rsidR="00711616">
              <w:rPr>
                <w:noProof/>
                <w:webHidden/>
              </w:rPr>
              <w:fldChar w:fldCharType="separate"/>
            </w:r>
            <w:r w:rsidR="00711616">
              <w:rPr>
                <w:noProof/>
                <w:webHidden/>
              </w:rPr>
              <w:t>23</w:t>
            </w:r>
            <w:r w:rsidR="00711616">
              <w:rPr>
                <w:noProof/>
                <w:webHidden/>
              </w:rPr>
              <w:fldChar w:fldCharType="end"/>
            </w:r>
          </w:hyperlink>
        </w:p>
        <w:p w14:paraId="0FB3B84B" w14:textId="5C77A49F" w:rsidR="00711616" w:rsidRDefault="006379D5">
          <w:pPr>
            <w:pStyle w:val="TOC3"/>
            <w:rPr>
              <w:rFonts w:asciiTheme="minorHAnsi" w:eastAsiaTheme="minorEastAsia" w:hAnsiTheme="minorHAnsi" w:cstheme="minorBidi"/>
              <w:b w:val="0"/>
              <w:noProof/>
              <w:color w:val="auto"/>
              <w:szCs w:val="22"/>
              <w:lang w:eastAsia="en-AU"/>
            </w:rPr>
          </w:pPr>
          <w:hyperlink w:anchor="_Toc152934448" w:history="1">
            <w:r w:rsidR="00711616" w:rsidRPr="00FB5AA2">
              <w:rPr>
                <w:rStyle w:val="Hyperlink"/>
                <w:noProof/>
              </w:rPr>
              <w:t>Delegate’s considerations</w:t>
            </w:r>
            <w:r w:rsidR="00711616">
              <w:rPr>
                <w:noProof/>
                <w:webHidden/>
              </w:rPr>
              <w:tab/>
            </w:r>
            <w:r w:rsidR="00711616">
              <w:rPr>
                <w:noProof/>
                <w:webHidden/>
              </w:rPr>
              <w:fldChar w:fldCharType="begin"/>
            </w:r>
            <w:r w:rsidR="00711616">
              <w:rPr>
                <w:noProof/>
                <w:webHidden/>
              </w:rPr>
              <w:instrText xml:space="preserve"> PAGEREF _Toc152934448 \h </w:instrText>
            </w:r>
            <w:r w:rsidR="00711616">
              <w:rPr>
                <w:noProof/>
                <w:webHidden/>
              </w:rPr>
            </w:r>
            <w:r w:rsidR="00711616">
              <w:rPr>
                <w:noProof/>
                <w:webHidden/>
              </w:rPr>
              <w:fldChar w:fldCharType="separate"/>
            </w:r>
            <w:r w:rsidR="00711616">
              <w:rPr>
                <w:noProof/>
                <w:webHidden/>
              </w:rPr>
              <w:t>23</w:t>
            </w:r>
            <w:r w:rsidR="00711616">
              <w:rPr>
                <w:noProof/>
                <w:webHidden/>
              </w:rPr>
              <w:fldChar w:fldCharType="end"/>
            </w:r>
          </w:hyperlink>
        </w:p>
        <w:p w14:paraId="7CB1DB4D" w14:textId="4B96032A" w:rsidR="00711616" w:rsidRDefault="006379D5">
          <w:pPr>
            <w:pStyle w:val="TOC3"/>
            <w:rPr>
              <w:rFonts w:asciiTheme="minorHAnsi" w:eastAsiaTheme="minorEastAsia" w:hAnsiTheme="minorHAnsi" w:cstheme="minorBidi"/>
              <w:b w:val="0"/>
              <w:noProof/>
              <w:color w:val="auto"/>
              <w:szCs w:val="22"/>
              <w:lang w:eastAsia="en-AU"/>
            </w:rPr>
          </w:pPr>
          <w:hyperlink w:anchor="_Toc152934449" w:history="1">
            <w:r w:rsidR="00711616" w:rsidRPr="00FB5AA2">
              <w:rPr>
                <w:rStyle w:val="Hyperlink"/>
                <w:noProof/>
              </w:rPr>
              <w:t>Proposed action</w:t>
            </w:r>
            <w:r w:rsidR="00711616">
              <w:rPr>
                <w:noProof/>
                <w:webHidden/>
              </w:rPr>
              <w:tab/>
            </w:r>
            <w:r w:rsidR="00711616">
              <w:rPr>
                <w:noProof/>
                <w:webHidden/>
              </w:rPr>
              <w:fldChar w:fldCharType="begin"/>
            </w:r>
            <w:r w:rsidR="00711616">
              <w:rPr>
                <w:noProof/>
                <w:webHidden/>
              </w:rPr>
              <w:instrText xml:space="preserve"> PAGEREF _Toc152934449 \h </w:instrText>
            </w:r>
            <w:r w:rsidR="00711616">
              <w:rPr>
                <w:noProof/>
                <w:webHidden/>
              </w:rPr>
            </w:r>
            <w:r w:rsidR="00711616">
              <w:rPr>
                <w:noProof/>
                <w:webHidden/>
              </w:rPr>
              <w:fldChar w:fldCharType="separate"/>
            </w:r>
            <w:r w:rsidR="00711616">
              <w:rPr>
                <w:noProof/>
                <w:webHidden/>
              </w:rPr>
              <w:t>28</w:t>
            </w:r>
            <w:r w:rsidR="00711616">
              <w:rPr>
                <w:noProof/>
                <w:webHidden/>
              </w:rPr>
              <w:fldChar w:fldCharType="end"/>
            </w:r>
          </w:hyperlink>
        </w:p>
        <w:p w14:paraId="4E3712CE" w14:textId="3D730FC4" w:rsidR="00711616" w:rsidRDefault="006379D5">
          <w:pPr>
            <w:pStyle w:val="TOC3"/>
            <w:rPr>
              <w:rFonts w:asciiTheme="minorHAnsi" w:eastAsiaTheme="minorEastAsia" w:hAnsiTheme="minorHAnsi" w:cstheme="minorBidi"/>
              <w:b w:val="0"/>
              <w:noProof/>
              <w:color w:val="auto"/>
              <w:szCs w:val="22"/>
              <w:lang w:eastAsia="en-AU"/>
            </w:rPr>
          </w:pPr>
          <w:hyperlink w:anchor="_Toc152934450" w:history="1">
            <w:r w:rsidR="00711616" w:rsidRPr="00FB5AA2">
              <w:rPr>
                <w:rStyle w:val="Hyperlink"/>
                <w:noProof/>
              </w:rPr>
              <w:t>Advisory Committee considerations</w:t>
            </w:r>
            <w:r w:rsidR="00711616">
              <w:rPr>
                <w:noProof/>
                <w:webHidden/>
              </w:rPr>
              <w:tab/>
            </w:r>
            <w:r w:rsidR="00711616">
              <w:rPr>
                <w:noProof/>
                <w:webHidden/>
              </w:rPr>
              <w:fldChar w:fldCharType="begin"/>
            </w:r>
            <w:r w:rsidR="00711616">
              <w:rPr>
                <w:noProof/>
                <w:webHidden/>
              </w:rPr>
              <w:instrText xml:space="preserve"> PAGEREF _Toc152934450 \h </w:instrText>
            </w:r>
            <w:r w:rsidR="00711616">
              <w:rPr>
                <w:noProof/>
                <w:webHidden/>
              </w:rPr>
            </w:r>
            <w:r w:rsidR="00711616">
              <w:rPr>
                <w:noProof/>
                <w:webHidden/>
              </w:rPr>
              <w:fldChar w:fldCharType="separate"/>
            </w:r>
            <w:r w:rsidR="00711616">
              <w:rPr>
                <w:noProof/>
                <w:webHidden/>
              </w:rPr>
              <w:t>28</w:t>
            </w:r>
            <w:r w:rsidR="00711616">
              <w:rPr>
                <w:noProof/>
                <w:webHidden/>
              </w:rPr>
              <w:fldChar w:fldCharType="end"/>
            </w:r>
          </w:hyperlink>
        </w:p>
        <w:p w14:paraId="31D9502A" w14:textId="58D3C2CD" w:rsidR="00711616" w:rsidRDefault="006379D5">
          <w:pPr>
            <w:pStyle w:val="TOC1"/>
            <w:rPr>
              <w:rFonts w:asciiTheme="minorHAnsi" w:eastAsiaTheme="minorEastAsia" w:hAnsiTheme="minorHAnsi" w:cstheme="minorBidi"/>
              <w:b w:val="0"/>
              <w:noProof/>
              <w:color w:val="auto"/>
              <w:sz w:val="22"/>
              <w:szCs w:val="22"/>
              <w:lang w:eastAsia="en-AU"/>
            </w:rPr>
          </w:pPr>
          <w:hyperlink w:anchor="_Toc152934451" w:history="1">
            <w:r w:rsidR="00711616" w:rsidRPr="00FB5AA2">
              <w:rPr>
                <w:rStyle w:val="Hyperlink"/>
                <w:noProof/>
              </w:rPr>
              <w:t>Outcome</w:t>
            </w:r>
            <w:r w:rsidR="00711616">
              <w:rPr>
                <w:noProof/>
                <w:webHidden/>
              </w:rPr>
              <w:tab/>
            </w:r>
            <w:r w:rsidR="00711616">
              <w:rPr>
                <w:noProof/>
                <w:webHidden/>
              </w:rPr>
              <w:fldChar w:fldCharType="begin"/>
            </w:r>
            <w:r w:rsidR="00711616">
              <w:rPr>
                <w:noProof/>
                <w:webHidden/>
              </w:rPr>
              <w:instrText xml:space="preserve"> PAGEREF _Toc152934451 \h </w:instrText>
            </w:r>
            <w:r w:rsidR="00711616">
              <w:rPr>
                <w:noProof/>
                <w:webHidden/>
              </w:rPr>
            </w:r>
            <w:r w:rsidR="00711616">
              <w:rPr>
                <w:noProof/>
                <w:webHidden/>
              </w:rPr>
              <w:fldChar w:fldCharType="separate"/>
            </w:r>
            <w:r w:rsidR="00711616">
              <w:rPr>
                <w:noProof/>
                <w:webHidden/>
              </w:rPr>
              <w:t>29</w:t>
            </w:r>
            <w:r w:rsidR="00711616">
              <w:rPr>
                <w:noProof/>
                <w:webHidden/>
              </w:rPr>
              <w:fldChar w:fldCharType="end"/>
            </w:r>
          </w:hyperlink>
        </w:p>
        <w:p w14:paraId="78E5213D" w14:textId="6C64A276" w:rsidR="00711616" w:rsidRDefault="006379D5">
          <w:pPr>
            <w:pStyle w:val="TOC1"/>
            <w:rPr>
              <w:rFonts w:asciiTheme="minorHAnsi" w:eastAsiaTheme="minorEastAsia" w:hAnsiTheme="minorHAnsi" w:cstheme="minorBidi"/>
              <w:b w:val="0"/>
              <w:noProof/>
              <w:color w:val="auto"/>
              <w:sz w:val="22"/>
              <w:szCs w:val="22"/>
              <w:lang w:eastAsia="en-AU"/>
            </w:rPr>
          </w:pPr>
          <w:hyperlink w:anchor="_Toc152934452" w:history="1">
            <w:r w:rsidR="00711616" w:rsidRPr="00FB5AA2">
              <w:rPr>
                <w:rStyle w:val="Hyperlink"/>
                <w:noProof/>
              </w:rPr>
              <w:t>Attachment 1. Product Information</w:t>
            </w:r>
            <w:r w:rsidR="00711616">
              <w:rPr>
                <w:noProof/>
                <w:webHidden/>
              </w:rPr>
              <w:tab/>
            </w:r>
            <w:r w:rsidR="00711616">
              <w:rPr>
                <w:noProof/>
                <w:webHidden/>
              </w:rPr>
              <w:fldChar w:fldCharType="begin"/>
            </w:r>
            <w:r w:rsidR="00711616">
              <w:rPr>
                <w:noProof/>
                <w:webHidden/>
              </w:rPr>
              <w:instrText xml:space="preserve"> PAGEREF _Toc152934452 \h </w:instrText>
            </w:r>
            <w:r w:rsidR="00711616">
              <w:rPr>
                <w:noProof/>
                <w:webHidden/>
              </w:rPr>
            </w:r>
            <w:r w:rsidR="00711616">
              <w:rPr>
                <w:noProof/>
                <w:webHidden/>
              </w:rPr>
              <w:fldChar w:fldCharType="separate"/>
            </w:r>
            <w:r w:rsidR="00711616">
              <w:rPr>
                <w:noProof/>
                <w:webHidden/>
              </w:rPr>
              <w:t>30</w:t>
            </w:r>
            <w:r w:rsidR="00711616">
              <w:rPr>
                <w:noProof/>
                <w:webHidden/>
              </w:rPr>
              <w:fldChar w:fldCharType="end"/>
            </w:r>
          </w:hyperlink>
        </w:p>
        <w:p w14:paraId="77659F2D" w14:textId="09391407" w:rsidR="00F02AEC" w:rsidRPr="005612CB" w:rsidRDefault="00F02AEC" w:rsidP="007452E8">
          <w:r w:rsidRPr="005612CB">
            <w:fldChar w:fldCharType="end"/>
          </w:r>
        </w:p>
      </w:sdtContent>
    </w:sdt>
    <w:p w14:paraId="10987AE2" w14:textId="77777777" w:rsidR="00F02AEC" w:rsidRPr="005612CB" w:rsidRDefault="00F02AEC" w:rsidP="007452E8">
      <w:r w:rsidRPr="005612CB">
        <w:br w:type="page"/>
      </w:r>
    </w:p>
    <w:p w14:paraId="1E73AB93" w14:textId="77777777" w:rsidR="00324B33" w:rsidRPr="005612CB" w:rsidRDefault="00324B33" w:rsidP="00324B33">
      <w:pPr>
        <w:pStyle w:val="Heading2"/>
      </w:pPr>
      <w:bookmarkStart w:id="0" w:name="_Toc98931917"/>
      <w:bookmarkStart w:id="1" w:name="_Toc103679287"/>
      <w:bookmarkStart w:id="2" w:name="_Toc152934429"/>
      <w:bookmarkStart w:id="3" w:name="_Toc323739589"/>
      <w:bookmarkStart w:id="4" w:name="_Toc356305216"/>
      <w:r w:rsidRPr="005612CB">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5612C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5612CB" w:rsidRDefault="00324B33" w:rsidP="00324B33">
            <w:pPr>
              <w:rPr>
                <w:szCs w:val="22"/>
              </w:rPr>
            </w:pPr>
            <w:r w:rsidRPr="005612CB">
              <w:rPr>
                <w:szCs w:val="22"/>
              </w:rPr>
              <w:t>Abbreviation</w:t>
            </w:r>
          </w:p>
        </w:tc>
        <w:tc>
          <w:tcPr>
            <w:tcW w:w="3800" w:type="pct"/>
          </w:tcPr>
          <w:p w14:paraId="4CF6D0CD" w14:textId="2974FA0B" w:rsidR="00324B33" w:rsidRPr="005612C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5612CB">
              <w:rPr>
                <w:szCs w:val="22"/>
              </w:rPr>
              <w:t>Meaning</w:t>
            </w:r>
          </w:p>
        </w:tc>
      </w:tr>
      <w:tr w:rsidR="00E76015" w:rsidRPr="005612C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15474AB9" w:rsidR="00E76015" w:rsidRPr="005612CB" w:rsidRDefault="00E76015" w:rsidP="00E76015">
            <w:r w:rsidRPr="005612CB">
              <w:t>ACM</w:t>
            </w:r>
          </w:p>
        </w:tc>
        <w:tc>
          <w:tcPr>
            <w:tcW w:w="3800" w:type="pct"/>
          </w:tcPr>
          <w:p w14:paraId="4F24A873" w14:textId="6B0A617D"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Advisory Committee on Medicines</w:t>
            </w:r>
          </w:p>
        </w:tc>
      </w:tr>
      <w:tr w:rsidR="00E76015" w:rsidRPr="005612C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084AE0CA" w:rsidR="00E76015" w:rsidRPr="005612CB" w:rsidRDefault="00E76015" w:rsidP="00E76015">
            <w:r w:rsidRPr="005612CB">
              <w:t>ADA</w:t>
            </w:r>
          </w:p>
        </w:tc>
        <w:tc>
          <w:tcPr>
            <w:tcW w:w="3800" w:type="pct"/>
          </w:tcPr>
          <w:p w14:paraId="5072E244" w14:textId="3B9E59E8"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Anti-drug antibody</w:t>
            </w:r>
          </w:p>
        </w:tc>
      </w:tr>
      <w:tr w:rsidR="00E76015" w:rsidRPr="005612C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44EBFFC8" w:rsidR="00E76015" w:rsidRPr="005612CB" w:rsidRDefault="00E76015" w:rsidP="00E76015">
            <w:r w:rsidRPr="005612CB">
              <w:t>AE</w:t>
            </w:r>
          </w:p>
        </w:tc>
        <w:tc>
          <w:tcPr>
            <w:tcW w:w="3800" w:type="pct"/>
          </w:tcPr>
          <w:p w14:paraId="228A203A" w14:textId="2CC08814"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Adverse event</w:t>
            </w:r>
          </w:p>
        </w:tc>
      </w:tr>
      <w:tr w:rsidR="00E76015" w:rsidRPr="005612C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71313ABC" w:rsidR="00E76015" w:rsidRPr="005612CB" w:rsidRDefault="00E76015" w:rsidP="00E76015">
            <w:r w:rsidRPr="005612CB">
              <w:t>AESI</w:t>
            </w:r>
          </w:p>
        </w:tc>
        <w:tc>
          <w:tcPr>
            <w:tcW w:w="3800" w:type="pct"/>
          </w:tcPr>
          <w:p w14:paraId="4E6F5284" w14:textId="08A7257A"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Adverse event of special interest</w:t>
            </w:r>
          </w:p>
        </w:tc>
      </w:tr>
      <w:tr w:rsidR="00E76015" w:rsidRPr="005612C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5090AD78" w:rsidR="00E76015" w:rsidRPr="005612CB" w:rsidRDefault="00E76015" w:rsidP="00E76015">
            <w:r w:rsidRPr="005612CB">
              <w:t>ALT</w:t>
            </w:r>
          </w:p>
        </w:tc>
        <w:tc>
          <w:tcPr>
            <w:tcW w:w="3800" w:type="pct"/>
          </w:tcPr>
          <w:p w14:paraId="5D8C9DF5" w14:textId="5BEDD7C3"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Alanine aminotransferase</w:t>
            </w:r>
          </w:p>
        </w:tc>
      </w:tr>
      <w:tr w:rsidR="00E76015" w:rsidRPr="005612C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4E7B3A44" w:rsidR="00E76015" w:rsidRPr="005612CB" w:rsidRDefault="00E76015" w:rsidP="00E76015">
            <w:r w:rsidRPr="005612CB">
              <w:t>AST</w:t>
            </w:r>
          </w:p>
        </w:tc>
        <w:tc>
          <w:tcPr>
            <w:tcW w:w="3800" w:type="pct"/>
          </w:tcPr>
          <w:p w14:paraId="26109D0B" w14:textId="68772827"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Aspartate aminotransferase</w:t>
            </w:r>
          </w:p>
        </w:tc>
      </w:tr>
      <w:tr w:rsidR="00E76015" w:rsidRPr="005612C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3E4C5E1F" w:rsidR="00E76015" w:rsidRPr="005612CB" w:rsidRDefault="00E76015" w:rsidP="00E76015">
            <w:r w:rsidRPr="005612CB">
              <w:t>ARTG</w:t>
            </w:r>
          </w:p>
        </w:tc>
        <w:tc>
          <w:tcPr>
            <w:tcW w:w="3800" w:type="pct"/>
          </w:tcPr>
          <w:p w14:paraId="354B5DB5" w14:textId="12C3B211"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Australian Register of Therapeutic Goods</w:t>
            </w:r>
          </w:p>
        </w:tc>
      </w:tr>
      <w:tr w:rsidR="00E76015" w:rsidRPr="005612C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78A0EC28" w:rsidR="00E76015" w:rsidRPr="005612CB" w:rsidRDefault="00E76015" w:rsidP="00E76015">
            <w:r w:rsidRPr="005612CB">
              <w:t>BCLC</w:t>
            </w:r>
          </w:p>
        </w:tc>
        <w:tc>
          <w:tcPr>
            <w:tcW w:w="3800" w:type="pct"/>
          </w:tcPr>
          <w:p w14:paraId="2C862F75" w14:textId="3850EF60"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5" w:name="_Hlk149054862"/>
            <w:r w:rsidRPr="005612CB">
              <w:t>Barcelona clinic liver cancer</w:t>
            </w:r>
            <w:bookmarkEnd w:id="5"/>
          </w:p>
        </w:tc>
      </w:tr>
      <w:tr w:rsidR="00E76015" w:rsidRPr="005612C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13FBF857" w:rsidR="00E76015" w:rsidRPr="005612CB" w:rsidRDefault="00E76015" w:rsidP="00E76015">
            <w:r w:rsidRPr="005612CB">
              <w:t>CD</w:t>
            </w:r>
          </w:p>
        </w:tc>
        <w:tc>
          <w:tcPr>
            <w:tcW w:w="3800" w:type="pct"/>
          </w:tcPr>
          <w:p w14:paraId="29EA6BA3" w14:textId="4472D981"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6" w:name="_Hlk149055325"/>
            <w:r w:rsidRPr="005612CB">
              <w:t>Cluster of differentiation</w:t>
            </w:r>
            <w:bookmarkEnd w:id="6"/>
          </w:p>
        </w:tc>
      </w:tr>
      <w:tr w:rsidR="00E76015" w:rsidRPr="005612CB" w14:paraId="5344D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20B8C7" w14:textId="050EF0AD" w:rsidR="00E76015" w:rsidRPr="005612CB" w:rsidRDefault="00E76015" w:rsidP="00E76015">
            <w:r w:rsidRPr="005612CB">
              <w:t xml:space="preserve">CI </w:t>
            </w:r>
          </w:p>
        </w:tc>
        <w:tc>
          <w:tcPr>
            <w:tcW w:w="3800" w:type="pct"/>
          </w:tcPr>
          <w:p w14:paraId="1A5D9E36" w14:textId="2933C2EA"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Confidence interval</w:t>
            </w:r>
          </w:p>
        </w:tc>
      </w:tr>
      <w:tr w:rsidR="00E76015" w:rsidRPr="005612C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41C948F9" w:rsidR="00E76015" w:rsidRPr="005612CB" w:rsidRDefault="00E76015" w:rsidP="00E76015">
            <w:pPr>
              <w:rPr>
                <w:szCs w:val="22"/>
              </w:rPr>
            </w:pPr>
            <w:r w:rsidRPr="005612CB">
              <w:t>C</w:t>
            </w:r>
            <w:r w:rsidRPr="005612CB">
              <w:rPr>
                <w:vertAlign w:val="subscript"/>
              </w:rPr>
              <w:t>max</w:t>
            </w:r>
          </w:p>
        </w:tc>
        <w:tc>
          <w:tcPr>
            <w:tcW w:w="3800" w:type="pct"/>
          </w:tcPr>
          <w:p w14:paraId="4458E485" w14:textId="5D3E96D8" w:rsidR="00E76015" w:rsidRPr="005612CB" w:rsidRDefault="0031178B" w:rsidP="00E76015">
            <w:pPr>
              <w:cnfStyle w:val="000000000000" w:firstRow="0" w:lastRow="0" w:firstColumn="0" w:lastColumn="0" w:oddVBand="0" w:evenVBand="0" w:oddHBand="0" w:evenHBand="0" w:firstRowFirstColumn="0" w:firstRowLastColumn="0" w:lastRowFirstColumn="0" w:lastRowLastColumn="0"/>
              <w:rPr>
                <w:szCs w:val="22"/>
              </w:rPr>
            </w:pPr>
            <w:r w:rsidRPr="005612CB">
              <w:t xml:space="preserve">Maximum </w:t>
            </w:r>
            <w:r w:rsidR="00E76015" w:rsidRPr="005612CB">
              <w:t>serum concentration</w:t>
            </w:r>
          </w:p>
        </w:tc>
      </w:tr>
      <w:tr w:rsidR="00E76015" w:rsidRPr="005612C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68FE10ED" w:rsidR="00E76015" w:rsidRPr="005612CB" w:rsidRDefault="00E76015" w:rsidP="00E76015">
            <w:pPr>
              <w:rPr>
                <w:szCs w:val="22"/>
              </w:rPr>
            </w:pPr>
            <w:r w:rsidRPr="005612CB">
              <w:t>CMI</w:t>
            </w:r>
          </w:p>
        </w:tc>
        <w:tc>
          <w:tcPr>
            <w:tcW w:w="3800" w:type="pct"/>
          </w:tcPr>
          <w:p w14:paraId="53D4D108" w14:textId="75DC3068"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rPr>
                <w:szCs w:val="22"/>
              </w:rPr>
            </w:pPr>
            <w:r w:rsidRPr="005612CB">
              <w:t>Consumer Medicines Information</w:t>
            </w:r>
          </w:p>
        </w:tc>
      </w:tr>
      <w:tr w:rsidR="00E76015" w:rsidRPr="005612CB" w14:paraId="069316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1C7E67" w14:textId="1B39FD98" w:rsidR="00E76015" w:rsidRPr="005612CB" w:rsidRDefault="00E76015" w:rsidP="00E76015">
            <w:r w:rsidRPr="005612CB">
              <w:t>CTLA</w:t>
            </w:r>
          </w:p>
        </w:tc>
        <w:tc>
          <w:tcPr>
            <w:tcW w:w="3800" w:type="pct"/>
          </w:tcPr>
          <w:p w14:paraId="0A29F470" w14:textId="1AC274C8"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Cytotoxic T-lymphocyte-associated antigen</w:t>
            </w:r>
          </w:p>
        </w:tc>
      </w:tr>
      <w:tr w:rsidR="00E76015" w:rsidRPr="005612CB" w14:paraId="0CB301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9C4E44" w14:textId="3106D7DA" w:rsidR="00E76015" w:rsidRPr="005612CB" w:rsidRDefault="00E76015" w:rsidP="00E76015">
            <w:proofErr w:type="spellStart"/>
            <w:r w:rsidRPr="005612CB">
              <w:t>C</w:t>
            </w:r>
            <w:r w:rsidRPr="005612CB">
              <w:rPr>
                <w:vertAlign w:val="subscript"/>
              </w:rPr>
              <w:t>trough</w:t>
            </w:r>
            <w:proofErr w:type="spellEnd"/>
          </w:p>
        </w:tc>
        <w:tc>
          <w:tcPr>
            <w:tcW w:w="3800" w:type="pct"/>
          </w:tcPr>
          <w:p w14:paraId="5373633D" w14:textId="099499E3" w:rsidR="00E76015" w:rsidRPr="005612CB" w:rsidRDefault="0031178B" w:rsidP="00E76015">
            <w:pPr>
              <w:cnfStyle w:val="000000000000" w:firstRow="0" w:lastRow="0" w:firstColumn="0" w:lastColumn="0" w:oddVBand="0" w:evenVBand="0" w:oddHBand="0" w:evenHBand="0" w:firstRowFirstColumn="0" w:firstRowLastColumn="0" w:lastRowFirstColumn="0" w:lastRowLastColumn="0"/>
            </w:pPr>
            <w:r w:rsidRPr="005612CB">
              <w:t xml:space="preserve">Trough </w:t>
            </w:r>
            <w:r w:rsidR="00E76015" w:rsidRPr="005612CB">
              <w:t>serum concentration</w:t>
            </w:r>
          </w:p>
        </w:tc>
      </w:tr>
      <w:tr w:rsidR="00E76015" w:rsidRPr="005612CB" w14:paraId="7202C83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AA6B88" w14:textId="2D89AC4F" w:rsidR="00E76015" w:rsidRPr="005612CB" w:rsidRDefault="00E76015" w:rsidP="00E76015">
            <w:r w:rsidRPr="005612CB">
              <w:t>ECOG</w:t>
            </w:r>
          </w:p>
        </w:tc>
        <w:tc>
          <w:tcPr>
            <w:tcW w:w="3800" w:type="pct"/>
          </w:tcPr>
          <w:p w14:paraId="63EC0EDB" w14:textId="15A42127"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Eastern Cooperative Oncology Group</w:t>
            </w:r>
          </w:p>
        </w:tc>
      </w:tr>
      <w:tr w:rsidR="00E76015" w:rsidRPr="005612CB" w14:paraId="147217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306B03" w14:textId="54988F76" w:rsidR="00E76015" w:rsidRPr="005612CB" w:rsidRDefault="00E76015" w:rsidP="00E76015">
            <w:r w:rsidRPr="005612CB">
              <w:t>ES</w:t>
            </w:r>
          </w:p>
        </w:tc>
        <w:tc>
          <w:tcPr>
            <w:tcW w:w="3800" w:type="pct"/>
          </w:tcPr>
          <w:p w14:paraId="178640D6" w14:textId="4C2848E5" w:rsidR="00E76015" w:rsidRPr="005612CB" w:rsidRDefault="0031178B" w:rsidP="00E76015">
            <w:pPr>
              <w:cnfStyle w:val="000000000000" w:firstRow="0" w:lastRow="0" w:firstColumn="0" w:lastColumn="0" w:oddVBand="0" w:evenVBand="0" w:oddHBand="0" w:evenHBand="0" w:firstRowFirstColumn="0" w:firstRowLastColumn="0" w:lastRowFirstColumn="0" w:lastRowLastColumn="0"/>
            </w:pPr>
            <w:proofErr w:type="gramStart"/>
            <w:r w:rsidRPr="005612CB">
              <w:t>Extensive</w:t>
            </w:r>
            <w:r w:rsidR="00E76015" w:rsidRPr="005612CB">
              <w:t>-stage</w:t>
            </w:r>
            <w:proofErr w:type="gramEnd"/>
          </w:p>
        </w:tc>
      </w:tr>
      <w:tr w:rsidR="00B60A01" w:rsidRPr="005612CB" w14:paraId="041DB3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4FC6B1" w14:textId="43240578" w:rsidR="00B60A01" w:rsidRPr="005612CB" w:rsidRDefault="00B60A01" w:rsidP="00E76015">
            <w:r w:rsidRPr="005612CB">
              <w:t>ESMO</w:t>
            </w:r>
          </w:p>
        </w:tc>
        <w:tc>
          <w:tcPr>
            <w:tcW w:w="3800" w:type="pct"/>
          </w:tcPr>
          <w:p w14:paraId="3C8637F6" w14:textId="7F38DA84" w:rsidR="00B60A01" w:rsidRPr="005612CB" w:rsidRDefault="00B60A01" w:rsidP="00E76015">
            <w:pPr>
              <w:cnfStyle w:val="000000000000" w:firstRow="0" w:lastRow="0" w:firstColumn="0" w:lastColumn="0" w:oddVBand="0" w:evenVBand="0" w:oddHBand="0" w:evenHBand="0" w:firstRowFirstColumn="0" w:firstRowLastColumn="0" w:lastRowFirstColumn="0" w:lastRowLastColumn="0"/>
            </w:pPr>
            <w:r w:rsidRPr="005612CB">
              <w:t>European Society for Medical Oncology (</w:t>
            </w:r>
          </w:p>
        </w:tc>
      </w:tr>
      <w:tr w:rsidR="00E76015" w:rsidRPr="005612CB" w14:paraId="338628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F7ED29" w14:textId="3B745300" w:rsidR="00E76015" w:rsidRPr="005612CB" w:rsidRDefault="00E76015" w:rsidP="00E76015">
            <w:r w:rsidRPr="005612CB">
              <w:t>FDA</w:t>
            </w:r>
          </w:p>
        </w:tc>
        <w:tc>
          <w:tcPr>
            <w:tcW w:w="3800" w:type="pct"/>
          </w:tcPr>
          <w:p w14:paraId="7A51E9E0" w14:textId="30085147"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Food and Drug Administration (United States of America)</w:t>
            </w:r>
          </w:p>
        </w:tc>
      </w:tr>
      <w:tr w:rsidR="00E76015" w:rsidRPr="005612CB" w14:paraId="5C2275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7269D1" w14:textId="2E4C2D58" w:rsidR="00E76015" w:rsidRPr="005612CB" w:rsidRDefault="00E76015" w:rsidP="00E76015">
            <w:r w:rsidRPr="005612CB">
              <w:t>HBV</w:t>
            </w:r>
          </w:p>
        </w:tc>
        <w:tc>
          <w:tcPr>
            <w:tcW w:w="3800" w:type="pct"/>
          </w:tcPr>
          <w:p w14:paraId="515244B3" w14:textId="346B6A3F"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7" w:name="_Hlk149052964"/>
            <w:r w:rsidRPr="005612CB">
              <w:t>Hepatitis B virus</w:t>
            </w:r>
            <w:bookmarkEnd w:id="7"/>
          </w:p>
        </w:tc>
      </w:tr>
      <w:tr w:rsidR="00E76015" w:rsidRPr="005612CB" w14:paraId="04AC6A3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435285" w14:textId="17D7BE6B" w:rsidR="00E76015" w:rsidRPr="005612CB" w:rsidRDefault="00E76015" w:rsidP="00E76015">
            <w:r w:rsidRPr="005612CB">
              <w:t>HCC</w:t>
            </w:r>
          </w:p>
        </w:tc>
        <w:tc>
          <w:tcPr>
            <w:tcW w:w="3800" w:type="pct"/>
          </w:tcPr>
          <w:p w14:paraId="7DC188DC" w14:textId="4AB0C5F1"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Hepatocellular carcinoma</w:t>
            </w:r>
          </w:p>
        </w:tc>
      </w:tr>
      <w:tr w:rsidR="00E76015" w:rsidRPr="005612CB" w14:paraId="292BA11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7769BC" w14:textId="4B5C483D" w:rsidR="00E76015" w:rsidRPr="005612CB" w:rsidRDefault="00E76015" w:rsidP="00E76015">
            <w:r w:rsidRPr="005612CB">
              <w:t>HCV</w:t>
            </w:r>
          </w:p>
        </w:tc>
        <w:tc>
          <w:tcPr>
            <w:tcW w:w="3800" w:type="pct"/>
          </w:tcPr>
          <w:p w14:paraId="1820460A" w14:textId="64B3B481"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Hepatitis C virus</w:t>
            </w:r>
          </w:p>
        </w:tc>
      </w:tr>
      <w:tr w:rsidR="00E76015" w:rsidRPr="005612CB" w14:paraId="3B3C08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18ABEE" w14:textId="56E286DA" w:rsidR="00E76015" w:rsidRPr="005612CB" w:rsidRDefault="00E76015" w:rsidP="00E76015">
            <w:r w:rsidRPr="005612CB">
              <w:t>HR</w:t>
            </w:r>
          </w:p>
        </w:tc>
        <w:tc>
          <w:tcPr>
            <w:tcW w:w="3800" w:type="pct"/>
          </w:tcPr>
          <w:p w14:paraId="278883FB" w14:textId="46A009F1"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Hazard ratio</w:t>
            </w:r>
          </w:p>
        </w:tc>
      </w:tr>
      <w:tr w:rsidR="00E76015" w:rsidRPr="005612CB" w14:paraId="65D8385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F8CA34" w14:textId="1AB618CF" w:rsidR="00E76015" w:rsidRPr="005612CB" w:rsidRDefault="00E76015" w:rsidP="00E76015">
            <w:r w:rsidRPr="005612CB">
              <w:t>IgG</w:t>
            </w:r>
          </w:p>
        </w:tc>
        <w:tc>
          <w:tcPr>
            <w:tcW w:w="3800" w:type="pct"/>
          </w:tcPr>
          <w:p w14:paraId="2E71FBDE" w14:textId="106BAA8F"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8" w:name="_Hlk149055298"/>
            <w:r w:rsidRPr="005612CB">
              <w:t>Immunoglobulin G</w:t>
            </w:r>
            <w:bookmarkEnd w:id="8"/>
          </w:p>
        </w:tc>
      </w:tr>
      <w:tr w:rsidR="00E76015" w:rsidRPr="005612CB" w14:paraId="08D39F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D3CA1D" w14:textId="55C5A775" w:rsidR="00E76015" w:rsidRPr="005612CB" w:rsidRDefault="00E76015" w:rsidP="00E76015">
            <w:r w:rsidRPr="005612CB">
              <w:t>imAE</w:t>
            </w:r>
          </w:p>
        </w:tc>
        <w:tc>
          <w:tcPr>
            <w:tcW w:w="3800" w:type="pct"/>
          </w:tcPr>
          <w:p w14:paraId="25FD7DE6" w14:textId="3CF26F9A"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Immune-mediated adverse event</w:t>
            </w:r>
          </w:p>
        </w:tc>
      </w:tr>
      <w:tr w:rsidR="00E76015" w:rsidRPr="005612CB" w14:paraId="7038C9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B35749" w14:textId="3BB0291C" w:rsidR="00E76015" w:rsidRPr="005612CB" w:rsidRDefault="00E76015" w:rsidP="00E76015">
            <w:r w:rsidRPr="005612CB">
              <w:t>irAEs</w:t>
            </w:r>
          </w:p>
        </w:tc>
        <w:tc>
          <w:tcPr>
            <w:tcW w:w="3800" w:type="pct"/>
          </w:tcPr>
          <w:p w14:paraId="52285459" w14:textId="7025D98E"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Immune-related adverse event</w:t>
            </w:r>
          </w:p>
        </w:tc>
      </w:tr>
      <w:tr w:rsidR="00E76015" w:rsidRPr="005612CB" w14:paraId="0CF990D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23AB50" w14:textId="77181A3D" w:rsidR="00E76015" w:rsidRPr="005612CB" w:rsidRDefault="00E76015" w:rsidP="00E76015">
            <w:r w:rsidRPr="005612CB">
              <w:t>NSCLC</w:t>
            </w:r>
          </w:p>
        </w:tc>
        <w:tc>
          <w:tcPr>
            <w:tcW w:w="3800" w:type="pct"/>
          </w:tcPr>
          <w:p w14:paraId="53700EEE" w14:textId="3CABA7F5" w:rsidR="00E76015" w:rsidRPr="005612CB" w:rsidRDefault="0031178B" w:rsidP="00E76015">
            <w:pPr>
              <w:cnfStyle w:val="000000000000" w:firstRow="0" w:lastRow="0" w:firstColumn="0" w:lastColumn="0" w:oddVBand="0" w:evenVBand="0" w:oddHBand="0" w:evenHBand="0" w:firstRowFirstColumn="0" w:firstRowLastColumn="0" w:lastRowFirstColumn="0" w:lastRowLastColumn="0"/>
            </w:pPr>
            <w:r w:rsidRPr="005612CB">
              <w:t>Non</w:t>
            </w:r>
            <w:r w:rsidR="00E76015" w:rsidRPr="005612CB">
              <w:t>-small cell lung cancer</w:t>
            </w:r>
          </w:p>
        </w:tc>
      </w:tr>
      <w:tr w:rsidR="00E76015" w:rsidRPr="005612CB" w14:paraId="7AD07C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C16C13" w14:textId="6C631923" w:rsidR="00E76015" w:rsidRPr="005612CB" w:rsidRDefault="00E76015" w:rsidP="00E76015">
            <w:r w:rsidRPr="005612CB">
              <w:t>ORR</w:t>
            </w:r>
          </w:p>
        </w:tc>
        <w:tc>
          <w:tcPr>
            <w:tcW w:w="3800" w:type="pct"/>
          </w:tcPr>
          <w:p w14:paraId="2F5C164E" w14:textId="70AF04CA" w:rsidR="00E76015" w:rsidRPr="005612CB" w:rsidRDefault="0031178B" w:rsidP="00E76015">
            <w:pPr>
              <w:cnfStyle w:val="000000000000" w:firstRow="0" w:lastRow="0" w:firstColumn="0" w:lastColumn="0" w:oddVBand="0" w:evenVBand="0" w:oddHBand="0" w:evenHBand="0" w:firstRowFirstColumn="0" w:firstRowLastColumn="0" w:lastRowFirstColumn="0" w:lastRowLastColumn="0"/>
            </w:pPr>
            <w:r w:rsidRPr="005612CB">
              <w:t xml:space="preserve">Objective </w:t>
            </w:r>
            <w:r w:rsidR="00E76015" w:rsidRPr="005612CB">
              <w:t>response rate</w:t>
            </w:r>
          </w:p>
        </w:tc>
      </w:tr>
      <w:tr w:rsidR="00E76015" w:rsidRPr="005612CB" w14:paraId="5AB24C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4EAD7C" w14:textId="2B28C2CB" w:rsidR="00E76015" w:rsidRPr="005612CB" w:rsidRDefault="00E76015" w:rsidP="00E76015">
            <w:r w:rsidRPr="005612CB">
              <w:t>OS</w:t>
            </w:r>
          </w:p>
        </w:tc>
        <w:tc>
          <w:tcPr>
            <w:tcW w:w="3800" w:type="pct"/>
          </w:tcPr>
          <w:p w14:paraId="1D622F03" w14:textId="09C08288"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9" w:name="_Hlk149054070"/>
            <w:r w:rsidRPr="005612CB">
              <w:t>Overall survival</w:t>
            </w:r>
            <w:bookmarkEnd w:id="9"/>
          </w:p>
        </w:tc>
      </w:tr>
      <w:tr w:rsidR="00E76015" w:rsidRPr="005612CB" w14:paraId="37F27D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DA4A23" w14:textId="1B5F1EAE" w:rsidR="00E76015" w:rsidRPr="005612CB" w:rsidRDefault="00E76015" w:rsidP="00E76015">
            <w:r w:rsidRPr="005612CB">
              <w:t>PD-1</w:t>
            </w:r>
          </w:p>
        </w:tc>
        <w:tc>
          <w:tcPr>
            <w:tcW w:w="3800" w:type="pct"/>
          </w:tcPr>
          <w:p w14:paraId="0B5ADD8F" w14:textId="2420133A"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 xml:space="preserve">Programmed cell </w:t>
            </w:r>
            <w:proofErr w:type="gramStart"/>
            <w:r w:rsidRPr="005612CB">
              <w:t>death-1</w:t>
            </w:r>
            <w:proofErr w:type="gramEnd"/>
          </w:p>
        </w:tc>
      </w:tr>
      <w:tr w:rsidR="00E76015" w:rsidRPr="005612CB" w14:paraId="1DF2424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81F1A0" w14:textId="346ED7F2" w:rsidR="00E76015" w:rsidRPr="005612CB" w:rsidRDefault="00E76015" w:rsidP="00E76015">
            <w:r w:rsidRPr="005612CB">
              <w:t>PD-L1</w:t>
            </w:r>
          </w:p>
        </w:tc>
        <w:tc>
          <w:tcPr>
            <w:tcW w:w="3800" w:type="pct"/>
          </w:tcPr>
          <w:p w14:paraId="6F1F46F6" w14:textId="57E0C0ED"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10" w:name="_Hlk149054317"/>
            <w:r w:rsidRPr="005612CB">
              <w:t xml:space="preserve">Programmed cell death </w:t>
            </w:r>
            <w:proofErr w:type="gramStart"/>
            <w:r w:rsidRPr="005612CB">
              <w:t>ligand-1</w:t>
            </w:r>
            <w:bookmarkEnd w:id="10"/>
            <w:proofErr w:type="gramEnd"/>
          </w:p>
        </w:tc>
      </w:tr>
      <w:tr w:rsidR="00E76015" w:rsidRPr="005612CB" w14:paraId="6BE11AC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0C65EC" w14:textId="25B88FBC" w:rsidR="00E76015" w:rsidRPr="005612CB" w:rsidRDefault="00E76015" w:rsidP="00E76015">
            <w:r w:rsidRPr="005612CB">
              <w:t>PFS</w:t>
            </w:r>
          </w:p>
        </w:tc>
        <w:tc>
          <w:tcPr>
            <w:tcW w:w="3800" w:type="pct"/>
          </w:tcPr>
          <w:p w14:paraId="41AED9AA" w14:textId="57CFC5F6"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Progression-free survival</w:t>
            </w:r>
          </w:p>
        </w:tc>
      </w:tr>
      <w:tr w:rsidR="00E76015" w:rsidRPr="005612CB" w14:paraId="19F7F4E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B57046" w14:textId="2EE86D5F" w:rsidR="00E76015" w:rsidRPr="005612CB" w:rsidRDefault="00E76015" w:rsidP="00E76015">
            <w:r w:rsidRPr="005612CB">
              <w:t>PK</w:t>
            </w:r>
          </w:p>
        </w:tc>
        <w:tc>
          <w:tcPr>
            <w:tcW w:w="3800" w:type="pct"/>
          </w:tcPr>
          <w:p w14:paraId="3FA0E181" w14:textId="2F7C23F2"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Pharmacokinetic(s)</w:t>
            </w:r>
          </w:p>
        </w:tc>
      </w:tr>
      <w:tr w:rsidR="00E76015" w:rsidRPr="005612CB" w14:paraId="3B8E049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738024" w14:textId="487BB595" w:rsidR="00E76015" w:rsidRPr="005612CB" w:rsidRDefault="00E76015" w:rsidP="00E76015">
            <w:r w:rsidRPr="005612CB">
              <w:lastRenderedPageBreak/>
              <w:t>PI</w:t>
            </w:r>
          </w:p>
        </w:tc>
        <w:tc>
          <w:tcPr>
            <w:tcW w:w="3800" w:type="pct"/>
          </w:tcPr>
          <w:p w14:paraId="2C079FE6" w14:textId="4CF1F796"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Product Information</w:t>
            </w:r>
          </w:p>
        </w:tc>
      </w:tr>
      <w:tr w:rsidR="00E76015" w:rsidRPr="005612CB" w14:paraId="16777DE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3BDD40" w14:textId="79B402E4" w:rsidR="00E76015" w:rsidRPr="005612CB" w:rsidRDefault="00E76015" w:rsidP="00E76015">
            <w:r w:rsidRPr="005612CB">
              <w:t>PS</w:t>
            </w:r>
          </w:p>
        </w:tc>
        <w:tc>
          <w:tcPr>
            <w:tcW w:w="3800" w:type="pct"/>
          </w:tcPr>
          <w:p w14:paraId="0FA3B586" w14:textId="09DFD706"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11" w:name="_Hlk149054193"/>
            <w:r w:rsidRPr="005612CB">
              <w:t>Performance Status</w:t>
            </w:r>
            <w:bookmarkEnd w:id="11"/>
          </w:p>
        </w:tc>
      </w:tr>
      <w:tr w:rsidR="00E76015" w:rsidRPr="005612CB" w14:paraId="0E7E624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BBE748" w14:textId="6B48ADC2" w:rsidR="00E76015" w:rsidRPr="005612CB" w:rsidRDefault="00E76015" w:rsidP="00E76015">
            <w:r w:rsidRPr="005612CB">
              <w:t>SCLC</w:t>
            </w:r>
          </w:p>
        </w:tc>
        <w:tc>
          <w:tcPr>
            <w:tcW w:w="3800" w:type="pct"/>
          </w:tcPr>
          <w:p w14:paraId="68A49F41" w14:textId="5E3EEE99"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Small cell lung cancer</w:t>
            </w:r>
          </w:p>
        </w:tc>
      </w:tr>
      <w:tr w:rsidR="00E76015" w:rsidRPr="005612CB" w14:paraId="5495A5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2610AA" w14:textId="2F545EFE" w:rsidR="00E76015" w:rsidRPr="005612CB" w:rsidRDefault="00E76015" w:rsidP="00E76015">
            <w:r w:rsidRPr="005612CB">
              <w:t>TGA</w:t>
            </w:r>
          </w:p>
        </w:tc>
        <w:tc>
          <w:tcPr>
            <w:tcW w:w="3800" w:type="pct"/>
          </w:tcPr>
          <w:p w14:paraId="2E5A2DA3" w14:textId="52CCEFF8"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Therapeutic Goods Administration</w:t>
            </w:r>
          </w:p>
        </w:tc>
      </w:tr>
      <w:tr w:rsidR="00E76015" w:rsidRPr="005612CB" w14:paraId="15A5357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4CA9CB" w14:textId="1B1ED1B1" w:rsidR="00E76015" w:rsidRPr="005612CB" w:rsidRDefault="00E76015" w:rsidP="00E76015">
            <w:r w:rsidRPr="005612CB">
              <w:t>uHCC</w:t>
            </w:r>
          </w:p>
        </w:tc>
        <w:tc>
          <w:tcPr>
            <w:tcW w:w="3800" w:type="pct"/>
          </w:tcPr>
          <w:p w14:paraId="0B1A93CF" w14:textId="085F298D"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Unresectable hepatocellular carcinoma</w:t>
            </w:r>
          </w:p>
        </w:tc>
      </w:tr>
      <w:tr w:rsidR="00E76015" w:rsidRPr="005612CB" w14:paraId="7393BA3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5161F0" w14:textId="45C9CD2E" w:rsidR="00E76015" w:rsidRPr="005612CB" w:rsidRDefault="00E76015" w:rsidP="00E76015">
            <w:r w:rsidRPr="005612CB">
              <w:t>US(A)</w:t>
            </w:r>
          </w:p>
        </w:tc>
        <w:tc>
          <w:tcPr>
            <w:tcW w:w="3800" w:type="pct"/>
          </w:tcPr>
          <w:p w14:paraId="2C271D17" w14:textId="69D13812"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United States of America</w:t>
            </w:r>
          </w:p>
        </w:tc>
      </w:tr>
      <w:tr w:rsidR="00E76015" w:rsidRPr="005612CB" w14:paraId="119C72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8F9662" w14:textId="1A610CFE" w:rsidR="00E76015" w:rsidRPr="005612CB" w:rsidRDefault="00E76015" w:rsidP="00E76015">
            <w:r w:rsidRPr="005612CB">
              <w:t>V1</w:t>
            </w:r>
          </w:p>
        </w:tc>
        <w:tc>
          <w:tcPr>
            <w:tcW w:w="3800" w:type="pct"/>
          </w:tcPr>
          <w:p w14:paraId="2588F144" w14:textId="183C28D1"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Central volume of distribution</w:t>
            </w:r>
          </w:p>
        </w:tc>
      </w:tr>
      <w:tr w:rsidR="00E76015" w:rsidRPr="005612CB" w14:paraId="1DEBEA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F764B6" w14:textId="56F6AAC6" w:rsidR="00E76015" w:rsidRPr="005612CB" w:rsidRDefault="00E76015" w:rsidP="00E76015">
            <w:r w:rsidRPr="005612CB">
              <w:t>V2</w:t>
            </w:r>
          </w:p>
        </w:tc>
        <w:tc>
          <w:tcPr>
            <w:tcW w:w="3800" w:type="pct"/>
          </w:tcPr>
          <w:p w14:paraId="3EDF772E" w14:textId="50024765"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r w:rsidRPr="005612CB">
              <w:t>Peripheral volume of distribution</w:t>
            </w:r>
          </w:p>
        </w:tc>
      </w:tr>
      <w:tr w:rsidR="00E76015" w:rsidRPr="005612CB" w14:paraId="1BD1DA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E81BB3" w14:textId="53C104F8" w:rsidR="00E76015" w:rsidRPr="005612CB" w:rsidRDefault="00E76015" w:rsidP="00E76015">
            <w:r w:rsidRPr="005612CB">
              <w:t>VEGF</w:t>
            </w:r>
          </w:p>
        </w:tc>
        <w:tc>
          <w:tcPr>
            <w:tcW w:w="3800" w:type="pct"/>
          </w:tcPr>
          <w:p w14:paraId="4D7BA766" w14:textId="14364619"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12" w:name="_Hlk149055260"/>
            <w:r w:rsidRPr="005612CB">
              <w:t>Vascular endothelial growth factor</w:t>
            </w:r>
            <w:bookmarkEnd w:id="12"/>
          </w:p>
        </w:tc>
      </w:tr>
      <w:tr w:rsidR="00E76015" w:rsidRPr="005612CB" w14:paraId="163A839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F49AAB" w14:textId="036BA5B7" w:rsidR="00E76015" w:rsidRPr="005612CB" w:rsidRDefault="00E76015" w:rsidP="00E76015">
            <w:r w:rsidRPr="005612CB">
              <w:t>VEGFR</w:t>
            </w:r>
          </w:p>
        </w:tc>
        <w:tc>
          <w:tcPr>
            <w:tcW w:w="3800" w:type="pct"/>
          </w:tcPr>
          <w:p w14:paraId="27DE4CF1" w14:textId="0F0D0BB1" w:rsidR="00E76015" w:rsidRPr="005612CB" w:rsidRDefault="00E76015" w:rsidP="00E76015">
            <w:pPr>
              <w:cnfStyle w:val="000000000000" w:firstRow="0" w:lastRow="0" w:firstColumn="0" w:lastColumn="0" w:oddVBand="0" w:evenVBand="0" w:oddHBand="0" w:evenHBand="0" w:firstRowFirstColumn="0" w:firstRowLastColumn="0" w:lastRowFirstColumn="0" w:lastRowLastColumn="0"/>
            </w:pPr>
            <w:bookmarkStart w:id="13" w:name="_Hlk149053970"/>
            <w:r w:rsidRPr="005612CB">
              <w:t>Vascular endothelial growth factor receptor</w:t>
            </w:r>
            <w:bookmarkEnd w:id="13"/>
          </w:p>
        </w:tc>
      </w:tr>
    </w:tbl>
    <w:p w14:paraId="7378F926" w14:textId="77777777" w:rsidR="00324B33" w:rsidRPr="005612CB" w:rsidRDefault="00324B33" w:rsidP="00324B33"/>
    <w:p w14:paraId="02FB1F38" w14:textId="77777777" w:rsidR="00324B33" w:rsidRPr="005612CB" w:rsidRDefault="00324B33" w:rsidP="00324B33">
      <w:pPr>
        <w:spacing w:after="200" w:line="0" w:lineRule="auto"/>
        <w:rPr>
          <w:b/>
          <w:i/>
          <w:sz w:val="24"/>
          <w:szCs w:val="24"/>
        </w:rPr>
      </w:pPr>
      <w:r w:rsidRPr="005612CB">
        <w:rPr>
          <w:b/>
          <w:i/>
          <w:sz w:val="24"/>
          <w:szCs w:val="24"/>
        </w:rPr>
        <w:br w:type="page"/>
      </w:r>
    </w:p>
    <w:p w14:paraId="44C2A39C" w14:textId="77777777" w:rsidR="00324B33" w:rsidRPr="005612CB" w:rsidRDefault="00324B33" w:rsidP="00324B33">
      <w:pPr>
        <w:pStyle w:val="Heading2"/>
      </w:pPr>
      <w:bookmarkStart w:id="14" w:name="_Toc103679288"/>
      <w:bookmarkStart w:id="15" w:name="_Toc152934430"/>
      <w:r w:rsidRPr="005612CB">
        <w:lastRenderedPageBreak/>
        <w:t>Product submission</w:t>
      </w:r>
      <w:bookmarkEnd w:id="14"/>
      <w:bookmarkEnd w:id="15"/>
    </w:p>
    <w:p w14:paraId="21D559DF" w14:textId="77777777" w:rsidR="00324B33" w:rsidRPr="005612CB" w:rsidRDefault="00324B33" w:rsidP="00324B33">
      <w:pPr>
        <w:pStyle w:val="Heading3"/>
        <w:rPr>
          <w:lang w:eastAsia="en-AU"/>
        </w:rPr>
      </w:pPr>
      <w:bookmarkStart w:id="16" w:name="_Toc247691502"/>
      <w:bookmarkStart w:id="17" w:name="_Toc314842483"/>
      <w:bookmarkStart w:id="18" w:name="_Toc103679289"/>
      <w:bookmarkStart w:id="19" w:name="_Toc152934431"/>
      <w:r w:rsidRPr="005612CB">
        <w:rPr>
          <w:lang w:eastAsia="en-AU"/>
        </w:rPr>
        <w:t>Submission details</w:t>
      </w:r>
      <w:bookmarkEnd w:id="16"/>
      <w:bookmarkEnd w:id="17"/>
      <w:bookmarkEnd w:id="18"/>
      <w:bookmarkEnd w:id="19"/>
    </w:p>
    <w:tbl>
      <w:tblPr>
        <w:tblW w:w="5000" w:type="pct"/>
        <w:tblLook w:val="01E0" w:firstRow="1" w:lastRow="1" w:firstColumn="1" w:lastColumn="1" w:noHBand="0" w:noVBand="0"/>
      </w:tblPr>
      <w:tblGrid>
        <w:gridCol w:w="2861"/>
        <w:gridCol w:w="6209"/>
      </w:tblGrid>
      <w:tr w:rsidR="00324B33" w:rsidRPr="005612CB" w14:paraId="77D11C95" w14:textId="77777777" w:rsidTr="00F865A7">
        <w:tc>
          <w:tcPr>
            <w:tcW w:w="1577" w:type="pct"/>
          </w:tcPr>
          <w:p w14:paraId="10E57D62" w14:textId="77777777" w:rsidR="00324B33" w:rsidRPr="005612CB" w:rsidRDefault="00324B33" w:rsidP="007452E8">
            <w:pPr>
              <w:rPr>
                <w:i/>
                <w:szCs w:val="22"/>
              </w:rPr>
            </w:pPr>
            <w:r w:rsidRPr="005612CB">
              <w:rPr>
                <w:i/>
                <w:szCs w:val="22"/>
              </w:rPr>
              <w:t>Type of submission:</w:t>
            </w:r>
          </w:p>
        </w:tc>
        <w:tc>
          <w:tcPr>
            <w:tcW w:w="3423" w:type="pct"/>
          </w:tcPr>
          <w:p w14:paraId="4F07C303" w14:textId="1C467DB0" w:rsidR="00324B33" w:rsidRPr="005612CB" w:rsidRDefault="000A39B5" w:rsidP="00F24B44">
            <w:r w:rsidRPr="005612CB">
              <w:t>Extension of indications</w:t>
            </w:r>
          </w:p>
        </w:tc>
      </w:tr>
      <w:tr w:rsidR="00324B33" w:rsidRPr="005612CB" w14:paraId="13482B61" w14:textId="77777777" w:rsidTr="00F865A7">
        <w:tc>
          <w:tcPr>
            <w:tcW w:w="1577" w:type="pct"/>
          </w:tcPr>
          <w:p w14:paraId="2C427FCF" w14:textId="2BAC199E" w:rsidR="00324B33" w:rsidRPr="005612CB" w:rsidRDefault="00324B33" w:rsidP="007452E8">
            <w:pPr>
              <w:rPr>
                <w:i/>
                <w:szCs w:val="22"/>
              </w:rPr>
            </w:pPr>
            <w:r w:rsidRPr="005612CB">
              <w:rPr>
                <w:i/>
                <w:szCs w:val="22"/>
              </w:rPr>
              <w:t>Product name:</w:t>
            </w:r>
          </w:p>
        </w:tc>
        <w:tc>
          <w:tcPr>
            <w:tcW w:w="3423" w:type="pct"/>
          </w:tcPr>
          <w:p w14:paraId="0E2DEF76" w14:textId="47E9A1CC" w:rsidR="00324B33" w:rsidRPr="005612CB" w:rsidRDefault="0026248A" w:rsidP="00F24B44">
            <w:r w:rsidRPr="005612CB">
              <w:t>Imfinzi</w:t>
            </w:r>
          </w:p>
        </w:tc>
      </w:tr>
      <w:tr w:rsidR="00324B33" w:rsidRPr="005612CB" w14:paraId="01255B5B" w14:textId="77777777" w:rsidTr="00F865A7">
        <w:tc>
          <w:tcPr>
            <w:tcW w:w="1577" w:type="pct"/>
          </w:tcPr>
          <w:p w14:paraId="52B4F3D7" w14:textId="7D4209BA" w:rsidR="00324B33" w:rsidRPr="005612CB" w:rsidRDefault="00324B33" w:rsidP="007452E8">
            <w:pPr>
              <w:rPr>
                <w:i/>
                <w:szCs w:val="22"/>
              </w:rPr>
            </w:pPr>
            <w:r w:rsidRPr="005612CB">
              <w:rPr>
                <w:i/>
                <w:szCs w:val="22"/>
              </w:rPr>
              <w:t>Active ingredient</w:t>
            </w:r>
            <w:r w:rsidR="00E15B3B" w:rsidRPr="005612CB">
              <w:rPr>
                <w:i/>
                <w:szCs w:val="22"/>
              </w:rPr>
              <w:t>:</w:t>
            </w:r>
          </w:p>
        </w:tc>
        <w:tc>
          <w:tcPr>
            <w:tcW w:w="3423" w:type="pct"/>
          </w:tcPr>
          <w:p w14:paraId="02FB6383" w14:textId="4EA9EB7E" w:rsidR="00324B33" w:rsidRPr="005612CB" w:rsidRDefault="002221F2" w:rsidP="00F24B44">
            <w:r w:rsidRPr="005612CB">
              <w:t>Durvalumab</w:t>
            </w:r>
          </w:p>
        </w:tc>
      </w:tr>
      <w:tr w:rsidR="00324B33" w:rsidRPr="005612CB" w14:paraId="219A281B" w14:textId="77777777" w:rsidTr="00F865A7">
        <w:tc>
          <w:tcPr>
            <w:tcW w:w="1577" w:type="pct"/>
          </w:tcPr>
          <w:p w14:paraId="112E5F78" w14:textId="77777777" w:rsidR="00324B33" w:rsidRPr="005612CB" w:rsidRDefault="00324B33" w:rsidP="007452E8">
            <w:pPr>
              <w:rPr>
                <w:i/>
                <w:szCs w:val="22"/>
              </w:rPr>
            </w:pPr>
            <w:r w:rsidRPr="005612CB">
              <w:rPr>
                <w:i/>
                <w:szCs w:val="22"/>
              </w:rPr>
              <w:t>Decision:</w:t>
            </w:r>
          </w:p>
        </w:tc>
        <w:tc>
          <w:tcPr>
            <w:tcW w:w="3423" w:type="pct"/>
          </w:tcPr>
          <w:p w14:paraId="3B114BEA" w14:textId="3EA040C9" w:rsidR="00324B33" w:rsidRPr="005612CB" w:rsidRDefault="00324B33" w:rsidP="00F24B44">
            <w:r w:rsidRPr="005612CB">
              <w:t>Approved</w:t>
            </w:r>
          </w:p>
        </w:tc>
      </w:tr>
      <w:tr w:rsidR="00AE1947" w:rsidRPr="005612CB" w14:paraId="32B72632" w14:textId="77777777" w:rsidTr="00F865A7">
        <w:tc>
          <w:tcPr>
            <w:tcW w:w="1577" w:type="pct"/>
          </w:tcPr>
          <w:p w14:paraId="332A5CD5" w14:textId="2C43685B" w:rsidR="00AE1947" w:rsidRPr="005612CB" w:rsidRDefault="00AE1947" w:rsidP="00944937">
            <w:pPr>
              <w:rPr>
                <w:i/>
                <w:szCs w:val="22"/>
              </w:rPr>
            </w:pPr>
            <w:r w:rsidRPr="005612CB">
              <w:rPr>
                <w:i/>
                <w:szCs w:val="22"/>
              </w:rPr>
              <w:t>Date of decision:</w:t>
            </w:r>
          </w:p>
        </w:tc>
        <w:tc>
          <w:tcPr>
            <w:tcW w:w="3423" w:type="pct"/>
          </w:tcPr>
          <w:p w14:paraId="7B381CD6" w14:textId="1BC5D8FA" w:rsidR="00AE1947" w:rsidRPr="005612CB" w:rsidRDefault="00E2240E" w:rsidP="00F24B44">
            <w:r w:rsidRPr="005612CB">
              <w:t>19 June 2023</w:t>
            </w:r>
          </w:p>
        </w:tc>
      </w:tr>
      <w:tr w:rsidR="00324B33" w:rsidRPr="005612CB" w14:paraId="60A25F5A" w14:textId="77777777" w:rsidTr="00F865A7">
        <w:tc>
          <w:tcPr>
            <w:tcW w:w="1577" w:type="pct"/>
          </w:tcPr>
          <w:p w14:paraId="5C5E4CBA" w14:textId="77777777" w:rsidR="00324B33" w:rsidRPr="005612CB" w:rsidRDefault="00324B33" w:rsidP="007452E8">
            <w:pPr>
              <w:rPr>
                <w:i/>
                <w:szCs w:val="22"/>
              </w:rPr>
            </w:pPr>
            <w:r w:rsidRPr="005612CB">
              <w:rPr>
                <w:i/>
                <w:szCs w:val="22"/>
              </w:rPr>
              <w:t>Date of entry onto ARTG:</w:t>
            </w:r>
          </w:p>
        </w:tc>
        <w:tc>
          <w:tcPr>
            <w:tcW w:w="3423" w:type="pct"/>
          </w:tcPr>
          <w:p w14:paraId="28B270E9" w14:textId="7607C280" w:rsidR="00324B33" w:rsidRPr="005612CB" w:rsidRDefault="00FF356A" w:rsidP="00F24B44">
            <w:r w:rsidRPr="005612CB">
              <w:t>20 June 2023</w:t>
            </w:r>
          </w:p>
        </w:tc>
      </w:tr>
      <w:tr w:rsidR="00324B33" w:rsidRPr="005612CB" w14:paraId="547E08D7" w14:textId="77777777" w:rsidTr="00F865A7">
        <w:tc>
          <w:tcPr>
            <w:tcW w:w="1577" w:type="pct"/>
          </w:tcPr>
          <w:p w14:paraId="5030EF30" w14:textId="5A03389B" w:rsidR="00324B33" w:rsidRPr="005612CB" w:rsidRDefault="00324B33" w:rsidP="007452E8">
            <w:pPr>
              <w:rPr>
                <w:i/>
                <w:szCs w:val="22"/>
              </w:rPr>
            </w:pPr>
            <w:r w:rsidRPr="005612CB">
              <w:rPr>
                <w:i/>
                <w:szCs w:val="22"/>
              </w:rPr>
              <w:t>ARTG numbers:</w:t>
            </w:r>
          </w:p>
        </w:tc>
        <w:tc>
          <w:tcPr>
            <w:tcW w:w="3423" w:type="pct"/>
          </w:tcPr>
          <w:p w14:paraId="0054E912" w14:textId="5E07C7B4" w:rsidR="00324B33" w:rsidRPr="005612CB" w:rsidRDefault="00E40255" w:rsidP="00F24B44">
            <w:r w:rsidRPr="005612CB">
              <w:t>283215 and 283216</w:t>
            </w:r>
          </w:p>
        </w:tc>
      </w:tr>
      <w:tr w:rsidR="00324B33" w:rsidRPr="005612CB" w14:paraId="7618393F" w14:textId="77777777" w:rsidTr="00F865A7">
        <w:tc>
          <w:tcPr>
            <w:tcW w:w="1577" w:type="pct"/>
          </w:tcPr>
          <w:p w14:paraId="6C24CEB6" w14:textId="467155BA" w:rsidR="00E47E0C" w:rsidRPr="005612CB" w:rsidRDefault="00324B33" w:rsidP="007452E8">
            <w:pPr>
              <w:rPr>
                <w:rStyle w:val="Hyperlink"/>
                <w:i/>
                <w:szCs w:val="22"/>
              </w:rPr>
            </w:pPr>
            <w:r w:rsidRPr="005612CB">
              <w:rPr>
                <w:rFonts w:ascii="Wingdings 3" w:hAnsi="Wingdings 3"/>
                <w:szCs w:val="22"/>
                <w:lang w:eastAsia="en-AU"/>
              </w:rPr>
              <w:t></w:t>
            </w:r>
            <w:hyperlink r:id="rId15" w:history="1">
              <w:r w:rsidRPr="005612CB">
                <w:rPr>
                  <w:rStyle w:val="Hyperlink"/>
                </w:rPr>
                <w:t>Black Triangle Scheme</w:t>
              </w:r>
            </w:hyperlink>
          </w:p>
          <w:p w14:paraId="02260DE2" w14:textId="1FC334AE" w:rsidR="00324B33" w:rsidRPr="005612CB" w:rsidRDefault="00E47E0C" w:rsidP="007452E8">
            <w:pPr>
              <w:rPr>
                <w:i/>
                <w:szCs w:val="22"/>
              </w:rPr>
            </w:pPr>
            <w:r w:rsidRPr="005612CB">
              <w:rPr>
                <w:i/>
                <w:szCs w:val="22"/>
              </w:rPr>
              <w:t xml:space="preserve">for </w:t>
            </w:r>
            <w:r w:rsidR="007B04DE" w:rsidRPr="005612CB">
              <w:rPr>
                <w:i/>
                <w:szCs w:val="22"/>
              </w:rPr>
              <w:t>the current</w:t>
            </w:r>
            <w:r w:rsidRPr="005612CB">
              <w:rPr>
                <w:i/>
                <w:szCs w:val="22"/>
              </w:rPr>
              <w:t xml:space="preserve"> submission</w:t>
            </w:r>
            <w:r w:rsidR="00324B33" w:rsidRPr="005612CB">
              <w:rPr>
                <w:i/>
                <w:szCs w:val="22"/>
              </w:rPr>
              <w:t>:</w:t>
            </w:r>
          </w:p>
        </w:tc>
        <w:tc>
          <w:tcPr>
            <w:tcW w:w="3423" w:type="pct"/>
          </w:tcPr>
          <w:p w14:paraId="6FF3C6A2" w14:textId="4F39F557" w:rsidR="00324B33" w:rsidRPr="005612CB" w:rsidRDefault="00B46316" w:rsidP="00F24B44">
            <w:r>
              <w:t>No</w:t>
            </w:r>
          </w:p>
        </w:tc>
      </w:tr>
      <w:tr w:rsidR="00324B33" w:rsidRPr="005612CB" w14:paraId="179E09FE" w14:textId="77777777" w:rsidTr="00F865A7">
        <w:tc>
          <w:tcPr>
            <w:tcW w:w="1577" w:type="pct"/>
          </w:tcPr>
          <w:p w14:paraId="1A592498" w14:textId="77777777" w:rsidR="00324B33" w:rsidRPr="005612CB" w:rsidRDefault="00324B33" w:rsidP="007452E8">
            <w:pPr>
              <w:rPr>
                <w:i/>
                <w:szCs w:val="22"/>
              </w:rPr>
            </w:pPr>
            <w:r w:rsidRPr="005612CB">
              <w:rPr>
                <w:i/>
                <w:szCs w:val="22"/>
              </w:rPr>
              <w:t>Sponsor’s name and address:</w:t>
            </w:r>
          </w:p>
        </w:tc>
        <w:tc>
          <w:tcPr>
            <w:tcW w:w="3423" w:type="pct"/>
          </w:tcPr>
          <w:p w14:paraId="7273FA95" w14:textId="77777777" w:rsidR="00324B33" w:rsidRPr="005612CB" w:rsidRDefault="00C95D33" w:rsidP="00F24B44">
            <w:r w:rsidRPr="005612CB">
              <w:t>AstraZeneca Pty Ltd</w:t>
            </w:r>
          </w:p>
          <w:p w14:paraId="467BC0C3" w14:textId="77777777" w:rsidR="00810009" w:rsidRPr="005612CB" w:rsidRDefault="00810009" w:rsidP="00F24B44">
            <w:r w:rsidRPr="005612CB">
              <w:t>66 Talavera Road</w:t>
            </w:r>
          </w:p>
          <w:p w14:paraId="68DD94B0" w14:textId="3FBC9510" w:rsidR="00810009" w:rsidRPr="005612CB" w:rsidRDefault="00810009" w:rsidP="00F24B44">
            <w:r w:rsidRPr="005612CB">
              <w:t>Macquarie Park NSW 2113</w:t>
            </w:r>
          </w:p>
        </w:tc>
      </w:tr>
      <w:tr w:rsidR="00324B33" w:rsidRPr="005612CB" w14:paraId="5322B989" w14:textId="77777777" w:rsidTr="00F865A7">
        <w:tc>
          <w:tcPr>
            <w:tcW w:w="1577" w:type="pct"/>
          </w:tcPr>
          <w:p w14:paraId="24F217E3" w14:textId="09912B0B" w:rsidR="00324B33" w:rsidRPr="005612CB" w:rsidRDefault="00324B33" w:rsidP="007452E8">
            <w:pPr>
              <w:rPr>
                <w:i/>
                <w:szCs w:val="22"/>
              </w:rPr>
            </w:pPr>
            <w:r w:rsidRPr="005612CB">
              <w:rPr>
                <w:i/>
                <w:szCs w:val="22"/>
              </w:rPr>
              <w:t>Dose form:</w:t>
            </w:r>
          </w:p>
        </w:tc>
        <w:tc>
          <w:tcPr>
            <w:tcW w:w="3423" w:type="pct"/>
          </w:tcPr>
          <w:p w14:paraId="768B254C" w14:textId="05D84A92" w:rsidR="00324B33" w:rsidRPr="005612CB" w:rsidRDefault="00261492" w:rsidP="00F24B44">
            <w:r w:rsidRPr="005612CB">
              <w:t>Concentrated solution for infusion</w:t>
            </w:r>
          </w:p>
        </w:tc>
      </w:tr>
      <w:tr w:rsidR="00324B33" w:rsidRPr="005612CB" w14:paraId="115243E6" w14:textId="77777777" w:rsidTr="00F865A7">
        <w:tc>
          <w:tcPr>
            <w:tcW w:w="1577" w:type="pct"/>
          </w:tcPr>
          <w:p w14:paraId="7634B062" w14:textId="55BAF4B4" w:rsidR="00324B33" w:rsidRPr="005612CB" w:rsidRDefault="00324B33" w:rsidP="007452E8">
            <w:pPr>
              <w:rPr>
                <w:i/>
                <w:szCs w:val="22"/>
              </w:rPr>
            </w:pPr>
            <w:r w:rsidRPr="005612CB">
              <w:rPr>
                <w:i/>
                <w:szCs w:val="22"/>
              </w:rPr>
              <w:t>Strengths:</w:t>
            </w:r>
          </w:p>
        </w:tc>
        <w:tc>
          <w:tcPr>
            <w:tcW w:w="3423" w:type="pct"/>
          </w:tcPr>
          <w:p w14:paraId="5E5F83DB" w14:textId="23081387" w:rsidR="00324B33" w:rsidRPr="005612CB" w:rsidRDefault="007F4F08" w:rsidP="00F24B44">
            <w:r w:rsidRPr="005612CB">
              <w:t>120 mg and 500 mg</w:t>
            </w:r>
          </w:p>
        </w:tc>
      </w:tr>
      <w:tr w:rsidR="00324B33" w:rsidRPr="005612CB" w14:paraId="34B07BA6" w14:textId="77777777" w:rsidTr="00F865A7">
        <w:tc>
          <w:tcPr>
            <w:tcW w:w="1577" w:type="pct"/>
          </w:tcPr>
          <w:p w14:paraId="1C039224" w14:textId="380330B1" w:rsidR="00324B33" w:rsidRPr="005612CB" w:rsidRDefault="00324B33" w:rsidP="007452E8">
            <w:pPr>
              <w:rPr>
                <w:i/>
                <w:szCs w:val="22"/>
              </w:rPr>
            </w:pPr>
            <w:r w:rsidRPr="005612CB">
              <w:rPr>
                <w:i/>
                <w:szCs w:val="22"/>
              </w:rPr>
              <w:t>Container:</w:t>
            </w:r>
          </w:p>
        </w:tc>
        <w:tc>
          <w:tcPr>
            <w:tcW w:w="3423" w:type="pct"/>
          </w:tcPr>
          <w:p w14:paraId="500A42C6" w14:textId="34A8C9FA" w:rsidR="00324B33" w:rsidRPr="005612CB" w:rsidRDefault="00BE2E66" w:rsidP="00F24B44">
            <w:r w:rsidRPr="005612CB">
              <w:t>Vial</w:t>
            </w:r>
          </w:p>
        </w:tc>
      </w:tr>
      <w:tr w:rsidR="00324B33" w:rsidRPr="005612CB" w14:paraId="176B6773" w14:textId="77777777" w:rsidTr="00F865A7">
        <w:tc>
          <w:tcPr>
            <w:tcW w:w="1577" w:type="pct"/>
          </w:tcPr>
          <w:p w14:paraId="71846159" w14:textId="77AABCF1" w:rsidR="00324B33" w:rsidRPr="005612CB" w:rsidRDefault="00324B33" w:rsidP="007452E8">
            <w:pPr>
              <w:rPr>
                <w:i/>
                <w:szCs w:val="22"/>
              </w:rPr>
            </w:pPr>
            <w:r w:rsidRPr="005612CB">
              <w:rPr>
                <w:i/>
                <w:szCs w:val="22"/>
              </w:rPr>
              <w:t>Pack size:</w:t>
            </w:r>
          </w:p>
        </w:tc>
        <w:tc>
          <w:tcPr>
            <w:tcW w:w="3423" w:type="pct"/>
          </w:tcPr>
          <w:p w14:paraId="7E978F8F" w14:textId="2A5B5ADB" w:rsidR="00324B33" w:rsidRPr="005612CB" w:rsidRDefault="002F5390" w:rsidP="00F24B44">
            <w:r w:rsidRPr="005612CB">
              <w:t>O</w:t>
            </w:r>
            <w:r w:rsidR="00BE2E66" w:rsidRPr="005612CB">
              <w:t>ne</w:t>
            </w:r>
          </w:p>
        </w:tc>
      </w:tr>
      <w:tr w:rsidR="00324B33" w:rsidRPr="005612CB" w14:paraId="19A2544A" w14:textId="77777777" w:rsidTr="00F865A7">
        <w:tc>
          <w:tcPr>
            <w:tcW w:w="1577" w:type="pct"/>
          </w:tcPr>
          <w:p w14:paraId="0E6C5C0E" w14:textId="7DB3FC66" w:rsidR="00324B33" w:rsidRPr="005612CB" w:rsidRDefault="00324B33" w:rsidP="007452E8">
            <w:pPr>
              <w:rPr>
                <w:i/>
                <w:szCs w:val="22"/>
              </w:rPr>
            </w:pPr>
            <w:r w:rsidRPr="005612CB">
              <w:rPr>
                <w:i/>
                <w:szCs w:val="22"/>
              </w:rPr>
              <w:t>Approved therapeutic use</w:t>
            </w:r>
            <w:r w:rsidR="00E47E0C" w:rsidRPr="005612CB">
              <w:rPr>
                <w:i/>
                <w:szCs w:val="22"/>
              </w:rPr>
              <w:t xml:space="preserve"> </w:t>
            </w:r>
            <w:r w:rsidR="007B04DE" w:rsidRPr="005612CB">
              <w:rPr>
                <w:i/>
                <w:szCs w:val="22"/>
              </w:rPr>
              <w:t>for the current</w:t>
            </w:r>
            <w:r w:rsidR="00E47E0C" w:rsidRPr="005612CB">
              <w:rPr>
                <w:i/>
                <w:szCs w:val="22"/>
              </w:rPr>
              <w:t xml:space="preserve"> submission</w:t>
            </w:r>
            <w:r w:rsidRPr="005612CB">
              <w:rPr>
                <w:i/>
                <w:szCs w:val="22"/>
              </w:rPr>
              <w:t>:</w:t>
            </w:r>
          </w:p>
        </w:tc>
        <w:tc>
          <w:tcPr>
            <w:tcW w:w="3423" w:type="pct"/>
          </w:tcPr>
          <w:p w14:paraId="1BFA47E9" w14:textId="77777777" w:rsidR="002146F1" w:rsidRPr="005612CB" w:rsidRDefault="002146F1" w:rsidP="00F24B44">
            <w:pPr>
              <w:rPr>
                <w:b/>
                <w:bCs/>
                <w:i/>
                <w:iCs/>
              </w:rPr>
            </w:pPr>
            <w:r w:rsidRPr="005612CB">
              <w:rPr>
                <w:b/>
                <w:bCs/>
                <w:i/>
                <w:iCs/>
              </w:rPr>
              <w:t>Hepatocellular carcinoma (HCC)</w:t>
            </w:r>
          </w:p>
          <w:p w14:paraId="6E143E2E" w14:textId="26C3EA7A" w:rsidR="00324B33" w:rsidRPr="005612CB" w:rsidRDefault="002146F1" w:rsidP="00F24B44">
            <w:r w:rsidRPr="005612CB">
              <w:rPr>
                <w:i/>
                <w:iCs/>
              </w:rPr>
              <w:t>Imfinzi in combination with tremelimumab is indicated for the treatment of adult patients with unresectable hepatocellular carcinoma (uHCC) who have not received prior treatment with a PD-1/PD-L1 inhibitor.</w:t>
            </w:r>
          </w:p>
        </w:tc>
      </w:tr>
      <w:tr w:rsidR="00324B33" w:rsidRPr="005612CB" w14:paraId="5AFDEED3" w14:textId="77777777" w:rsidTr="00F865A7">
        <w:tc>
          <w:tcPr>
            <w:tcW w:w="1577" w:type="pct"/>
          </w:tcPr>
          <w:p w14:paraId="03884BD1" w14:textId="2D3A6DB3" w:rsidR="00324B33" w:rsidRPr="005612CB" w:rsidRDefault="00324B33" w:rsidP="007452E8">
            <w:pPr>
              <w:rPr>
                <w:i/>
                <w:szCs w:val="22"/>
              </w:rPr>
            </w:pPr>
            <w:r w:rsidRPr="005612CB">
              <w:rPr>
                <w:i/>
                <w:szCs w:val="22"/>
              </w:rPr>
              <w:t>Route of administration:</w:t>
            </w:r>
          </w:p>
        </w:tc>
        <w:tc>
          <w:tcPr>
            <w:tcW w:w="3423" w:type="pct"/>
          </w:tcPr>
          <w:p w14:paraId="1ED1357E" w14:textId="397F79D7" w:rsidR="00324B33" w:rsidRPr="005612CB" w:rsidRDefault="00D22978" w:rsidP="00F24B44">
            <w:r w:rsidRPr="005612CB">
              <w:t>Intravenous</w:t>
            </w:r>
          </w:p>
        </w:tc>
      </w:tr>
      <w:tr w:rsidR="00324B33" w:rsidRPr="005612CB" w14:paraId="70D7E9FA" w14:textId="77777777" w:rsidTr="00F865A7">
        <w:tc>
          <w:tcPr>
            <w:tcW w:w="1577" w:type="pct"/>
          </w:tcPr>
          <w:p w14:paraId="5ABFFC80" w14:textId="77777777" w:rsidR="00324B33" w:rsidRPr="005612CB" w:rsidRDefault="00324B33" w:rsidP="007452E8">
            <w:pPr>
              <w:rPr>
                <w:i/>
                <w:szCs w:val="22"/>
              </w:rPr>
            </w:pPr>
            <w:r w:rsidRPr="005612CB">
              <w:rPr>
                <w:i/>
                <w:szCs w:val="22"/>
              </w:rPr>
              <w:t>Dosage:</w:t>
            </w:r>
          </w:p>
        </w:tc>
        <w:tc>
          <w:tcPr>
            <w:tcW w:w="3423" w:type="pct"/>
          </w:tcPr>
          <w:p w14:paraId="04A98F6D" w14:textId="0DD3DDB4" w:rsidR="00EB3AD4" w:rsidRPr="005612CB" w:rsidRDefault="00A83354" w:rsidP="00F24B44">
            <w:r w:rsidRPr="005612CB">
              <w:t xml:space="preserve">Imfinzi </w:t>
            </w:r>
            <w:r w:rsidR="00EB3AD4" w:rsidRPr="005612CB">
              <w:t>is for single use in one patient only.</w:t>
            </w:r>
          </w:p>
          <w:p w14:paraId="4D165188" w14:textId="31FD6DE5" w:rsidR="00EB3AD4" w:rsidRPr="005612CB" w:rsidRDefault="00EB3AD4" w:rsidP="00F24B44">
            <w:r w:rsidRPr="005612CB">
              <w:t xml:space="preserve">The recommended dose of </w:t>
            </w:r>
            <w:r w:rsidR="00A83354" w:rsidRPr="005612CB">
              <w:t>Imfinzi</w:t>
            </w:r>
            <w:r w:rsidRPr="005612CB">
              <w:t xml:space="preserve"> depends on the indication as presented in Table 1 of the Product Information. </w:t>
            </w:r>
            <w:r w:rsidR="00A83354" w:rsidRPr="005612CB">
              <w:t>Imfinzi</w:t>
            </w:r>
            <w:r w:rsidRPr="005612CB">
              <w:t xml:space="preserve"> is administered as an intravenous infusion over one hour.</w:t>
            </w:r>
          </w:p>
          <w:p w14:paraId="0443001F" w14:textId="49CBFE72" w:rsidR="00EB3AD4" w:rsidRPr="005612CB" w:rsidRDefault="00EB3AD4" w:rsidP="00F24B44">
            <w:r w:rsidRPr="005612CB">
              <w:t>The proposed combination should be administered and monitored under the supervision of physicians experienced with the use of immunotherapy.</w:t>
            </w:r>
          </w:p>
          <w:p w14:paraId="3D0B2D5C" w14:textId="77777777" w:rsidR="00324B33" w:rsidRPr="005612CB" w:rsidRDefault="00324B33" w:rsidP="00F24B44">
            <w:r w:rsidRPr="005612CB">
              <w:t>For further information regarding dosage, refer to the Product Information.</w:t>
            </w:r>
          </w:p>
        </w:tc>
      </w:tr>
      <w:tr w:rsidR="00324B33" w:rsidRPr="005612CB" w14:paraId="24DC408E" w14:textId="77777777" w:rsidTr="00F865A7">
        <w:tc>
          <w:tcPr>
            <w:tcW w:w="1577" w:type="pct"/>
          </w:tcPr>
          <w:p w14:paraId="26380792" w14:textId="3CC04AB1" w:rsidR="00403246" w:rsidRPr="00696B95" w:rsidRDefault="00324B33" w:rsidP="00EA6882">
            <w:pPr>
              <w:rPr>
                <w:szCs w:val="22"/>
              </w:rPr>
            </w:pPr>
            <w:r w:rsidRPr="005612CB">
              <w:rPr>
                <w:i/>
                <w:szCs w:val="22"/>
              </w:rPr>
              <w:t>Pregnancy category:</w:t>
            </w:r>
          </w:p>
        </w:tc>
        <w:tc>
          <w:tcPr>
            <w:tcW w:w="3423" w:type="pct"/>
          </w:tcPr>
          <w:p w14:paraId="62EC9CD4" w14:textId="77777777" w:rsidR="00D67365" w:rsidRPr="005612CB" w:rsidRDefault="00D67365" w:rsidP="00F24B44">
            <w:r w:rsidRPr="005612CB">
              <w:t>D</w:t>
            </w:r>
          </w:p>
          <w:p w14:paraId="2E8E9BC3" w14:textId="15E71AF2" w:rsidR="00AC6270" w:rsidRPr="005612CB" w:rsidRDefault="00AC6270" w:rsidP="00F24B44">
            <w:r w:rsidRPr="005612CB">
              <w:t xml:space="preserve">Drugs which have caused, are suspected to have caused or may be expected to cause, an increased incidence of human fetal malformations or irreversible damage. These drugs may also </w:t>
            </w:r>
            <w:r w:rsidRPr="005612CB">
              <w:lastRenderedPageBreak/>
              <w:t>have adverse pharmacological effects. Accompanying texts should be consulted for further details.</w:t>
            </w:r>
          </w:p>
          <w:p w14:paraId="5E2AA3D6" w14:textId="09625CFB" w:rsidR="00324B33" w:rsidRPr="005612CB" w:rsidRDefault="00324B33" w:rsidP="00F24B44">
            <w:r w:rsidRPr="005612CB">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69688F" w:rsidRPr="005612CB">
              <w:t>state or territory.</w:t>
            </w:r>
          </w:p>
        </w:tc>
      </w:tr>
    </w:tbl>
    <w:p w14:paraId="51F2479F" w14:textId="77777777" w:rsidR="00324B33" w:rsidRPr="005612CB" w:rsidRDefault="00324B33" w:rsidP="00324B33">
      <w:pPr>
        <w:pStyle w:val="Heading3"/>
      </w:pPr>
      <w:bookmarkStart w:id="20" w:name="_Toc247691503"/>
      <w:bookmarkStart w:id="21" w:name="_Toc314842484"/>
      <w:bookmarkStart w:id="22" w:name="_Toc103679290"/>
      <w:bookmarkStart w:id="23" w:name="_Toc152934432"/>
      <w:r w:rsidRPr="005612CB">
        <w:lastRenderedPageBreak/>
        <w:t>Product background</w:t>
      </w:r>
      <w:bookmarkEnd w:id="20"/>
      <w:bookmarkEnd w:id="21"/>
      <w:bookmarkEnd w:id="22"/>
      <w:bookmarkEnd w:id="23"/>
    </w:p>
    <w:p w14:paraId="56B27CF2" w14:textId="35EECD57" w:rsidR="00324B33" w:rsidRPr="005612CB" w:rsidRDefault="00324B33" w:rsidP="00324B33">
      <w:pPr>
        <w:rPr>
          <w:szCs w:val="22"/>
        </w:rPr>
      </w:pPr>
      <w:r w:rsidRPr="005612CB">
        <w:rPr>
          <w:szCs w:val="22"/>
        </w:rPr>
        <w:t xml:space="preserve">This AusPAR describes the submission by </w:t>
      </w:r>
      <w:r w:rsidR="00810009" w:rsidRPr="005612CB">
        <w:rPr>
          <w:szCs w:val="22"/>
        </w:rPr>
        <w:t>AstraZeneca Pty Ltd</w:t>
      </w:r>
      <w:r w:rsidRPr="005612CB">
        <w:rPr>
          <w:szCs w:val="22"/>
        </w:rPr>
        <w:t xml:space="preserve"> (the sponsor) to register </w:t>
      </w:r>
      <w:r w:rsidR="0026248A" w:rsidRPr="005612CB">
        <w:rPr>
          <w:szCs w:val="22"/>
        </w:rPr>
        <w:t>Imfinzi</w:t>
      </w:r>
      <w:r w:rsidRPr="005612CB">
        <w:rPr>
          <w:szCs w:val="22"/>
        </w:rPr>
        <w:t xml:space="preserve"> (</w:t>
      </w:r>
      <w:r w:rsidR="002221F2" w:rsidRPr="005612CB">
        <w:rPr>
          <w:szCs w:val="22"/>
        </w:rPr>
        <w:t>durvalumab</w:t>
      </w:r>
      <w:r w:rsidRPr="005612CB">
        <w:rPr>
          <w:szCs w:val="22"/>
        </w:rPr>
        <w:t xml:space="preserve">) </w:t>
      </w:r>
      <w:r w:rsidR="00D749BC" w:rsidRPr="005612CB">
        <w:rPr>
          <w:szCs w:val="22"/>
        </w:rPr>
        <w:t>120 mg and 500 mg</w:t>
      </w:r>
      <w:r w:rsidRPr="005612CB">
        <w:rPr>
          <w:szCs w:val="22"/>
        </w:rPr>
        <w:t xml:space="preserve">, </w:t>
      </w:r>
      <w:r w:rsidR="00D749BC" w:rsidRPr="005612CB">
        <w:rPr>
          <w:szCs w:val="22"/>
        </w:rPr>
        <w:t>concentrated solution for infusion</w:t>
      </w:r>
      <w:r w:rsidR="00D62877" w:rsidRPr="005612CB">
        <w:rPr>
          <w:szCs w:val="22"/>
        </w:rPr>
        <w:t>,</w:t>
      </w:r>
      <w:r w:rsidR="00D749BC" w:rsidRPr="005612CB">
        <w:rPr>
          <w:szCs w:val="22"/>
        </w:rPr>
        <w:t xml:space="preserve"> vial</w:t>
      </w:r>
      <w:r w:rsidRPr="005612CB">
        <w:rPr>
          <w:szCs w:val="22"/>
        </w:rPr>
        <w:t xml:space="preserve"> for the following proposed extension of indications:</w:t>
      </w:r>
      <w:r w:rsidR="00D63760" w:rsidRPr="005612CB">
        <w:rPr>
          <w:rStyle w:val="FootnoteReference"/>
          <w:szCs w:val="22"/>
        </w:rPr>
        <w:footnoteReference w:id="1"/>
      </w:r>
    </w:p>
    <w:p w14:paraId="38E3DD43" w14:textId="291FEBE8" w:rsidR="00D749BC" w:rsidRPr="005612CB" w:rsidRDefault="00A83354" w:rsidP="00D749BC">
      <w:pPr>
        <w:ind w:left="720"/>
        <w:rPr>
          <w:i/>
          <w:iCs/>
        </w:rPr>
      </w:pPr>
      <w:r w:rsidRPr="005612CB">
        <w:rPr>
          <w:i/>
          <w:iCs/>
        </w:rPr>
        <w:t>Imfinzi</w:t>
      </w:r>
      <w:r w:rsidR="00D749BC" w:rsidRPr="005612CB">
        <w:rPr>
          <w:i/>
          <w:iCs/>
        </w:rPr>
        <w:t xml:space="preserve"> in combination with tremelimumab is indicated for the treatment of patients with unresectable hepatocellular carcinoma (uHCC)</w:t>
      </w:r>
    </w:p>
    <w:p w14:paraId="1C2BF912" w14:textId="5C7F7331" w:rsidR="00F9222A" w:rsidRPr="005612CB" w:rsidRDefault="00F9222A" w:rsidP="00C652EF">
      <w:bookmarkStart w:id="24" w:name="_Toc314842485"/>
      <w:bookmarkStart w:id="25" w:name="_Toc247691504"/>
      <w:r w:rsidRPr="005612CB">
        <w:t>Primary liver cancer is a major global health problem accounting for approximately 906,000</w:t>
      </w:r>
      <w:r w:rsidR="00794A75" w:rsidRPr="005612CB">
        <w:t> </w:t>
      </w:r>
      <w:r w:rsidRPr="005612CB">
        <w:t>new cases and 830,000 deaths per year globally. Hepatocellular carcinoma represents about 90% of primary liver cancers.</w:t>
      </w:r>
      <w:r w:rsidR="00F70A52" w:rsidRPr="005612CB">
        <w:rPr>
          <w:rStyle w:val="FootnoteReference"/>
        </w:rPr>
        <w:footnoteReference w:id="2"/>
      </w:r>
      <w:r w:rsidRPr="005612CB">
        <w:t xml:space="preserve"> The incidence of </w:t>
      </w:r>
      <w:r w:rsidR="002111CA" w:rsidRPr="005612CB">
        <w:t>hepatocellular carcinoma (</w:t>
      </w:r>
      <w:r w:rsidRPr="005612CB">
        <w:t>HCC</w:t>
      </w:r>
      <w:r w:rsidR="002111CA" w:rsidRPr="005612CB">
        <w:t>)</w:t>
      </w:r>
      <w:r w:rsidRPr="005612CB">
        <w:t xml:space="preserve"> increases progressively with advancing age in all populations, reaching a peak at 70 years</w:t>
      </w:r>
      <w:r w:rsidR="00932FB1" w:rsidRPr="005612CB">
        <w:rPr>
          <w:rStyle w:val="FootnoteReference"/>
        </w:rPr>
        <w:footnoteReference w:id="3"/>
      </w:r>
      <w:r w:rsidRPr="005612CB">
        <w:t xml:space="preserve"> with 2</w:t>
      </w:r>
      <w:r w:rsidR="00C45A69" w:rsidRPr="005612CB">
        <w:t xml:space="preserve"> to </w:t>
      </w:r>
      <w:r w:rsidRPr="005612CB">
        <w:t>3 times higher incidence</w:t>
      </w:r>
      <w:r w:rsidR="00C45A69" w:rsidRPr="005612CB">
        <w:t xml:space="preserve"> or</w:t>
      </w:r>
      <w:r w:rsidRPr="005612CB">
        <w:t xml:space="preserve"> mortality observed in men compared to women in most regions.</w:t>
      </w:r>
      <w:r w:rsidR="00CE753F" w:rsidRPr="005612CB">
        <w:rPr>
          <w:rStyle w:val="FootnoteReference"/>
        </w:rPr>
        <w:footnoteReference w:id="4"/>
      </w:r>
    </w:p>
    <w:p w14:paraId="5DFEFBC2" w14:textId="2073121E" w:rsidR="00F9222A" w:rsidRPr="005612CB" w:rsidRDefault="00F9222A" w:rsidP="00C652EF">
      <w:r w:rsidRPr="005612CB">
        <w:t xml:space="preserve">The majority patients with HCC have underlying </w:t>
      </w:r>
      <w:r w:rsidR="002111CA" w:rsidRPr="005612CB">
        <w:t>hepatitis B virus (</w:t>
      </w:r>
      <w:r w:rsidRPr="005612CB">
        <w:t>HBV</w:t>
      </w:r>
      <w:r w:rsidR="002111CA" w:rsidRPr="005612CB">
        <w:t>)</w:t>
      </w:r>
      <w:r w:rsidRPr="005612CB">
        <w:t xml:space="preserve"> and/or </w:t>
      </w:r>
      <w:r w:rsidR="002111CA" w:rsidRPr="005612CB">
        <w:t>hepatitis C virus (</w:t>
      </w:r>
      <w:r w:rsidRPr="005612CB">
        <w:t>HCV</w:t>
      </w:r>
      <w:r w:rsidR="002111CA" w:rsidRPr="005612CB">
        <w:t>)</w:t>
      </w:r>
      <w:r w:rsidRPr="005612CB">
        <w:t>; other risk factors of HCC include fungal metabolite aflatoxin B1 exposure, excessive alcohol consumption, and non</w:t>
      </w:r>
      <w:r w:rsidR="0093235B" w:rsidRPr="005612CB">
        <w:noBreakHyphen/>
      </w:r>
      <w:r w:rsidRPr="005612CB">
        <w:t>alcoholic fatty liver disease (linked to the growing prevalence of obesity and type</w:t>
      </w:r>
      <w:r w:rsidR="0093235B" w:rsidRPr="005612CB">
        <w:t> </w:t>
      </w:r>
      <w:r w:rsidRPr="005612CB">
        <w:t>2 diabetes).</w:t>
      </w:r>
      <w:bookmarkStart w:id="26" w:name="_Ref148368783"/>
      <w:r w:rsidR="005553F6" w:rsidRPr="005612CB">
        <w:rPr>
          <w:rStyle w:val="FootnoteReference"/>
        </w:rPr>
        <w:footnoteReference w:id="5"/>
      </w:r>
      <w:bookmarkEnd w:id="26"/>
      <w:r w:rsidRPr="005612CB">
        <w:t xml:space="preserve"> The major risk factors vary across geographic regions, and this is reflected in incidence of HCC which is higher in East Asia and Sub-Saharan Africa compared to rates observed in Europe and North America.</w:t>
      </w:r>
      <w:r w:rsidR="00B044C4" w:rsidRPr="005612CB">
        <w:rPr>
          <w:rStyle w:val="FootnoteReference"/>
        </w:rPr>
        <w:footnoteReference w:id="6"/>
      </w:r>
    </w:p>
    <w:p w14:paraId="1C5B7D0A" w14:textId="3D6FE343" w:rsidR="00C45A69" w:rsidRPr="005612CB" w:rsidRDefault="00F9222A" w:rsidP="00C652EF">
      <w:r w:rsidRPr="005612CB">
        <w:t xml:space="preserve">The HCC prognosis and treatment depend on factors such as </w:t>
      </w:r>
      <w:r w:rsidR="0093235B" w:rsidRPr="005612CB">
        <w:t>tumour</w:t>
      </w:r>
      <w:r w:rsidRPr="005612CB">
        <w:t xml:space="preserve"> burden, degree of liver dysfunction and clinical performance status.</w:t>
      </w:r>
      <w:r w:rsidR="00C45A69" w:rsidRPr="005612CB">
        <w:t xml:space="preserve"> </w:t>
      </w:r>
      <w:r w:rsidRPr="005612CB">
        <w:t>The median survival following diagnosis is approximately 6 to 20 months</w:t>
      </w:r>
      <w:r w:rsidR="00502A9E" w:rsidRPr="005612CB">
        <w:rPr>
          <w:rStyle w:val="FootnoteReference"/>
        </w:rPr>
        <w:footnoteReference w:id="7"/>
      </w:r>
      <w:r w:rsidRPr="005612CB">
        <w:t xml:space="preserve"> and the 5-year survival rate for HCC is less than 20%.</w:t>
      </w:r>
      <w:r w:rsidR="008D1D3C" w:rsidRPr="005612CB">
        <w:rPr>
          <w:rStyle w:val="FootnoteReference"/>
        </w:rPr>
        <w:footnoteReference w:id="8"/>
      </w:r>
      <w:r w:rsidR="008D1D3C" w:rsidRPr="005612CB">
        <w:rPr>
          <w:vertAlign w:val="superscript"/>
        </w:rPr>
        <w:t>,</w:t>
      </w:r>
      <w:bookmarkStart w:id="27" w:name="_Ref148369096"/>
      <w:r w:rsidR="008D1D3C" w:rsidRPr="005612CB">
        <w:rPr>
          <w:rStyle w:val="FootnoteReference"/>
        </w:rPr>
        <w:footnoteReference w:id="9"/>
      </w:r>
      <w:bookmarkEnd w:id="27"/>
      <w:r w:rsidRPr="005612CB">
        <w:t xml:space="preserve"> The presence of underlying cirrhosis and other liver disease in majority of patients makes unresectable HCC a difficult-to-treat disease.</w:t>
      </w:r>
    </w:p>
    <w:p w14:paraId="3B935014" w14:textId="616FB647" w:rsidR="00C45A69" w:rsidRPr="005612CB" w:rsidRDefault="00F9222A" w:rsidP="00C652EF">
      <w:r w:rsidRPr="005612CB">
        <w:lastRenderedPageBreak/>
        <w:t>In Australia, it was estimated that there would be 2,832 new cases of liver cancer diagnosed (2,050 males and 782 females) in 2021 representing 1.9% of all new diagnosed cancers in Australia. The incidence of HCC has increased from 1.38 cases per 100,000 in 1982 to 4.96 cases per 100,000 in 2014 and HCC is a leading cause of cancer deaths in Australia.</w:t>
      </w:r>
      <w:r w:rsidR="00171DF6" w:rsidRPr="005612CB">
        <w:rPr>
          <w:vertAlign w:val="superscript"/>
        </w:rPr>
        <w:footnoteReference w:id="10"/>
      </w:r>
      <w:r w:rsidR="00C45A69" w:rsidRPr="005612CB">
        <w:t xml:space="preserve"> </w:t>
      </w:r>
      <w:r w:rsidRPr="005612CB">
        <w:t>However, there are significant regional variations in incidence with 2.4-fold higher rates of diagnosis and mortality in Indigenous Australians compared with non-Indigenous population</w:t>
      </w:r>
      <w:r w:rsidR="00E86F41" w:rsidRPr="005612CB">
        <w:t>.</w:t>
      </w:r>
      <w:r w:rsidR="00E86F41" w:rsidRPr="005612CB">
        <w:rPr>
          <w:vertAlign w:val="superscript"/>
        </w:rPr>
        <w:footnoteReference w:id="11"/>
      </w:r>
      <w:r w:rsidR="00C45A69" w:rsidRPr="005612CB">
        <w:t xml:space="preserve"> </w:t>
      </w:r>
      <w:r w:rsidRPr="005612CB">
        <w:t>In Australia, HCC is also more common in migrants from countries with a higher rate of HBV infection such as Asia, Pacific Islands and Africa.</w:t>
      </w:r>
      <w:r w:rsidR="006268E8" w:rsidRPr="005612CB">
        <w:rPr>
          <w:vertAlign w:val="superscript"/>
        </w:rPr>
        <w:footnoteReference w:id="12"/>
      </w:r>
    </w:p>
    <w:p w14:paraId="49D0707C" w14:textId="5E5CC29B" w:rsidR="00C45A69" w:rsidRPr="005612CB" w:rsidRDefault="00F9222A" w:rsidP="00C652EF">
      <w:r w:rsidRPr="005612CB">
        <w:t>Systemic therapies are indicated in patients with advanced HCC, with vascular invasion and/extrahepatic disease, or in patients with unresectable HCC, when locoregional therapies have failed to control disease or cannot be delivered. However, systemic therapy is restricted to patients with preserved liver function, non-cirrhotic patients, or those with Child-Pugh class A</w:t>
      </w:r>
      <w:r w:rsidR="008963E5" w:rsidRPr="005612CB">
        <w:rPr>
          <w:rStyle w:val="FootnoteReference"/>
        </w:rPr>
        <w:footnoteReference w:id="13"/>
      </w:r>
      <w:r w:rsidRPr="005612CB">
        <w:t xml:space="preserve"> cirrhosis.</w:t>
      </w:r>
      <w:r w:rsidR="00530114" w:rsidRPr="005612CB">
        <w:rPr>
          <w:rStyle w:val="FootnoteReference"/>
        </w:rPr>
        <w:footnoteReference w:id="14"/>
      </w:r>
    </w:p>
    <w:p w14:paraId="026BDDD4" w14:textId="57453321" w:rsidR="00F9222A" w:rsidRPr="005612CB" w:rsidRDefault="00F9222A" w:rsidP="00C652EF">
      <w:r w:rsidRPr="005612CB">
        <w:t>First-line systemic therapies for patients with HCC include sorafenib, lenvatinib and the combination of atezolizumab and bevacizumab.</w:t>
      </w:r>
      <w:r w:rsidR="004D2B8F" w:rsidRPr="005612CB">
        <w:rPr>
          <w:vertAlign w:val="superscript"/>
        </w:rPr>
        <w:footnoteReference w:id="15"/>
      </w:r>
    </w:p>
    <w:p w14:paraId="3824C32E" w14:textId="6A63E20E" w:rsidR="00C45A69" w:rsidRPr="005612CB" w:rsidRDefault="00F9222A" w:rsidP="00C652EF">
      <w:r w:rsidRPr="005612CB">
        <w:t xml:space="preserve">Sorafenib, an oral tyrosine-kinase inhibitor targeting multiple kinases, was until recently the standard of care for advanced HCC in the </w:t>
      </w:r>
      <w:proofErr w:type="gramStart"/>
      <w:r w:rsidRPr="005612CB">
        <w:t>first-line</w:t>
      </w:r>
      <w:proofErr w:type="gramEnd"/>
      <w:r w:rsidRPr="005612CB">
        <w:t xml:space="preserve"> setting (since its approval in 2007 until 2020). Median </w:t>
      </w:r>
      <w:r w:rsidR="008963E5" w:rsidRPr="005612CB">
        <w:t>overall survival (</w:t>
      </w:r>
      <w:r w:rsidRPr="005612CB">
        <w:t>OS</w:t>
      </w:r>
      <w:r w:rsidR="008963E5" w:rsidRPr="005612CB">
        <w:t>)</w:t>
      </w:r>
      <w:r w:rsidRPr="005612CB">
        <w:t xml:space="preserve"> ranged from 10.7 to 13.4 months following sorafenib treatment in various studies.</w:t>
      </w:r>
      <w:bookmarkStart w:id="28" w:name="_Ref148369858"/>
      <w:r w:rsidR="00C9797E" w:rsidRPr="005612CB">
        <w:rPr>
          <w:rStyle w:val="FootnoteReference"/>
        </w:rPr>
        <w:footnoteReference w:id="16"/>
      </w:r>
      <w:bookmarkEnd w:id="28"/>
      <w:r w:rsidR="00C9797E" w:rsidRPr="005612CB">
        <w:rPr>
          <w:vertAlign w:val="superscript"/>
        </w:rPr>
        <w:t>,</w:t>
      </w:r>
      <w:r w:rsidR="00C9797E" w:rsidRPr="005612CB">
        <w:rPr>
          <w:rStyle w:val="FootnoteReference"/>
        </w:rPr>
        <w:footnoteReference w:id="17"/>
      </w:r>
      <w:r w:rsidR="00C9797E" w:rsidRPr="005612CB">
        <w:rPr>
          <w:vertAlign w:val="superscript"/>
        </w:rPr>
        <w:t>,</w:t>
      </w:r>
      <w:r w:rsidR="00C9797E" w:rsidRPr="005612CB">
        <w:rPr>
          <w:rStyle w:val="FootnoteReference"/>
        </w:rPr>
        <w:footnoteReference w:id="18"/>
      </w:r>
    </w:p>
    <w:p w14:paraId="7D337000" w14:textId="3FF7E1AC" w:rsidR="00F9222A" w:rsidRPr="005612CB" w:rsidRDefault="00F9222A" w:rsidP="00C652EF">
      <w:r w:rsidRPr="005612CB">
        <w:t xml:space="preserve">Lenvatinib, another multiple kinase inhibitor, was approved as first-line treatment for advanced HCC in patients without main portal vein invasion and </w:t>
      </w:r>
      <w:r w:rsidR="00EF20DD" w:rsidRPr="005612CB">
        <w:t xml:space="preserve">Eastern Cooperative Oncology Group </w:t>
      </w:r>
      <w:r w:rsidR="00EF20DD" w:rsidRPr="005612CB">
        <w:lastRenderedPageBreak/>
        <w:t>Performance Status (</w:t>
      </w:r>
      <w:r w:rsidRPr="005612CB">
        <w:t>ECOG PS</w:t>
      </w:r>
      <w:r w:rsidR="00EF20DD" w:rsidRPr="005612CB">
        <w:t>)</w:t>
      </w:r>
      <w:r w:rsidRPr="005612CB">
        <w:t xml:space="preserve"> 0 to 1;</w:t>
      </w:r>
      <w:r w:rsidR="00EF20DD" w:rsidRPr="005612CB">
        <w:rPr>
          <w:rStyle w:val="FootnoteReference"/>
        </w:rPr>
        <w:footnoteReference w:id="19"/>
      </w:r>
      <w:r w:rsidRPr="005612CB">
        <w:t xml:space="preserve"> it was approved in 2018 and demonstrated non</w:t>
      </w:r>
      <w:r w:rsidR="00EF20DD" w:rsidRPr="005612CB">
        <w:noBreakHyphen/>
      </w:r>
      <w:r w:rsidRPr="005612CB">
        <w:t>inferiority to sorafenib.</w:t>
      </w:r>
      <w:r w:rsidR="00D27B84" w:rsidRPr="005612CB">
        <w:rPr>
          <w:rStyle w:val="FootnoteReference"/>
        </w:rPr>
        <w:footnoteReference w:id="20"/>
      </w:r>
    </w:p>
    <w:p w14:paraId="10C040CC" w14:textId="48536348" w:rsidR="00C45A69" w:rsidRPr="005612CB" w:rsidRDefault="00F9222A" w:rsidP="00C652EF">
      <w:r w:rsidRPr="005612CB">
        <w:t xml:space="preserve">Atezolizumab (a </w:t>
      </w:r>
      <w:r w:rsidR="00EF20DD" w:rsidRPr="005612CB">
        <w:t>programmed cell death ligand-1 (</w:t>
      </w:r>
      <w:r w:rsidRPr="005612CB">
        <w:t>PD-L1</w:t>
      </w:r>
      <w:r w:rsidR="00EF20DD" w:rsidRPr="005612CB">
        <w:t>)</w:t>
      </w:r>
      <w:r w:rsidRPr="005612CB">
        <w:t xml:space="preserve"> inhibitor) in combination with bevacizumab (an angiogenesis inhibitor targeting vascular endothelial growth factor A) has been approved in the first-line setting, after the Phase III IMbrave150 </w:t>
      </w:r>
      <w:r w:rsidR="006149E1" w:rsidRPr="005612CB">
        <w:t>trial</w:t>
      </w:r>
      <w:r w:rsidRPr="005612CB">
        <w:t xml:space="preserve"> demonstrated statistically significant and clinically meaningful improvements in OS and </w:t>
      </w:r>
      <w:r w:rsidR="00EF20DD" w:rsidRPr="005612CB">
        <w:t>progression-free survival (</w:t>
      </w:r>
      <w:r w:rsidRPr="005612CB">
        <w:t>PFS</w:t>
      </w:r>
      <w:r w:rsidR="00EF20DD" w:rsidRPr="005612CB">
        <w:t>)</w:t>
      </w:r>
      <w:r w:rsidRPr="005612CB">
        <w:t xml:space="preserve"> compared to sorafenib.</w:t>
      </w:r>
      <w:r w:rsidR="003D296A" w:rsidRPr="005612CB">
        <w:rPr>
          <w:vertAlign w:val="superscript"/>
        </w:rPr>
        <w:fldChar w:fldCharType="begin"/>
      </w:r>
      <w:r w:rsidR="003D296A" w:rsidRPr="005612CB">
        <w:rPr>
          <w:vertAlign w:val="superscript"/>
        </w:rPr>
        <w:instrText xml:space="preserve"> NOTEREF _Ref148369858 \h  \* MERGEFORMAT </w:instrText>
      </w:r>
      <w:r w:rsidR="003D296A" w:rsidRPr="005612CB">
        <w:rPr>
          <w:vertAlign w:val="superscript"/>
        </w:rPr>
      </w:r>
      <w:r w:rsidR="003D296A" w:rsidRPr="005612CB">
        <w:rPr>
          <w:vertAlign w:val="superscript"/>
        </w:rPr>
        <w:fldChar w:fldCharType="separate"/>
      </w:r>
      <w:r w:rsidR="00711616">
        <w:rPr>
          <w:vertAlign w:val="superscript"/>
        </w:rPr>
        <w:t>16</w:t>
      </w:r>
      <w:r w:rsidR="003D296A" w:rsidRPr="005612CB">
        <w:rPr>
          <w:vertAlign w:val="superscript"/>
        </w:rPr>
        <w:fldChar w:fldCharType="end"/>
      </w:r>
      <w:r w:rsidR="003D296A" w:rsidRPr="005612CB">
        <w:rPr>
          <w:vertAlign w:val="superscript"/>
        </w:rPr>
        <w:t>,</w:t>
      </w:r>
      <w:r w:rsidR="003D296A" w:rsidRPr="005612CB">
        <w:rPr>
          <w:rStyle w:val="FootnoteReference"/>
        </w:rPr>
        <w:footnoteReference w:id="21"/>
      </w:r>
      <w:r w:rsidR="00C45A69" w:rsidRPr="005612CB">
        <w:t xml:space="preserve"> </w:t>
      </w:r>
      <w:r w:rsidRPr="005612CB">
        <w:t>Atezolizumab is now the preferred first</w:t>
      </w:r>
      <w:r w:rsidR="006149E1" w:rsidRPr="005612CB">
        <w:noBreakHyphen/>
      </w:r>
      <w:r w:rsidRPr="005612CB">
        <w:t>line treatment for HCC in the updated</w:t>
      </w:r>
      <w:r w:rsidR="00390AA8" w:rsidRPr="005612CB">
        <w:t xml:space="preserve"> European Society for Medical Oncology (ESMO)</w:t>
      </w:r>
      <w:r w:rsidRPr="005612CB">
        <w:t xml:space="preserve"> guidelines.</w:t>
      </w:r>
      <w:bookmarkStart w:id="29" w:name="_Ref148451653"/>
      <w:r w:rsidR="00D70349" w:rsidRPr="005612CB">
        <w:rPr>
          <w:rStyle w:val="FootnoteReference"/>
        </w:rPr>
        <w:footnoteReference w:id="22"/>
      </w:r>
      <w:bookmarkEnd w:id="29"/>
      <w:r w:rsidR="00D70349" w:rsidRPr="005612CB">
        <w:rPr>
          <w:vertAlign w:val="superscript"/>
        </w:rPr>
        <w:t>,</w:t>
      </w:r>
      <w:bookmarkStart w:id="30" w:name="_Ref148451854"/>
      <w:r w:rsidR="00D70349" w:rsidRPr="005612CB">
        <w:rPr>
          <w:rStyle w:val="FootnoteReference"/>
        </w:rPr>
        <w:footnoteReference w:id="23"/>
      </w:r>
      <w:bookmarkEnd w:id="30"/>
      <w:r w:rsidR="00D70349" w:rsidRPr="005612CB">
        <w:rPr>
          <w:vertAlign w:val="superscript"/>
        </w:rPr>
        <w:t>,</w:t>
      </w:r>
      <w:bookmarkStart w:id="31" w:name="_Ref149311587"/>
      <w:r w:rsidR="00D70349" w:rsidRPr="005612CB">
        <w:rPr>
          <w:rStyle w:val="FootnoteReference"/>
        </w:rPr>
        <w:footnoteReference w:id="24"/>
      </w:r>
      <w:bookmarkEnd w:id="31"/>
    </w:p>
    <w:p w14:paraId="32BB59D4" w14:textId="3E0E4D58" w:rsidR="00F9222A" w:rsidRPr="005612CB" w:rsidRDefault="00F9222A" w:rsidP="00C652EF">
      <w:r w:rsidRPr="005612CB">
        <w:t xml:space="preserve">In patients with HCC, second-line systemic therapy is recommended for suitable patients who have progressed on multi-kinase inhibitors and who have preserved liver function and good performance status. Second line treatments approved by the TGA include regorafenib, </w:t>
      </w:r>
      <w:proofErr w:type="spellStart"/>
      <w:r w:rsidRPr="005612CB">
        <w:t>cabozantinib</w:t>
      </w:r>
      <w:proofErr w:type="spellEnd"/>
      <w:r w:rsidRPr="005612CB">
        <w:t>, and nivolumab.</w:t>
      </w:r>
      <w:r w:rsidR="00C45A69" w:rsidRPr="005612CB">
        <w:t xml:space="preserve"> </w:t>
      </w:r>
      <w:r w:rsidRPr="005612CB">
        <w:t xml:space="preserve">In addition, there is Phase III clinical trial evidence of improved survival to support the use of ramucirumab in patients who have progressed on (or are intolerant to) sorafenib (in those with </w:t>
      </w:r>
      <w:r w:rsidR="00D17A75" w:rsidRPr="005612CB">
        <w:t xml:space="preserve">α-fetoprotein </w:t>
      </w:r>
      <w:r w:rsidRPr="005612CB">
        <w:t>level &gt;400 ng/mL); ramucirumab is not approved in Australia for treatment of patients with HCC.</w:t>
      </w:r>
      <w:r w:rsidR="00C45A69" w:rsidRPr="005612CB">
        <w:t xml:space="preserve"> </w:t>
      </w:r>
      <w:r w:rsidRPr="005612CB">
        <w:t xml:space="preserve">Pembrolizumab (an </w:t>
      </w:r>
      <w:r w:rsidR="000F574F" w:rsidRPr="005612CB">
        <w:t>anti-programmed cell death-1 (</w:t>
      </w:r>
      <w:r w:rsidRPr="005612CB">
        <w:t>anti-PD-1</w:t>
      </w:r>
      <w:r w:rsidR="000F574F" w:rsidRPr="005612CB">
        <w:t>)</w:t>
      </w:r>
      <w:r w:rsidRPr="005612CB">
        <w:t xml:space="preserve"> antibody) was granted accelerated approval by the U</w:t>
      </w:r>
      <w:r w:rsidR="000F574F" w:rsidRPr="005612CB">
        <w:t>nited States</w:t>
      </w:r>
      <w:r w:rsidR="003A3DC4" w:rsidRPr="005612CB">
        <w:t xml:space="preserve"> (US)</w:t>
      </w:r>
      <w:r w:rsidRPr="005612CB">
        <w:t xml:space="preserve"> Food and Drug Administration</w:t>
      </w:r>
      <w:r w:rsidR="003A3DC4" w:rsidRPr="005612CB">
        <w:t xml:space="preserve"> (FDA)</w:t>
      </w:r>
      <w:r w:rsidRPr="005612CB">
        <w:t xml:space="preserve"> in November 2018, based on a non-randomised, multicentre, open-label, Phase II trial in 104 patients with disease progression while or after taking sorafenib or with intolerance to sorafenib; pembrolizumab is not approved in Australia for the treatment of patients with HCC.</w:t>
      </w:r>
    </w:p>
    <w:p w14:paraId="5BC70C5C" w14:textId="123EA7FF" w:rsidR="00C45A69" w:rsidRPr="005612CB" w:rsidRDefault="00F9222A" w:rsidP="00C652EF">
      <w:r w:rsidRPr="005612CB">
        <w:t xml:space="preserve">While sorafenib demonstrates a manageable tolerability profile in patients with advanced HCC, quality of life is often limited by certain </w:t>
      </w:r>
      <w:r w:rsidR="00766872" w:rsidRPr="005612CB">
        <w:t>adverse events (</w:t>
      </w:r>
      <w:r w:rsidRPr="005612CB">
        <w:t>AEs</w:t>
      </w:r>
      <w:r w:rsidR="00766872" w:rsidRPr="005612CB">
        <w:t>)</w:t>
      </w:r>
      <w:r w:rsidRPr="005612CB">
        <w:t xml:space="preserve"> such as diarrhea, hand-foot skin reaction, and fatigue.</w:t>
      </w:r>
      <w:r w:rsidR="00C45A69" w:rsidRPr="005612CB">
        <w:t xml:space="preserve"> </w:t>
      </w:r>
      <w:r w:rsidRPr="005612CB">
        <w:t xml:space="preserve">First-line combination therapy with intravenous atezolizumab and bevacizumab has also been associated with a higher incidence of bleeding, including fatal bleeding, infections, discontinuations, and dose interruptions due to AEs. Furthermore, the toxicity of systemic therapies (particularly </w:t>
      </w:r>
      <w:r w:rsidR="00AC7FAD" w:rsidRPr="005612CB">
        <w:t>vascular endothelial growth factor receptor (</w:t>
      </w:r>
      <w:r w:rsidRPr="005612CB">
        <w:t>VEGFR</w:t>
      </w:r>
      <w:r w:rsidR="00AC7FAD" w:rsidRPr="005612CB">
        <w:t>)</w:t>
      </w:r>
      <w:r w:rsidRPr="005612CB">
        <w:t xml:space="preserve"> </w:t>
      </w:r>
      <w:r w:rsidR="00DC3EB7" w:rsidRPr="005612CB">
        <w:t>tyrosine-kinase inhibitor</w:t>
      </w:r>
      <w:r w:rsidRPr="005612CB">
        <w:t>s) can exacerbate the pre-existing hepatopathy and increase the risk of liver-related AEs.</w:t>
      </w:r>
    </w:p>
    <w:p w14:paraId="275FC1D3" w14:textId="02FDC04D" w:rsidR="00F9222A" w:rsidRPr="005612CB" w:rsidRDefault="00F9222A" w:rsidP="00C652EF">
      <w:r w:rsidRPr="005612CB">
        <w:t xml:space="preserve">Hence, there is a need for other effective, </w:t>
      </w:r>
      <w:proofErr w:type="gramStart"/>
      <w:r w:rsidRPr="005612CB">
        <w:t>safe</w:t>
      </w:r>
      <w:proofErr w:type="gramEnd"/>
      <w:r w:rsidRPr="005612CB">
        <w:t xml:space="preserve"> and tolerable first-line systemic therapies in patients with uHCC.</w:t>
      </w:r>
    </w:p>
    <w:p w14:paraId="55564FC2" w14:textId="2487C706" w:rsidR="009F5459" w:rsidRPr="005612CB" w:rsidRDefault="009F5459" w:rsidP="009F5459">
      <w:r w:rsidRPr="005612CB">
        <w:lastRenderedPageBreak/>
        <w:t xml:space="preserve">Expression of PD-L1 can be induced by inflammatory signals and expressed on both tumour cells and tumour-associated immune cells in the tumour microenvironment. Programmed cell death ligand-1 blocks T-cell function and activation through interactions with PD-1 and </w:t>
      </w:r>
      <w:r w:rsidR="000940BF" w:rsidRPr="005612CB">
        <w:t>cluster of differentiation (</w:t>
      </w:r>
      <w:r w:rsidRPr="005612CB">
        <w:t>CD</w:t>
      </w:r>
      <w:r w:rsidR="000940BF" w:rsidRPr="005612CB">
        <w:t>)</w:t>
      </w:r>
      <w:r w:rsidRPr="005612CB">
        <w:t>80 (B7.1). By binding to its receptors, PD-L1 reduces cytotoxic T-cell activity, proliferation, and cytokine production.</w:t>
      </w:r>
    </w:p>
    <w:p w14:paraId="6E5A364B" w14:textId="2D20E9D5" w:rsidR="009F5459" w:rsidRPr="005612CB" w:rsidRDefault="009F5459" w:rsidP="009F5459">
      <w:r w:rsidRPr="005612CB">
        <w:t xml:space="preserve">Durvalumab is a human IgG1 kappa </w:t>
      </w:r>
      <w:r w:rsidR="009F43AB" w:rsidRPr="005612CB">
        <w:t xml:space="preserve">monoclonal antibody </w:t>
      </w:r>
      <w:r w:rsidRPr="005612CB">
        <w:t>that binds to PD-L1 and blocks the interaction of PD-L1 with PD-1 and CD80 (B7.1). Blockade of PD-L1/PD-1 and PD-L1/CD80 interactions releases the inhibition of immune responses, without inducing antibody-dependent cell-mediated cytotoxicity.</w:t>
      </w:r>
    </w:p>
    <w:p w14:paraId="1992F15F" w14:textId="1C0F5342" w:rsidR="003F0542" w:rsidRPr="005612CB" w:rsidRDefault="003F0542" w:rsidP="00C652EF">
      <w:r w:rsidRPr="005612CB">
        <w:t xml:space="preserve">Tremelimumab is a human IgG2 </w:t>
      </w:r>
      <w:r w:rsidR="009F43AB" w:rsidRPr="005612CB">
        <w:t xml:space="preserve">monoclonal antibody </w:t>
      </w:r>
      <w:r w:rsidRPr="005612CB">
        <w:t xml:space="preserve">directed against </w:t>
      </w:r>
      <w:r w:rsidR="009F43AB" w:rsidRPr="005612CB">
        <w:t>cytotoxic T-lymphocyte-associated antigen (</w:t>
      </w:r>
      <w:r w:rsidRPr="005612CB">
        <w:t>CTLA</w:t>
      </w:r>
      <w:r w:rsidR="009F43AB" w:rsidRPr="005612CB">
        <w:t>)</w:t>
      </w:r>
      <w:r w:rsidRPr="005612CB">
        <w:t>-4, a critical regulatory signal for T</w:t>
      </w:r>
      <w:r w:rsidR="00987AFE" w:rsidRPr="005612CB">
        <w:noBreakHyphen/>
      </w:r>
      <w:r w:rsidRPr="005612CB">
        <w:t>cell expansion and activation following an immune response, and it serves as a natural braking mechanism that maintains T-cell homeostasis. T-cell activation upregulates CTLA-4, which binds to CD80 and CD86 ligands on antigen-presenting cells, sending an inhibitory signal and preventing CD28-mediated T-cell co-stimulation, thus limiting T-cell activation. Tremelimumab blocks these events, leading to prolongation and enhancement of T-cell activation and expansion.</w:t>
      </w:r>
    </w:p>
    <w:p w14:paraId="43BB00E9" w14:textId="62D802C2" w:rsidR="009F5459" w:rsidRPr="005612CB" w:rsidRDefault="009F5459" w:rsidP="00C652EF">
      <w:r w:rsidRPr="005612CB">
        <w:t>Targeting both the PD-1 and CTLA-4 pathways using dual checkpoint blockade could result in a potential additive anti-tumour effect with a longer duration of immune activation because the mechanisms of action of these pathways are non-redundant and utilised at different times of immune activation and at different locations in the body.</w:t>
      </w:r>
      <w:r w:rsidR="005C57B1" w:rsidRPr="005612CB">
        <w:rPr>
          <w:rStyle w:val="FootnoteReference"/>
        </w:rPr>
        <w:footnoteReference w:id="25"/>
      </w:r>
      <w:r w:rsidR="00A24AFE" w:rsidRPr="005612CB">
        <w:rPr>
          <w:vertAlign w:val="superscript"/>
        </w:rPr>
        <w:t>,</w:t>
      </w:r>
      <w:r w:rsidR="00A24AFE" w:rsidRPr="005612CB">
        <w:rPr>
          <w:rStyle w:val="FootnoteReference"/>
        </w:rPr>
        <w:footnoteReference w:id="26"/>
      </w:r>
    </w:p>
    <w:p w14:paraId="0D615854" w14:textId="77777777" w:rsidR="00324B33" w:rsidRPr="005612CB" w:rsidRDefault="00324B33" w:rsidP="00324B33">
      <w:pPr>
        <w:pStyle w:val="Heading3"/>
      </w:pPr>
      <w:bookmarkStart w:id="32" w:name="_Toc103679291"/>
      <w:bookmarkStart w:id="33" w:name="_Toc152934433"/>
      <w:r w:rsidRPr="005612CB">
        <w:t>Regulatory status</w:t>
      </w:r>
      <w:bookmarkEnd w:id="24"/>
      <w:bookmarkEnd w:id="25"/>
      <w:bookmarkEnd w:id="32"/>
      <w:bookmarkEnd w:id="33"/>
    </w:p>
    <w:p w14:paraId="53C00F10" w14:textId="45B06411" w:rsidR="00324B33" w:rsidRPr="005612CB" w:rsidRDefault="00324B33" w:rsidP="00324B33">
      <w:pPr>
        <w:rPr>
          <w:szCs w:val="22"/>
        </w:rPr>
      </w:pPr>
      <w:r w:rsidRPr="005612CB">
        <w:rPr>
          <w:szCs w:val="22"/>
        </w:rPr>
        <w:t xml:space="preserve">The product received initial registration on the </w:t>
      </w:r>
      <w:hyperlink r:id="rId16" w:history="1">
        <w:r w:rsidRPr="005612CB">
          <w:rPr>
            <w:rStyle w:val="Hyperlink"/>
            <w:szCs w:val="22"/>
          </w:rPr>
          <w:t>Australian Register of Therapeutic Goods</w:t>
        </w:r>
      </w:hyperlink>
      <w:r w:rsidRPr="005612CB">
        <w:rPr>
          <w:szCs w:val="22"/>
        </w:rPr>
        <w:t xml:space="preserve"> (</w:t>
      </w:r>
      <w:hyperlink r:id="rId17" w:history="1">
        <w:r w:rsidRPr="005612CB">
          <w:rPr>
            <w:rStyle w:val="Hyperlink"/>
            <w:szCs w:val="22"/>
          </w:rPr>
          <w:t>ARTG</w:t>
        </w:r>
      </w:hyperlink>
      <w:r w:rsidRPr="005612CB">
        <w:rPr>
          <w:szCs w:val="22"/>
        </w:rPr>
        <w:t>) on</w:t>
      </w:r>
      <w:r w:rsidR="00690E20" w:rsidRPr="005612CB">
        <w:rPr>
          <w:szCs w:val="22"/>
        </w:rPr>
        <w:t xml:space="preserve"> 2 October 2018. </w:t>
      </w:r>
      <w:r w:rsidR="00750D70" w:rsidRPr="005612CB">
        <w:rPr>
          <w:szCs w:val="22"/>
        </w:rPr>
        <w:t>At the time that this submission was considered it was approved for the following indications:</w:t>
      </w:r>
    </w:p>
    <w:p w14:paraId="06E18CE0" w14:textId="77777777" w:rsidR="00D97B4D" w:rsidRPr="005612CB" w:rsidRDefault="00D97B4D" w:rsidP="00D97B4D">
      <w:pPr>
        <w:ind w:left="720"/>
        <w:rPr>
          <w:b/>
          <w:bCs/>
          <w:i/>
          <w:iCs/>
        </w:rPr>
      </w:pPr>
      <w:r w:rsidRPr="005612CB">
        <w:rPr>
          <w:b/>
          <w:bCs/>
          <w:i/>
          <w:iCs/>
        </w:rPr>
        <w:t>Locally advanced non-small cell lung cancer (NSCLC)</w:t>
      </w:r>
    </w:p>
    <w:p w14:paraId="15E6274C" w14:textId="77777777" w:rsidR="00D97B4D" w:rsidRPr="005612CB" w:rsidRDefault="00D97B4D" w:rsidP="00D97B4D">
      <w:pPr>
        <w:ind w:left="720"/>
        <w:rPr>
          <w:i/>
          <w:iCs/>
        </w:rPr>
      </w:pPr>
      <w:r w:rsidRPr="005612CB">
        <w:rPr>
          <w:i/>
          <w:iCs/>
        </w:rPr>
        <w:t>Imfinzi is indicated for the treatment of patients with locally advanced, unresectable NSCLC whose disease has not progressed following platinum-based chemoradiation therapy.</w:t>
      </w:r>
    </w:p>
    <w:p w14:paraId="397E51BF" w14:textId="77777777" w:rsidR="00D97B4D" w:rsidRPr="005612CB" w:rsidRDefault="00D97B4D" w:rsidP="00D97B4D">
      <w:pPr>
        <w:ind w:left="720"/>
        <w:rPr>
          <w:b/>
          <w:bCs/>
          <w:i/>
          <w:iCs/>
        </w:rPr>
      </w:pPr>
      <w:r w:rsidRPr="005612CB">
        <w:rPr>
          <w:b/>
          <w:bCs/>
          <w:i/>
          <w:iCs/>
        </w:rPr>
        <w:t>Small cell lung cancer (SCLC)</w:t>
      </w:r>
    </w:p>
    <w:p w14:paraId="3E12DCA3" w14:textId="77777777" w:rsidR="00D97B4D" w:rsidRDefault="00D97B4D" w:rsidP="00D97B4D">
      <w:pPr>
        <w:ind w:left="720"/>
        <w:rPr>
          <w:i/>
          <w:iCs/>
        </w:rPr>
      </w:pPr>
      <w:r w:rsidRPr="005612CB">
        <w:rPr>
          <w:i/>
          <w:iCs/>
        </w:rPr>
        <w:t>Imfinzi in combination with etoposide and either carboplatin or cisplatin is indicated for the first-line treatment of patients with extensive-stage small cell lung cancer (ES-SCLC).</w:t>
      </w:r>
    </w:p>
    <w:p w14:paraId="74A7214B" w14:textId="77777777" w:rsidR="00D97B4D" w:rsidRPr="00D97B4D" w:rsidRDefault="00D97B4D" w:rsidP="00D97B4D">
      <w:pPr>
        <w:ind w:left="720"/>
        <w:rPr>
          <w:b/>
          <w:bCs/>
          <w:i/>
          <w:iCs/>
        </w:rPr>
      </w:pPr>
      <w:r w:rsidRPr="00D97B4D">
        <w:rPr>
          <w:b/>
          <w:bCs/>
          <w:i/>
          <w:iCs/>
        </w:rPr>
        <w:t>Malignant pleural mesothelioma (MPM)</w:t>
      </w:r>
    </w:p>
    <w:p w14:paraId="4AB53068" w14:textId="77777777" w:rsidR="00D97B4D" w:rsidRPr="00D97B4D" w:rsidRDefault="00D97B4D" w:rsidP="00D97B4D">
      <w:pPr>
        <w:ind w:left="720"/>
        <w:rPr>
          <w:i/>
          <w:iCs/>
        </w:rPr>
      </w:pPr>
      <w:r w:rsidRPr="00D97B4D">
        <w:rPr>
          <w:i/>
          <w:iCs/>
        </w:rPr>
        <w:t>Imfinzi in combination with pemetrexed and either cisplatin or carboplatin has</w:t>
      </w:r>
      <w:r>
        <w:rPr>
          <w:i/>
          <w:iCs/>
        </w:rPr>
        <w:t xml:space="preserve"> </w:t>
      </w:r>
      <w:r w:rsidRPr="00D97B4D">
        <w:rPr>
          <w:i/>
          <w:iCs/>
        </w:rPr>
        <w:t>provisional approval for the first-line treatment of patients with unresectable MPM</w:t>
      </w:r>
      <w:r>
        <w:rPr>
          <w:i/>
          <w:iCs/>
        </w:rPr>
        <w:t xml:space="preserve"> </w:t>
      </w:r>
      <w:r w:rsidRPr="00D97B4D">
        <w:rPr>
          <w:i/>
          <w:iCs/>
        </w:rPr>
        <w:t>with epithelioid histology.</w:t>
      </w:r>
    </w:p>
    <w:p w14:paraId="240EF0DB" w14:textId="77777777" w:rsidR="00D97B4D" w:rsidRPr="00D97B4D" w:rsidRDefault="00D97B4D" w:rsidP="00D97B4D">
      <w:pPr>
        <w:ind w:left="720"/>
        <w:rPr>
          <w:i/>
          <w:iCs/>
        </w:rPr>
      </w:pPr>
      <w:r w:rsidRPr="00D97B4D">
        <w:rPr>
          <w:i/>
          <w:iCs/>
        </w:rPr>
        <w:t xml:space="preserve">The decision to approve this indication has been made </w:t>
      </w:r>
      <w:proofErr w:type="gramStart"/>
      <w:r w:rsidRPr="00D97B4D">
        <w:rPr>
          <w:i/>
          <w:iCs/>
        </w:rPr>
        <w:t>on the basis of</w:t>
      </w:r>
      <w:proofErr w:type="gramEnd"/>
      <w:r w:rsidRPr="00D97B4D">
        <w:rPr>
          <w:i/>
          <w:iCs/>
        </w:rPr>
        <w:t xml:space="preserve"> two phase 2 single</w:t>
      </w:r>
      <w:r>
        <w:rPr>
          <w:i/>
          <w:iCs/>
        </w:rPr>
        <w:t xml:space="preserve"> </w:t>
      </w:r>
      <w:r w:rsidRPr="00D97B4D">
        <w:rPr>
          <w:i/>
          <w:iCs/>
        </w:rPr>
        <w:t>arm studies. Continued approval of this indication depends on verification and</w:t>
      </w:r>
      <w:r>
        <w:rPr>
          <w:i/>
          <w:iCs/>
        </w:rPr>
        <w:t xml:space="preserve"> </w:t>
      </w:r>
      <w:r w:rsidRPr="00D97B4D">
        <w:rPr>
          <w:i/>
          <w:iCs/>
        </w:rPr>
        <w:t>description of clinical benefit in a confirmatory trial.</w:t>
      </w:r>
    </w:p>
    <w:p w14:paraId="6C3ACAB0" w14:textId="77777777" w:rsidR="00D97B4D" w:rsidRPr="00D97B4D" w:rsidRDefault="00D97B4D" w:rsidP="00D97B4D">
      <w:pPr>
        <w:ind w:left="720"/>
        <w:rPr>
          <w:b/>
          <w:bCs/>
          <w:i/>
          <w:iCs/>
        </w:rPr>
      </w:pPr>
      <w:r w:rsidRPr="00D97B4D">
        <w:rPr>
          <w:b/>
          <w:bCs/>
          <w:i/>
          <w:iCs/>
        </w:rPr>
        <w:t>Biliary tract cancer (BTC)</w:t>
      </w:r>
    </w:p>
    <w:p w14:paraId="0C17C4B2" w14:textId="02924594" w:rsidR="00D97B4D" w:rsidRPr="005612CB" w:rsidRDefault="00D97B4D" w:rsidP="00D97B4D">
      <w:pPr>
        <w:ind w:left="720"/>
        <w:rPr>
          <w:i/>
          <w:iCs/>
        </w:rPr>
      </w:pPr>
      <w:r w:rsidRPr="00D97B4D">
        <w:rPr>
          <w:i/>
          <w:iCs/>
        </w:rPr>
        <w:lastRenderedPageBreak/>
        <w:t>Imfinzi in combination with gemcitabine and cisplatin is indicated for the treatment of</w:t>
      </w:r>
      <w:r>
        <w:rPr>
          <w:i/>
          <w:iCs/>
        </w:rPr>
        <w:t xml:space="preserve"> </w:t>
      </w:r>
      <w:r w:rsidRPr="00D97B4D">
        <w:rPr>
          <w:i/>
          <w:iCs/>
        </w:rPr>
        <w:t>patients with locally advanced or metastatic biliary tract cancer (BTC).</w:t>
      </w:r>
    </w:p>
    <w:p w14:paraId="715B7D2A" w14:textId="50AFF36F" w:rsidR="00324B33" w:rsidRPr="005612CB" w:rsidRDefault="00324B33" w:rsidP="00324B33">
      <w:pPr>
        <w:rPr>
          <w:szCs w:val="22"/>
        </w:rPr>
      </w:pPr>
      <w:r w:rsidRPr="005612CB">
        <w:rPr>
          <w:szCs w:val="22"/>
        </w:rPr>
        <w:t>At the time the TGA considered this submission, similar submission</w:t>
      </w:r>
      <w:r w:rsidR="00457D6C">
        <w:rPr>
          <w:szCs w:val="22"/>
        </w:rPr>
        <w:t>s</w:t>
      </w:r>
      <w:r w:rsidRPr="005612CB">
        <w:rPr>
          <w:szCs w:val="22"/>
        </w:rPr>
        <w:t xml:space="preserve"> had been approved </w:t>
      </w:r>
      <w:r w:rsidR="004E6610" w:rsidRPr="005612CB">
        <w:rPr>
          <w:szCs w:val="22"/>
        </w:rPr>
        <w:t xml:space="preserve">in the European Union on </w:t>
      </w:r>
      <w:r w:rsidR="00457D6C" w:rsidRPr="00457D6C">
        <w:t>30 January 2023</w:t>
      </w:r>
      <w:r w:rsidR="004E6610" w:rsidRPr="005612CB">
        <w:t xml:space="preserve">, United States of America on </w:t>
      </w:r>
      <w:r w:rsidR="00457D6C" w:rsidRPr="00457D6C">
        <w:t xml:space="preserve">21 </w:t>
      </w:r>
      <w:r w:rsidR="00457D6C">
        <w:t xml:space="preserve">October </w:t>
      </w:r>
      <w:r w:rsidR="00457D6C" w:rsidRPr="00457D6C">
        <w:t>2022</w:t>
      </w:r>
      <w:r w:rsidR="00457D6C">
        <w:t>,</w:t>
      </w:r>
      <w:r w:rsidR="00457D6C" w:rsidRPr="00457D6C">
        <w:t xml:space="preserve"> </w:t>
      </w:r>
      <w:r w:rsidR="00457D6C">
        <w:t xml:space="preserve">and </w:t>
      </w:r>
      <w:r w:rsidR="00457D6C" w:rsidRPr="00457D6C">
        <w:t>Japan</w:t>
      </w:r>
      <w:r w:rsidR="00457D6C">
        <w:t xml:space="preserve"> on </w:t>
      </w:r>
      <w:r w:rsidR="00457D6C" w:rsidRPr="00457D6C">
        <w:t>23 D</w:t>
      </w:r>
      <w:r w:rsidR="00457D6C">
        <w:t>ecember</w:t>
      </w:r>
      <w:r w:rsidR="00457D6C" w:rsidRPr="00457D6C">
        <w:t xml:space="preserve"> 2022</w:t>
      </w:r>
      <w:r w:rsidR="00457D6C">
        <w:t>. A s</w:t>
      </w:r>
      <w:r w:rsidRPr="005612CB">
        <w:rPr>
          <w:szCs w:val="22"/>
        </w:rPr>
        <w:t xml:space="preserve">imilar submission was under consideration in </w:t>
      </w:r>
      <w:r w:rsidR="00457D6C" w:rsidRPr="00457D6C">
        <w:t>Singapore</w:t>
      </w:r>
      <w:r w:rsidR="00457D6C" w:rsidRPr="005612CB">
        <w:t xml:space="preserve"> </w:t>
      </w:r>
      <w:r w:rsidRPr="005612CB">
        <w:rPr>
          <w:szCs w:val="22"/>
        </w:rPr>
        <w:t xml:space="preserve">(submitted on </w:t>
      </w:r>
      <w:r w:rsidR="00457D6C" w:rsidRPr="00457D6C">
        <w:t>20 April 2022</w:t>
      </w:r>
      <w:r w:rsidR="004E6610" w:rsidRPr="005612CB">
        <w:t>).</w:t>
      </w:r>
    </w:p>
    <w:p w14:paraId="1B9AB90D" w14:textId="3E8AA98C" w:rsidR="00324B33" w:rsidRPr="005612CB" w:rsidRDefault="00324B33" w:rsidP="00324B33">
      <w:pPr>
        <w:rPr>
          <w:szCs w:val="22"/>
        </w:rPr>
      </w:pPr>
      <w:r w:rsidRPr="005612CB">
        <w:rPr>
          <w:szCs w:val="22"/>
        </w:rPr>
        <w:t>The following table summarises these submissions and provides the indications where approved.</w:t>
      </w:r>
    </w:p>
    <w:p w14:paraId="19B9E0AC" w14:textId="70595A36" w:rsidR="00324B33" w:rsidRPr="005612CB" w:rsidRDefault="00324B33" w:rsidP="00324B33">
      <w:pPr>
        <w:pStyle w:val="TableTitle"/>
      </w:pPr>
      <w:bookmarkStart w:id="34" w:name="_Ref99705479"/>
      <w:r w:rsidRPr="005612CB">
        <w:t xml:space="preserve">Table </w:t>
      </w:r>
      <w:fldSimple w:instr=" SEQ Table \* ARABIC ">
        <w:r w:rsidR="00711616">
          <w:rPr>
            <w:noProof/>
          </w:rPr>
          <w:t>1</w:t>
        </w:r>
      </w:fldSimple>
      <w:bookmarkEnd w:id="34"/>
      <w:r w:rsidRPr="005612CB">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5612C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5612CB" w:rsidRDefault="00324B33" w:rsidP="00C077B1">
            <w:r w:rsidRPr="005612CB">
              <w:t>Region</w:t>
            </w:r>
          </w:p>
        </w:tc>
        <w:tc>
          <w:tcPr>
            <w:tcW w:w="1018" w:type="pct"/>
          </w:tcPr>
          <w:p w14:paraId="778C35C7" w14:textId="52D23C85" w:rsidR="00324B33" w:rsidRPr="005612CB" w:rsidRDefault="00324B33" w:rsidP="00C077B1">
            <w:pPr>
              <w:cnfStyle w:val="100000000000" w:firstRow="1" w:lastRow="0" w:firstColumn="0" w:lastColumn="0" w:oddVBand="0" w:evenVBand="0" w:oddHBand="0" w:evenHBand="0" w:firstRowFirstColumn="0" w:firstRowLastColumn="0" w:lastRowFirstColumn="0" w:lastRowLastColumn="0"/>
            </w:pPr>
            <w:r w:rsidRPr="005612CB">
              <w:t>Submission date</w:t>
            </w:r>
          </w:p>
        </w:tc>
        <w:tc>
          <w:tcPr>
            <w:tcW w:w="1173" w:type="pct"/>
          </w:tcPr>
          <w:p w14:paraId="58F81584" w14:textId="66689ABF" w:rsidR="00324B33" w:rsidRPr="005612CB" w:rsidRDefault="00324B33" w:rsidP="00C077B1">
            <w:pPr>
              <w:cnfStyle w:val="100000000000" w:firstRow="1" w:lastRow="0" w:firstColumn="0" w:lastColumn="0" w:oddVBand="0" w:evenVBand="0" w:oddHBand="0" w:evenHBand="0" w:firstRowFirstColumn="0" w:firstRowLastColumn="0" w:lastRowFirstColumn="0" w:lastRowLastColumn="0"/>
            </w:pPr>
            <w:r w:rsidRPr="005612CB">
              <w:t>Status</w:t>
            </w:r>
          </w:p>
        </w:tc>
        <w:tc>
          <w:tcPr>
            <w:tcW w:w="1795" w:type="pct"/>
          </w:tcPr>
          <w:p w14:paraId="50B2D435" w14:textId="560588D2" w:rsidR="00324B33" w:rsidRPr="005612CB" w:rsidRDefault="00324B33" w:rsidP="00C077B1">
            <w:pPr>
              <w:cnfStyle w:val="100000000000" w:firstRow="1" w:lastRow="0" w:firstColumn="0" w:lastColumn="0" w:oddVBand="0" w:evenVBand="0" w:oddHBand="0" w:evenHBand="0" w:firstRowFirstColumn="0" w:firstRowLastColumn="0" w:lastRowFirstColumn="0" w:lastRowLastColumn="0"/>
            </w:pPr>
            <w:r w:rsidRPr="005612CB">
              <w:t>Approved indications</w:t>
            </w:r>
          </w:p>
        </w:tc>
      </w:tr>
      <w:tr w:rsidR="00324B33" w:rsidRPr="005612C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3115C77D" w:rsidR="00324B33" w:rsidRPr="00457D6C" w:rsidRDefault="006D0F9C" w:rsidP="00457D6C">
            <w:r w:rsidRPr="00457D6C">
              <w:t>European Union</w:t>
            </w:r>
          </w:p>
        </w:tc>
        <w:tc>
          <w:tcPr>
            <w:tcW w:w="1018" w:type="pct"/>
          </w:tcPr>
          <w:p w14:paraId="4FA5DDA9" w14:textId="273BECC1" w:rsidR="00324B33" w:rsidRPr="00457D6C" w:rsidRDefault="00FF51F2" w:rsidP="00457D6C">
            <w:pPr>
              <w:cnfStyle w:val="000000000000" w:firstRow="0" w:lastRow="0" w:firstColumn="0" w:lastColumn="0" w:oddVBand="0" w:evenVBand="0" w:oddHBand="0" w:evenHBand="0" w:firstRowFirstColumn="0" w:firstRowLastColumn="0" w:lastRowFirstColumn="0" w:lastRowLastColumn="0"/>
            </w:pPr>
            <w:r w:rsidRPr="00457D6C">
              <w:t>6 April 2022</w:t>
            </w:r>
          </w:p>
        </w:tc>
        <w:tc>
          <w:tcPr>
            <w:tcW w:w="1173" w:type="pct"/>
          </w:tcPr>
          <w:p w14:paraId="29358393" w14:textId="7CCC084D" w:rsidR="00324B33" w:rsidRPr="00457D6C" w:rsidRDefault="00324B33" w:rsidP="00457D6C">
            <w:pPr>
              <w:cnfStyle w:val="000000000000" w:firstRow="0" w:lastRow="0" w:firstColumn="0" w:lastColumn="0" w:oddVBand="0" w:evenVBand="0" w:oddHBand="0" w:evenHBand="0" w:firstRowFirstColumn="0" w:firstRowLastColumn="0" w:lastRowFirstColumn="0" w:lastRowLastColumn="0"/>
            </w:pPr>
            <w:r w:rsidRPr="00457D6C">
              <w:t xml:space="preserve">Approved on </w:t>
            </w:r>
            <w:r w:rsidR="00457D6C" w:rsidRPr="00457D6C">
              <w:t>30 January 2023</w:t>
            </w:r>
          </w:p>
        </w:tc>
        <w:tc>
          <w:tcPr>
            <w:tcW w:w="1795" w:type="pct"/>
          </w:tcPr>
          <w:p w14:paraId="05055674" w14:textId="65332BEB" w:rsidR="00324B33"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Imfinzi in combination with tremelimumab is indicated for the first line treatment of adults with advanced or unresectable hepatocellular carcinoma (HCC).</w:t>
            </w:r>
          </w:p>
        </w:tc>
      </w:tr>
      <w:tr w:rsidR="00FF51F2" w:rsidRPr="005612CB" w14:paraId="0C27FC2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B95591B" w14:textId="45C2D6B4" w:rsidR="00FF51F2" w:rsidRPr="00457D6C" w:rsidRDefault="00457D6C" w:rsidP="00457D6C">
            <w:pPr>
              <w:spacing w:before="0" w:after="120" w:line="259" w:lineRule="auto"/>
              <w:ind w:left="0"/>
            </w:pPr>
            <w:r w:rsidRPr="00457D6C">
              <w:t>United States of</w:t>
            </w:r>
            <w:r>
              <w:t xml:space="preserve"> </w:t>
            </w:r>
            <w:r w:rsidRPr="00457D6C">
              <w:t>America</w:t>
            </w:r>
          </w:p>
        </w:tc>
        <w:tc>
          <w:tcPr>
            <w:tcW w:w="1018" w:type="pct"/>
          </w:tcPr>
          <w:p w14:paraId="5B884942" w14:textId="0073697E" w:rsidR="00FF51F2"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22 A</w:t>
            </w:r>
            <w:r>
              <w:t>pril</w:t>
            </w:r>
            <w:r w:rsidRPr="00457D6C">
              <w:t xml:space="preserve"> 2022</w:t>
            </w:r>
          </w:p>
        </w:tc>
        <w:tc>
          <w:tcPr>
            <w:tcW w:w="1173" w:type="pct"/>
          </w:tcPr>
          <w:p w14:paraId="166F4AE9" w14:textId="015BDAAC" w:rsidR="00FF51F2"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 xml:space="preserve">21 </w:t>
            </w:r>
            <w:r>
              <w:t xml:space="preserve">October </w:t>
            </w:r>
            <w:r w:rsidRPr="00457D6C">
              <w:t>2022</w:t>
            </w:r>
          </w:p>
        </w:tc>
        <w:tc>
          <w:tcPr>
            <w:tcW w:w="1795" w:type="pct"/>
          </w:tcPr>
          <w:p w14:paraId="46998FA1" w14:textId="6F044AA7" w:rsidR="00FF51F2"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Imfinzi is a programmed death-ligand 1</w:t>
            </w:r>
            <w:r>
              <w:t xml:space="preserve"> </w:t>
            </w:r>
            <w:r w:rsidRPr="00457D6C">
              <w:t>(PD-L1) blocking antibody indicated in combination</w:t>
            </w:r>
            <w:r>
              <w:t xml:space="preserve"> </w:t>
            </w:r>
            <w:r w:rsidRPr="00457D6C">
              <w:t>with tremelimumab, for the treatment of adult</w:t>
            </w:r>
            <w:r>
              <w:t xml:space="preserve"> </w:t>
            </w:r>
            <w:r w:rsidRPr="00457D6C">
              <w:t>patients with unresectable hepatocellular carcinoma</w:t>
            </w:r>
            <w:r>
              <w:t xml:space="preserve"> </w:t>
            </w:r>
            <w:r w:rsidRPr="00457D6C">
              <w:t>(uHCC).</w:t>
            </w:r>
          </w:p>
        </w:tc>
      </w:tr>
      <w:tr w:rsidR="00324B33" w:rsidRPr="005612C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3EB386C5" w:rsidR="00324B33" w:rsidRPr="00457D6C" w:rsidRDefault="00457D6C" w:rsidP="00457D6C">
            <w:r w:rsidRPr="00457D6C">
              <w:t>Japan</w:t>
            </w:r>
          </w:p>
        </w:tc>
        <w:tc>
          <w:tcPr>
            <w:tcW w:w="1018" w:type="pct"/>
          </w:tcPr>
          <w:p w14:paraId="1D871E57" w14:textId="05A3AF97" w:rsidR="00324B33"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 xml:space="preserve">25 </w:t>
            </w:r>
            <w:r>
              <w:t>February</w:t>
            </w:r>
            <w:r w:rsidRPr="00457D6C">
              <w:t xml:space="preserve"> 2022</w:t>
            </w:r>
          </w:p>
        </w:tc>
        <w:tc>
          <w:tcPr>
            <w:tcW w:w="1173" w:type="pct"/>
          </w:tcPr>
          <w:p w14:paraId="63A3A9D3" w14:textId="4D87F678" w:rsidR="00324B33"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23 D</w:t>
            </w:r>
            <w:r>
              <w:t>ecember</w:t>
            </w:r>
            <w:r w:rsidRPr="00457D6C">
              <w:t xml:space="preserve"> 2022</w:t>
            </w:r>
          </w:p>
        </w:tc>
        <w:tc>
          <w:tcPr>
            <w:tcW w:w="1795" w:type="pct"/>
          </w:tcPr>
          <w:p w14:paraId="17C650B8" w14:textId="74D401FE" w:rsidR="00324B33"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Unresectable hepatocellular carcinoma</w:t>
            </w:r>
            <w:r>
              <w:t xml:space="preserve"> </w:t>
            </w:r>
            <w:r w:rsidRPr="00457D6C">
              <w:t>(uHCC)</w:t>
            </w:r>
          </w:p>
        </w:tc>
      </w:tr>
      <w:tr w:rsidR="00E173D8" w:rsidRPr="005612CB" w14:paraId="6BC339ED"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00BB1DF" w14:textId="4A355EA9" w:rsidR="00E173D8" w:rsidRPr="00457D6C" w:rsidRDefault="00457D6C" w:rsidP="00457D6C">
            <w:r w:rsidRPr="00457D6C">
              <w:t>Singapore</w:t>
            </w:r>
          </w:p>
        </w:tc>
        <w:tc>
          <w:tcPr>
            <w:tcW w:w="1018" w:type="pct"/>
          </w:tcPr>
          <w:p w14:paraId="1BB393BA" w14:textId="6057A9B6" w:rsidR="00E173D8"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20 A</w:t>
            </w:r>
            <w:r>
              <w:t>pril</w:t>
            </w:r>
            <w:r w:rsidRPr="00457D6C">
              <w:t xml:space="preserve"> 2022</w:t>
            </w:r>
          </w:p>
        </w:tc>
        <w:tc>
          <w:tcPr>
            <w:tcW w:w="1173" w:type="pct"/>
          </w:tcPr>
          <w:p w14:paraId="533706A2" w14:textId="01985E91" w:rsidR="00E173D8"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Under consideration</w:t>
            </w:r>
          </w:p>
        </w:tc>
        <w:tc>
          <w:tcPr>
            <w:tcW w:w="1795" w:type="pct"/>
          </w:tcPr>
          <w:p w14:paraId="01065A4F" w14:textId="43C65C5A" w:rsidR="00E173D8" w:rsidRPr="00457D6C" w:rsidRDefault="00457D6C" w:rsidP="00457D6C">
            <w:pPr>
              <w:cnfStyle w:val="000000000000" w:firstRow="0" w:lastRow="0" w:firstColumn="0" w:lastColumn="0" w:oddVBand="0" w:evenVBand="0" w:oddHBand="0" w:evenHBand="0" w:firstRowFirstColumn="0" w:firstRowLastColumn="0" w:lastRowFirstColumn="0" w:lastRowLastColumn="0"/>
            </w:pPr>
            <w:r w:rsidRPr="00457D6C">
              <w:t>Under consideration</w:t>
            </w:r>
          </w:p>
        </w:tc>
      </w:tr>
    </w:tbl>
    <w:p w14:paraId="064CCADF" w14:textId="77777777" w:rsidR="00324B33" w:rsidRPr="005612CB" w:rsidRDefault="00324B33" w:rsidP="00324B33">
      <w:pPr>
        <w:pStyle w:val="Heading3"/>
      </w:pPr>
      <w:bookmarkStart w:id="35" w:name="_Toc103679292"/>
      <w:bookmarkStart w:id="36" w:name="_Toc152934434"/>
      <w:r w:rsidRPr="005612CB">
        <w:t>Product Information</w:t>
      </w:r>
      <w:bookmarkEnd w:id="35"/>
      <w:bookmarkEnd w:id="36"/>
    </w:p>
    <w:p w14:paraId="4B0F7D57" w14:textId="7D2209DF" w:rsidR="00324B33" w:rsidRPr="005612CB" w:rsidRDefault="00324B33" w:rsidP="00324B33">
      <w:pPr>
        <w:rPr>
          <w:szCs w:val="22"/>
        </w:rPr>
      </w:pPr>
      <w:bookmarkStart w:id="37" w:name="_Toc504480011"/>
      <w:r w:rsidRPr="005612CB">
        <w:rPr>
          <w:szCs w:val="22"/>
        </w:rPr>
        <w:t xml:space="preserve">The </w:t>
      </w:r>
      <w:hyperlink r:id="rId18" w:history="1">
        <w:r w:rsidRPr="005612CB">
          <w:rPr>
            <w:rStyle w:val="Hyperlink"/>
            <w:szCs w:val="22"/>
          </w:rPr>
          <w:t>Product Information</w:t>
        </w:r>
      </w:hyperlink>
      <w:r w:rsidRPr="005612CB">
        <w:rPr>
          <w:szCs w:val="22"/>
        </w:rPr>
        <w:t xml:space="preserve"> (</w:t>
      </w:r>
      <w:hyperlink r:id="rId19" w:history="1">
        <w:r w:rsidRPr="005612CB">
          <w:rPr>
            <w:rStyle w:val="Hyperlink"/>
            <w:szCs w:val="22"/>
          </w:rPr>
          <w:t>PI</w:t>
        </w:r>
      </w:hyperlink>
      <w:r w:rsidRPr="005612CB">
        <w:rPr>
          <w:szCs w:val="22"/>
        </w:rPr>
        <w:t>) approved with the submission which is described in this AusPAR can be found as Attachment 1. For the most recent PI</w:t>
      </w:r>
      <w:r w:rsidR="00A93DC6" w:rsidRPr="005612CB">
        <w:rPr>
          <w:szCs w:val="22"/>
        </w:rPr>
        <w:t xml:space="preserve"> and </w:t>
      </w:r>
      <w:hyperlink r:id="rId20" w:history="1">
        <w:r w:rsidR="00A93DC6" w:rsidRPr="005612CB">
          <w:rPr>
            <w:rStyle w:val="Hyperlink"/>
            <w:szCs w:val="22"/>
          </w:rPr>
          <w:t>Consumer Medicines Information</w:t>
        </w:r>
      </w:hyperlink>
      <w:r w:rsidR="00A93DC6" w:rsidRPr="005612CB">
        <w:rPr>
          <w:szCs w:val="22"/>
        </w:rPr>
        <w:t xml:space="preserve"> (CMI)</w:t>
      </w:r>
      <w:r w:rsidRPr="005612CB">
        <w:rPr>
          <w:szCs w:val="22"/>
        </w:rPr>
        <w:t xml:space="preserve">, please refer to the TGA </w:t>
      </w:r>
      <w:hyperlink r:id="rId21" w:history="1">
        <w:r w:rsidRPr="005612CB">
          <w:rPr>
            <w:rStyle w:val="Hyperlink"/>
            <w:szCs w:val="22"/>
          </w:rPr>
          <w:t>PI/CMI search facility.</w:t>
        </w:r>
      </w:hyperlink>
    </w:p>
    <w:p w14:paraId="6D92589C" w14:textId="77777777" w:rsidR="00324B33" w:rsidRPr="005612CB" w:rsidRDefault="00324B33" w:rsidP="00324B33">
      <w:pPr>
        <w:pStyle w:val="Heading2"/>
      </w:pPr>
      <w:bookmarkStart w:id="38" w:name="_Toc103679293"/>
      <w:bookmarkStart w:id="39" w:name="_Toc152934435"/>
      <w:r w:rsidRPr="005612CB">
        <w:t>Registration timeline</w:t>
      </w:r>
      <w:bookmarkEnd w:id="37"/>
      <w:bookmarkEnd w:id="38"/>
      <w:bookmarkEnd w:id="39"/>
    </w:p>
    <w:p w14:paraId="225E3D87" w14:textId="1F3070CE" w:rsidR="00324B33" w:rsidRPr="005612CB" w:rsidRDefault="00324B33" w:rsidP="00324B33">
      <w:pPr>
        <w:rPr>
          <w:szCs w:val="22"/>
        </w:rPr>
      </w:pPr>
      <w:r w:rsidRPr="005612CB">
        <w:rPr>
          <w:szCs w:val="22"/>
        </w:rPr>
        <w:t>The following table captures the key steps and dates for this submission.</w:t>
      </w:r>
    </w:p>
    <w:p w14:paraId="6BB76942" w14:textId="7596C6B5" w:rsidR="00477C4E" w:rsidRPr="005612CB" w:rsidRDefault="00477C4E" w:rsidP="00324B33">
      <w:pPr>
        <w:rPr>
          <w:szCs w:val="22"/>
        </w:rPr>
      </w:pPr>
      <w:r w:rsidRPr="005612CB">
        <w:rPr>
          <w:szCs w:val="22"/>
        </w:rPr>
        <w:t xml:space="preserve">This submission was evaluated under the </w:t>
      </w:r>
      <w:hyperlink r:id="rId22" w:history="1">
        <w:r w:rsidRPr="005612CB">
          <w:rPr>
            <w:rStyle w:val="Hyperlink"/>
            <w:szCs w:val="22"/>
          </w:rPr>
          <w:t>standard prescription medicines registration process</w:t>
        </w:r>
      </w:hyperlink>
      <w:r w:rsidRPr="005612CB">
        <w:rPr>
          <w:szCs w:val="22"/>
        </w:rPr>
        <w:t>.</w:t>
      </w:r>
    </w:p>
    <w:p w14:paraId="44628C5F" w14:textId="23C95F38" w:rsidR="00324B33" w:rsidRPr="00B15E07" w:rsidRDefault="00324B33" w:rsidP="00B15E07">
      <w:pPr>
        <w:pStyle w:val="TableTitle"/>
      </w:pPr>
      <w:r w:rsidRPr="00B15E07">
        <w:lastRenderedPageBreak/>
        <w:t xml:space="preserve">Table </w:t>
      </w:r>
      <w:fldSimple w:instr=" SEQ Table \* ARABIC ">
        <w:r w:rsidR="00711616">
          <w:rPr>
            <w:noProof/>
          </w:rPr>
          <w:t>2</w:t>
        </w:r>
      </w:fldSimple>
      <w:r w:rsidRPr="00B15E07">
        <w:t xml:space="preserve">: Timeline for Submission </w:t>
      </w:r>
      <w:r w:rsidR="005A3AF6" w:rsidRPr="00B15E07">
        <w:t>PM-2022-01573-1-4</w:t>
      </w:r>
    </w:p>
    <w:tbl>
      <w:tblPr>
        <w:tblStyle w:val="TableTGAblue2023"/>
        <w:tblW w:w="8642" w:type="dxa"/>
        <w:tblLook w:val="04A0" w:firstRow="1" w:lastRow="0" w:firstColumn="1" w:lastColumn="0" w:noHBand="0" w:noVBand="1"/>
      </w:tblPr>
      <w:tblGrid>
        <w:gridCol w:w="5949"/>
        <w:gridCol w:w="2693"/>
      </w:tblGrid>
      <w:tr w:rsidR="00324B33" w:rsidRPr="005612CB" w14:paraId="6C59BE9C" w14:textId="77777777" w:rsidTr="00F66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5612CB" w:rsidRDefault="00324B33" w:rsidP="004E6610">
            <w:r w:rsidRPr="005612CB">
              <w:t>Description</w:t>
            </w:r>
          </w:p>
        </w:tc>
        <w:tc>
          <w:tcPr>
            <w:tcW w:w="2693" w:type="dxa"/>
          </w:tcPr>
          <w:p w14:paraId="79AFDC4B" w14:textId="05792035" w:rsidR="00324B33" w:rsidRPr="005612CB" w:rsidRDefault="00324B33" w:rsidP="004E6610">
            <w:pPr>
              <w:cnfStyle w:val="100000000000" w:firstRow="1" w:lastRow="0" w:firstColumn="0" w:lastColumn="0" w:oddVBand="0" w:evenVBand="0" w:oddHBand="0" w:evenHBand="0" w:firstRowFirstColumn="0" w:firstRowLastColumn="0" w:lastRowFirstColumn="0" w:lastRowLastColumn="0"/>
            </w:pPr>
            <w:r w:rsidRPr="005612CB">
              <w:t>Date</w:t>
            </w:r>
          </w:p>
        </w:tc>
      </w:tr>
      <w:tr w:rsidR="00324B33" w:rsidRPr="005612CB" w14:paraId="23610C53"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324B33" w:rsidRPr="005612CB" w:rsidRDefault="00324B33" w:rsidP="004E6610">
            <w:r w:rsidRPr="005612CB">
              <w:t>Submission dossier accepted and first round evaluation commenced</w:t>
            </w:r>
          </w:p>
        </w:tc>
        <w:tc>
          <w:tcPr>
            <w:tcW w:w="2693" w:type="dxa"/>
          </w:tcPr>
          <w:p w14:paraId="2963D9D8" w14:textId="3969E3E5" w:rsidR="00324B33" w:rsidRPr="005612CB" w:rsidRDefault="005E3809" w:rsidP="004E6610">
            <w:pPr>
              <w:cnfStyle w:val="000000000000" w:firstRow="0" w:lastRow="0" w:firstColumn="0" w:lastColumn="0" w:oddVBand="0" w:evenVBand="0" w:oddHBand="0" w:evenHBand="0" w:firstRowFirstColumn="0" w:firstRowLastColumn="0" w:lastRowFirstColumn="0" w:lastRowLastColumn="0"/>
            </w:pPr>
            <w:r w:rsidRPr="005612CB">
              <w:t>31 May 2022</w:t>
            </w:r>
          </w:p>
        </w:tc>
      </w:tr>
      <w:tr w:rsidR="00324B33" w:rsidRPr="005612CB" w14:paraId="53437815"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324B33" w:rsidRPr="005612CB" w:rsidRDefault="00324B33" w:rsidP="004E6610">
            <w:r w:rsidRPr="005612CB">
              <w:t>First round evaluation completed</w:t>
            </w:r>
          </w:p>
        </w:tc>
        <w:tc>
          <w:tcPr>
            <w:tcW w:w="2693" w:type="dxa"/>
          </w:tcPr>
          <w:p w14:paraId="3CEAFAAB" w14:textId="5877ED01" w:rsidR="00324B33" w:rsidRPr="005612CB" w:rsidRDefault="00D85C67" w:rsidP="00B341E0">
            <w:pPr>
              <w:cnfStyle w:val="000000000000" w:firstRow="0" w:lastRow="0" w:firstColumn="0" w:lastColumn="0" w:oddVBand="0" w:evenVBand="0" w:oddHBand="0" w:evenHBand="0" w:firstRowFirstColumn="0" w:firstRowLastColumn="0" w:lastRowFirstColumn="0" w:lastRowLastColumn="0"/>
            </w:pPr>
            <w:r w:rsidRPr="005612CB">
              <w:t>1 November 2022</w:t>
            </w:r>
          </w:p>
        </w:tc>
      </w:tr>
      <w:tr w:rsidR="00324B33" w:rsidRPr="005612CB" w14:paraId="60DA57CC"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02EA1147" w14:textId="2853A422" w:rsidR="00324B33" w:rsidRPr="005612CB" w:rsidRDefault="00324B33" w:rsidP="004E6610">
            <w:r w:rsidRPr="005612CB">
              <w:t>Sponsor provides responses on questions raised in first round evaluation</w:t>
            </w:r>
          </w:p>
        </w:tc>
        <w:tc>
          <w:tcPr>
            <w:tcW w:w="2693" w:type="dxa"/>
          </w:tcPr>
          <w:p w14:paraId="68A577C1" w14:textId="0960A41C" w:rsidR="00324B33" w:rsidRPr="005612CB" w:rsidRDefault="00A1119D" w:rsidP="004E6610">
            <w:pPr>
              <w:cnfStyle w:val="000000000000" w:firstRow="0" w:lastRow="0" w:firstColumn="0" w:lastColumn="0" w:oddVBand="0" w:evenVBand="0" w:oddHBand="0" w:evenHBand="0" w:firstRowFirstColumn="0" w:firstRowLastColumn="0" w:lastRowFirstColumn="0" w:lastRowLastColumn="0"/>
            </w:pPr>
            <w:r>
              <w:t>30 November 2022</w:t>
            </w:r>
          </w:p>
        </w:tc>
      </w:tr>
      <w:tr w:rsidR="00324B33" w:rsidRPr="005612CB" w14:paraId="767E33A4"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324B33" w:rsidRPr="005612CB" w:rsidRDefault="00324B33" w:rsidP="004E6610">
            <w:r w:rsidRPr="005612CB">
              <w:t>Second round evaluation completed</w:t>
            </w:r>
          </w:p>
        </w:tc>
        <w:tc>
          <w:tcPr>
            <w:tcW w:w="2693" w:type="dxa"/>
          </w:tcPr>
          <w:p w14:paraId="4E47DF62" w14:textId="524F46BC" w:rsidR="00324B33" w:rsidRPr="005612CB" w:rsidRDefault="00D85C67" w:rsidP="004E6610">
            <w:pPr>
              <w:cnfStyle w:val="000000000000" w:firstRow="0" w:lastRow="0" w:firstColumn="0" w:lastColumn="0" w:oddVBand="0" w:evenVBand="0" w:oddHBand="0" w:evenHBand="0" w:firstRowFirstColumn="0" w:firstRowLastColumn="0" w:lastRowFirstColumn="0" w:lastRowLastColumn="0"/>
            </w:pPr>
            <w:r w:rsidRPr="005612CB">
              <w:t>16 January 2023</w:t>
            </w:r>
          </w:p>
        </w:tc>
      </w:tr>
      <w:tr w:rsidR="00324B33" w:rsidRPr="005612CB" w14:paraId="302FCB45"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716E9DC1" w14:textId="32CACFA8" w:rsidR="00324B33" w:rsidRPr="005612CB" w:rsidRDefault="00324B33" w:rsidP="004E6610">
            <w:r w:rsidRPr="005612CB">
              <w:t>Delegate’s Overall benefit-risk assessment and request for Advisory Committee advice</w:t>
            </w:r>
          </w:p>
        </w:tc>
        <w:tc>
          <w:tcPr>
            <w:tcW w:w="2693" w:type="dxa"/>
          </w:tcPr>
          <w:p w14:paraId="3BA6EF79" w14:textId="5C87BB89" w:rsidR="00324B33" w:rsidRPr="005612CB" w:rsidRDefault="00CA4B5F" w:rsidP="004E6610">
            <w:pPr>
              <w:cnfStyle w:val="000000000000" w:firstRow="0" w:lastRow="0" w:firstColumn="0" w:lastColumn="0" w:oddVBand="0" w:evenVBand="0" w:oddHBand="0" w:evenHBand="0" w:firstRowFirstColumn="0" w:firstRowLastColumn="0" w:lastRowFirstColumn="0" w:lastRowLastColumn="0"/>
            </w:pPr>
            <w:r w:rsidRPr="005612CB">
              <w:t>27 February 2023</w:t>
            </w:r>
          </w:p>
        </w:tc>
      </w:tr>
      <w:tr w:rsidR="00324B33" w:rsidRPr="005612CB" w14:paraId="5832EBC8"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720592DE" w14:textId="1F72CD22" w:rsidR="00324B33" w:rsidRPr="005612CB" w:rsidRDefault="00324B33" w:rsidP="004E6610">
            <w:r w:rsidRPr="005612CB">
              <w:t>Sponsor’s pre-Advisory Committee response</w:t>
            </w:r>
          </w:p>
        </w:tc>
        <w:tc>
          <w:tcPr>
            <w:tcW w:w="2693" w:type="dxa"/>
          </w:tcPr>
          <w:p w14:paraId="5AE04841" w14:textId="134883B5" w:rsidR="00324B33" w:rsidRPr="005612CB" w:rsidRDefault="00AF13B1" w:rsidP="004E6610">
            <w:pPr>
              <w:cnfStyle w:val="000000000000" w:firstRow="0" w:lastRow="0" w:firstColumn="0" w:lastColumn="0" w:oddVBand="0" w:evenVBand="0" w:oddHBand="0" w:evenHBand="0" w:firstRowFirstColumn="0" w:firstRowLastColumn="0" w:lastRowFirstColumn="0" w:lastRowLastColumn="0"/>
            </w:pPr>
            <w:r w:rsidRPr="005612CB">
              <w:t>13 March 2023</w:t>
            </w:r>
          </w:p>
        </w:tc>
      </w:tr>
      <w:tr w:rsidR="00324B33" w:rsidRPr="005612CB" w14:paraId="5754F7AC"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5612CB" w:rsidRDefault="00324B33" w:rsidP="004E6610">
            <w:r w:rsidRPr="005612CB">
              <w:t>Advisory Committee meeting</w:t>
            </w:r>
          </w:p>
        </w:tc>
        <w:tc>
          <w:tcPr>
            <w:tcW w:w="2693" w:type="dxa"/>
          </w:tcPr>
          <w:p w14:paraId="5BE1EDE7" w14:textId="62C0BFB2" w:rsidR="00324B33" w:rsidRPr="005612CB" w:rsidRDefault="001D2022" w:rsidP="004E6610">
            <w:pPr>
              <w:cnfStyle w:val="000000000000" w:firstRow="0" w:lastRow="0" w:firstColumn="0" w:lastColumn="0" w:oddVBand="0" w:evenVBand="0" w:oddHBand="0" w:evenHBand="0" w:firstRowFirstColumn="0" w:firstRowLastColumn="0" w:lastRowFirstColumn="0" w:lastRowLastColumn="0"/>
            </w:pPr>
            <w:r w:rsidRPr="005612CB">
              <w:t>30 and 31 March 2023</w:t>
            </w:r>
          </w:p>
        </w:tc>
      </w:tr>
      <w:tr w:rsidR="00D85C67" w:rsidRPr="005612CB" w14:paraId="6E5D32FE"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D85C67" w:rsidRPr="005612CB" w:rsidRDefault="00D85C67" w:rsidP="00D85C67">
            <w:r w:rsidRPr="005612CB">
              <w:t>Registration decision (Outcome)</w:t>
            </w:r>
          </w:p>
        </w:tc>
        <w:tc>
          <w:tcPr>
            <w:tcW w:w="2693" w:type="dxa"/>
          </w:tcPr>
          <w:p w14:paraId="62987ABD" w14:textId="52DF5370" w:rsidR="00D85C67" w:rsidRPr="005612CB" w:rsidRDefault="00D85C67" w:rsidP="00D85C67">
            <w:pPr>
              <w:cnfStyle w:val="000000000000" w:firstRow="0" w:lastRow="0" w:firstColumn="0" w:lastColumn="0" w:oddVBand="0" w:evenVBand="0" w:oddHBand="0" w:evenHBand="0" w:firstRowFirstColumn="0" w:firstRowLastColumn="0" w:lastRowFirstColumn="0" w:lastRowLastColumn="0"/>
            </w:pPr>
            <w:r w:rsidRPr="005612CB">
              <w:t>19 June 2023</w:t>
            </w:r>
          </w:p>
        </w:tc>
      </w:tr>
      <w:tr w:rsidR="00D85C67" w:rsidRPr="005612CB" w14:paraId="6DDCDDA4"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192FD19D" w14:textId="7D5F96C5" w:rsidR="00D85C67" w:rsidRPr="005612CB" w:rsidRDefault="00D85C67" w:rsidP="00D85C67">
            <w:r w:rsidRPr="005612CB">
              <w:t>Administrative activities and registration on the ARTG completed</w:t>
            </w:r>
          </w:p>
        </w:tc>
        <w:tc>
          <w:tcPr>
            <w:tcW w:w="2693" w:type="dxa"/>
          </w:tcPr>
          <w:p w14:paraId="5A8923FD" w14:textId="5C90C421" w:rsidR="00D85C67" w:rsidRPr="005612CB" w:rsidRDefault="00D85C67" w:rsidP="00D85C67">
            <w:pPr>
              <w:cnfStyle w:val="000000000000" w:firstRow="0" w:lastRow="0" w:firstColumn="0" w:lastColumn="0" w:oddVBand="0" w:evenVBand="0" w:oddHBand="0" w:evenHBand="0" w:firstRowFirstColumn="0" w:firstRowLastColumn="0" w:lastRowFirstColumn="0" w:lastRowLastColumn="0"/>
            </w:pPr>
            <w:r w:rsidRPr="005612CB">
              <w:t>20 June 2023</w:t>
            </w:r>
          </w:p>
        </w:tc>
      </w:tr>
      <w:tr w:rsidR="00D85C67" w:rsidRPr="005612CB" w14:paraId="56D922E2" w14:textId="77777777" w:rsidTr="00F664CD">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D85C67" w:rsidRPr="005612CB" w:rsidRDefault="00D85C67" w:rsidP="00D85C67">
            <w:r w:rsidRPr="005612CB">
              <w:t>Number of working days from submission dossier acceptance to registration decision*</w:t>
            </w:r>
          </w:p>
        </w:tc>
        <w:tc>
          <w:tcPr>
            <w:tcW w:w="2693" w:type="dxa"/>
          </w:tcPr>
          <w:p w14:paraId="5BAF9FA1" w14:textId="38408787" w:rsidR="00D85C67" w:rsidRPr="005612CB" w:rsidRDefault="00D85C67" w:rsidP="00D85C67">
            <w:pPr>
              <w:cnfStyle w:val="000000000000" w:firstRow="0" w:lastRow="0" w:firstColumn="0" w:lastColumn="0" w:oddVBand="0" w:evenVBand="0" w:oddHBand="0" w:evenHBand="0" w:firstRowFirstColumn="0" w:firstRowLastColumn="0" w:lastRowFirstColumn="0" w:lastRowLastColumn="0"/>
            </w:pPr>
            <w:r w:rsidRPr="005612CB">
              <w:t>238</w:t>
            </w:r>
          </w:p>
        </w:tc>
      </w:tr>
    </w:tbl>
    <w:p w14:paraId="7B02554C" w14:textId="77777777" w:rsidR="00433318" w:rsidRPr="005612CB" w:rsidRDefault="00433318" w:rsidP="00433318">
      <w:pPr>
        <w:pStyle w:val="TableDescription"/>
      </w:pPr>
      <w:r w:rsidRPr="005612CB">
        <w:t>*Statutory timeframe for standard submissions is 255 working days</w:t>
      </w:r>
    </w:p>
    <w:p w14:paraId="220925F1" w14:textId="77777777" w:rsidR="00C22214" w:rsidRPr="005612CB" w:rsidRDefault="00C22214" w:rsidP="00C22214">
      <w:pPr>
        <w:pStyle w:val="Heading2"/>
      </w:pPr>
      <w:bookmarkStart w:id="40" w:name="_Toc196046504"/>
      <w:bookmarkStart w:id="41" w:name="_Toc247691527"/>
      <w:bookmarkStart w:id="42" w:name="_Toc314842510"/>
      <w:bookmarkStart w:id="43" w:name="_Toc103679294"/>
      <w:bookmarkStart w:id="44" w:name="_Toc152934436"/>
      <w:r w:rsidRPr="005612CB">
        <w:t>Submission overview and risk/benefit assessment</w:t>
      </w:r>
      <w:bookmarkEnd w:id="40"/>
      <w:bookmarkEnd w:id="41"/>
      <w:bookmarkEnd w:id="42"/>
      <w:bookmarkEnd w:id="43"/>
      <w:bookmarkEnd w:id="44"/>
    </w:p>
    <w:p w14:paraId="540151FC" w14:textId="77777777" w:rsidR="00C22214" w:rsidRPr="005612CB" w:rsidRDefault="00C22214" w:rsidP="00BD5DBD">
      <w:pPr>
        <w:rPr>
          <w:szCs w:val="22"/>
        </w:rPr>
      </w:pPr>
      <w:bookmarkStart w:id="45" w:name="_Toc247691528"/>
      <w:bookmarkStart w:id="46" w:name="_Toc314842511"/>
      <w:r w:rsidRPr="005612CB">
        <w:rPr>
          <w:szCs w:val="22"/>
        </w:rPr>
        <w:t>A summary of the TGA’s assessment for this submission is provided below.</w:t>
      </w:r>
    </w:p>
    <w:p w14:paraId="668E3E84" w14:textId="45B79DF3" w:rsidR="007072A1" w:rsidRPr="005612CB" w:rsidRDefault="002B0574" w:rsidP="00966EF1">
      <w:pPr>
        <w:rPr>
          <w:szCs w:val="22"/>
        </w:rPr>
      </w:pPr>
      <w:r w:rsidRPr="005612CB">
        <w:rPr>
          <w:szCs w:val="22"/>
        </w:rPr>
        <w:t xml:space="preserve">The following guideline was referred to by the Delegate as being relevant to this submission: </w:t>
      </w:r>
    </w:p>
    <w:p w14:paraId="6CBB48F7" w14:textId="54D9263A" w:rsidR="00335E84" w:rsidRPr="005612CB" w:rsidRDefault="00335E84" w:rsidP="002B0574">
      <w:pPr>
        <w:pStyle w:val="ListBullet"/>
      </w:pPr>
      <w:r w:rsidRPr="005612CB">
        <w:t>Vogel A</w:t>
      </w:r>
      <w:r w:rsidR="002B0574" w:rsidRPr="005612CB">
        <w:t xml:space="preserve"> and</w:t>
      </w:r>
      <w:r w:rsidRPr="005612CB">
        <w:t xml:space="preserve"> Martinelli E, on behalf of the ESMO Guidelines Committee. Updated treatment recommendations for hepatocellular carcinoma (HCC) from the ESMO Clinical Practice Guidelines. </w:t>
      </w:r>
      <w:r w:rsidRPr="005612CB">
        <w:rPr>
          <w:i/>
          <w:iCs/>
        </w:rPr>
        <w:t>Ann Oncol</w:t>
      </w:r>
      <w:r w:rsidRPr="005612CB">
        <w:t xml:space="preserve"> 2021;32(6):801-</w:t>
      </w:r>
      <w:r w:rsidR="002B0574" w:rsidRPr="005612CB">
        <w:t>80</w:t>
      </w:r>
      <w:r w:rsidRPr="005612CB">
        <w:t>5.</w:t>
      </w:r>
    </w:p>
    <w:p w14:paraId="37F5A1C0" w14:textId="77777777" w:rsidR="00C22214" w:rsidRPr="005612CB" w:rsidRDefault="00C22214" w:rsidP="00C22214">
      <w:pPr>
        <w:pStyle w:val="Heading3"/>
      </w:pPr>
      <w:bookmarkStart w:id="47" w:name="_Toc103679295"/>
      <w:bookmarkStart w:id="48" w:name="_Toc152934437"/>
      <w:r w:rsidRPr="005612CB">
        <w:t>Quality</w:t>
      </w:r>
      <w:bookmarkEnd w:id="45"/>
      <w:bookmarkEnd w:id="46"/>
      <w:bookmarkEnd w:id="47"/>
      <w:bookmarkEnd w:id="48"/>
    </w:p>
    <w:p w14:paraId="29A3BB75" w14:textId="56B1D010" w:rsidR="00A01C56" w:rsidRPr="005612CB" w:rsidRDefault="00637F0E" w:rsidP="00637F0E">
      <w:pPr>
        <w:rPr>
          <w:szCs w:val="22"/>
        </w:rPr>
      </w:pPr>
      <w:r w:rsidRPr="005612CB">
        <w:rPr>
          <w:szCs w:val="22"/>
        </w:rPr>
        <w:t>Quality evaluation is not required for this submission as there are no proposed changes to the quality of the currently approved product in Australia.</w:t>
      </w:r>
      <w:r w:rsidR="00C816C6" w:rsidRPr="005612CB">
        <w:rPr>
          <w:szCs w:val="22"/>
        </w:rPr>
        <w:t xml:space="preserve"> The quality of the currently approved product is suitable for the proposed changes in this submission.</w:t>
      </w:r>
      <w:r w:rsidRPr="005612CB">
        <w:rPr>
          <w:szCs w:val="22"/>
        </w:rPr>
        <w:t xml:space="preserve"> A full quality evaluation was conducted at the time this product received initial registration</w:t>
      </w:r>
      <w:r w:rsidR="00BF7507" w:rsidRPr="005612CB">
        <w:rPr>
          <w:szCs w:val="22"/>
        </w:rPr>
        <w:t>.</w:t>
      </w:r>
    </w:p>
    <w:p w14:paraId="2BE90AAE" w14:textId="77777777" w:rsidR="00C22214" w:rsidRPr="005612CB" w:rsidRDefault="00C22214" w:rsidP="00C22214">
      <w:pPr>
        <w:pStyle w:val="Heading3"/>
      </w:pPr>
      <w:bookmarkStart w:id="49" w:name="_Toc314842512"/>
      <w:bookmarkStart w:id="50" w:name="_Toc103679296"/>
      <w:bookmarkStart w:id="51" w:name="_Toc152934438"/>
      <w:r w:rsidRPr="005612CB">
        <w:t>Nonclinical</w:t>
      </w:r>
      <w:bookmarkEnd w:id="49"/>
      <w:bookmarkEnd w:id="50"/>
      <w:bookmarkEnd w:id="51"/>
    </w:p>
    <w:p w14:paraId="15C51A23" w14:textId="53611289" w:rsidR="008804CF" w:rsidRPr="005612CB" w:rsidRDefault="008804CF" w:rsidP="008804CF">
      <w:pPr>
        <w:rPr>
          <w:b/>
          <w:bCs/>
          <w:szCs w:val="22"/>
        </w:rPr>
      </w:pPr>
      <w:bookmarkStart w:id="52" w:name="_Toc247691530"/>
      <w:bookmarkStart w:id="53" w:name="_Toc314842513"/>
      <w:bookmarkStart w:id="54" w:name="_Toc103679297"/>
      <w:r w:rsidRPr="005612CB">
        <w:rPr>
          <w:szCs w:val="22"/>
        </w:rPr>
        <w:t>No new nonclinical data or further nonclinical evaluation were required for this submission.</w:t>
      </w:r>
      <w:r w:rsidR="008C754C" w:rsidRPr="005612CB">
        <w:rPr>
          <w:szCs w:val="22"/>
        </w:rPr>
        <w:t xml:space="preserve"> </w:t>
      </w:r>
      <w:r w:rsidRPr="005612CB">
        <w:rPr>
          <w:szCs w:val="22"/>
        </w:rPr>
        <w:t>The TGA considers that previously submitted and evaluated data satisfactorily address nonclinical aspects of safety/efficacy relating to this submission</w:t>
      </w:r>
      <w:r w:rsidR="00F865A7" w:rsidRPr="005612CB">
        <w:rPr>
          <w:szCs w:val="22"/>
        </w:rPr>
        <w:t>.</w:t>
      </w:r>
    </w:p>
    <w:p w14:paraId="35B580A5" w14:textId="69B9BE44" w:rsidR="00C22214" w:rsidRPr="005612CB" w:rsidRDefault="00C22214" w:rsidP="008804CF">
      <w:pPr>
        <w:pStyle w:val="Heading3"/>
      </w:pPr>
      <w:bookmarkStart w:id="55" w:name="_Toc152934439"/>
      <w:r w:rsidRPr="005612CB">
        <w:lastRenderedPageBreak/>
        <w:t>Clinical</w:t>
      </w:r>
      <w:bookmarkEnd w:id="52"/>
      <w:bookmarkEnd w:id="53"/>
      <w:bookmarkEnd w:id="54"/>
      <w:bookmarkEnd w:id="55"/>
    </w:p>
    <w:p w14:paraId="32B0DEDA" w14:textId="77777777" w:rsidR="00C22214" w:rsidRPr="005612CB" w:rsidRDefault="00C22214" w:rsidP="00433318">
      <w:pPr>
        <w:pStyle w:val="Heading4"/>
      </w:pPr>
      <w:bookmarkStart w:id="56" w:name="_Toc98931928"/>
      <w:bookmarkStart w:id="57" w:name="_Toc152934440"/>
      <w:r w:rsidRPr="005612CB">
        <w:t>Summary of clinical studies</w:t>
      </w:r>
      <w:bookmarkEnd w:id="56"/>
      <w:bookmarkEnd w:id="57"/>
    </w:p>
    <w:p w14:paraId="331DC552" w14:textId="77777777" w:rsidR="00C45A69" w:rsidRPr="005612CB" w:rsidRDefault="00C22214" w:rsidP="00C22214">
      <w:pPr>
        <w:rPr>
          <w:szCs w:val="22"/>
        </w:rPr>
      </w:pPr>
      <w:r w:rsidRPr="005612CB">
        <w:rPr>
          <w:szCs w:val="22"/>
        </w:rPr>
        <w:t>The clinical dossier consisted of</w:t>
      </w:r>
      <w:r w:rsidR="007357B9" w:rsidRPr="005612CB">
        <w:rPr>
          <w:szCs w:val="22"/>
        </w:rPr>
        <w:t>:</w:t>
      </w:r>
    </w:p>
    <w:p w14:paraId="629C7366" w14:textId="11A19675" w:rsidR="005274B7" w:rsidRPr="005612CB" w:rsidRDefault="00E90DF4" w:rsidP="00E90DF4">
      <w:pPr>
        <w:pStyle w:val="ListBullet"/>
      </w:pPr>
      <w:r w:rsidRPr="005612CB">
        <w:t xml:space="preserve">One </w:t>
      </w:r>
      <w:r w:rsidR="00FB07AB" w:rsidRPr="005612CB">
        <w:t>Phase I/II</w:t>
      </w:r>
      <w:r w:rsidRPr="005612CB">
        <w:t xml:space="preserve"> supportive study</w:t>
      </w:r>
      <w:r w:rsidR="00FB07AB" w:rsidRPr="005612CB">
        <w:t xml:space="preserve">: </w:t>
      </w:r>
      <w:r w:rsidR="000F660F" w:rsidRPr="005612CB">
        <w:t xml:space="preserve">Study D4190C00022 (also known as </w:t>
      </w:r>
      <w:r w:rsidR="00FB07AB" w:rsidRPr="005612CB">
        <w:t>Study 22</w:t>
      </w:r>
      <w:r w:rsidR="000F660F" w:rsidRPr="005612CB">
        <w:t>)</w:t>
      </w:r>
    </w:p>
    <w:p w14:paraId="581A1E9B" w14:textId="394F454D" w:rsidR="00FB07AB" w:rsidRPr="005612CB" w:rsidRDefault="00E90DF4" w:rsidP="00E90DF4">
      <w:pPr>
        <w:pStyle w:val="ListBullet"/>
      </w:pPr>
      <w:r w:rsidRPr="005612CB">
        <w:t xml:space="preserve">One </w:t>
      </w:r>
      <w:r w:rsidR="00FB07AB" w:rsidRPr="005612CB">
        <w:t>Phase III</w:t>
      </w:r>
      <w:r w:rsidRPr="005612CB">
        <w:t xml:space="preserve"> pivotal study: Study</w:t>
      </w:r>
      <w:r w:rsidR="00FB07AB" w:rsidRPr="005612CB">
        <w:t xml:space="preserve"> D419CC00002 (</w:t>
      </w:r>
      <w:r w:rsidR="000F660F" w:rsidRPr="005612CB">
        <w:t xml:space="preserve">also known as the </w:t>
      </w:r>
      <w:r w:rsidR="00FB07AB" w:rsidRPr="005612CB">
        <w:t>HIMALAYA</w:t>
      </w:r>
      <w:r w:rsidR="000F660F" w:rsidRPr="005612CB">
        <w:t xml:space="preserve"> trial</w:t>
      </w:r>
      <w:r w:rsidR="00FB07AB" w:rsidRPr="005612CB">
        <w:t>)</w:t>
      </w:r>
    </w:p>
    <w:p w14:paraId="3B4BCFCB" w14:textId="06D82A5A" w:rsidR="00421223" w:rsidRPr="005612CB" w:rsidRDefault="00421223" w:rsidP="00BF7507">
      <w:r w:rsidRPr="005612CB">
        <w:t xml:space="preserve">Since Imfinzi and Imjudo are proposed to be used in combination for the proposed uHCC indication, the two </w:t>
      </w:r>
      <w:r w:rsidR="000F660F" w:rsidRPr="005612CB">
        <w:t xml:space="preserve">Submissions </w:t>
      </w:r>
      <w:r w:rsidRPr="005612CB">
        <w:t xml:space="preserve">PM-2022-01573-1-4 and PM-2022-01514-1-4 are related and share the same </w:t>
      </w:r>
      <w:r w:rsidR="000F660F" w:rsidRPr="005612CB">
        <w:t xml:space="preserve">clinical </w:t>
      </w:r>
      <w:r w:rsidRPr="005612CB">
        <w:t>supporting data.</w:t>
      </w:r>
      <w:r w:rsidR="004B5242" w:rsidRPr="005612CB">
        <w:t xml:space="preserve"> For further details regarding the HIMALAYA trial and Study 22, please refer to AusPAR for Submission PM-2022-01514-1-4.</w:t>
      </w:r>
    </w:p>
    <w:p w14:paraId="7AC3C9B2" w14:textId="7F084E0A" w:rsidR="00421223" w:rsidRPr="005612CB" w:rsidRDefault="00421223" w:rsidP="007A2E0F">
      <w:pPr>
        <w:pStyle w:val="Heading4"/>
      </w:pPr>
      <w:bookmarkStart w:id="58" w:name="_Toc152934441"/>
      <w:r w:rsidRPr="005612CB">
        <w:t>Pharmacology</w:t>
      </w:r>
      <w:bookmarkEnd w:id="58"/>
    </w:p>
    <w:p w14:paraId="441DB876" w14:textId="4BAC0A4A" w:rsidR="00421223" w:rsidRPr="005612CB" w:rsidRDefault="00421223" w:rsidP="00BF7507">
      <w:r w:rsidRPr="005612CB">
        <w:t>Durvalumab is a fully human, high affinity, IgG1</w:t>
      </w:r>
      <w:r w:rsidR="008831E9" w:rsidRPr="005612CB">
        <w:t xml:space="preserve"> kappa </w:t>
      </w:r>
      <w:r w:rsidRPr="005612CB">
        <w:t>monoclonal antibody that blocks the interaction of PD-L1 with PD-1 and CD80.</w:t>
      </w:r>
    </w:p>
    <w:p w14:paraId="433A5804" w14:textId="64DA0550" w:rsidR="00421223" w:rsidRPr="005612CB" w:rsidRDefault="00114181" w:rsidP="007A2E0F">
      <w:pPr>
        <w:pStyle w:val="Heading5"/>
      </w:pPr>
      <w:r w:rsidRPr="005612CB">
        <w:t>Pharmacokinetics</w:t>
      </w:r>
    </w:p>
    <w:p w14:paraId="304F606E" w14:textId="49DF81FA" w:rsidR="00421223" w:rsidRPr="005612CB" w:rsidRDefault="009003CC" w:rsidP="007A2E0F">
      <w:pPr>
        <w:pStyle w:val="Heading6"/>
        <w:rPr>
          <w:lang w:eastAsia="ja-JP"/>
        </w:rPr>
      </w:pPr>
      <w:r w:rsidRPr="005612CB">
        <w:rPr>
          <w:lang w:eastAsia="ja-JP"/>
        </w:rPr>
        <w:t xml:space="preserve">Absorption, distribution, </w:t>
      </w:r>
      <w:proofErr w:type="gramStart"/>
      <w:r w:rsidRPr="005612CB">
        <w:rPr>
          <w:lang w:eastAsia="ja-JP"/>
        </w:rPr>
        <w:t>metabolism</w:t>
      </w:r>
      <w:proofErr w:type="gramEnd"/>
      <w:r w:rsidRPr="005612CB">
        <w:rPr>
          <w:lang w:eastAsia="ja-JP"/>
        </w:rPr>
        <w:t xml:space="preserve"> and excretion</w:t>
      </w:r>
    </w:p>
    <w:p w14:paraId="703320AB" w14:textId="60003C6D" w:rsidR="00421223" w:rsidRPr="005612CB" w:rsidRDefault="00A83354" w:rsidP="003611D0">
      <w:pPr>
        <w:pStyle w:val="ListBullet"/>
      </w:pPr>
      <w:r w:rsidRPr="005612CB">
        <w:t>Imfinzi</w:t>
      </w:r>
      <w:r w:rsidR="00421223" w:rsidRPr="005612CB">
        <w:t xml:space="preserve"> (50 mg/mL) aqueous solution is to be administered via </w:t>
      </w:r>
      <w:r w:rsidR="00A042D1" w:rsidRPr="005612CB">
        <w:t xml:space="preserve">intravenous </w:t>
      </w:r>
      <w:r w:rsidR="00421223" w:rsidRPr="005612CB">
        <w:t>infusion.</w:t>
      </w:r>
    </w:p>
    <w:p w14:paraId="74792F9D" w14:textId="45D54158" w:rsidR="00421223" w:rsidRPr="005612CB" w:rsidRDefault="00421223" w:rsidP="003611D0">
      <w:pPr>
        <w:pStyle w:val="ListBullet"/>
      </w:pPr>
      <w:r w:rsidRPr="005612CB">
        <w:t xml:space="preserve">In patients with advanced HCC, following </w:t>
      </w:r>
      <w:r w:rsidR="00A042D1" w:rsidRPr="005612CB">
        <w:t>intravenous</w:t>
      </w:r>
      <w:r w:rsidRPr="005612CB">
        <w:t xml:space="preserve"> infusion of 20 mg/kg durvalumab </w:t>
      </w:r>
      <w:r w:rsidR="00A74E24" w:rsidRPr="005612CB">
        <w:t>once every 4 weeks</w:t>
      </w:r>
      <w:r w:rsidRPr="005612CB">
        <w:t xml:space="preserve">, no durvalumab accumulation, in terms of </w:t>
      </w:r>
      <w:r w:rsidR="003D1AD0" w:rsidRPr="005612CB">
        <w:t>maximum serum concentration (</w:t>
      </w:r>
      <w:r w:rsidRPr="005612CB">
        <w:t>C</w:t>
      </w:r>
      <w:r w:rsidRPr="005612CB">
        <w:rPr>
          <w:vertAlign w:val="subscript"/>
        </w:rPr>
        <w:t>max</w:t>
      </w:r>
      <w:r w:rsidR="003D1AD0" w:rsidRPr="005612CB">
        <w:t>)</w:t>
      </w:r>
      <w:r w:rsidRPr="005612CB">
        <w:t xml:space="preserve"> and </w:t>
      </w:r>
      <w:r w:rsidR="007F7786" w:rsidRPr="005612CB">
        <w:t>trough serum concentration (</w:t>
      </w:r>
      <w:proofErr w:type="spellStart"/>
      <w:r w:rsidRPr="005612CB">
        <w:t>C</w:t>
      </w:r>
      <w:r w:rsidRPr="005612CB">
        <w:rPr>
          <w:vertAlign w:val="subscript"/>
        </w:rPr>
        <w:t>trough</w:t>
      </w:r>
      <w:proofErr w:type="spellEnd"/>
      <w:r w:rsidR="007F7786" w:rsidRPr="005612CB">
        <w:t>)</w:t>
      </w:r>
      <w:r w:rsidRPr="005612CB">
        <w:t xml:space="preserve">, was observed. By contrast, following 1500 mg </w:t>
      </w:r>
      <w:r w:rsidR="00A74E24" w:rsidRPr="005612CB">
        <w:t>once every 4 weeks</w:t>
      </w:r>
      <w:r w:rsidRPr="005612CB">
        <w:t xml:space="preserve">, durvalumab accumulation was identified and the accumulation ratios for </w:t>
      </w:r>
      <w:proofErr w:type="spellStart"/>
      <w:r w:rsidRPr="005612CB">
        <w:t>C</w:t>
      </w:r>
      <w:r w:rsidRPr="005612CB">
        <w:rPr>
          <w:vertAlign w:val="subscript"/>
        </w:rPr>
        <w:t>max</w:t>
      </w:r>
      <w:proofErr w:type="spellEnd"/>
      <w:r w:rsidRPr="005612CB">
        <w:t xml:space="preserve"> and </w:t>
      </w:r>
      <w:proofErr w:type="spellStart"/>
      <w:r w:rsidRPr="005612CB">
        <w:t>C</w:t>
      </w:r>
      <w:r w:rsidRPr="005612CB">
        <w:rPr>
          <w:vertAlign w:val="subscript"/>
        </w:rPr>
        <w:t>trough</w:t>
      </w:r>
      <w:proofErr w:type="spellEnd"/>
      <w:r w:rsidRPr="005612CB">
        <w:t xml:space="preserve"> were 1.42 and 1.54, respectively.</w:t>
      </w:r>
    </w:p>
    <w:p w14:paraId="68247EA9" w14:textId="697B96D3" w:rsidR="00421223" w:rsidRPr="005612CB" w:rsidRDefault="00E81EA9" w:rsidP="003611D0">
      <w:pPr>
        <w:pStyle w:val="ListBullet"/>
      </w:pPr>
      <w:r w:rsidRPr="005612CB">
        <w:t>Central volume of distribution (</w:t>
      </w:r>
      <w:r w:rsidR="00421223" w:rsidRPr="005612CB">
        <w:t>V1</w:t>
      </w:r>
      <w:r w:rsidRPr="005612CB">
        <w:t>)</w:t>
      </w:r>
      <w:r w:rsidR="00421223" w:rsidRPr="005612CB">
        <w:t xml:space="preserve"> and </w:t>
      </w:r>
      <w:r w:rsidRPr="005612CB">
        <w:t>peripheral volume of distribution (</w:t>
      </w:r>
      <w:r w:rsidR="00421223" w:rsidRPr="005612CB">
        <w:t>V2</w:t>
      </w:r>
      <w:r w:rsidRPr="005612CB">
        <w:t>)</w:t>
      </w:r>
      <w:r w:rsidR="00421223" w:rsidRPr="005612CB">
        <w:t xml:space="preserve"> for durvalumab were 3.45 L and 2.13 L, respectively.</w:t>
      </w:r>
    </w:p>
    <w:p w14:paraId="5B1C177F" w14:textId="77E7E0A3" w:rsidR="00421223" w:rsidRPr="005612CB" w:rsidRDefault="00421223" w:rsidP="003611D0">
      <w:pPr>
        <w:pStyle w:val="ListBullet"/>
      </w:pPr>
      <w:r w:rsidRPr="005612CB">
        <w:t xml:space="preserve">Durvalumab is not primarily cleared via hepatic or renal pathways; instead, the primary elimination pathways of </w:t>
      </w:r>
      <w:r w:rsidR="00DB1BC5" w:rsidRPr="005612CB">
        <w:t xml:space="preserve">durvalumab </w:t>
      </w:r>
      <w:r w:rsidRPr="005612CB">
        <w:t xml:space="preserve">are protein catabolism via </w:t>
      </w:r>
      <w:r w:rsidR="00DA377E" w:rsidRPr="005612CB">
        <w:t>reticuloendothelial system</w:t>
      </w:r>
      <w:r w:rsidRPr="005612CB">
        <w:t xml:space="preserve"> or target mediated disposition.</w:t>
      </w:r>
    </w:p>
    <w:p w14:paraId="5FBE57E0" w14:textId="419F2370" w:rsidR="00421223" w:rsidRPr="005612CB" w:rsidRDefault="00421223" w:rsidP="003611D0">
      <w:pPr>
        <w:pStyle w:val="ListBullet"/>
      </w:pPr>
      <w:r w:rsidRPr="005612CB">
        <w:t xml:space="preserve">Durvalumab </w:t>
      </w:r>
      <w:r w:rsidR="000C159F" w:rsidRPr="005612CB">
        <w:t xml:space="preserve">clearance </w:t>
      </w:r>
      <w:r w:rsidRPr="005612CB">
        <w:t>is estimated to be low (0.277 L/day).</w:t>
      </w:r>
    </w:p>
    <w:p w14:paraId="243E0611" w14:textId="1C366831" w:rsidR="00421223" w:rsidRPr="005612CB" w:rsidRDefault="00421223" w:rsidP="007A2E0F">
      <w:pPr>
        <w:pStyle w:val="Heading6"/>
        <w:rPr>
          <w:rFonts w:eastAsia="TimesNewRoman"/>
        </w:rPr>
      </w:pPr>
      <w:r w:rsidRPr="005612CB">
        <w:rPr>
          <w:rFonts w:eastAsia="TimesNewRoman"/>
        </w:rPr>
        <w:t xml:space="preserve">Inter-subject </w:t>
      </w:r>
      <w:r w:rsidR="003611D0" w:rsidRPr="005612CB">
        <w:rPr>
          <w:rFonts w:eastAsia="TimesNewRoman"/>
        </w:rPr>
        <w:t>v</w:t>
      </w:r>
      <w:r w:rsidRPr="005612CB">
        <w:rPr>
          <w:rFonts w:eastAsia="TimesNewRoman"/>
        </w:rPr>
        <w:t>ariability</w:t>
      </w:r>
    </w:p>
    <w:p w14:paraId="7A7B7DE8" w14:textId="063567EC" w:rsidR="00421223" w:rsidRPr="005612CB" w:rsidRDefault="00421223" w:rsidP="00BF7507">
      <w:r w:rsidRPr="005612CB">
        <w:t xml:space="preserve">The </w:t>
      </w:r>
      <w:r w:rsidR="00D97DBC" w:rsidRPr="005612CB">
        <w:t xml:space="preserve">inter-subject variability </w:t>
      </w:r>
      <w:r w:rsidRPr="005612CB">
        <w:t xml:space="preserve">on durvalumab </w:t>
      </w:r>
      <w:r w:rsidR="000C159F" w:rsidRPr="005612CB">
        <w:t>clearance</w:t>
      </w:r>
      <w:r w:rsidRPr="005612CB">
        <w:t xml:space="preserve"> and V1 were 0.09 L/day and 0.052 L, respectively. The proportional and additive components of the associated residual variability were 0.25 and 4.28, respectively.</w:t>
      </w:r>
    </w:p>
    <w:p w14:paraId="6E9A3546" w14:textId="77777777" w:rsidR="00421223" w:rsidRPr="005612CB" w:rsidRDefault="00421223" w:rsidP="007A2E0F">
      <w:pPr>
        <w:pStyle w:val="Heading6"/>
      </w:pPr>
      <w:r w:rsidRPr="005612CB">
        <w:t>Special populations</w:t>
      </w:r>
    </w:p>
    <w:p w14:paraId="2CFAB258" w14:textId="415D88B9" w:rsidR="00421223" w:rsidRPr="005612CB" w:rsidRDefault="000D0F5D" w:rsidP="00BF7507">
      <w:r w:rsidRPr="005612CB">
        <w:t xml:space="preserve">Population </w:t>
      </w:r>
      <w:r w:rsidR="00BE1E0A" w:rsidRPr="005612CB">
        <w:t xml:space="preserve">pharmacokinetic </w:t>
      </w:r>
      <w:r w:rsidRPr="005612CB">
        <w:t>(</w:t>
      </w:r>
      <w:r w:rsidR="00421223" w:rsidRPr="005612CB">
        <w:t>PK</w:t>
      </w:r>
      <w:r w:rsidRPr="005612CB">
        <w:t>)</w:t>
      </w:r>
      <w:r w:rsidR="00421223" w:rsidRPr="005612CB">
        <w:t xml:space="preserve"> analysis indicated that tumour type, gender, body weight, </w:t>
      </w:r>
      <w:r w:rsidR="00DC45BC" w:rsidRPr="005612CB">
        <w:t>serum albumin, creatinine clearance, lactate dehydrogenase</w:t>
      </w:r>
      <w:r w:rsidR="00421223" w:rsidRPr="005612CB">
        <w:t xml:space="preserve">, age (&lt;65 years, between 65 and 75 years, &gt;75 years), renal and hepatic function (normal, mild, moderate), race, region, </w:t>
      </w:r>
      <w:r w:rsidR="00DC45BC" w:rsidRPr="005612CB">
        <w:t>anti-drug antibody (</w:t>
      </w:r>
      <w:r w:rsidR="00421223" w:rsidRPr="005612CB">
        <w:t>ADA</w:t>
      </w:r>
      <w:r w:rsidR="00DC45BC" w:rsidRPr="005612CB">
        <w:t>)</w:t>
      </w:r>
      <w:r w:rsidR="00421223" w:rsidRPr="005612CB">
        <w:t xml:space="preserve"> and ECOG </w:t>
      </w:r>
      <w:r w:rsidR="00AB5D75" w:rsidRPr="005612CB">
        <w:t>PS</w:t>
      </w:r>
      <w:r w:rsidR="00421223" w:rsidRPr="005612CB">
        <w:t xml:space="preserve"> are unlikely to affect durvalumab exposure to any clinically significant extent.</w:t>
      </w:r>
    </w:p>
    <w:p w14:paraId="2898B3CF" w14:textId="7F356DB7" w:rsidR="00421223" w:rsidRPr="005612CB" w:rsidRDefault="00DC45BC" w:rsidP="007A2E0F">
      <w:pPr>
        <w:pStyle w:val="Heading6"/>
      </w:pPr>
      <w:r w:rsidRPr="005612CB">
        <w:lastRenderedPageBreak/>
        <w:t>Population pharmacokinetics</w:t>
      </w:r>
    </w:p>
    <w:p w14:paraId="6F1C263F" w14:textId="634E9C5E" w:rsidR="00C45A69" w:rsidRPr="005612CB" w:rsidRDefault="00421223" w:rsidP="00BF7507">
      <w:r w:rsidRPr="005612CB">
        <w:t>The updated analysis indicated that durvalumab PK data could be described by a 2-compartment model with time-dependent elimination.</w:t>
      </w:r>
    </w:p>
    <w:p w14:paraId="24EA8D67" w14:textId="3AD02E55" w:rsidR="00421223" w:rsidRPr="005612CB" w:rsidRDefault="00A9445E" w:rsidP="007A2E0F">
      <w:pPr>
        <w:pStyle w:val="Heading6"/>
      </w:pPr>
      <w:r w:rsidRPr="005612CB">
        <w:t>Drug-drug interactions</w:t>
      </w:r>
    </w:p>
    <w:p w14:paraId="553F76A4" w14:textId="0441E95E" w:rsidR="00421223" w:rsidRPr="005612CB" w:rsidRDefault="00421223" w:rsidP="00BF7507">
      <w:r w:rsidRPr="005612CB">
        <w:t xml:space="preserve">No formal </w:t>
      </w:r>
      <w:r w:rsidR="00A9445E" w:rsidRPr="005612CB">
        <w:t xml:space="preserve">drug-drug interaction </w:t>
      </w:r>
      <w:r w:rsidRPr="005612CB">
        <w:t xml:space="preserve">studies have been conducted with durvalumab. However, adverse </w:t>
      </w:r>
      <w:r w:rsidR="00A9445E" w:rsidRPr="005612CB">
        <w:t xml:space="preserve">drug-drug interactions </w:t>
      </w:r>
      <w:r w:rsidRPr="005612CB">
        <w:t>between durvalumab and other therapeutics is not anticipated given its clearance pathways. In addition, no interactions between durvalumab and etoposide and carboplatin, cisplatin or tremelimumab has been identified.</w:t>
      </w:r>
    </w:p>
    <w:p w14:paraId="7EB763B1" w14:textId="77777777" w:rsidR="00421223" w:rsidRPr="005612CB" w:rsidRDefault="00421223" w:rsidP="00BF7507">
      <w:r w:rsidRPr="005612CB">
        <w:t>Although the PK data provided is limited, the proposed PI generally appears to accurately reflect this information.</w:t>
      </w:r>
    </w:p>
    <w:p w14:paraId="135FC79D" w14:textId="1AC929B4" w:rsidR="00421223" w:rsidRPr="005612CB" w:rsidRDefault="00985CAF" w:rsidP="007A2E0F">
      <w:pPr>
        <w:pStyle w:val="Heading5"/>
        <w:rPr>
          <w:rFonts w:eastAsia="TimesNewRoman" w:cs="Calibri"/>
        </w:rPr>
      </w:pPr>
      <w:r w:rsidRPr="005612CB">
        <w:t>Pharmacodynamics</w:t>
      </w:r>
    </w:p>
    <w:p w14:paraId="5C798E20" w14:textId="35B86BFA" w:rsidR="00421223" w:rsidRPr="005612CB" w:rsidRDefault="00421223" w:rsidP="007A2E0F">
      <w:pPr>
        <w:pStyle w:val="Heading6"/>
        <w:rPr>
          <w:lang w:eastAsia="ja-JP"/>
        </w:rPr>
      </w:pPr>
      <w:r w:rsidRPr="005612CB">
        <w:rPr>
          <w:lang w:eastAsia="ja-JP"/>
        </w:rPr>
        <w:t xml:space="preserve">Primary </w:t>
      </w:r>
      <w:r w:rsidR="00985CAF" w:rsidRPr="005612CB">
        <w:rPr>
          <w:lang w:eastAsia="ja-JP"/>
        </w:rPr>
        <w:t>pharmacodynamics</w:t>
      </w:r>
    </w:p>
    <w:p w14:paraId="56B08158" w14:textId="59716BB5" w:rsidR="00C45A69" w:rsidRPr="005612CB" w:rsidRDefault="00421223" w:rsidP="00BF7507">
      <w:r w:rsidRPr="005612CB">
        <w:t>Substantial and consistent increases in CD4+Ki67+T</w:t>
      </w:r>
      <w:r w:rsidR="00985CAF" w:rsidRPr="005612CB">
        <w:t>-</w:t>
      </w:r>
      <w:r w:rsidRPr="005612CB">
        <w:t>cells were observed following treatment with T75+D, T300+D</w:t>
      </w:r>
      <w:r w:rsidR="0089789E" w:rsidRPr="005612CB">
        <w:rPr>
          <w:rStyle w:val="FootnoteReference"/>
        </w:rPr>
        <w:footnoteReference w:id="27"/>
      </w:r>
      <w:r w:rsidRPr="005612CB">
        <w:t xml:space="preserve"> or </w:t>
      </w:r>
      <w:r w:rsidR="008C18F4" w:rsidRPr="005612CB">
        <w:t xml:space="preserve">tremelimumab </w:t>
      </w:r>
      <w:r w:rsidRPr="005612CB">
        <w:t xml:space="preserve">750 mg </w:t>
      </w:r>
      <w:r w:rsidR="00A74E24" w:rsidRPr="005612CB">
        <w:t>once every 4 weeks</w:t>
      </w:r>
      <w:r w:rsidRPr="005612CB">
        <w:t xml:space="preserve"> monotherapy that were associated with increasing tremelimumab dose.</w:t>
      </w:r>
    </w:p>
    <w:p w14:paraId="5E2EA927" w14:textId="4B447CB1" w:rsidR="00421223" w:rsidRPr="005612CB" w:rsidRDefault="00421223" w:rsidP="00BF7507">
      <w:r w:rsidRPr="005612CB">
        <w:t xml:space="preserve">Patients receiving T300+D or </w:t>
      </w:r>
      <w:r w:rsidR="008C18F4" w:rsidRPr="005612CB">
        <w:t xml:space="preserve">tremelimumab </w:t>
      </w:r>
      <w:r w:rsidRPr="005612CB">
        <w:t>monotherapy exhibited the highest elevations in CD8+Ki67+T</w:t>
      </w:r>
      <w:r w:rsidR="001E2B68" w:rsidRPr="005612CB">
        <w:t>-</w:t>
      </w:r>
      <w:r w:rsidRPr="005612CB">
        <w:t xml:space="preserve">cells that correspond with </w:t>
      </w:r>
      <w:r w:rsidR="009023F2" w:rsidRPr="005612CB">
        <w:t>complete response</w:t>
      </w:r>
      <w:r w:rsidRPr="005612CB">
        <w:t xml:space="preserve"> or </w:t>
      </w:r>
      <w:r w:rsidR="00044B41" w:rsidRPr="005612CB">
        <w:t>partial response</w:t>
      </w:r>
      <w:r w:rsidRPr="005612CB">
        <w:t>.</w:t>
      </w:r>
    </w:p>
    <w:p w14:paraId="3F1C367A" w14:textId="7DE739F9" w:rsidR="00421223" w:rsidRPr="005612CB" w:rsidRDefault="00421223" w:rsidP="007A2E0F">
      <w:pPr>
        <w:pStyle w:val="Heading6"/>
        <w:rPr>
          <w:lang w:eastAsia="ja-JP"/>
        </w:rPr>
      </w:pPr>
      <w:r w:rsidRPr="005612CB">
        <w:rPr>
          <w:lang w:eastAsia="ja-JP"/>
        </w:rPr>
        <w:t xml:space="preserve">Secondary </w:t>
      </w:r>
      <w:r w:rsidR="00985CAF" w:rsidRPr="005612CB">
        <w:rPr>
          <w:lang w:eastAsia="ja-JP"/>
        </w:rPr>
        <w:t>pharmacodynamics</w:t>
      </w:r>
    </w:p>
    <w:p w14:paraId="619264D1" w14:textId="433C887A" w:rsidR="00C45A69" w:rsidRPr="005612CB" w:rsidRDefault="00421223" w:rsidP="00BF7507">
      <w:r w:rsidRPr="005612CB">
        <w:t xml:space="preserve">Following durvalumab administration to patients with uHCC, the number of treatment-emergent ADA-positive patients was low; ADA titres were also low as was the number of patients developing </w:t>
      </w:r>
      <w:r w:rsidR="000744EF" w:rsidRPr="005612CB">
        <w:t xml:space="preserve">neutralising antibodies </w:t>
      </w:r>
      <w:r w:rsidRPr="005612CB">
        <w:t>for durvalumab.</w:t>
      </w:r>
    </w:p>
    <w:p w14:paraId="3FE2D186" w14:textId="0444E1AD" w:rsidR="00421223" w:rsidRPr="005612CB" w:rsidRDefault="00421223" w:rsidP="007A2E0F">
      <w:pPr>
        <w:pStyle w:val="Heading6"/>
        <w:rPr>
          <w:lang w:eastAsia="ja-JP"/>
        </w:rPr>
      </w:pPr>
      <w:r w:rsidRPr="005612CB">
        <w:rPr>
          <w:lang w:eastAsia="ja-JP"/>
        </w:rPr>
        <w:t>Exposure-response</w:t>
      </w:r>
    </w:p>
    <w:p w14:paraId="7B8CD3CC" w14:textId="77777777" w:rsidR="00421223" w:rsidRPr="005612CB" w:rsidRDefault="00421223" w:rsidP="00BF7507">
      <w:r w:rsidRPr="005612CB">
        <w:t>There were no relationships between simulated durvalumab exposure metrics and OS or PFS.</w:t>
      </w:r>
    </w:p>
    <w:p w14:paraId="64A63C4F" w14:textId="06256745" w:rsidR="00421223" w:rsidRPr="005612CB" w:rsidRDefault="00421223" w:rsidP="00BF7507">
      <w:r w:rsidRPr="005612CB">
        <w:t xml:space="preserve">There were no relationships between simulated durvalumab exposure and &gt;Grade 3 drug-related AEs, &gt;Grade 3 drug-related </w:t>
      </w:r>
      <w:r w:rsidR="00367DB5" w:rsidRPr="005612CB">
        <w:t>adverse events of special interest (</w:t>
      </w:r>
      <w:r w:rsidRPr="005612CB">
        <w:t>AESIs</w:t>
      </w:r>
      <w:r w:rsidR="00367DB5" w:rsidRPr="005612CB">
        <w:t>)</w:t>
      </w:r>
      <w:r w:rsidRPr="005612CB">
        <w:t xml:space="preserve"> or AEs leading to durvalumab discontinuation.</w:t>
      </w:r>
    </w:p>
    <w:p w14:paraId="58647EA3" w14:textId="77777777" w:rsidR="00421223" w:rsidRPr="005612CB" w:rsidRDefault="00421223" w:rsidP="007A2E0F">
      <w:pPr>
        <w:pStyle w:val="Heading4"/>
      </w:pPr>
      <w:bookmarkStart w:id="59" w:name="_Toc152934442"/>
      <w:r w:rsidRPr="005612CB">
        <w:t>Efficacy</w:t>
      </w:r>
      <w:bookmarkEnd w:id="59"/>
    </w:p>
    <w:p w14:paraId="225B0830" w14:textId="446F9E1C" w:rsidR="00421223" w:rsidRPr="005612CB" w:rsidRDefault="00421223" w:rsidP="00BF7507">
      <w:r w:rsidRPr="005612CB">
        <w:t xml:space="preserve">The pivotal data for efficacy come from Study D419CC00002 </w:t>
      </w:r>
      <w:r w:rsidR="00127CD7" w:rsidRPr="005612CB">
        <w:t>(</w:t>
      </w:r>
      <w:r w:rsidRPr="005612CB">
        <w:t>HIMALAYA</w:t>
      </w:r>
      <w:r w:rsidR="00127CD7" w:rsidRPr="005612CB">
        <w:t xml:space="preserve"> trial)</w:t>
      </w:r>
      <w:r w:rsidR="00EC3741" w:rsidRPr="005612CB">
        <w:t>, a</w:t>
      </w:r>
      <w:r w:rsidRPr="005612CB">
        <w:t xml:space="preserve"> </w:t>
      </w:r>
      <w:r w:rsidR="00EC3741" w:rsidRPr="005612CB">
        <w:t>r</w:t>
      </w:r>
      <w:r w:rsidRPr="005612CB">
        <w:t>andomi</w:t>
      </w:r>
      <w:r w:rsidR="00EC3741" w:rsidRPr="005612CB">
        <w:t>s</w:t>
      </w:r>
      <w:r w:rsidRPr="005612CB">
        <w:t xml:space="preserve">ed, </w:t>
      </w:r>
      <w:r w:rsidR="00036ED6" w:rsidRPr="005612CB">
        <w:t xml:space="preserve">open-label, multi-centre </w:t>
      </w:r>
      <w:r w:rsidRPr="005612CB">
        <w:t xml:space="preserve">Phase III </w:t>
      </w:r>
      <w:r w:rsidR="00036ED6" w:rsidRPr="005612CB">
        <w:t xml:space="preserve">study of durvalumab and tremelimumab as first-line treatment in patients with advanced </w:t>
      </w:r>
      <w:r w:rsidR="00D51210" w:rsidRPr="005612CB">
        <w:t>HCC</w:t>
      </w:r>
      <w:r w:rsidRPr="005612CB">
        <w:t>.</w:t>
      </w:r>
    </w:p>
    <w:p w14:paraId="1955CC2B" w14:textId="650D1B30" w:rsidR="00421223" w:rsidRPr="005612CB" w:rsidRDefault="00421223" w:rsidP="00BF7507">
      <w:r w:rsidRPr="005612CB">
        <w:t xml:space="preserve">The </w:t>
      </w:r>
      <w:r w:rsidR="00036ED6" w:rsidRPr="005612CB">
        <w:t xml:space="preserve">Delegate </w:t>
      </w:r>
      <w:r w:rsidRPr="005612CB">
        <w:t>also notes the publication</w:t>
      </w:r>
      <w:r w:rsidR="00C067BA" w:rsidRPr="005612CB">
        <w:t xml:space="preserve"> by</w:t>
      </w:r>
      <w:r w:rsidRPr="005612CB">
        <w:t xml:space="preserve"> Abou-Alfa </w:t>
      </w:r>
      <w:r w:rsidR="00C067BA" w:rsidRPr="005612CB">
        <w:t>et al. (2022).</w:t>
      </w:r>
      <w:r w:rsidR="00C067BA" w:rsidRPr="005612CB">
        <w:rPr>
          <w:rStyle w:val="FootnoteReference"/>
        </w:rPr>
        <w:footnoteReference w:id="28"/>
      </w:r>
    </w:p>
    <w:p w14:paraId="38510FB2" w14:textId="7BC31A82" w:rsidR="00421223" w:rsidRPr="005612CB" w:rsidRDefault="00421223" w:rsidP="00BF7507">
      <w:r w:rsidRPr="005612CB">
        <w:t xml:space="preserve">Supportive data was provided from D4190C00022 </w:t>
      </w:r>
      <w:r w:rsidR="00036ED6" w:rsidRPr="005612CB">
        <w:t>(</w:t>
      </w:r>
      <w:r w:rsidRPr="005612CB">
        <w:t>Study 22</w:t>
      </w:r>
      <w:r w:rsidR="00036ED6" w:rsidRPr="005612CB">
        <w:t>)</w:t>
      </w:r>
      <w:r w:rsidR="00B95BB5" w:rsidRPr="005612CB">
        <w:t xml:space="preserve">, a study of safety, tolerability, and clinical activity of durvalumab and tremelimumab administered as monotherapy, or durvalumab in combination with tremelimumab or bevacizumab in subjects with advanced </w:t>
      </w:r>
      <w:r w:rsidR="00D51210" w:rsidRPr="005612CB">
        <w:t>HCC.</w:t>
      </w:r>
    </w:p>
    <w:p w14:paraId="2FAC15EC" w14:textId="77777777" w:rsidR="00421223" w:rsidRPr="005612CB" w:rsidRDefault="00421223" w:rsidP="00BF7507">
      <w:pPr>
        <w:pStyle w:val="Heading5"/>
      </w:pPr>
      <w:r w:rsidRPr="005612CB">
        <w:lastRenderedPageBreak/>
        <w:t>Summary of clinical efficacy</w:t>
      </w:r>
    </w:p>
    <w:p w14:paraId="77D1CE88" w14:textId="701DB9E4" w:rsidR="00421223" w:rsidRPr="005612CB" w:rsidRDefault="00421223" w:rsidP="00421223">
      <w:pPr>
        <w:spacing w:line="240" w:lineRule="auto"/>
        <w:rPr>
          <w:lang w:val="en-US"/>
        </w:rPr>
      </w:pPr>
      <w:r w:rsidRPr="005612CB">
        <w:rPr>
          <w:lang w:val="en-US"/>
        </w:rPr>
        <w:t>The clinical evaluat</w:t>
      </w:r>
      <w:r w:rsidR="00D902D0" w:rsidRPr="005612CB">
        <w:rPr>
          <w:lang w:val="en-US"/>
        </w:rPr>
        <w:t>ion</w:t>
      </w:r>
      <w:r w:rsidRPr="005612CB">
        <w:rPr>
          <w:lang w:val="en-US"/>
        </w:rPr>
        <w:t xml:space="preserve">’s main findings are </w:t>
      </w:r>
      <w:proofErr w:type="spellStart"/>
      <w:r w:rsidRPr="005612CB">
        <w:rPr>
          <w:lang w:val="en-US"/>
        </w:rPr>
        <w:t>summari</w:t>
      </w:r>
      <w:r w:rsidR="00EC3741" w:rsidRPr="005612CB">
        <w:rPr>
          <w:lang w:val="en-US"/>
        </w:rPr>
        <w:t>s</w:t>
      </w:r>
      <w:r w:rsidRPr="005612CB">
        <w:rPr>
          <w:lang w:val="en-US"/>
        </w:rPr>
        <w:t>ed</w:t>
      </w:r>
      <w:proofErr w:type="spellEnd"/>
      <w:r w:rsidRPr="005612CB">
        <w:rPr>
          <w:lang w:val="en-US"/>
        </w:rPr>
        <w:t xml:space="preserve"> as follows:</w:t>
      </w:r>
    </w:p>
    <w:p w14:paraId="46ED2267" w14:textId="2AECE3B6" w:rsidR="00421223" w:rsidRPr="005612CB" w:rsidRDefault="00421223" w:rsidP="006016DD">
      <w:pPr>
        <w:pStyle w:val="ListBullet"/>
      </w:pPr>
      <w:r w:rsidRPr="005612CB">
        <w:t xml:space="preserve">The main evidence of efficacy of proposed T300+D regimen was provided by the Phase III pivotal multi-centre HIMALAYA </w:t>
      </w:r>
      <w:r w:rsidR="00311F6B" w:rsidRPr="005612CB">
        <w:t>trial</w:t>
      </w:r>
      <w:r w:rsidRPr="005612CB">
        <w:t xml:space="preserve"> conducted in 1</w:t>
      </w:r>
      <w:r w:rsidR="00311F6B" w:rsidRPr="005612CB">
        <w:t>,</w:t>
      </w:r>
      <w:r w:rsidRPr="005612CB">
        <w:t>302 patients with unresectable HCC who had not received prior systemic therapy.</w:t>
      </w:r>
      <w:r w:rsidR="00C45A69" w:rsidRPr="005612CB">
        <w:t xml:space="preserve"> </w:t>
      </w:r>
      <w:r w:rsidRPr="005612CB">
        <w:t xml:space="preserve">The primary endpoint was OS; key secondary endpoints included PFS, investigator-assessed </w:t>
      </w:r>
      <w:r w:rsidR="0083428B" w:rsidRPr="005612CB">
        <w:t>objective response rate (</w:t>
      </w:r>
      <w:r w:rsidRPr="005612CB">
        <w:t>ORR</w:t>
      </w:r>
      <w:r w:rsidR="0083428B" w:rsidRPr="005612CB">
        <w:t>)</w:t>
      </w:r>
      <w:r w:rsidRPr="005612CB">
        <w:t xml:space="preserve"> and </w:t>
      </w:r>
      <w:r w:rsidR="00DA4056" w:rsidRPr="005612CB">
        <w:t>duration of response</w:t>
      </w:r>
      <w:r w:rsidRPr="005612CB">
        <w:t xml:space="preserve"> per </w:t>
      </w:r>
      <w:r w:rsidR="006016DD" w:rsidRPr="005612CB">
        <w:t xml:space="preserve">Response Evaluation Criteria </w:t>
      </w:r>
      <w:proofErr w:type="gramStart"/>
      <w:r w:rsidR="006016DD" w:rsidRPr="005612CB">
        <w:t>In</w:t>
      </w:r>
      <w:proofErr w:type="gramEnd"/>
      <w:r w:rsidR="006016DD" w:rsidRPr="005612CB">
        <w:t xml:space="preserve"> Solid Tumours (RECIST) version 1.1</w:t>
      </w:r>
      <w:r w:rsidR="006016DD" w:rsidRPr="005612CB">
        <w:rPr>
          <w:rStyle w:val="FootnoteReference"/>
        </w:rPr>
        <w:footnoteReference w:id="29"/>
      </w:r>
      <w:r w:rsidR="00C45A69" w:rsidRPr="005612CB">
        <w:t xml:space="preserve"> </w:t>
      </w:r>
      <w:r w:rsidR="00F03356" w:rsidRPr="005612CB">
        <w:t xml:space="preserve">blinded independent central review (BICR) </w:t>
      </w:r>
      <w:r w:rsidRPr="005612CB">
        <w:t>analyses were also performed.</w:t>
      </w:r>
    </w:p>
    <w:p w14:paraId="124DB1F2" w14:textId="6C369D80" w:rsidR="00421223" w:rsidRPr="005612CB" w:rsidRDefault="00421223" w:rsidP="00BF7507">
      <w:pPr>
        <w:pStyle w:val="ListBullet"/>
      </w:pPr>
      <w:r w:rsidRPr="005612CB">
        <w:t>The patient population recruited to the study comprised of a diverse, representative population of patients with unresectable HCC who had not received prior systemic therapy. Only patients with Child-Pugh A disease were selected for this study</w:t>
      </w:r>
      <w:r w:rsidR="00311F6B" w:rsidRPr="005612CB">
        <w:t>.</w:t>
      </w:r>
    </w:p>
    <w:p w14:paraId="5F13055C" w14:textId="1774187C" w:rsidR="00C45A69" w:rsidRPr="005612CB" w:rsidRDefault="00421223" w:rsidP="00BF7507">
      <w:pPr>
        <w:pStyle w:val="ListBullet"/>
      </w:pPr>
      <w:r w:rsidRPr="005612CB">
        <w:t>Majority of patients were male (83.7%), aged &lt;65 years (50.4%), Asian (50.7%)</w:t>
      </w:r>
      <w:r w:rsidR="008777A4" w:rsidRPr="005612CB">
        <w:t xml:space="preserve">, </w:t>
      </w:r>
      <w:r w:rsidRPr="005612CB">
        <w:t xml:space="preserve">white (44.6%), African American (1.7%), other (2.3%), </w:t>
      </w:r>
      <w:r w:rsidR="007A1720" w:rsidRPr="005612CB">
        <w:t xml:space="preserve">Barcelona </w:t>
      </w:r>
      <w:r w:rsidR="000A017A" w:rsidRPr="005612CB">
        <w:t>clinic liver cancer (</w:t>
      </w:r>
      <w:r w:rsidRPr="005612CB">
        <w:t>BCLC</w:t>
      </w:r>
      <w:r w:rsidR="000A017A" w:rsidRPr="005612CB">
        <w:t>)</w:t>
      </w:r>
      <w:r w:rsidR="00110B6A" w:rsidRPr="005612CB">
        <w:rPr>
          <w:rStyle w:val="FootnoteReference"/>
        </w:rPr>
        <w:footnoteReference w:id="30"/>
      </w:r>
      <w:r w:rsidRPr="005612CB">
        <w:t xml:space="preserve"> Stage C (80.8%), ECOG PS 0 (62.6%); Child-Pugh Class score A (99.5%), macrovascular invasion (25.2%), extrahepatic spread (53.4%), viral etiology; hepatitis B (30.6%), hepatitis C (27.2%), uninfected (42.2%).</w:t>
      </w:r>
    </w:p>
    <w:p w14:paraId="0C788845" w14:textId="6A73AD5F" w:rsidR="00421223" w:rsidRPr="005612CB" w:rsidRDefault="00421223" w:rsidP="00BF7507">
      <w:pPr>
        <w:pStyle w:val="ListBullet"/>
      </w:pPr>
      <w:r w:rsidRPr="005612CB">
        <w:t>Baseline demographics and disease characteristics were generally balanced across treatment groups.</w:t>
      </w:r>
      <w:r w:rsidR="00C45A69" w:rsidRPr="005612CB">
        <w:t xml:space="preserve"> </w:t>
      </w:r>
      <w:r w:rsidRPr="005612CB">
        <w:t>Patients with oesophageal varices were included except those with active or prior documented GI bleeding within 12 months prior to study entry; a total of 93</w:t>
      </w:r>
      <w:r w:rsidR="00B057E4" w:rsidRPr="005612CB">
        <w:t> </w:t>
      </w:r>
      <w:r w:rsidRPr="005612CB">
        <w:t>patients (7%) with history of oesophageal varices were included in the study with similar incidence across treatment groups.</w:t>
      </w:r>
    </w:p>
    <w:p w14:paraId="071063A3" w14:textId="61840BB7" w:rsidR="00421223" w:rsidRPr="005612CB" w:rsidRDefault="00421223" w:rsidP="00BF7507">
      <w:pPr>
        <w:pStyle w:val="ListBullet"/>
      </w:pPr>
      <w:r w:rsidRPr="005612CB">
        <w:t xml:space="preserve">Supportive evidence of efficacy was provided by the uncontrolled, open-label, Phase I/II </w:t>
      </w:r>
      <w:r w:rsidR="00A30E0E" w:rsidRPr="005612CB">
        <w:t xml:space="preserve">Study </w:t>
      </w:r>
      <w:r w:rsidRPr="005612CB">
        <w:t>22 which was also the first study conducted by sponsor to evaluate dual immune checkpoint blockade with durvalumab and tremelimumab in HCC. Primary outcome measures in Study 22 were related to safety, and OS was a secondary endpoint. Most patients in this study had received prior treatment with sorafenib</w:t>
      </w:r>
      <w:r w:rsidR="00A30E0E" w:rsidRPr="005612CB">
        <w:t xml:space="preserve"> or </w:t>
      </w:r>
      <w:r w:rsidRPr="005612CB">
        <w:t xml:space="preserve">other </w:t>
      </w:r>
      <w:r w:rsidR="00587225" w:rsidRPr="005612CB">
        <w:t>vascular endothelial growth factor (</w:t>
      </w:r>
      <w:r w:rsidRPr="005612CB">
        <w:t>VEGF</w:t>
      </w:r>
      <w:r w:rsidR="00587225" w:rsidRPr="005612CB">
        <w:t>)</w:t>
      </w:r>
      <w:r w:rsidRPr="005612CB">
        <w:t xml:space="preserve"> inhibitors</w:t>
      </w:r>
      <w:r w:rsidR="00587225" w:rsidRPr="005612CB">
        <w:t>.</w:t>
      </w:r>
    </w:p>
    <w:p w14:paraId="7A47CAC4" w14:textId="3E779DED" w:rsidR="00421223" w:rsidRPr="005612CB" w:rsidRDefault="00421223" w:rsidP="00BF7507">
      <w:pPr>
        <w:pStyle w:val="ListBullet"/>
      </w:pPr>
      <w:r w:rsidRPr="005612CB">
        <w:t xml:space="preserve">The main efficacy results from HIMALAYA </w:t>
      </w:r>
      <w:r w:rsidR="00E871B6" w:rsidRPr="005612CB">
        <w:t xml:space="preserve">trial </w:t>
      </w:r>
      <w:r w:rsidRPr="005612CB">
        <w:t xml:space="preserve">and </w:t>
      </w:r>
      <w:r w:rsidR="00E871B6" w:rsidRPr="005612CB">
        <w:t>S</w:t>
      </w:r>
      <w:r w:rsidRPr="005612CB">
        <w:t>tudy 22 are summari</w:t>
      </w:r>
      <w:r w:rsidR="00EC3741" w:rsidRPr="005612CB">
        <w:t>s</w:t>
      </w:r>
      <w:r w:rsidRPr="005612CB">
        <w:t xml:space="preserve">ed in </w:t>
      </w:r>
      <w:r w:rsidR="00E25578" w:rsidRPr="005612CB">
        <w:fldChar w:fldCharType="begin"/>
      </w:r>
      <w:r w:rsidR="00E25578" w:rsidRPr="005612CB">
        <w:instrText xml:space="preserve"> REF _Ref150785320 \h </w:instrText>
      </w:r>
      <w:r w:rsidR="003E7027" w:rsidRPr="005612CB">
        <w:instrText xml:space="preserve"> \* MERGEFORMAT </w:instrText>
      </w:r>
      <w:r w:rsidR="00E25578" w:rsidRPr="005612CB">
        <w:fldChar w:fldCharType="separate"/>
      </w:r>
      <w:r w:rsidR="00711616" w:rsidRPr="00B15E07">
        <w:t xml:space="preserve">Table </w:t>
      </w:r>
      <w:r w:rsidR="00711616">
        <w:t>3</w:t>
      </w:r>
      <w:r w:rsidR="00E25578" w:rsidRPr="005612CB">
        <w:fldChar w:fldCharType="end"/>
      </w:r>
      <w:r w:rsidR="00E25578" w:rsidRPr="005612CB">
        <w:t xml:space="preserve"> below.</w:t>
      </w:r>
    </w:p>
    <w:p w14:paraId="07E3DE1C" w14:textId="3BB064BA" w:rsidR="004E4A96" w:rsidRPr="00B15E07" w:rsidRDefault="004E4A96" w:rsidP="00B15E07">
      <w:pPr>
        <w:pStyle w:val="TableTitle"/>
      </w:pPr>
      <w:bookmarkStart w:id="60" w:name="_Ref150785320"/>
      <w:r w:rsidRPr="00B15E07">
        <w:lastRenderedPageBreak/>
        <w:t xml:space="preserve">Table </w:t>
      </w:r>
      <w:fldSimple w:instr=" SEQ Table \* ARABIC ">
        <w:r w:rsidR="00711616">
          <w:rPr>
            <w:noProof/>
          </w:rPr>
          <w:t>3</w:t>
        </w:r>
      </w:fldSimple>
      <w:bookmarkEnd w:id="60"/>
      <w:r w:rsidRPr="00B15E07">
        <w:t xml:space="preserve">: </w:t>
      </w:r>
      <w:r w:rsidR="00E25578" w:rsidRPr="00B15E07">
        <w:t xml:space="preserve">Study D419CC00002 (HIMALAYA trial) </w:t>
      </w:r>
      <w:r w:rsidRPr="00B15E07">
        <w:t>Summary of efficacy results for the proposed indication (</w:t>
      </w:r>
      <w:r w:rsidR="00E25578" w:rsidRPr="00B15E07">
        <w:t>full analysis set,</w:t>
      </w:r>
      <w:r w:rsidRPr="00B15E07">
        <w:t xml:space="preserve"> final analysis)</w:t>
      </w:r>
    </w:p>
    <w:p w14:paraId="4B48EB98" w14:textId="5972CF06" w:rsidR="005E60CB" w:rsidRPr="005612CB" w:rsidRDefault="005E60CB" w:rsidP="004E4A96">
      <w:r w:rsidRPr="005612CB">
        <w:rPr>
          <w:noProof/>
        </w:rPr>
        <w:drawing>
          <wp:inline distT="0" distB="0" distL="0" distR="0" wp14:anchorId="247D0155" wp14:editId="289140CE">
            <wp:extent cx="5759450" cy="6169025"/>
            <wp:effectExtent l="19050" t="19050" r="12700" b="22225"/>
            <wp:docPr id="2" name="Picture 2" descr="Table 3: Study D419CC00002 (HIMALAYA trial) Summary of efficacy results for the proposed indication (full analysis se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3: Study D419CC00002 (HIMALAYA trial) Summary of efficacy results for the proposed indication (full analysis set, final analysis)"/>
                    <pic:cNvPicPr/>
                  </pic:nvPicPr>
                  <pic:blipFill>
                    <a:blip r:embed="rId23"/>
                    <a:stretch>
                      <a:fillRect/>
                    </a:stretch>
                  </pic:blipFill>
                  <pic:spPr>
                    <a:xfrm>
                      <a:off x="0" y="0"/>
                      <a:ext cx="5759450" cy="6169025"/>
                    </a:xfrm>
                    <a:prstGeom prst="rect">
                      <a:avLst/>
                    </a:prstGeom>
                    <a:ln>
                      <a:solidFill>
                        <a:schemeClr val="tx1"/>
                      </a:solidFill>
                    </a:ln>
                  </pic:spPr>
                </pic:pic>
              </a:graphicData>
            </a:graphic>
          </wp:inline>
        </w:drawing>
      </w:r>
    </w:p>
    <w:p w14:paraId="2F3AB7F7" w14:textId="55A7AA84" w:rsidR="00421223" w:rsidRPr="005612CB" w:rsidRDefault="00E25578" w:rsidP="00421223">
      <w:pPr>
        <w:spacing w:line="240" w:lineRule="auto"/>
        <w:rPr>
          <w:rFonts w:eastAsia="TimesNewRoman" w:cs="TimesNewRoman"/>
          <w:lang w:val="en-US"/>
        </w:rPr>
      </w:pPr>
      <w:r w:rsidRPr="005612CB">
        <w:rPr>
          <w:noProof/>
        </w:rPr>
        <w:drawing>
          <wp:inline distT="0" distB="0" distL="0" distR="0" wp14:anchorId="1C457CD2" wp14:editId="4F56BCAA">
            <wp:extent cx="5759450" cy="1310005"/>
            <wp:effectExtent l="0" t="0" r="0" b="4445"/>
            <wp:docPr id="1" name="Picture 1" descr="Table 3: Study D419CC00002 (HIMALAYA trial) Summary of efficacy results for the proposed indication (full analysis se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3: Study D419CC00002 (HIMALAYA trial) Summary of efficacy results for the proposed indication (full analysis set, final analysis)"/>
                    <pic:cNvPicPr/>
                  </pic:nvPicPr>
                  <pic:blipFill>
                    <a:blip r:embed="rId24"/>
                    <a:stretch>
                      <a:fillRect/>
                    </a:stretch>
                  </pic:blipFill>
                  <pic:spPr>
                    <a:xfrm>
                      <a:off x="0" y="0"/>
                      <a:ext cx="5759450" cy="1310005"/>
                    </a:xfrm>
                    <a:prstGeom prst="rect">
                      <a:avLst/>
                    </a:prstGeom>
                  </pic:spPr>
                </pic:pic>
              </a:graphicData>
            </a:graphic>
          </wp:inline>
        </w:drawing>
      </w:r>
    </w:p>
    <w:p w14:paraId="59B2F12D" w14:textId="7E881D95" w:rsidR="00421223" w:rsidRPr="005612CB" w:rsidRDefault="00421223" w:rsidP="00BF7507">
      <w:pPr>
        <w:pStyle w:val="ListBullet"/>
      </w:pPr>
      <w:r w:rsidRPr="005612CB">
        <w:t xml:space="preserve">HIMALAYA </w:t>
      </w:r>
      <w:r w:rsidR="00E25578" w:rsidRPr="005612CB">
        <w:t>trial</w:t>
      </w:r>
      <w:r w:rsidRPr="005612CB">
        <w:t xml:space="preserve"> met its primary objective as treatment with T300+D resulted in a statistically significant and clinically meaningful 22% improvement in OS compared to sorafenib (</w:t>
      </w:r>
      <w:r w:rsidR="00AC42DE" w:rsidRPr="005612CB">
        <w:t>h</w:t>
      </w:r>
      <w:r w:rsidR="00DE05E9" w:rsidRPr="005612CB">
        <w:t xml:space="preserve">azard ratio </w:t>
      </w:r>
      <w:r w:rsidR="00AC42DE" w:rsidRPr="005612CB">
        <w:t>(</w:t>
      </w:r>
      <w:r w:rsidRPr="005612CB">
        <w:t>HR</w:t>
      </w:r>
      <w:r w:rsidR="00AC42DE" w:rsidRPr="005612CB">
        <w:t>)</w:t>
      </w:r>
      <w:r w:rsidRPr="005612CB">
        <w:t xml:space="preserve"> = 0.78; 96.02% </w:t>
      </w:r>
      <w:r w:rsidR="00B5286A" w:rsidRPr="005612CB">
        <w:t>confidence interval (</w:t>
      </w:r>
      <w:r w:rsidRPr="005612CB">
        <w:t>CI</w:t>
      </w:r>
      <w:r w:rsidR="00B5286A" w:rsidRPr="005612CB">
        <w:t>)</w:t>
      </w:r>
      <w:r w:rsidRPr="005612CB">
        <w:t xml:space="preserve">: 0.65, 0.93; p = 0.0035). The </w:t>
      </w:r>
      <w:r w:rsidR="000967AE" w:rsidRPr="005612CB">
        <w:t>Kaplan-Meier</w:t>
      </w:r>
      <w:r w:rsidRPr="005612CB">
        <w:t xml:space="preserve"> estimate of median OS was 16.43 months in the T300+D arm, which was approximately 2.7 months longer than the median OS in the sorafenib arm (13.77 months).</w:t>
      </w:r>
    </w:p>
    <w:p w14:paraId="40DB32F9" w14:textId="77777777" w:rsidR="00421223" w:rsidRPr="005612CB" w:rsidRDefault="00421223" w:rsidP="00BF7507">
      <w:pPr>
        <w:pStyle w:val="ListBullet"/>
      </w:pPr>
      <w:r w:rsidRPr="005612CB">
        <w:lastRenderedPageBreak/>
        <w:t>The OS benefit in the T300+D arm was sustained over time supported by the greater proportion of patients treated with T300+D that were alive at 12, 18, 24, and 36 months compared to patients treated with sorafenib.</w:t>
      </w:r>
    </w:p>
    <w:p w14:paraId="343F5C50" w14:textId="4677F854" w:rsidR="00421223" w:rsidRPr="005612CB" w:rsidRDefault="000967AE" w:rsidP="00BF7507">
      <w:pPr>
        <w:pStyle w:val="ListBullet"/>
      </w:pPr>
      <w:r w:rsidRPr="005612CB">
        <w:t xml:space="preserve">The </w:t>
      </w:r>
      <w:r w:rsidR="00421223" w:rsidRPr="005612CB">
        <w:t xml:space="preserve">HIMALAYA </w:t>
      </w:r>
      <w:r w:rsidRPr="005612CB">
        <w:t>trial</w:t>
      </w:r>
      <w:r w:rsidR="00421223" w:rsidRPr="005612CB">
        <w:t xml:space="preserve"> met its key secondary objective: Durvalumab monotherapy was noninferior to sorafenib in terms of OS (HR = 0.86; 95.67% CI: 0.73, 1.03; p &lt; 0.0674), as the upper limit of the 95.67% CI for the HR was lower than the 1.08 </w:t>
      </w:r>
      <w:r w:rsidR="00F15723" w:rsidRPr="005612CB">
        <w:t>non</w:t>
      </w:r>
      <w:r w:rsidR="0043669C" w:rsidRPr="005612CB">
        <w:t>-</w:t>
      </w:r>
      <w:r w:rsidR="00F15723" w:rsidRPr="005612CB">
        <w:t xml:space="preserve">inferiority </w:t>
      </w:r>
      <w:r w:rsidR="00421223" w:rsidRPr="005612CB">
        <w:t>margin. However, OS superiority for</w:t>
      </w:r>
      <w:r w:rsidR="00476155" w:rsidRPr="005612CB">
        <w:t xml:space="preserve"> durvalumab </w:t>
      </w:r>
      <w:r w:rsidR="007C2A4C" w:rsidRPr="005612CB">
        <w:t xml:space="preserve">versus sorafenib </w:t>
      </w:r>
      <w:r w:rsidR="00421223" w:rsidRPr="005612CB">
        <w:t>was not achieved.</w:t>
      </w:r>
    </w:p>
    <w:p w14:paraId="7DC54B71" w14:textId="5CA30897" w:rsidR="00421223" w:rsidRPr="005612CB" w:rsidRDefault="00421223" w:rsidP="00BF7507">
      <w:pPr>
        <w:pStyle w:val="ListBullet"/>
      </w:pPr>
      <w:r w:rsidRPr="005612CB">
        <w:t xml:space="preserve">Results of the sensitivity analyses and subgroup analyses of OS for T300+D </w:t>
      </w:r>
      <w:r w:rsidR="007C2A4C" w:rsidRPr="005612CB">
        <w:t xml:space="preserve">versus sorafenib </w:t>
      </w:r>
      <w:r w:rsidRPr="005612CB">
        <w:t>and</w:t>
      </w:r>
      <w:r w:rsidR="00E76304" w:rsidRPr="005612CB">
        <w:t xml:space="preserve"> durvalumab </w:t>
      </w:r>
      <w:r w:rsidR="007C2A4C" w:rsidRPr="005612CB">
        <w:t xml:space="preserve">versus sorafenib </w:t>
      </w:r>
      <w:r w:rsidRPr="005612CB">
        <w:t xml:space="preserve">comparisons were consistent with those of the primary OS analyses </w:t>
      </w:r>
      <w:proofErr w:type="gramStart"/>
      <w:r w:rsidRPr="005612CB">
        <w:t>with the exception of</w:t>
      </w:r>
      <w:proofErr w:type="gramEnd"/>
      <w:r w:rsidRPr="005612CB">
        <w:t xml:space="preserve"> reduced efficacy in the female and HCV-positive subgroups for both comparisons. However, the study was not sized for individual subgroup evaluation and no adjustments were made for multiple testing subgroup analyses, thus limiting confirmatory evidence for any of the subgroup analyses.</w:t>
      </w:r>
    </w:p>
    <w:p w14:paraId="4CFD2147" w14:textId="1B94EA14" w:rsidR="00C45A69" w:rsidRPr="005612CB" w:rsidRDefault="00421223" w:rsidP="00BF7507">
      <w:pPr>
        <w:pStyle w:val="ListBullet"/>
      </w:pPr>
      <w:r w:rsidRPr="005612CB">
        <w:t>The ORR based on investigator assessment was approximately 4 times higher in the T300+D arm (20.1%) compared with the</w:t>
      </w:r>
      <w:r w:rsidR="007C2A4C" w:rsidRPr="005612CB">
        <w:t xml:space="preserve"> sorafenib </w:t>
      </w:r>
      <w:r w:rsidRPr="005612CB">
        <w:t>arm (5.1%) (odds ratio = 4.69; 95% CI: 2.85, 8.04; nominal p &lt; 0.0001).</w:t>
      </w:r>
      <w:r w:rsidR="00C45A69" w:rsidRPr="005612CB">
        <w:t xml:space="preserve"> </w:t>
      </w:r>
      <w:r w:rsidR="003538F5" w:rsidRPr="005612CB">
        <w:t>Best objective response</w:t>
      </w:r>
      <w:r w:rsidRPr="005612CB">
        <w:t xml:space="preserve"> </w:t>
      </w:r>
      <w:proofErr w:type="gramStart"/>
      <w:r w:rsidRPr="005612CB">
        <w:t>were</w:t>
      </w:r>
      <w:proofErr w:type="gramEnd"/>
      <w:r w:rsidRPr="005612CB">
        <w:t xml:space="preserve"> mainly driven by </w:t>
      </w:r>
      <w:r w:rsidR="00044B41" w:rsidRPr="005612CB">
        <w:t>partial response</w:t>
      </w:r>
      <w:r w:rsidRPr="005612CB">
        <w:t xml:space="preserve"> (17.0% </w:t>
      </w:r>
      <w:r w:rsidR="007C2A4C" w:rsidRPr="005612CB">
        <w:t>versus</w:t>
      </w:r>
      <w:r w:rsidRPr="005612CB">
        <w:t xml:space="preserve">. 5.1%) with very few </w:t>
      </w:r>
      <w:r w:rsidR="009023F2" w:rsidRPr="005612CB">
        <w:t xml:space="preserve">complete </w:t>
      </w:r>
      <w:proofErr w:type="gramStart"/>
      <w:r w:rsidR="009023F2" w:rsidRPr="005612CB">
        <w:t>response</w:t>
      </w:r>
      <w:proofErr w:type="gramEnd"/>
      <w:r w:rsidRPr="005612CB">
        <w:t xml:space="preserve"> (3.1% </w:t>
      </w:r>
      <w:r w:rsidR="007C2A4C" w:rsidRPr="005612CB">
        <w:t>versus</w:t>
      </w:r>
      <w:r w:rsidRPr="005612CB">
        <w:t xml:space="preserve"> 0). Similar results were observed in the T300+D arm in Study 22 (ORR 24.0% and </w:t>
      </w:r>
      <w:r w:rsidR="005F44B5" w:rsidRPr="005612CB">
        <w:t>b</w:t>
      </w:r>
      <w:r w:rsidR="003538F5" w:rsidRPr="005612CB">
        <w:t>est objective response</w:t>
      </w:r>
      <w:r w:rsidRPr="005612CB">
        <w:t xml:space="preserve"> of </w:t>
      </w:r>
      <w:r w:rsidR="009023F2" w:rsidRPr="005612CB">
        <w:t>complete response</w:t>
      </w:r>
      <w:r w:rsidRPr="005612CB">
        <w:t xml:space="preserve"> 1.3% or </w:t>
      </w:r>
      <w:r w:rsidR="00044B41" w:rsidRPr="005612CB">
        <w:t>partial response</w:t>
      </w:r>
      <w:r w:rsidRPr="005612CB">
        <w:t xml:space="preserve"> 22.7%).</w:t>
      </w:r>
    </w:p>
    <w:p w14:paraId="40CEC6C8" w14:textId="58AC6D80" w:rsidR="00421223" w:rsidRPr="005612CB" w:rsidRDefault="00421223" w:rsidP="00BF7507">
      <w:pPr>
        <w:pStyle w:val="ListBullet"/>
      </w:pPr>
      <w:r w:rsidRPr="005612CB">
        <w:t xml:space="preserve">Median </w:t>
      </w:r>
      <w:r w:rsidR="00B03573" w:rsidRPr="005612CB">
        <w:t>t</w:t>
      </w:r>
      <w:r w:rsidR="00115196" w:rsidRPr="005612CB">
        <w:t xml:space="preserve">ime to onset of objective response </w:t>
      </w:r>
      <w:r w:rsidRPr="005612CB">
        <w:t>was shorter in the T300+D compared with the</w:t>
      </w:r>
      <w:r w:rsidR="007C2A4C" w:rsidRPr="005612CB">
        <w:t xml:space="preserve"> sorafenib </w:t>
      </w:r>
      <w:r w:rsidRPr="005612CB">
        <w:t xml:space="preserve">arm (2.17 </w:t>
      </w:r>
      <w:r w:rsidR="007C2A4C" w:rsidRPr="005612CB">
        <w:t>versus</w:t>
      </w:r>
      <w:r w:rsidRPr="005612CB">
        <w:t xml:space="preserve"> 3.78 months</w:t>
      </w:r>
      <w:proofErr w:type="gramStart"/>
      <w:r w:rsidRPr="005612CB">
        <w:t>)</w:t>
      </w:r>
      <w:proofErr w:type="gramEnd"/>
      <w:r w:rsidRPr="005612CB">
        <w:t xml:space="preserve"> and </w:t>
      </w:r>
      <w:r w:rsidR="00DA4056" w:rsidRPr="005612CB">
        <w:t>duration of response</w:t>
      </w:r>
      <w:r w:rsidRPr="005612CB">
        <w:t xml:space="preserve"> was longer in the T300+D compared with the</w:t>
      </w:r>
      <w:r w:rsidR="007C2A4C" w:rsidRPr="005612CB">
        <w:t xml:space="preserve"> sorafenib </w:t>
      </w:r>
      <w:r w:rsidRPr="005612CB">
        <w:t xml:space="preserve">arm (22.34 </w:t>
      </w:r>
      <w:r w:rsidR="007C2A4C" w:rsidRPr="005612CB">
        <w:t>versus</w:t>
      </w:r>
      <w:r w:rsidRPr="005612CB">
        <w:t xml:space="preserve"> 18.43 months).</w:t>
      </w:r>
      <w:r w:rsidR="00C45A69" w:rsidRPr="005612CB">
        <w:t xml:space="preserve"> </w:t>
      </w:r>
      <w:r w:rsidRPr="005612CB">
        <w:t>Similar results were observed with T300+D in Study 22 (</w:t>
      </w:r>
      <w:r w:rsidR="00B03573" w:rsidRPr="005612CB">
        <w:t>time to onset of objective response</w:t>
      </w:r>
      <w:r w:rsidRPr="005612CB">
        <w:t xml:space="preserve">: 2.28 months; </w:t>
      </w:r>
      <w:r w:rsidR="00DA4056" w:rsidRPr="005612CB">
        <w:t>duration of response</w:t>
      </w:r>
      <w:r w:rsidRPr="005612CB">
        <w:t>: 18.43 months).</w:t>
      </w:r>
    </w:p>
    <w:p w14:paraId="57ACB93A" w14:textId="44D3D350" w:rsidR="00421223" w:rsidRPr="005612CB" w:rsidRDefault="00421223" w:rsidP="00BF7507">
      <w:pPr>
        <w:pStyle w:val="ListBullet"/>
      </w:pPr>
      <w:r w:rsidRPr="005612CB">
        <w:t xml:space="preserve">The </w:t>
      </w:r>
      <w:r w:rsidR="000967AE" w:rsidRPr="005612CB">
        <w:t>Kaplan-Meier</w:t>
      </w:r>
      <w:r w:rsidRPr="005612CB">
        <w:t xml:space="preserve"> estimates for median PFS in the HIMALAYA </w:t>
      </w:r>
      <w:r w:rsidR="00766793" w:rsidRPr="005612CB">
        <w:t>trial</w:t>
      </w:r>
      <w:r w:rsidRPr="005612CB">
        <w:t xml:space="preserve"> were similar in the T300+D (3.78 months) and</w:t>
      </w:r>
      <w:r w:rsidR="007C2A4C" w:rsidRPr="005612CB">
        <w:t xml:space="preserve"> sorafenib </w:t>
      </w:r>
      <w:r w:rsidRPr="005612CB">
        <w:t xml:space="preserve">(4.07 months) arms (HR = 0.90 </w:t>
      </w:r>
      <w:r w:rsidR="00766793" w:rsidRPr="005612CB">
        <w:t>(</w:t>
      </w:r>
      <w:r w:rsidRPr="005612CB">
        <w:t>95% CI: 0.77, 1.05</w:t>
      </w:r>
      <w:r w:rsidR="00766793" w:rsidRPr="005612CB">
        <w:t>)</w:t>
      </w:r>
      <w:r w:rsidRPr="005612CB">
        <w:t>) with the curves separating in favo</w:t>
      </w:r>
      <w:r w:rsidR="00766793" w:rsidRPr="005612CB">
        <w:t>u</w:t>
      </w:r>
      <w:r w:rsidRPr="005612CB">
        <w:t>r of T300+D.</w:t>
      </w:r>
    </w:p>
    <w:p w14:paraId="184AC65B" w14:textId="0D1951D8" w:rsidR="00421223" w:rsidRPr="005612CB" w:rsidRDefault="00421223" w:rsidP="00BF7507">
      <w:pPr>
        <w:pStyle w:val="ListBullet"/>
      </w:pPr>
      <w:r w:rsidRPr="005612CB">
        <w:t xml:space="preserve">Improvement in </w:t>
      </w:r>
      <w:r w:rsidR="0043669C" w:rsidRPr="005612CB">
        <w:t>p</w:t>
      </w:r>
      <w:r w:rsidR="00F4655A" w:rsidRPr="005612CB">
        <w:t xml:space="preserve">atient reported outcomes </w:t>
      </w:r>
      <w:r w:rsidRPr="005612CB">
        <w:t xml:space="preserve">were assessed only in the pivotal Phase III study. </w:t>
      </w:r>
      <w:r w:rsidR="0043669C" w:rsidRPr="005612CB">
        <w:t>treatme</w:t>
      </w:r>
      <w:r w:rsidRPr="005612CB">
        <w:t>nt with T300+D demonstrated a clinically meaningful delay in time to deterioration in a broad range of patient-reported symptoms, function, and global health status/</w:t>
      </w:r>
      <w:r w:rsidR="0043669C" w:rsidRPr="005612CB">
        <w:t xml:space="preserve">quality of life </w:t>
      </w:r>
      <w:r w:rsidRPr="005612CB">
        <w:t>compared with sorafenib.</w:t>
      </w:r>
    </w:p>
    <w:p w14:paraId="2B51A8A8" w14:textId="6FFDC432" w:rsidR="00C45A69" w:rsidRPr="005612CB" w:rsidRDefault="00421223" w:rsidP="00BF7507">
      <w:r w:rsidRPr="005612CB">
        <w:t xml:space="preserve">Evidence of contribution of durvalumab to the proposed T300+D regimen was demonstrated by the following results observed in the HIMALAYA </w:t>
      </w:r>
      <w:r w:rsidR="0043669C" w:rsidRPr="005612CB">
        <w:t xml:space="preserve">trial </w:t>
      </w:r>
      <w:r w:rsidRPr="005612CB">
        <w:t xml:space="preserve">and </w:t>
      </w:r>
      <w:r w:rsidR="0043669C" w:rsidRPr="005612CB">
        <w:t>S</w:t>
      </w:r>
      <w:r w:rsidRPr="005612CB">
        <w:t>tudy 22:</w:t>
      </w:r>
    </w:p>
    <w:p w14:paraId="5FB2D269" w14:textId="4B6B3321" w:rsidR="00421223" w:rsidRPr="005612CB" w:rsidRDefault="00421223" w:rsidP="00BF7507">
      <w:pPr>
        <w:pStyle w:val="ListBullet"/>
        <w:rPr>
          <w:lang w:val="en-US"/>
        </w:rPr>
      </w:pPr>
      <w:r w:rsidRPr="005612CB">
        <w:rPr>
          <w:lang w:val="en-US"/>
        </w:rPr>
        <w:t xml:space="preserve">Non-inferiority between durvalumab and the </w:t>
      </w:r>
      <w:r w:rsidR="00B07BB2" w:rsidRPr="005612CB">
        <w:rPr>
          <w:lang w:val="en-US"/>
        </w:rPr>
        <w:t>standard of care</w:t>
      </w:r>
      <w:r w:rsidRPr="005612CB">
        <w:rPr>
          <w:lang w:val="en-US"/>
        </w:rPr>
        <w:t xml:space="preserve"> sorafenib treatment in terms of OS</w:t>
      </w:r>
    </w:p>
    <w:p w14:paraId="533EF583" w14:textId="48893D7C" w:rsidR="00C45A69" w:rsidRPr="005612CB" w:rsidRDefault="009C6B5F" w:rsidP="00BF7507">
      <w:pPr>
        <w:pStyle w:val="ListBullet"/>
        <w:rPr>
          <w:lang w:val="en-US"/>
        </w:rPr>
      </w:pPr>
      <w:r w:rsidRPr="005612CB">
        <w:rPr>
          <w:lang w:val="en-US"/>
        </w:rPr>
        <w:t xml:space="preserve">Overall survival </w:t>
      </w:r>
      <w:r w:rsidR="00421223" w:rsidRPr="005612CB">
        <w:rPr>
          <w:lang w:val="en-US"/>
        </w:rPr>
        <w:t xml:space="preserve">estimates following durvalumab monotherapy were similar in the HIMALAYA </w:t>
      </w:r>
      <w:r w:rsidR="00B07BB2" w:rsidRPr="005612CB">
        <w:rPr>
          <w:lang w:val="en-US"/>
        </w:rPr>
        <w:t xml:space="preserve">trial </w:t>
      </w:r>
      <w:r w:rsidR="00421223" w:rsidRPr="005612CB">
        <w:rPr>
          <w:lang w:val="en-US"/>
        </w:rPr>
        <w:t xml:space="preserve">and </w:t>
      </w:r>
      <w:r w:rsidR="00B07BB2" w:rsidRPr="005612CB">
        <w:rPr>
          <w:lang w:val="en-US"/>
        </w:rPr>
        <w:t xml:space="preserve">Study </w:t>
      </w:r>
      <w:r w:rsidR="00421223" w:rsidRPr="005612CB">
        <w:rPr>
          <w:lang w:val="en-US"/>
        </w:rPr>
        <w:t>22</w:t>
      </w:r>
      <w:r w:rsidR="00B07BB2" w:rsidRPr="005612CB">
        <w:rPr>
          <w:lang w:val="en-US"/>
        </w:rPr>
        <w:t>.</w:t>
      </w:r>
    </w:p>
    <w:p w14:paraId="3860E45E" w14:textId="1D3EC369" w:rsidR="00C45A69" w:rsidRPr="005612CB" w:rsidRDefault="00421223" w:rsidP="00BF7507">
      <w:r w:rsidRPr="005612CB">
        <w:t xml:space="preserve">However, superiority of durvalumab over sorafenib was not shown in the pivotal </w:t>
      </w:r>
      <w:r w:rsidR="003F49BF" w:rsidRPr="005612CB">
        <w:t>HIMALAYA trial</w:t>
      </w:r>
      <w:r w:rsidRPr="005612CB">
        <w:t>.</w:t>
      </w:r>
    </w:p>
    <w:p w14:paraId="2B3735AB" w14:textId="04FF62DD" w:rsidR="00421223" w:rsidRPr="005612CB" w:rsidRDefault="00421223" w:rsidP="00BF7507">
      <w:r w:rsidRPr="005612CB">
        <w:t xml:space="preserve">The following results demonstrated the contribution of tremelimumab to the proposed combination in the pivotal HIMALAYA </w:t>
      </w:r>
      <w:r w:rsidR="009C6B5F" w:rsidRPr="005612CB">
        <w:t>trial</w:t>
      </w:r>
      <w:r w:rsidRPr="005612CB">
        <w:t>:</w:t>
      </w:r>
    </w:p>
    <w:p w14:paraId="0012A349" w14:textId="280B1340" w:rsidR="00421223" w:rsidRPr="005612CB" w:rsidRDefault="00421223" w:rsidP="00BF7507">
      <w:pPr>
        <w:pStyle w:val="ListBullet"/>
      </w:pPr>
      <w:r w:rsidRPr="005612CB">
        <w:t xml:space="preserve">A 10% reduction in average risk of death observed with T300+D </w:t>
      </w:r>
      <w:r w:rsidR="007C2A4C" w:rsidRPr="005612CB">
        <w:t>versus</w:t>
      </w:r>
      <w:r w:rsidRPr="005612CB">
        <w:t xml:space="preserve"> </w:t>
      </w:r>
      <w:r w:rsidR="00B97F02" w:rsidRPr="005612CB">
        <w:t>durvalumab</w:t>
      </w:r>
    </w:p>
    <w:p w14:paraId="660EE9E7" w14:textId="3E503152" w:rsidR="00421223" w:rsidRPr="005612CB" w:rsidRDefault="00421223" w:rsidP="00BF7507">
      <w:pPr>
        <w:pStyle w:val="ListBullet"/>
      </w:pPr>
      <w:r w:rsidRPr="005612CB">
        <w:t>A clear and sustained separation of the T300+D and</w:t>
      </w:r>
      <w:r w:rsidR="00E76304" w:rsidRPr="005612CB">
        <w:t xml:space="preserve"> durvalumab </w:t>
      </w:r>
      <w:r w:rsidRPr="005612CB">
        <w:t xml:space="preserve">OS curves occurs at 24 months with a large proportion of patients (approximately 40% for T300+D and </w:t>
      </w:r>
      <w:r w:rsidR="00B97F02" w:rsidRPr="005612CB">
        <w:t>durvalumab</w:t>
      </w:r>
      <w:r w:rsidRPr="005612CB">
        <w:t xml:space="preserve">) still at risk for an event </w:t>
      </w:r>
      <w:proofErr w:type="gramStart"/>
      <w:r w:rsidRPr="005612CB">
        <w:t>at this time</w:t>
      </w:r>
      <w:proofErr w:type="gramEnd"/>
    </w:p>
    <w:p w14:paraId="65304092" w14:textId="1EEA824C" w:rsidR="00421223" w:rsidRPr="005612CB" w:rsidRDefault="00421223" w:rsidP="00BF7507">
      <w:pPr>
        <w:pStyle w:val="ListBullet"/>
      </w:pPr>
      <w:r w:rsidRPr="005612CB">
        <w:t xml:space="preserve">Prespecified OS rates of 18, 24, and 36 months in </w:t>
      </w:r>
      <w:r w:rsidR="00B97F02" w:rsidRPr="005612CB">
        <w:t xml:space="preserve">the </w:t>
      </w:r>
      <w:r w:rsidRPr="005612CB">
        <w:t xml:space="preserve">HIMALAYA </w:t>
      </w:r>
      <w:r w:rsidR="00B97F02" w:rsidRPr="005612CB">
        <w:t xml:space="preserve">trial </w:t>
      </w:r>
      <w:r w:rsidRPr="005612CB">
        <w:t>numerically favo</w:t>
      </w:r>
      <w:r w:rsidR="0043669C" w:rsidRPr="005612CB">
        <w:t>u</w:t>
      </w:r>
      <w:r w:rsidRPr="005612CB">
        <w:t>red</w:t>
      </w:r>
      <w:r w:rsidR="00B97F02" w:rsidRPr="005612CB">
        <w:t>.</w:t>
      </w:r>
    </w:p>
    <w:p w14:paraId="072A1FF9" w14:textId="697BD56B" w:rsidR="00421223" w:rsidRPr="005612CB" w:rsidRDefault="00421223" w:rsidP="00BF7507">
      <w:pPr>
        <w:pStyle w:val="ListBullet"/>
      </w:pPr>
      <w:r w:rsidRPr="005612CB">
        <w:lastRenderedPageBreak/>
        <w:t xml:space="preserve">T300+D over </w:t>
      </w:r>
      <w:r w:rsidR="00B97F02" w:rsidRPr="005612CB">
        <w:t>durvalumab</w:t>
      </w:r>
      <w:r w:rsidRPr="005612CB">
        <w:t xml:space="preserve">, with OS rate at 36 months of 30.7% with T300+D </w:t>
      </w:r>
      <w:r w:rsidR="007C2A4C" w:rsidRPr="005612CB">
        <w:t>versus</w:t>
      </w:r>
      <w:r w:rsidRPr="005612CB">
        <w:t xml:space="preserve">. 24.7% for </w:t>
      </w:r>
      <w:r w:rsidR="00B97F02" w:rsidRPr="005612CB">
        <w:t>durvalumab</w:t>
      </w:r>
    </w:p>
    <w:p w14:paraId="5E1D9C00" w14:textId="573837E5" w:rsidR="00C45A69" w:rsidRPr="005612CB" w:rsidRDefault="00421223" w:rsidP="00BF7507">
      <w:pPr>
        <w:pStyle w:val="ListBullet"/>
      </w:pPr>
      <w:r w:rsidRPr="005612CB">
        <w:t>The T300+D curve separated from</w:t>
      </w:r>
      <w:r w:rsidR="007C2A4C" w:rsidRPr="005612CB">
        <w:t xml:space="preserve"> sorafenib </w:t>
      </w:r>
      <w:r w:rsidRPr="005612CB">
        <w:t>at 4 months compared to a separation at 9</w:t>
      </w:r>
      <w:r w:rsidR="00B97F02" w:rsidRPr="005612CB">
        <w:t> </w:t>
      </w:r>
      <w:r w:rsidRPr="005612CB">
        <w:t>months for</w:t>
      </w:r>
      <w:r w:rsidR="00E76304" w:rsidRPr="005612CB">
        <w:t xml:space="preserve"> durvalumab </w:t>
      </w:r>
      <w:r w:rsidR="007C2A4C" w:rsidRPr="005612CB">
        <w:t>versus</w:t>
      </w:r>
      <w:r w:rsidR="000A3736" w:rsidRPr="005612CB">
        <w:t xml:space="preserve"> sorafenib</w:t>
      </w:r>
      <w:r w:rsidRPr="005612CB">
        <w:t>.</w:t>
      </w:r>
    </w:p>
    <w:p w14:paraId="4108646A" w14:textId="423785F6" w:rsidR="00421223" w:rsidRPr="005612CB" w:rsidRDefault="00E3357E" w:rsidP="00BF7507">
      <w:pPr>
        <w:pStyle w:val="ListBullet"/>
      </w:pPr>
      <w:r w:rsidRPr="005612CB">
        <w:t>Objective response</w:t>
      </w:r>
      <w:r w:rsidR="00421223" w:rsidRPr="005612CB">
        <w:t xml:space="preserve"> rates were 20.1% and 17% with T300+D and </w:t>
      </w:r>
      <w:r w:rsidR="00443172" w:rsidRPr="005612CB">
        <w:t>durvalumab</w:t>
      </w:r>
      <w:r w:rsidR="00421223" w:rsidRPr="005612CB">
        <w:t>, respectively.</w:t>
      </w:r>
    </w:p>
    <w:p w14:paraId="7A00FE5C" w14:textId="6B11D251" w:rsidR="00421223" w:rsidRPr="005612CB" w:rsidRDefault="00DB40E2" w:rsidP="00BF7507">
      <w:pPr>
        <w:pStyle w:val="ListBullet"/>
      </w:pPr>
      <w:r w:rsidRPr="005612CB">
        <w:t>Best objective response</w:t>
      </w:r>
      <w:r w:rsidR="00421223" w:rsidRPr="005612CB">
        <w:t xml:space="preserve"> of </w:t>
      </w:r>
      <w:r w:rsidR="00FD4D4C" w:rsidRPr="005612CB">
        <w:t>complete response</w:t>
      </w:r>
      <w:r w:rsidR="00421223" w:rsidRPr="005612CB">
        <w:t xml:space="preserve"> was higher with T300+D (3.1%, 12/393) compared to</w:t>
      </w:r>
      <w:r w:rsidR="00E76304" w:rsidRPr="005612CB">
        <w:t xml:space="preserve"> durvalumab </w:t>
      </w:r>
      <w:r w:rsidR="00421223" w:rsidRPr="005612CB">
        <w:t>(1.5%, 6/389).</w:t>
      </w:r>
    </w:p>
    <w:p w14:paraId="132B170C" w14:textId="4AFE7F0C" w:rsidR="00421223" w:rsidRPr="005612CB" w:rsidRDefault="002218B2" w:rsidP="00BF7507">
      <w:pPr>
        <w:pStyle w:val="ListBullet"/>
      </w:pPr>
      <w:r w:rsidRPr="005612CB">
        <w:t>Disease control rate</w:t>
      </w:r>
      <w:r w:rsidR="00421223" w:rsidRPr="005612CB">
        <w:t>s were higher in the T300+D compared to</w:t>
      </w:r>
      <w:r w:rsidR="00E76304" w:rsidRPr="005612CB">
        <w:t xml:space="preserve"> durvalumab </w:t>
      </w:r>
      <w:r w:rsidR="00421223" w:rsidRPr="005612CB">
        <w:t xml:space="preserve">arm (60.1% </w:t>
      </w:r>
      <w:r w:rsidR="007C2A4C" w:rsidRPr="005612CB">
        <w:t>versus</w:t>
      </w:r>
      <w:r w:rsidR="00421223" w:rsidRPr="005612CB">
        <w:t xml:space="preserve"> 54.8%)</w:t>
      </w:r>
    </w:p>
    <w:p w14:paraId="771FD224" w14:textId="3F346166" w:rsidR="00421223" w:rsidRPr="005612CB" w:rsidRDefault="00421223" w:rsidP="00BF7507">
      <w:pPr>
        <w:pStyle w:val="ListBullet"/>
      </w:pPr>
      <w:r w:rsidRPr="005612CB">
        <w:t xml:space="preserve">Median </w:t>
      </w:r>
      <w:r w:rsidR="0029568D" w:rsidRPr="005612CB">
        <w:t xml:space="preserve">duration of response </w:t>
      </w:r>
      <w:r w:rsidRPr="005612CB">
        <w:t>was longer with T300+D compared to</w:t>
      </w:r>
      <w:r w:rsidR="00E76304" w:rsidRPr="005612CB">
        <w:t xml:space="preserve"> durvalumab </w:t>
      </w:r>
      <w:r w:rsidRPr="005612CB">
        <w:t xml:space="preserve">(22.34 </w:t>
      </w:r>
      <w:r w:rsidR="007C2A4C" w:rsidRPr="005612CB">
        <w:t>versus</w:t>
      </w:r>
      <w:r w:rsidRPr="005612CB">
        <w:t xml:space="preserve"> 16.82 months)</w:t>
      </w:r>
      <w:r w:rsidR="0029568D" w:rsidRPr="005612CB">
        <w:t>.</w:t>
      </w:r>
    </w:p>
    <w:p w14:paraId="1ACDA46B" w14:textId="5E4213C6" w:rsidR="00421223" w:rsidRPr="005612CB" w:rsidRDefault="00421223" w:rsidP="00BF7507">
      <w:r w:rsidRPr="005612CB">
        <w:t xml:space="preserve">Supportive evidence for contribution of tremelimumab to the proposed T300+D regimen was also provided by results observed in the Phase I/II </w:t>
      </w:r>
      <w:r w:rsidR="0029568D" w:rsidRPr="005612CB">
        <w:t>S</w:t>
      </w:r>
      <w:r w:rsidRPr="005612CB">
        <w:t>tudy 22.</w:t>
      </w:r>
    </w:p>
    <w:p w14:paraId="5E2961BB" w14:textId="77777777" w:rsidR="00421223" w:rsidRPr="005612CB" w:rsidRDefault="00421223" w:rsidP="00BF7507">
      <w:pPr>
        <w:pStyle w:val="Heading4"/>
      </w:pPr>
      <w:bookmarkStart w:id="61" w:name="_Toc152934443"/>
      <w:r w:rsidRPr="005612CB">
        <w:t>Conclusions on clinical efficacy</w:t>
      </w:r>
      <w:bookmarkEnd w:id="61"/>
    </w:p>
    <w:p w14:paraId="749719FF" w14:textId="2321D605" w:rsidR="00421223" w:rsidRPr="005612CB" w:rsidRDefault="00421223" w:rsidP="00BF7507">
      <w:r w:rsidRPr="005612CB">
        <w:t xml:space="preserve">The clinical </w:t>
      </w:r>
      <w:r w:rsidR="00D902D0" w:rsidRPr="005612CB">
        <w:t>evaluation</w:t>
      </w:r>
      <w:r w:rsidRPr="005612CB">
        <w:t xml:space="preserve"> concluded the following:</w:t>
      </w:r>
    </w:p>
    <w:p w14:paraId="535D308B" w14:textId="7598BA49" w:rsidR="00C45A69" w:rsidRPr="005612CB" w:rsidRDefault="00421223" w:rsidP="00BF7507">
      <w:pPr>
        <w:pStyle w:val="ListBullet"/>
      </w:pPr>
      <w:r w:rsidRPr="005612CB">
        <w:t xml:space="preserve">Overall, evidence of efficacy of the proposed T300+D regimen as first-line systemic therapy in patients with unresectable HCC was mainly provided by results from the pivotal Phase III </w:t>
      </w:r>
      <w:r w:rsidR="003F49BF" w:rsidRPr="005612CB">
        <w:t>HIMALAYA trial</w:t>
      </w:r>
      <w:r w:rsidRPr="005612CB">
        <w:t xml:space="preserve"> with supportive evidence provided by the uncontrolled, open label Phase</w:t>
      </w:r>
      <w:r w:rsidR="005518E8" w:rsidRPr="005612CB">
        <w:t> </w:t>
      </w:r>
      <w:r w:rsidRPr="005612CB">
        <w:t xml:space="preserve">I/II </w:t>
      </w:r>
      <w:r w:rsidR="005518E8" w:rsidRPr="005612CB">
        <w:t>S</w:t>
      </w:r>
      <w:r w:rsidRPr="005612CB">
        <w:t>tudy 22.</w:t>
      </w:r>
    </w:p>
    <w:p w14:paraId="63D17244" w14:textId="242FA280" w:rsidR="00C45A69" w:rsidRPr="005612CB" w:rsidRDefault="00421223" w:rsidP="00BF7507">
      <w:pPr>
        <w:pStyle w:val="ListBullet"/>
      </w:pPr>
      <w:r w:rsidRPr="005612CB">
        <w:t xml:space="preserve">Evidence to support use of proposed combination (T300+D) regimen as </w:t>
      </w:r>
      <w:r w:rsidR="004B3CCC" w:rsidRPr="005612CB">
        <w:t>second-line</w:t>
      </w:r>
      <w:r w:rsidRPr="005612CB">
        <w:t xml:space="preserve"> therapy in patients with uHCC was limited.</w:t>
      </w:r>
      <w:r w:rsidR="00C45A69" w:rsidRPr="005612CB">
        <w:t xml:space="preserve"> </w:t>
      </w:r>
      <w:r w:rsidRPr="005612CB">
        <w:t xml:space="preserve">The pivotal HIMALAYA </w:t>
      </w:r>
      <w:r w:rsidR="005518E8" w:rsidRPr="005612CB">
        <w:t>trial</w:t>
      </w:r>
      <w:r w:rsidRPr="005612CB">
        <w:t xml:space="preserve"> only evaluated patients who had not received prior systemic therapy.</w:t>
      </w:r>
    </w:p>
    <w:p w14:paraId="30C8C3D6" w14:textId="2682F116" w:rsidR="00421223" w:rsidRPr="005612CB" w:rsidRDefault="00421223" w:rsidP="00BF7507">
      <w:pPr>
        <w:pStyle w:val="ListBullet"/>
      </w:pPr>
      <w:r w:rsidRPr="005612CB">
        <w:t xml:space="preserve">Limited evidence of efficacy of proposed combination (T300+D) regimen as </w:t>
      </w:r>
      <w:r w:rsidR="004B3CCC" w:rsidRPr="005612CB">
        <w:t>second-line</w:t>
      </w:r>
      <w:r w:rsidRPr="005612CB">
        <w:t xml:space="preserve"> therapy was only provided by the Phase I/II </w:t>
      </w:r>
      <w:r w:rsidR="005518E8" w:rsidRPr="005612CB">
        <w:t>S</w:t>
      </w:r>
      <w:r w:rsidRPr="005612CB">
        <w:t xml:space="preserve">tudy 22 which evaluated the safety/tolerability, efficacy, </w:t>
      </w:r>
      <w:proofErr w:type="gramStart"/>
      <w:r w:rsidRPr="005612CB">
        <w:t>PKs</w:t>
      </w:r>
      <w:proofErr w:type="gramEnd"/>
      <w:r w:rsidRPr="005612CB">
        <w:t xml:space="preserve"> and immunogenicity of durvalumab and tremelimumab as monotherapy, and durvalumab in combination with tremelimumab or bevacizumab in 433 patients with unresectable HCC. Patients in this study were immunotherapy-naïve, but most had received prior </w:t>
      </w:r>
      <w:r w:rsidR="005347EE" w:rsidRPr="005612CB">
        <w:t>first-line</w:t>
      </w:r>
      <w:r w:rsidRPr="005612CB">
        <w:t xml:space="preserve"> treatment with sorafenib or other agents. Enrolment in the T300+D safety run-in arm (</w:t>
      </w:r>
      <w:r w:rsidR="004120A2" w:rsidRPr="005612CB">
        <w:t xml:space="preserve">in </w:t>
      </w:r>
      <w:r w:rsidRPr="005612CB">
        <w:t>Part 2B) began approximately 8 months after the start of the other 3 treatment arms (in Part 2A) leading to differences in treatment exposure and follow</w:t>
      </w:r>
      <w:r w:rsidR="004120A2" w:rsidRPr="005612CB">
        <w:noBreakHyphen/>
      </w:r>
      <w:r w:rsidRPr="005612CB">
        <w:t xml:space="preserve">up times between treatment arms at the final </w:t>
      </w:r>
      <w:r w:rsidR="003F5EDE" w:rsidRPr="005612CB">
        <w:t>data cut-off</w:t>
      </w:r>
      <w:r w:rsidRPr="005612CB">
        <w:t xml:space="preserve"> confounding interpretation of results. Confirmed ORR was higher in the </w:t>
      </w:r>
      <w:r w:rsidR="004B3CCC" w:rsidRPr="005612CB">
        <w:t>first-line</w:t>
      </w:r>
      <w:r w:rsidRPr="005612CB">
        <w:t xml:space="preserve"> patients in the T300+D arm in the second-line subgroup (35% </w:t>
      </w:r>
      <w:r w:rsidR="007C2A4C" w:rsidRPr="005612CB">
        <w:t>versus</w:t>
      </w:r>
      <w:r w:rsidRPr="005612CB">
        <w:t xml:space="preserve"> 20%). Subgroup analysis of PFS showed that median PFS was longer for the T300+D arm than for the other three treatment arms in the ‘</w:t>
      </w:r>
      <w:r w:rsidR="004B3CCC" w:rsidRPr="005612CB">
        <w:t>first-line</w:t>
      </w:r>
      <w:r w:rsidRPr="005612CB">
        <w:t>’ subgroup but it was similar across all four treatment arms in the ‘</w:t>
      </w:r>
      <w:proofErr w:type="gramStart"/>
      <w:r w:rsidRPr="005612CB">
        <w:t>second</w:t>
      </w:r>
      <w:r w:rsidR="003F5EDE" w:rsidRPr="005612CB">
        <w:t>-</w:t>
      </w:r>
      <w:r w:rsidRPr="005612CB">
        <w:t>line</w:t>
      </w:r>
      <w:proofErr w:type="gramEnd"/>
      <w:r w:rsidRPr="005612CB">
        <w:t>’ subgroup. However, small patient numbers and imbalances in baseline patient characteristics between subgroups limit interpretation of subgroup analyses</w:t>
      </w:r>
    </w:p>
    <w:p w14:paraId="210DBF96" w14:textId="77777777" w:rsidR="00421223" w:rsidRPr="005612CB" w:rsidRDefault="00421223" w:rsidP="00421223">
      <w:pPr>
        <w:pStyle w:val="Heading4"/>
        <w:rPr>
          <w:sz w:val="24"/>
          <w:szCs w:val="24"/>
        </w:rPr>
      </w:pPr>
      <w:bookmarkStart w:id="62" w:name="_Toc152934444"/>
      <w:r w:rsidRPr="005612CB">
        <w:rPr>
          <w:sz w:val="24"/>
          <w:szCs w:val="24"/>
        </w:rPr>
        <w:t>Safety</w:t>
      </w:r>
      <w:bookmarkEnd w:id="62"/>
    </w:p>
    <w:p w14:paraId="4D74C93C" w14:textId="0CE808BE" w:rsidR="00421223" w:rsidRPr="005612CB" w:rsidRDefault="00421223" w:rsidP="00BF7507">
      <w:r w:rsidRPr="005612CB">
        <w:t xml:space="preserve">Safety data was provided in the pivotal HIMALAYA </w:t>
      </w:r>
      <w:r w:rsidR="00C93605" w:rsidRPr="005612CB">
        <w:t>trial</w:t>
      </w:r>
      <w:r w:rsidRPr="005612CB">
        <w:t xml:space="preserve"> and the supportive Study 22.</w:t>
      </w:r>
      <w:r w:rsidR="00C45A69" w:rsidRPr="005612CB">
        <w:t xml:space="preserve"> </w:t>
      </w:r>
      <w:r w:rsidRPr="005612CB">
        <w:t xml:space="preserve">The pivotal safety dataset used to characterise the safety profile of durvalumab in combination with tremelimumab in the proposed indication was derived from the HCC T300+D pool which included 462 patients with unresectable HCC from </w:t>
      </w:r>
      <w:r w:rsidR="00C93605" w:rsidRPr="005612CB">
        <w:t xml:space="preserve">the </w:t>
      </w:r>
      <w:r w:rsidRPr="005612CB">
        <w:t xml:space="preserve">HIMALAYA </w:t>
      </w:r>
      <w:r w:rsidR="00C93605" w:rsidRPr="005612CB">
        <w:t xml:space="preserve">trial </w:t>
      </w:r>
      <w:r w:rsidRPr="005612CB">
        <w:t>and Study 22 who received T300+D.</w:t>
      </w:r>
    </w:p>
    <w:p w14:paraId="1458E867" w14:textId="43A14E54" w:rsidR="00421223" w:rsidRPr="005612CB" w:rsidRDefault="00421223" w:rsidP="00BF7507">
      <w:r w:rsidRPr="005612CB">
        <w:lastRenderedPageBreak/>
        <w:t xml:space="preserve">Supportive assessments of the safety and tolerability of tremelimumab and durvalumab were provided in the </w:t>
      </w:r>
      <w:r w:rsidR="0093235B" w:rsidRPr="005612CB">
        <w:t>pan</w:t>
      </w:r>
      <w:r w:rsidRPr="005612CB">
        <w:t>-</w:t>
      </w:r>
      <w:r w:rsidR="0093235B" w:rsidRPr="005612CB">
        <w:t>tumour</w:t>
      </w:r>
      <w:r w:rsidRPr="005612CB">
        <w:t xml:space="preserve"> pools.</w:t>
      </w:r>
      <w:r w:rsidR="002B4418" w:rsidRPr="005612CB">
        <w:rPr>
          <w:rStyle w:val="FootnoteReference"/>
        </w:rPr>
        <w:footnoteReference w:id="31"/>
      </w:r>
      <w:r w:rsidRPr="005612CB">
        <w:t xml:space="preserve"> The </w:t>
      </w:r>
      <w:r w:rsidR="0093235B" w:rsidRPr="005612CB">
        <w:t>pan</w:t>
      </w:r>
      <w:r w:rsidRPr="005612CB">
        <w:t>-</w:t>
      </w:r>
      <w:r w:rsidR="0093235B" w:rsidRPr="005612CB">
        <w:t xml:space="preserve">tumour </w:t>
      </w:r>
      <w:r w:rsidRPr="005612CB">
        <w:t>pools provided the safety profile of tremelimumab and durvalumab in a much larger patient population in 18 studies that included patients with a variety of cancer types (including HCC but predominantly lung and head and neck cancers.</w:t>
      </w:r>
      <w:r w:rsidR="00C45A69" w:rsidRPr="005612CB">
        <w:t xml:space="preserve"> </w:t>
      </w:r>
      <w:r w:rsidRPr="005612CB">
        <w:t xml:space="preserve">It is noted that the </w:t>
      </w:r>
      <w:r w:rsidR="0093235B" w:rsidRPr="005612CB">
        <w:t>pan</w:t>
      </w:r>
      <w:r w:rsidRPr="005612CB">
        <w:t xml:space="preserve">-tumour pools did not assess safety of the proposed T300+D dosing regimen. Furthermore, there were some differences in how safety variables were collected in individual non-HCC </w:t>
      </w:r>
      <w:proofErr w:type="gramStart"/>
      <w:r w:rsidRPr="005612CB">
        <w:t>studies</w:t>
      </w:r>
      <w:proofErr w:type="gramEnd"/>
      <w:r w:rsidRPr="005612CB">
        <w:t xml:space="preserve"> and these only provided supportive safety data in this submission.</w:t>
      </w:r>
    </w:p>
    <w:p w14:paraId="304FB3CB" w14:textId="43F3D576" w:rsidR="00C45A69" w:rsidRPr="005612CB" w:rsidRDefault="00421223" w:rsidP="00BF7507">
      <w:r w:rsidRPr="005612CB">
        <w:t>In general, the identified risks associated with durvalumab monotherapy are consistent with those of other anti-PD-1/PD-L1 agents such as atezolizumab, nivolumab and pembrolizumab.</w:t>
      </w:r>
      <w:r w:rsidR="00C45A69" w:rsidRPr="005612CB">
        <w:t xml:space="preserve"> </w:t>
      </w:r>
      <w:r w:rsidRPr="005612CB">
        <w:t xml:space="preserve">The identified risks for tremelimumab are also considered identified risks for the durvalumab </w:t>
      </w:r>
      <w:r w:rsidR="00D902D0" w:rsidRPr="005612CB">
        <w:t>and</w:t>
      </w:r>
      <w:r w:rsidRPr="005612CB">
        <w:t xml:space="preserve"> tremelimumab combination (</w:t>
      </w:r>
      <w:r w:rsidR="00C93605" w:rsidRPr="005612CB">
        <w:t xml:space="preserve">for example, </w:t>
      </w:r>
      <w:r w:rsidRPr="005612CB">
        <w:t>lipase increased, amylase increased, intestinal perforation and large intestine perforation). These risks are consistent with those associated with other marketed anti PD</w:t>
      </w:r>
      <w:r w:rsidR="00D902D0" w:rsidRPr="005612CB">
        <w:t>-</w:t>
      </w:r>
      <w:r w:rsidRPr="005612CB">
        <w:t>1/PD</w:t>
      </w:r>
      <w:r w:rsidR="00D902D0" w:rsidRPr="005612CB">
        <w:t>-</w:t>
      </w:r>
      <w:r w:rsidRPr="005612CB">
        <w:t>L1/CTLA agents such as pembrolizumab, and the combination of nivolumab and ipilimumab.</w:t>
      </w:r>
    </w:p>
    <w:p w14:paraId="72B1CBAB" w14:textId="2C6A5014" w:rsidR="00C45A69" w:rsidRPr="005612CB" w:rsidRDefault="00421223" w:rsidP="00BF7507">
      <w:r w:rsidRPr="005612CB">
        <w:t xml:space="preserve">The clinical </w:t>
      </w:r>
      <w:r w:rsidR="00D902D0" w:rsidRPr="005612CB">
        <w:t>evaluation</w:t>
      </w:r>
      <w:r w:rsidRPr="005612CB">
        <w:t>’s conclusion on post-marketing data on durvalumab is as follows:</w:t>
      </w:r>
    </w:p>
    <w:p w14:paraId="2568C371" w14:textId="7C50DBFE" w:rsidR="00C45A69" w:rsidRPr="005612CB" w:rsidRDefault="00421223" w:rsidP="00BF7507">
      <w:pPr>
        <w:pStyle w:val="ListBullet"/>
        <w:rPr>
          <w:lang w:val="en-US"/>
        </w:rPr>
      </w:pPr>
      <w:r w:rsidRPr="005612CB">
        <w:rPr>
          <w:lang w:val="en-US"/>
        </w:rPr>
        <w:t>The cumulative global post-marketing patient exposure to durvalumab (10 mg/kg) since launch to 30 June 2021 has been estimated to be 52</w:t>
      </w:r>
      <w:r w:rsidR="00D902D0" w:rsidRPr="005612CB">
        <w:rPr>
          <w:lang w:val="en-US"/>
        </w:rPr>
        <w:t>,</w:t>
      </w:r>
      <w:r w:rsidRPr="005612CB">
        <w:rPr>
          <w:lang w:val="en-US"/>
        </w:rPr>
        <w:t>006 patient-years.</w:t>
      </w:r>
    </w:p>
    <w:p w14:paraId="24136ED5" w14:textId="77777777" w:rsidR="00C45A69" w:rsidRPr="005612CB" w:rsidRDefault="00421223" w:rsidP="00BF7507">
      <w:pPr>
        <w:pStyle w:val="ListBullet"/>
        <w:rPr>
          <w:lang w:val="en-US"/>
        </w:rPr>
      </w:pPr>
      <w:r w:rsidRPr="005612CB">
        <w:rPr>
          <w:lang w:val="en-US"/>
        </w:rPr>
        <w:t>No new safety concern was identified based on the post-marketing safety reports.</w:t>
      </w:r>
    </w:p>
    <w:p w14:paraId="5B9B08F2" w14:textId="77777777" w:rsidR="00C45A69" w:rsidRPr="005612CB" w:rsidRDefault="00421223" w:rsidP="00BF7507">
      <w:pPr>
        <w:pStyle w:val="ListBullet"/>
        <w:rPr>
          <w:lang w:val="en-US"/>
        </w:rPr>
      </w:pPr>
      <w:r w:rsidRPr="005612CB">
        <w:rPr>
          <w:lang w:val="en-US"/>
        </w:rPr>
        <w:t>No new periodic safety update reports were provided in current submission.</w:t>
      </w:r>
    </w:p>
    <w:p w14:paraId="1E903EE8" w14:textId="784F5BC3" w:rsidR="00421223" w:rsidRPr="005612CB" w:rsidRDefault="00421223" w:rsidP="00BF7507">
      <w:pPr>
        <w:pStyle w:val="Heading5"/>
      </w:pPr>
      <w:r w:rsidRPr="005612CB">
        <w:t xml:space="preserve">Summary of clinical safety from </w:t>
      </w:r>
      <w:r w:rsidR="004B5242" w:rsidRPr="005612CB">
        <w:t xml:space="preserve">the </w:t>
      </w:r>
      <w:r w:rsidRPr="005612CB">
        <w:t xml:space="preserve">HIMALAYA </w:t>
      </w:r>
      <w:r w:rsidR="004B5242" w:rsidRPr="005612CB">
        <w:t>trial</w:t>
      </w:r>
    </w:p>
    <w:p w14:paraId="1ECA18A9" w14:textId="003D78DF" w:rsidR="00421223" w:rsidRPr="005612CB" w:rsidRDefault="00421223" w:rsidP="00421223">
      <w:pPr>
        <w:spacing w:line="240" w:lineRule="auto"/>
        <w:rPr>
          <w:lang w:val="en-US"/>
        </w:rPr>
      </w:pPr>
      <w:r w:rsidRPr="005612CB">
        <w:rPr>
          <w:lang w:val="en-US"/>
        </w:rPr>
        <w:t xml:space="preserve">The clinical </w:t>
      </w:r>
      <w:r w:rsidR="00D902D0" w:rsidRPr="005612CB">
        <w:rPr>
          <w:lang w:val="en-US"/>
        </w:rPr>
        <w:t>evaluation</w:t>
      </w:r>
      <w:r w:rsidRPr="005612CB">
        <w:rPr>
          <w:lang w:val="en-US"/>
        </w:rPr>
        <w:t xml:space="preserve">’s main safety findings in the pivotal HIMALAYA </w:t>
      </w:r>
      <w:r w:rsidR="004B5242" w:rsidRPr="005612CB">
        <w:rPr>
          <w:lang w:val="en-US"/>
        </w:rPr>
        <w:t>trial</w:t>
      </w:r>
      <w:r w:rsidRPr="005612CB">
        <w:rPr>
          <w:lang w:val="en-US"/>
        </w:rPr>
        <w:t xml:space="preserve"> are </w:t>
      </w:r>
      <w:proofErr w:type="spellStart"/>
      <w:r w:rsidRPr="005612CB">
        <w:rPr>
          <w:lang w:val="en-US"/>
        </w:rPr>
        <w:t>summari</w:t>
      </w:r>
      <w:r w:rsidR="00EC3741" w:rsidRPr="005612CB">
        <w:rPr>
          <w:lang w:val="en-US"/>
        </w:rPr>
        <w:t>s</w:t>
      </w:r>
      <w:r w:rsidRPr="005612CB">
        <w:rPr>
          <w:lang w:val="en-US"/>
        </w:rPr>
        <w:t>ed</w:t>
      </w:r>
      <w:proofErr w:type="spellEnd"/>
      <w:r w:rsidRPr="005612CB">
        <w:rPr>
          <w:lang w:val="en-US"/>
        </w:rPr>
        <w:t xml:space="preserve"> as follows:</w:t>
      </w:r>
    </w:p>
    <w:p w14:paraId="4A20BEB8" w14:textId="7992DAA5" w:rsidR="00421223" w:rsidRPr="005612CB" w:rsidRDefault="00421223" w:rsidP="00BF7507">
      <w:pPr>
        <w:pStyle w:val="ListBullet"/>
      </w:pPr>
      <w:r w:rsidRPr="005612CB">
        <w:t xml:space="preserve">Overall incidence of AEs </w:t>
      </w:r>
      <w:proofErr w:type="gramStart"/>
      <w:r w:rsidRPr="005612CB">
        <w:t>were</w:t>
      </w:r>
      <w:proofErr w:type="gramEnd"/>
      <w:r w:rsidRPr="005612CB">
        <w:t xml:space="preserve"> similar for T330+D (97.4%) and </w:t>
      </w:r>
      <w:r w:rsidR="004B5242" w:rsidRPr="005612CB">
        <w:t>s</w:t>
      </w:r>
      <w:r w:rsidRPr="005612CB">
        <w:t>orafenib (95.5%)</w:t>
      </w:r>
      <w:r w:rsidR="00EF3C45" w:rsidRPr="005612CB">
        <w:t>.</w:t>
      </w:r>
    </w:p>
    <w:p w14:paraId="654182F1" w14:textId="11DAF4B0" w:rsidR="00421223" w:rsidRPr="005612CB" w:rsidRDefault="00421223" w:rsidP="00BF7507">
      <w:pPr>
        <w:pStyle w:val="ListBullet"/>
      </w:pPr>
      <w:r w:rsidRPr="005612CB">
        <w:t xml:space="preserve">The commonest AEs in the sorafenib arm were </w:t>
      </w:r>
      <w:r w:rsidR="00EF3C45" w:rsidRPr="005612CB">
        <w:t>palmar-plantar erythrodysesthesia</w:t>
      </w:r>
      <w:r w:rsidRPr="005612CB">
        <w:t xml:space="preserve">, diarrhoea, </w:t>
      </w:r>
      <w:proofErr w:type="gramStart"/>
      <w:r w:rsidRPr="005612CB">
        <w:t>fatigue</w:t>
      </w:r>
      <w:proofErr w:type="gramEnd"/>
      <w:r w:rsidRPr="005612CB">
        <w:t xml:space="preserve"> and hypertension</w:t>
      </w:r>
      <w:r w:rsidR="00EF3C45" w:rsidRPr="005612CB">
        <w:t>.</w:t>
      </w:r>
    </w:p>
    <w:p w14:paraId="1D49392F" w14:textId="77777777" w:rsidR="00421223" w:rsidRPr="005612CB" w:rsidRDefault="00421223" w:rsidP="00BF7507">
      <w:pPr>
        <w:pStyle w:val="ListBullet"/>
      </w:pPr>
      <w:r w:rsidRPr="005612CB">
        <w:t>The commonest AEs in the T300+D arm were diarrhoea (26.5%), pruritus (22.9%), rash (22.4%), decreased appetite (17.0%), fatigue (17.0%) and pyrexia (12.9%).</w:t>
      </w:r>
    </w:p>
    <w:p w14:paraId="1D238D8D" w14:textId="5447AB3D" w:rsidR="00421223" w:rsidRPr="005612CB" w:rsidRDefault="00421223" w:rsidP="00BF7507">
      <w:pPr>
        <w:pStyle w:val="ListBullet"/>
      </w:pPr>
      <w:r w:rsidRPr="005612CB">
        <w:t>The commonest AEs in the</w:t>
      </w:r>
      <w:r w:rsidR="00E76304" w:rsidRPr="005612CB">
        <w:t xml:space="preserve"> durvalumab </w:t>
      </w:r>
      <w:r w:rsidRPr="005612CB">
        <w:t xml:space="preserve">alone arm were diarrhoea (14.9%), pruritus (14.4%), </w:t>
      </w:r>
      <w:r w:rsidR="009338F1" w:rsidRPr="005612CB">
        <w:t>aspartate aminotransferase (</w:t>
      </w:r>
      <w:r w:rsidRPr="005612CB">
        <w:t>AST</w:t>
      </w:r>
      <w:r w:rsidR="009338F1" w:rsidRPr="005612CB">
        <w:t>)</w:t>
      </w:r>
      <w:r w:rsidRPr="005612CB">
        <w:t xml:space="preserve"> increased (14.4%), decreased appetite (13.7%), asthenia 12.6%) and </w:t>
      </w:r>
      <w:r w:rsidR="00DF6619" w:rsidRPr="005612CB">
        <w:t>alanine aminotransferase (</w:t>
      </w:r>
      <w:r w:rsidRPr="005612CB">
        <w:t>ALT</w:t>
      </w:r>
      <w:r w:rsidR="00DF6619" w:rsidRPr="005612CB">
        <w:t>)</w:t>
      </w:r>
      <w:r w:rsidRPr="005612CB">
        <w:t xml:space="preserve"> increased (11.2%)</w:t>
      </w:r>
      <w:r w:rsidR="00EF3C45" w:rsidRPr="005612CB">
        <w:t>.</w:t>
      </w:r>
    </w:p>
    <w:p w14:paraId="77FA2D04" w14:textId="7F084E54" w:rsidR="00421223" w:rsidRPr="005612CB" w:rsidRDefault="00421223" w:rsidP="00BF7507">
      <w:pPr>
        <w:pStyle w:val="ListBullet"/>
      </w:pPr>
      <w:r w:rsidRPr="005612CB">
        <w:t>The incidence of Grade ≥3 AEs was similar in the T300+D (50.5%) and</w:t>
      </w:r>
      <w:r w:rsidR="007C2A4C" w:rsidRPr="005612CB">
        <w:t xml:space="preserve"> sorafenib </w:t>
      </w:r>
      <w:r w:rsidRPr="005612CB">
        <w:t>arms (52.4%), and lower in the</w:t>
      </w:r>
      <w:r w:rsidR="00E76304" w:rsidRPr="005612CB">
        <w:t xml:space="preserve"> durvalumab </w:t>
      </w:r>
      <w:r w:rsidRPr="005612CB">
        <w:t>arm (37.1%); the commonest of these in the T300+D arm were increased AST and increased lipase</w:t>
      </w:r>
      <w:r w:rsidR="00EF3C45" w:rsidRPr="005612CB">
        <w:t>.</w:t>
      </w:r>
    </w:p>
    <w:p w14:paraId="42420413" w14:textId="500B5ADC" w:rsidR="00C45A69" w:rsidRPr="005612CB" w:rsidRDefault="00421223" w:rsidP="00BF7507">
      <w:pPr>
        <w:pStyle w:val="ListBullet"/>
      </w:pPr>
      <w:r w:rsidRPr="005612CB">
        <w:t xml:space="preserve">The incidence of treatment-related AEs was higher in the </w:t>
      </w:r>
      <w:r w:rsidR="00EF3C45" w:rsidRPr="005612CB">
        <w:t xml:space="preserve">sorafenib </w:t>
      </w:r>
      <w:r w:rsidRPr="005612CB">
        <w:t>arm (84.8%) than the T300+D arm (75.8%) and</w:t>
      </w:r>
      <w:r w:rsidR="00E76304" w:rsidRPr="005612CB">
        <w:t xml:space="preserve"> durvalumab </w:t>
      </w:r>
      <w:r w:rsidRPr="005612CB">
        <w:t>arm (52.1%).</w:t>
      </w:r>
      <w:r w:rsidR="00C45A69" w:rsidRPr="005612CB">
        <w:t xml:space="preserve"> </w:t>
      </w:r>
      <w:r w:rsidRPr="005612CB">
        <w:t xml:space="preserve">The commonest treatment related Grade ≥3 AEs in the </w:t>
      </w:r>
      <w:r w:rsidR="004057EA" w:rsidRPr="005612CB">
        <w:t>immuno-oncology-</w:t>
      </w:r>
      <w:r w:rsidRPr="005612CB">
        <w:t xml:space="preserve">containing regimen were increased AST, </w:t>
      </w:r>
      <w:proofErr w:type="gramStart"/>
      <w:r w:rsidRPr="005612CB">
        <w:t>ALT</w:t>
      </w:r>
      <w:proofErr w:type="gramEnd"/>
      <w:r w:rsidRPr="005612CB">
        <w:t xml:space="preserve"> and amylase/lipase.</w:t>
      </w:r>
    </w:p>
    <w:p w14:paraId="6BCC5BB6" w14:textId="279AEF7D" w:rsidR="00421223" w:rsidRPr="005612CB" w:rsidRDefault="00421223" w:rsidP="00BF7507">
      <w:pPr>
        <w:pStyle w:val="ListBullet"/>
      </w:pPr>
      <w:r w:rsidRPr="005612CB">
        <w:t>Treatment discontinuation due to AEs were similar for T330+D (13.7%) and sorafenib (16.8%), and lower in the</w:t>
      </w:r>
      <w:r w:rsidR="00E76304" w:rsidRPr="005612CB">
        <w:t xml:space="preserve"> durvalumab </w:t>
      </w:r>
      <w:r w:rsidRPr="005612CB">
        <w:t xml:space="preserve">arm (8.2%), most commonly due to diarrhoea, colitis, hepatitis, </w:t>
      </w:r>
      <w:proofErr w:type="gramStart"/>
      <w:r w:rsidRPr="005612CB">
        <w:t>rash</w:t>
      </w:r>
      <w:proofErr w:type="gramEnd"/>
      <w:r w:rsidRPr="005612CB">
        <w:t xml:space="preserve"> and increased ALT/AST.</w:t>
      </w:r>
    </w:p>
    <w:p w14:paraId="19E74CDB" w14:textId="71082123" w:rsidR="00421223" w:rsidRPr="005612CB" w:rsidRDefault="00421223" w:rsidP="00BF7507">
      <w:pPr>
        <w:pStyle w:val="ListBullet"/>
      </w:pPr>
      <w:r w:rsidRPr="005612CB">
        <w:lastRenderedPageBreak/>
        <w:t>The frequency of treatment-related fatal AEs was slightly higher in the T300+D arm (2.3%; 9 of 388 patients) than the sorafenib arm (0.8%) and</w:t>
      </w:r>
      <w:r w:rsidR="00E76304" w:rsidRPr="005612CB">
        <w:t xml:space="preserve"> durvalumab </w:t>
      </w:r>
      <w:r w:rsidRPr="005612CB">
        <w:t>arm (0%).</w:t>
      </w:r>
      <w:r w:rsidR="00C45A69" w:rsidRPr="005612CB">
        <w:t xml:space="preserve"> </w:t>
      </w:r>
      <w:r w:rsidR="00EF3C45" w:rsidRPr="005612CB">
        <w:t>Seven</w:t>
      </w:r>
      <w:r w:rsidRPr="005612CB">
        <w:t xml:space="preserve"> of the 9 treatment-related fatal events in the T300+D arm were attributed to disease progression, metastases or viral etiology and the role of study treatment could not be excluded.</w:t>
      </w:r>
    </w:p>
    <w:p w14:paraId="7E86547F" w14:textId="77777777" w:rsidR="00C45A69" w:rsidRPr="005612CB" w:rsidRDefault="00421223" w:rsidP="00BF7507">
      <w:pPr>
        <w:pStyle w:val="ListBullet"/>
      </w:pPr>
      <w:r w:rsidRPr="005612CB">
        <w:t>Immune mediated AEs were more frequent in the T300+D arm (35.8%) than the durvalumab monotherapy arm (16.5%).</w:t>
      </w:r>
    </w:p>
    <w:p w14:paraId="0B93165B" w14:textId="6F16B473" w:rsidR="00421223" w:rsidRPr="005612CB" w:rsidRDefault="00421223" w:rsidP="00BF7507">
      <w:pPr>
        <w:pStyle w:val="ListBullet2"/>
        <w:rPr>
          <w:lang w:val="en-US"/>
        </w:rPr>
      </w:pPr>
      <w:r w:rsidRPr="005612CB">
        <w:rPr>
          <w:lang w:val="en-US"/>
        </w:rPr>
        <w:t xml:space="preserve">Discontinuation of study treatment due to </w:t>
      </w:r>
      <w:r w:rsidR="00207C4D" w:rsidRPr="005612CB">
        <w:rPr>
          <w:lang w:val="en-US"/>
        </w:rPr>
        <w:t>immune-related adverse events (</w:t>
      </w:r>
      <w:r w:rsidRPr="005612CB">
        <w:rPr>
          <w:lang w:val="en-US"/>
        </w:rPr>
        <w:t>irAEs</w:t>
      </w:r>
      <w:r w:rsidR="00207C4D" w:rsidRPr="005612CB">
        <w:rPr>
          <w:lang w:val="en-US"/>
        </w:rPr>
        <w:t>)</w:t>
      </w:r>
      <w:r w:rsidRPr="005612CB">
        <w:rPr>
          <w:lang w:val="en-US"/>
        </w:rPr>
        <w:t xml:space="preserve"> was low (</w:t>
      </w:r>
      <w:r w:rsidRPr="005612CB">
        <w:rPr>
          <w:rFonts w:eastAsia="TimesNewRoman" w:cs="TimesNewRoman"/>
          <w:lang w:val="en-US"/>
        </w:rPr>
        <w:t>≤5.7% patients per arm).</w:t>
      </w:r>
    </w:p>
    <w:p w14:paraId="24CD6313" w14:textId="6612AF17" w:rsidR="00421223" w:rsidRPr="005612CB" w:rsidRDefault="00EF3C45" w:rsidP="00BF7507">
      <w:pPr>
        <w:pStyle w:val="ListBullet2"/>
        <w:rPr>
          <w:lang w:val="en-US"/>
        </w:rPr>
      </w:pPr>
      <w:r w:rsidRPr="005612CB">
        <w:rPr>
          <w:rFonts w:eastAsia="TimesNewRoman" w:cs="TimesNewRoman"/>
          <w:lang w:val="en-US"/>
        </w:rPr>
        <w:t xml:space="preserve">There were </w:t>
      </w:r>
      <w:r w:rsidR="00421223" w:rsidRPr="005612CB">
        <w:rPr>
          <w:rFonts w:eastAsia="TimesNewRoman" w:cs="TimesNewRoman"/>
          <w:lang w:val="en-US"/>
        </w:rPr>
        <w:t>1.5% of patients in the T300+D arm died due to irAEs (pneumonitis, hepatic events, myocarditis, and myasthenia gravis).</w:t>
      </w:r>
    </w:p>
    <w:p w14:paraId="765E8459" w14:textId="43B3F10C" w:rsidR="00421223" w:rsidRPr="005612CB" w:rsidRDefault="00421223" w:rsidP="00BF7507">
      <w:pPr>
        <w:pStyle w:val="ListBullet2"/>
        <w:rPr>
          <w:lang w:val="en-US"/>
        </w:rPr>
      </w:pPr>
      <w:r w:rsidRPr="005612CB">
        <w:rPr>
          <w:rFonts w:eastAsia="TimesNewRoman" w:cs="TimesNewRoman"/>
          <w:lang w:val="en-US"/>
        </w:rPr>
        <w:t>Diarrhoea</w:t>
      </w:r>
      <w:r w:rsidR="00D33A91" w:rsidRPr="005612CB">
        <w:rPr>
          <w:rFonts w:eastAsia="TimesNewRoman" w:cs="TimesNewRoman"/>
          <w:lang w:val="en-US"/>
        </w:rPr>
        <w:t xml:space="preserve"> or </w:t>
      </w:r>
      <w:r w:rsidRPr="005612CB">
        <w:rPr>
          <w:rFonts w:eastAsia="TimesNewRoman" w:cs="TimesNewRoman"/>
          <w:lang w:val="en-US"/>
        </w:rPr>
        <w:t xml:space="preserve">colitis irAEs were uncommon (T300+D 5.9% </w:t>
      </w:r>
      <w:r w:rsidR="007C2A4C" w:rsidRPr="005612CB">
        <w:rPr>
          <w:rFonts w:eastAsia="TimesNewRoman" w:cs="TimesNewRoman"/>
          <w:lang w:val="en-US"/>
        </w:rPr>
        <w:t>versus</w:t>
      </w:r>
      <w:r w:rsidR="00E76304" w:rsidRPr="005612CB">
        <w:t xml:space="preserve"> durvalumab </w:t>
      </w:r>
      <w:r w:rsidRPr="005612CB">
        <w:rPr>
          <w:rFonts w:eastAsia="TimesNewRoman" w:cs="TimesNewRoman"/>
          <w:lang w:val="en-US"/>
        </w:rPr>
        <w:t xml:space="preserve">alone 0.8% </w:t>
      </w:r>
      <w:r w:rsidR="007C2A4C" w:rsidRPr="005612CB">
        <w:rPr>
          <w:rFonts w:eastAsia="TimesNewRoman" w:cs="TimesNewRoman"/>
          <w:lang w:val="en-US"/>
        </w:rPr>
        <w:t>versus</w:t>
      </w:r>
      <w:r w:rsidRPr="005612CB">
        <w:rPr>
          <w:rFonts w:eastAsia="TimesNewRoman" w:cs="TimesNewRoman"/>
          <w:lang w:val="en-US"/>
        </w:rPr>
        <w:t xml:space="preserve"> sorafenib 0.3%). Serious irAEs of diarrhoea/colitis more common in the T300+D arm (3.4%) than the sorafenib arm (0%) and</w:t>
      </w:r>
      <w:r w:rsidR="00E76304" w:rsidRPr="005612CB">
        <w:t xml:space="preserve"> durvalumab </w:t>
      </w:r>
      <w:r w:rsidRPr="005612CB">
        <w:rPr>
          <w:rFonts w:eastAsia="TimesNewRoman" w:cs="TimesNewRoman"/>
          <w:lang w:val="en-US"/>
        </w:rPr>
        <w:t>alone arm (0.5%)</w:t>
      </w:r>
      <w:r w:rsidRPr="005612CB">
        <w:rPr>
          <w:lang w:val="en-US"/>
        </w:rPr>
        <w:t>.</w:t>
      </w:r>
      <w:r w:rsidRPr="005612CB">
        <w:rPr>
          <w:rFonts w:eastAsia="TimesNewRoman" w:cs="TimesNewRoman"/>
          <w:lang w:val="en-US"/>
        </w:rPr>
        <w:t xml:space="preserve"> Discontinuation due to irAEs of diarrhea/colitis in the T300+D arm was 1.3% and 0.3% in the</w:t>
      </w:r>
      <w:r w:rsidR="00E76304" w:rsidRPr="005612CB">
        <w:t xml:space="preserve"> durvalumab </w:t>
      </w:r>
      <w:r w:rsidRPr="005612CB">
        <w:rPr>
          <w:rFonts w:eastAsia="TimesNewRoman" w:cs="TimesNewRoman"/>
          <w:lang w:val="en-US"/>
        </w:rPr>
        <w:t>alone arm.</w:t>
      </w:r>
    </w:p>
    <w:p w14:paraId="2308503B" w14:textId="2A705529" w:rsidR="00421223" w:rsidRPr="005612CB" w:rsidRDefault="00421223" w:rsidP="00BF7507">
      <w:pPr>
        <w:pStyle w:val="ListBullet2"/>
        <w:rPr>
          <w:lang w:val="en-US"/>
        </w:rPr>
      </w:pPr>
      <w:r w:rsidRPr="005612CB">
        <w:rPr>
          <w:rFonts w:eastAsia="TimesNewRoman" w:cs="TimesNewRoman"/>
          <w:lang w:val="en-US"/>
        </w:rPr>
        <w:t>Dermatitis</w:t>
      </w:r>
      <w:r w:rsidR="00D33A91" w:rsidRPr="005612CB">
        <w:rPr>
          <w:rFonts w:eastAsia="TimesNewRoman" w:cs="TimesNewRoman"/>
          <w:lang w:val="en-US"/>
        </w:rPr>
        <w:t xml:space="preserve"> or </w:t>
      </w:r>
      <w:r w:rsidRPr="005612CB">
        <w:rPr>
          <w:rFonts w:eastAsia="TimesNewRoman" w:cs="TimesNewRoman"/>
          <w:lang w:val="en-US"/>
        </w:rPr>
        <w:t xml:space="preserve">rash irAEs were uncommon (T330+D 4.9% </w:t>
      </w:r>
      <w:r w:rsidR="007C2A4C" w:rsidRPr="005612CB">
        <w:rPr>
          <w:rFonts w:eastAsia="TimesNewRoman" w:cs="TimesNewRoman"/>
          <w:lang w:val="en-US"/>
        </w:rPr>
        <w:t>versus</w:t>
      </w:r>
      <w:r w:rsidR="00E76304" w:rsidRPr="005612CB">
        <w:t xml:space="preserve"> durvalumab </w:t>
      </w:r>
      <w:r w:rsidRPr="005612CB">
        <w:rPr>
          <w:rFonts w:eastAsia="TimesNewRoman" w:cs="TimesNewRoman"/>
          <w:lang w:val="en-US"/>
        </w:rPr>
        <w:t>alone 0.8%</w:t>
      </w:r>
      <w:r w:rsidR="00C45A69" w:rsidRPr="005612CB">
        <w:rPr>
          <w:rFonts w:eastAsia="TimesNewRoman" w:cs="TimesNewRoman"/>
          <w:lang w:val="en-US"/>
        </w:rPr>
        <w:t xml:space="preserve"> </w:t>
      </w:r>
      <w:r w:rsidR="007C2A4C" w:rsidRPr="005612CB">
        <w:rPr>
          <w:rFonts w:eastAsia="TimesNewRoman" w:cs="TimesNewRoman"/>
          <w:lang w:val="en-US"/>
        </w:rPr>
        <w:t>versus</w:t>
      </w:r>
      <w:r w:rsidRPr="005612CB">
        <w:rPr>
          <w:rFonts w:eastAsia="TimesNewRoman" w:cs="TimesNewRoman"/>
          <w:lang w:val="en-US"/>
        </w:rPr>
        <w:t xml:space="preserve"> sorafenib 3.5%)</w:t>
      </w:r>
      <w:r w:rsidR="00D33A91" w:rsidRPr="005612CB">
        <w:rPr>
          <w:rFonts w:eastAsia="TimesNewRoman" w:cs="TimesNewRoman"/>
          <w:lang w:val="en-US"/>
        </w:rPr>
        <w:t>.</w:t>
      </w:r>
    </w:p>
    <w:p w14:paraId="10FAB1B1" w14:textId="1FF2388E" w:rsidR="00421223" w:rsidRPr="005612CB" w:rsidRDefault="00421223" w:rsidP="00BF7507">
      <w:pPr>
        <w:pStyle w:val="ListBullet"/>
        <w:rPr>
          <w:lang w:val="en-US"/>
        </w:rPr>
      </w:pPr>
      <w:r w:rsidRPr="005612CB">
        <w:rPr>
          <w:lang w:val="en-US"/>
        </w:rPr>
        <w:t xml:space="preserve">Hepatic AEs and hepatic treatment-related AEs were comparable across all treatment arms. The addition of tremelimumab did not significantly increase hepatotoxicity and </w:t>
      </w:r>
      <w:proofErr w:type="gramStart"/>
      <w:r w:rsidRPr="005612CB">
        <w:rPr>
          <w:lang w:val="en-US"/>
        </w:rPr>
        <w:t>the majority of</w:t>
      </w:r>
      <w:proofErr w:type="gramEnd"/>
      <w:r w:rsidRPr="005612CB">
        <w:rPr>
          <w:lang w:val="en-US"/>
        </w:rPr>
        <w:t xml:space="preserve"> treatment-related AEs were low overall and were predominantly Grade 1 or 2 events</w:t>
      </w:r>
      <w:r w:rsidR="00D33A91" w:rsidRPr="005612CB">
        <w:rPr>
          <w:lang w:val="en-US"/>
        </w:rPr>
        <w:t>.</w:t>
      </w:r>
    </w:p>
    <w:p w14:paraId="68FE6EF2" w14:textId="7250AECA" w:rsidR="00C45A69" w:rsidRPr="005612CB" w:rsidRDefault="00421223" w:rsidP="00BF7507">
      <w:pPr>
        <w:pStyle w:val="ListBullet"/>
        <w:rPr>
          <w:color w:val="000000"/>
          <w:lang w:val="en-US"/>
        </w:rPr>
      </w:pPr>
      <w:proofErr w:type="spellStart"/>
      <w:r w:rsidRPr="005612CB">
        <w:rPr>
          <w:lang w:val="en-US"/>
        </w:rPr>
        <w:t>Haemorrhagic</w:t>
      </w:r>
      <w:proofErr w:type="spellEnd"/>
      <w:r w:rsidRPr="005612CB">
        <w:rPr>
          <w:lang w:val="en-US"/>
        </w:rPr>
        <w:t xml:space="preserve"> events were low across all treatment arms: treatment related hemorrhage AEs were higher for those in the sorafenib arm (4.8%) compared with the </w:t>
      </w:r>
      <w:r w:rsidR="004057EA" w:rsidRPr="005612CB">
        <w:t>immuno-oncology-</w:t>
      </w:r>
      <w:r w:rsidRPr="005612CB">
        <w:rPr>
          <w:lang w:val="en-US"/>
        </w:rPr>
        <w:t>containing treatment arms (&lt;2%).</w:t>
      </w:r>
      <w:r w:rsidR="00C45A69" w:rsidRPr="005612CB">
        <w:rPr>
          <w:lang w:val="en-US"/>
        </w:rPr>
        <w:t xml:space="preserve"> </w:t>
      </w:r>
      <w:r w:rsidRPr="005612CB">
        <w:rPr>
          <w:lang w:val="en-US"/>
        </w:rPr>
        <w:t>No treatment-related esophageal variceal hemorrhagic events were reported in the T300+D or sorafenib arms.</w:t>
      </w:r>
      <w:r w:rsidR="00C45A69" w:rsidRPr="005612CB">
        <w:rPr>
          <w:lang w:val="en-US"/>
        </w:rPr>
        <w:t xml:space="preserve"> </w:t>
      </w:r>
      <w:r w:rsidRPr="005612CB">
        <w:rPr>
          <w:color w:val="000000"/>
          <w:lang w:val="en-US"/>
        </w:rPr>
        <w:t>T300+D was also not associated with increased bleeding risk, despite no requirement for recent endoscopy for study entry.</w:t>
      </w:r>
    </w:p>
    <w:p w14:paraId="436AF194" w14:textId="75E839CD" w:rsidR="00421223" w:rsidRPr="005612CB" w:rsidRDefault="00421223" w:rsidP="00BF7507">
      <w:pPr>
        <w:pStyle w:val="ListBullet"/>
        <w:rPr>
          <w:lang w:val="en-US"/>
        </w:rPr>
      </w:pPr>
      <w:r w:rsidRPr="005612CB">
        <w:rPr>
          <w:lang w:val="en-US"/>
        </w:rPr>
        <w:t>Clinically important changes in hematology and clinical chemistry parameters were as expected for this patient population with HCC-related liver disease. There were transient elevations in liver function tests and predominantly asymptomatic elevations in amylase and lipase. In cases where amylase and lipase laboratory values elevated beyond low grade, there was no associated increase in diagnoses of pancreatitis.</w:t>
      </w:r>
    </w:p>
    <w:p w14:paraId="78C287DD" w14:textId="0EE65D61" w:rsidR="00421223" w:rsidRPr="005612CB" w:rsidRDefault="00421223" w:rsidP="00BF7507">
      <w:pPr>
        <w:pStyle w:val="Heading6"/>
      </w:pPr>
      <w:r w:rsidRPr="005612CB">
        <w:t xml:space="preserve">Summary of safety comparison between </w:t>
      </w:r>
      <w:r w:rsidR="00086F0B" w:rsidRPr="005612CB">
        <w:t xml:space="preserve">unresectable hepatocellular carcinoma </w:t>
      </w:r>
      <w:r w:rsidRPr="005612CB">
        <w:t>population and pan</w:t>
      </w:r>
      <w:r w:rsidR="0093235B" w:rsidRPr="005612CB">
        <w:t>-</w:t>
      </w:r>
      <w:r w:rsidRPr="005612CB">
        <w:t>tumour pools</w:t>
      </w:r>
    </w:p>
    <w:p w14:paraId="59E325F7" w14:textId="4BA98ADC" w:rsidR="00421223" w:rsidRPr="005612CB" w:rsidRDefault="00421223" w:rsidP="00BF7507">
      <w:pPr>
        <w:pStyle w:val="ListBullet"/>
      </w:pPr>
      <w:r w:rsidRPr="005612CB">
        <w:rPr>
          <w:lang w:val="en-US"/>
        </w:rPr>
        <w:t xml:space="preserve">Commonly reported AEs that were reported at a ≥5% higher incidence in the HCC T300+D pool compared with the </w:t>
      </w:r>
      <w:r w:rsidR="0093235B" w:rsidRPr="005612CB">
        <w:rPr>
          <w:lang w:val="en-US"/>
        </w:rPr>
        <w:t>pan</w:t>
      </w:r>
      <w:r w:rsidRPr="005612CB">
        <w:rPr>
          <w:lang w:val="en-US"/>
        </w:rPr>
        <w:t>-tumo</w:t>
      </w:r>
      <w:r w:rsidR="0093235B" w:rsidRPr="005612CB">
        <w:rPr>
          <w:lang w:val="en-US"/>
        </w:rPr>
        <w:t>u</w:t>
      </w:r>
      <w:r w:rsidRPr="005612CB">
        <w:rPr>
          <w:lang w:val="en-US"/>
        </w:rPr>
        <w:t xml:space="preserve">r T75+D pool were pruritus, rash and AST increased, all of which are known </w:t>
      </w:r>
      <w:r w:rsidR="00BE34C6" w:rsidRPr="005612CB">
        <w:rPr>
          <w:lang w:val="en-US"/>
        </w:rPr>
        <w:t>adverse drug reaction</w:t>
      </w:r>
      <w:r w:rsidRPr="005612CB">
        <w:rPr>
          <w:lang w:val="en-US"/>
        </w:rPr>
        <w:t xml:space="preserve">s for tremelimumab; the higher incidence of AST increased may also be attributed to underlying liver </w:t>
      </w:r>
      <w:proofErr w:type="gramStart"/>
      <w:r w:rsidRPr="005612CB">
        <w:rPr>
          <w:lang w:val="en-US"/>
        </w:rPr>
        <w:t>disease</w:t>
      </w:r>
      <w:proofErr w:type="gramEnd"/>
    </w:p>
    <w:p w14:paraId="6AFAC135" w14:textId="0C656510" w:rsidR="00C45A69" w:rsidRPr="005612CB" w:rsidRDefault="00421223" w:rsidP="00BF7507">
      <w:pPr>
        <w:pStyle w:val="ListBullet"/>
        <w:rPr>
          <w:lang w:val="en-US"/>
        </w:rPr>
      </w:pPr>
      <w:r w:rsidRPr="005612CB">
        <w:rPr>
          <w:lang w:val="en-US"/>
        </w:rPr>
        <w:t>The only commonly reported AE that was reported at a ≥5% higher incidence in the HCC</w:t>
      </w:r>
      <w:r w:rsidR="00E76304" w:rsidRPr="005612CB">
        <w:t xml:space="preserve"> durvalumab </w:t>
      </w:r>
      <w:r w:rsidRPr="005612CB">
        <w:rPr>
          <w:lang w:val="en-US"/>
        </w:rPr>
        <w:t xml:space="preserve">pool compared with the </w:t>
      </w:r>
      <w:r w:rsidR="0093235B" w:rsidRPr="005612CB">
        <w:rPr>
          <w:lang w:val="en-US"/>
        </w:rPr>
        <w:t>pan</w:t>
      </w:r>
      <w:r w:rsidRPr="005612CB">
        <w:rPr>
          <w:lang w:val="en-US"/>
        </w:rPr>
        <w:t>-tumo</w:t>
      </w:r>
      <w:r w:rsidR="0093235B" w:rsidRPr="005612CB">
        <w:rPr>
          <w:lang w:val="en-US"/>
        </w:rPr>
        <w:t>u</w:t>
      </w:r>
      <w:r w:rsidRPr="005612CB">
        <w:rPr>
          <w:lang w:val="en-US"/>
        </w:rPr>
        <w:t>r</w:t>
      </w:r>
      <w:r w:rsidR="00E76304" w:rsidRPr="005612CB">
        <w:t xml:space="preserve"> durvalumab </w:t>
      </w:r>
      <w:r w:rsidRPr="005612CB">
        <w:rPr>
          <w:lang w:val="en-US"/>
        </w:rPr>
        <w:t>pool was AST increased which was likely due to underlying liver disease.</w:t>
      </w:r>
    </w:p>
    <w:p w14:paraId="4526F828" w14:textId="0D2E4794" w:rsidR="00421223" w:rsidRPr="005612CB" w:rsidRDefault="00421223" w:rsidP="00BF7507">
      <w:pPr>
        <w:pStyle w:val="ListBullet"/>
      </w:pPr>
      <w:r w:rsidRPr="005612CB">
        <w:rPr>
          <w:lang w:val="en-US"/>
        </w:rPr>
        <w:t>Overall, no new or unexpected safety findings were identified upon comparison of the HCC T300+D pool or HCC</w:t>
      </w:r>
      <w:r w:rsidR="00E76304" w:rsidRPr="005612CB">
        <w:t xml:space="preserve"> durvalumab </w:t>
      </w:r>
      <w:r w:rsidRPr="005612CB">
        <w:rPr>
          <w:lang w:val="en-US"/>
        </w:rPr>
        <w:t xml:space="preserve">pool with the </w:t>
      </w:r>
      <w:r w:rsidR="0093235B" w:rsidRPr="005612CB">
        <w:rPr>
          <w:lang w:val="en-US"/>
        </w:rPr>
        <w:t>pan</w:t>
      </w:r>
      <w:r w:rsidRPr="005612CB">
        <w:rPr>
          <w:lang w:val="en-US"/>
        </w:rPr>
        <w:t>-tumo</w:t>
      </w:r>
      <w:r w:rsidR="0093235B" w:rsidRPr="005612CB">
        <w:rPr>
          <w:lang w:val="en-US"/>
        </w:rPr>
        <w:t>u</w:t>
      </w:r>
      <w:r w:rsidRPr="005612CB">
        <w:rPr>
          <w:lang w:val="en-US"/>
        </w:rPr>
        <w:t>r pools.</w:t>
      </w:r>
    </w:p>
    <w:p w14:paraId="5718AE25" w14:textId="77777777" w:rsidR="00421223" w:rsidRPr="005612CB" w:rsidRDefault="00421223" w:rsidP="00BF7507">
      <w:pPr>
        <w:pStyle w:val="Heading5"/>
        <w:rPr>
          <w:rFonts w:eastAsia="TimesNewRoman"/>
          <w:lang w:val="en-US"/>
        </w:rPr>
      </w:pPr>
      <w:r w:rsidRPr="005612CB">
        <w:rPr>
          <w:rFonts w:eastAsia="TimesNewRoman"/>
          <w:lang w:val="en-US"/>
        </w:rPr>
        <w:t>Conclusions on clinical safety</w:t>
      </w:r>
    </w:p>
    <w:p w14:paraId="432E62AE" w14:textId="2B0D44B9" w:rsidR="00C45A69" w:rsidRPr="005612CB" w:rsidRDefault="00421223" w:rsidP="002F0C1F">
      <w:r w:rsidRPr="005612CB">
        <w:t xml:space="preserve">The clinical </w:t>
      </w:r>
      <w:r w:rsidR="00D902D0" w:rsidRPr="005612CB">
        <w:t>evaluation</w:t>
      </w:r>
      <w:r w:rsidRPr="005612CB">
        <w:t xml:space="preserve"> concluded that overall, the safety and tolerability of tremelimumab administered in combination with durvalumab was generally consistent with the known safety </w:t>
      </w:r>
      <w:r w:rsidRPr="005612CB">
        <w:lastRenderedPageBreak/>
        <w:t>profile for each agent, and AEs were well tolerated and manageable according to toxicity management guidelines. Of note, the increased risk of irAEs observed following treatment with dual checkpoint inhibition (</w:t>
      </w:r>
      <w:r w:rsidR="00C93605" w:rsidRPr="005612CB">
        <w:t>for example,</w:t>
      </w:r>
      <w:r w:rsidRPr="005612CB">
        <w:t xml:space="preserve"> nivolumab + ipilimumab) was also observed following tremelimumab and durvalumab treatment in this submission.</w:t>
      </w:r>
    </w:p>
    <w:p w14:paraId="5B70AA22" w14:textId="0234EB2A" w:rsidR="00630769" w:rsidRPr="005612CB" w:rsidRDefault="00630769" w:rsidP="00630769">
      <w:pPr>
        <w:pStyle w:val="Heading4"/>
      </w:pPr>
      <w:bookmarkStart w:id="63" w:name="_Toc152934445"/>
      <w:r w:rsidRPr="005612CB">
        <w:t>Recommendation following the clinical evaluation</w:t>
      </w:r>
      <w:bookmarkEnd w:id="63"/>
    </w:p>
    <w:p w14:paraId="4A4DFBF8" w14:textId="77777777" w:rsidR="00C45A69" w:rsidRPr="005612CB" w:rsidRDefault="00421223" w:rsidP="007310B7">
      <w:r w:rsidRPr="005612CB">
        <w:t>In summary, the Clinical Evaluator’s overall assessment included the following:</w:t>
      </w:r>
    </w:p>
    <w:p w14:paraId="097C05BD" w14:textId="2D49A0CA" w:rsidR="00C45A69" w:rsidRPr="005612CB" w:rsidRDefault="00421223" w:rsidP="004B3CCC">
      <w:pPr>
        <w:ind w:left="720"/>
      </w:pPr>
      <w:r w:rsidRPr="005612CB">
        <w:t xml:space="preserve">Overall, the results from the pivotal Phase III HIMALAYA </w:t>
      </w:r>
      <w:r w:rsidR="003F49BF" w:rsidRPr="005612CB">
        <w:t xml:space="preserve">trial </w:t>
      </w:r>
      <w:r w:rsidRPr="005612CB">
        <w:t xml:space="preserve">in patients with unresectable HCC provided evidence that a single priming dose of tremelimumab combined with durvalumab improves efficacy and has a clinically meaningful improvement over the </w:t>
      </w:r>
      <w:r w:rsidR="00B07BB2" w:rsidRPr="005612CB">
        <w:t>standard of care</w:t>
      </w:r>
      <w:r w:rsidRPr="005612CB">
        <w:t xml:space="preserve"> (at time of this study) sorafenib monotherapy.</w:t>
      </w:r>
      <w:r w:rsidR="00C45A69" w:rsidRPr="005612CB">
        <w:t xml:space="preserve"> </w:t>
      </w:r>
      <w:r w:rsidRPr="005612CB">
        <w:t xml:space="preserve">Evidence of efficacy/safety was established in patients with uHCC who have not received prior systemic therapy and have Child Pugh Class A liver function and good performance status (ECOG </w:t>
      </w:r>
      <w:r w:rsidR="0046627A" w:rsidRPr="005612CB">
        <w:t xml:space="preserve">PS </w:t>
      </w:r>
      <w:r w:rsidRPr="005612CB">
        <w:t>of 0). In Australia, sorafenib or lenvatinib is currently recommended as initial systemic therapy in patients with advanced (BCLC</w:t>
      </w:r>
      <w:r w:rsidR="000313B4" w:rsidRPr="005612CB">
        <w:t xml:space="preserve"> Stage </w:t>
      </w:r>
      <w:r w:rsidRPr="005612CB">
        <w:t>C) or multifocal HCC that is not amenable to curative or locoregional therapy (BCLC</w:t>
      </w:r>
      <w:r w:rsidR="000313B4" w:rsidRPr="005612CB">
        <w:t xml:space="preserve"> Stage </w:t>
      </w:r>
      <w:r w:rsidRPr="005612CB">
        <w:t xml:space="preserve">B) and who have preserved liver function and good performance status. Lenvatinib (a multiple kinase inhibitor against </w:t>
      </w:r>
      <w:r w:rsidR="000313B4" w:rsidRPr="005612CB">
        <w:t>VEGFR</w:t>
      </w:r>
      <w:r w:rsidRPr="005612CB">
        <w:t>-1, -2, and -3 and fibroblast growth factor receptor</w:t>
      </w:r>
      <w:r w:rsidR="007D52EC" w:rsidRPr="005612CB">
        <w:t xml:space="preserve"> (FGFR)</w:t>
      </w:r>
      <w:r w:rsidRPr="005612CB">
        <w:t xml:space="preserve">-1, -2, -3, and -4) is also approved as </w:t>
      </w:r>
      <w:r w:rsidR="004B3CCC" w:rsidRPr="005612CB">
        <w:t>first-line</w:t>
      </w:r>
      <w:r w:rsidRPr="005612CB">
        <w:t xml:space="preserve"> treatment for advanced HCC in patients without main portal vein invasion and a Performance Status of 0 to 1. The use of sorafenib (400mg </w:t>
      </w:r>
      <w:r w:rsidR="008B7014" w:rsidRPr="005612CB">
        <w:t>twice daily</w:t>
      </w:r>
      <w:r w:rsidRPr="005612CB">
        <w:t xml:space="preserve"> orally) as the comparator in the pivotal Phase III study was appropriate.</w:t>
      </w:r>
      <w:r w:rsidR="00C45A69" w:rsidRPr="005612CB">
        <w:t xml:space="preserve"> </w:t>
      </w:r>
      <w:r w:rsidRPr="005612CB">
        <w:t xml:space="preserve">Evidence of efficacy/safety established in patients with uHCC who have not received prior systemic therapy and have Child Pugh Class A liver function and good performance status (ECOG </w:t>
      </w:r>
      <w:r w:rsidR="00AB5D75" w:rsidRPr="005612CB">
        <w:t>PS</w:t>
      </w:r>
      <w:r w:rsidRPr="005612CB">
        <w:t xml:space="preserve"> 0).</w:t>
      </w:r>
    </w:p>
    <w:p w14:paraId="327AB45F" w14:textId="3CC3DDB0" w:rsidR="00C45A69" w:rsidRPr="005612CB" w:rsidRDefault="00421223" w:rsidP="004B3CCC">
      <w:pPr>
        <w:ind w:left="720"/>
      </w:pPr>
      <w:r w:rsidRPr="005612CB">
        <w:t>Durvalumab demonstrated an acceptable safety profile consistent with that known for</w:t>
      </w:r>
      <w:r w:rsidR="00DF515D" w:rsidRPr="005612CB">
        <w:t xml:space="preserve"> durvalumab </w:t>
      </w:r>
      <w:r w:rsidRPr="005612CB">
        <w:t xml:space="preserve">and a better safety profile when compared to </w:t>
      </w:r>
      <w:r w:rsidR="00AC2B59" w:rsidRPr="005612CB">
        <w:t>sorafenib</w:t>
      </w:r>
      <w:r w:rsidRPr="005612CB">
        <w:t xml:space="preserve">. Overall, the safety and tolerability of tremelimumab administered in combination with durvalumab was generally consistent with the known safety profile for each agent, and AEs were manageable according to toxicity management guidelines. Although more toxicity was observed with the T300+D compared to </w:t>
      </w:r>
      <w:r w:rsidR="00DD6FD4" w:rsidRPr="005612CB">
        <w:t>durvalumab</w:t>
      </w:r>
      <w:r w:rsidRPr="005612CB">
        <w:t xml:space="preserve">, T300+D did not significantly increase treatment related hepatotoxicity, as evidenced by the incidence of hepatic disorder. Treatment-related AEs associated with VEGF inhibitors, such as hypertension, </w:t>
      </w:r>
      <w:proofErr w:type="gramStart"/>
      <w:r w:rsidRPr="005612CB">
        <w:t>proteinuria</w:t>
      </w:r>
      <w:proofErr w:type="gramEnd"/>
      <w:r w:rsidRPr="005612CB">
        <w:t xml:space="preserve"> and bleeding events,</w:t>
      </w:r>
      <w:r w:rsidR="008D2E10" w:rsidRPr="005612CB">
        <w:rPr>
          <w:rStyle w:val="FootnoteReference"/>
        </w:rPr>
        <w:footnoteReference w:id="32"/>
      </w:r>
      <w:r w:rsidRPr="005612CB">
        <w:t xml:space="preserve"> were rare or not observed in </w:t>
      </w:r>
      <w:r w:rsidR="00DD6FD4" w:rsidRPr="005612CB">
        <w:t xml:space="preserve">the </w:t>
      </w:r>
      <w:r w:rsidRPr="005612CB">
        <w:t xml:space="preserve">HIMALAYA </w:t>
      </w:r>
      <w:r w:rsidR="00DD6FD4" w:rsidRPr="005612CB">
        <w:t xml:space="preserve">trial </w:t>
      </w:r>
      <w:r w:rsidRPr="005612CB">
        <w:t xml:space="preserve">with T300+D. The T300+D regimen was not associated with increased bleeding risk in the </w:t>
      </w:r>
      <w:r w:rsidR="003F49BF" w:rsidRPr="005612CB">
        <w:t>HIMALAYA trial</w:t>
      </w:r>
      <w:r w:rsidRPr="005612CB">
        <w:t xml:space="preserve"> suggesting that T300+D may be administered without the requirement for recent endoscopy although this was not specifically addressed in the submitted studies.</w:t>
      </w:r>
    </w:p>
    <w:p w14:paraId="5914013D" w14:textId="5A20E29F" w:rsidR="00C45A69" w:rsidRPr="005612CB" w:rsidRDefault="00421223" w:rsidP="004B3CCC">
      <w:pPr>
        <w:ind w:left="720"/>
      </w:pPr>
      <w:r w:rsidRPr="005612CB">
        <w:t xml:space="preserve">There was lack of adequate evidence of efficacy/safety of proposed combination (T300+D) as </w:t>
      </w:r>
      <w:r w:rsidR="004B3CCC" w:rsidRPr="005612CB">
        <w:t>second-line</w:t>
      </w:r>
      <w:r w:rsidRPr="005612CB">
        <w:t xml:space="preserve"> systemic therapy for patients with uHCC. </w:t>
      </w:r>
      <w:proofErr w:type="gramStart"/>
      <w:r w:rsidRPr="005612CB">
        <w:t>All of</w:t>
      </w:r>
      <w:proofErr w:type="gramEnd"/>
      <w:r w:rsidRPr="005612CB">
        <w:t xml:space="preserve"> the patients in the pivotal Phase III </w:t>
      </w:r>
      <w:r w:rsidR="003F49BF" w:rsidRPr="005612CB">
        <w:t>HIMALAYA trial</w:t>
      </w:r>
      <w:r w:rsidRPr="005612CB">
        <w:t xml:space="preserve"> and 27</w:t>
      </w:r>
      <w:r w:rsidR="00DD6FD4" w:rsidRPr="005612CB">
        <w:t xml:space="preserve">% to </w:t>
      </w:r>
      <w:r w:rsidRPr="005612CB">
        <w:t xml:space="preserve">35% of patients in the Phase I/II supportive </w:t>
      </w:r>
      <w:r w:rsidR="003F49BF" w:rsidRPr="005612CB">
        <w:t>S</w:t>
      </w:r>
      <w:r w:rsidRPr="005612CB">
        <w:t xml:space="preserve">tudy 22 received proposed combination treatment as </w:t>
      </w:r>
      <w:r w:rsidR="004B3CCC" w:rsidRPr="005612CB">
        <w:t>first-line</w:t>
      </w:r>
      <w:r w:rsidRPr="005612CB">
        <w:t xml:space="preserve"> systemic therapy. Results observed in the uncontrolled Phase I/II </w:t>
      </w:r>
      <w:r w:rsidR="003F49BF" w:rsidRPr="005612CB">
        <w:t xml:space="preserve">Study </w:t>
      </w:r>
      <w:r w:rsidRPr="005612CB">
        <w:t xml:space="preserve">22 did not provide conclusive evidence of efficacy/safety of proposed combination (T300+D) as </w:t>
      </w:r>
      <w:r w:rsidR="004B3CCC" w:rsidRPr="005612CB">
        <w:t>second-line</w:t>
      </w:r>
      <w:r w:rsidRPr="005612CB">
        <w:t xml:space="preserve"> treatment.</w:t>
      </w:r>
    </w:p>
    <w:p w14:paraId="7E19A1C9" w14:textId="2A5CE97F" w:rsidR="00421223" w:rsidRPr="005612CB" w:rsidRDefault="00421223" w:rsidP="004B3CCC">
      <w:pPr>
        <w:ind w:left="720"/>
      </w:pPr>
      <w:r w:rsidRPr="005612CB">
        <w:lastRenderedPageBreak/>
        <w:t xml:space="preserve">Hence, the benefit-risk profile is not favourable for proposed indication but can become favourable if </w:t>
      </w:r>
      <w:r w:rsidR="00F62F91" w:rsidRPr="005612CB">
        <w:t xml:space="preserve">[the specific </w:t>
      </w:r>
      <w:r w:rsidRPr="005612CB">
        <w:t>comments</w:t>
      </w:r>
      <w:r w:rsidR="00F62F91" w:rsidRPr="005612CB">
        <w:t xml:space="preserve"> raised by c</w:t>
      </w:r>
      <w:r w:rsidR="001877A1" w:rsidRPr="005612CB">
        <w:t>linical evaluation]</w:t>
      </w:r>
      <w:r w:rsidR="001877A1" w:rsidRPr="005612CB">
        <w:rPr>
          <w:rStyle w:val="FootnoteReference"/>
        </w:rPr>
        <w:footnoteReference w:id="33"/>
      </w:r>
      <w:r w:rsidRPr="005612CB">
        <w:t xml:space="preserve"> are addressed specifically related to proposed wording reflecting the patient population evaluated in the pivotal efficacy/safety study (as </w:t>
      </w:r>
      <w:r w:rsidR="004B3CCC" w:rsidRPr="005612CB">
        <w:t>first-line</w:t>
      </w:r>
      <w:r w:rsidRPr="005612CB">
        <w:t xml:space="preserve"> systemic therapy for uHCC).</w:t>
      </w:r>
    </w:p>
    <w:p w14:paraId="55AF2EF2" w14:textId="77777777" w:rsidR="0054339B" w:rsidRPr="005612CB" w:rsidRDefault="00421223" w:rsidP="007310B7">
      <w:r w:rsidRPr="005612CB">
        <w:t xml:space="preserve">The </w:t>
      </w:r>
      <w:r w:rsidR="0054339B" w:rsidRPr="005612CB">
        <w:t xml:space="preserve">first round of </w:t>
      </w:r>
      <w:r w:rsidRPr="005612CB">
        <w:t xml:space="preserve">clinical </w:t>
      </w:r>
      <w:r w:rsidR="00D902D0" w:rsidRPr="005612CB">
        <w:t>evaluation</w:t>
      </w:r>
      <w:r w:rsidRPr="005612CB">
        <w:t xml:space="preserve">’s recommendation was that </w:t>
      </w:r>
      <w:r w:rsidR="00A83354" w:rsidRPr="005612CB">
        <w:t>Imfinzi</w:t>
      </w:r>
      <w:r w:rsidRPr="005612CB">
        <w:t xml:space="preserve"> could not be approved for patients who had previously received systemic therapy, with the recommendation that approval could potentially be granted for the following indication:</w:t>
      </w:r>
    </w:p>
    <w:p w14:paraId="6DDA4281" w14:textId="3CA8CC8F" w:rsidR="00421223" w:rsidRPr="005612CB" w:rsidRDefault="00A83354" w:rsidP="0054339B">
      <w:pPr>
        <w:ind w:left="720"/>
        <w:rPr>
          <w:i/>
          <w:iCs/>
        </w:rPr>
      </w:pPr>
      <w:r w:rsidRPr="005612CB">
        <w:rPr>
          <w:i/>
          <w:iCs/>
        </w:rPr>
        <w:t>Imfinzi</w:t>
      </w:r>
      <w:r w:rsidR="00421223" w:rsidRPr="005612CB">
        <w:rPr>
          <w:i/>
          <w:iCs/>
        </w:rPr>
        <w:t xml:space="preserve"> in combination with tremelimumab is indicated for the treatment of patients with unresectable hepatocellular carcinoma (uHCC) who have not received prior systemic therapy.</w:t>
      </w:r>
    </w:p>
    <w:p w14:paraId="61746B69" w14:textId="66AC0658" w:rsidR="00C45A69" w:rsidRPr="005612CB" w:rsidRDefault="00421223" w:rsidP="007310B7">
      <w:r w:rsidRPr="005612CB">
        <w:t xml:space="preserve">The </w:t>
      </w:r>
      <w:r w:rsidR="005347EE" w:rsidRPr="005612CB">
        <w:t>s</w:t>
      </w:r>
      <w:r w:rsidRPr="005612CB">
        <w:t>ponsor’s response included the following:</w:t>
      </w:r>
    </w:p>
    <w:p w14:paraId="35E1CB69" w14:textId="7ECDBBB4" w:rsidR="00421223" w:rsidRPr="005612CB" w:rsidRDefault="00421223" w:rsidP="007310B7">
      <w:pPr>
        <w:pStyle w:val="ListBullet"/>
        <w:rPr>
          <w:lang w:val="en-US"/>
        </w:rPr>
      </w:pPr>
      <w:r w:rsidRPr="005612CB">
        <w:rPr>
          <w:lang w:val="en-US"/>
        </w:rPr>
        <w:t xml:space="preserve">Data from two independent studies supporting the proposed indication of uHCC have been provided with this application. </w:t>
      </w:r>
      <w:r w:rsidR="005347EE" w:rsidRPr="005612CB">
        <w:rPr>
          <w:lang w:val="en-US"/>
        </w:rPr>
        <w:t xml:space="preserve">The </w:t>
      </w:r>
      <w:r w:rsidRPr="005612CB">
        <w:rPr>
          <w:lang w:val="en-US"/>
        </w:rPr>
        <w:t xml:space="preserve">HIMALAYA </w:t>
      </w:r>
      <w:r w:rsidR="005347EE" w:rsidRPr="005612CB">
        <w:rPr>
          <w:lang w:val="en-US"/>
        </w:rPr>
        <w:t xml:space="preserve">trial </w:t>
      </w:r>
      <w:r w:rsidRPr="005612CB">
        <w:rPr>
          <w:lang w:val="en-US"/>
        </w:rPr>
        <w:t xml:space="preserve">enrolled a </w:t>
      </w:r>
      <w:r w:rsidR="004B3CCC" w:rsidRPr="005612CB">
        <w:rPr>
          <w:lang w:val="en-US"/>
        </w:rPr>
        <w:t>first-line</w:t>
      </w:r>
      <w:r w:rsidRPr="005612CB">
        <w:rPr>
          <w:lang w:val="en-US"/>
        </w:rPr>
        <w:t xml:space="preserve"> patient population, and Study 22 enrolled a predominately </w:t>
      </w:r>
      <w:r w:rsidR="004B3CCC" w:rsidRPr="005612CB">
        <w:rPr>
          <w:lang w:val="en-US"/>
        </w:rPr>
        <w:t>second-line</w:t>
      </w:r>
      <w:r w:rsidRPr="005612CB">
        <w:rPr>
          <w:lang w:val="en-US"/>
        </w:rPr>
        <w:t xml:space="preserve"> patient population, with roughly two</w:t>
      </w:r>
      <w:r w:rsidR="004B3CCC" w:rsidRPr="005612CB">
        <w:rPr>
          <w:lang w:val="en-US"/>
        </w:rPr>
        <w:noBreakHyphen/>
      </w:r>
      <w:r w:rsidRPr="005612CB">
        <w:rPr>
          <w:lang w:val="en-US"/>
        </w:rPr>
        <w:t>thirds (</w:t>
      </w:r>
      <w:r w:rsidR="004B3CCC" w:rsidRPr="005612CB">
        <w:rPr>
          <w:lang w:val="en-US"/>
        </w:rPr>
        <w:t xml:space="preserve">n = </w:t>
      </w:r>
      <w:r w:rsidRPr="005612CB">
        <w:rPr>
          <w:lang w:val="en-US"/>
        </w:rPr>
        <w:t xml:space="preserve">223 </w:t>
      </w:r>
      <w:r w:rsidR="004B3CCC" w:rsidRPr="005612CB">
        <w:rPr>
          <w:lang w:val="en-US"/>
        </w:rPr>
        <w:t>(</w:t>
      </w:r>
      <w:r w:rsidRPr="005612CB">
        <w:rPr>
          <w:lang w:val="en-US"/>
        </w:rPr>
        <w:t>33.2%</w:t>
      </w:r>
      <w:r w:rsidR="004B3CCC" w:rsidRPr="005612CB">
        <w:rPr>
          <w:lang w:val="en-US"/>
        </w:rPr>
        <w:t>)</w:t>
      </w:r>
      <w:r w:rsidRPr="005612CB">
        <w:rPr>
          <w:lang w:val="en-US"/>
        </w:rPr>
        <w:t>) of the subjects enrolled in Parts 2 and 3 receiving treatment with sorafenib prior to enrolment. In the T300+D arm, 73.3% (</w:t>
      </w:r>
      <w:r w:rsidR="004B3CCC" w:rsidRPr="005612CB">
        <w:rPr>
          <w:lang w:val="en-US"/>
        </w:rPr>
        <w:t xml:space="preserve">n = </w:t>
      </w:r>
      <w:r w:rsidRPr="005612CB">
        <w:rPr>
          <w:lang w:val="en-US"/>
        </w:rPr>
        <w:t>55) of subjects were previously treated with sorafenib prior to study entry.</w:t>
      </w:r>
    </w:p>
    <w:p w14:paraId="32454ED7" w14:textId="11A5A465" w:rsidR="00421223" w:rsidRPr="005612CB" w:rsidRDefault="00421223" w:rsidP="007310B7">
      <w:pPr>
        <w:pStyle w:val="ListBullet"/>
        <w:rPr>
          <w:lang w:val="en-US"/>
        </w:rPr>
      </w:pPr>
      <w:r w:rsidRPr="005612CB">
        <w:rPr>
          <w:lang w:val="en-US"/>
        </w:rPr>
        <w:t>Importantly, both studies include both T300+D and</w:t>
      </w:r>
      <w:r w:rsidR="00DF515D" w:rsidRPr="005612CB">
        <w:t xml:space="preserve"> durvalumab </w:t>
      </w:r>
      <w:r w:rsidRPr="005612CB">
        <w:rPr>
          <w:lang w:val="en-US"/>
        </w:rPr>
        <w:t>arms. In this way, patients receiving</w:t>
      </w:r>
      <w:r w:rsidR="00DF515D" w:rsidRPr="005612CB">
        <w:t xml:space="preserve"> durvalumab </w:t>
      </w:r>
      <w:r w:rsidRPr="005612CB">
        <w:rPr>
          <w:lang w:val="en-US"/>
        </w:rPr>
        <w:t>act as a control across both studies and the overall results can be interpreted together to ascertain the value of T300+D independent of line of therapy.</w:t>
      </w:r>
    </w:p>
    <w:p w14:paraId="27EE63D3" w14:textId="27AC8BE8" w:rsidR="00421223" w:rsidRPr="005612CB" w:rsidRDefault="00421223" w:rsidP="007310B7">
      <w:pPr>
        <w:pStyle w:val="ListBullet"/>
        <w:rPr>
          <w:lang w:val="en-US"/>
        </w:rPr>
      </w:pPr>
      <w:r w:rsidRPr="005612CB">
        <w:rPr>
          <w:lang w:val="en-US"/>
        </w:rPr>
        <w:t>Consistency of improved benefit of the T300+D over</w:t>
      </w:r>
      <w:r w:rsidR="00DF515D" w:rsidRPr="005612CB">
        <w:t xml:space="preserve"> durvalumab </w:t>
      </w:r>
      <w:r w:rsidRPr="005612CB">
        <w:rPr>
          <w:lang w:val="en-US"/>
        </w:rPr>
        <w:t xml:space="preserve">was observed across all prespecified endpoints from </w:t>
      </w:r>
      <w:r w:rsidR="004B3CCC" w:rsidRPr="005612CB">
        <w:rPr>
          <w:lang w:val="en-US"/>
        </w:rPr>
        <w:t xml:space="preserve">the </w:t>
      </w:r>
      <w:r w:rsidRPr="005612CB">
        <w:rPr>
          <w:lang w:val="en-US"/>
        </w:rPr>
        <w:t xml:space="preserve">HIMALAYA </w:t>
      </w:r>
      <w:r w:rsidR="004B3CCC" w:rsidRPr="005612CB">
        <w:rPr>
          <w:lang w:val="en-US"/>
        </w:rPr>
        <w:t xml:space="preserve">trial </w:t>
      </w:r>
      <w:r w:rsidRPr="005612CB">
        <w:rPr>
          <w:lang w:val="en-US"/>
        </w:rPr>
        <w:t>and Study 22.</w:t>
      </w:r>
    </w:p>
    <w:p w14:paraId="7F7867B2" w14:textId="2A517DB7" w:rsidR="00421223" w:rsidRPr="005612CB" w:rsidRDefault="004B3CCC" w:rsidP="007310B7">
      <w:pPr>
        <w:pStyle w:val="ListBullet"/>
        <w:rPr>
          <w:lang w:val="en-US"/>
        </w:rPr>
      </w:pPr>
      <w:r w:rsidRPr="005612CB">
        <w:rPr>
          <w:lang w:val="en-US"/>
        </w:rPr>
        <w:t xml:space="preserve">The </w:t>
      </w:r>
      <w:r w:rsidR="00421223" w:rsidRPr="005612CB">
        <w:rPr>
          <w:lang w:val="en-US"/>
        </w:rPr>
        <w:t xml:space="preserve">HIMALAYA </w:t>
      </w:r>
      <w:r w:rsidRPr="005612CB">
        <w:rPr>
          <w:lang w:val="en-US"/>
        </w:rPr>
        <w:t xml:space="preserve">trial </w:t>
      </w:r>
      <w:r w:rsidR="00421223" w:rsidRPr="005612CB">
        <w:rPr>
          <w:lang w:val="en-US"/>
        </w:rPr>
        <w:t>demonstrates that T300+D was superior to</w:t>
      </w:r>
      <w:r w:rsidR="007C2A4C" w:rsidRPr="005612CB">
        <w:t xml:space="preserve"> sorafenib </w:t>
      </w:r>
      <w:r w:rsidR="00421223" w:rsidRPr="005612CB">
        <w:rPr>
          <w:lang w:val="en-US"/>
        </w:rPr>
        <w:t>with a tolerable and manageable safety profile. Two independent well-conducted studies support a clear evaluation of the contribution of each component of the proposed T300+D regimen in first- and second-line unresectable HCC. Overall, the results support that a single priming dose of tremelimumab combined with durvalumab improves efficacy and has a clinically meaningful improvement over durvalumab monotherapy, with benefit of the tremelimumab priming dose observed across both studies.</w:t>
      </w:r>
    </w:p>
    <w:p w14:paraId="492F13E5" w14:textId="12AFB377" w:rsidR="00421223" w:rsidRPr="005612CB" w:rsidRDefault="00421223" w:rsidP="007310B7">
      <w:r w:rsidRPr="005612CB">
        <w:t xml:space="preserve">Following review of the sponsor’s response, the clinical </w:t>
      </w:r>
      <w:r w:rsidR="00D902D0" w:rsidRPr="005612CB">
        <w:t>evaluation</w:t>
      </w:r>
      <w:r w:rsidRPr="005612CB">
        <w:t xml:space="preserve"> modified their assessment of benefit-risk balance</w:t>
      </w:r>
      <w:r w:rsidR="00CC68D1" w:rsidRPr="005612CB">
        <w:t>,</w:t>
      </w:r>
      <w:r w:rsidRPr="005612CB">
        <w:t xml:space="preserve"> with the following conclusion:</w:t>
      </w:r>
    </w:p>
    <w:p w14:paraId="747AFCDA" w14:textId="2985FE4A" w:rsidR="00C45A69" w:rsidRPr="005612CB" w:rsidRDefault="00421223" w:rsidP="004B3CCC">
      <w:pPr>
        <w:ind w:left="720"/>
      </w:pPr>
      <w:proofErr w:type="gramStart"/>
      <w:r w:rsidRPr="005612CB">
        <w:t>All of</w:t>
      </w:r>
      <w:proofErr w:type="gramEnd"/>
      <w:r w:rsidRPr="005612CB">
        <w:t xml:space="preserve"> the patients in the pivotal Phase III </w:t>
      </w:r>
      <w:r w:rsidR="003F49BF" w:rsidRPr="005612CB">
        <w:t>HIMALAYA trial</w:t>
      </w:r>
      <w:r w:rsidRPr="005612CB">
        <w:t xml:space="preserve"> and 27</w:t>
      </w:r>
      <w:r w:rsidR="004B3CCC" w:rsidRPr="005612CB">
        <w:t xml:space="preserve">% to </w:t>
      </w:r>
      <w:r w:rsidRPr="005612CB">
        <w:t xml:space="preserve">35% of patients in the Phase I/II supportive </w:t>
      </w:r>
      <w:r w:rsidR="003F49BF" w:rsidRPr="005612CB">
        <w:t>Study 22</w:t>
      </w:r>
      <w:r w:rsidRPr="005612CB">
        <w:t xml:space="preserve"> received proposed combination treatment as </w:t>
      </w:r>
      <w:r w:rsidR="004B3CCC" w:rsidRPr="005612CB">
        <w:t>first-line</w:t>
      </w:r>
      <w:r w:rsidRPr="005612CB">
        <w:t xml:space="preserve"> systemic therapy. Results observed in the uncontrolled Phase I/II </w:t>
      </w:r>
      <w:r w:rsidR="003F49BF" w:rsidRPr="005612CB">
        <w:t>S</w:t>
      </w:r>
      <w:r w:rsidRPr="005612CB">
        <w:t xml:space="preserve">tudy 22 only provided supportive evidence of efficacy/safety of proposed combination (T300+D) as </w:t>
      </w:r>
      <w:r w:rsidR="004B3CCC" w:rsidRPr="005612CB">
        <w:t>second-line</w:t>
      </w:r>
      <w:r w:rsidRPr="005612CB">
        <w:t xml:space="preserve"> treatment.</w:t>
      </w:r>
      <w:r w:rsidR="00C45A69" w:rsidRPr="005612CB">
        <w:t xml:space="preserve"> </w:t>
      </w:r>
      <w:r w:rsidRPr="005612CB">
        <w:t xml:space="preserve">There is no data on efficacy/safety of the proposed T300+D combination treatment for patients who have failed </w:t>
      </w:r>
      <w:r w:rsidR="004B3CCC" w:rsidRPr="005612CB">
        <w:t>first-line</w:t>
      </w:r>
      <w:r w:rsidRPr="005612CB">
        <w:t xml:space="preserve"> treatment with other agents such as combination of atezolizumab and bevacizumab.</w:t>
      </w:r>
      <w:r w:rsidR="00A864DA" w:rsidRPr="005612CB">
        <w:rPr>
          <w:vertAlign w:val="superscript"/>
        </w:rPr>
        <w:fldChar w:fldCharType="begin"/>
      </w:r>
      <w:r w:rsidR="00A864DA" w:rsidRPr="005612CB">
        <w:rPr>
          <w:vertAlign w:val="superscript"/>
        </w:rPr>
        <w:instrText xml:space="preserve"> NOTEREF _Ref148451653 \h  \* MERGEFORMAT </w:instrText>
      </w:r>
      <w:r w:rsidR="00A864DA" w:rsidRPr="005612CB">
        <w:rPr>
          <w:vertAlign w:val="superscript"/>
        </w:rPr>
      </w:r>
      <w:r w:rsidR="00A864DA" w:rsidRPr="005612CB">
        <w:rPr>
          <w:vertAlign w:val="superscript"/>
        </w:rPr>
        <w:fldChar w:fldCharType="separate"/>
      </w:r>
      <w:r w:rsidR="00711616">
        <w:rPr>
          <w:vertAlign w:val="superscript"/>
        </w:rPr>
        <w:t>22</w:t>
      </w:r>
      <w:r w:rsidR="00A864DA" w:rsidRPr="005612CB">
        <w:rPr>
          <w:vertAlign w:val="superscript"/>
        </w:rPr>
        <w:fldChar w:fldCharType="end"/>
      </w:r>
      <w:r w:rsidRPr="005612CB">
        <w:t xml:space="preserve"> However, it is acknowledged that proposed combination (T300+D) could provide a potential therapeutic option for patients who have failed </w:t>
      </w:r>
      <w:r w:rsidR="004B3CCC" w:rsidRPr="005612CB">
        <w:t>first-line</w:t>
      </w:r>
      <w:r w:rsidRPr="005612CB">
        <w:t xml:space="preserve"> of treatment with sorafenib after individual benefit-risk assessment by treating physicians.</w:t>
      </w:r>
    </w:p>
    <w:p w14:paraId="5D0C367F" w14:textId="38937EB4" w:rsidR="004B3CCC" w:rsidRPr="005612CB" w:rsidRDefault="00421223" w:rsidP="004B3CCC">
      <w:pPr>
        <w:ind w:left="720"/>
      </w:pPr>
      <w:r w:rsidRPr="005612CB">
        <w:t>Overall, the benefit-risk profile of durvalumab (</w:t>
      </w:r>
      <w:r w:rsidR="00A83354" w:rsidRPr="005612CB">
        <w:t>Imfinzi</w:t>
      </w:r>
      <w:r w:rsidRPr="005612CB">
        <w:t>) is favourable for the following proposed indication:</w:t>
      </w:r>
    </w:p>
    <w:p w14:paraId="608103B7" w14:textId="31F89206" w:rsidR="00421223" w:rsidRPr="005612CB" w:rsidRDefault="00A83354" w:rsidP="004B3CCC">
      <w:pPr>
        <w:ind w:left="1440"/>
        <w:rPr>
          <w:i/>
          <w:iCs/>
        </w:rPr>
      </w:pPr>
      <w:r w:rsidRPr="005612CB">
        <w:rPr>
          <w:i/>
          <w:iCs/>
        </w:rPr>
        <w:t>Imfinzi</w:t>
      </w:r>
      <w:r w:rsidR="00421223" w:rsidRPr="005612CB">
        <w:rPr>
          <w:i/>
          <w:iCs/>
        </w:rPr>
        <w:t xml:space="preserve"> in combination with tremelimumab is indicated for the treatment of patients with unresectable hepatocellular carcinoma (uHCC).</w:t>
      </w:r>
    </w:p>
    <w:p w14:paraId="346D26CA" w14:textId="2A792493" w:rsidR="00421223" w:rsidRPr="005612CB" w:rsidRDefault="00421223" w:rsidP="004B3CCC">
      <w:r w:rsidRPr="005612CB">
        <w:lastRenderedPageBreak/>
        <w:t xml:space="preserve">The </w:t>
      </w:r>
      <w:r w:rsidR="004B3CCC" w:rsidRPr="005612CB">
        <w:t xml:space="preserve">second round of </w:t>
      </w:r>
      <w:r w:rsidRPr="005612CB">
        <w:t xml:space="preserve">clinical </w:t>
      </w:r>
      <w:r w:rsidR="00D902D0" w:rsidRPr="005612CB">
        <w:t>evaluation</w:t>
      </w:r>
      <w:r w:rsidRPr="005612CB">
        <w:t>’s recommendation was amended to the following:</w:t>
      </w:r>
    </w:p>
    <w:p w14:paraId="1F0587E0" w14:textId="48DD333F" w:rsidR="00C45A69" w:rsidRPr="005612CB" w:rsidRDefault="00421223" w:rsidP="004B3CCC">
      <w:pPr>
        <w:ind w:left="720"/>
      </w:pPr>
      <w:r w:rsidRPr="005612CB">
        <w:t xml:space="preserve">Despite limitations regarding submitted evidence of efficacy/safety as </w:t>
      </w:r>
      <w:r w:rsidR="004B3CCC" w:rsidRPr="005612CB">
        <w:t>second-line</w:t>
      </w:r>
      <w:r w:rsidRPr="005612CB">
        <w:t xml:space="preserve"> of systemic treatment for adults with uHCC, it is acknowledged that the proposed combination (T300+D) could provide a potential therapeutic option for patients who have failed </w:t>
      </w:r>
      <w:proofErr w:type="gramStart"/>
      <w:r w:rsidR="004B3CCC" w:rsidRPr="005612CB">
        <w:t>first-line</w:t>
      </w:r>
      <w:proofErr w:type="gramEnd"/>
      <w:r w:rsidRPr="005612CB">
        <w:t xml:space="preserve"> of treatment with sorafenib after individual benefit-risk assessment by treating physicians.</w:t>
      </w:r>
    </w:p>
    <w:p w14:paraId="3BEA2715" w14:textId="77777777" w:rsidR="00C45A69" w:rsidRPr="005612CB" w:rsidRDefault="00421223" w:rsidP="004B3CCC">
      <w:pPr>
        <w:ind w:left="720"/>
      </w:pPr>
      <w:r w:rsidRPr="005612CB">
        <w:t xml:space="preserve">It is recommended that the marketing application for </w:t>
      </w:r>
      <w:r w:rsidR="00A83354" w:rsidRPr="005612CB">
        <w:t>Imfinzi</w:t>
      </w:r>
      <w:r w:rsidRPr="005612CB">
        <w:t xml:space="preserve"> be approved for the following indication:</w:t>
      </w:r>
    </w:p>
    <w:p w14:paraId="4C155800" w14:textId="444CF193" w:rsidR="00421223" w:rsidRPr="005612CB" w:rsidRDefault="00A83354" w:rsidP="004B3CCC">
      <w:pPr>
        <w:ind w:left="1440"/>
      </w:pPr>
      <w:r w:rsidRPr="005612CB">
        <w:rPr>
          <w:i/>
          <w:iCs/>
        </w:rPr>
        <w:t>Imfinzi</w:t>
      </w:r>
      <w:r w:rsidR="00421223" w:rsidRPr="005612CB">
        <w:rPr>
          <w:i/>
          <w:iCs/>
        </w:rPr>
        <w:t xml:space="preserve"> in combination with tremelimumab is indicated for the treatment of patients with unresectable hepatocellular carcinoma (uHCC).</w:t>
      </w:r>
    </w:p>
    <w:p w14:paraId="2858B006" w14:textId="77777777" w:rsidR="00C22214" w:rsidRPr="005612CB" w:rsidRDefault="00C22214" w:rsidP="00C22214">
      <w:pPr>
        <w:pStyle w:val="Heading3"/>
        <w:rPr>
          <w:lang w:eastAsia="en-AU"/>
        </w:rPr>
      </w:pPr>
      <w:bookmarkStart w:id="64" w:name="_Toc314842514"/>
      <w:bookmarkStart w:id="65" w:name="_Toc103679298"/>
      <w:bookmarkStart w:id="66" w:name="_Toc152934446"/>
      <w:r w:rsidRPr="005612CB">
        <w:rPr>
          <w:lang w:eastAsia="en-AU"/>
        </w:rPr>
        <w:t>Risk management plan</w:t>
      </w:r>
      <w:bookmarkEnd w:id="64"/>
      <w:bookmarkEnd w:id="65"/>
      <w:bookmarkEnd w:id="66"/>
    </w:p>
    <w:p w14:paraId="0908AE06" w14:textId="77777777" w:rsidR="00FA1BC9" w:rsidRPr="005612CB" w:rsidRDefault="00FA1BC9" w:rsidP="00387C53">
      <w:bookmarkStart w:id="67" w:name="_Toc247691531"/>
      <w:bookmarkStart w:id="68" w:name="_Toc314842515"/>
      <w:bookmarkStart w:id="69" w:name="_Toc103679299"/>
      <w:r w:rsidRPr="005612CB">
        <w:t>The sponsor is required to comply with product vigilance and risk minimisation requirements.</w:t>
      </w:r>
    </w:p>
    <w:p w14:paraId="2D08CB50" w14:textId="52AB7BA8" w:rsidR="00FA1BC9" w:rsidRPr="005612CB" w:rsidRDefault="00FA1BC9" w:rsidP="00387C53">
      <w:r w:rsidRPr="005612CB">
        <w:t>The TGA decided a RMP was not required</w:t>
      </w:r>
      <w:r w:rsidR="00C45A69" w:rsidRPr="005612CB">
        <w:t xml:space="preserve"> </w:t>
      </w:r>
      <w:r w:rsidRPr="005612CB">
        <w:t xml:space="preserve">(see </w:t>
      </w:r>
      <w:hyperlink r:id="rId25" w:history="1">
        <w:r w:rsidRPr="005612CB">
          <w:rPr>
            <w:rStyle w:val="Hyperlink"/>
          </w:rPr>
          <w:t>TGA’s guidance</w:t>
        </w:r>
      </w:hyperlink>
      <w:r w:rsidRPr="005612CB">
        <w:t xml:space="preserve"> on ‘when an RMP is required’)</w:t>
      </w:r>
    </w:p>
    <w:p w14:paraId="456C7934" w14:textId="37E04878" w:rsidR="00FA1BC9" w:rsidRPr="005612CB" w:rsidRDefault="00FA1BC9" w:rsidP="00387C53">
      <w:r w:rsidRPr="005612CB">
        <w:t xml:space="preserve">The TGA may request an updated RMP at any stage of a product's </w:t>
      </w:r>
      <w:proofErr w:type="gramStart"/>
      <w:r w:rsidRPr="005612CB">
        <w:t>life-cycle</w:t>
      </w:r>
      <w:proofErr w:type="gramEnd"/>
      <w:r w:rsidRPr="005612CB">
        <w:t xml:space="preserve">, during both the pre-approval and post-approval phases. Further information regarding the TGA’s risk management approach can be found in </w:t>
      </w:r>
      <w:hyperlink r:id="rId26" w:history="1">
        <w:r w:rsidRPr="005612CB">
          <w:rPr>
            <w:rStyle w:val="Hyperlink"/>
          </w:rPr>
          <w:t>risk management plans for medicines and biologicals</w:t>
        </w:r>
      </w:hyperlink>
      <w:r w:rsidRPr="005612CB">
        <w:t xml:space="preserve"> and </w:t>
      </w:r>
      <w:hyperlink r:id="rId27" w:history="1">
        <w:r w:rsidRPr="005612CB">
          <w:rPr>
            <w:rStyle w:val="Hyperlink"/>
          </w:rPr>
          <w:t>the TGA's risk management approach</w:t>
        </w:r>
      </w:hyperlink>
      <w:r w:rsidRPr="005612CB">
        <w:t xml:space="preserve">. Information on the </w:t>
      </w:r>
      <w:hyperlink r:id="rId28" w:history="1">
        <w:r w:rsidRPr="005612CB">
          <w:rPr>
            <w:rStyle w:val="Hyperlink"/>
          </w:rPr>
          <w:t>Australia specific annex</w:t>
        </w:r>
      </w:hyperlink>
      <w:r w:rsidRPr="005612CB">
        <w:t xml:space="preserve"> (</w:t>
      </w:r>
      <w:hyperlink r:id="rId29" w:history="1">
        <w:r w:rsidRPr="005612CB">
          <w:rPr>
            <w:rStyle w:val="Hyperlink"/>
          </w:rPr>
          <w:t>ASA</w:t>
        </w:r>
      </w:hyperlink>
      <w:r w:rsidRPr="005612CB">
        <w:t>) can be found on the TGA website.</w:t>
      </w:r>
    </w:p>
    <w:p w14:paraId="74A4F87F" w14:textId="77777777" w:rsidR="00C22214" w:rsidRPr="005612CB" w:rsidRDefault="00C22214" w:rsidP="00C22214">
      <w:pPr>
        <w:pStyle w:val="Heading3"/>
      </w:pPr>
      <w:bookmarkStart w:id="70" w:name="_Toc152934447"/>
      <w:r w:rsidRPr="005612CB">
        <w:t>Risk-benefit analysis</w:t>
      </w:r>
      <w:bookmarkEnd w:id="67"/>
      <w:bookmarkEnd w:id="68"/>
      <w:bookmarkEnd w:id="69"/>
      <w:bookmarkEnd w:id="70"/>
    </w:p>
    <w:p w14:paraId="77DE2655" w14:textId="77777777" w:rsidR="00C22214" w:rsidRPr="005612CB" w:rsidRDefault="00C22214" w:rsidP="00C22214">
      <w:pPr>
        <w:pStyle w:val="Heading4"/>
      </w:pPr>
      <w:bookmarkStart w:id="71" w:name="_Toc98931932"/>
      <w:bookmarkStart w:id="72" w:name="_Toc152934448"/>
      <w:r w:rsidRPr="005612CB">
        <w:t>Delegate’s considerations</w:t>
      </w:r>
      <w:bookmarkEnd w:id="71"/>
      <w:bookmarkEnd w:id="72"/>
    </w:p>
    <w:p w14:paraId="5C9314F8" w14:textId="77777777" w:rsidR="00D335E6" w:rsidRPr="005612CB" w:rsidRDefault="00D335E6" w:rsidP="00387C53">
      <w:pPr>
        <w:pStyle w:val="Heading5"/>
      </w:pPr>
      <w:r w:rsidRPr="005612CB">
        <w:t>Condition</w:t>
      </w:r>
    </w:p>
    <w:p w14:paraId="11985486" w14:textId="06C844D1" w:rsidR="00D335E6" w:rsidRPr="005612CB" w:rsidRDefault="00D335E6" w:rsidP="00387C53">
      <w:r w:rsidRPr="005612CB">
        <w:t>The incidence rate of hepatocellular cancer in Australia has continued to increase over the past decade, despite a reduction in the overall cancer incidence rate.</w:t>
      </w:r>
      <w:r w:rsidR="00C45A69" w:rsidRPr="005612CB">
        <w:t xml:space="preserve"> </w:t>
      </w:r>
      <w:r w:rsidRPr="005612CB">
        <w:t>In 2021, 2,832 Australians were diagnosed with HCC, with an incidence of 8.9 per 100,000 and an associated 2,424 deaths.</w:t>
      </w:r>
      <w:r w:rsidR="0030374A" w:rsidRPr="005612CB">
        <w:t xml:space="preserve"> </w:t>
      </w:r>
      <w:r w:rsidRPr="005612CB">
        <w:t xml:space="preserve">HCC is </w:t>
      </w:r>
      <w:r w:rsidR="00233E19" w:rsidRPr="005612CB">
        <w:t>seventh</w:t>
      </w:r>
      <w:r w:rsidRPr="005612CB">
        <w:t xml:space="preserve"> commonest cause of cancer related death in Australia; the age standardised mortality rate of 7.0 per 100,000 has increased by more than 200% from 1982 to 2019, more than for any other cancer.</w:t>
      </w:r>
      <w:r w:rsidR="002834CD" w:rsidRPr="005612CB">
        <w:rPr>
          <w:rStyle w:val="FootnoteReference"/>
        </w:rPr>
        <w:footnoteReference w:id="34"/>
      </w:r>
      <w:r w:rsidR="00C45A69" w:rsidRPr="005612CB">
        <w:t xml:space="preserve"> </w:t>
      </w:r>
      <w:r w:rsidRPr="005612CB">
        <w:t xml:space="preserve">On the basis of annual projections, it is estimated by the World Health Organisation that worldwide, more than </w:t>
      </w:r>
      <w:r w:rsidR="00233E19" w:rsidRPr="005612CB">
        <w:t>one</w:t>
      </w:r>
      <w:r w:rsidRPr="005612CB">
        <w:t xml:space="preserve"> million patients will die from liver cancer in 2030.</w:t>
      </w:r>
      <w:r w:rsidR="007F2CAB" w:rsidRPr="005612CB">
        <w:rPr>
          <w:vertAlign w:val="superscript"/>
        </w:rPr>
        <w:fldChar w:fldCharType="begin"/>
      </w:r>
      <w:r w:rsidR="007F2CAB" w:rsidRPr="005612CB">
        <w:rPr>
          <w:vertAlign w:val="superscript"/>
        </w:rPr>
        <w:instrText xml:space="preserve"> NOTEREF _Ref148369096 \h  \* MERGEFORMAT </w:instrText>
      </w:r>
      <w:r w:rsidR="007F2CAB" w:rsidRPr="005612CB">
        <w:rPr>
          <w:vertAlign w:val="superscript"/>
        </w:rPr>
      </w:r>
      <w:r w:rsidR="007F2CAB" w:rsidRPr="005612CB">
        <w:rPr>
          <w:vertAlign w:val="superscript"/>
        </w:rPr>
        <w:fldChar w:fldCharType="separate"/>
      </w:r>
      <w:r w:rsidR="00711616">
        <w:rPr>
          <w:vertAlign w:val="superscript"/>
        </w:rPr>
        <w:t>9</w:t>
      </w:r>
      <w:r w:rsidR="007F2CAB" w:rsidRPr="005612CB">
        <w:rPr>
          <w:vertAlign w:val="superscript"/>
        </w:rPr>
        <w:fldChar w:fldCharType="end"/>
      </w:r>
    </w:p>
    <w:p w14:paraId="638C9E73" w14:textId="6D63296A" w:rsidR="00C45A69" w:rsidRPr="005612CB" w:rsidRDefault="00D335E6" w:rsidP="00387C53">
      <w:r w:rsidRPr="005612CB">
        <w:t xml:space="preserve">Risk factors for HCC are well known, including </w:t>
      </w:r>
      <w:r w:rsidR="002111CA" w:rsidRPr="005612CB">
        <w:t>HBV and HCV</w:t>
      </w:r>
      <w:r w:rsidRPr="005612CB">
        <w:t>, cirrhosis secondary to alcohol or non-alcoholic fatty liver disease, and other rarer conditions such as hereditary haemochromatosis, alpha-1 antitrypsin deficiency and primary biliary cirrhosis.</w:t>
      </w:r>
      <w:r w:rsidR="00C030A2" w:rsidRPr="005612CB">
        <w:rPr>
          <w:vertAlign w:val="superscript"/>
        </w:rPr>
        <w:fldChar w:fldCharType="begin"/>
      </w:r>
      <w:r w:rsidR="00C030A2" w:rsidRPr="005612CB">
        <w:rPr>
          <w:vertAlign w:val="superscript"/>
        </w:rPr>
        <w:instrText xml:space="preserve"> NOTEREF _Ref148369096 \h  \* MERGEFORMAT </w:instrText>
      </w:r>
      <w:r w:rsidR="00C030A2" w:rsidRPr="005612CB">
        <w:rPr>
          <w:vertAlign w:val="superscript"/>
        </w:rPr>
      </w:r>
      <w:r w:rsidR="00C030A2" w:rsidRPr="005612CB">
        <w:rPr>
          <w:vertAlign w:val="superscript"/>
        </w:rPr>
        <w:fldChar w:fldCharType="separate"/>
      </w:r>
      <w:r w:rsidR="00711616">
        <w:rPr>
          <w:vertAlign w:val="superscript"/>
        </w:rPr>
        <w:t>9</w:t>
      </w:r>
      <w:r w:rsidR="00C030A2" w:rsidRPr="005612CB">
        <w:rPr>
          <w:vertAlign w:val="superscript"/>
        </w:rPr>
        <w:fldChar w:fldCharType="end"/>
      </w:r>
      <w:r w:rsidR="00C45A69" w:rsidRPr="005612CB">
        <w:t xml:space="preserve"> </w:t>
      </w:r>
      <w:r w:rsidRPr="005612CB">
        <w:t>The underlying aetiology is an important consideration due to its association with differential mechanisms leading to the development of HCC as well as possible relationship with response to treatment.</w:t>
      </w:r>
    </w:p>
    <w:p w14:paraId="4806F828" w14:textId="0502413B" w:rsidR="00D335E6" w:rsidRPr="005612CB" w:rsidRDefault="00CD146F" w:rsidP="00387C53">
      <w:r w:rsidRPr="005612CB">
        <w:t>Hepatocellular carcinoma</w:t>
      </w:r>
      <w:r w:rsidR="00D335E6" w:rsidRPr="005612CB">
        <w:t xml:space="preserve"> is among the group of solid cancers with the fewest somatic mutations that can be targeted with molecular therapies, and no mutations are used in clinical practice to predict therapeutic response.</w:t>
      </w:r>
      <w:r w:rsidR="00D335E6" w:rsidRPr="005612CB">
        <w:rPr>
          <w:vertAlign w:val="superscript"/>
        </w:rPr>
        <w:footnoteReference w:id="35"/>
      </w:r>
      <w:r w:rsidR="00C45A69" w:rsidRPr="005612CB">
        <w:t xml:space="preserve"> </w:t>
      </w:r>
      <w:r w:rsidR="00D335E6" w:rsidRPr="005612CB">
        <w:t xml:space="preserve">At present, molecular profiling may be considered in patients </w:t>
      </w:r>
      <w:r w:rsidR="00D335E6" w:rsidRPr="005612CB">
        <w:lastRenderedPageBreak/>
        <w:t>with advanced disease in order to determine eligibility into clinical trials of new molecular targeted agents such as IDH1, IDH2, FGF and KRAS.</w:t>
      </w:r>
      <w:r w:rsidR="00D335E6" w:rsidRPr="005612CB">
        <w:rPr>
          <w:vertAlign w:val="superscript"/>
        </w:rPr>
        <w:footnoteReference w:id="36"/>
      </w:r>
      <w:r w:rsidR="00C45A69" w:rsidRPr="005612CB">
        <w:t xml:space="preserve"> </w:t>
      </w:r>
      <w:r w:rsidR="00D335E6" w:rsidRPr="005612CB">
        <w:t>Genomic evidence for immune activation is seen in about a third of early stage hepatocellular carcinomas, whereas 25% have no immune infiltrate; understanding the interaction between cancer cells and the tumour microenvironment will be important in developing new therapy and identifying useful biomarkers.</w:t>
      </w:r>
      <w:r w:rsidR="00D335E6" w:rsidRPr="005612CB">
        <w:rPr>
          <w:vertAlign w:val="superscript"/>
        </w:rPr>
        <w:footnoteReference w:id="37"/>
      </w:r>
    </w:p>
    <w:p w14:paraId="4E6AFD55" w14:textId="77777777" w:rsidR="00D335E6" w:rsidRPr="005612CB" w:rsidRDefault="00D335E6" w:rsidP="004706E9">
      <w:pPr>
        <w:pStyle w:val="Heading5"/>
      </w:pPr>
      <w:r w:rsidRPr="005612CB">
        <w:t>Current treatment options</w:t>
      </w:r>
    </w:p>
    <w:p w14:paraId="12C5D34B" w14:textId="02250256" w:rsidR="00C45A69" w:rsidRPr="005612CB" w:rsidRDefault="00D335E6" w:rsidP="004706E9">
      <w:r w:rsidRPr="005612CB">
        <w:t>Recent advances have seen the approval for use of a number of systemic therapies for advanced disease in Australia, including lenvatinib (</w:t>
      </w:r>
      <w:r w:rsidR="00C70CB2" w:rsidRPr="005612CB">
        <w:t>first-line</w:t>
      </w:r>
      <w:r w:rsidRPr="005612CB">
        <w:t>), regorafenib (</w:t>
      </w:r>
      <w:proofErr w:type="gramStart"/>
      <w:r w:rsidR="00C70CB2" w:rsidRPr="005612CB">
        <w:t>second-line</w:t>
      </w:r>
      <w:proofErr w:type="gramEnd"/>
      <w:r w:rsidRPr="005612CB">
        <w:t xml:space="preserve">), </w:t>
      </w:r>
      <w:proofErr w:type="spellStart"/>
      <w:r w:rsidRPr="005612CB">
        <w:t>cabozantinib</w:t>
      </w:r>
      <w:proofErr w:type="spellEnd"/>
      <w:r w:rsidRPr="005612CB">
        <w:t xml:space="preserve"> (</w:t>
      </w:r>
      <w:r w:rsidR="00C70CB2" w:rsidRPr="005612CB">
        <w:t>second-line</w:t>
      </w:r>
      <w:r w:rsidRPr="005612CB">
        <w:t>), nivolumab (</w:t>
      </w:r>
      <w:r w:rsidR="00C70CB2" w:rsidRPr="005612CB">
        <w:t>second-line</w:t>
      </w:r>
      <w:r w:rsidRPr="005612CB">
        <w:t>) and atezolizumab plus bevacizumab (</w:t>
      </w:r>
      <w:r w:rsidR="00C70CB2" w:rsidRPr="005612CB">
        <w:t>first-line</w:t>
      </w:r>
      <w:r w:rsidRPr="005612CB">
        <w:t>).</w:t>
      </w:r>
    </w:p>
    <w:p w14:paraId="7D5C528B" w14:textId="67531A58" w:rsidR="00C45A69" w:rsidRPr="005612CB" w:rsidRDefault="00D335E6" w:rsidP="004706E9">
      <w:r w:rsidRPr="005612CB">
        <w:t>Until recently, sorafenib was the standard of care in the upfront treatment of patients with advanced HCC, with an increase in median survival to 10.7 months from 7.9 months with placebo.</w:t>
      </w:r>
      <w:r w:rsidR="00C45A69" w:rsidRPr="005612CB">
        <w:t xml:space="preserve"> </w:t>
      </w:r>
      <w:r w:rsidRPr="005612CB">
        <w:t xml:space="preserve">Since 2020, the updated recommended treatment of advanced HCC in the </w:t>
      </w:r>
      <w:r w:rsidR="004B3CCC" w:rsidRPr="005612CB">
        <w:t>first-line</w:t>
      </w:r>
      <w:r w:rsidRPr="005612CB">
        <w:t xml:space="preserve"> setting is now the combination of atezolizumab and bevacizumab, having shown an OS benefit over sorafenib (IMbrave150</w:t>
      </w:r>
      <w:r w:rsidR="0045621C" w:rsidRPr="005612CB">
        <w:t xml:space="preserve"> trial</w:t>
      </w:r>
      <w:r w:rsidRPr="005612CB">
        <w:t>).</w:t>
      </w:r>
      <w:r w:rsidR="00C45A69" w:rsidRPr="005612CB">
        <w:t xml:space="preserve"> </w:t>
      </w:r>
      <w:r w:rsidRPr="005612CB">
        <w:t xml:space="preserve">Sorafenib and lenvatinib remain </w:t>
      </w:r>
      <w:r w:rsidR="004B3CCC" w:rsidRPr="005612CB">
        <w:t>first-line</w:t>
      </w:r>
      <w:r w:rsidRPr="005612CB">
        <w:t xml:space="preserve"> treatment alternatives.</w:t>
      </w:r>
      <w:r w:rsidR="00C45A69" w:rsidRPr="005612CB">
        <w:t xml:space="preserve"> </w:t>
      </w:r>
      <w:r w:rsidRPr="005612CB">
        <w:t xml:space="preserve">It remains unclear what the benefits of </w:t>
      </w:r>
      <w:proofErr w:type="gramStart"/>
      <w:r w:rsidR="004B3CCC" w:rsidRPr="005612CB">
        <w:t>second-line</w:t>
      </w:r>
      <w:proofErr w:type="gramEnd"/>
      <w:r w:rsidRPr="005612CB">
        <w:t xml:space="preserve"> and subsequent systemic therapy options are for patients who have received atezolizumab and bevacizumab as </w:t>
      </w:r>
      <w:r w:rsidR="004B3CCC" w:rsidRPr="005612CB">
        <w:t>first-line</w:t>
      </w:r>
      <w:r w:rsidRPr="005612CB">
        <w:t xml:space="preserve"> treatment.</w:t>
      </w:r>
    </w:p>
    <w:p w14:paraId="36ED58AF" w14:textId="35EC11E2" w:rsidR="00D335E6" w:rsidRPr="005612CB" w:rsidRDefault="00D335E6" w:rsidP="004706E9">
      <w:r w:rsidRPr="005612CB">
        <w:t>Despite therapeutic advances in unresectable HCC, additional treatments for this population are needed.</w:t>
      </w:r>
      <w:r w:rsidR="00C45A69" w:rsidRPr="005612CB">
        <w:t xml:space="preserve"> </w:t>
      </w:r>
      <w:r w:rsidRPr="005612CB">
        <w:t>The sponsor has highlighted the increased bleeding risk in patients with HCC and the need for adequate endoscopic evaluation and management of oesophageal varices within 6</w:t>
      </w:r>
      <w:r w:rsidR="0045621C" w:rsidRPr="005612CB">
        <w:t> </w:t>
      </w:r>
      <w:r w:rsidRPr="005612CB">
        <w:t>months prior to treatment with front-line atezolizumab plus bevacizumab combination.</w:t>
      </w:r>
    </w:p>
    <w:p w14:paraId="4A700FD5" w14:textId="70FF5F95" w:rsidR="00D335E6" w:rsidRPr="005612CB" w:rsidRDefault="00D335E6" w:rsidP="004706E9">
      <w:r w:rsidRPr="005612CB">
        <w:t>Targeting both the PD-1 and CTLA-4 pathways using dual checkpoint blockade could result in a potential additive tumour effect with a longer duration of immune activation.</w:t>
      </w:r>
      <w:r w:rsidR="00C45A69" w:rsidRPr="005612CB">
        <w:t xml:space="preserve"> </w:t>
      </w:r>
      <w:r w:rsidRPr="005612CB">
        <w:t>Tremelimumab in combination with durvalumab (</w:t>
      </w:r>
      <w:r w:rsidR="00E545F9" w:rsidRPr="005612CB">
        <w:t>single tremelimumab regular interval durvalumab (</w:t>
      </w:r>
      <w:r w:rsidRPr="005612CB">
        <w:t>STRIDE</w:t>
      </w:r>
      <w:r w:rsidR="00E545F9" w:rsidRPr="005612CB">
        <w:t>)</w:t>
      </w:r>
      <w:r w:rsidRPr="005612CB">
        <w:t xml:space="preserve"> and durvalumab monotherapy) versus sorafenib in the treatment of patients with unresectable HCC not previously treated with systemic therapy was evaluated in the </w:t>
      </w:r>
      <w:r w:rsidR="0045621C" w:rsidRPr="005612CB">
        <w:t xml:space="preserve">Phase </w:t>
      </w:r>
      <w:r w:rsidRPr="005612CB">
        <w:t xml:space="preserve">3 </w:t>
      </w:r>
      <w:r w:rsidR="003F49BF" w:rsidRPr="005612CB">
        <w:t>HIMALAYA trial</w:t>
      </w:r>
      <w:r w:rsidRPr="005612CB">
        <w:t xml:space="preserve"> which forms the basis of this submission.</w:t>
      </w:r>
    </w:p>
    <w:p w14:paraId="481C4B8D" w14:textId="77777777" w:rsidR="00D335E6" w:rsidRPr="005612CB" w:rsidRDefault="00D335E6" w:rsidP="004706E9">
      <w:pPr>
        <w:pStyle w:val="Heading5"/>
      </w:pPr>
      <w:r w:rsidRPr="005612CB">
        <w:t>Proposed indication</w:t>
      </w:r>
    </w:p>
    <w:p w14:paraId="24C12F3F" w14:textId="1C2FA808" w:rsidR="00C45A69" w:rsidRPr="005612CB" w:rsidRDefault="00D335E6" w:rsidP="004706E9">
      <w:r w:rsidRPr="005612CB">
        <w:t xml:space="preserve">The </w:t>
      </w:r>
      <w:r w:rsidR="0045621C" w:rsidRPr="005612CB">
        <w:t>s</w:t>
      </w:r>
      <w:r w:rsidRPr="005612CB">
        <w:t xml:space="preserve">ponsor is seeking registration for the use of </w:t>
      </w:r>
      <w:r w:rsidR="00A83354" w:rsidRPr="005612CB">
        <w:t>Imfinzi</w:t>
      </w:r>
      <w:r w:rsidRPr="005612CB">
        <w:t xml:space="preserve"> in combination with tremelimumab, with the proposed indication as follows:</w:t>
      </w:r>
    </w:p>
    <w:p w14:paraId="763CC0A1" w14:textId="2C6AC17A" w:rsidR="00D335E6" w:rsidRPr="005612CB" w:rsidRDefault="00A83354" w:rsidP="0045621C">
      <w:pPr>
        <w:ind w:left="720"/>
        <w:rPr>
          <w:i/>
          <w:iCs/>
        </w:rPr>
      </w:pPr>
      <w:r w:rsidRPr="005612CB">
        <w:rPr>
          <w:i/>
          <w:iCs/>
        </w:rPr>
        <w:t>Imfinzi</w:t>
      </w:r>
      <w:r w:rsidR="00D335E6" w:rsidRPr="005612CB">
        <w:rPr>
          <w:i/>
          <w:iCs/>
        </w:rPr>
        <w:t xml:space="preserve"> in combination with tremelimumab is indicated for the treatment of patients with unresectable hepatocellular carcinoma (uHCC).</w:t>
      </w:r>
    </w:p>
    <w:p w14:paraId="13B6E903" w14:textId="3FBD879B" w:rsidR="00D335E6" w:rsidRPr="005612CB" w:rsidRDefault="00D335E6" w:rsidP="004706E9">
      <w:r w:rsidRPr="005612CB">
        <w:t>The proposed recommended Imfinzi dose is 1500</w:t>
      </w:r>
      <w:r w:rsidR="0045621C" w:rsidRPr="005612CB">
        <w:t xml:space="preserve"> </w:t>
      </w:r>
      <w:r w:rsidRPr="005612CB">
        <w:t>mg at Cycle 1 Day 1, in combination with a single 300</w:t>
      </w:r>
      <w:r w:rsidR="0045621C" w:rsidRPr="005612CB">
        <w:t xml:space="preserve"> </w:t>
      </w:r>
      <w:r w:rsidRPr="005612CB">
        <w:t xml:space="preserve">mg tremelimumab priming dose, followed by Imfinzi as monotherapy every 4 weeks. (Patients with a body weight of 30 kg or less must receive weight-based dosing, equivalent to </w:t>
      </w:r>
      <w:r w:rsidR="00A83354" w:rsidRPr="005612CB">
        <w:t>Imfinzi</w:t>
      </w:r>
      <w:r w:rsidRPr="005612CB">
        <w:t xml:space="preserve"> 20 mg/kg and tremelimumab 4 mg/kg until weight is greater than 30 kg.</w:t>
      </w:r>
      <w:r w:rsidR="00C45A69" w:rsidRPr="005612CB">
        <w:t xml:space="preserve"> </w:t>
      </w:r>
      <w:r w:rsidRPr="005612CB">
        <w:t xml:space="preserve">Tremelimumab should be administered prior to </w:t>
      </w:r>
      <w:r w:rsidR="00A83354" w:rsidRPr="005612CB">
        <w:t>Imfinzi</w:t>
      </w:r>
      <w:r w:rsidRPr="005612CB">
        <w:t xml:space="preserve"> on the same day.)</w:t>
      </w:r>
    </w:p>
    <w:p w14:paraId="6B15D527" w14:textId="40323911" w:rsidR="00D335E6" w:rsidRPr="005612CB" w:rsidRDefault="00D335E6" w:rsidP="004706E9">
      <w:pPr>
        <w:pStyle w:val="Heading5"/>
      </w:pPr>
      <w:r w:rsidRPr="005612CB">
        <w:t xml:space="preserve">Benefits </w:t>
      </w:r>
      <w:r w:rsidR="0045621C" w:rsidRPr="005612CB">
        <w:t>and u</w:t>
      </w:r>
      <w:r w:rsidRPr="005612CB">
        <w:t>ncertainties of benefit</w:t>
      </w:r>
    </w:p>
    <w:p w14:paraId="3F9F3ACB" w14:textId="2E2F73EB" w:rsidR="00D335E6" w:rsidRPr="005612CB" w:rsidRDefault="00D335E6" w:rsidP="004706E9">
      <w:r w:rsidRPr="005612CB">
        <w:t>Pivotal study: HIMALAYA</w:t>
      </w:r>
      <w:r w:rsidR="0045621C" w:rsidRPr="005612CB">
        <w:t xml:space="preserve"> trial</w:t>
      </w:r>
      <w:r w:rsidRPr="005612CB">
        <w:t>, a phase III, open-label, randomised study</w:t>
      </w:r>
    </w:p>
    <w:p w14:paraId="5A9F60E0" w14:textId="3422D059" w:rsidR="00D335E6" w:rsidRPr="005612CB" w:rsidRDefault="00D335E6" w:rsidP="0045621C">
      <w:pPr>
        <w:pStyle w:val="ListBullet"/>
      </w:pPr>
      <w:r w:rsidRPr="005612CB">
        <w:lastRenderedPageBreak/>
        <w:t xml:space="preserve">Tremelimumab + </w:t>
      </w:r>
      <w:r w:rsidR="0045621C" w:rsidRPr="005612CB">
        <w:t xml:space="preserve">durvalumab </w:t>
      </w:r>
      <w:r w:rsidRPr="005612CB">
        <w:t xml:space="preserve">(T300+D): </w:t>
      </w:r>
      <w:r w:rsidR="004B3CCC" w:rsidRPr="005612CB">
        <w:t xml:space="preserve">n = </w:t>
      </w:r>
      <w:r w:rsidRPr="005612CB">
        <w:t>393</w:t>
      </w:r>
    </w:p>
    <w:p w14:paraId="2F545721" w14:textId="1A510ED4" w:rsidR="00D335E6" w:rsidRPr="005612CB" w:rsidRDefault="00D335E6" w:rsidP="0045621C">
      <w:pPr>
        <w:pStyle w:val="ListBullet"/>
      </w:pPr>
      <w:r w:rsidRPr="005612CB">
        <w:t xml:space="preserve">Durvalumab: </w:t>
      </w:r>
      <w:r w:rsidR="004B3CCC" w:rsidRPr="005612CB">
        <w:t xml:space="preserve">n = </w:t>
      </w:r>
      <w:r w:rsidRPr="005612CB">
        <w:t>389</w:t>
      </w:r>
    </w:p>
    <w:p w14:paraId="519F5A17" w14:textId="77777777" w:rsidR="00D335E6" w:rsidRPr="005612CB" w:rsidRDefault="00D335E6" w:rsidP="0045621C">
      <w:pPr>
        <w:pStyle w:val="ListBullet"/>
      </w:pPr>
      <w:r w:rsidRPr="005612CB">
        <w:t>Sorafenib: n = 389</w:t>
      </w:r>
    </w:p>
    <w:p w14:paraId="4A2DCA51" w14:textId="1D9199BB" w:rsidR="00C45A69" w:rsidRPr="005612CB" w:rsidRDefault="00D335E6" w:rsidP="004706E9">
      <w:r w:rsidRPr="005612CB">
        <w:t>Patients were required to have uHCC who were not eligible for locoregional therapy and have not received prior systemic therapy for HCC.</w:t>
      </w:r>
    </w:p>
    <w:p w14:paraId="3C507BEA" w14:textId="3DE46DD3" w:rsidR="00D335E6" w:rsidRPr="005612CB" w:rsidRDefault="00D335E6" w:rsidP="004706E9">
      <w:r w:rsidRPr="005612CB">
        <w:t xml:space="preserve">Primary endpoint: overall survival comparing T300+D to </w:t>
      </w:r>
      <w:r w:rsidR="00462A65" w:rsidRPr="005612CB">
        <w:t>sorafenib</w:t>
      </w:r>
      <w:r w:rsidRPr="005612CB">
        <w:t>:</w:t>
      </w:r>
    </w:p>
    <w:p w14:paraId="76AE9B44" w14:textId="2CDDA4FA" w:rsidR="00D335E6" w:rsidRPr="005612CB" w:rsidRDefault="00D335E6" w:rsidP="004706E9">
      <w:pPr>
        <w:pStyle w:val="ListBullet"/>
        <w:rPr>
          <w:rFonts w:eastAsia="TimesNewRoman" w:cs="TimesNewRoman"/>
          <w:lang w:val="en-US"/>
        </w:rPr>
      </w:pPr>
      <w:r w:rsidRPr="005612CB">
        <w:rPr>
          <w:lang w:val="en-US"/>
        </w:rPr>
        <w:t>16.4 versus 13.8 months in the T300+D and</w:t>
      </w:r>
      <w:r w:rsidR="007C2A4C" w:rsidRPr="005612CB">
        <w:t xml:space="preserve"> sorafenib </w:t>
      </w:r>
      <w:r w:rsidRPr="005612CB">
        <w:rPr>
          <w:lang w:val="en-US"/>
        </w:rPr>
        <w:t>arms, respectively</w:t>
      </w:r>
    </w:p>
    <w:p w14:paraId="2387890C" w14:textId="77777777" w:rsidR="00D335E6" w:rsidRPr="005612CB" w:rsidRDefault="00D335E6" w:rsidP="004706E9">
      <w:pPr>
        <w:pStyle w:val="ListBullet"/>
        <w:rPr>
          <w:rFonts w:eastAsia="TimesNewRoman" w:cs="TimesNewRoman"/>
          <w:lang w:val="en-US"/>
        </w:rPr>
      </w:pPr>
      <w:r w:rsidRPr="005612CB">
        <w:rPr>
          <w:lang w:val="en-US"/>
        </w:rPr>
        <w:t>HR = 0.78 (96.02% CI: 0.65, 0.93), p = 0.0035</w:t>
      </w:r>
    </w:p>
    <w:p w14:paraId="21A16941" w14:textId="7E7560BC" w:rsidR="00D335E6" w:rsidRPr="005612CB" w:rsidRDefault="00D335E6" w:rsidP="004706E9">
      <w:r w:rsidRPr="005612CB">
        <w:t>The study met its primary objective.</w:t>
      </w:r>
      <w:r w:rsidR="00C45A69" w:rsidRPr="005612CB">
        <w:t xml:space="preserve"> </w:t>
      </w:r>
      <w:r w:rsidRPr="005612CB">
        <w:t>In addition, the OS benefit in the T300+D arm was sustained over time with a trend showing greater proportion of patients treated with T300+D that were alive at 18, 24, and 36 months (48.7%, 40.5%, and 30.7%, respectively) compared with patients treated with sorafenib (41.5%, 32.6%, and 20.2%, respectively).</w:t>
      </w:r>
    </w:p>
    <w:p w14:paraId="484F9890" w14:textId="2BAD5A6F" w:rsidR="00D335E6" w:rsidRPr="005612CB" w:rsidRDefault="00D335E6" w:rsidP="004706E9">
      <w:r w:rsidRPr="005612CB">
        <w:t>Secondary endpoints were supportive and included OS comparing</w:t>
      </w:r>
      <w:r w:rsidR="00DF515D" w:rsidRPr="005612CB">
        <w:t xml:space="preserve"> durvalumab </w:t>
      </w:r>
      <w:r w:rsidR="007C2A4C" w:rsidRPr="005612CB">
        <w:t xml:space="preserve">versus sorafenib </w:t>
      </w:r>
      <w:r w:rsidRPr="005612CB">
        <w:t xml:space="preserve">for non-inferiority; OS at 18, 24 and 36 months, PFS, TTP, ORR and </w:t>
      </w:r>
      <w:r w:rsidR="002C1CED" w:rsidRPr="005612CB">
        <w:t>disease control rate</w:t>
      </w:r>
      <w:r w:rsidRPr="005612CB">
        <w:t>.</w:t>
      </w:r>
    </w:p>
    <w:p w14:paraId="309C9DC3" w14:textId="5BDB829A" w:rsidR="00D335E6" w:rsidRPr="005612CB" w:rsidRDefault="00D335E6" w:rsidP="004706E9">
      <w:r w:rsidRPr="005612CB">
        <w:t>Supportive evidence of efficacy in immunotherapy-naïve patients with uHCC shown by Phase</w:t>
      </w:r>
      <w:r w:rsidR="002C1CED" w:rsidRPr="005612CB">
        <w:t> </w:t>
      </w:r>
      <w:r w:rsidRPr="005612CB">
        <w:t xml:space="preserve">I/II </w:t>
      </w:r>
      <w:r w:rsidR="003F49BF" w:rsidRPr="005612CB">
        <w:t>S</w:t>
      </w:r>
      <w:r w:rsidRPr="005612CB">
        <w:t>tudy 22.</w:t>
      </w:r>
    </w:p>
    <w:p w14:paraId="035D0654" w14:textId="1C5FA64F" w:rsidR="00D335E6" w:rsidRPr="005612CB" w:rsidRDefault="00D335E6" w:rsidP="004706E9">
      <w:r w:rsidRPr="005612CB">
        <w:t xml:space="preserve">Results of the sensitivity analyses and subgroup analyses of OS for T300+D </w:t>
      </w:r>
      <w:r w:rsidR="007C2A4C" w:rsidRPr="005612CB">
        <w:t xml:space="preserve">versus sorafenib </w:t>
      </w:r>
      <w:r w:rsidRPr="005612CB">
        <w:t>and</w:t>
      </w:r>
      <w:r w:rsidR="00DF515D" w:rsidRPr="005612CB">
        <w:t xml:space="preserve"> durvalumab </w:t>
      </w:r>
      <w:r w:rsidR="007C2A4C" w:rsidRPr="005612CB">
        <w:t xml:space="preserve">versus sorafenib </w:t>
      </w:r>
      <w:r w:rsidRPr="005612CB">
        <w:t xml:space="preserve">comparisons were consistent with those of the primary OS analyses </w:t>
      </w:r>
      <w:proofErr w:type="gramStart"/>
      <w:r w:rsidRPr="005612CB">
        <w:t>with the exception of</w:t>
      </w:r>
      <w:proofErr w:type="gramEnd"/>
      <w:r w:rsidRPr="005612CB">
        <w:t xml:space="preserve"> reduced efficacy in the female and HCV-positive subgroups for both comparisons. However, the study was not sized for individual subgroup evaluation and no adjustments were made for multiple testing subgroup analyses, thus limiting confirmatory evidence for any of the subgroup analyses.</w:t>
      </w:r>
    </w:p>
    <w:p w14:paraId="22C878BE" w14:textId="4DBE7C83" w:rsidR="00D335E6" w:rsidRPr="005612CB" w:rsidRDefault="00D335E6" w:rsidP="004706E9">
      <w:r w:rsidRPr="005612CB">
        <w:t xml:space="preserve">The </w:t>
      </w:r>
      <w:r w:rsidR="003F49BF" w:rsidRPr="005612CB">
        <w:t>HIMALAYA trial</w:t>
      </w:r>
      <w:r w:rsidRPr="005612CB">
        <w:t xml:space="preserve"> was not designed to compare T300+D versus durvalumab monotherapy, however, the following results provide some evidence of contribution of tremelimumab to the proposed T300+D regimen:</w:t>
      </w:r>
    </w:p>
    <w:p w14:paraId="7FCCDBA6" w14:textId="34E89B24" w:rsidR="00D335E6" w:rsidRPr="005612CB" w:rsidRDefault="00D335E6" w:rsidP="004706E9">
      <w:pPr>
        <w:pStyle w:val="ListBullet"/>
        <w:rPr>
          <w:rFonts w:eastAsia="TimesNewRoman" w:cs="TimesNewRoman"/>
          <w:lang w:val="en-US"/>
        </w:rPr>
      </w:pPr>
      <w:r w:rsidRPr="005612CB">
        <w:rPr>
          <w:lang w:val="en-US"/>
        </w:rPr>
        <w:t xml:space="preserve">A 10% reduction in average risk of death observed </w:t>
      </w:r>
      <w:r w:rsidRPr="005612CB">
        <w:rPr>
          <w:rFonts w:eastAsia="TimesNewRoman" w:cs="TimesNewRoman"/>
          <w:lang w:val="en-US"/>
        </w:rPr>
        <w:t xml:space="preserve">with T300+D </w:t>
      </w:r>
      <w:r w:rsidR="007C2A4C" w:rsidRPr="005612CB">
        <w:rPr>
          <w:rFonts w:eastAsia="TimesNewRoman" w:cs="TimesNewRoman"/>
          <w:lang w:val="en-US"/>
        </w:rPr>
        <w:t>versus</w:t>
      </w:r>
      <w:r w:rsidRPr="005612CB">
        <w:rPr>
          <w:rFonts w:eastAsia="TimesNewRoman" w:cs="TimesNewRoman"/>
          <w:lang w:val="en-US"/>
        </w:rPr>
        <w:t xml:space="preserve"> </w:t>
      </w:r>
      <w:r w:rsidR="00EA2F6C" w:rsidRPr="005612CB">
        <w:rPr>
          <w:rFonts w:eastAsia="TimesNewRoman" w:cs="TimesNewRoman"/>
          <w:lang w:val="en-US"/>
        </w:rPr>
        <w:t>durvalumab</w:t>
      </w:r>
      <w:r w:rsidRPr="005612CB">
        <w:rPr>
          <w:rFonts w:eastAsia="TimesNewRoman" w:cs="TimesNewRoman"/>
          <w:lang w:val="en-US"/>
        </w:rPr>
        <w:t>.</w:t>
      </w:r>
    </w:p>
    <w:p w14:paraId="71136C35" w14:textId="6CB29E04" w:rsidR="00D335E6" w:rsidRPr="005612CB" w:rsidRDefault="00D335E6" w:rsidP="004706E9">
      <w:pPr>
        <w:pStyle w:val="ListBullet"/>
        <w:rPr>
          <w:rFonts w:eastAsia="TimesNewRoman" w:cs="TimesNewRoman"/>
          <w:lang w:val="en-US"/>
        </w:rPr>
      </w:pPr>
      <w:r w:rsidRPr="005612CB">
        <w:rPr>
          <w:rFonts w:eastAsia="TimesNewRoman" w:cs="TimesNewRoman"/>
          <w:lang w:val="en-US"/>
        </w:rPr>
        <w:t>A clear and sustained separation of the T300+D and</w:t>
      </w:r>
      <w:r w:rsidR="00DF515D" w:rsidRPr="005612CB">
        <w:t xml:space="preserve"> durvalumab </w:t>
      </w:r>
      <w:r w:rsidRPr="005612CB">
        <w:rPr>
          <w:rFonts w:eastAsia="TimesNewRoman" w:cs="TimesNewRoman"/>
          <w:lang w:val="en-US"/>
        </w:rPr>
        <w:t xml:space="preserve">OS curves occurs at 24 months with a large proportion of patients (approximately 40% for T300+D and </w:t>
      </w:r>
      <w:r w:rsidR="00EA2F6C" w:rsidRPr="005612CB">
        <w:rPr>
          <w:rFonts w:eastAsia="TimesNewRoman" w:cs="TimesNewRoman"/>
          <w:lang w:val="en-US"/>
        </w:rPr>
        <w:t>durvalumab</w:t>
      </w:r>
      <w:r w:rsidRPr="005612CB">
        <w:rPr>
          <w:rFonts w:eastAsia="TimesNewRoman" w:cs="TimesNewRoman"/>
          <w:lang w:val="en-US"/>
        </w:rPr>
        <w:t xml:space="preserve">) still at risk for an event </w:t>
      </w:r>
      <w:proofErr w:type="gramStart"/>
      <w:r w:rsidRPr="005612CB">
        <w:rPr>
          <w:rFonts w:eastAsia="TimesNewRoman" w:cs="TimesNewRoman"/>
          <w:lang w:val="en-US"/>
        </w:rPr>
        <w:t>at this time</w:t>
      </w:r>
      <w:proofErr w:type="gramEnd"/>
      <w:r w:rsidRPr="005612CB">
        <w:rPr>
          <w:rFonts w:eastAsia="TimesNewRoman" w:cs="TimesNewRoman"/>
          <w:lang w:val="en-US"/>
        </w:rPr>
        <w:t>.</w:t>
      </w:r>
    </w:p>
    <w:p w14:paraId="112B25AB" w14:textId="11088BC1" w:rsidR="00D335E6" w:rsidRPr="005612CB" w:rsidRDefault="00D335E6" w:rsidP="004706E9">
      <w:pPr>
        <w:pStyle w:val="ListBullet"/>
        <w:rPr>
          <w:rFonts w:eastAsia="TimesNewRoman" w:cs="TimesNewRoman"/>
          <w:lang w:val="en-US"/>
        </w:rPr>
      </w:pPr>
      <w:r w:rsidRPr="005612CB">
        <w:rPr>
          <w:rFonts w:eastAsia="TimesNewRoman" w:cs="TimesNewRoman"/>
          <w:lang w:val="en-US"/>
        </w:rPr>
        <w:t xml:space="preserve">Prespecified OS rates of 18, 24, and 36 months in </w:t>
      </w:r>
      <w:r w:rsidR="00EA2F6C" w:rsidRPr="005612CB">
        <w:rPr>
          <w:rFonts w:eastAsia="TimesNewRoman" w:cs="TimesNewRoman"/>
          <w:lang w:val="en-US"/>
        </w:rPr>
        <w:t xml:space="preserve">the </w:t>
      </w:r>
      <w:r w:rsidRPr="005612CB">
        <w:rPr>
          <w:rFonts w:eastAsia="TimesNewRoman" w:cs="TimesNewRoman"/>
          <w:lang w:val="en-US"/>
        </w:rPr>
        <w:t xml:space="preserve">HIMALAYA </w:t>
      </w:r>
      <w:r w:rsidR="00EA2F6C" w:rsidRPr="005612CB">
        <w:rPr>
          <w:rFonts w:eastAsia="TimesNewRoman" w:cs="TimesNewRoman"/>
          <w:lang w:val="en-US"/>
        </w:rPr>
        <w:t xml:space="preserve">trial </w:t>
      </w:r>
      <w:r w:rsidRPr="005612CB">
        <w:rPr>
          <w:rFonts w:eastAsia="TimesNewRoman" w:cs="TimesNewRoman"/>
          <w:lang w:val="en-US"/>
        </w:rPr>
        <w:t>numerically favo</w:t>
      </w:r>
      <w:r w:rsidR="00EA2F6C" w:rsidRPr="005612CB">
        <w:rPr>
          <w:rFonts w:eastAsia="TimesNewRoman" w:cs="TimesNewRoman"/>
          <w:lang w:val="en-US"/>
        </w:rPr>
        <w:t>u</w:t>
      </w:r>
      <w:r w:rsidRPr="005612CB">
        <w:rPr>
          <w:rFonts w:eastAsia="TimesNewRoman" w:cs="TimesNewRoman"/>
          <w:lang w:val="en-US"/>
        </w:rPr>
        <w:t>red.</w:t>
      </w:r>
    </w:p>
    <w:p w14:paraId="3F50C0B3" w14:textId="0AADCAB7" w:rsidR="00D335E6" w:rsidRPr="005612CB" w:rsidRDefault="00D335E6" w:rsidP="004706E9">
      <w:pPr>
        <w:pStyle w:val="ListBullet"/>
        <w:rPr>
          <w:rFonts w:eastAsia="TimesNewRoman" w:cs="TimesNewRoman"/>
          <w:lang w:val="en-US"/>
        </w:rPr>
      </w:pPr>
      <w:r w:rsidRPr="005612CB">
        <w:rPr>
          <w:rFonts w:eastAsia="TimesNewRoman" w:cs="TimesNewRoman"/>
          <w:lang w:val="en-US"/>
        </w:rPr>
        <w:t xml:space="preserve">T300+D over </w:t>
      </w:r>
      <w:r w:rsidR="00EA2F6C" w:rsidRPr="005612CB">
        <w:rPr>
          <w:rFonts w:eastAsia="TimesNewRoman" w:cs="TimesNewRoman"/>
          <w:lang w:val="en-US"/>
        </w:rPr>
        <w:t>durvalumab</w:t>
      </w:r>
      <w:r w:rsidRPr="005612CB">
        <w:rPr>
          <w:rFonts w:eastAsia="TimesNewRoman" w:cs="TimesNewRoman"/>
          <w:lang w:val="en-US"/>
        </w:rPr>
        <w:t xml:space="preserve">, with OS rate at 36 months of 30.7% with T300+D </w:t>
      </w:r>
      <w:r w:rsidR="007C2A4C" w:rsidRPr="005612CB">
        <w:rPr>
          <w:rFonts w:eastAsia="TimesNewRoman" w:cs="TimesNewRoman"/>
          <w:lang w:val="en-US"/>
        </w:rPr>
        <w:t>versus</w:t>
      </w:r>
      <w:r w:rsidRPr="005612CB">
        <w:rPr>
          <w:rFonts w:eastAsia="TimesNewRoman" w:cs="TimesNewRoman"/>
          <w:lang w:val="en-US"/>
        </w:rPr>
        <w:t xml:space="preserve">. 24.7% for </w:t>
      </w:r>
      <w:r w:rsidR="00EA2F6C" w:rsidRPr="005612CB">
        <w:rPr>
          <w:rFonts w:eastAsia="TimesNewRoman" w:cs="TimesNewRoman"/>
          <w:lang w:val="en-US"/>
        </w:rPr>
        <w:t>durvalumab</w:t>
      </w:r>
      <w:r w:rsidRPr="005612CB">
        <w:rPr>
          <w:rFonts w:eastAsia="TimesNewRoman" w:cs="TimesNewRoman"/>
          <w:lang w:val="en-US"/>
        </w:rPr>
        <w:t>.</w:t>
      </w:r>
    </w:p>
    <w:p w14:paraId="3A86F30B" w14:textId="4AF69C96" w:rsidR="00C45A69" w:rsidRPr="005612CB" w:rsidRDefault="00D335E6" w:rsidP="004706E9">
      <w:pPr>
        <w:pStyle w:val="ListBullet"/>
        <w:rPr>
          <w:rFonts w:eastAsia="TimesNewRoman" w:cs="TimesNewRoman"/>
          <w:lang w:val="en-US"/>
        </w:rPr>
      </w:pPr>
      <w:r w:rsidRPr="005612CB">
        <w:rPr>
          <w:rFonts w:eastAsia="TimesNewRoman" w:cs="TimesNewRoman"/>
          <w:lang w:val="en-US"/>
        </w:rPr>
        <w:t>The T300+D curve separated from</w:t>
      </w:r>
      <w:r w:rsidR="007C2A4C" w:rsidRPr="005612CB">
        <w:t xml:space="preserve"> sorafenib </w:t>
      </w:r>
      <w:r w:rsidRPr="005612CB">
        <w:rPr>
          <w:rFonts w:eastAsia="TimesNewRoman" w:cs="TimesNewRoman"/>
          <w:lang w:val="en-US"/>
        </w:rPr>
        <w:t>at 4 months compared to a separation at 9 months for</w:t>
      </w:r>
      <w:r w:rsidR="00DF515D" w:rsidRPr="005612CB">
        <w:t xml:space="preserve"> durvalumab </w:t>
      </w:r>
      <w:r w:rsidR="007C2A4C" w:rsidRPr="005612CB">
        <w:rPr>
          <w:rFonts w:eastAsia="TimesNewRoman" w:cs="TimesNewRoman"/>
          <w:lang w:val="en-US"/>
        </w:rPr>
        <w:t>versus</w:t>
      </w:r>
      <w:r w:rsidR="00BC1245" w:rsidRPr="005612CB">
        <w:rPr>
          <w:rFonts w:eastAsia="TimesNewRoman" w:cs="TimesNewRoman"/>
          <w:lang w:val="en-US"/>
        </w:rPr>
        <w:t xml:space="preserve"> sorafenib</w:t>
      </w:r>
      <w:r w:rsidRPr="005612CB">
        <w:rPr>
          <w:rFonts w:eastAsia="TimesNewRoman" w:cs="TimesNewRoman"/>
          <w:lang w:val="en-US"/>
        </w:rPr>
        <w:t>.</w:t>
      </w:r>
    </w:p>
    <w:p w14:paraId="723D5BAF" w14:textId="77E3BFF6" w:rsidR="00D335E6" w:rsidRPr="005612CB" w:rsidRDefault="00995B92" w:rsidP="004706E9">
      <w:pPr>
        <w:pStyle w:val="ListBullet"/>
        <w:rPr>
          <w:rFonts w:eastAsia="TimesNewRoman" w:cs="TimesNewRoman"/>
          <w:lang w:val="en-US"/>
        </w:rPr>
      </w:pPr>
      <w:r w:rsidRPr="005612CB">
        <w:rPr>
          <w:rFonts w:eastAsia="TimesNewRoman" w:cs="TimesNewRoman"/>
          <w:lang w:val="en-US"/>
        </w:rPr>
        <w:t>Objective response</w:t>
      </w:r>
      <w:r w:rsidR="00D335E6" w:rsidRPr="005612CB">
        <w:rPr>
          <w:rFonts w:eastAsia="TimesNewRoman" w:cs="TimesNewRoman"/>
          <w:lang w:val="en-US"/>
        </w:rPr>
        <w:t xml:space="preserve"> rates were 20.1% and 17% with T300+D and </w:t>
      </w:r>
      <w:r w:rsidR="00EA2F6C" w:rsidRPr="005612CB">
        <w:rPr>
          <w:rFonts w:eastAsia="TimesNewRoman" w:cs="TimesNewRoman"/>
          <w:lang w:val="en-US"/>
        </w:rPr>
        <w:t>durvalumab</w:t>
      </w:r>
      <w:r w:rsidR="00D335E6" w:rsidRPr="005612CB">
        <w:rPr>
          <w:rFonts w:eastAsia="TimesNewRoman" w:cs="TimesNewRoman"/>
          <w:lang w:val="en-US"/>
        </w:rPr>
        <w:t xml:space="preserve">, respectively, and median </w:t>
      </w:r>
      <w:r w:rsidR="00DA4056" w:rsidRPr="005612CB">
        <w:t>duration of response</w:t>
      </w:r>
      <w:r w:rsidR="00D335E6" w:rsidRPr="005612CB">
        <w:rPr>
          <w:rFonts w:eastAsia="TimesNewRoman" w:cs="TimesNewRoman"/>
          <w:lang w:val="en-US"/>
        </w:rPr>
        <w:t xml:space="preserve"> was longer with T300+D compared to</w:t>
      </w:r>
      <w:r w:rsidR="00DF515D" w:rsidRPr="005612CB">
        <w:t xml:space="preserve"> durvalumab </w:t>
      </w:r>
      <w:r w:rsidR="00D335E6" w:rsidRPr="005612CB">
        <w:rPr>
          <w:rFonts w:eastAsia="TimesNewRoman" w:cs="TimesNewRoman"/>
          <w:lang w:val="en-US"/>
        </w:rPr>
        <w:t xml:space="preserve">(22.34 </w:t>
      </w:r>
      <w:r w:rsidR="007C2A4C" w:rsidRPr="005612CB">
        <w:rPr>
          <w:rFonts w:eastAsia="TimesNewRoman" w:cs="TimesNewRoman"/>
          <w:lang w:val="en-US"/>
        </w:rPr>
        <w:t>versus</w:t>
      </w:r>
      <w:r w:rsidR="00D335E6" w:rsidRPr="005612CB">
        <w:rPr>
          <w:rFonts w:eastAsia="TimesNewRoman" w:cs="TimesNewRoman"/>
          <w:lang w:val="en-US"/>
        </w:rPr>
        <w:t xml:space="preserve"> 16.82 months)</w:t>
      </w:r>
    </w:p>
    <w:p w14:paraId="36F3500C" w14:textId="71E200B4" w:rsidR="00D335E6" w:rsidRPr="005612CB" w:rsidRDefault="00D335E6" w:rsidP="004706E9">
      <w:r w:rsidRPr="005612CB">
        <w:t xml:space="preserve">The contribution of durvalumab to the efficacy of the proposed T300+D regimen was demonstrated by non-inferiority between durvalumab and sorafenib in terms of OS in the </w:t>
      </w:r>
      <w:r w:rsidR="003F49BF" w:rsidRPr="005612CB">
        <w:t>HIMALAYA trial</w:t>
      </w:r>
      <w:r w:rsidRPr="005612CB">
        <w:t>.</w:t>
      </w:r>
      <w:r w:rsidR="00C45A69" w:rsidRPr="005612CB">
        <w:t xml:space="preserve"> </w:t>
      </w:r>
      <w:r w:rsidRPr="005612CB">
        <w:t>Durvalumab failed to achieve overall survival superiority relative to sorafenib (p =</w:t>
      </w:r>
      <w:r w:rsidR="00BC1245" w:rsidRPr="005612CB">
        <w:t xml:space="preserve"> </w:t>
      </w:r>
      <w:r w:rsidRPr="005612CB">
        <w:t xml:space="preserve">0.0674); this provides supportive evidence that both components of the T300+D </w:t>
      </w:r>
      <w:r w:rsidRPr="005612CB">
        <w:lastRenderedPageBreak/>
        <w:t>combination regimen are needed to achieve a statistically significant OS effect compared to sorafenib.</w:t>
      </w:r>
    </w:p>
    <w:p w14:paraId="2F529F6C" w14:textId="77777777" w:rsidR="00D335E6" w:rsidRPr="005612CB" w:rsidRDefault="00D335E6" w:rsidP="004706E9">
      <w:pPr>
        <w:pStyle w:val="Heading5"/>
      </w:pPr>
      <w:r w:rsidRPr="005612CB">
        <w:t>Uncertainties</w:t>
      </w:r>
    </w:p>
    <w:p w14:paraId="0FBABB84" w14:textId="745FCD7F" w:rsidR="00D335E6" w:rsidRPr="005612CB" w:rsidRDefault="00D335E6" w:rsidP="004706E9">
      <w:r w:rsidRPr="005612CB">
        <w:t xml:space="preserve">As highlighted by the clinical </w:t>
      </w:r>
      <w:r w:rsidR="00D902D0" w:rsidRPr="005612CB">
        <w:t>evaluation</w:t>
      </w:r>
      <w:r w:rsidRPr="005612CB">
        <w:t xml:space="preserve">, evidence for efficacy of the proposed T300+D regimen in the </w:t>
      </w:r>
      <w:r w:rsidR="004B3CCC" w:rsidRPr="005612CB">
        <w:t>second-line</w:t>
      </w:r>
      <w:r w:rsidRPr="005612CB">
        <w:t xml:space="preserve"> setting is limited.</w:t>
      </w:r>
      <w:r w:rsidR="00C45A69" w:rsidRPr="005612CB">
        <w:t xml:space="preserve"> </w:t>
      </w:r>
      <w:r w:rsidRPr="005612CB">
        <w:t xml:space="preserve">The pivotal </w:t>
      </w:r>
      <w:r w:rsidR="00BC1245" w:rsidRPr="005612CB">
        <w:t xml:space="preserve">Phase </w:t>
      </w:r>
      <w:r w:rsidRPr="005612CB">
        <w:t xml:space="preserve">III </w:t>
      </w:r>
      <w:r w:rsidR="003F49BF" w:rsidRPr="005612CB">
        <w:t>HIMALAYA trial</w:t>
      </w:r>
      <w:r w:rsidRPr="005612CB">
        <w:t xml:space="preserve"> only evaluated patients with unresectable HCC who had not received prior systemic therapy.</w:t>
      </w:r>
      <w:r w:rsidR="00C45A69" w:rsidRPr="005612CB">
        <w:t xml:space="preserve"> </w:t>
      </w:r>
      <w:r w:rsidRPr="005612CB">
        <w:t xml:space="preserve">The </w:t>
      </w:r>
      <w:r w:rsidR="00BC1245" w:rsidRPr="005612CB">
        <w:t xml:space="preserve">Phase </w:t>
      </w:r>
      <w:r w:rsidRPr="005612CB">
        <w:t>I/II Study</w:t>
      </w:r>
      <w:r w:rsidR="00BC1245" w:rsidRPr="005612CB">
        <w:t> </w:t>
      </w:r>
      <w:r w:rsidRPr="005612CB">
        <w:t xml:space="preserve">22 evaluated the safety/tolerability, efficacy, </w:t>
      </w:r>
      <w:proofErr w:type="gramStart"/>
      <w:r w:rsidRPr="005612CB">
        <w:t>PKs</w:t>
      </w:r>
      <w:proofErr w:type="gramEnd"/>
      <w:r w:rsidRPr="005612CB">
        <w:t xml:space="preserve"> and immunogenicity of durvalumab and tremelimumab as monotherapy, and durvalumab in combination with tremelimumab or bevacizumab in 433 patients with unresectable HCC.</w:t>
      </w:r>
      <w:r w:rsidR="00C45A69" w:rsidRPr="005612CB">
        <w:t xml:space="preserve"> </w:t>
      </w:r>
      <w:r w:rsidRPr="005612CB">
        <w:t xml:space="preserve">In this study, most patients had received prior </w:t>
      </w:r>
      <w:r w:rsidR="004B3CCC" w:rsidRPr="005612CB">
        <w:t>first-line</w:t>
      </w:r>
      <w:r w:rsidRPr="005612CB">
        <w:t xml:space="preserve"> treatment (sorafenib or other agents) and were immunotherapy-naïve.</w:t>
      </w:r>
      <w:r w:rsidR="00C45A69" w:rsidRPr="005612CB">
        <w:t xml:space="preserve"> </w:t>
      </w:r>
      <w:r w:rsidRPr="005612CB">
        <w:t xml:space="preserve">In the subgroup of patients in the T300+D arm receiving </w:t>
      </w:r>
      <w:r w:rsidR="004B3CCC" w:rsidRPr="005612CB">
        <w:t>second-line</w:t>
      </w:r>
      <w:r w:rsidRPr="005612CB">
        <w:t xml:space="preserve"> therapy, the ORR was 20% (compared to 35% for those in the </w:t>
      </w:r>
      <w:proofErr w:type="gramStart"/>
      <w:r w:rsidR="004B3CCC" w:rsidRPr="005612CB">
        <w:t>first-line</w:t>
      </w:r>
      <w:proofErr w:type="gramEnd"/>
      <w:r w:rsidRPr="005612CB">
        <w:t xml:space="preserve"> setting).</w:t>
      </w:r>
      <w:r w:rsidR="00C45A69" w:rsidRPr="005612CB">
        <w:t xml:space="preserve"> </w:t>
      </w:r>
      <w:r w:rsidRPr="005612CB">
        <w:t>Subgroup analysis of PFS showed that median PFS was longer for the T300+D arm than for the other three treatment arms in the ‘</w:t>
      </w:r>
      <w:r w:rsidR="004B3CCC" w:rsidRPr="005612CB">
        <w:t>first</w:t>
      </w:r>
      <w:r w:rsidR="00BC1245" w:rsidRPr="005612CB">
        <w:noBreakHyphen/>
      </w:r>
      <w:r w:rsidR="004B3CCC" w:rsidRPr="005612CB">
        <w:t>line</w:t>
      </w:r>
      <w:r w:rsidRPr="005612CB">
        <w:t>’ subgroup but it was similar across all four treatment arms in the ‘</w:t>
      </w:r>
      <w:proofErr w:type="gramStart"/>
      <w:r w:rsidR="004B3CCC" w:rsidRPr="005612CB">
        <w:t>second-line</w:t>
      </w:r>
      <w:proofErr w:type="gramEnd"/>
      <w:r w:rsidRPr="005612CB">
        <w:t>’ subgroup.</w:t>
      </w:r>
      <w:r w:rsidR="00C45A69" w:rsidRPr="005612CB">
        <w:t xml:space="preserve"> </w:t>
      </w:r>
      <w:r w:rsidRPr="005612CB">
        <w:t xml:space="preserve">The interpretation of these results </w:t>
      </w:r>
      <w:r w:rsidR="00BC1245" w:rsidRPr="005612CB">
        <w:t>is</w:t>
      </w:r>
      <w:r w:rsidRPr="005612CB">
        <w:t xml:space="preserve"> confounded by differences in treatment exposure and follow-up times between the T300+D and the three other treatment arms at the final </w:t>
      </w:r>
      <w:r w:rsidR="003F5EDE" w:rsidRPr="005612CB">
        <w:t>data cut-off</w:t>
      </w:r>
      <w:r w:rsidRPr="005612CB">
        <w:t>; in addition, small patient numbers and imbalances in baseline patient characteristics between subgroups limit the interpretation of subgroup analyses.</w:t>
      </w:r>
      <w:r w:rsidR="00C45A69" w:rsidRPr="005612CB">
        <w:t xml:space="preserve"> </w:t>
      </w:r>
      <w:r w:rsidRPr="005612CB">
        <w:t>Study 22 should be interpreted with caution given that it pooled efficacy results from the multi-part of the study, containing both randomi</w:t>
      </w:r>
      <w:r w:rsidR="00EC3741" w:rsidRPr="005612CB">
        <w:t>s</w:t>
      </w:r>
      <w:r w:rsidRPr="005612CB">
        <w:t>ed and non-randomised patients, did not include formal testing of efficacy endpoints (secondary endpoints) and enrolled a study population that differed from the proposed indication for this submission (</w:t>
      </w:r>
      <w:r w:rsidR="00BE34C6" w:rsidRPr="005612CB">
        <w:t xml:space="preserve">that is, </w:t>
      </w:r>
      <w:r w:rsidR="00C70CB2" w:rsidRPr="005612CB">
        <w:t>first-line</w:t>
      </w:r>
      <w:r w:rsidRPr="005612CB">
        <w:t xml:space="preserve"> unresectable HCC).</w:t>
      </w:r>
    </w:p>
    <w:p w14:paraId="09B88329" w14:textId="763B5EB6" w:rsidR="00D335E6" w:rsidRPr="005612CB" w:rsidRDefault="00D335E6" w:rsidP="004706E9">
      <w:r w:rsidRPr="005612CB">
        <w:t xml:space="preserve">Overall, the delegate agrees with the clinical </w:t>
      </w:r>
      <w:r w:rsidR="00D902D0" w:rsidRPr="005612CB">
        <w:t>evaluation</w:t>
      </w:r>
      <w:r w:rsidRPr="005612CB">
        <w:t xml:space="preserve"> that despite limitations regarding efficacy/safety of T300+D in the </w:t>
      </w:r>
      <w:proofErr w:type="gramStart"/>
      <w:r w:rsidR="004B3CCC" w:rsidRPr="005612CB">
        <w:t>second-line</w:t>
      </w:r>
      <w:proofErr w:type="gramEnd"/>
      <w:r w:rsidRPr="005612CB">
        <w:t xml:space="preserve"> setting, this combination remains a potential therapeutic option for patients who have progressed on (or no longer be suitable for) sorafenib after individual benefit-risk assessment by the treating clinician.</w:t>
      </w:r>
      <w:r w:rsidR="00C45A69" w:rsidRPr="005612CB">
        <w:t xml:space="preserve"> </w:t>
      </w:r>
      <w:r w:rsidRPr="005612CB">
        <w:t xml:space="preserve">The delegate will seek the opinion of </w:t>
      </w:r>
      <w:r w:rsidR="00E545F9" w:rsidRPr="005612CB">
        <w:t>Advisory Committee on Medicines (</w:t>
      </w:r>
      <w:r w:rsidRPr="005612CB">
        <w:t>ACM</w:t>
      </w:r>
      <w:r w:rsidR="00E545F9" w:rsidRPr="005612CB">
        <w:t>)</w:t>
      </w:r>
      <w:r w:rsidRPr="005612CB">
        <w:t xml:space="preserve"> regarding whether the available evidence from Study 22 is adequate to support use of T300+D in the </w:t>
      </w:r>
      <w:proofErr w:type="gramStart"/>
      <w:r w:rsidR="004B3CCC" w:rsidRPr="005612CB">
        <w:t>second-line</w:t>
      </w:r>
      <w:proofErr w:type="gramEnd"/>
      <w:r w:rsidRPr="005612CB">
        <w:t xml:space="preserve"> setting.</w:t>
      </w:r>
    </w:p>
    <w:p w14:paraId="068C64F6" w14:textId="4AAFF9E4" w:rsidR="00D335E6" w:rsidRPr="005612CB" w:rsidRDefault="00D335E6" w:rsidP="004706E9">
      <w:r w:rsidRPr="005612CB">
        <w:t>Other uncertainties</w:t>
      </w:r>
      <w:r w:rsidR="00BC1245" w:rsidRPr="005612CB">
        <w:t xml:space="preserve"> or </w:t>
      </w:r>
      <w:r w:rsidRPr="005612CB">
        <w:t>limitations include the following:</w:t>
      </w:r>
    </w:p>
    <w:p w14:paraId="5309D329" w14:textId="745D9E52" w:rsidR="00D335E6" w:rsidRPr="005612CB" w:rsidRDefault="00D335E6" w:rsidP="004706E9">
      <w:pPr>
        <w:pStyle w:val="ListBullet"/>
        <w:rPr>
          <w:lang w:val="en-US"/>
        </w:rPr>
      </w:pPr>
      <w:r w:rsidRPr="005612CB">
        <w:rPr>
          <w:lang w:val="en-US"/>
        </w:rPr>
        <w:t>Subgroup analyses did not show improvements in overall survival with T300+D compared with sorafenib in the female and HCV-positive subgroups.</w:t>
      </w:r>
      <w:r w:rsidR="00C45A69" w:rsidRPr="005612CB">
        <w:rPr>
          <w:lang w:val="en-US"/>
        </w:rPr>
        <w:t xml:space="preserve"> </w:t>
      </w:r>
      <w:r w:rsidRPr="005612CB">
        <w:rPr>
          <w:rFonts w:cs="TimesNewRoman"/>
          <w:lang w:val="en-US"/>
        </w:rPr>
        <w:t>However, the study was not sized for individual subgroup evaluation and no adjustments were made for multiple testing subgroup analyses, thus limiting confirmatory evidence for any of the subgroup analyses.</w:t>
      </w:r>
    </w:p>
    <w:p w14:paraId="3AF6A2AA" w14:textId="41E7694B" w:rsidR="00D335E6" w:rsidRPr="005612CB" w:rsidRDefault="00D335E6" w:rsidP="004706E9">
      <w:pPr>
        <w:pStyle w:val="ListBullet"/>
        <w:rPr>
          <w:lang w:val="en-US"/>
        </w:rPr>
      </w:pPr>
      <w:r w:rsidRPr="005612CB">
        <w:rPr>
          <w:rFonts w:cs="TimesNewRoman"/>
          <w:lang w:val="en-US"/>
        </w:rPr>
        <w:t xml:space="preserve">The pivotal </w:t>
      </w:r>
      <w:r w:rsidR="003F49BF" w:rsidRPr="005612CB">
        <w:rPr>
          <w:rFonts w:cs="TimesNewRoman"/>
          <w:lang w:val="en-US"/>
        </w:rPr>
        <w:t>HIMALAYA trial</w:t>
      </w:r>
      <w:r w:rsidRPr="005612CB">
        <w:rPr>
          <w:rFonts w:cs="TimesNewRoman"/>
          <w:lang w:val="en-US"/>
        </w:rPr>
        <w:t xml:space="preserve"> was an open-label design; however, the </w:t>
      </w:r>
      <w:r w:rsidR="00BC1245" w:rsidRPr="005612CB">
        <w:rPr>
          <w:rFonts w:cs="TimesNewRoman"/>
          <w:lang w:val="en-US"/>
        </w:rPr>
        <w:t>s</w:t>
      </w:r>
      <w:r w:rsidRPr="005612CB">
        <w:rPr>
          <w:rFonts w:cs="TimesNewRoman"/>
          <w:lang w:val="en-US"/>
        </w:rPr>
        <w:t>ponsor was blinded to treatment assignment and did not have access to any aggregate summaries by treatment arm during the study</w:t>
      </w:r>
      <w:r w:rsidR="00E279E1" w:rsidRPr="005612CB">
        <w:rPr>
          <w:rFonts w:cs="TimesNewRoman"/>
          <w:lang w:val="en-US"/>
        </w:rPr>
        <w:t>.</w:t>
      </w:r>
    </w:p>
    <w:p w14:paraId="22CB1446" w14:textId="23B3C05D" w:rsidR="00D335E6" w:rsidRPr="005612CB" w:rsidRDefault="00D335E6" w:rsidP="004706E9">
      <w:pPr>
        <w:pStyle w:val="ListBullet"/>
        <w:rPr>
          <w:lang w:val="en-US"/>
        </w:rPr>
      </w:pPr>
      <w:r w:rsidRPr="005612CB">
        <w:rPr>
          <w:rFonts w:cs="TimesNewRoman"/>
          <w:lang w:val="en-US"/>
        </w:rPr>
        <w:t>O</w:t>
      </w:r>
      <w:r w:rsidRPr="005612CB">
        <w:rPr>
          <w:lang w:val="en-US"/>
        </w:rPr>
        <w:t xml:space="preserve">nly patients with preserved liver function (Child-Pugh class A) were studied in </w:t>
      </w:r>
      <w:r w:rsidR="00BC1245" w:rsidRPr="005612CB">
        <w:rPr>
          <w:lang w:val="en-US"/>
        </w:rPr>
        <w:t xml:space="preserve">the </w:t>
      </w:r>
      <w:r w:rsidRPr="005612CB">
        <w:rPr>
          <w:lang w:val="en-US"/>
        </w:rPr>
        <w:t>HIMALAYA</w:t>
      </w:r>
      <w:r w:rsidR="00BC1245" w:rsidRPr="005612CB">
        <w:rPr>
          <w:lang w:val="en-US"/>
        </w:rPr>
        <w:t xml:space="preserve"> trial</w:t>
      </w:r>
      <w:r w:rsidR="00E279E1" w:rsidRPr="005612CB">
        <w:rPr>
          <w:lang w:val="en-US"/>
        </w:rPr>
        <w:t>. T</w:t>
      </w:r>
      <w:r w:rsidRPr="005612CB">
        <w:rPr>
          <w:lang w:val="en-US"/>
        </w:rPr>
        <w:t>he trial also excluded patients with thrombosis in the main trunk of the portal vein</w:t>
      </w:r>
      <w:r w:rsidR="00E279E1" w:rsidRPr="005612CB">
        <w:rPr>
          <w:lang w:val="en-US"/>
        </w:rPr>
        <w:t>.</w:t>
      </w:r>
    </w:p>
    <w:p w14:paraId="63D583F7" w14:textId="4A5A4EE3" w:rsidR="00D335E6" w:rsidRPr="005612CB" w:rsidRDefault="00D335E6" w:rsidP="004706E9">
      <w:pPr>
        <w:pStyle w:val="Heading5"/>
      </w:pPr>
      <w:r w:rsidRPr="005612CB">
        <w:t xml:space="preserve">Risks </w:t>
      </w:r>
      <w:r w:rsidR="00E279E1" w:rsidRPr="005612CB">
        <w:t>and u</w:t>
      </w:r>
      <w:r w:rsidRPr="005612CB">
        <w:t>ncertainties of risk</w:t>
      </w:r>
    </w:p>
    <w:p w14:paraId="1F12670E" w14:textId="791C8ED8" w:rsidR="00C45A69" w:rsidRPr="005612CB" w:rsidRDefault="00D335E6" w:rsidP="004706E9">
      <w:r w:rsidRPr="005612CB">
        <w:t>In general, the safety and tolerability of tremelimumab administered in combination with durvalumab was consistent with the known safety profile for each agent, and the safety profile observed was expected in a population who may also have underling liver disease.</w:t>
      </w:r>
      <w:r w:rsidR="00C45A69" w:rsidRPr="005612CB">
        <w:t xml:space="preserve"> </w:t>
      </w:r>
      <w:r w:rsidRPr="005612CB">
        <w:t>The T300+D regimen has an acceptable tolerability compared to sorafenib, and AEs were manageable per toxicity management guidelines.</w:t>
      </w:r>
      <w:r w:rsidR="00C45A69" w:rsidRPr="005612CB">
        <w:t xml:space="preserve"> </w:t>
      </w:r>
      <w:r w:rsidRPr="005612CB">
        <w:t>No unexpected safety events were noted with T300+D.</w:t>
      </w:r>
      <w:r w:rsidR="00C45A69" w:rsidRPr="005612CB">
        <w:t xml:space="preserve"> </w:t>
      </w:r>
      <w:r w:rsidRPr="005612CB">
        <w:t xml:space="preserve">Notably, as expected, there is an increased risk of immune-mediated AEs (imAEs) observed following </w:t>
      </w:r>
      <w:r w:rsidRPr="005612CB">
        <w:lastRenderedPageBreak/>
        <w:t>tremelimumab and durvalumab treatment, as observed for other dual checkpoint inhibitor (</w:t>
      </w:r>
      <w:r w:rsidR="00C93605" w:rsidRPr="005612CB">
        <w:t>for example</w:t>
      </w:r>
      <w:r w:rsidR="00D902D0" w:rsidRPr="005612CB">
        <w:t>,</w:t>
      </w:r>
      <w:r w:rsidRPr="005612CB">
        <w:t xml:space="preserve"> PD-L1 inhibitor + CTLA4 inhibitor) regimen.</w:t>
      </w:r>
    </w:p>
    <w:p w14:paraId="261DC30E" w14:textId="1E4FD4A4" w:rsidR="00D335E6" w:rsidRPr="005612CB" w:rsidRDefault="00D335E6" w:rsidP="004706E9">
      <w:r w:rsidRPr="005612CB">
        <w:t xml:space="preserve">In the </w:t>
      </w:r>
      <w:r w:rsidR="003F49BF" w:rsidRPr="005612CB">
        <w:t>HIMALAYA trial</w:t>
      </w:r>
      <w:r w:rsidRPr="005612CB">
        <w:t>:</w:t>
      </w:r>
    </w:p>
    <w:p w14:paraId="227D9B3E" w14:textId="66D6733B" w:rsidR="00C45A69" w:rsidRPr="005612CB" w:rsidRDefault="00D335E6" w:rsidP="004706E9">
      <w:r w:rsidRPr="005612CB">
        <w:t xml:space="preserve">Overall incidence of AEs </w:t>
      </w:r>
      <w:r w:rsidR="007C1106" w:rsidRPr="005612CB">
        <w:t>was</w:t>
      </w:r>
      <w:r w:rsidRPr="005612CB">
        <w:t xml:space="preserve"> similar in the T300+D (97.4%) and sorafenib (95.5%) arms; AE profile differed as expected:</w:t>
      </w:r>
    </w:p>
    <w:p w14:paraId="08EB3147" w14:textId="4F7672A5" w:rsidR="00D335E6" w:rsidRPr="005612CB" w:rsidRDefault="00D335E6" w:rsidP="004706E9">
      <w:pPr>
        <w:pStyle w:val="ListBullet"/>
        <w:rPr>
          <w:lang w:val="en-US"/>
        </w:rPr>
      </w:pPr>
      <w:r w:rsidRPr="005612CB">
        <w:rPr>
          <w:rFonts w:eastAsia="TimesNewRoman"/>
          <w:lang w:val="en-US"/>
        </w:rPr>
        <w:t xml:space="preserve">Most frequent AEs in </w:t>
      </w:r>
      <w:r w:rsidRPr="005612CB">
        <w:rPr>
          <w:lang w:val="en-US"/>
        </w:rPr>
        <w:t>the T300+D arm were diarrhoea (26.5%), pruritus (22.9%), rash (22.4%), decreased appetite and fatigue (17.0% each) and pyrexia (12.9%).</w:t>
      </w:r>
      <w:r w:rsidR="00C45A69" w:rsidRPr="005612CB">
        <w:rPr>
          <w:lang w:val="en-US"/>
        </w:rPr>
        <w:t xml:space="preserve"> </w:t>
      </w:r>
      <w:r w:rsidR="007C1106" w:rsidRPr="005612CB">
        <w:rPr>
          <w:lang w:val="en-US"/>
        </w:rPr>
        <w:t>Adverse event</w:t>
      </w:r>
      <w:r w:rsidRPr="005612CB">
        <w:rPr>
          <w:lang w:val="en-US"/>
        </w:rPr>
        <w:t xml:space="preserve"> profile for sorafenib as established, including palmar-plantar erythrodysaesthesia syndrome (46.5%), fatigue (19.0%), hypertension (18.2%) and abdominal pain (16.8%).</w:t>
      </w:r>
    </w:p>
    <w:p w14:paraId="41CE17FB" w14:textId="1F26CE2E" w:rsidR="00D335E6" w:rsidRPr="005612CB" w:rsidRDefault="00D335E6" w:rsidP="004706E9">
      <w:pPr>
        <w:pStyle w:val="ListBullet"/>
        <w:rPr>
          <w:lang w:val="en-US"/>
        </w:rPr>
      </w:pPr>
      <w:r w:rsidRPr="005612CB">
        <w:rPr>
          <w:lang w:val="en-US"/>
        </w:rPr>
        <w:t xml:space="preserve">Most events that were reported at a ≥5% greater frequency in the T300+D arm compared with those reported in the sorafenib arm are known </w:t>
      </w:r>
      <w:r w:rsidR="00BE34C6" w:rsidRPr="005612CB">
        <w:rPr>
          <w:lang w:val="en-US"/>
        </w:rPr>
        <w:t>adverse drug reaction</w:t>
      </w:r>
      <w:r w:rsidRPr="005612CB">
        <w:rPr>
          <w:lang w:val="en-US"/>
        </w:rPr>
        <w:t>s for durvalumab or tremelimumab (pruritus, rash, aspartate aminotransferase increased, and hypothyroidism).</w:t>
      </w:r>
    </w:p>
    <w:p w14:paraId="1A7AD1F3" w14:textId="128D8170" w:rsidR="00D335E6" w:rsidRPr="005612CB" w:rsidRDefault="00D335E6" w:rsidP="004706E9">
      <w:r w:rsidRPr="005612CB">
        <w:t xml:space="preserve">Grade 3 or 4 AEs: T300+D = 50.5% </w:t>
      </w:r>
      <w:r w:rsidR="007C2A4C" w:rsidRPr="005612CB">
        <w:t>versus</w:t>
      </w:r>
      <w:r w:rsidRPr="005612CB">
        <w:t xml:space="preserve"> 52.4% in sorafenib arm; lower in the</w:t>
      </w:r>
      <w:r w:rsidR="00DF515D" w:rsidRPr="005612CB">
        <w:t xml:space="preserve"> durvalumab </w:t>
      </w:r>
      <w:r w:rsidRPr="005612CB">
        <w:t>treatment arm (37.1%).</w:t>
      </w:r>
    </w:p>
    <w:p w14:paraId="74D521FA" w14:textId="0E18F7A4" w:rsidR="00D335E6" w:rsidRPr="005612CB" w:rsidRDefault="00D335E6" w:rsidP="004706E9">
      <w:pPr>
        <w:pStyle w:val="ListBullet"/>
        <w:rPr>
          <w:lang w:val="en-US"/>
        </w:rPr>
      </w:pPr>
      <w:r w:rsidRPr="005612CB">
        <w:rPr>
          <w:lang w:val="en-US"/>
        </w:rPr>
        <w:t>two most frequent Grade 3 or 4 AEs (≥5% patients) in T300+D arm were AST increased and lipase increased</w:t>
      </w:r>
      <w:r w:rsidR="007C1106" w:rsidRPr="005612CB">
        <w:rPr>
          <w:lang w:val="en-US"/>
        </w:rPr>
        <w:t>.</w:t>
      </w:r>
    </w:p>
    <w:p w14:paraId="2F8577B2" w14:textId="167E6802" w:rsidR="00D335E6" w:rsidRPr="005612CB" w:rsidRDefault="00D335E6" w:rsidP="004706E9">
      <w:r w:rsidRPr="005612CB">
        <w:t>Treatment-related AEs: higher in the T300+D and</w:t>
      </w:r>
      <w:r w:rsidR="007C2A4C" w:rsidRPr="005612CB">
        <w:t xml:space="preserve"> sorafenib </w:t>
      </w:r>
      <w:r w:rsidRPr="005612CB">
        <w:t>arms</w:t>
      </w:r>
    </w:p>
    <w:p w14:paraId="2E4DB584" w14:textId="5F1706BA" w:rsidR="00D335E6" w:rsidRPr="005612CB" w:rsidRDefault="007C1106" w:rsidP="004706E9">
      <w:pPr>
        <w:pStyle w:val="ListBullet"/>
        <w:rPr>
          <w:lang w:val="en-US"/>
        </w:rPr>
      </w:pPr>
      <w:r w:rsidRPr="005612CB">
        <w:rPr>
          <w:lang w:val="en-US"/>
        </w:rPr>
        <w:t xml:space="preserve">approximately </w:t>
      </w:r>
      <w:r w:rsidR="00D335E6" w:rsidRPr="005612CB">
        <w:rPr>
          <w:lang w:val="en-US"/>
        </w:rPr>
        <w:t>25% Grade 3 or 4, driven by transient elevations in liver transaminases and symptomatic increases in amylase/lipase</w:t>
      </w:r>
      <w:r w:rsidR="00467117" w:rsidRPr="005612CB">
        <w:rPr>
          <w:lang w:val="en-US"/>
        </w:rPr>
        <w:t>.</w:t>
      </w:r>
    </w:p>
    <w:p w14:paraId="76395839" w14:textId="116A047C" w:rsidR="00D335E6" w:rsidRPr="005612CB" w:rsidRDefault="00D335E6" w:rsidP="004706E9">
      <w:r w:rsidRPr="005612CB">
        <w:t xml:space="preserve">Treatment-related SAEs: T300+D = 17.5% </w:t>
      </w:r>
      <w:r w:rsidR="007C2A4C" w:rsidRPr="005612CB">
        <w:t>versus</w:t>
      </w:r>
      <w:r w:rsidRPr="005612CB">
        <w:t xml:space="preserve"> 9.4% in sorafenib arm and 8.2% in</w:t>
      </w:r>
      <w:r w:rsidR="00DF515D" w:rsidRPr="005612CB">
        <w:t xml:space="preserve"> durvalumab </w:t>
      </w:r>
      <w:r w:rsidRPr="005612CB">
        <w:t>arm</w:t>
      </w:r>
      <w:r w:rsidR="00467117" w:rsidRPr="005612CB">
        <w:t>.</w:t>
      </w:r>
    </w:p>
    <w:p w14:paraId="10FA89A8" w14:textId="2B3AC6A4" w:rsidR="00D335E6" w:rsidRPr="005612CB" w:rsidRDefault="00D335E6" w:rsidP="004706E9">
      <w:r w:rsidRPr="005612CB">
        <w:t xml:space="preserve">Frequencies of AEs resulting in treatment discontinuation: T300+D = 13.7% </w:t>
      </w:r>
      <w:r w:rsidR="007C2A4C" w:rsidRPr="005612CB">
        <w:t>versus</w:t>
      </w:r>
      <w:r w:rsidRPr="005612CB">
        <w:t xml:space="preserve"> 16.8% in sorafenib arm; lowest in durvalumab monotherapy arm (8.2%)</w:t>
      </w:r>
      <w:r w:rsidR="00467117" w:rsidRPr="005612CB">
        <w:t>.</w:t>
      </w:r>
    </w:p>
    <w:p w14:paraId="3FE26927" w14:textId="08E340E5" w:rsidR="00C45A69" w:rsidRPr="005612CB" w:rsidRDefault="00D335E6" w:rsidP="004706E9">
      <w:r w:rsidRPr="005612CB">
        <w:t>Frequency of treatment-related haemorrhage was highest in sorafenib arm (4.8%) compared to T300+D (1.8%) and</w:t>
      </w:r>
      <w:r w:rsidR="00DF515D" w:rsidRPr="005612CB">
        <w:t xml:space="preserve"> durvalumab </w:t>
      </w:r>
      <w:r w:rsidRPr="005612CB">
        <w:t>(0.8%)</w:t>
      </w:r>
      <w:r w:rsidR="00467117" w:rsidRPr="005612CB">
        <w:t>.</w:t>
      </w:r>
    </w:p>
    <w:p w14:paraId="1AC674D9" w14:textId="339999E1" w:rsidR="00D335E6" w:rsidRPr="005612CB" w:rsidRDefault="00D335E6" w:rsidP="004706E9">
      <w:pPr>
        <w:pStyle w:val="ListBullet"/>
        <w:rPr>
          <w:lang w:val="en-US"/>
        </w:rPr>
      </w:pPr>
      <w:r w:rsidRPr="005612CB">
        <w:rPr>
          <w:lang w:val="en-US"/>
        </w:rPr>
        <w:t>Incidence of fatal hemorrhages similar across treatment arms (</w:t>
      </w:r>
      <w:r w:rsidR="00467117" w:rsidRPr="005612CB">
        <w:t>durvalumab</w:t>
      </w:r>
      <w:r w:rsidRPr="005612CB">
        <w:rPr>
          <w:lang w:val="en-US"/>
        </w:rPr>
        <w:t xml:space="preserve"> 1.5%; T300+D, 2.1%; T75+D, 0.7%; </w:t>
      </w:r>
      <w:r w:rsidR="00CF2C2A" w:rsidRPr="005612CB">
        <w:rPr>
          <w:lang w:val="en-US"/>
        </w:rPr>
        <w:t>sorafenib</w:t>
      </w:r>
      <w:r w:rsidRPr="005612CB">
        <w:rPr>
          <w:lang w:val="en-US"/>
        </w:rPr>
        <w:t>, 1.3%)</w:t>
      </w:r>
      <w:r w:rsidR="00467117" w:rsidRPr="005612CB">
        <w:rPr>
          <w:lang w:val="en-US"/>
        </w:rPr>
        <w:t>.</w:t>
      </w:r>
    </w:p>
    <w:p w14:paraId="4A7D6E4A" w14:textId="4A41D5E0" w:rsidR="00D335E6" w:rsidRPr="005612CB" w:rsidRDefault="00D335E6" w:rsidP="004706E9">
      <w:bookmarkStart w:id="73" w:name="_Hlk127862781"/>
      <w:r w:rsidRPr="005612CB">
        <w:t xml:space="preserve">Treatment-related fatal haemorrhages were not reported in the </w:t>
      </w:r>
      <w:r w:rsidR="004057EA" w:rsidRPr="005612CB">
        <w:t>immuno-oncology-</w:t>
      </w:r>
      <w:r w:rsidRPr="005612CB">
        <w:t>containing treatment arms, with only two identified in the</w:t>
      </w:r>
      <w:r w:rsidR="007C2A4C" w:rsidRPr="005612CB">
        <w:t xml:space="preserve"> sorafenib </w:t>
      </w:r>
      <w:r w:rsidRPr="005612CB">
        <w:t>arm (0.5%).</w:t>
      </w:r>
      <w:r w:rsidR="00C45A69" w:rsidRPr="005612CB">
        <w:t xml:space="preserve"> </w:t>
      </w:r>
      <w:bookmarkEnd w:id="73"/>
      <w:r w:rsidRPr="005612CB">
        <w:t xml:space="preserve">No treatment-related </w:t>
      </w:r>
      <w:r w:rsidR="00CF2C2A" w:rsidRPr="005612CB">
        <w:t>oesophageal</w:t>
      </w:r>
      <w:r w:rsidRPr="005612CB">
        <w:t xml:space="preserve"> variceal </w:t>
      </w:r>
      <w:r w:rsidR="00CF2C2A" w:rsidRPr="005612CB">
        <w:t>haemorrhagic</w:t>
      </w:r>
      <w:r w:rsidRPr="005612CB">
        <w:t xml:space="preserve"> events were reported in the T300+D or sorafenib arms.</w:t>
      </w:r>
      <w:r w:rsidR="00C45A69" w:rsidRPr="005612CB">
        <w:t xml:space="preserve"> </w:t>
      </w:r>
      <w:r w:rsidRPr="005612CB">
        <w:t>T300+D was also not associated with increased bleeding risk, despite no requirement for recent endoscopy for study entry.</w:t>
      </w:r>
    </w:p>
    <w:p w14:paraId="6EDEE295" w14:textId="3F4CFACB" w:rsidR="00C45A69" w:rsidRPr="005612CB" w:rsidRDefault="00D335E6" w:rsidP="004706E9">
      <w:r w:rsidRPr="005612CB">
        <w:t xml:space="preserve">Hepatic </w:t>
      </w:r>
      <w:r w:rsidR="00A64541" w:rsidRPr="005612CB">
        <w:t>AEs</w:t>
      </w:r>
      <w:r w:rsidRPr="005612CB">
        <w:t>:</w:t>
      </w:r>
    </w:p>
    <w:p w14:paraId="1F22DAA1" w14:textId="5332005C" w:rsidR="00C45A69" w:rsidRPr="005612CB" w:rsidRDefault="00D335E6" w:rsidP="004706E9">
      <w:pPr>
        <w:pStyle w:val="ListBullet"/>
        <w:rPr>
          <w:lang w:val="en-US"/>
        </w:rPr>
      </w:pPr>
      <w:r w:rsidRPr="005612CB">
        <w:rPr>
          <w:lang w:val="en-US"/>
        </w:rPr>
        <w:t>The incidence of AESIs</w:t>
      </w:r>
      <w:r w:rsidR="00E4337B" w:rsidRPr="005612CB">
        <w:rPr>
          <w:lang w:val="en-US"/>
        </w:rPr>
        <w:t xml:space="preserve"> </w:t>
      </w:r>
      <w:r w:rsidRPr="005612CB">
        <w:rPr>
          <w:lang w:val="en-US"/>
        </w:rPr>
        <w:t>/</w:t>
      </w:r>
      <w:r w:rsidR="00E4337B" w:rsidRPr="005612CB">
        <w:rPr>
          <w:lang w:val="en-US"/>
        </w:rPr>
        <w:t xml:space="preserve"> </w:t>
      </w:r>
      <w:r w:rsidR="00E4337B" w:rsidRPr="005612CB">
        <w:t>a</w:t>
      </w:r>
      <w:proofErr w:type="spellStart"/>
      <w:r w:rsidR="00E4337B" w:rsidRPr="005612CB">
        <w:rPr>
          <w:lang w:val="en-US"/>
        </w:rPr>
        <w:t>dverse</w:t>
      </w:r>
      <w:proofErr w:type="spellEnd"/>
      <w:r w:rsidR="00E4337B" w:rsidRPr="005612CB">
        <w:rPr>
          <w:lang w:val="en-US"/>
        </w:rPr>
        <w:t xml:space="preserve"> events of potential interest </w:t>
      </w:r>
      <w:r w:rsidRPr="005612CB">
        <w:rPr>
          <w:lang w:val="en-US"/>
        </w:rPr>
        <w:t xml:space="preserve">of hepatic events (grouped term) were similar in all treatment arms: 24.5%. 24.7%, 21.7% and 21.1% in the </w:t>
      </w:r>
      <w:r w:rsidR="00A64541" w:rsidRPr="005612CB">
        <w:t>durvalumab</w:t>
      </w:r>
      <w:r w:rsidRPr="005612CB">
        <w:rPr>
          <w:lang w:val="en-US"/>
        </w:rPr>
        <w:t>, T300+D, T75+D and</w:t>
      </w:r>
      <w:r w:rsidR="007C2A4C" w:rsidRPr="005612CB">
        <w:t xml:space="preserve"> sorafenib </w:t>
      </w:r>
      <w:r w:rsidRPr="005612CB">
        <w:rPr>
          <w:lang w:val="en-US"/>
        </w:rPr>
        <w:t>treatment arms, respectively.</w:t>
      </w:r>
    </w:p>
    <w:p w14:paraId="1B65F1CF" w14:textId="4FF5AE0C" w:rsidR="00D335E6" w:rsidRPr="005612CB" w:rsidRDefault="00D335E6" w:rsidP="004706E9">
      <w:pPr>
        <w:pStyle w:val="ListBullet"/>
        <w:rPr>
          <w:lang w:val="en-US"/>
        </w:rPr>
      </w:pPr>
      <w:r w:rsidRPr="005612CB">
        <w:rPr>
          <w:lang w:val="en-US"/>
        </w:rPr>
        <w:t>Hepatic events determined as immune mediated AEs were reported in 6.7%, 7.5%, 9.2% and 0.3%, respectively.</w:t>
      </w:r>
    </w:p>
    <w:p w14:paraId="30FA5CC1" w14:textId="35132FFA" w:rsidR="00D335E6" w:rsidRPr="005612CB" w:rsidRDefault="00D335E6" w:rsidP="004706E9">
      <w:r w:rsidRPr="005612CB">
        <w:t xml:space="preserve">Immune mediated AEs: T300+D = 35.8% </w:t>
      </w:r>
      <w:r w:rsidR="007C2A4C" w:rsidRPr="005612CB">
        <w:t>versus</w:t>
      </w:r>
      <w:r w:rsidRPr="005612CB">
        <w:t xml:space="preserve"> 16.5% in durvalumab monotherapy arm</w:t>
      </w:r>
      <w:r w:rsidR="00A64541" w:rsidRPr="005612CB">
        <w:t>.</w:t>
      </w:r>
    </w:p>
    <w:p w14:paraId="0FC527B1" w14:textId="2741B61B" w:rsidR="00D335E6" w:rsidRPr="005612CB" w:rsidRDefault="00181D49" w:rsidP="004706E9">
      <w:pPr>
        <w:pStyle w:val="ListBullet"/>
        <w:rPr>
          <w:lang w:val="en-US"/>
        </w:rPr>
      </w:pPr>
      <w:r w:rsidRPr="005612CB">
        <w:rPr>
          <w:lang w:val="en-US"/>
        </w:rPr>
        <w:t xml:space="preserve">There were </w:t>
      </w:r>
      <w:r w:rsidR="00D335E6" w:rsidRPr="005612CB">
        <w:rPr>
          <w:lang w:val="en-US"/>
        </w:rPr>
        <w:t>1.5% of patients (</w:t>
      </w:r>
      <w:r w:rsidR="004B3CCC" w:rsidRPr="005612CB">
        <w:rPr>
          <w:lang w:val="en-US"/>
        </w:rPr>
        <w:t xml:space="preserve">n = </w:t>
      </w:r>
      <w:r w:rsidR="00D335E6" w:rsidRPr="005612CB">
        <w:rPr>
          <w:lang w:val="en-US"/>
        </w:rPr>
        <w:t>6) in the T300+D arm died due to imAEs (pneumonitis, 3</w:t>
      </w:r>
      <w:r w:rsidRPr="005612CB">
        <w:rPr>
          <w:lang w:val="en-US"/>
        </w:rPr>
        <w:t> </w:t>
      </w:r>
      <w:r w:rsidR="00D335E6" w:rsidRPr="005612CB">
        <w:rPr>
          <w:lang w:val="en-US"/>
        </w:rPr>
        <w:t>hepatic events, myocarditis, and myasthenia gravis); there were no fatal imAEs in the other treatment arms.</w:t>
      </w:r>
    </w:p>
    <w:p w14:paraId="19906108" w14:textId="5040CF90" w:rsidR="00D335E6" w:rsidRPr="005612CB" w:rsidRDefault="00D335E6" w:rsidP="004706E9">
      <w:pPr>
        <w:pStyle w:val="ListBullet"/>
        <w:rPr>
          <w:lang w:val="en-US"/>
        </w:rPr>
      </w:pPr>
      <w:r w:rsidRPr="005612CB">
        <w:rPr>
          <w:lang w:val="en-US"/>
        </w:rPr>
        <w:lastRenderedPageBreak/>
        <w:t xml:space="preserve">Diarrhoea/colitis imAEs were uncommon (T300+D = 5.9% </w:t>
      </w:r>
      <w:r w:rsidR="007C2A4C" w:rsidRPr="005612CB">
        <w:rPr>
          <w:lang w:val="en-US"/>
        </w:rPr>
        <w:t>versus</w:t>
      </w:r>
      <w:r w:rsidR="00DF515D" w:rsidRPr="005612CB">
        <w:t xml:space="preserve"> durvalumab </w:t>
      </w:r>
      <w:r w:rsidRPr="005612CB">
        <w:rPr>
          <w:lang w:val="en-US"/>
        </w:rPr>
        <w:t xml:space="preserve">= 0.8% </w:t>
      </w:r>
      <w:r w:rsidR="007C2A4C" w:rsidRPr="005612CB">
        <w:rPr>
          <w:lang w:val="en-US"/>
        </w:rPr>
        <w:t>versus</w:t>
      </w:r>
      <w:r w:rsidRPr="005612CB">
        <w:rPr>
          <w:lang w:val="en-US"/>
        </w:rPr>
        <w:t xml:space="preserve"> sorafenib = 0.3%). However, serious imAEs of diarrhoea/colitis were reported at a higher frequency in the tremelimumab-containing treatment arms (T300+D, 3.4%; T75+D, 3.3%) compared with the</w:t>
      </w:r>
      <w:r w:rsidR="00DF515D" w:rsidRPr="005612CB">
        <w:t xml:space="preserve"> durvalumab </w:t>
      </w:r>
      <w:r w:rsidRPr="005612CB">
        <w:rPr>
          <w:lang w:val="en-US"/>
        </w:rPr>
        <w:t>(0.5%) and</w:t>
      </w:r>
      <w:r w:rsidR="007C2A4C" w:rsidRPr="005612CB">
        <w:t xml:space="preserve"> sorafenib </w:t>
      </w:r>
      <w:r w:rsidRPr="005612CB">
        <w:rPr>
          <w:lang w:val="en-US"/>
        </w:rPr>
        <w:t>(0%) arms. Discontinuations due to imAEs of diarrhea/colitis only occurred in the</w:t>
      </w:r>
      <w:r w:rsidR="00DF515D" w:rsidRPr="005612CB">
        <w:t xml:space="preserve"> durvalumab </w:t>
      </w:r>
      <w:r w:rsidRPr="005612CB">
        <w:rPr>
          <w:lang w:val="en-US"/>
        </w:rPr>
        <w:t>(0.3%) and T300+D (1.3%) arms. There were no deaths due to imAEs of diarrhoea/colitis.</w:t>
      </w:r>
    </w:p>
    <w:p w14:paraId="52E73E6E" w14:textId="67C00A60" w:rsidR="00D335E6" w:rsidRPr="005612CB" w:rsidRDefault="00D335E6" w:rsidP="004706E9">
      <w:pPr>
        <w:pStyle w:val="ListBullet"/>
        <w:rPr>
          <w:lang w:val="en-US"/>
        </w:rPr>
      </w:pPr>
      <w:r w:rsidRPr="005612CB">
        <w:rPr>
          <w:lang w:val="en-US"/>
        </w:rPr>
        <w:t xml:space="preserve">Incidence of dermatitis/rash imAEs was low (T300+D = 4.9% </w:t>
      </w:r>
      <w:r w:rsidR="007C2A4C" w:rsidRPr="005612CB">
        <w:rPr>
          <w:lang w:val="en-US"/>
        </w:rPr>
        <w:t>versus</w:t>
      </w:r>
      <w:r w:rsidR="00DF515D" w:rsidRPr="005612CB">
        <w:t xml:space="preserve"> durvalumab </w:t>
      </w:r>
      <w:r w:rsidRPr="005612CB">
        <w:rPr>
          <w:lang w:val="en-US"/>
        </w:rPr>
        <w:t xml:space="preserve">= 0.8% </w:t>
      </w:r>
      <w:r w:rsidR="007C2A4C" w:rsidRPr="005612CB">
        <w:rPr>
          <w:lang w:val="en-US"/>
        </w:rPr>
        <w:t>versus</w:t>
      </w:r>
      <w:r w:rsidRPr="005612CB">
        <w:rPr>
          <w:lang w:val="en-US"/>
        </w:rPr>
        <w:t xml:space="preserve"> sorafenib = 3.5%). Serious imAEs of dermatitis/rash and discontinuations were infrequent.</w:t>
      </w:r>
    </w:p>
    <w:p w14:paraId="0C52E997" w14:textId="2FA51D9F" w:rsidR="00D335E6" w:rsidRPr="005612CB" w:rsidRDefault="00D335E6" w:rsidP="004706E9">
      <w:r w:rsidRPr="005612CB">
        <w:t>The risk of myasthenia gravis, pancreatic events, hypersensitivity/anaphylactic reactions, infusion reaction AEs is noted; the risk of immunogenicity is also noted.</w:t>
      </w:r>
      <w:r w:rsidR="00C45A69" w:rsidRPr="005612CB">
        <w:t xml:space="preserve"> </w:t>
      </w:r>
      <w:r w:rsidRPr="005612CB">
        <w:t>Across the AE profile, there was no marked difference in categorical AE data for patients positive for either durvalumab or tremelimumab ADA compared with ADA-negative patients.</w:t>
      </w:r>
    </w:p>
    <w:p w14:paraId="63D80159" w14:textId="0175A147" w:rsidR="00D335E6" w:rsidRPr="005612CB" w:rsidRDefault="00D335E6" w:rsidP="00181D49">
      <w:pPr>
        <w:pStyle w:val="Heading5"/>
      </w:pPr>
      <w:r w:rsidRPr="005612CB">
        <w:t>Benefit</w:t>
      </w:r>
      <w:r w:rsidR="00181D49" w:rsidRPr="005612CB">
        <w:t>-r</w:t>
      </w:r>
      <w:r w:rsidRPr="005612CB">
        <w:t>isk balance</w:t>
      </w:r>
    </w:p>
    <w:p w14:paraId="70B895B6" w14:textId="28B1407F" w:rsidR="00D335E6" w:rsidRPr="005612CB" w:rsidRDefault="00D335E6" w:rsidP="004706E9">
      <w:r w:rsidRPr="005612CB">
        <w:t xml:space="preserve">Overall, the benefit-risk assessment for tremelimumab in combination with durvalumab for the treatment of patients with unresectable hepatocellular carcinoma </w:t>
      </w:r>
      <w:proofErr w:type="gramStart"/>
      <w:r w:rsidRPr="005612CB">
        <w:t>is considered to be</w:t>
      </w:r>
      <w:proofErr w:type="gramEnd"/>
      <w:r w:rsidRPr="005612CB">
        <w:t xml:space="preserve"> positive.</w:t>
      </w:r>
      <w:r w:rsidR="00C45A69" w:rsidRPr="005612CB">
        <w:t xml:space="preserve"> </w:t>
      </w:r>
      <w:r w:rsidRPr="005612CB">
        <w:t xml:space="preserve">The improvement in median overall survival was 2.7 months in the pivotal </w:t>
      </w:r>
      <w:r w:rsidR="003F49BF" w:rsidRPr="005612CB">
        <w:t>HIMALAYA trial</w:t>
      </w:r>
      <w:r w:rsidRPr="005612CB">
        <w:t xml:space="preserve"> (16.43 months for T300+D versus 13.77 months for sorafenib; HR = 0.78) with a sustained OS benefit over time; this improvement in OS </w:t>
      </w:r>
      <w:proofErr w:type="gramStart"/>
      <w:r w:rsidRPr="005612CB">
        <w:t>is considered to be</w:t>
      </w:r>
      <w:proofErr w:type="gramEnd"/>
      <w:r w:rsidRPr="005612CB">
        <w:t xml:space="preserve"> statistically significant and clinically meaningful.</w:t>
      </w:r>
      <w:r w:rsidR="00C45A69" w:rsidRPr="005612CB">
        <w:t xml:space="preserve"> </w:t>
      </w:r>
      <w:r w:rsidRPr="005612CB">
        <w:t xml:space="preserve">Evidence of contribution of tremelimumab to the proposed T300+D regimen was provided by numerically better outcomes for OS, ORR, </w:t>
      </w:r>
      <w:r w:rsidR="005F44B5" w:rsidRPr="005612CB">
        <w:t>best objective response</w:t>
      </w:r>
      <w:r w:rsidRPr="005612CB">
        <w:t xml:space="preserve">, </w:t>
      </w:r>
      <w:r w:rsidR="00BD1F10" w:rsidRPr="005612CB">
        <w:t xml:space="preserve">disease control rate </w:t>
      </w:r>
      <w:r w:rsidRPr="005612CB">
        <w:t xml:space="preserve">and </w:t>
      </w:r>
      <w:r w:rsidR="00DA4056" w:rsidRPr="005612CB">
        <w:t>duration of response</w:t>
      </w:r>
      <w:r w:rsidRPr="005612CB">
        <w:t xml:space="preserve"> in the T300+D compared to durvalumab monotherapy in the </w:t>
      </w:r>
      <w:r w:rsidR="003F49BF" w:rsidRPr="005612CB">
        <w:t>HIMALAYA trial</w:t>
      </w:r>
      <w:r w:rsidRPr="005612CB">
        <w:t>.</w:t>
      </w:r>
    </w:p>
    <w:p w14:paraId="745453E9" w14:textId="7651D56D" w:rsidR="00D335E6" w:rsidRPr="005612CB" w:rsidRDefault="00D335E6" w:rsidP="004706E9">
      <w:r w:rsidRPr="005612CB">
        <w:t>The safety and tolerability of tremelimumab in combination with durvalumab was consistent with the known safety profile for each agent and adverse events were overall manageable.</w:t>
      </w:r>
      <w:r w:rsidR="00C45A69" w:rsidRPr="005612CB">
        <w:t xml:space="preserve"> </w:t>
      </w:r>
      <w:r w:rsidRPr="005612CB">
        <w:t>The safety profile demonstrated is acceptable when considered in the context of a serious and life</w:t>
      </w:r>
      <w:r w:rsidR="00181D49" w:rsidRPr="005612CB">
        <w:noBreakHyphen/>
      </w:r>
      <w:r w:rsidRPr="005612CB">
        <w:t>threatening condition such as unresectable hepatocellular carcinoma.</w:t>
      </w:r>
    </w:p>
    <w:p w14:paraId="3916F296" w14:textId="77777777" w:rsidR="00C22214" w:rsidRPr="005612CB" w:rsidRDefault="00C22214" w:rsidP="00C22214">
      <w:pPr>
        <w:pStyle w:val="Heading4"/>
      </w:pPr>
      <w:bookmarkStart w:id="74" w:name="_Toc98931933"/>
      <w:bookmarkStart w:id="75" w:name="_Toc152934449"/>
      <w:r w:rsidRPr="005612CB">
        <w:t>Proposed action</w:t>
      </w:r>
      <w:bookmarkEnd w:id="74"/>
      <w:bookmarkEnd w:id="75"/>
    </w:p>
    <w:p w14:paraId="6F10EE95" w14:textId="77777777" w:rsidR="00C45A69" w:rsidRPr="005612CB" w:rsidRDefault="00BA7093" w:rsidP="004706E9">
      <w:r w:rsidRPr="005612CB">
        <w:t xml:space="preserve">The benefit risk assessment for tremelimumab in combination with durvalumab </w:t>
      </w:r>
      <w:proofErr w:type="gramStart"/>
      <w:r w:rsidRPr="005612CB">
        <w:t>is considered to be</w:t>
      </w:r>
      <w:proofErr w:type="gramEnd"/>
      <w:r w:rsidRPr="005612CB">
        <w:t xml:space="preserve"> favourable in adult patients with unresectable hepatocellular carcinoma.</w:t>
      </w:r>
      <w:r w:rsidR="00C45A69" w:rsidRPr="005612CB">
        <w:t xml:space="preserve"> </w:t>
      </w:r>
      <w:r w:rsidRPr="005612CB">
        <w:t>The delegate therefore supports the registration of durvalumab for the following indication:</w:t>
      </w:r>
    </w:p>
    <w:p w14:paraId="1BE3AE50" w14:textId="21F61C6E" w:rsidR="00BA7093" w:rsidRPr="005612CB" w:rsidRDefault="00A83354" w:rsidP="00181D49">
      <w:pPr>
        <w:ind w:left="720"/>
        <w:rPr>
          <w:i/>
          <w:iCs/>
        </w:rPr>
      </w:pPr>
      <w:r w:rsidRPr="005612CB">
        <w:rPr>
          <w:i/>
          <w:iCs/>
        </w:rPr>
        <w:t>Imfinzi</w:t>
      </w:r>
      <w:r w:rsidR="00BA7093" w:rsidRPr="005612CB">
        <w:rPr>
          <w:i/>
          <w:iCs/>
        </w:rPr>
        <w:t xml:space="preserve"> in combination with tremelimumab is indicated for the treatment of adult patients with unresectable hepatocellular carcinoma</w:t>
      </w:r>
      <w:r w:rsidR="00181D49" w:rsidRPr="005612CB">
        <w:rPr>
          <w:i/>
          <w:iCs/>
        </w:rPr>
        <w:t>.</w:t>
      </w:r>
    </w:p>
    <w:p w14:paraId="08A2E0EC" w14:textId="76EB8EE7" w:rsidR="00BA7093" w:rsidRPr="005612CB" w:rsidRDefault="00BA7093" w:rsidP="004706E9">
      <w:r w:rsidRPr="005612CB">
        <w:t>The delegate will seek the opinion of ACM regarding whether the available evidence from Study</w:t>
      </w:r>
      <w:r w:rsidR="00181D49" w:rsidRPr="005612CB">
        <w:t> </w:t>
      </w:r>
      <w:r w:rsidRPr="005612CB">
        <w:t xml:space="preserve">22 is adequate to support use of T300+D in the </w:t>
      </w:r>
      <w:proofErr w:type="gramStart"/>
      <w:r w:rsidR="004B3CCC" w:rsidRPr="005612CB">
        <w:t>second-line</w:t>
      </w:r>
      <w:proofErr w:type="gramEnd"/>
      <w:r w:rsidRPr="005612CB">
        <w:t xml:space="preserve"> setting.</w:t>
      </w:r>
    </w:p>
    <w:p w14:paraId="318CFABC" w14:textId="77777777" w:rsidR="00C22214" w:rsidRPr="005612CB" w:rsidRDefault="00C22214" w:rsidP="00C22214">
      <w:pPr>
        <w:pStyle w:val="Heading4"/>
      </w:pPr>
      <w:bookmarkStart w:id="76" w:name="_Toc98931936"/>
      <w:bookmarkStart w:id="77" w:name="_Toc152934450"/>
      <w:bookmarkStart w:id="78" w:name="_Toc247691532"/>
      <w:bookmarkStart w:id="79" w:name="_Toc314842516"/>
      <w:r w:rsidRPr="005612CB">
        <w:t>Advisory Committee considerations</w:t>
      </w:r>
      <w:bookmarkEnd w:id="76"/>
      <w:bookmarkEnd w:id="77"/>
    </w:p>
    <w:p w14:paraId="087BB9CB" w14:textId="197CE9D5" w:rsidR="00C22214" w:rsidRPr="005612CB" w:rsidRDefault="00C22214" w:rsidP="00C22214">
      <w:pPr>
        <w:rPr>
          <w:bCs/>
          <w:szCs w:val="22"/>
        </w:rPr>
      </w:pPr>
      <w:r w:rsidRPr="005612CB">
        <w:rPr>
          <w:bCs/>
          <w:szCs w:val="22"/>
        </w:rPr>
        <w:t xml:space="preserve">The </w:t>
      </w:r>
      <w:hyperlink r:id="rId30" w:history="1">
        <w:r w:rsidRPr="005612CB">
          <w:rPr>
            <w:rStyle w:val="Hyperlink"/>
            <w:szCs w:val="22"/>
          </w:rPr>
          <w:t>Advisory Committee on Medicines (ACM)</w:t>
        </w:r>
      </w:hyperlink>
      <w:r w:rsidRPr="005612CB">
        <w:rPr>
          <w:szCs w:val="22"/>
        </w:rPr>
        <w:t>,</w:t>
      </w:r>
      <w:r w:rsidRPr="005612CB">
        <w:rPr>
          <w:bCs/>
          <w:szCs w:val="22"/>
        </w:rPr>
        <w:t xml:space="preserve"> having considered the evaluations and the Delegate’s overview, as well as the sponsor’s response to these documents, advised the following.</w:t>
      </w:r>
    </w:p>
    <w:p w14:paraId="0D935CC4" w14:textId="77777777" w:rsidR="00C22214" w:rsidRPr="005612CB" w:rsidRDefault="00C22214" w:rsidP="00C22214">
      <w:pPr>
        <w:pStyle w:val="Heading5"/>
      </w:pPr>
      <w:r w:rsidRPr="005612CB">
        <w:t>Specific advice to the Delegate</w:t>
      </w:r>
    </w:p>
    <w:p w14:paraId="30893AC6" w14:textId="13AF90CD" w:rsidR="00E630D0" w:rsidRPr="005612CB" w:rsidRDefault="00E630D0" w:rsidP="00E630D0">
      <w:pPr>
        <w:pStyle w:val="Numberbullet0"/>
        <w:numPr>
          <w:ilvl w:val="0"/>
          <w:numId w:val="25"/>
        </w:numPr>
        <w:ind w:left="425" w:hanging="425"/>
        <w:rPr>
          <w:b/>
          <w:bCs/>
          <w:i/>
          <w:iCs/>
          <w:color w:val="auto"/>
        </w:rPr>
      </w:pPr>
      <w:r w:rsidRPr="005612CB">
        <w:rPr>
          <w:b/>
          <w:bCs/>
          <w:i/>
          <w:iCs/>
          <w:color w:val="auto"/>
        </w:rPr>
        <w:t xml:space="preserve">Does the available data support the use of tremelimumab in combination with durvalumab in the proposed population, including its use in the </w:t>
      </w:r>
      <w:r w:rsidR="004B3CCC" w:rsidRPr="005612CB">
        <w:rPr>
          <w:b/>
          <w:bCs/>
          <w:i/>
          <w:iCs/>
          <w:color w:val="auto"/>
        </w:rPr>
        <w:t>second</w:t>
      </w:r>
      <w:r w:rsidR="00181D49" w:rsidRPr="005612CB">
        <w:rPr>
          <w:b/>
          <w:bCs/>
          <w:i/>
          <w:iCs/>
          <w:color w:val="auto"/>
        </w:rPr>
        <w:noBreakHyphen/>
      </w:r>
      <w:r w:rsidR="004B3CCC" w:rsidRPr="005612CB">
        <w:rPr>
          <w:b/>
          <w:bCs/>
          <w:i/>
          <w:iCs/>
          <w:color w:val="auto"/>
        </w:rPr>
        <w:t>line</w:t>
      </w:r>
      <w:r w:rsidR="00181D49" w:rsidRPr="005612CB">
        <w:rPr>
          <w:b/>
          <w:bCs/>
          <w:i/>
          <w:iCs/>
          <w:color w:val="auto"/>
        </w:rPr>
        <w:t xml:space="preserve"> </w:t>
      </w:r>
      <w:r w:rsidRPr="005612CB">
        <w:rPr>
          <w:b/>
          <w:bCs/>
          <w:i/>
          <w:iCs/>
          <w:color w:val="auto"/>
        </w:rPr>
        <w:t>/</w:t>
      </w:r>
      <w:r w:rsidR="00181D49" w:rsidRPr="005612CB">
        <w:rPr>
          <w:b/>
          <w:bCs/>
          <w:i/>
          <w:iCs/>
          <w:color w:val="auto"/>
        </w:rPr>
        <w:t xml:space="preserve"> </w:t>
      </w:r>
      <w:r w:rsidRPr="005612CB">
        <w:rPr>
          <w:b/>
          <w:bCs/>
          <w:i/>
          <w:iCs/>
          <w:color w:val="auto"/>
        </w:rPr>
        <w:t>subsequent setting?</w:t>
      </w:r>
    </w:p>
    <w:p w14:paraId="1BA092E7" w14:textId="5BE790E9" w:rsidR="00E630D0" w:rsidRPr="005612CB" w:rsidRDefault="00E630D0" w:rsidP="004706E9">
      <w:bookmarkStart w:id="80" w:name="_Hlk132374461"/>
      <w:r w:rsidRPr="005612CB">
        <w:lastRenderedPageBreak/>
        <w:t xml:space="preserve">The ACM noted that the provided randomised data is for the </w:t>
      </w:r>
      <w:r w:rsidR="004B3CCC" w:rsidRPr="005612CB">
        <w:t>first-line</w:t>
      </w:r>
      <w:r w:rsidRPr="005612CB">
        <w:t xml:space="preserve"> treatment setting only. In Study 22 (a single arm study), tremelimumab in combination with durvalumab did appear to have similar activity in the </w:t>
      </w:r>
      <w:proofErr w:type="gramStart"/>
      <w:r w:rsidR="004B3CCC" w:rsidRPr="005612CB">
        <w:t>second-line</w:t>
      </w:r>
      <w:proofErr w:type="gramEnd"/>
      <w:r w:rsidRPr="005612CB">
        <w:t xml:space="preserve"> setting. However, this statement is based on a small subset (patients who had unresectable hepatocellular carcinoma) within Study 22.</w:t>
      </w:r>
    </w:p>
    <w:p w14:paraId="7A305AA4" w14:textId="7B29B1E5" w:rsidR="00E630D0" w:rsidRPr="005612CB" w:rsidRDefault="00E630D0" w:rsidP="004706E9">
      <w:r w:rsidRPr="005612CB">
        <w:t>With regards to the proposed wording for the indication, the ACM recommended specifying use only in patients without prior treatment with a PD-1 or a PD-L1 inhibitor, as this aligns with the clinical data provided.</w:t>
      </w:r>
    </w:p>
    <w:p w14:paraId="2C1244A8" w14:textId="3DB34FD0" w:rsidR="00E630D0" w:rsidRPr="005612CB" w:rsidRDefault="00E630D0" w:rsidP="004706E9">
      <w:r w:rsidRPr="005612CB">
        <w:t>The ACM discussed the efficacy of combination therapy compared to monotherapy within this setting. It was noted that tremelimumab has a similar mechanism of action to ipilimumab and combination data for ipilimumab with nivolumab post-sorafenib received accelerated approval by the U</w:t>
      </w:r>
      <w:r w:rsidR="003A3DC4" w:rsidRPr="005612CB">
        <w:t>S</w:t>
      </w:r>
      <w:r w:rsidRPr="005612CB">
        <w:t xml:space="preserve"> </w:t>
      </w:r>
      <w:r w:rsidR="003A3DC4" w:rsidRPr="005612CB">
        <w:t>F</w:t>
      </w:r>
      <w:r w:rsidRPr="005612CB">
        <w:t>DA. However, this was a single arm study with no control arm. The ACM noted that it seems likely the CTLA4 combination may be more useful than the single agent and this is supported for tremelimumab/durvalumab by post</w:t>
      </w:r>
      <w:r w:rsidR="00181D49" w:rsidRPr="005612CB">
        <w:noBreakHyphen/>
      </w:r>
      <w:r w:rsidRPr="005612CB">
        <w:t>sorafenib data in a single arm study. However, due to limitations of the study design, the ACM was of the view that the submitted studies could lead to conclusions regarding toxicity difference, but not compare the efficacy outcomes between the proposed dosing regimen to the monotherapy</w:t>
      </w:r>
      <w:bookmarkEnd w:id="80"/>
      <w:r w:rsidRPr="005612CB">
        <w:t>.</w:t>
      </w:r>
    </w:p>
    <w:p w14:paraId="5291EA2A" w14:textId="77777777" w:rsidR="00C22214" w:rsidRPr="005612CB" w:rsidRDefault="00C22214" w:rsidP="00C22214">
      <w:pPr>
        <w:pStyle w:val="Heading5"/>
      </w:pPr>
      <w:r w:rsidRPr="005612CB">
        <w:t>Conclusion</w:t>
      </w:r>
    </w:p>
    <w:p w14:paraId="7E507C62" w14:textId="77777777" w:rsidR="0009312B" w:rsidRPr="005612CB" w:rsidRDefault="0009312B" w:rsidP="0009312B">
      <w:r w:rsidRPr="005612CB">
        <w:t>The ACM considered this product to have an overall positive benefit-risk profile for the indication:</w:t>
      </w:r>
    </w:p>
    <w:p w14:paraId="6CC6FF1F" w14:textId="66D8294D" w:rsidR="0009312B" w:rsidRPr="005612CB" w:rsidRDefault="00A83354" w:rsidP="0009312B">
      <w:pPr>
        <w:ind w:left="720"/>
        <w:rPr>
          <w:i/>
          <w:iCs/>
        </w:rPr>
      </w:pPr>
      <w:r w:rsidRPr="005612CB">
        <w:rPr>
          <w:i/>
          <w:iCs/>
        </w:rPr>
        <w:t>Imfinzi</w:t>
      </w:r>
      <w:r w:rsidR="0009312B" w:rsidRPr="005612CB">
        <w:rPr>
          <w:i/>
          <w:iCs/>
        </w:rPr>
        <w:t xml:space="preserve"> in combination with tremelimumab is indicated for the treatment of adult patients with unresectable hepatocellular carcinoma (uHCC) who have not received prior treatment with a PD-1/PD-L1 inhibitor.</w:t>
      </w:r>
    </w:p>
    <w:p w14:paraId="307F236C" w14:textId="77777777" w:rsidR="00C22214" w:rsidRPr="005612CB" w:rsidRDefault="00C22214" w:rsidP="00C22214">
      <w:pPr>
        <w:pStyle w:val="Heading2"/>
      </w:pPr>
      <w:bookmarkStart w:id="81" w:name="_Toc103679300"/>
      <w:bookmarkStart w:id="82" w:name="_Toc152934451"/>
      <w:r w:rsidRPr="005612CB">
        <w:t>Outcome</w:t>
      </w:r>
      <w:bookmarkEnd w:id="78"/>
      <w:bookmarkEnd w:id="79"/>
      <w:bookmarkEnd w:id="81"/>
      <w:bookmarkEnd w:id="82"/>
    </w:p>
    <w:p w14:paraId="4EF22939" w14:textId="115BC325" w:rsidR="00C22214" w:rsidRPr="005612CB" w:rsidRDefault="00C22214" w:rsidP="00FC78A7">
      <w:r w:rsidRPr="005612CB">
        <w:t xml:space="preserve">Based on a review of quality, safety, and efficacy, the TGA approved the registration of </w:t>
      </w:r>
      <w:r w:rsidR="00D749BC" w:rsidRPr="005612CB">
        <w:rPr>
          <w:szCs w:val="22"/>
        </w:rPr>
        <w:t>Imfinzi (durvalumab) 120 mg and 500 mg, concentrated solution for infusion, vial</w:t>
      </w:r>
      <w:r w:rsidRPr="005612CB">
        <w:t>, for the following extension of indications:</w:t>
      </w:r>
    </w:p>
    <w:p w14:paraId="43460D08" w14:textId="77777777" w:rsidR="00FC78A7" w:rsidRPr="005612CB" w:rsidRDefault="00FC78A7" w:rsidP="00FC78A7">
      <w:pPr>
        <w:ind w:left="720"/>
        <w:rPr>
          <w:b/>
          <w:bCs/>
          <w:i/>
          <w:iCs/>
        </w:rPr>
      </w:pPr>
      <w:r w:rsidRPr="005612CB">
        <w:rPr>
          <w:b/>
          <w:bCs/>
          <w:i/>
          <w:iCs/>
        </w:rPr>
        <w:t>Hepatocellular carcinoma (HCC)</w:t>
      </w:r>
    </w:p>
    <w:p w14:paraId="6A53EB56" w14:textId="7EDF636C" w:rsidR="00FC78A7" w:rsidRPr="005612CB" w:rsidRDefault="00A83354" w:rsidP="00FC78A7">
      <w:pPr>
        <w:ind w:left="720"/>
        <w:rPr>
          <w:i/>
          <w:iCs/>
        </w:rPr>
      </w:pPr>
      <w:r w:rsidRPr="005612CB">
        <w:rPr>
          <w:i/>
          <w:iCs/>
        </w:rPr>
        <w:t>Imfinzi</w:t>
      </w:r>
      <w:r w:rsidR="00FC78A7" w:rsidRPr="005612CB">
        <w:rPr>
          <w:i/>
          <w:iCs/>
        </w:rPr>
        <w:t xml:space="preserve"> in combination with tremelimumab is indicated for the treatment of adult patients with unresectable hepatocellular carcinoma (uHCC) who have not received prior treatment with a PD-1/PD-L1 inhibitor.</w:t>
      </w:r>
    </w:p>
    <w:p w14:paraId="500F60C2" w14:textId="77777777" w:rsidR="00C22214" w:rsidRPr="005612CB" w:rsidRDefault="00C22214" w:rsidP="00FC78A7">
      <w:r w:rsidRPr="005612CB">
        <w:t>As such, the full indications at this time were:</w:t>
      </w:r>
    </w:p>
    <w:p w14:paraId="4FCB1F4F" w14:textId="480A4481" w:rsidR="00FC78A7" w:rsidRPr="005612CB" w:rsidRDefault="00FC78A7" w:rsidP="00FC78A7">
      <w:pPr>
        <w:ind w:left="720"/>
        <w:rPr>
          <w:b/>
          <w:bCs/>
          <w:i/>
          <w:iCs/>
        </w:rPr>
      </w:pPr>
      <w:r w:rsidRPr="005612CB">
        <w:rPr>
          <w:b/>
          <w:bCs/>
          <w:i/>
          <w:iCs/>
        </w:rPr>
        <w:t>Locally advanced non-small cell lung cancer (NSCLC)</w:t>
      </w:r>
    </w:p>
    <w:p w14:paraId="4ABF3431" w14:textId="2E1CB12C" w:rsidR="00FC78A7" w:rsidRPr="005612CB" w:rsidRDefault="00FC78A7" w:rsidP="00FC78A7">
      <w:pPr>
        <w:ind w:left="720"/>
        <w:rPr>
          <w:i/>
          <w:iCs/>
        </w:rPr>
      </w:pPr>
      <w:r w:rsidRPr="005612CB">
        <w:rPr>
          <w:i/>
          <w:iCs/>
        </w:rPr>
        <w:t>Imfinzi is indicated for the treatment of patients with locally advanced, unresectable NSCLC whose disease has not progressed following platinum-based chemoradiation therapy.</w:t>
      </w:r>
    </w:p>
    <w:p w14:paraId="244229A6" w14:textId="77777777" w:rsidR="00FC78A7" w:rsidRPr="005612CB" w:rsidRDefault="00FC78A7" w:rsidP="00FC78A7">
      <w:pPr>
        <w:ind w:left="720"/>
        <w:rPr>
          <w:b/>
          <w:bCs/>
          <w:i/>
          <w:iCs/>
        </w:rPr>
      </w:pPr>
      <w:r w:rsidRPr="005612CB">
        <w:rPr>
          <w:b/>
          <w:bCs/>
          <w:i/>
          <w:iCs/>
        </w:rPr>
        <w:t>Small cell lung cancer (SCLC)</w:t>
      </w:r>
    </w:p>
    <w:p w14:paraId="1E233ABA" w14:textId="44ACEFAA" w:rsidR="00FC78A7" w:rsidRDefault="00FC78A7" w:rsidP="00FC78A7">
      <w:pPr>
        <w:ind w:left="720"/>
        <w:rPr>
          <w:i/>
          <w:iCs/>
        </w:rPr>
      </w:pPr>
      <w:r w:rsidRPr="005612CB">
        <w:rPr>
          <w:i/>
          <w:iCs/>
        </w:rPr>
        <w:t>Imfinzi in combination with etoposide and either carboplatin or cisplatin is indicated for the first-line treatment of patients with extensive-stage small cell lung cancer (ES</w:t>
      </w:r>
      <w:r w:rsidR="003C0DA0" w:rsidRPr="005612CB">
        <w:rPr>
          <w:i/>
          <w:iCs/>
        </w:rPr>
        <w:t>-</w:t>
      </w:r>
      <w:r w:rsidRPr="005612CB">
        <w:rPr>
          <w:i/>
          <w:iCs/>
        </w:rPr>
        <w:t>SCLC).</w:t>
      </w:r>
    </w:p>
    <w:p w14:paraId="0999D3B4" w14:textId="77777777" w:rsidR="00D97B4D" w:rsidRPr="00D97B4D" w:rsidRDefault="00D97B4D" w:rsidP="00D97B4D">
      <w:pPr>
        <w:ind w:left="720"/>
        <w:rPr>
          <w:b/>
          <w:bCs/>
          <w:i/>
          <w:iCs/>
        </w:rPr>
      </w:pPr>
      <w:r w:rsidRPr="00D97B4D">
        <w:rPr>
          <w:b/>
          <w:bCs/>
          <w:i/>
          <w:iCs/>
        </w:rPr>
        <w:t>Malignant pleural mesothelioma (MPM)</w:t>
      </w:r>
    </w:p>
    <w:p w14:paraId="315D41C6" w14:textId="2F832703" w:rsidR="00D97B4D" w:rsidRPr="00D97B4D" w:rsidRDefault="00D97B4D" w:rsidP="00D97B4D">
      <w:pPr>
        <w:ind w:left="720"/>
        <w:rPr>
          <w:i/>
          <w:iCs/>
        </w:rPr>
      </w:pPr>
      <w:r w:rsidRPr="00D97B4D">
        <w:rPr>
          <w:i/>
          <w:iCs/>
        </w:rPr>
        <w:t>Imfinzi in combination with pemetrexed and either cisplatin or carboplatin has</w:t>
      </w:r>
      <w:r>
        <w:rPr>
          <w:i/>
          <w:iCs/>
        </w:rPr>
        <w:t xml:space="preserve"> </w:t>
      </w:r>
      <w:r w:rsidRPr="00D97B4D">
        <w:rPr>
          <w:i/>
          <w:iCs/>
        </w:rPr>
        <w:t>provisional approval for the first-line treatment of patients with unresectable MPM</w:t>
      </w:r>
      <w:r>
        <w:rPr>
          <w:i/>
          <w:iCs/>
        </w:rPr>
        <w:t xml:space="preserve"> </w:t>
      </w:r>
      <w:r w:rsidRPr="00D97B4D">
        <w:rPr>
          <w:i/>
          <w:iCs/>
        </w:rPr>
        <w:t>with epithelioid histology.</w:t>
      </w:r>
    </w:p>
    <w:p w14:paraId="2710A8E6" w14:textId="19DA6A0D" w:rsidR="00D97B4D" w:rsidRPr="00D97B4D" w:rsidRDefault="00D97B4D" w:rsidP="00D97B4D">
      <w:pPr>
        <w:ind w:left="720"/>
        <w:rPr>
          <w:i/>
          <w:iCs/>
        </w:rPr>
      </w:pPr>
      <w:r w:rsidRPr="00D97B4D">
        <w:rPr>
          <w:i/>
          <w:iCs/>
        </w:rPr>
        <w:lastRenderedPageBreak/>
        <w:t xml:space="preserve">The decision to approve this indication has been made </w:t>
      </w:r>
      <w:proofErr w:type="gramStart"/>
      <w:r w:rsidRPr="00D97B4D">
        <w:rPr>
          <w:i/>
          <w:iCs/>
        </w:rPr>
        <w:t>on the basis of</w:t>
      </w:r>
      <w:proofErr w:type="gramEnd"/>
      <w:r w:rsidRPr="00D97B4D">
        <w:rPr>
          <w:i/>
          <w:iCs/>
        </w:rPr>
        <w:t xml:space="preserve"> two phase 2 single</w:t>
      </w:r>
      <w:r>
        <w:rPr>
          <w:i/>
          <w:iCs/>
        </w:rPr>
        <w:t xml:space="preserve"> </w:t>
      </w:r>
      <w:r w:rsidRPr="00D97B4D">
        <w:rPr>
          <w:i/>
          <w:iCs/>
        </w:rPr>
        <w:t>arm studies. Continued approval of this indication depends on verification and</w:t>
      </w:r>
      <w:r>
        <w:rPr>
          <w:i/>
          <w:iCs/>
        </w:rPr>
        <w:t xml:space="preserve"> </w:t>
      </w:r>
      <w:r w:rsidRPr="00D97B4D">
        <w:rPr>
          <w:i/>
          <w:iCs/>
        </w:rPr>
        <w:t>description of clinical benefit in a confirmatory trial.</w:t>
      </w:r>
    </w:p>
    <w:p w14:paraId="452C36A1" w14:textId="77777777" w:rsidR="00D97B4D" w:rsidRPr="00D97B4D" w:rsidRDefault="00D97B4D" w:rsidP="00D97B4D">
      <w:pPr>
        <w:ind w:left="720"/>
        <w:rPr>
          <w:b/>
          <w:bCs/>
          <w:i/>
          <w:iCs/>
        </w:rPr>
      </w:pPr>
      <w:r w:rsidRPr="00D97B4D">
        <w:rPr>
          <w:b/>
          <w:bCs/>
          <w:i/>
          <w:iCs/>
        </w:rPr>
        <w:t>Biliary tract cancer (BTC)</w:t>
      </w:r>
    </w:p>
    <w:p w14:paraId="2F6160E9" w14:textId="055FACA3" w:rsidR="00D97B4D" w:rsidRPr="00D97B4D" w:rsidRDefault="00D97B4D" w:rsidP="00D97B4D">
      <w:pPr>
        <w:ind w:left="720"/>
        <w:rPr>
          <w:i/>
          <w:iCs/>
        </w:rPr>
      </w:pPr>
      <w:r w:rsidRPr="00D97B4D">
        <w:rPr>
          <w:i/>
          <w:iCs/>
        </w:rPr>
        <w:t>Imfinzi in combination with gemcitabine and cisplatin is indicated for the treatment of</w:t>
      </w:r>
      <w:r>
        <w:rPr>
          <w:i/>
          <w:iCs/>
        </w:rPr>
        <w:t xml:space="preserve"> </w:t>
      </w:r>
      <w:r w:rsidRPr="00D97B4D">
        <w:rPr>
          <w:i/>
          <w:iCs/>
        </w:rPr>
        <w:t>patients with locally advanced or metastatic biliary tract cancer (BTC).</w:t>
      </w:r>
    </w:p>
    <w:p w14:paraId="45CF847D" w14:textId="77777777" w:rsidR="00D97B4D" w:rsidRPr="00D97B4D" w:rsidRDefault="00D97B4D" w:rsidP="00D97B4D">
      <w:pPr>
        <w:ind w:left="720"/>
        <w:rPr>
          <w:b/>
          <w:bCs/>
          <w:i/>
          <w:iCs/>
        </w:rPr>
      </w:pPr>
      <w:r w:rsidRPr="00D97B4D">
        <w:rPr>
          <w:b/>
          <w:bCs/>
          <w:i/>
          <w:iCs/>
        </w:rPr>
        <w:t>Hepatocellular carcinoma (HCC)</w:t>
      </w:r>
    </w:p>
    <w:p w14:paraId="397326D3" w14:textId="38846993" w:rsidR="00D97B4D" w:rsidRPr="00D97B4D" w:rsidRDefault="00D97B4D" w:rsidP="00D97B4D">
      <w:pPr>
        <w:ind w:left="720"/>
        <w:rPr>
          <w:i/>
          <w:iCs/>
        </w:rPr>
      </w:pPr>
      <w:r w:rsidRPr="00D97B4D">
        <w:rPr>
          <w:i/>
          <w:iCs/>
        </w:rPr>
        <w:t>Imfinzi in combination with tremelimumab is indicated for the treatment of adult</w:t>
      </w:r>
      <w:r>
        <w:rPr>
          <w:i/>
          <w:iCs/>
        </w:rPr>
        <w:t xml:space="preserve"> </w:t>
      </w:r>
      <w:r w:rsidRPr="00D97B4D">
        <w:rPr>
          <w:i/>
          <w:iCs/>
        </w:rPr>
        <w:t>patients with unresectable hepatocellular carcinoma (uHCC) who have not received</w:t>
      </w:r>
      <w:r>
        <w:rPr>
          <w:i/>
          <w:iCs/>
        </w:rPr>
        <w:t xml:space="preserve"> </w:t>
      </w:r>
      <w:r w:rsidRPr="00D97B4D">
        <w:rPr>
          <w:i/>
          <w:iCs/>
        </w:rPr>
        <w:t>prior treatment with a PD-1/PD-L1 inhibitor.</w:t>
      </w:r>
    </w:p>
    <w:p w14:paraId="451DC3FC" w14:textId="77777777" w:rsidR="00C22214" w:rsidRPr="005612CB" w:rsidRDefault="00C22214" w:rsidP="00C22214">
      <w:pPr>
        <w:pStyle w:val="Heading2"/>
      </w:pPr>
      <w:bookmarkStart w:id="83" w:name="_Toc103679303"/>
      <w:bookmarkStart w:id="84" w:name="_Toc152934452"/>
      <w:r w:rsidRPr="005612CB">
        <w:t>Attachment 1. Product Information</w:t>
      </w:r>
      <w:bookmarkEnd w:id="83"/>
      <w:bookmarkEnd w:id="84"/>
    </w:p>
    <w:p w14:paraId="1627B895" w14:textId="2E4A9F13" w:rsidR="00C45A69" w:rsidRPr="005612CB" w:rsidRDefault="00C22214" w:rsidP="00C22214">
      <w:pPr>
        <w:rPr>
          <w:szCs w:val="22"/>
        </w:rPr>
      </w:pPr>
      <w:r w:rsidRPr="005612CB">
        <w:rPr>
          <w:szCs w:val="22"/>
        </w:rPr>
        <w:t xml:space="preserve">The PI for </w:t>
      </w:r>
      <w:r w:rsidR="0026248A" w:rsidRPr="005612CB">
        <w:rPr>
          <w:szCs w:val="22"/>
        </w:rPr>
        <w:t xml:space="preserve">Imfinzi </w:t>
      </w:r>
      <w:r w:rsidRPr="005612CB">
        <w:rPr>
          <w:szCs w:val="22"/>
        </w:rPr>
        <w:t xml:space="preserve">approved with the submission which is described in this AusPAR is at Attachment 1. For the most recent PI, please refer to the TGA </w:t>
      </w:r>
      <w:hyperlink r:id="rId31" w:history="1">
        <w:r w:rsidRPr="005612CB">
          <w:rPr>
            <w:rStyle w:val="Hyperlink"/>
            <w:szCs w:val="22"/>
          </w:rPr>
          <w:t>PI/CMI search facility.</w:t>
        </w:r>
      </w:hyperlink>
    </w:p>
    <w:p w14:paraId="40740B65" w14:textId="45F9AB26" w:rsidR="00C22214" w:rsidRPr="005612CB" w:rsidRDefault="00C22214" w:rsidP="00C22214">
      <w:pPr>
        <w:autoSpaceDE w:val="0"/>
        <w:autoSpaceDN w:val="0"/>
        <w:adjustRightInd w:val="0"/>
        <w:spacing w:after="0"/>
      </w:pPr>
      <w:r w:rsidRPr="005612CB">
        <w:rPr>
          <w:b/>
        </w:rPr>
        <w:br w:type="page"/>
      </w:r>
    </w:p>
    <w:p w14:paraId="53357BF3" w14:textId="276457B5" w:rsidR="00C22214" w:rsidRPr="005612CB" w:rsidRDefault="00C22214" w:rsidP="00C22214">
      <w:pPr>
        <w:rPr>
          <w:lang w:eastAsia="ja-JP"/>
        </w:rPr>
        <w:sectPr w:rsidR="00C22214" w:rsidRPr="005612CB" w:rsidSect="007452E8">
          <w:headerReference w:type="default" r:id="rId32"/>
          <w:footerReference w:type="default" r:id="rId3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5612CB" w14:paraId="3C0C07BF" w14:textId="77777777" w:rsidTr="007452E8">
        <w:trPr>
          <w:trHeight w:hRule="exact" w:val="565"/>
          <w:jc w:val="center"/>
        </w:trPr>
        <w:tc>
          <w:tcPr>
            <w:tcW w:w="9145" w:type="dxa"/>
          </w:tcPr>
          <w:bookmarkEnd w:id="3"/>
          <w:bookmarkEnd w:id="4"/>
          <w:p w14:paraId="7E090B86" w14:textId="77777777" w:rsidR="00F02AEC" w:rsidRPr="005612CB" w:rsidRDefault="00F02AEC" w:rsidP="007452E8">
            <w:pPr>
              <w:pStyle w:val="TGASignoff"/>
            </w:pPr>
            <w:r w:rsidRPr="005612CB">
              <w:lastRenderedPageBreak/>
              <w:t>Therapeutic Goods Administration</w:t>
            </w:r>
          </w:p>
        </w:tc>
      </w:tr>
      <w:tr w:rsidR="00F02AEC" w:rsidRPr="005612CB" w14:paraId="70F47EA1" w14:textId="77777777" w:rsidTr="007452E8">
        <w:trPr>
          <w:trHeight w:val="963"/>
          <w:jc w:val="center"/>
        </w:trPr>
        <w:tc>
          <w:tcPr>
            <w:tcW w:w="9145" w:type="dxa"/>
            <w:tcMar>
              <w:top w:w="28" w:type="dxa"/>
            </w:tcMar>
          </w:tcPr>
          <w:p w14:paraId="3491EBCD" w14:textId="77777777" w:rsidR="00F02AEC" w:rsidRPr="005612CB" w:rsidRDefault="00F02AEC" w:rsidP="007452E8">
            <w:pPr>
              <w:pStyle w:val="Address"/>
              <w:jc w:val="center"/>
            </w:pPr>
            <w:r w:rsidRPr="005612CB">
              <w:t>PO Box 100 Woden ACT 2606 Australia</w:t>
            </w:r>
          </w:p>
          <w:p w14:paraId="5D0FE0E7" w14:textId="1A9CFF16" w:rsidR="00F02AEC" w:rsidRPr="005612CB" w:rsidRDefault="00F02AEC">
            <w:pPr>
              <w:pStyle w:val="Address"/>
              <w:jc w:val="center"/>
              <w:rPr>
                <w:sz w:val="22"/>
                <w:szCs w:val="22"/>
              </w:rPr>
            </w:pPr>
            <w:r w:rsidRPr="005612CB">
              <w:t xml:space="preserve">Email: </w:t>
            </w:r>
            <w:hyperlink r:id="rId34" w:history="1">
              <w:r w:rsidRPr="005612CB">
                <w:rPr>
                  <w:rStyle w:val="Hyperlink"/>
                </w:rPr>
                <w:t>info@tga.gov.au</w:t>
              </w:r>
            </w:hyperlink>
            <w:r w:rsidRPr="005612CB">
              <w:t xml:space="preserve">  Phone: 1800 020 </w:t>
            </w:r>
            <w:proofErr w:type="gramStart"/>
            <w:r w:rsidRPr="005612CB">
              <w:t>653  Fax</w:t>
            </w:r>
            <w:proofErr w:type="gramEnd"/>
            <w:r w:rsidRPr="005612CB">
              <w:t>: 02 6203 1605</w:t>
            </w:r>
          </w:p>
          <w:p w14:paraId="4533D80F" w14:textId="5DD9CC91" w:rsidR="00F02AEC" w:rsidRPr="005612CB" w:rsidRDefault="006379D5">
            <w:pPr>
              <w:pStyle w:val="Address"/>
              <w:jc w:val="center"/>
              <w:rPr>
                <w:rStyle w:val="Hyperlink"/>
                <w:b/>
                <w:color w:val="auto"/>
                <w:sz w:val="22"/>
              </w:rPr>
            </w:pPr>
            <w:hyperlink r:id="rId35" w:history="1">
              <w:r w:rsidR="00F02AEC" w:rsidRPr="005612CB">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5612CB">
              <w:t>Reference/Publication #</w:t>
            </w:r>
          </w:p>
        </w:tc>
      </w:tr>
    </w:tbl>
    <w:p w14:paraId="788B80FD" w14:textId="77777777" w:rsidR="007452E8" w:rsidRDefault="007452E8"/>
    <w:sectPr w:rsidR="007452E8" w:rsidSect="007452E8">
      <w:headerReference w:type="first" r:id="rId36"/>
      <w:footerReference w:type="first" r:id="rId3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6A06A" w14:textId="77777777" w:rsidR="009C23D6" w:rsidRDefault="009C23D6" w:rsidP="00F02AEC">
      <w:pPr>
        <w:spacing w:after="0" w:line="240" w:lineRule="auto"/>
      </w:pPr>
      <w:r>
        <w:separator/>
      </w:r>
    </w:p>
  </w:endnote>
  <w:endnote w:type="continuationSeparator" w:id="0">
    <w:p w14:paraId="2B81171C" w14:textId="77777777" w:rsidR="009C23D6" w:rsidRDefault="009C23D6"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C9BD885" w:rsidR="007452E8" w:rsidRPr="004A3084" w:rsidRDefault="007452E8" w:rsidP="007452E8">
          <w:pPr>
            <w:pStyle w:val="Footer"/>
          </w:pPr>
          <w:r w:rsidRPr="00487162">
            <w:t>AusPA</w:t>
          </w:r>
          <w:r>
            <w:t xml:space="preserve">R - </w:t>
          </w:r>
          <w:r w:rsidR="0026248A" w:rsidRPr="0026248A">
            <w:t>Imfinzi</w:t>
          </w:r>
          <w:r>
            <w:t xml:space="preserve"> -</w:t>
          </w:r>
          <w:r w:rsidRPr="00460036">
            <w:t xml:space="preserve"> </w:t>
          </w:r>
          <w:r w:rsidR="002221F2" w:rsidRPr="002221F2">
            <w:t xml:space="preserve">durvalumab </w:t>
          </w:r>
          <w:r w:rsidR="008C754C">
            <w:t>-</w:t>
          </w:r>
          <w:r>
            <w:t xml:space="preserve"> </w:t>
          </w:r>
          <w:r w:rsidR="00810009" w:rsidRPr="00810009">
            <w:t>AstraZeneca Pty Ltd</w:t>
          </w:r>
          <w:r w:rsidR="00810009">
            <w:t xml:space="preserve"> </w:t>
          </w:r>
          <w:r>
            <w:t xml:space="preserve">- </w:t>
          </w:r>
          <w:r w:rsidR="005A3AF6" w:rsidRPr="005A3AF6">
            <w:t>PM-2022-01573-1-4</w:t>
          </w:r>
          <w:r>
            <w:br/>
          </w:r>
          <w:r w:rsidR="00BF7F62">
            <w:t>Final 8 December</w:t>
          </w:r>
          <w:r w:rsidR="006241B7">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E8547" w14:textId="77777777" w:rsidR="009C23D6" w:rsidRDefault="009C23D6" w:rsidP="00F02AEC">
      <w:pPr>
        <w:spacing w:after="0" w:line="240" w:lineRule="auto"/>
      </w:pPr>
      <w:r>
        <w:separator/>
      </w:r>
    </w:p>
  </w:footnote>
  <w:footnote w:type="continuationSeparator" w:id="0">
    <w:p w14:paraId="31DCBCCF" w14:textId="77777777" w:rsidR="009C23D6" w:rsidRDefault="009C23D6"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247F9796" w14:textId="77777777" w:rsidR="00F70A52" w:rsidRDefault="00F70A52" w:rsidP="00F70A52">
      <w:pPr>
        <w:pStyle w:val="FootnoteText"/>
      </w:pPr>
      <w:r>
        <w:rPr>
          <w:rStyle w:val="FootnoteReference"/>
        </w:rPr>
        <w:footnoteRef/>
      </w:r>
      <w:r>
        <w:t xml:space="preserve"> European Association for the Study of the Liver (EASL). Clinical Practice Guidelines: Management of hepatocellular carcinoma. </w:t>
      </w:r>
      <w:r w:rsidRPr="00E13C34">
        <w:rPr>
          <w:i/>
          <w:iCs/>
        </w:rPr>
        <w:t>J Hepatol</w:t>
      </w:r>
      <w:r>
        <w:t>, 2018;69(1):182-236.</w:t>
      </w:r>
    </w:p>
  </w:footnote>
  <w:footnote w:id="3">
    <w:p w14:paraId="0B44996C" w14:textId="77777777" w:rsidR="00932FB1" w:rsidRDefault="00932FB1" w:rsidP="00932FB1">
      <w:pPr>
        <w:pStyle w:val="FootnoteText"/>
      </w:pPr>
      <w:r>
        <w:rPr>
          <w:rStyle w:val="FootnoteReference"/>
        </w:rPr>
        <w:footnoteRef/>
      </w:r>
      <w:r>
        <w:t xml:space="preserve"> White DL et al. Incidence of hepatocellular carcinoma in all 50 United States, from 2000 through 2012. </w:t>
      </w:r>
      <w:r w:rsidRPr="00953440">
        <w:rPr>
          <w:i/>
          <w:iCs/>
        </w:rPr>
        <w:t>Gastroenterology</w:t>
      </w:r>
      <w:r>
        <w:t>, 2017;152:812-820, e5.</w:t>
      </w:r>
    </w:p>
  </w:footnote>
  <w:footnote w:id="4">
    <w:p w14:paraId="0E7135D5" w14:textId="77777777" w:rsidR="00CE753F" w:rsidRDefault="00CE753F" w:rsidP="00CE753F">
      <w:pPr>
        <w:pStyle w:val="FootnoteText"/>
      </w:pPr>
      <w:r>
        <w:rPr>
          <w:rStyle w:val="FootnoteReference"/>
        </w:rPr>
        <w:footnoteRef/>
      </w:r>
      <w:r>
        <w:t xml:space="preserve"> Sung H et al. Global Cancer Statistics 2020: GLOBOCAN estimates of incidence and mortality worldwide for 36 cancers in 185 countries. </w:t>
      </w:r>
      <w:r w:rsidRPr="009B5C98">
        <w:rPr>
          <w:i/>
          <w:iCs/>
        </w:rPr>
        <w:t>CA Cancer J Clin</w:t>
      </w:r>
      <w:r>
        <w:t>, 2021;71:209-49.</w:t>
      </w:r>
    </w:p>
  </w:footnote>
  <w:footnote w:id="5">
    <w:p w14:paraId="0889D81E" w14:textId="77777777" w:rsidR="005553F6" w:rsidRDefault="005553F6" w:rsidP="005553F6">
      <w:pPr>
        <w:pStyle w:val="FootnoteText"/>
      </w:pPr>
      <w:r>
        <w:rPr>
          <w:rStyle w:val="FootnoteReference"/>
        </w:rPr>
        <w:footnoteRef/>
      </w:r>
      <w:r>
        <w:t xml:space="preserve"> Vogel A et al. Hepatocellular carcinoma: ESMO Clinical Practice Guidelines for diagnosis, </w:t>
      </w:r>
      <w:proofErr w:type="gramStart"/>
      <w:r>
        <w:t>treatment</w:t>
      </w:r>
      <w:proofErr w:type="gramEnd"/>
      <w:r>
        <w:t xml:space="preserve"> and follow-up. </w:t>
      </w:r>
      <w:r w:rsidRPr="00696F38">
        <w:rPr>
          <w:i/>
          <w:iCs/>
        </w:rPr>
        <w:t>Ann Oncol</w:t>
      </w:r>
      <w:r>
        <w:t>, 2019;30(5):871-3.</w:t>
      </w:r>
    </w:p>
  </w:footnote>
  <w:footnote w:id="6">
    <w:p w14:paraId="7205A996" w14:textId="77777777" w:rsidR="00B044C4" w:rsidRDefault="00B044C4" w:rsidP="00B044C4">
      <w:pPr>
        <w:pStyle w:val="FootnoteText"/>
      </w:pPr>
      <w:r>
        <w:rPr>
          <w:rStyle w:val="FootnoteReference"/>
        </w:rPr>
        <w:footnoteRef/>
      </w:r>
      <w:r>
        <w:t xml:space="preserve"> </w:t>
      </w:r>
      <w:r w:rsidRPr="002A3F87">
        <w:t>World Health Organization</w:t>
      </w:r>
      <w:r>
        <w:t xml:space="preserve"> (WHO)</w:t>
      </w:r>
      <w:r w:rsidRPr="002A3F87">
        <w:t xml:space="preserve">. Global Cancer Observatory. Cancer Fact Sheets – Liver and intrahepatic bile ducts (C22). Available at URL: </w:t>
      </w:r>
      <w:hyperlink r:id="rId1" w:history="1">
        <w:r w:rsidRPr="000C4F79">
          <w:rPr>
            <w:rStyle w:val="Hyperlink"/>
          </w:rPr>
          <w:t>http://gco.iarc.fr/today/data/factsheets/cancers/11-Liver-fact-sheet.pdf</w:t>
        </w:r>
      </w:hyperlink>
      <w:r>
        <w:t xml:space="preserve"> (</w:t>
      </w:r>
      <w:r w:rsidRPr="002A3F87">
        <w:t>Accessed 7 October 2019</w:t>
      </w:r>
      <w:r>
        <w:t>)</w:t>
      </w:r>
    </w:p>
  </w:footnote>
  <w:footnote w:id="7">
    <w:p w14:paraId="62B9FDFB" w14:textId="77777777" w:rsidR="00502A9E" w:rsidRDefault="00502A9E" w:rsidP="00502A9E">
      <w:pPr>
        <w:pStyle w:val="FootnoteText"/>
      </w:pPr>
      <w:r>
        <w:rPr>
          <w:rStyle w:val="FootnoteReference"/>
        </w:rPr>
        <w:footnoteRef/>
      </w:r>
      <w:r>
        <w:t xml:space="preserve"> </w:t>
      </w:r>
      <w:r w:rsidRPr="002A3F87">
        <w:t>McGlynn KA</w:t>
      </w:r>
      <w:r>
        <w:t xml:space="preserve"> et al. </w:t>
      </w:r>
      <w:r w:rsidRPr="002A3F87">
        <w:t xml:space="preserve">Global epidemiology of hepatocellular carcinoma: an emphasis on demographic and regional variability. </w:t>
      </w:r>
      <w:r w:rsidRPr="00942DB1">
        <w:rPr>
          <w:i/>
          <w:iCs/>
        </w:rPr>
        <w:t>Clin Liver Dis</w:t>
      </w:r>
      <w:r>
        <w:t>,</w:t>
      </w:r>
      <w:r w:rsidRPr="002A3F87">
        <w:t xml:space="preserve"> 2015;19(2):223-38.</w:t>
      </w:r>
    </w:p>
  </w:footnote>
  <w:footnote w:id="8">
    <w:p w14:paraId="086E5A0F" w14:textId="77777777" w:rsidR="008D1D3C" w:rsidRDefault="008D1D3C" w:rsidP="008D1D3C">
      <w:pPr>
        <w:pStyle w:val="FootnoteText"/>
      </w:pPr>
      <w:r>
        <w:rPr>
          <w:rStyle w:val="FootnoteReference"/>
        </w:rPr>
        <w:footnoteRef/>
      </w:r>
      <w:r>
        <w:t xml:space="preserve"> </w:t>
      </w:r>
      <w:proofErr w:type="spellStart"/>
      <w:r w:rsidRPr="002A3F87">
        <w:t>Sarveazad</w:t>
      </w:r>
      <w:proofErr w:type="spellEnd"/>
      <w:r w:rsidRPr="002A3F87">
        <w:t xml:space="preserve"> A</w:t>
      </w:r>
      <w:r>
        <w:t xml:space="preserve"> et al. </w:t>
      </w:r>
      <w:r w:rsidRPr="002A3F87">
        <w:t xml:space="preserve">Predictors of </w:t>
      </w:r>
      <w:proofErr w:type="gramStart"/>
      <w:r w:rsidRPr="002A3F87">
        <w:t>5 year</w:t>
      </w:r>
      <w:proofErr w:type="gramEnd"/>
      <w:r w:rsidRPr="002A3F87">
        <w:t xml:space="preserve"> survival rate in hepatocellular carcinoma patients. </w:t>
      </w:r>
      <w:r w:rsidRPr="00942DB1">
        <w:rPr>
          <w:i/>
          <w:iCs/>
        </w:rPr>
        <w:t>J Res Med Sci</w:t>
      </w:r>
      <w:r>
        <w:t>,</w:t>
      </w:r>
      <w:r w:rsidRPr="002A3F87">
        <w:t xml:space="preserve"> 2019;24:86.</w:t>
      </w:r>
    </w:p>
  </w:footnote>
  <w:footnote w:id="9">
    <w:p w14:paraId="0C81A753" w14:textId="77777777" w:rsidR="008D1D3C" w:rsidRDefault="008D1D3C" w:rsidP="008D1D3C">
      <w:pPr>
        <w:pStyle w:val="FootnoteText"/>
      </w:pPr>
      <w:r>
        <w:rPr>
          <w:rStyle w:val="FootnoteReference"/>
        </w:rPr>
        <w:footnoteRef/>
      </w:r>
      <w:r>
        <w:t xml:space="preserve"> </w:t>
      </w:r>
      <w:r w:rsidRPr="002A3F87">
        <w:t xml:space="preserve">Villanueva A. Hepatocellular carcinoma. </w:t>
      </w:r>
      <w:r w:rsidRPr="00942DB1">
        <w:rPr>
          <w:i/>
          <w:iCs/>
        </w:rPr>
        <w:t xml:space="preserve">N </w:t>
      </w:r>
      <w:proofErr w:type="spellStart"/>
      <w:r w:rsidRPr="00942DB1">
        <w:rPr>
          <w:i/>
          <w:iCs/>
        </w:rPr>
        <w:t>Engl</w:t>
      </w:r>
      <w:proofErr w:type="spellEnd"/>
      <w:r w:rsidRPr="00942DB1">
        <w:rPr>
          <w:i/>
          <w:iCs/>
        </w:rPr>
        <w:t xml:space="preserve"> J Med</w:t>
      </w:r>
      <w:r>
        <w:rPr>
          <w:i/>
          <w:iCs/>
        </w:rPr>
        <w:t>,</w:t>
      </w:r>
      <w:r w:rsidRPr="002A3F87">
        <w:t xml:space="preserve"> 2019;380(15):1450-62.</w:t>
      </w:r>
    </w:p>
  </w:footnote>
  <w:footnote w:id="10">
    <w:p w14:paraId="486673EA" w14:textId="77777777" w:rsidR="00171DF6" w:rsidRPr="00EC31A4" w:rsidRDefault="00171DF6" w:rsidP="00171DF6">
      <w:pPr>
        <w:autoSpaceDE w:val="0"/>
        <w:autoSpaceDN w:val="0"/>
        <w:adjustRightInd w:val="0"/>
        <w:spacing w:after="0" w:line="240" w:lineRule="auto"/>
        <w:rPr>
          <w:rFonts w:asciiTheme="minorHAnsi" w:hAnsiTheme="minorHAnsi"/>
          <w:i/>
          <w:sz w:val="16"/>
          <w:szCs w:val="16"/>
          <w:lang w:val="en-US"/>
        </w:rPr>
      </w:pPr>
      <w:r w:rsidRPr="00EC31A4">
        <w:rPr>
          <w:rStyle w:val="FootnoteReference"/>
          <w:rFonts w:asciiTheme="minorHAnsi" w:hAnsiTheme="minorHAnsi"/>
          <w:i/>
          <w:sz w:val="16"/>
          <w:szCs w:val="16"/>
        </w:rPr>
        <w:footnoteRef/>
      </w:r>
      <w:r w:rsidRPr="00EC31A4">
        <w:rPr>
          <w:rFonts w:asciiTheme="minorHAnsi" w:hAnsiTheme="minorHAnsi"/>
          <w:i/>
          <w:sz w:val="16"/>
          <w:szCs w:val="16"/>
        </w:rPr>
        <w:t xml:space="preserve"> </w:t>
      </w:r>
      <w:r w:rsidRPr="002A3F87">
        <w:rPr>
          <w:rStyle w:val="FootnoteTextChar"/>
        </w:rPr>
        <w:t xml:space="preserve">Australian Government Cancer Australia Website. Liver cancer. </w:t>
      </w:r>
      <w:r>
        <w:rPr>
          <w:rStyle w:val="FootnoteTextChar"/>
        </w:rPr>
        <w:t xml:space="preserve">Available at: </w:t>
      </w:r>
      <w:hyperlink r:id="rId2" w:history="1">
        <w:r w:rsidRPr="000C4F79">
          <w:rPr>
            <w:rStyle w:val="Hyperlink"/>
            <w:rFonts w:eastAsia="Cambria" w:cs="Times New Roman"/>
            <w:sz w:val="17"/>
          </w:rPr>
          <w:t>https://www.canceraustralia.gov.au/cancer-types/liver-cancer/statistics</w:t>
        </w:r>
      </w:hyperlink>
      <w:r>
        <w:rPr>
          <w:rStyle w:val="FootnoteTextChar"/>
        </w:rPr>
        <w:t xml:space="preserve"> (Accessed </w:t>
      </w:r>
      <w:r w:rsidRPr="002A3F87">
        <w:rPr>
          <w:rStyle w:val="FootnoteTextChar"/>
        </w:rPr>
        <w:t>3 February 2022</w:t>
      </w:r>
      <w:r>
        <w:rPr>
          <w:rStyle w:val="FootnoteTextChar"/>
        </w:rPr>
        <w:t>)</w:t>
      </w:r>
    </w:p>
  </w:footnote>
  <w:footnote w:id="11">
    <w:p w14:paraId="411CFB88" w14:textId="77777777" w:rsidR="00E86F41" w:rsidRPr="00EC31A4" w:rsidRDefault="00E86F41" w:rsidP="00E86F41">
      <w:pPr>
        <w:autoSpaceDE w:val="0"/>
        <w:autoSpaceDN w:val="0"/>
        <w:adjustRightInd w:val="0"/>
        <w:spacing w:after="0" w:line="240" w:lineRule="auto"/>
        <w:rPr>
          <w:rFonts w:asciiTheme="minorHAnsi" w:hAnsiTheme="minorHAnsi"/>
          <w:i/>
          <w:sz w:val="16"/>
          <w:szCs w:val="16"/>
          <w:lang w:val="en-US"/>
        </w:rPr>
      </w:pPr>
      <w:r w:rsidRPr="00EC31A4">
        <w:rPr>
          <w:rStyle w:val="FootnoteReference"/>
          <w:rFonts w:asciiTheme="minorHAnsi" w:hAnsiTheme="minorHAnsi"/>
          <w:i/>
          <w:sz w:val="16"/>
          <w:szCs w:val="16"/>
        </w:rPr>
        <w:footnoteRef/>
      </w:r>
      <w:r w:rsidRPr="00EC31A4">
        <w:rPr>
          <w:rFonts w:asciiTheme="minorHAnsi" w:hAnsiTheme="minorHAnsi"/>
          <w:i/>
          <w:sz w:val="16"/>
          <w:szCs w:val="16"/>
        </w:rPr>
        <w:t xml:space="preserve"> </w:t>
      </w:r>
      <w:r w:rsidRPr="002A3F87">
        <w:rPr>
          <w:rStyle w:val="FootnoteTextChar"/>
        </w:rPr>
        <w:t xml:space="preserve">Australian Institute of Health and Welfare. Cancer in Australia 2019 </w:t>
      </w:r>
      <w:r>
        <w:rPr>
          <w:rStyle w:val="FootnoteTextChar"/>
        </w:rPr>
        <w:t>(</w:t>
      </w:r>
      <w:r w:rsidRPr="002A3F87">
        <w:rPr>
          <w:rStyle w:val="FootnoteTextChar"/>
        </w:rPr>
        <w:t>Cat. No. CAN 123</w:t>
      </w:r>
      <w:r>
        <w:rPr>
          <w:rStyle w:val="FootnoteTextChar"/>
        </w:rPr>
        <w:t>)</w:t>
      </w:r>
      <w:r w:rsidRPr="002A3F87">
        <w:rPr>
          <w:rStyle w:val="FootnoteTextChar"/>
        </w:rPr>
        <w:t xml:space="preserve"> Canberra: AIHW; 2019. </w:t>
      </w:r>
      <w:r>
        <w:rPr>
          <w:rStyle w:val="FootnoteTextChar"/>
        </w:rPr>
        <w:t xml:space="preserve">Available at: </w:t>
      </w:r>
      <w:hyperlink r:id="rId3" w:history="1">
        <w:r w:rsidRPr="000C4F79">
          <w:rPr>
            <w:rStyle w:val="Hyperlink"/>
            <w:rFonts w:eastAsia="Cambria" w:cs="Times New Roman"/>
            <w:sz w:val="17"/>
          </w:rPr>
          <w:t>https://www.aihw.gov.au/reports/cancer/cancer-in-australia-2019/contents/table%20-of-contents</w:t>
        </w:r>
      </w:hyperlink>
      <w:r>
        <w:rPr>
          <w:rStyle w:val="FootnoteTextChar"/>
        </w:rPr>
        <w:t xml:space="preserve"> (Accessed</w:t>
      </w:r>
      <w:r w:rsidRPr="002A3F87">
        <w:rPr>
          <w:rStyle w:val="FootnoteTextChar"/>
        </w:rPr>
        <w:t xml:space="preserve"> 3 February 2022</w:t>
      </w:r>
      <w:r>
        <w:rPr>
          <w:rStyle w:val="FootnoteTextChar"/>
        </w:rPr>
        <w:t>)</w:t>
      </w:r>
    </w:p>
  </w:footnote>
  <w:footnote w:id="12">
    <w:p w14:paraId="373BDBE4" w14:textId="77777777" w:rsidR="006268E8" w:rsidRPr="00EC31A4" w:rsidRDefault="006268E8" w:rsidP="006268E8">
      <w:pPr>
        <w:autoSpaceDE w:val="0"/>
        <w:autoSpaceDN w:val="0"/>
        <w:adjustRightInd w:val="0"/>
        <w:spacing w:after="0" w:line="240" w:lineRule="auto"/>
        <w:rPr>
          <w:rFonts w:asciiTheme="minorHAnsi" w:hAnsiTheme="minorHAnsi"/>
          <w:i/>
          <w:sz w:val="16"/>
          <w:szCs w:val="16"/>
          <w:lang w:val="en-US"/>
        </w:rPr>
      </w:pPr>
      <w:r w:rsidRPr="00EC31A4">
        <w:rPr>
          <w:rStyle w:val="FootnoteReference"/>
          <w:rFonts w:asciiTheme="minorHAnsi" w:hAnsiTheme="minorHAnsi"/>
          <w:i/>
          <w:sz w:val="16"/>
          <w:szCs w:val="16"/>
        </w:rPr>
        <w:footnoteRef/>
      </w:r>
      <w:r w:rsidRPr="00EC31A4">
        <w:rPr>
          <w:rFonts w:asciiTheme="minorHAnsi" w:hAnsiTheme="minorHAnsi"/>
          <w:i/>
          <w:sz w:val="16"/>
          <w:szCs w:val="16"/>
        </w:rPr>
        <w:t xml:space="preserve"> </w:t>
      </w:r>
      <w:r w:rsidRPr="002A3F87">
        <w:rPr>
          <w:rStyle w:val="FootnoteTextChar"/>
        </w:rPr>
        <w:t xml:space="preserve">Cancer Council Australia website. Liver Cancer Fact Sheet. </w:t>
      </w:r>
      <w:r>
        <w:rPr>
          <w:rStyle w:val="FootnoteTextChar"/>
        </w:rPr>
        <w:t xml:space="preserve">Available at: </w:t>
      </w:r>
      <w:hyperlink r:id="rId4" w:history="1">
        <w:r w:rsidRPr="000C4F79">
          <w:rPr>
            <w:rStyle w:val="Hyperlink"/>
            <w:rFonts w:eastAsia="Cambria" w:cs="Times New Roman"/>
            <w:sz w:val="17"/>
          </w:rPr>
          <w:t>https://www.cancer.org.au/cancer-information/types-of-cancer/breast-cancer</w:t>
        </w:r>
      </w:hyperlink>
      <w:r>
        <w:rPr>
          <w:rStyle w:val="FootnoteTextChar"/>
        </w:rPr>
        <w:t xml:space="preserve"> (Accessed</w:t>
      </w:r>
      <w:r w:rsidRPr="002A3F87">
        <w:rPr>
          <w:rStyle w:val="FootnoteTextChar"/>
        </w:rPr>
        <w:t xml:space="preserve"> 3 February 2022</w:t>
      </w:r>
      <w:r>
        <w:rPr>
          <w:rStyle w:val="FootnoteTextChar"/>
        </w:rPr>
        <w:t>)</w:t>
      </w:r>
      <w:r w:rsidRPr="002A3F87">
        <w:rPr>
          <w:rStyle w:val="FootnoteTextChar"/>
        </w:rPr>
        <w:t>.</w:t>
      </w:r>
    </w:p>
  </w:footnote>
  <w:footnote w:id="13">
    <w:p w14:paraId="0E8F4657" w14:textId="54AA4A35" w:rsidR="008963E5" w:rsidRDefault="008963E5">
      <w:pPr>
        <w:pStyle w:val="FootnoteText"/>
      </w:pPr>
      <w:r>
        <w:rPr>
          <w:rStyle w:val="FootnoteReference"/>
        </w:rPr>
        <w:footnoteRef/>
      </w:r>
      <w:r>
        <w:t xml:space="preserve"> </w:t>
      </w:r>
      <w:r w:rsidRPr="008963E5">
        <w:t xml:space="preserve">The </w:t>
      </w:r>
      <w:r w:rsidRPr="008963E5">
        <w:rPr>
          <w:b/>
          <w:bCs/>
        </w:rPr>
        <w:t>Child-Pugh score</w:t>
      </w:r>
      <w:r w:rsidRPr="008963E5">
        <w:t xml:space="preserve"> is used to assess the prognosis of chronic liver disease. The score employs five clinical measures of liver disease. Each measure is scored 1 to 3, with 3 indicating most severe derangement. Class A: 5 to 6 points, least severe liver disease, </w:t>
      </w:r>
      <w:proofErr w:type="gramStart"/>
      <w:r w:rsidRPr="008963E5">
        <w:t>one to five year</w:t>
      </w:r>
      <w:proofErr w:type="gramEnd"/>
      <w:r w:rsidRPr="008963E5">
        <w:t xml:space="preserve"> survival rate of 95%. Class B: 7 to 9 points, moderately severe liver disease, </w:t>
      </w:r>
      <w:proofErr w:type="gramStart"/>
      <w:r w:rsidRPr="008963E5">
        <w:t>one to five year</w:t>
      </w:r>
      <w:proofErr w:type="gramEnd"/>
      <w:r w:rsidRPr="008963E5">
        <w:t xml:space="preserve"> survival of 75%. Class C: 10 to 15 points, most severe liver disease, </w:t>
      </w:r>
      <w:proofErr w:type="gramStart"/>
      <w:r w:rsidRPr="008963E5">
        <w:t>1 to 5 year</w:t>
      </w:r>
      <w:proofErr w:type="gramEnd"/>
      <w:r w:rsidRPr="008963E5">
        <w:t xml:space="preserve"> survival rate 50%.</w:t>
      </w:r>
    </w:p>
  </w:footnote>
  <w:footnote w:id="14">
    <w:p w14:paraId="6812FCC6" w14:textId="689EEF90" w:rsidR="00530114" w:rsidRDefault="00530114" w:rsidP="00530114">
      <w:pPr>
        <w:pStyle w:val="FootnoteText"/>
      </w:pPr>
      <w:r>
        <w:rPr>
          <w:rStyle w:val="FootnoteReference"/>
        </w:rPr>
        <w:footnoteRef/>
      </w:r>
      <w:r>
        <w:t xml:space="preserve"> </w:t>
      </w:r>
      <w:r w:rsidRPr="005650E7">
        <w:t xml:space="preserve">Wallace MC et al. Hepatocellular carcinoma in Australia 1982–2014: increasing incidence and improving survival. </w:t>
      </w:r>
      <w:r w:rsidRPr="005650E7">
        <w:rPr>
          <w:i/>
          <w:iCs/>
        </w:rPr>
        <w:t>Liver Int</w:t>
      </w:r>
      <w:r w:rsidR="005650E7">
        <w:t>,</w:t>
      </w:r>
      <w:r w:rsidRPr="005650E7">
        <w:t xml:space="preserve"> 2019; 39: 522–530.</w:t>
      </w:r>
    </w:p>
  </w:footnote>
  <w:footnote w:id="15">
    <w:p w14:paraId="49AD36AC" w14:textId="77777777" w:rsidR="004D2B8F" w:rsidRPr="00EC31A4" w:rsidRDefault="004D2B8F" w:rsidP="004D2B8F">
      <w:pPr>
        <w:pStyle w:val="FootnoteText"/>
        <w:rPr>
          <w:i/>
          <w:sz w:val="16"/>
          <w:szCs w:val="16"/>
          <w:lang w:val="en-US"/>
        </w:rPr>
      </w:pPr>
      <w:r w:rsidRPr="00EC31A4">
        <w:rPr>
          <w:rStyle w:val="FootnoteReference"/>
          <w:i/>
          <w:sz w:val="16"/>
          <w:szCs w:val="16"/>
        </w:rPr>
        <w:footnoteRef/>
      </w:r>
      <w:r w:rsidRPr="002A3F87">
        <w:t xml:space="preserve"> Gastrointestinal Society of Australia (GESA). Australian recommendations for management of hepatocellular carcinoma: a consensus statement. (2020)</w:t>
      </w:r>
      <w:r>
        <w:t>.</w:t>
      </w:r>
      <w:r w:rsidRPr="002A3F87">
        <w:t xml:space="preserve"> Available at: </w:t>
      </w:r>
      <w:hyperlink r:id="rId5" w:history="1">
        <w:r w:rsidRPr="002A3F87">
          <w:rPr>
            <w:rStyle w:val="Hyperlink"/>
          </w:rPr>
          <w:t>https://www.gesa.org.au/resources/hepatocellular-carcinoma-hcc-management-consensus/</w:t>
        </w:r>
      </w:hyperlink>
    </w:p>
  </w:footnote>
  <w:footnote w:id="16">
    <w:p w14:paraId="1E8F01F0" w14:textId="77777777" w:rsidR="00C9797E" w:rsidRDefault="00C9797E" w:rsidP="00C9797E">
      <w:pPr>
        <w:pStyle w:val="FootnoteText"/>
      </w:pPr>
      <w:r>
        <w:rPr>
          <w:rStyle w:val="FootnoteReference"/>
        </w:rPr>
        <w:footnoteRef/>
      </w:r>
      <w:r>
        <w:t xml:space="preserve"> </w:t>
      </w:r>
      <w:r w:rsidRPr="0071755E">
        <w:t>Finn RS</w:t>
      </w:r>
      <w:r>
        <w:t xml:space="preserve"> et al.</w:t>
      </w:r>
      <w:r w:rsidRPr="0071755E">
        <w:t xml:space="preserve"> IMbrave150: Updated overall survival (OS) data from a global, randomized, open-label phase III study of atezolizumab (</w:t>
      </w:r>
      <w:proofErr w:type="spellStart"/>
      <w:r w:rsidRPr="0071755E">
        <w:t>atezo</w:t>
      </w:r>
      <w:proofErr w:type="spellEnd"/>
      <w:r w:rsidRPr="0071755E">
        <w:t>) + bevacizumab (</w:t>
      </w:r>
      <w:proofErr w:type="spellStart"/>
      <w:r w:rsidRPr="0071755E">
        <w:t>bev</w:t>
      </w:r>
      <w:proofErr w:type="spellEnd"/>
      <w:r w:rsidRPr="0071755E">
        <w:t>) versus sorafenib (</w:t>
      </w:r>
      <w:proofErr w:type="spellStart"/>
      <w:r w:rsidRPr="0071755E">
        <w:t>sor</w:t>
      </w:r>
      <w:proofErr w:type="spellEnd"/>
      <w:r w:rsidRPr="0071755E">
        <w:t xml:space="preserve">) in patients (pts) with unresectable hepatocellular carcinoma (HCC). </w:t>
      </w:r>
      <w:r w:rsidRPr="0071755E">
        <w:rPr>
          <w:i/>
          <w:iCs/>
        </w:rPr>
        <w:t>J Clin Oncol</w:t>
      </w:r>
      <w:r>
        <w:t>,</w:t>
      </w:r>
      <w:r w:rsidRPr="0071755E">
        <w:t xml:space="preserve"> 2021;39(3</w:t>
      </w:r>
      <w:proofErr w:type="gramStart"/>
      <w:r w:rsidRPr="0071755E">
        <w:t>):Suppl</w:t>
      </w:r>
      <w:proofErr w:type="gramEnd"/>
      <w:r w:rsidRPr="0071755E">
        <w:t xml:space="preserve"> 267.</w:t>
      </w:r>
    </w:p>
  </w:footnote>
  <w:footnote w:id="17">
    <w:p w14:paraId="6F4A25EF" w14:textId="77777777" w:rsidR="00C9797E" w:rsidRDefault="00C9797E" w:rsidP="00C9797E">
      <w:pPr>
        <w:pStyle w:val="FootnoteText"/>
      </w:pPr>
      <w:r>
        <w:rPr>
          <w:rStyle w:val="FootnoteReference"/>
        </w:rPr>
        <w:footnoteRef/>
      </w:r>
      <w:r>
        <w:t xml:space="preserve"> </w:t>
      </w:r>
      <w:proofErr w:type="spellStart"/>
      <w:r w:rsidRPr="002A3F87">
        <w:t>Llovet</w:t>
      </w:r>
      <w:proofErr w:type="spellEnd"/>
      <w:r w:rsidRPr="002A3F87">
        <w:t xml:space="preserve"> JM</w:t>
      </w:r>
      <w:r>
        <w:t xml:space="preserve"> </w:t>
      </w:r>
      <w:r w:rsidRPr="002A3F87">
        <w:t xml:space="preserve">et al. Sorafenib in advanced hepatocellular carcinoma. </w:t>
      </w:r>
      <w:r w:rsidRPr="0071755E">
        <w:rPr>
          <w:i/>
          <w:iCs/>
        </w:rPr>
        <w:t xml:space="preserve">N </w:t>
      </w:r>
      <w:proofErr w:type="spellStart"/>
      <w:r w:rsidRPr="0071755E">
        <w:rPr>
          <w:i/>
          <w:iCs/>
        </w:rPr>
        <w:t>Engl</w:t>
      </w:r>
      <w:proofErr w:type="spellEnd"/>
      <w:r w:rsidRPr="0071755E">
        <w:rPr>
          <w:i/>
          <w:iCs/>
        </w:rPr>
        <w:t xml:space="preserve"> J Med</w:t>
      </w:r>
      <w:r>
        <w:t>,</w:t>
      </w:r>
      <w:r w:rsidRPr="002A3F87">
        <w:t xml:space="preserve"> 2008;359(4):378-90.</w:t>
      </w:r>
    </w:p>
  </w:footnote>
  <w:footnote w:id="18">
    <w:p w14:paraId="0A9E2230" w14:textId="4C5C58D3" w:rsidR="00C9797E" w:rsidRDefault="00C9797E" w:rsidP="00C9797E">
      <w:pPr>
        <w:pStyle w:val="FootnoteText"/>
      </w:pPr>
      <w:r>
        <w:rPr>
          <w:rStyle w:val="FootnoteReference"/>
        </w:rPr>
        <w:footnoteRef/>
      </w:r>
      <w:r>
        <w:t xml:space="preserve"> </w:t>
      </w:r>
      <w:r w:rsidRPr="002A3F87">
        <w:t xml:space="preserve">Yamashita T et al. REFLECT – a phase 3 trial comparing efficacy and safety of lenvatinib to sorafenib for the treatment of unresectable hepatocellular carcinoma: an analysis of Japanese subset. </w:t>
      </w:r>
      <w:r w:rsidRPr="0071755E">
        <w:rPr>
          <w:i/>
          <w:iCs/>
        </w:rPr>
        <w:t>J Gastroenterol</w:t>
      </w:r>
      <w:r w:rsidR="00575119">
        <w:rPr>
          <w:i/>
          <w:iCs/>
        </w:rPr>
        <w:t>,</w:t>
      </w:r>
      <w:r w:rsidRPr="002A3F87">
        <w:t xml:space="preserve"> 2020:55:113-22.</w:t>
      </w:r>
    </w:p>
  </w:footnote>
  <w:footnote w:id="19">
    <w:p w14:paraId="351215FB" w14:textId="77777777" w:rsidR="00EF20DD" w:rsidRDefault="00EF20DD" w:rsidP="00EF20DD">
      <w:pPr>
        <w:pStyle w:val="FootnoteText"/>
      </w:pPr>
      <w:r>
        <w:rPr>
          <w:rStyle w:val="FootnoteReference"/>
        </w:rPr>
        <w:footnoteRef/>
      </w:r>
      <w:r>
        <w:t xml:space="preserve"> </w:t>
      </w:r>
      <w:r w:rsidRPr="00387604">
        <w:rPr>
          <w:b/>
          <w:bCs/>
        </w:rPr>
        <w:t>Eastern Cooperative Oncology Group Performance Status (ECOG PS)</w:t>
      </w:r>
      <w:r>
        <w:t xml:space="preserve">: The ECOG has developed criteria used by doctors and researchers to assess how a patient's disease is progressing, assess how the disease affects the daily living abilities of the patient, and determine appropriate treatment and prognosis. The following are used: </w:t>
      </w:r>
    </w:p>
    <w:p w14:paraId="11E20B4A" w14:textId="77777777" w:rsidR="00EF20DD" w:rsidRDefault="00EF20DD" w:rsidP="00EF20DD">
      <w:pPr>
        <w:pStyle w:val="FootnoteText"/>
      </w:pPr>
      <w:r>
        <w:t>0 - Fully active, able to carry on all pre-disease performance without restriction</w:t>
      </w:r>
    </w:p>
    <w:p w14:paraId="27D7C5D7" w14:textId="77777777" w:rsidR="00EF20DD" w:rsidRDefault="00EF20DD" w:rsidP="00EF20DD">
      <w:pPr>
        <w:pStyle w:val="FootnoteText"/>
      </w:pPr>
      <w:r>
        <w:t xml:space="preserve">1- Restricted in physically strenuous activity but ambulatory and able to carry out work of a light or sedentary nature, for example, light </w:t>
      </w:r>
      <w:proofErr w:type="gramStart"/>
      <w:r>
        <w:t>house work</w:t>
      </w:r>
      <w:proofErr w:type="gramEnd"/>
      <w:r>
        <w:t>, office work</w:t>
      </w:r>
    </w:p>
    <w:p w14:paraId="1BCD862D" w14:textId="77777777" w:rsidR="00EF20DD" w:rsidRDefault="00EF20DD" w:rsidP="00EF20DD">
      <w:pPr>
        <w:pStyle w:val="FootnoteText"/>
      </w:pPr>
      <w:r>
        <w:t>2 - Ambulatory and capable of all selfcare but unable to carry out any work activities. Up and about more than 50% of waking hours</w:t>
      </w:r>
    </w:p>
    <w:p w14:paraId="36A1213F" w14:textId="77777777" w:rsidR="00EF20DD" w:rsidRDefault="00EF20DD" w:rsidP="00EF20DD">
      <w:pPr>
        <w:pStyle w:val="FootnoteText"/>
      </w:pPr>
      <w:r>
        <w:t>3 - Capable of only limited selfcare, confined to bed or chair more than 50% of waking hours</w:t>
      </w:r>
    </w:p>
    <w:p w14:paraId="5E8550DE" w14:textId="77777777" w:rsidR="00EF20DD" w:rsidRDefault="00EF20DD" w:rsidP="00EF20DD">
      <w:pPr>
        <w:pStyle w:val="FootnoteText"/>
      </w:pPr>
      <w:r>
        <w:t>4 - Completely disabled. Cannot carry on any selfcare. Totally confined to bed or chair</w:t>
      </w:r>
    </w:p>
    <w:p w14:paraId="5FE652B5" w14:textId="6AEDD2D5" w:rsidR="00EF20DD" w:rsidRDefault="00EF20DD">
      <w:pPr>
        <w:pStyle w:val="FootnoteText"/>
      </w:pPr>
      <w:r>
        <w:t>5 – Dead</w:t>
      </w:r>
    </w:p>
  </w:footnote>
  <w:footnote w:id="20">
    <w:p w14:paraId="1FF72701" w14:textId="77777777" w:rsidR="00D27B84" w:rsidRDefault="00D27B84" w:rsidP="00D27B84">
      <w:pPr>
        <w:pStyle w:val="FootnoteText"/>
      </w:pPr>
      <w:r>
        <w:rPr>
          <w:rStyle w:val="FootnoteReference"/>
        </w:rPr>
        <w:footnoteRef/>
      </w:r>
      <w:r>
        <w:t xml:space="preserve"> </w:t>
      </w:r>
      <w:r w:rsidRPr="002A3F87">
        <w:t>Kudo M</w:t>
      </w:r>
      <w:r>
        <w:t xml:space="preserve"> et al.</w:t>
      </w:r>
      <w:r w:rsidRPr="002A3F87">
        <w:t xml:space="preserve"> Lenvatinib versus sorafenib in first-line treatment of patients with unresectable hepatocellular carcinoma: a randomized Phase 3 non-inferiority trial. </w:t>
      </w:r>
      <w:r w:rsidRPr="0071755E">
        <w:rPr>
          <w:i/>
          <w:iCs/>
        </w:rPr>
        <w:t>Lancet</w:t>
      </w:r>
      <w:r>
        <w:t>,</w:t>
      </w:r>
      <w:r w:rsidRPr="002A3F87">
        <w:t xml:space="preserve"> 2018;391(10126):1163-73.</w:t>
      </w:r>
    </w:p>
  </w:footnote>
  <w:footnote w:id="21">
    <w:p w14:paraId="13543525" w14:textId="0DC8754A" w:rsidR="003D296A" w:rsidRDefault="003D296A" w:rsidP="003D296A">
      <w:pPr>
        <w:pStyle w:val="FootnoteText"/>
      </w:pPr>
      <w:r>
        <w:rPr>
          <w:rStyle w:val="FootnoteReference"/>
        </w:rPr>
        <w:footnoteRef/>
      </w:r>
      <w:r>
        <w:t xml:space="preserve"> </w:t>
      </w:r>
      <w:r w:rsidRPr="002A3F87">
        <w:t xml:space="preserve">Finn RS et al. Atezolizumab plus bevacizumab in unresectable hepatocellular carcinoma. </w:t>
      </w:r>
      <w:r w:rsidRPr="0071755E">
        <w:rPr>
          <w:i/>
          <w:iCs/>
        </w:rPr>
        <w:t xml:space="preserve">N </w:t>
      </w:r>
      <w:proofErr w:type="spellStart"/>
      <w:r w:rsidRPr="0071755E">
        <w:rPr>
          <w:i/>
          <w:iCs/>
        </w:rPr>
        <w:t>Engl</w:t>
      </w:r>
      <w:proofErr w:type="spellEnd"/>
      <w:r w:rsidRPr="0071755E">
        <w:rPr>
          <w:i/>
          <w:iCs/>
        </w:rPr>
        <w:t xml:space="preserve"> J Med</w:t>
      </w:r>
      <w:r w:rsidR="00575119">
        <w:rPr>
          <w:i/>
          <w:iCs/>
        </w:rPr>
        <w:t>,</w:t>
      </w:r>
      <w:r w:rsidRPr="0071755E">
        <w:rPr>
          <w:i/>
          <w:iCs/>
        </w:rPr>
        <w:t xml:space="preserve"> 2020</w:t>
      </w:r>
      <w:r w:rsidRPr="002A3F87">
        <w:t>; 382: 1894-1905.</w:t>
      </w:r>
    </w:p>
  </w:footnote>
  <w:footnote w:id="22">
    <w:p w14:paraId="655DD8CE" w14:textId="77777777" w:rsidR="00D70349" w:rsidRDefault="00D70349" w:rsidP="00D70349">
      <w:pPr>
        <w:pStyle w:val="FootnoteText"/>
      </w:pPr>
      <w:r>
        <w:rPr>
          <w:rStyle w:val="FootnoteReference"/>
        </w:rPr>
        <w:footnoteRef/>
      </w:r>
      <w:r>
        <w:t xml:space="preserve"> </w:t>
      </w:r>
      <w:r w:rsidRPr="0027038D">
        <w:t>Vogel A</w:t>
      </w:r>
      <w:r>
        <w:t xml:space="preserve"> and</w:t>
      </w:r>
      <w:r w:rsidRPr="0027038D">
        <w:t xml:space="preserve"> Martinelli E, on behalf of the ESMO Guidelines Committee. Updated treatment recommendations for hepatocellular carcinoma (HCC) from the ESMO Clinical Practice Guidelines. </w:t>
      </w:r>
      <w:r w:rsidRPr="0071755E">
        <w:rPr>
          <w:i/>
          <w:iCs/>
        </w:rPr>
        <w:t>Ann Oncol</w:t>
      </w:r>
      <w:r>
        <w:t>,</w:t>
      </w:r>
      <w:r w:rsidRPr="0027038D">
        <w:t xml:space="preserve"> 2021;32(6):801-5.</w:t>
      </w:r>
    </w:p>
  </w:footnote>
  <w:footnote w:id="23">
    <w:p w14:paraId="5C533937" w14:textId="77777777" w:rsidR="00D70349" w:rsidRDefault="00D70349" w:rsidP="00D70349">
      <w:pPr>
        <w:pStyle w:val="FootnoteText"/>
      </w:pPr>
      <w:r>
        <w:rPr>
          <w:rStyle w:val="FootnoteReference"/>
        </w:rPr>
        <w:footnoteRef/>
      </w:r>
      <w:r>
        <w:t xml:space="preserve"> </w:t>
      </w:r>
      <w:r w:rsidRPr="0027038D">
        <w:t xml:space="preserve">NCCN Clinical Practice Guidelines in Oncology: Hepatobiliary Cancers V.5.2021. Available from: </w:t>
      </w:r>
      <w:hyperlink r:id="rId6" w:history="1">
        <w:r w:rsidRPr="000C4F79">
          <w:rPr>
            <w:rStyle w:val="Hyperlink"/>
          </w:rPr>
          <w:t>https://www.nccn.org/professionals/physician_gls/pdf/hepatobiliary.pdf</w:t>
        </w:r>
      </w:hyperlink>
      <w:r>
        <w:t xml:space="preserve"> (</w:t>
      </w:r>
      <w:r w:rsidRPr="0027038D">
        <w:t>Accessed 29 November 2021</w:t>
      </w:r>
      <w:r>
        <w:t>)</w:t>
      </w:r>
    </w:p>
  </w:footnote>
  <w:footnote w:id="24">
    <w:p w14:paraId="7FC6DFC6" w14:textId="77777777" w:rsidR="00D70349" w:rsidRDefault="00D70349" w:rsidP="00D70349">
      <w:pPr>
        <w:pStyle w:val="FootnoteText"/>
      </w:pPr>
      <w:r>
        <w:rPr>
          <w:rStyle w:val="FootnoteReference"/>
        </w:rPr>
        <w:footnoteRef/>
      </w:r>
      <w:r>
        <w:t xml:space="preserve"> Kudo M et al. Management of hepatocellular carcinoma in Japan: JSH consensus statements and recommendations 2021</w:t>
      </w:r>
    </w:p>
    <w:p w14:paraId="0B83A53F" w14:textId="77777777" w:rsidR="00D70349" w:rsidRDefault="00D70349" w:rsidP="00D70349">
      <w:pPr>
        <w:pStyle w:val="FootnoteText"/>
      </w:pPr>
      <w:r>
        <w:t>update</w:t>
      </w:r>
      <w:r w:rsidRPr="00712916">
        <w:rPr>
          <w:i/>
          <w:iCs/>
        </w:rPr>
        <w:t>. Liver Cancer</w:t>
      </w:r>
      <w:r>
        <w:t>, 2021;10:181-223.</w:t>
      </w:r>
    </w:p>
  </w:footnote>
  <w:footnote w:id="25">
    <w:p w14:paraId="512AC636" w14:textId="7EF05E04" w:rsidR="005C57B1" w:rsidRDefault="005C57B1">
      <w:pPr>
        <w:pStyle w:val="FootnoteText"/>
      </w:pPr>
      <w:r>
        <w:rPr>
          <w:rStyle w:val="FootnoteReference"/>
        </w:rPr>
        <w:footnoteRef/>
      </w:r>
      <w:r>
        <w:t xml:space="preserve"> </w:t>
      </w:r>
      <w:r w:rsidRPr="005C57B1">
        <w:t>Buchbinder EI</w:t>
      </w:r>
      <w:r w:rsidR="00425447">
        <w:t xml:space="preserve"> and</w:t>
      </w:r>
      <w:r w:rsidRPr="005C57B1">
        <w:t xml:space="preserve"> Desai A. CTLA-4 and PD-1 pathways: similarities, differences, and implications of their inhibition. </w:t>
      </w:r>
      <w:r w:rsidRPr="006241B7">
        <w:rPr>
          <w:i/>
          <w:iCs/>
        </w:rPr>
        <w:t>Am J Clin Oncol</w:t>
      </w:r>
      <w:r w:rsidR="00425447">
        <w:rPr>
          <w:i/>
          <w:iCs/>
        </w:rPr>
        <w:t>,</w:t>
      </w:r>
      <w:r w:rsidRPr="005C57B1">
        <w:t xml:space="preserve"> 2016;39(1):98-106.</w:t>
      </w:r>
    </w:p>
  </w:footnote>
  <w:footnote w:id="26">
    <w:p w14:paraId="1A937FE5" w14:textId="1494A1D8" w:rsidR="00A24AFE" w:rsidRDefault="00A24AFE">
      <w:pPr>
        <w:pStyle w:val="FootnoteText"/>
      </w:pPr>
      <w:r>
        <w:rPr>
          <w:rStyle w:val="FootnoteReference"/>
        </w:rPr>
        <w:footnoteRef/>
      </w:r>
      <w:r>
        <w:t xml:space="preserve"> </w:t>
      </w:r>
      <w:r w:rsidRPr="00A24AFE">
        <w:t>Wu Y</w:t>
      </w:r>
      <w:r w:rsidR="00425447">
        <w:t xml:space="preserve"> et al. </w:t>
      </w:r>
      <w:r w:rsidRPr="00A24AFE">
        <w:t xml:space="preserve">PD-L1 distribution and perspective for cancer immunotherapy-blockade, knockdown, or inhibition. </w:t>
      </w:r>
      <w:r w:rsidRPr="006241B7">
        <w:rPr>
          <w:i/>
          <w:iCs/>
        </w:rPr>
        <w:t>Front Immunol</w:t>
      </w:r>
      <w:r w:rsidR="00425447">
        <w:rPr>
          <w:i/>
          <w:iCs/>
        </w:rPr>
        <w:t>,</w:t>
      </w:r>
      <w:r w:rsidRPr="00A24AFE">
        <w:t xml:space="preserve"> 2019;10:2022.</w:t>
      </w:r>
    </w:p>
  </w:footnote>
  <w:footnote w:id="27">
    <w:p w14:paraId="28AE6871" w14:textId="77777777" w:rsidR="0089789E" w:rsidRDefault="0089789E">
      <w:pPr>
        <w:pStyle w:val="FootnoteText"/>
      </w:pPr>
      <w:r>
        <w:rPr>
          <w:rStyle w:val="FootnoteReference"/>
        </w:rPr>
        <w:footnoteRef/>
      </w:r>
      <w:r>
        <w:t xml:space="preserve"> </w:t>
      </w:r>
      <w:r w:rsidRPr="0089789E">
        <w:t>T300+D = tremelimumab 300 mg (4 mg/kg) × 1 dose + durvalumab 1500 mg (20 mg/kg) every 4 weeks</w:t>
      </w:r>
    </w:p>
    <w:p w14:paraId="6F3DE4A7" w14:textId="26B5D4B8" w:rsidR="0089789E" w:rsidRDefault="0089789E">
      <w:pPr>
        <w:pStyle w:val="FootnoteText"/>
      </w:pPr>
      <w:r w:rsidRPr="0089789E">
        <w:t>T75+D = tremelimumab 75 mg (1 mg/kg) every 4 weeks × 4 doses + durvalumab 1500 mg (20 mg/kg) every 4 weeks, followed by durvalumab 1500 mg (20 mg/kg) every 4 weeks.</w:t>
      </w:r>
    </w:p>
  </w:footnote>
  <w:footnote w:id="28">
    <w:p w14:paraId="42D8F028" w14:textId="33CC0CF4" w:rsidR="00C067BA" w:rsidRDefault="00C067BA">
      <w:pPr>
        <w:pStyle w:val="FootnoteText"/>
      </w:pPr>
      <w:r>
        <w:rPr>
          <w:rStyle w:val="FootnoteReference"/>
        </w:rPr>
        <w:footnoteRef/>
      </w:r>
      <w:r>
        <w:t xml:space="preserve"> </w:t>
      </w:r>
      <w:r w:rsidRPr="00C067BA">
        <w:t xml:space="preserve">Abou-Alfa G et al. Tremelimumab plus durvalumab in unresectable hepatocellular carcinoma. </w:t>
      </w:r>
      <w:r w:rsidRPr="0010249A">
        <w:rPr>
          <w:i/>
          <w:iCs/>
        </w:rPr>
        <w:t>NEJM Evid</w:t>
      </w:r>
      <w:r w:rsidRPr="00C067BA">
        <w:t>, 2022;1(8).</w:t>
      </w:r>
    </w:p>
  </w:footnote>
  <w:footnote w:id="29">
    <w:p w14:paraId="76873443" w14:textId="77777777" w:rsidR="006016DD" w:rsidRDefault="006016DD" w:rsidP="006016DD">
      <w:pPr>
        <w:pStyle w:val="FootnoteText"/>
      </w:pPr>
      <w:r>
        <w:rPr>
          <w:rStyle w:val="FootnoteReference"/>
        </w:rPr>
        <w:footnoteRef/>
      </w:r>
      <w:r>
        <w:t xml:space="preserve"> </w:t>
      </w:r>
      <w:r w:rsidRPr="00950E2D">
        <w:t xml:space="preserve">The </w:t>
      </w:r>
      <w:r w:rsidRPr="001206B3">
        <w:rPr>
          <w:b/>
          <w:bCs/>
        </w:rPr>
        <w:t xml:space="preserve">Response Evaluation Criteria </w:t>
      </w:r>
      <w:proofErr w:type="gramStart"/>
      <w:r w:rsidRPr="001206B3">
        <w:rPr>
          <w:b/>
          <w:bCs/>
        </w:rPr>
        <w:t>In</w:t>
      </w:r>
      <w:proofErr w:type="gramEnd"/>
      <w:r w:rsidRPr="001206B3">
        <w:rPr>
          <w:b/>
          <w:bCs/>
        </w:rPr>
        <w:t xml:space="preserve"> Solid Tumours (RECIST)</w:t>
      </w:r>
      <w:r w:rsidRPr="00950E2D">
        <w:t xml:space="preserve">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w:t>
      </w:r>
      <w:proofErr w:type="gramStart"/>
      <w:r w:rsidRPr="00950E2D">
        <w:t>the majority of</w:t>
      </w:r>
      <w:proofErr w:type="gramEnd"/>
      <w:r w:rsidRPr="00950E2D">
        <w:t> clinical trials evaluating cancer treatments for objective response in solid tumours use RECIST. These criteria were developed and published in February 2000, and subsequently updated in 2009.</w:t>
      </w:r>
    </w:p>
  </w:footnote>
  <w:footnote w:id="30">
    <w:p w14:paraId="38B6E5DD" w14:textId="437447CE" w:rsidR="00192B27" w:rsidRDefault="00110B6A" w:rsidP="00110B6A">
      <w:pPr>
        <w:pStyle w:val="FootnoteText"/>
      </w:pPr>
      <w:r>
        <w:rPr>
          <w:rStyle w:val="FootnoteReference"/>
        </w:rPr>
        <w:footnoteRef/>
      </w:r>
      <w:r>
        <w:t xml:space="preserve"> The </w:t>
      </w:r>
      <w:r w:rsidR="00322E07" w:rsidRPr="005612CB">
        <w:rPr>
          <w:b/>
          <w:bCs/>
        </w:rPr>
        <w:t>Barcelona Clinic Liver Cancer (</w:t>
      </w:r>
      <w:r w:rsidRPr="005612CB">
        <w:rPr>
          <w:b/>
          <w:bCs/>
        </w:rPr>
        <w:t>BCLC</w:t>
      </w:r>
      <w:r w:rsidR="00322E07" w:rsidRPr="005612CB">
        <w:rPr>
          <w:b/>
          <w:bCs/>
        </w:rPr>
        <w:t>)</w:t>
      </w:r>
      <w:r w:rsidRPr="005612CB">
        <w:rPr>
          <w:b/>
          <w:bCs/>
        </w:rPr>
        <w:t xml:space="preserve"> staging system</w:t>
      </w:r>
      <w:r w:rsidR="00322E07">
        <w:t xml:space="preserve"> </w:t>
      </w:r>
      <w:r w:rsidR="00192B27">
        <w:t xml:space="preserve">looks at </w:t>
      </w:r>
      <w:r w:rsidR="002E531A">
        <w:t>the</w:t>
      </w:r>
      <w:r w:rsidR="00B64BDB">
        <w:t xml:space="preserve"> </w:t>
      </w:r>
      <w:r w:rsidR="00192B27">
        <w:t xml:space="preserve">number and size of tumours in </w:t>
      </w:r>
      <w:r w:rsidR="00B64BDB">
        <w:t>the</w:t>
      </w:r>
      <w:r w:rsidR="002E531A">
        <w:t xml:space="preserve"> patient’s</w:t>
      </w:r>
      <w:r w:rsidR="00192B27">
        <w:t xml:space="preserve"> liver</w:t>
      </w:r>
      <w:r w:rsidR="002E531A">
        <w:t xml:space="preserve">, </w:t>
      </w:r>
      <w:r w:rsidR="0027581E" w:rsidRPr="0027581E">
        <w:t xml:space="preserve">Eastern Cooperative Oncology Group (ECOG) </w:t>
      </w:r>
      <w:r w:rsidR="0028057F">
        <w:t xml:space="preserve">Performance Status </w:t>
      </w:r>
      <w:r w:rsidR="0027581E">
        <w:t>(</w:t>
      </w:r>
      <w:r w:rsidR="0028057F">
        <w:t>PS</w:t>
      </w:r>
      <w:r w:rsidR="002E531A">
        <w:t xml:space="preserve">) and the </w:t>
      </w:r>
      <w:r w:rsidR="00192B27">
        <w:t>liver function using Child-Pugh score</w:t>
      </w:r>
      <w:r w:rsidR="002E531A">
        <w:t xml:space="preserve">. </w:t>
      </w:r>
    </w:p>
    <w:p w14:paraId="170645EF" w14:textId="77777777" w:rsidR="00110B6A" w:rsidRDefault="00110B6A" w:rsidP="00110B6A">
      <w:pPr>
        <w:pStyle w:val="FootnoteText"/>
      </w:pPr>
      <w:r>
        <w:t>There are 5 stages to the BCLC staging system.</w:t>
      </w:r>
    </w:p>
    <w:p w14:paraId="1991B9D9" w14:textId="1B550700" w:rsidR="00110B6A" w:rsidRDefault="00110B6A" w:rsidP="00110B6A">
      <w:pPr>
        <w:pStyle w:val="FootnoteText"/>
      </w:pPr>
      <w:r>
        <w:t>Stage 0 (</w:t>
      </w:r>
      <w:r w:rsidR="00D215FB">
        <w:t>very early stage</w:t>
      </w:r>
      <w:r>
        <w:t>)</w:t>
      </w:r>
      <w:r w:rsidR="002E531A">
        <w:t xml:space="preserve">: </w:t>
      </w:r>
      <w:r>
        <w:t>tumour is less than 2</w:t>
      </w:r>
      <w:r w:rsidR="002E531A">
        <w:t xml:space="preserve"> </w:t>
      </w:r>
      <w:r>
        <w:t xml:space="preserve">cm, </w:t>
      </w:r>
      <w:r w:rsidR="0027581E" w:rsidRPr="0027581E">
        <w:t>ECOG</w:t>
      </w:r>
      <w:r w:rsidR="0027581E">
        <w:t xml:space="preserve"> </w:t>
      </w:r>
      <w:r w:rsidR="0028057F">
        <w:t>P</w:t>
      </w:r>
      <w:r>
        <w:t>S 0 and Child-Pugh A.</w:t>
      </w:r>
    </w:p>
    <w:p w14:paraId="231F0057" w14:textId="47A00FF5" w:rsidR="00110B6A" w:rsidRDefault="00110B6A" w:rsidP="00110B6A">
      <w:pPr>
        <w:pStyle w:val="FootnoteText"/>
      </w:pPr>
      <w:r>
        <w:t>Stage A (</w:t>
      </w:r>
      <w:r w:rsidR="00D215FB">
        <w:t>early stage</w:t>
      </w:r>
      <w:r>
        <w:t>)</w:t>
      </w:r>
      <w:r w:rsidR="0028057F">
        <w:t xml:space="preserve">: </w:t>
      </w:r>
      <w:r>
        <w:t>a single tumour of any size, or up to 3 tumours all less than 3 cm</w:t>
      </w:r>
      <w:r w:rsidR="006D03D9">
        <w:t>,</w:t>
      </w:r>
      <w:r>
        <w:t xml:space="preserve"> </w:t>
      </w:r>
      <w:r w:rsidR="0027581E" w:rsidRPr="0027581E">
        <w:t>ECOG</w:t>
      </w:r>
      <w:r w:rsidR="0027581E">
        <w:t xml:space="preserve"> </w:t>
      </w:r>
      <w:r>
        <w:t>PS 0, and</w:t>
      </w:r>
      <w:r w:rsidR="006D03D9">
        <w:t xml:space="preserve"> </w:t>
      </w:r>
      <w:r>
        <w:t>Child-Pugh A or B.</w:t>
      </w:r>
    </w:p>
    <w:p w14:paraId="57D942B0" w14:textId="6E649D20" w:rsidR="00110B6A" w:rsidRDefault="00110B6A" w:rsidP="00110B6A">
      <w:pPr>
        <w:pStyle w:val="FootnoteText"/>
      </w:pPr>
      <w:r>
        <w:t>Stage B (</w:t>
      </w:r>
      <w:r w:rsidR="00D215FB">
        <w:t>intermediate stage</w:t>
      </w:r>
      <w:r>
        <w:t>)</w:t>
      </w:r>
      <w:r w:rsidR="006D03D9">
        <w:t xml:space="preserve">: </w:t>
      </w:r>
      <w:r>
        <w:t xml:space="preserve">many tumours in the liver, </w:t>
      </w:r>
      <w:r w:rsidR="0027581E" w:rsidRPr="0027581E">
        <w:t>ECOG</w:t>
      </w:r>
      <w:r w:rsidR="0027581E">
        <w:t xml:space="preserve"> </w:t>
      </w:r>
      <w:r>
        <w:t>PS 0 and Child-Pugh A or B.</w:t>
      </w:r>
    </w:p>
    <w:p w14:paraId="5BDC0AB6" w14:textId="285DCC6D" w:rsidR="00110B6A" w:rsidRDefault="00110B6A" w:rsidP="00110B6A">
      <w:pPr>
        <w:pStyle w:val="FootnoteText"/>
      </w:pPr>
      <w:r>
        <w:t>Stage C (</w:t>
      </w:r>
      <w:r w:rsidR="00D215FB">
        <w:t>advanced stage</w:t>
      </w:r>
      <w:r>
        <w:t>)</w:t>
      </w:r>
      <w:r w:rsidR="0071535A">
        <w:t xml:space="preserve">: </w:t>
      </w:r>
      <w:r>
        <w:t>cancer has spread into the blood vessels, lymph nodes or other body organs</w:t>
      </w:r>
      <w:r w:rsidR="009C1F27">
        <w:t xml:space="preserve"> </w:t>
      </w:r>
      <w:r w:rsidR="007568F0">
        <w:t>o</w:t>
      </w:r>
      <w:r>
        <w:t xml:space="preserve">r </w:t>
      </w:r>
      <w:r w:rsidR="0027581E" w:rsidRPr="0027581E">
        <w:t>ECOG</w:t>
      </w:r>
      <w:r w:rsidR="0027581E">
        <w:t xml:space="preserve"> </w:t>
      </w:r>
      <w:r>
        <w:t>PS 1 or 2</w:t>
      </w:r>
      <w:r w:rsidR="007568F0">
        <w:t xml:space="preserve">, </w:t>
      </w:r>
      <w:r>
        <w:t>Child-Pugh A or B.</w:t>
      </w:r>
    </w:p>
    <w:p w14:paraId="4E8750C0" w14:textId="6B9D1FC4" w:rsidR="00D215FB" w:rsidRDefault="00D215FB" w:rsidP="00D215FB">
      <w:pPr>
        <w:pStyle w:val="FootnoteText"/>
      </w:pPr>
      <w:r>
        <w:t xml:space="preserve">Stage D: Child-Pugh C, or </w:t>
      </w:r>
      <w:r w:rsidR="0027581E" w:rsidRPr="0027581E">
        <w:t>ECOG</w:t>
      </w:r>
      <w:r w:rsidR="0027581E">
        <w:t xml:space="preserve"> </w:t>
      </w:r>
      <w:r>
        <w:t>PS 3 or 4.</w:t>
      </w:r>
    </w:p>
  </w:footnote>
  <w:footnote w:id="31">
    <w:p w14:paraId="1E46CC47" w14:textId="72A00475" w:rsidR="002B4418" w:rsidRDefault="002B4418">
      <w:pPr>
        <w:pStyle w:val="FootnoteText"/>
      </w:pPr>
      <w:r>
        <w:rPr>
          <w:rStyle w:val="FootnoteReference"/>
        </w:rPr>
        <w:footnoteRef/>
      </w:r>
      <w:r>
        <w:t xml:space="preserve"> </w:t>
      </w:r>
      <w:r w:rsidRPr="002B4418">
        <w:t xml:space="preserve">A </w:t>
      </w:r>
      <w:r w:rsidRPr="0010249A">
        <w:rPr>
          <w:b/>
          <w:bCs/>
        </w:rPr>
        <w:t>pan-tumour pool</w:t>
      </w:r>
      <w:r w:rsidRPr="002B4418">
        <w:t xml:space="preserve"> involves patients across a variety of tumour types.</w:t>
      </w:r>
    </w:p>
  </w:footnote>
  <w:footnote w:id="32">
    <w:p w14:paraId="411C79DC" w14:textId="697AAD39" w:rsidR="008D2E10" w:rsidRDefault="008D2E10">
      <w:pPr>
        <w:pStyle w:val="FootnoteText"/>
      </w:pPr>
      <w:r>
        <w:rPr>
          <w:rStyle w:val="FootnoteReference"/>
        </w:rPr>
        <w:footnoteRef/>
      </w:r>
      <w:r>
        <w:t xml:space="preserve"> </w:t>
      </w:r>
      <w:r w:rsidRPr="008D2E10">
        <w:t xml:space="preserve">Finn RS et al. Atezolizumab plus bevacizumab in unresectable hepatocellular carcinoma. </w:t>
      </w:r>
      <w:r w:rsidRPr="0010249A">
        <w:rPr>
          <w:i/>
          <w:iCs/>
        </w:rPr>
        <w:t xml:space="preserve">N </w:t>
      </w:r>
      <w:proofErr w:type="spellStart"/>
      <w:r w:rsidRPr="0010249A">
        <w:rPr>
          <w:i/>
          <w:iCs/>
        </w:rPr>
        <w:t>Engl</w:t>
      </w:r>
      <w:proofErr w:type="spellEnd"/>
      <w:r w:rsidRPr="0010249A">
        <w:rPr>
          <w:i/>
          <w:iCs/>
        </w:rPr>
        <w:t xml:space="preserve"> J Med</w:t>
      </w:r>
      <w:r w:rsidR="0010249A">
        <w:t>,</w:t>
      </w:r>
      <w:r w:rsidRPr="008D2E10">
        <w:t xml:space="preserve"> 2020; 382: 1894-1905.</w:t>
      </w:r>
    </w:p>
  </w:footnote>
  <w:footnote w:id="33">
    <w:p w14:paraId="49768879" w14:textId="49D6E83B" w:rsidR="001877A1" w:rsidRDefault="001877A1">
      <w:pPr>
        <w:pStyle w:val="FootnoteText"/>
      </w:pPr>
      <w:r>
        <w:rPr>
          <w:rStyle w:val="FootnoteReference"/>
        </w:rPr>
        <w:footnoteRef/>
      </w:r>
      <w:r>
        <w:t xml:space="preserve"> Inclusion of this information is beyond the scope of this AusPAR.</w:t>
      </w:r>
    </w:p>
  </w:footnote>
  <w:footnote w:id="34">
    <w:p w14:paraId="46B53FE4" w14:textId="10ADB647" w:rsidR="002834CD" w:rsidRDefault="002834CD">
      <w:pPr>
        <w:pStyle w:val="FootnoteText"/>
      </w:pPr>
      <w:r>
        <w:rPr>
          <w:rStyle w:val="FootnoteReference"/>
        </w:rPr>
        <w:footnoteRef/>
      </w:r>
      <w:r>
        <w:t xml:space="preserve"> </w:t>
      </w:r>
      <w:proofErr w:type="gramStart"/>
      <w:r w:rsidR="0010249A" w:rsidRPr="0010249A">
        <w:t>Australian Institute of Health and Welfare (AIHW) Cancer in Australia 2021</w:t>
      </w:r>
      <w:r w:rsidR="0010249A">
        <w:t>,</w:t>
      </w:r>
      <w:proofErr w:type="gramEnd"/>
      <w:r w:rsidR="0010249A">
        <w:t xml:space="preserve"> </w:t>
      </w:r>
      <w:r w:rsidR="00C31B39" w:rsidRPr="0010249A">
        <w:t>last updated 15 August 2023</w:t>
      </w:r>
      <w:r w:rsidR="0010249A" w:rsidRPr="0010249A">
        <w:t xml:space="preserve">. Available at: </w:t>
      </w:r>
      <w:hyperlink r:id="rId7" w:history="1">
        <w:r w:rsidR="0010249A" w:rsidRPr="000508EB">
          <w:rPr>
            <w:rStyle w:val="Hyperlink"/>
          </w:rPr>
          <w:t>https://www.aihw.gov.au/reports/cancer/cancer-in-australia-2021/summary</w:t>
        </w:r>
      </w:hyperlink>
      <w:r w:rsidR="0010249A">
        <w:t>.</w:t>
      </w:r>
    </w:p>
  </w:footnote>
  <w:footnote w:id="35">
    <w:p w14:paraId="0B9B2BF8" w14:textId="6E3D01A1" w:rsidR="00D335E6" w:rsidRPr="00105CE5" w:rsidRDefault="00D335E6" w:rsidP="00D335E6">
      <w:pPr>
        <w:tabs>
          <w:tab w:val="left" w:pos="2467"/>
        </w:tabs>
        <w:rPr>
          <w:sz w:val="16"/>
          <w:szCs w:val="16"/>
        </w:rPr>
      </w:pPr>
      <w:r w:rsidRPr="00105CE5">
        <w:rPr>
          <w:rStyle w:val="FootnoteReference"/>
          <w:sz w:val="16"/>
          <w:szCs w:val="16"/>
        </w:rPr>
        <w:footnoteRef/>
      </w:r>
      <w:r>
        <w:rPr>
          <w:sz w:val="16"/>
          <w:szCs w:val="16"/>
        </w:rPr>
        <w:t xml:space="preserve"> </w:t>
      </w:r>
      <w:proofErr w:type="spellStart"/>
      <w:r w:rsidRPr="0010249A">
        <w:rPr>
          <w:rStyle w:val="FootnoteTextChar"/>
        </w:rPr>
        <w:t>Zehir</w:t>
      </w:r>
      <w:proofErr w:type="spellEnd"/>
      <w:r w:rsidRPr="0010249A">
        <w:rPr>
          <w:rStyle w:val="FootnoteTextChar"/>
        </w:rPr>
        <w:t xml:space="preserve"> A et al.</w:t>
      </w:r>
      <w:r w:rsidR="00C45A69" w:rsidRPr="0010249A">
        <w:rPr>
          <w:rStyle w:val="FootnoteTextChar"/>
        </w:rPr>
        <w:t xml:space="preserve"> </w:t>
      </w:r>
      <w:r w:rsidRPr="0010249A">
        <w:rPr>
          <w:rStyle w:val="FootnoteTextChar"/>
        </w:rPr>
        <w:t>Mutational landscape of metastatic cancer revealed from prospective clinical sequencing of 10,000 patients.</w:t>
      </w:r>
      <w:r w:rsidR="00C45A69" w:rsidRPr="0010249A">
        <w:rPr>
          <w:rStyle w:val="FootnoteTextChar"/>
        </w:rPr>
        <w:t xml:space="preserve"> </w:t>
      </w:r>
      <w:r w:rsidRPr="0010249A">
        <w:rPr>
          <w:rStyle w:val="FootnoteTextChar"/>
        </w:rPr>
        <w:t>Nat Med</w:t>
      </w:r>
      <w:r w:rsidR="0010249A" w:rsidRPr="0010249A">
        <w:rPr>
          <w:rStyle w:val="FootnoteTextChar"/>
        </w:rPr>
        <w:t>,</w:t>
      </w:r>
      <w:r w:rsidRPr="0010249A">
        <w:rPr>
          <w:rStyle w:val="FootnoteTextChar"/>
        </w:rPr>
        <w:t xml:space="preserve"> 2017;23:703-13.</w:t>
      </w:r>
    </w:p>
  </w:footnote>
  <w:footnote w:id="36">
    <w:p w14:paraId="5AF2735A" w14:textId="2CB5DAB5" w:rsidR="00D335E6" w:rsidRPr="00105CE5" w:rsidRDefault="00D335E6" w:rsidP="00D335E6">
      <w:pPr>
        <w:tabs>
          <w:tab w:val="left" w:pos="2467"/>
        </w:tabs>
        <w:spacing w:after="0"/>
        <w:rPr>
          <w:sz w:val="16"/>
          <w:szCs w:val="16"/>
        </w:rPr>
      </w:pPr>
      <w:r w:rsidRPr="00105CE5">
        <w:rPr>
          <w:rStyle w:val="FootnoteReference"/>
          <w:sz w:val="16"/>
          <w:szCs w:val="16"/>
        </w:rPr>
        <w:footnoteRef/>
      </w:r>
      <w:r w:rsidRPr="00105CE5">
        <w:rPr>
          <w:sz w:val="16"/>
          <w:szCs w:val="16"/>
        </w:rPr>
        <w:t xml:space="preserve"> </w:t>
      </w:r>
      <w:r w:rsidRPr="006C7D36">
        <w:rPr>
          <w:rStyle w:val="FootnoteTextChar"/>
        </w:rPr>
        <w:t>National Comprehensive Cancer Network.</w:t>
      </w:r>
      <w:r w:rsidR="00C45A69" w:rsidRPr="006C7D36">
        <w:rPr>
          <w:rStyle w:val="FootnoteTextChar"/>
        </w:rPr>
        <w:t xml:space="preserve"> </w:t>
      </w:r>
      <w:r w:rsidRPr="006C7D36">
        <w:rPr>
          <w:rStyle w:val="FootnoteTextChar"/>
        </w:rPr>
        <w:t>NCCN clinical practice guidelines in oncology: Hepatobiliary Cancers.</w:t>
      </w:r>
      <w:r w:rsidR="00C45A69" w:rsidRPr="006C7D36">
        <w:rPr>
          <w:rStyle w:val="FootnoteTextChar"/>
        </w:rPr>
        <w:t xml:space="preserve"> </w:t>
      </w:r>
      <w:r w:rsidRPr="006C7D36">
        <w:rPr>
          <w:rStyle w:val="FootnoteTextChar"/>
        </w:rPr>
        <w:t>Version 2.2022 – July 15, 2022.</w:t>
      </w:r>
      <w:r w:rsidR="00C45A69" w:rsidRPr="006C7D36">
        <w:rPr>
          <w:rStyle w:val="FootnoteTextChar"/>
        </w:rPr>
        <w:t xml:space="preserve"> </w:t>
      </w:r>
      <w:r w:rsidRPr="006C7D36">
        <w:rPr>
          <w:rStyle w:val="FootnoteTextChar"/>
        </w:rPr>
        <w:t>Fort Washington (PA): National Comprehensive Cancer Network (NCCN); 2022.</w:t>
      </w:r>
    </w:p>
  </w:footnote>
  <w:footnote w:id="37">
    <w:p w14:paraId="22402E9F" w14:textId="398B6107" w:rsidR="00D335E6" w:rsidRDefault="00D335E6" w:rsidP="00D335E6">
      <w:pPr>
        <w:tabs>
          <w:tab w:val="left" w:pos="2467"/>
        </w:tabs>
      </w:pPr>
      <w:r w:rsidRPr="00105CE5">
        <w:rPr>
          <w:rStyle w:val="FootnoteReference"/>
          <w:sz w:val="16"/>
          <w:szCs w:val="16"/>
        </w:rPr>
        <w:footnoteRef/>
      </w:r>
      <w:r w:rsidRPr="00105CE5">
        <w:rPr>
          <w:sz w:val="16"/>
          <w:szCs w:val="16"/>
        </w:rPr>
        <w:t xml:space="preserve"> </w:t>
      </w:r>
      <w:r w:rsidRPr="006C7D36">
        <w:rPr>
          <w:rStyle w:val="FootnoteTextChar"/>
        </w:rPr>
        <w:t>Sia D</w:t>
      </w:r>
      <w:r w:rsidR="0010249A">
        <w:rPr>
          <w:rStyle w:val="FootnoteTextChar"/>
        </w:rPr>
        <w:t xml:space="preserve"> </w:t>
      </w:r>
      <w:r w:rsidRPr="006C7D36">
        <w:rPr>
          <w:rStyle w:val="FootnoteTextChar"/>
        </w:rPr>
        <w:t>et al.</w:t>
      </w:r>
      <w:r w:rsidR="00C45A69" w:rsidRPr="006C7D36">
        <w:rPr>
          <w:rStyle w:val="FootnoteTextChar"/>
        </w:rPr>
        <w:t xml:space="preserve"> </w:t>
      </w:r>
      <w:r w:rsidRPr="006C7D36">
        <w:rPr>
          <w:rStyle w:val="FootnoteTextChar"/>
        </w:rPr>
        <w:t>Identification of an immune-specific class of hepatocellular carcinoma, based on molecular features.</w:t>
      </w:r>
      <w:r w:rsidR="00C45A69" w:rsidRPr="006C7D36">
        <w:rPr>
          <w:rStyle w:val="FootnoteTextChar"/>
        </w:rPr>
        <w:t xml:space="preserve"> </w:t>
      </w:r>
      <w:r w:rsidRPr="0010249A">
        <w:rPr>
          <w:rStyle w:val="FootnoteTextChar"/>
          <w:i/>
          <w:iCs/>
        </w:rPr>
        <w:t>Gastroenterology</w:t>
      </w:r>
      <w:r w:rsidR="0010249A">
        <w:rPr>
          <w:rStyle w:val="FootnoteTextChar"/>
        </w:rPr>
        <w:t>,</w:t>
      </w:r>
      <w:r w:rsidRPr="006C7D36">
        <w:rPr>
          <w:rStyle w:val="FootnoteTextChar"/>
        </w:rPr>
        <w:t xml:space="preserve"> 2017;153:812-26.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6379D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3DE2"/>
    <w:multiLevelType w:val="hybridMultilevel"/>
    <w:tmpl w:val="90DA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4B215FD"/>
    <w:multiLevelType w:val="hybridMultilevel"/>
    <w:tmpl w:val="735E4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7C4031"/>
    <w:multiLevelType w:val="hybridMultilevel"/>
    <w:tmpl w:val="A6708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2D211CA"/>
    <w:multiLevelType w:val="hybridMultilevel"/>
    <w:tmpl w:val="38EE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50B50AE"/>
    <w:multiLevelType w:val="hybridMultilevel"/>
    <w:tmpl w:val="4C666E26"/>
    <w:lvl w:ilvl="0" w:tplc="129E8AB2">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C3C29"/>
    <w:multiLevelType w:val="hybridMultilevel"/>
    <w:tmpl w:val="54C20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666767"/>
    <w:multiLevelType w:val="hybridMultilevel"/>
    <w:tmpl w:val="550E5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023E2F"/>
    <w:multiLevelType w:val="hybridMultilevel"/>
    <w:tmpl w:val="B8645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8F3C4F"/>
    <w:multiLevelType w:val="hybridMultilevel"/>
    <w:tmpl w:val="DFBA6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F452C3"/>
    <w:multiLevelType w:val="hybridMultilevel"/>
    <w:tmpl w:val="6FF0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E0163F"/>
    <w:multiLevelType w:val="hybridMultilevel"/>
    <w:tmpl w:val="1CE6E53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7" w15:restartNumberingAfterBreak="0">
    <w:nsid w:val="627B64A5"/>
    <w:multiLevelType w:val="hybridMultilevel"/>
    <w:tmpl w:val="CB92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E1248D"/>
    <w:multiLevelType w:val="hybridMultilevel"/>
    <w:tmpl w:val="9176E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C3312D"/>
    <w:multiLevelType w:val="hybridMultilevel"/>
    <w:tmpl w:val="900C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CD283C"/>
    <w:multiLevelType w:val="hybridMultilevel"/>
    <w:tmpl w:val="0DA4C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A674D5"/>
    <w:multiLevelType w:val="hybridMultilevel"/>
    <w:tmpl w:val="BCFC8F3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2" w15:restartNumberingAfterBreak="0">
    <w:nsid w:val="7BEF46FF"/>
    <w:multiLevelType w:val="hybridMultilevel"/>
    <w:tmpl w:val="95CAE9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3157005">
    <w:abstractNumId w:val="5"/>
  </w:num>
  <w:num w:numId="2" w16cid:durableId="1821530489">
    <w:abstractNumId w:val="1"/>
  </w:num>
  <w:num w:numId="3" w16cid:durableId="867840599">
    <w:abstractNumId w:val="3"/>
  </w:num>
  <w:num w:numId="4" w16cid:durableId="383601877">
    <w:abstractNumId w:val="12"/>
  </w:num>
  <w:num w:numId="5" w16cid:durableId="1294099622">
    <w:abstractNumId w:val="7"/>
  </w:num>
  <w:num w:numId="6" w16cid:durableId="274334434">
    <w:abstractNumId w:val="11"/>
  </w:num>
  <w:num w:numId="7" w16cid:durableId="52995337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328292884">
    <w:abstractNumId w:val="18"/>
  </w:num>
  <w:num w:numId="9" w16cid:durableId="1587494470">
    <w:abstractNumId w:val="20"/>
  </w:num>
  <w:num w:numId="10" w16cid:durableId="1051536779">
    <w:abstractNumId w:val="6"/>
  </w:num>
  <w:num w:numId="11" w16cid:durableId="1883595235">
    <w:abstractNumId w:val="15"/>
  </w:num>
  <w:num w:numId="12" w16cid:durableId="271784618">
    <w:abstractNumId w:val="0"/>
  </w:num>
  <w:num w:numId="13" w16cid:durableId="416681253">
    <w:abstractNumId w:val="9"/>
  </w:num>
  <w:num w:numId="14" w16cid:durableId="148984212">
    <w:abstractNumId w:val="4"/>
  </w:num>
  <w:num w:numId="15" w16cid:durableId="1653946824">
    <w:abstractNumId w:val="8"/>
  </w:num>
  <w:num w:numId="16" w16cid:durableId="1715231153">
    <w:abstractNumId w:val="14"/>
  </w:num>
  <w:num w:numId="17" w16cid:durableId="820583910">
    <w:abstractNumId w:val="22"/>
  </w:num>
  <w:num w:numId="18" w16cid:durableId="1208491533">
    <w:abstractNumId w:val="13"/>
  </w:num>
  <w:num w:numId="19" w16cid:durableId="832181729">
    <w:abstractNumId w:val="19"/>
  </w:num>
  <w:num w:numId="20" w16cid:durableId="416364258">
    <w:abstractNumId w:val="21"/>
  </w:num>
  <w:num w:numId="21" w16cid:durableId="853423600">
    <w:abstractNumId w:val="16"/>
  </w:num>
  <w:num w:numId="22" w16cid:durableId="2079087853">
    <w:abstractNumId w:val="10"/>
  </w:num>
  <w:num w:numId="23" w16cid:durableId="898630682">
    <w:abstractNumId w:val="2"/>
  </w:num>
  <w:num w:numId="24" w16cid:durableId="204487276">
    <w:abstractNumId w:val="17"/>
  </w:num>
  <w:num w:numId="25" w16cid:durableId="600726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14208"/>
    <w:rsid w:val="00025B36"/>
    <w:rsid w:val="000313B4"/>
    <w:rsid w:val="00036ED6"/>
    <w:rsid w:val="00040A28"/>
    <w:rsid w:val="00044B41"/>
    <w:rsid w:val="00056588"/>
    <w:rsid w:val="000744EF"/>
    <w:rsid w:val="00077844"/>
    <w:rsid w:val="00086F0B"/>
    <w:rsid w:val="0009312B"/>
    <w:rsid w:val="000940BF"/>
    <w:rsid w:val="00094B81"/>
    <w:rsid w:val="000967AE"/>
    <w:rsid w:val="000975AA"/>
    <w:rsid w:val="000A017A"/>
    <w:rsid w:val="000A3736"/>
    <w:rsid w:val="000A39B5"/>
    <w:rsid w:val="000C159F"/>
    <w:rsid w:val="000D0F5D"/>
    <w:rsid w:val="000D7934"/>
    <w:rsid w:val="000F574F"/>
    <w:rsid w:val="000F660F"/>
    <w:rsid w:val="00101FB1"/>
    <w:rsid w:val="0010249A"/>
    <w:rsid w:val="00110B6A"/>
    <w:rsid w:val="00114181"/>
    <w:rsid w:val="00115196"/>
    <w:rsid w:val="0012473C"/>
    <w:rsid w:val="001279A7"/>
    <w:rsid w:val="00127CD7"/>
    <w:rsid w:val="00130B86"/>
    <w:rsid w:val="0013132F"/>
    <w:rsid w:val="0013528C"/>
    <w:rsid w:val="00140BDD"/>
    <w:rsid w:val="00165D28"/>
    <w:rsid w:val="00171DF6"/>
    <w:rsid w:val="00175CD8"/>
    <w:rsid w:val="00181D49"/>
    <w:rsid w:val="0018702F"/>
    <w:rsid w:val="001877A1"/>
    <w:rsid w:val="00192B27"/>
    <w:rsid w:val="001C1C2E"/>
    <w:rsid w:val="001D2022"/>
    <w:rsid w:val="001E0D6E"/>
    <w:rsid w:val="001E2B68"/>
    <w:rsid w:val="0020369B"/>
    <w:rsid w:val="00206875"/>
    <w:rsid w:val="00207C4D"/>
    <w:rsid w:val="002111CA"/>
    <w:rsid w:val="002146F1"/>
    <w:rsid w:val="002218B2"/>
    <w:rsid w:val="002221F2"/>
    <w:rsid w:val="00226F39"/>
    <w:rsid w:val="00233E19"/>
    <w:rsid w:val="00241B60"/>
    <w:rsid w:val="00261492"/>
    <w:rsid w:val="0026248A"/>
    <w:rsid w:val="0027581E"/>
    <w:rsid w:val="0028057F"/>
    <w:rsid w:val="002834CD"/>
    <w:rsid w:val="0028770D"/>
    <w:rsid w:val="0029568D"/>
    <w:rsid w:val="002A0E97"/>
    <w:rsid w:val="002B0574"/>
    <w:rsid w:val="002B4418"/>
    <w:rsid w:val="002C1CED"/>
    <w:rsid w:val="002C39F7"/>
    <w:rsid w:val="002C5E29"/>
    <w:rsid w:val="002D7127"/>
    <w:rsid w:val="002E531A"/>
    <w:rsid w:val="002F0C1F"/>
    <w:rsid w:val="002F5390"/>
    <w:rsid w:val="002F58D6"/>
    <w:rsid w:val="003008D8"/>
    <w:rsid w:val="0030374A"/>
    <w:rsid w:val="00303959"/>
    <w:rsid w:val="0031178B"/>
    <w:rsid w:val="00311F6B"/>
    <w:rsid w:val="00312AC3"/>
    <w:rsid w:val="00313CFC"/>
    <w:rsid w:val="00314430"/>
    <w:rsid w:val="00322E07"/>
    <w:rsid w:val="00324B33"/>
    <w:rsid w:val="00335E84"/>
    <w:rsid w:val="00346EC2"/>
    <w:rsid w:val="003538F5"/>
    <w:rsid w:val="0035444D"/>
    <w:rsid w:val="003611D0"/>
    <w:rsid w:val="00367DB5"/>
    <w:rsid w:val="00387C53"/>
    <w:rsid w:val="00390AA8"/>
    <w:rsid w:val="00395140"/>
    <w:rsid w:val="003A2FA9"/>
    <w:rsid w:val="003A3DC4"/>
    <w:rsid w:val="003B149C"/>
    <w:rsid w:val="003C0DA0"/>
    <w:rsid w:val="003D1AD0"/>
    <w:rsid w:val="003D296A"/>
    <w:rsid w:val="003D71A1"/>
    <w:rsid w:val="003E7027"/>
    <w:rsid w:val="003F0542"/>
    <w:rsid w:val="003F49BF"/>
    <w:rsid w:val="003F5EDE"/>
    <w:rsid w:val="00403246"/>
    <w:rsid w:val="004057EA"/>
    <w:rsid w:val="0040683D"/>
    <w:rsid w:val="004120A2"/>
    <w:rsid w:val="0041688F"/>
    <w:rsid w:val="00421223"/>
    <w:rsid w:val="0042376F"/>
    <w:rsid w:val="004246B8"/>
    <w:rsid w:val="00425447"/>
    <w:rsid w:val="00433318"/>
    <w:rsid w:val="0043669C"/>
    <w:rsid w:val="00443172"/>
    <w:rsid w:val="0045621C"/>
    <w:rsid w:val="00457D6C"/>
    <w:rsid w:val="00462A65"/>
    <w:rsid w:val="0046627A"/>
    <w:rsid w:val="00467117"/>
    <w:rsid w:val="004706E9"/>
    <w:rsid w:val="00476155"/>
    <w:rsid w:val="00477C4E"/>
    <w:rsid w:val="00491A55"/>
    <w:rsid w:val="00493D85"/>
    <w:rsid w:val="004A37F1"/>
    <w:rsid w:val="004B3081"/>
    <w:rsid w:val="004B38BE"/>
    <w:rsid w:val="004B3CCC"/>
    <w:rsid w:val="004B5242"/>
    <w:rsid w:val="004D2B8F"/>
    <w:rsid w:val="004E4A96"/>
    <w:rsid w:val="004E6610"/>
    <w:rsid w:val="00502A9E"/>
    <w:rsid w:val="00516C01"/>
    <w:rsid w:val="00521B69"/>
    <w:rsid w:val="005274B7"/>
    <w:rsid w:val="00530114"/>
    <w:rsid w:val="005347EE"/>
    <w:rsid w:val="00535DFE"/>
    <w:rsid w:val="005411D5"/>
    <w:rsid w:val="0054339B"/>
    <w:rsid w:val="005518E8"/>
    <w:rsid w:val="00552C76"/>
    <w:rsid w:val="005553F6"/>
    <w:rsid w:val="005612CB"/>
    <w:rsid w:val="00562F42"/>
    <w:rsid w:val="005650E7"/>
    <w:rsid w:val="0056766D"/>
    <w:rsid w:val="00575119"/>
    <w:rsid w:val="00575190"/>
    <w:rsid w:val="0058575E"/>
    <w:rsid w:val="00587225"/>
    <w:rsid w:val="0058731A"/>
    <w:rsid w:val="0058783C"/>
    <w:rsid w:val="005911AE"/>
    <w:rsid w:val="0059313A"/>
    <w:rsid w:val="00593419"/>
    <w:rsid w:val="005A3AF6"/>
    <w:rsid w:val="005B023F"/>
    <w:rsid w:val="005B2A92"/>
    <w:rsid w:val="005B6023"/>
    <w:rsid w:val="005C18D4"/>
    <w:rsid w:val="005C57B1"/>
    <w:rsid w:val="005D2089"/>
    <w:rsid w:val="005D7514"/>
    <w:rsid w:val="005E1A7B"/>
    <w:rsid w:val="005E3809"/>
    <w:rsid w:val="005E60CB"/>
    <w:rsid w:val="005F44B5"/>
    <w:rsid w:val="006016DD"/>
    <w:rsid w:val="0060758B"/>
    <w:rsid w:val="006149E1"/>
    <w:rsid w:val="006241B7"/>
    <w:rsid w:val="006268E8"/>
    <w:rsid w:val="006277A1"/>
    <w:rsid w:val="00630769"/>
    <w:rsid w:val="00633DF5"/>
    <w:rsid w:val="006351D9"/>
    <w:rsid w:val="00637130"/>
    <w:rsid w:val="006379D5"/>
    <w:rsid w:val="00637F0E"/>
    <w:rsid w:val="006423F2"/>
    <w:rsid w:val="00662067"/>
    <w:rsid w:val="00690E20"/>
    <w:rsid w:val="00692CCD"/>
    <w:rsid w:val="0069688F"/>
    <w:rsid w:val="00696B95"/>
    <w:rsid w:val="006A01CF"/>
    <w:rsid w:val="006A1F0B"/>
    <w:rsid w:val="006A277A"/>
    <w:rsid w:val="006C7D36"/>
    <w:rsid w:val="006D03D9"/>
    <w:rsid w:val="006D0F9C"/>
    <w:rsid w:val="006D6B44"/>
    <w:rsid w:val="006E0217"/>
    <w:rsid w:val="006F0829"/>
    <w:rsid w:val="00701062"/>
    <w:rsid w:val="007072A1"/>
    <w:rsid w:val="00710333"/>
    <w:rsid w:val="00710BC5"/>
    <w:rsid w:val="00711616"/>
    <w:rsid w:val="0071535A"/>
    <w:rsid w:val="0072003B"/>
    <w:rsid w:val="007310B7"/>
    <w:rsid w:val="007357B9"/>
    <w:rsid w:val="00740FEC"/>
    <w:rsid w:val="007452E8"/>
    <w:rsid w:val="00746990"/>
    <w:rsid w:val="00750D70"/>
    <w:rsid w:val="007568F0"/>
    <w:rsid w:val="00766793"/>
    <w:rsid w:val="00766872"/>
    <w:rsid w:val="00776CAF"/>
    <w:rsid w:val="0077700A"/>
    <w:rsid w:val="00793272"/>
    <w:rsid w:val="00794A75"/>
    <w:rsid w:val="00794F89"/>
    <w:rsid w:val="007A1720"/>
    <w:rsid w:val="007A176E"/>
    <w:rsid w:val="007A2E0F"/>
    <w:rsid w:val="007B04DE"/>
    <w:rsid w:val="007C1106"/>
    <w:rsid w:val="007C2A4C"/>
    <w:rsid w:val="007C57BC"/>
    <w:rsid w:val="007D37BB"/>
    <w:rsid w:val="007D4138"/>
    <w:rsid w:val="007D52EC"/>
    <w:rsid w:val="007E1321"/>
    <w:rsid w:val="007E6328"/>
    <w:rsid w:val="007F0A77"/>
    <w:rsid w:val="007F2CAB"/>
    <w:rsid w:val="007F4F08"/>
    <w:rsid w:val="007F50D3"/>
    <w:rsid w:val="007F7786"/>
    <w:rsid w:val="00810009"/>
    <w:rsid w:val="008329DB"/>
    <w:rsid w:val="0083428B"/>
    <w:rsid w:val="008361C5"/>
    <w:rsid w:val="0083628F"/>
    <w:rsid w:val="00837AB9"/>
    <w:rsid w:val="00847FD5"/>
    <w:rsid w:val="00850637"/>
    <w:rsid w:val="00854D98"/>
    <w:rsid w:val="00860B29"/>
    <w:rsid w:val="00871DD9"/>
    <w:rsid w:val="008777A4"/>
    <w:rsid w:val="008804CF"/>
    <w:rsid w:val="008831E9"/>
    <w:rsid w:val="008963E5"/>
    <w:rsid w:val="008964B3"/>
    <w:rsid w:val="0089789E"/>
    <w:rsid w:val="008B7014"/>
    <w:rsid w:val="008C18F4"/>
    <w:rsid w:val="008C49C6"/>
    <w:rsid w:val="008C754C"/>
    <w:rsid w:val="008D1D3C"/>
    <w:rsid w:val="008D2E10"/>
    <w:rsid w:val="008D6A54"/>
    <w:rsid w:val="009003CC"/>
    <w:rsid w:val="009023F2"/>
    <w:rsid w:val="0090605E"/>
    <w:rsid w:val="009108CE"/>
    <w:rsid w:val="009113C0"/>
    <w:rsid w:val="00915A9F"/>
    <w:rsid w:val="00930D58"/>
    <w:rsid w:val="0093235B"/>
    <w:rsid w:val="00932FB1"/>
    <w:rsid w:val="009338F1"/>
    <w:rsid w:val="00944937"/>
    <w:rsid w:val="00966EF1"/>
    <w:rsid w:val="0098350E"/>
    <w:rsid w:val="00985CAF"/>
    <w:rsid w:val="00987AFE"/>
    <w:rsid w:val="00995B92"/>
    <w:rsid w:val="00996FA5"/>
    <w:rsid w:val="009B47EE"/>
    <w:rsid w:val="009C1F27"/>
    <w:rsid w:val="009C23D6"/>
    <w:rsid w:val="009C6B5F"/>
    <w:rsid w:val="009D382A"/>
    <w:rsid w:val="009E05F8"/>
    <w:rsid w:val="009E6F8C"/>
    <w:rsid w:val="009F43AB"/>
    <w:rsid w:val="009F5459"/>
    <w:rsid w:val="00A01C56"/>
    <w:rsid w:val="00A042D1"/>
    <w:rsid w:val="00A1119D"/>
    <w:rsid w:val="00A122B4"/>
    <w:rsid w:val="00A24AFE"/>
    <w:rsid w:val="00A30E0E"/>
    <w:rsid w:val="00A358E7"/>
    <w:rsid w:val="00A4312F"/>
    <w:rsid w:val="00A51A2D"/>
    <w:rsid w:val="00A63D9B"/>
    <w:rsid w:val="00A64541"/>
    <w:rsid w:val="00A64FED"/>
    <w:rsid w:val="00A669A0"/>
    <w:rsid w:val="00A74E24"/>
    <w:rsid w:val="00A83354"/>
    <w:rsid w:val="00A864DA"/>
    <w:rsid w:val="00A93DC6"/>
    <w:rsid w:val="00A9445E"/>
    <w:rsid w:val="00AB5D75"/>
    <w:rsid w:val="00AB7CBF"/>
    <w:rsid w:val="00AC2B59"/>
    <w:rsid w:val="00AC42DE"/>
    <w:rsid w:val="00AC6270"/>
    <w:rsid w:val="00AC7FAD"/>
    <w:rsid w:val="00AE1947"/>
    <w:rsid w:val="00AF13B1"/>
    <w:rsid w:val="00B03573"/>
    <w:rsid w:val="00B044C4"/>
    <w:rsid w:val="00B057E4"/>
    <w:rsid w:val="00B07BB2"/>
    <w:rsid w:val="00B15E07"/>
    <w:rsid w:val="00B26CD7"/>
    <w:rsid w:val="00B341E0"/>
    <w:rsid w:val="00B46316"/>
    <w:rsid w:val="00B46BC0"/>
    <w:rsid w:val="00B5286A"/>
    <w:rsid w:val="00B55681"/>
    <w:rsid w:val="00B60A01"/>
    <w:rsid w:val="00B64BDB"/>
    <w:rsid w:val="00B7117A"/>
    <w:rsid w:val="00B84B71"/>
    <w:rsid w:val="00B95BB5"/>
    <w:rsid w:val="00B967FF"/>
    <w:rsid w:val="00B97F02"/>
    <w:rsid w:val="00BA7093"/>
    <w:rsid w:val="00BA7F7D"/>
    <w:rsid w:val="00BB1A18"/>
    <w:rsid w:val="00BB1C14"/>
    <w:rsid w:val="00BB6BC3"/>
    <w:rsid w:val="00BC1245"/>
    <w:rsid w:val="00BD07DF"/>
    <w:rsid w:val="00BD1F10"/>
    <w:rsid w:val="00BD5DBD"/>
    <w:rsid w:val="00BE1E0A"/>
    <w:rsid w:val="00BE2E66"/>
    <w:rsid w:val="00BE34C6"/>
    <w:rsid w:val="00BF4638"/>
    <w:rsid w:val="00BF7507"/>
    <w:rsid w:val="00BF7F62"/>
    <w:rsid w:val="00C030A2"/>
    <w:rsid w:val="00C067BA"/>
    <w:rsid w:val="00C07551"/>
    <w:rsid w:val="00C077B1"/>
    <w:rsid w:val="00C22214"/>
    <w:rsid w:val="00C31B39"/>
    <w:rsid w:val="00C407AB"/>
    <w:rsid w:val="00C44E8F"/>
    <w:rsid w:val="00C45A69"/>
    <w:rsid w:val="00C570FF"/>
    <w:rsid w:val="00C652EF"/>
    <w:rsid w:val="00C6574E"/>
    <w:rsid w:val="00C70CB2"/>
    <w:rsid w:val="00C816C6"/>
    <w:rsid w:val="00C82A7C"/>
    <w:rsid w:val="00C9117C"/>
    <w:rsid w:val="00C93605"/>
    <w:rsid w:val="00C95D33"/>
    <w:rsid w:val="00C9797E"/>
    <w:rsid w:val="00CA1A40"/>
    <w:rsid w:val="00CA4B5F"/>
    <w:rsid w:val="00CB0550"/>
    <w:rsid w:val="00CC0055"/>
    <w:rsid w:val="00CC47D0"/>
    <w:rsid w:val="00CC68D1"/>
    <w:rsid w:val="00CD146F"/>
    <w:rsid w:val="00CD41EA"/>
    <w:rsid w:val="00CE5AD1"/>
    <w:rsid w:val="00CE753F"/>
    <w:rsid w:val="00CF2C2A"/>
    <w:rsid w:val="00D013F1"/>
    <w:rsid w:val="00D01DDB"/>
    <w:rsid w:val="00D078BE"/>
    <w:rsid w:val="00D13F8A"/>
    <w:rsid w:val="00D17A75"/>
    <w:rsid w:val="00D215FB"/>
    <w:rsid w:val="00D22978"/>
    <w:rsid w:val="00D23193"/>
    <w:rsid w:val="00D27B84"/>
    <w:rsid w:val="00D335E6"/>
    <w:rsid w:val="00D33A91"/>
    <w:rsid w:val="00D45BCB"/>
    <w:rsid w:val="00D51210"/>
    <w:rsid w:val="00D62877"/>
    <w:rsid w:val="00D63760"/>
    <w:rsid w:val="00D67365"/>
    <w:rsid w:val="00D70349"/>
    <w:rsid w:val="00D729EA"/>
    <w:rsid w:val="00D749BC"/>
    <w:rsid w:val="00D7515D"/>
    <w:rsid w:val="00D85C67"/>
    <w:rsid w:val="00D902D0"/>
    <w:rsid w:val="00D918D5"/>
    <w:rsid w:val="00D94C8E"/>
    <w:rsid w:val="00D97B4D"/>
    <w:rsid w:val="00D97DBC"/>
    <w:rsid w:val="00DA1BFB"/>
    <w:rsid w:val="00DA377E"/>
    <w:rsid w:val="00DA4056"/>
    <w:rsid w:val="00DB192C"/>
    <w:rsid w:val="00DB1BC5"/>
    <w:rsid w:val="00DB1CF3"/>
    <w:rsid w:val="00DB40E2"/>
    <w:rsid w:val="00DB6C49"/>
    <w:rsid w:val="00DC3EB7"/>
    <w:rsid w:val="00DC45BC"/>
    <w:rsid w:val="00DC7044"/>
    <w:rsid w:val="00DD6FD4"/>
    <w:rsid w:val="00DD74DD"/>
    <w:rsid w:val="00DE05E9"/>
    <w:rsid w:val="00DF30B5"/>
    <w:rsid w:val="00DF515D"/>
    <w:rsid w:val="00DF5BFE"/>
    <w:rsid w:val="00DF6619"/>
    <w:rsid w:val="00E018E9"/>
    <w:rsid w:val="00E15B3B"/>
    <w:rsid w:val="00E173D8"/>
    <w:rsid w:val="00E2240E"/>
    <w:rsid w:val="00E25578"/>
    <w:rsid w:val="00E279E1"/>
    <w:rsid w:val="00E3357E"/>
    <w:rsid w:val="00E40255"/>
    <w:rsid w:val="00E4337B"/>
    <w:rsid w:val="00E47E0C"/>
    <w:rsid w:val="00E51813"/>
    <w:rsid w:val="00E53D3F"/>
    <w:rsid w:val="00E545F9"/>
    <w:rsid w:val="00E5579B"/>
    <w:rsid w:val="00E630D0"/>
    <w:rsid w:val="00E76015"/>
    <w:rsid w:val="00E76304"/>
    <w:rsid w:val="00E81E6B"/>
    <w:rsid w:val="00E81EA9"/>
    <w:rsid w:val="00E86F41"/>
    <w:rsid w:val="00E86F89"/>
    <w:rsid w:val="00E871B6"/>
    <w:rsid w:val="00E90DF4"/>
    <w:rsid w:val="00EA2F6C"/>
    <w:rsid w:val="00EA6882"/>
    <w:rsid w:val="00EB3AD4"/>
    <w:rsid w:val="00EC002F"/>
    <w:rsid w:val="00EC3741"/>
    <w:rsid w:val="00EC7559"/>
    <w:rsid w:val="00EF20DD"/>
    <w:rsid w:val="00EF3C45"/>
    <w:rsid w:val="00F02AEC"/>
    <w:rsid w:val="00F03356"/>
    <w:rsid w:val="00F041C3"/>
    <w:rsid w:val="00F06EB3"/>
    <w:rsid w:val="00F15723"/>
    <w:rsid w:val="00F157FC"/>
    <w:rsid w:val="00F163FA"/>
    <w:rsid w:val="00F23B78"/>
    <w:rsid w:val="00F24B44"/>
    <w:rsid w:val="00F30AF3"/>
    <w:rsid w:val="00F4655A"/>
    <w:rsid w:val="00F62F91"/>
    <w:rsid w:val="00F657B4"/>
    <w:rsid w:val="00F664CD"/>
    <w:rsid w:val="00F70A52"/>
    <w:rsid w:val="00F865A7"/>
    <w:rsid w:val="00F9222A"/>
    <w:rsid w:val="00FA0754"/>
    <w:rsid w:val="00FA1BC9"/>
    <w:rsid w:val="00FA49C3"/>
    <w:rsid w:val="00FB07AB"/>
    <w:rsid w:val="00FB236E"/>
    <w:rsid w:val="00FC6F56"/>
    <w:rsid w:val="00FC78A7"/>
    <w:rsid w:val="00FD4D4C"/>
    <w:rsid w:val="00FE087C"/>
    <w:rsid w:val="00FF356A"/>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751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uiPriority w:val="34"/>
    <w:qFormat/>
    <w:rsid w:val="00421223"/>
    <w:pPr>
      <w:adjustRightInd w:val="0"/>
      <w:snapToGrid w:val="0"/>
      <w:spacing w:before="180" w:after="180" w:line="240" w:lineRule="atLeast"/>
      <w:ind w:left="720"/>
      <w:contextualSpacing/>
    </w:pPr>
    <w:rPr>
      <w:rFonts w:eastAsia="MS Mincho" w:cs="Times New Roman"/>
      <w:lang w:eastAsia="ja-JP"/>
    </w:rPr>
  </w:style>
  <w:style w:type="paragraph" w:customStyle="1" w:styleId="Default">
    <w:name w:val="Default"/>
    <w:rsid w:val="004212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D7515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01843709">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hyperlink" Target="https://www.tga.gov.au/publication/risk-management-plans-medicines-and-biological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ga.gov.au/picmi-search-facility" TargetMode="External"/><Relationship Id="rId34" Type="http://schemas.openxmlformats.org/officeDocument/2006/relationships/hyperlink" Target="mailto:info@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 TargetMode="External"/><Relationship Id="rId25" Type="http://schemas.openxmlformats.org/officeDocument/2006/relationships/hyperlink" Target="https://www.tga.gov.au/resources/resource/guidance/risk-management-plans-medicines-and-biologicals/when-rmp-required"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s/australian-register-therapeutic-goods-artg" TargetMode="External"/><Relationship Id="rId20" Type="http://schemas.openxmlformats.org/officeDocument/2006/relationships/hyperlink" Target="https://www.tga.gov.au/products/australian-register-therapeutic-goods-artg/consumer-medicines-information-cmi" TargetMode="External"/><Relationship Id="rId29" Type="http://schemas.openxmlformats.org/officeDocument/2006/relationships/hyperlink" Target="https://www.tga.gov.au/resources/resource/guidance/risk-management-plans-medicines-and-biologicals/australia-specific-annex-eu-r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4.png"/><Relationship Id="rId28" Type="http://schemas.openxmlformats.org/officeDocument/2006/relationships/hyperlink" Target="https://www.tga.gov.au/resources/resource/guidance/risk-management-plans-medicines-and-biologicals/australia-specific-annex-eu-rmp"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tga.gov.au/products/australian-register-therapeutic-goods-artg/product-information-one" TargetMode="External"/><Relationship Id="rId31" Type="http://schemas.openxmlformats.org/officeDocument/2006/relationships/hyperlink" Target="https://www.tga.gov.au/picmi-search-facili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hyperlink" Target="https://www.tga.gov.au/tgas-risk-management-approach" TargetMode="External"/><Relationship Id="rId30" Type="http://schemas.openxmlformats.org/officeDocument/2006/relationships/hyperlink" Target="https://www.tga.gov.au/committee/advisory-committee-medicines-acm" TargetMode="External"/><Relationship Id="rId35"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cancer/cancer-in-australia-2019/contents/table%20-of-contents" TargetMode="External"/><Relationship Id="rId7" Type="http://schemas.openxmlformats.org/officeDocument/2006/relationships/hyperlink" Target="https://www.aihw.gov.au/reports/cancer/cancer-in-australia-2021/summary" TargetMode="External"/><Relationship Id="rId2" Type="http://schemas.openxmlformats.org/officeDocument/2006/relationships/hyperlink" Target="https://www.canceraustralia.gov.au/cancer-types/liver-cancer/statistics" TargetMode="External"/><Relationship Id="rId1" Type="http://schemas.openxmlformats.org/officeDocument/2006/relationships/hyperlink" Target="http://gco.iarc.fr/today/data/factsheets/cancers/11-Liver-fact-sheet.pdf" TargetMode="External"/><Relationship Id="rId6" Type="http://schemas.openxmlformats.org/officeDocument/2006/relationships/hyperlink" Target="https://www.nccn.org/professionals/physician_gls/pdf/hepatobiliary.pdf" TargetMode="External"/><Relationship Id="rId5" Type="http://schemas.openxmlformats.org/officeDocument/2006/relationships/hyperlink" Target="https://www.gesa.org.au/resources/hepatocellular-carcinoma-hcc-management-consensus/" TargetMode="External"/><Relationship Id="rId4" Type="http://schemas.openxmlformats.org/officeDocument/2006/relationships/hyperlink" Target="https://www.cancer.org.au/cancer-information/types-of-cancer/breast-cance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10492</Words>
  <Characters>61594</Characters>
  <Application>Microsoft Office Word</Application>
  <DocSecurity>0</DocSecurity>
  <Lines>2123</Lines>
  <Paragraphs>1441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70645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Imfinzi</dc:title>
  <dc:subject>Prescription medicines</dc:subject>
  <dc:creator>Therapeutic Goods Administration</dc:creator>
  <cp:keywords/>
  <dc:description/>
  <cp:lastModifiedBy>LACK, Janet</cp:lastModifiedBy>
  <cp:revision>3</cp:revision>
  <dcterms:created xsi:type="dcterms:W3CDTF">2023-12-20T03:21:00Z</dcterms:created>
  <dcterms:modified xsi:type="dcterms:W3CDTF">2023-12-20T03:23:00Z</dcterms:modified>
</cp:coreProperties>
</file>