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F875" w14:textId="77777777" w:rsidR="00375DF3" w:rsidRPr="00377337" w:rsidRDefault="00375DF3" w:rsidP="003B7CFF">
      <w:pPr>
        <w:pStyle w:val="Paragraph"/>
      </w:pPr>
      <w:r w:rsidRPr="00377337">
        <w:rPr>
          <w:noProof/>
        </w:rPr>
        <mc:AlternateContent>
          <mc:Choice Requires="wps">
            <w:drawing>
              <wp:inline distT="0" distB="0" distL="0" distR="0" wp14:anchorId="0D252253" wp14:editId="64A27FB9">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CB693" w14:textId="77777777" w:rsidR="00667C03" w:rsidRPr="00BE2A26" w:rsidRDefault="00667C03" w:rsidP="003B7CFF">
                            <w:pPr>
                              <w:pStyle w:val="Paragraph"/>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0D252253"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4E5CB693" w14:textId="77777777" w:rsidR="00667C03" w:rsidRPr="00BE2A26" w:rsidRDefault="00667C03" w:rsidP="003B7CFF">
                      <w:pPr>
                        <w:pStyle w:val="Paragraph"/>
                      </w:pPr>
                      <w:r w:rsidRPr="00BE2A26">
                        <w:rPr>
                          <w:rFonts w:ascii="SimSun" w:eastAsia="SimSun" w:hAnsi="SimSun" w:cs="Arial" w:hint="eastAsia"/>
                          <w:sz w:val="40"/>
                        </w:rPr>
                        <w:t>▼</w:t>
                      </w:r>
                    </w:p>
                  </w:txbxContent>
                </v:textbox>
                <w10:anchorlock/>
              </v:shape>
            </w:pict>
          </mc:Fallback>
        </mc:AlternateContent>
      </w:r>
      <w:r w:rsidR="001A3992" w:rsidRPr="00377337">
        <w:t>This medicinal product is subject to additional monitoring in Australia. This will allow quick identification of new safety information. Healthcare professionals are asked to report any suspected adverse events at</w:t>
      </w:r>
      <w:r w:rsidR="008958C0">
        <w:t xml:space="preserve"> www.tga.gov.au/reporting-problems.</w:t>
      </w:r>
    </w:p>
    <w:p w14:paraId="77D06942" w14:textId="1748B9D4" w:rsidR="00ED27EC" w:rsidRDefault="00560744" w:rsidP="00ED27EC">
      <w:pPr>
        <w:pStyle w:val="Heading1Unnumbered"/>
        <w:rPr>
          <w:rFonts w:eastAsia="SimSun"/>
        </w:rPr>
      </w:pPr>
      <w:r>
        <w:rPr>
          <w:rFonts w:eastAsia="SimSun"/>
        </w:rPr>
        <w:t>AUSTRALIAN</w:t>
      </w:r>
      <w:r w:rsidR="006018AE" w:rsidRPr="00377337">
        <w:rPr>
          <w:rFonts w:eastAsia="SimSun"/>
        </w:rPr>
        <w:t xml:space="preserve"> P</w:t>
      </w:r>
      <w:r w:rsidR="00A32E10">
        <w:rPr>
          <w:rFonts w:eastAsia="SimSun"/>
        </w:rPr>
        <w:t xml:space="preserve">RODUCT </w:t>
      </w:r>
      <w:r w:rsidR="006018AE" w:rsidRPr="00377337">
        <w:rPr>
          <w:rFonts w:eastAsia="SimSun"/>
        </w:rPr>
        <w:t>I</w:t>
      </w:r>
      <w:r w:rsidR="00A32E10">
        <w:rPr>
          <w:rFonts w:eastAsia="SimSun"/>
        </w:rPr>
        <w:t>NFORMATION</w:t>
      </w:r>
    </w:p>
    <w:p w14:paraId="1162F121" w14:textId="55B091C0" w:rsidR="006018AE" w:rsidRPr="00377337" w:rsidRDefault="00AE60EA" w:rsidP="00ED27EC">
      <w:pPr>
        <w:pStyle w:val="Heading1Unnumbered"/>
        <w:rPr>
          <w:rFonts w:eastAsia="SimSun"/>
        </w:rPr>
      </w:pPr>
      <w:r>
        <w:rPr>
          <w:rFonts w:eastAsia="SimSun"/>
          <w:caps w:val="0"/>
        </w:rPr>
        <w:t>ANDEXXA</w:t>
      </w:r>
      <w:r w:rsidR="008A35FB" w:rsidRPr="008A35FB">
        <w:rPr>
          <w:rFonts w:eastAsia="SimSun"/>
          <w:vertAlign w:val="superscript"/>
        </w:rPr>
        <w:t>®</w:t>
      </w:r>
      <w:r w:rsidR="007646B0">
        <w:rPr>
          <w:rFonts w:eastAsia="SimSun"/>
        </w:rPr>
        <w:t xml:space="preserve"> </w:t>
      </w:r>
      <w:r w:rsidR="00A32E10">
        <w:rPr>
          <w:rFonts w:eastAsia="SimSun"/>
        </w:rPr>
        <w:t>(</w:t>
      </w:r>
      <w:r>
        <w:rPr>
          <w:rFonts w:eastAsia="SimSun"/>
          <w:caps w:val="0"/>
        </w:rPr>
        <w:t>andexanet alfa</w:t>
      </w:r>
      <w:r w:rsidR="00ED27EC">
        <w:rPr>
          <w:rFonts w:eastAsia="SimSun"/>
          <w:caps w:val="0"/>
        </w:rPr>
        <w:t xml:space="preserve">) </w:t>
      </w:r>
      <w:r>
        <w:rPr>
          <w:rFonts w:eastAsia="SimSun"/>
          <w:caps w:val="0"/>
        </w:rPr>
        <w:t xml:space="preserve">powder for </w:t>
      </w:r>
      <w:r w:rsidR="00971A5D">
        <w:rPr>
          <w:rFonts w:eastAsia="SimSun"/>
          <w:caps w:val="0"/>
        </w:rPr>
        <w:t>solution</w:t>
      </w:r>
      <w:r w:rsidR="00CD4CF6">
        <w:rPr>
          <w:rFonts w:eastAsia="SimSun"/>
          <w:caps w:val="0"/>
        </w:rPr>
        <w:t xml:space="preserve"> for infusion</w:t>
      </w:r>
    </w:p>
    <w:p w14:paraId="1BC9450C" w14:textId="77777777" w:rsidR="001A3992" w:rsidRDefault="001A3992" w:rsidP="00EE3AC8">
      <w:pPr>
        <w:pStyle w:val="Heading1"/>
      </w:pPr>
      <w:r w:rsidRPr="00377337">
        <w:t>Name of the medicine</w:t>
      </w:r>
    </w:p>
    <w:p w14:paraId="6E8AE235" w14:textId="194B2AE7" w:rsidR="0080644B" w:rsidRPr="0080644B" w:rsidRDefault="00AE60EA" w:rsidP="0080644B">
      <w:pPr>
        <w:pStyle w:val="Paragraph"/>
      </w:pPr>
      <w:r>
        <w:t>Andexanet alfa.</w:t>
      </w:r>
    </w:p>
    <w:p w14:paraId="6115065C" w14:textId="77777777" w:rsidR="001A3992" w:rsidRDefault="001A3992" w:rsidP="00EE3AC8">
      <w:pPr>
        <w:pStyle w:val="Heading1"/>
      </w:pPr>
      <w:bookmarkStart w:id="0" w:name="_Ref505770391"/>
      <w:r w:rsidRPr="00377337">
        <w:t>Qualitative and quantitative composition</w:t>
      </w:r>
      <w:bookmarkEnd w:id="0"/>
    </w:p>
    <w:p w14:paraId="5B4B22F8" w14:textId="1D34A41F" w:rsidR="000265A7" w:rsidRPr="00F13B43" w:rsidRDefault="000265A7" w:rsidP="00F13B43">
      <w:pPr>
        <w:pStyle w:val="Paragraph"/>
      </w:pPr>
      <w:r w:rsidRPr="00F13B43">
        <w:t xml:space="preserve">Each </w:t>
      </w:r>
      <w:r w:rsidR="00B221C1" w:rsidRPr="00F13B43">
        <w:t xml:space="preserve">20 mL </w:t>
      </w:r>
      <w:r w:rsidRPr="00F13B43">
        <w:t>vial contains 200 mg of andexanet alfa.</w:t>
      </w:r>
    </w:p>
    <w:p w14:paraId="6EB436AC" w14:textId="604FE644" w:rsidR="000265A7" w:rsidRDefault="000265A7" w:rsidP="00F13B43">
      <w:pPr>
        <w:pStyle w:val="Paragraph"/>
      </w:pPr>
      <w:r w:rsidRPr="00F13B43">
        <w:t xml:space="preserve">After reconstitution, each </w:t>
      </w:r>
      <w:r w:rsidR="00E46B49" w:rsidRPr="00F13B43">
        <w:t xml:space="preserve">1 </w:t>
      </w:r>
      <w:r w:rsidRPr="00F13B43">
        <w:t>mL of solution contains 10 mg of andexanet alfa.</w:t>
      </w:r>
    </w:p>
    <w:p w14:paraId="68F48EBA" w14:textId="2E1D6CAB" w:rsidR="00ED27EC" w:rsidRPr="00F13B43" w:rsidRDefault="00ED27EC" w:rsidP="00F13B43">
      <w:pPr>
        <w:pStyle w:val="Paragraph"/>
        <w:rPr>
          <w:rFonts w:eastAsia="SimSun"/>
        </w:rPr>
      </w:pPr>
      <w:bookmarkStart w:id="1" w:name="_Hlk505357644"/>
      <w:r w:rsidRPr="00F13B43">
        <w:rPr>
          <w:rFonts w:eastAsia="SimSun"/>
        </w:rPr>
        <w:t xml:space="preserve">For the full list of excipients, see Section </w:t>
      </w:r>
      <w:r w:rsidRPr="00F13B43">
        <w:rPr>
          <w:rFonts w:eastAsia="SimSun"/>
        </w:rPr>
        <w:fldChar w:fldCharType="begin"/>
      </w:r>
      <w:r w:rsidRPr="00F13B43">
        <w:rPr>
          <w:rFonts w:eastAsia="SimSun"/>
        </w:rPr>
        <w:instrText xml:space="preserve"> REF _Ref505768678 \r \h </w:instrText>
      </w:r>
      <w:r w:rsidR="00986EEB" w:rsidRPr="00F13B43">
        <w:rPr>
          <w:rFonts w:eastAsia="SimSun"/>
        </w:rPr>
        <w:instrText xml:space="preserve"> \* MERGEFORMAT </w:instrText>
      </w:r>
      <w:r w:rsidRPr="00F13B43">
        <w:rPr>
          <w:rFonts w:eastAsia="SimSun"/>
        </w:rPr>
      </w:r>
      <w:r w:rsidRPr="00F13B43">
        <w:rPr>
          <w:rFonts w:eastAsia="SimSun"/>
        </w:rPr>
        <w:fldChar w:fldCharType="separate"/>
      </w:r>
      <w:r w:rsidR="00155CBB">
        <w:rPr>
          <w:rFonts w:eastAsia="SimSun"/>
        </w:rPr>
        <w:t>6.1</w:t>
      </w:r>
      <w:r w:rsidRPr="00F13B43">
        <w:rPr>
          <w:rFonts w:eastAsia="SimSun"/>
        </w:rPr>
        <w:fldChar w:fldCharType="end"/>
      </w:r>
      <w:r w:rsidR="007228AC" w:rsidRPr="00F13B43">
        <w:rPr>
          <w:rFonts w:eastAsia="SimSun"/>
        </w:rPr>
        <w:t xml:space="preserve"> </w:t>
      </w:r>
      <w:r w:rsidR="007228AC" w:rsidRPr="00F13B43">
        <w:rPr>
          <w:rFonts w:eastAsia="SimSun"/>
        </w:rPr>
        <w:fldChar w:fldCharType="begin"/>
      </w:r>
      <w:r w:rsidR="007228AC" w:rsidRPr="00F13B43">
        <w:rPr>
          <w:rFonts w:eastAsia="SimSun"/>
        </w:rPr>
        <w:instrText xml:space="preserve"> REF _Ref505768678 \h  \* MERGEFORMAT </w:instrText>
      </w:r>
      <w:r w:rsidR="007228AC" w:rsidRPr="00F13B43">
        <w:rPr>
          <w:rFonts w:eastAsia="SimSun"/>
        </w:rPr>
      </w:r>
      <w:r w:rsidR="007228AC" w:rsidRPr="00F13B43">
        <w:rPr>
          <w:rFonts w:eastAsia="SimSun"/>
        </w:rPr>
        <w:fldChar w:fldCharType="separate"/>
      </w:r>
      <w:r w:rsidR="00155CBB" w:rsidRPr="00377337">
        <w:t>List of excipients</w:t>
      </w:r>
      <w:r w:rsidR="007228AC" w:rsidRPr="00F13B43">
        <w:rPr>
          <w:rFonts w:eastAsia="SimSun"/>
        </w:rPr>
        <w:fldChar w:fldCharType="end"/>
      </w:r>
      <w:r w:rsidR="007228AC" w:rsidRPr="00F13B43">
        <w:rPr>
          <w:rFonts w:eastAsia="SimSun"/>
        </w:rPr>
        <w:t>.</w:t>
      </w:r>
    </w:p>
    <w:bookmarkEnd w:id="1"/>
    <w:p w14:paraId="0914654B" w14:textId="77777777" w:rsidR="001A3992" w:rsidRDefault="001A3992" w:rsidP="00EE3AC8">
      <w:pPr>
        <w:pStyle w:val="Heading1"/>
      </w:pPr>
      <w:r w:rsidRPr="00377337">
        <w:t>Pharmaceutical form</w:t>
      </w:r>
    </w:p>
    <w:p w14:paraId="26CBB73D" w14:textId="77777777" w:rsidR="00603C64" w:rsidRDefault="00603C64" w:rsidP="00F13B43">
      <w:pPr>
        <w:pStyle w:val="Paragraph"/>
      </w:pPr>
      <w:r>
        <w:t>Powder</w:t>
      </w:r>
      <w:r>
        <w:rPr>
          <w:spacing w:val="-2"/>
        </w:rPr>
        <w:t xml:space="preserve"> </w:t>
      </w:r>
      <w:r>
        <w:t>for</w:t>
      </w:r>
      <w:r>
        <w:rPr>
          <w:spacing w:val="-2"/>
        </w:rPr>
        <w:t xml:space="preserve"> </w:t>
      </w:r>
      <w:r>
        <w:t>solution for</w:t>
      </w:r>
      <w:r>
        <w:rPr>
          <w:spacing w:val="-2"/>
        </w:rPr>
        <w:t xml:space="preserve"> </w:t>
      </w:r>
      <w:r>
        <w:t>infusion.</w:t>
      </w:r>
    </w:p>
    <w:p w14:paraId="7041643E" w14:textId="1CB47B4E" w:rsidR="00603C64" w:rsidRDefault="00603C64" w:rsidP="00F13B43">
      <w:pPr>
        <w:pStyle w:val="Paragraph"/>
      </w:pPr>
      <w:r>
        <w:t>Sterile,</w:t>
      </w:r>
      <w:r>
        <w:rPr>
          <w:spacing w:val="-3"/>
        </w:rPr>
        <w:t xml:space="preserve"> </w:t>
      </w:r>
      <w:r>
        <w:t>white</w:t>
      </w:r>
      <w:r w:rsidR="00621A3F">
        <w:t xml:space="preserve"> </w:t>
      </w:r>
      <w:r>
        <w:t>to-off-white</w:t>
      </w:r>
      <w:r>
        <w:rPr>
          <w:spacing w:val="-3"/>
        </w:rPr>
        <w:t xml:space="preserve"> </w:t>
      </w:r>
      <w:r>
        <w:t>lyophilised</w:t>
      </w:r>
      <w:r>
        <w:rPr>
          <w:spacing w:val="-2"/>
        </w:rPr>
        <w:t xml:space="preserve"> </w:t>
      </w:r>
      <w:r>
        <w:t>powder.</w:t>
      </w:r>
    </w:p>
    <w:p w14:paraId="54C34FC8" w14:textId="596EA877" w:rsidR="0080644B" w:rsidRPr="0080644B" w:rsidRDefault="00603C64" w:rsidP="00F13B43">
      <w:pPr>
        <w:pStyle w:val="Paragraph"/>
      </w:pPr>
      <w:r>
        <w:t>After reconstitution of the lyophili</w:t>
      </w:r>
      <w:r w:rsidR="00B7629C">
        <w:t>s</w:t>
      </w:r>
      <w:r>
        <w:t xml:space="preserve">ed powder with sterile water for injection the product is </w:t>
      </w:r>
      <w:r w:rsidR="00B7629C">
        <w:t xml:space="preserve">a </w:t>
      </w:r>
      <w:r>
        <w:t>clear,</w:t>
      </w:r>
      <w:r>
        <w:rPr>
          <w:spacing w:val="1"/>
        </w:rPr>
        <w:t xml:space="preserve"> </w:t>
      </w:r>
      <w:r w:rsidR="000265A7">
        <w:t>colourless</w:t>
      </w:r>
      <w:r>
        <w:t xml:space="preserve"> to slightly yellow</w:t>
      </w:r>
      <w:r>
        <w:rPr>
          <w:spacing w:val="-1"/>
        </w:rPr>
        <w:t xml:space="preserve"> </w:t>
      </w:r>
      <w:r>
        <w:t>solution.</w:t>
      </w:r>
    </w:p>
    <w:p w14:paraId="63D896CD" w14:textId="77777777" w:rsidR="001A3992" w:rsidRPr="00377337" w:rsidRDefault="001A3992" w:rsidP="00EE3AC8">
      <w:pPr>
        <w:pStyle w:val="Heading1"/>
      </w:pPr>
      <w:r w:rsidRPr="00377337">
        <w:t>Clinical particulars</w:t>
      </w:r>
    </w:p>
    <w:p w14:paraId="071E2CF0" w14:textId="77777777" w:rsidR="001A3992" w:rsidRDefault="001A3992" w:rsidP="00EE3AC8">
      <w:pPr>
        <w:pStyle w:val="Heading2"/>
      </w:pPr>
      <w:r w:rsidRPr="00377337">
        <w:t>Therapeutic indi</w:t>
      </w:r>
      <w:r w:rsidR="003B7CFF" w:rsidRPr="00377337">
        <w:t>cations</w:t>
      </w:r>
    </w:p>
    <w:p w14:paraId="1E6B184C" w14:textId="59CEE348" w:rsidR="0093138B" w:rsidRDefault="00F13B43" w:rsidP="00712489">
      <w:pPr>
        <w:pStyle w:val="Paragraph"/>
      </w:pPr>
      <w:bookmarkStart w:id="2" w:name="_Hlk129806613"/>
      <w:r w:rsidRPr="00712489">
        <w:t xml:space="preserve">ANDEXXA </w:t>
      </w:r>
      <w:r w:rsidR="00511F00" w:rsidRPr="00712489">
        <w:t xml:space="preserve">(andexanet alfa) </w:t>
      </w:r>
      <w:r w:rsidR="00FE706A" w:rsidRPr="004656F0">
        <w:rPr>
          <w:lang w:val="en-AU"/>
        </w:rPr>
        <w:t xml:space="preserve">has </w:t>
      </w:r>
      <w:r w:rsidR="00FE706A" w:rsidRPr="004656F0">
        <w:rPr>
          <w:b/>
          <w:bCs/>
          <w:lang w:val="en-AU"/>
        </w:rPr>
        <w:t xml:space="preserve">provisional approval </w:t>
      </w:r>
      <w:r w:rsidR="00FE706A" w:rsidRPr="004656F0">
        <w:rPr>
          <w:lang w:val="en-AU"/>
        </w:rPr>
        <w:t>in Australia</w:t>
      </w:r>
      <w:r w:rsidR="00FE706A" w:rsidRPr="00712489">
        <w:t xml:space="preserve"> </w:t>
      </w:r>
      <w:r w:rsidRPr="00712489">
        <w:t xml:space="preserve">for </w:t>
      </w:r>
      <w:r w:rsidR="00511F00" w:rsidRPr="00712489">
        <w:t xml:space="preserve">adult </w:t>
      </w:r>
      <w:r w:rsidRPr="00712489">
        <w:t xml:space="preserve">patients treated with </w:t>
      </w:r>
      <w:r w:rsidR="00260225" w:rsidRPr="00712489">
        <w:t xml:space="preserve">a </w:t>
      </w:r>
      <w:r w:rsidR="00511F00" w:rsidRPr="00712489">
        <w:t xml:space="preserve">direct </w:t>
      </w:r>
      <w:r w:rsidRPr="00712489">
        <w:t xml:space="preserve">factor </w:t>
      </w:r>
      <w:proofErr w:type="spellStart"/>
      <w:r w:rsidRPr="00712489">
        <w:t>X</w:t>
      </w:r>
      <w:r w:rsidR="00260225" w:rsidRPr="00712489">
        <w:t>a</w:t>
      </w:r>
      <w:proofErr w:type="spellEnd"/>
      <w:r w:rsidRPr="00712489">
        <w:t xml:space="preserve"> (</w:t>
      </w:r>
      <w:proofErr w:type="spellStart"/>
      <w:r w:rsidRPr="00712489">
        <w:t>F</w:t>
      </w:r>
      <w:r w:rsidR="00260225" w:rsidRPr="00712489">
        <w:t>Xa</w:t>
      </w:r>
      <w:proofErr w:type="spellEnd"/>
      <w:r w:rsidRPr="00712489">
        <w:t xml:space="preserve">) inhibitor </w:t>
      </w:r>
      <w:r w:rsidR="00A46C75">
        <w:t>(</w:t>
      </w:r>
      <w:r w:rsidRPr="00712489">
        <w:t>apixaban or rivaroxaban</w:t>
      </w:r>
      <w:r w:rsidR="00A46C75">
        <w:t>)</w:t>
      </w:r>
      <w:r w:rsidRPr="00712489">
        <w:t xml:space="preserve"> when reversal of anticoagulation is needed due to life-threatening or uncontrolled bleeding.</w:t>
      </w:r>
    </w:p>
    <w:p w14:paraId="74EFB1DD" w14:textId="235155E4" w:rsidR="004656F0" w:rsidRDefault="00D057F0" w:rsidP="00712489">
      <w:pPr>
        <w:pStyle w:val="Paragraph"/>
        <w:rPr>
          <w:lang w:val="en-AU"/>
        </w:rPr>
      </w:pPr>
      <w:r w:rsidRPr="00D057F0">
        <w:rPr>
          <w:lang w:val="en-AU"/>
        </w:rPr>
        <w:t xml:space="preserve">The decision to approve this indication has been made </w:t>
      </w:r>
      <w:proofErr w:type="gramStart"/>
      <w:r w:rsidRPr="00D057F0">
        <w:rPr>
          <w:lang w:val="en-AU"/>
        </w:rPr>
        <w:t>on the basis of</w:t>
      </w:r>
      <w:proofErr w:type="gramEnd"/>
      <w:r w:rsidRPr="00D057F0">
        <w:rPr>
          <w:lang w:val="en-AU"/>
        </w:rPr>
        <w:t xml:space="preserve"> haemostatic efficacy</w:t>
      </w:r>
      <w:r w:rsidR="00BD6D7D">
        <w:rPr>
          <w:lang w:val="en-AU"/>
        </w:rPr>
        <w:t xml:space="preserve"> </w:t>
      </w:r>
      <w:r w:rsidR="00516C9D">
        <w:rPr>
          <w:lang w:val="en-AU"/>
        </w:rPr>
        <w:t xml:space="preserve">and </w:t>
      </w:r>
      <w:r w:rsidR="00BD6D7D">
        <w:rPr>
          <w:lang w:val="en-AU"/>
        </w:rPr>
        <w:t>reduction in anti-</w:t>
      </w:r>
      <w:proofErr w:type="spellStart"/>
      <w:r w:rsidR="007D20E7">
        <w:rPr>
          <w:lang w:val="en-AU"/>
        </w:rPr>
        <w:t>F</w:t>
      </w:r>
      <w:r w:rsidR="00BD6D7D">
        <w:rPr>
          <w:lang w:val="en-AU"/>
        </w:rPr>
        <w:t>Xa</w:t>
      </w:r>
      <w:proofErr w:type="spellEnd"/>
      <w:r w:rsidR="00BD6D7D">
        <w:rPr>
          <w:lang w:val="en-AU"/>
        </w:rPr>
        <w:t xml:space="preserve"> activity</w:t>
      </w:r>
      <w:r w:rsidRPr="00D057F0">
        <w:rPr>
          <w:lang w:val="en-AU"/>
        </w:rPr>
        <w:t xml:space="preserve">. Continued approval of this indication depends on verification and description of benefit in </w:t>
      </w:r>
      <w:r w:rsidR="00E42754">
        <w:rPr>
          <w:lang w:val="en-AU"/>
        </w:rPr>
        <w:t xml:space="preserve">a </w:t>
      </w:r>
      <w:r w:rsidRPr="00D057F0">
        <w:rPr>
          <w:lang w:val="en-AU"/>
        </w:rPr>
        <w:t>confirmatory trial.</w:t>
      </w:r>
      <w:r w:rsidR="00EB4625">
        <w:rPr>
          <w:lang w:val="en-AU"/>
        </w:rPr>
        <w:t xml:space="preserve"> </w:t>
      </w:r>
    </w:p>
    <w:p w14:paraId="1451BA9F" w14:textId="77777777" w:rsidR="003B7CFF" w:rsidRDefault="001A3992" w:rsidP="003B7CFF">
      <w:pPr>
        <w:pStyle w:val="Heading2"/>
      </w:pPr>
      <w:bookmarkStart w:id="3" w:name="_Ref139358670"/>
      <w:bookmarkEnd w:id="2"/>
      <w:r w:rsidRPr="00377337">
        <w:t>Dose and method of administration</w:t>
      </w:r>
      <w:bookmarkEnd w:id="3"/>
    </w:p>
    <w:p w14:paraId="4275C1B3" w14:textId="2C1BDD60" w:rsidR="00EC0140" w:rsidRDefault="00EC0140" w:rsidP="00EC0140">
      <w:pPr>
        <w:pStyle w:val="Heading3Unnumbered"/>
      </w:pPr>
      <w:r>
        <w:t>Dosage</w:t>
      </w:r>
    </w:p>
    <w:p w14:paraId="53D65A2A" w14:textId="72ED4C7F" w:rsidR="00F13B43" w:rsidRPr="00712489" w:rsidRDefault="00F13B43" w:rsidP="00712489">
      <w:pPr>
        <w:pStyle w:val="Paragraph"/>
      </w:pPr>
      <w:r w:rsidRPr="00712489">
        <w:t>ANDEXXA is administered as an intravenous (IV) bolus at a target rate of approximately</w:t>
      </w:r>
      <w:r w:rsidR="000E4E3C" w:rsidRPr="00712489">
        <w:t xml:space="preserve"> </w:t>
      </w:r>
      <w:r w:rsidR="000E4E3C" w:rsidRPr="00712489">
        <w:br/>
      </w:r>
      <w:r w:rsidRPr="00712489">
        <w:t xml:space="preserve">30 mg/min over 15 minutes (low dose) or 30 minutes (high dose), followed by administration </w:t>
      </w:r>
      <w:r w:rsidR="00201BDC" w:rsidRPr="00712489">
        <w:t>of a</w:t>
      </w:r>
      <w:r w:rsidRPr="00712489">
        <w:t xml:space="preserve"> continuous infusion of 4 mg/min (low dose) or 8 mg/min (high dose) for 120 minutes (see</w:t>
      </w:r>
      <w:r w:rsidR="00D018CB">
        <w:t xml:space="preserve"> Table 1</w:t>
      </w:r>
      <w:r w:rsidRPr="00712489">
        <w:t>).</w:t>
      </w:r>
      <w:r w:rsidR="004E7490">
        <w:t xml:space="preserve"> </w:t>
      </w:r>
      <w:r w:rsidR="004E7490" w:rsidRPr="004E7490">
        <w:t>The continuous infusion is to be administered within two minutes following the bolus dose.</w:t>
      </w:r>
    </w:p>
    <w:p w14:paraId="614DDF6A" w14:textId="77777777" w:rsidR="00F13B43" w:rsidRDefault="00F13B43" w:rsidP="00F13B43">
      <w:pPr>
        <w:pStyle w:val="Paragraph"/>
      </w:pPr>
      <w:r>
        <w:t>The</w:t>
      </w:r>
      <w:r>
        <w:rPr>
          <w:spacing w:val="-3"/>
        </w:rPr>
        <w:t xml:space="preserve"> </w:t>
      </w:r>
      <w:r>
        <w:t>safety</w:t>
      </w:r>
      <w:r>
        <w:rPr>
          <w:spacing w:val="1"/>
        </w:rPr>
        <w:t xml:space="preserve"> </w:t>
      </w:r>
      <w:r>
        <w:t>and</w:t>
      </w:r>
      <w:r>
        <w:rPr>
          <w:spacing w:val="-1"/>
        </w:rPr>
        <w:t xml:space="preserve"> </w:t>
      </w:r>
      <w:r>
        <w:t>efficacy</w:t>
      </w:r>
      <w:r>
        <w:rPr>
          <w:spacing w:val="-1"/>
        </w:rPr>
        <w:t xml:space="preserve"> </w:t>
      </w:r>
      <w:r>
        <w:t>of</w:t>
      </w:r>
      <w:r>
        <w:rPr>
          <w:spacing w:val="-2"/>
        </w:rPr>
        <w:t xml:space="preserve"> </w:t>
      </w:r>
      <w:r>
        <w:t>additional</w:t>
      </w:r>
      <w:r>
        <w:rPr>
          <w:spacing w:val="-1"/>
        </w:rPr>
        <w:t xml:space="preserve"> </w:t>
      </w:r>
      <w:r>
        <w:t>doses</w:t>
      </w:r>
      <w:r>
        <w:rPr>
          <w:spacing w:val="-1"/>
        </w:rPr>
        <w:t xml:space="preserve"> </w:t>
      </w:r>
      <w:r>
        <w:t>have</w:t>
      </w:r>
      <w:r>
        <w:rPr>
          <w:spacing w:val="-2"/>
        </w:rPr>
        <w:t xml:space="preserve"> </w:t>
      </w:r>
      <w:r>
        <w:t>not</w:t>
      </w:r>
      <w:r>
        <w:rPr>
          <w:spacing w:val="-1"/>
        </w:rPr>
        <w:t xml:space="preserve"> </w:t>
      </w:r>
      <w:r>
        <w:t>been</w:t>
      </w:r>
      <w:r>
        <w:rPr>
          <w:spacing w:val="-1"/>
        </w:rPr>
        <w:t xml:space="preserve"> </w:t>
      </w:r>
      <w:r>
        <w:t>established.</w:t>
      </w:r>
    </w:p>
    <w:p w14:paraId="0380BD67" w14:textId="6E02C0FB" w:rsidR="00F13B43" w:rsidRDefault="00D018CB" w:rsidP="00D018CB">
      <w:pPr>
        <w:pStyle w:val="Caption"/>
      </w:pPr>
      <w:bookmarkStart w:id="4" w:name="_bookmark11"/>
      <w:bookmarkStart w:id="5" w:name="_Ref139358739"/>
      <w:bookmarkEnd w:id="4"/>
      <w:r>
        <w:lastRenderedPageBreak/>
        <w:t xml:space="preserve">Table </w:t>
      </w:r>
      <w:r>
        <w:fldChar w:fldCharType="begin"/>
      </w:r>
      <w:r>
        <w:instrText xml:space="preserve"> SEQ Table \* ARABIC </w:instrText>
      </w:r>
      <w:r>
        <w:fldChar w:fldCharType="separate"/>
      </w:r>
      <w:r>
        <w:rPr>
          <w:noProof/>
        </w:rPr>
        <w:t>1</w:t>
      </w:r>
      <w:r>
        <w:fldChar w:fldCharType="end"/>
      </w:r>
      <w:bookmarkEnd w:id="5"/>
      <w:r w:rsidR="00F13B43">
        <w:tab/>
        <w:t>Dosing</w:t>
      </w:r>
      <w:r w:rsidR="00F13B43">
        <w:rPr>
          <w:spacing w:val="-2"/>
        </w:rPr>
        <w:t xml:space="preserve"> </w:t>
      </w:r>
      <w:r w:rsidR="0034277E">
        <w:t>r</w:t>
      </w:r>
      <w:r w:rsidR="00F13B43">
        <w:t>egimens</w:t>
      </w:r>
    </w:p>
    <w:p w14:paraId="7CEECE5D" w14:textId="77777777" w:rsidR="00F13B43" w:rsidRPr="000E4E3C" w:rsidRDefault="00F13B43" w:rsidP="000E4E3C">
      <w:pPr>
        <w:pStyle w:val="BodyText"/>
        <w:spacing w:before="3" w:after="0"/>
        <w:rPr>
          <w: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2196"/>
        <w:gridCol w:w="2892"/>
        <w:gridCol w:w="3007"/>
      </w:tblGrid>
      <w:tr w:rsidR="00F13B43" w14:paraId="65FEF6ED" w14:textId="77777777" w:rsidTr="0034277E">
        <w:trPr>
          <w:trHeight w:val="580"/>
        </w:trPr>
        <w:tc>
          <w:tcPr>
            <w:tcW w:w="1255" w:type="dxa"/>
            <w:vAlign w:val="center"/>
          </w:tcPr>
          <w:p w14:paraId="09C95B25" w14:textId="77777777" w:rsidR="00F13B43" w:rsidRPr="005953A3" w:rsidRDefault="00F13B43" w:rsidP="00CC39CD">
            <w:pPr>
              <w:pStyle w:val="TableHead"/>
              <w:spacing w:before="0" w:after="0" w:line="360" w:lineRule="auto"/>
              <w:rPr>
                <w:sz w:val="22"/>
                <w:szCs w:val="52"/>
              </w:rPr>
            </w:pPr>
            <w:r w:rsidRPr="005953A3">
              <w:rPr>
                <w:sz w:val="22"/>
                <w:szCs w:val="52"/>
              </w:rPr>
              <w:t>Dose</w:t>
            </w:r>
          </w:p>
        </w:tc>
        <w:tc>
          <w:tcPr>
            <w:tcW w:w="2196" w:type="dxa"/>
            <w:vAlign w:val="center"/>
          </w:tcPr>
          <w:p w14:paraId="6376F497" w14:textId="19C93D6A" w:rsidR="00F13B43" w:rsidRPr="005953A3" w:rsidRDefault="00F13B43" w:rsidP="00CC39CD">
            <w:pPr>
              <w:pStyle w:val="TableHead"/>
              <w:spacing w:before="0" w:after="0" w:line="360" w:lineRule="auto"/>
              <w:rPr>
                <w:sz w:val="22"/>
                <w:szCs w:val="52"/>
              </w:rPr>
            </w:pPr>
            <w:r w:rsidRPr="005953A3">
              <w:rPr>
                <w:sz w:val="22"/>
                <w:szCs w:val="52"/>
              </w:rPr>
              <w:t>Initial</w:t>
            </w:r>
            <w:r w:rsidRPr="005953A3">
              <w:rPr>
                <w:spacing w:val="-4"/>
                <w:sz w:val="22"/>
                <w:szCs w:val="52"/>
              </w:rPr>
              <w:t xml:space="preserve"> </w:t>
            </w:r>
            <w:r w:rsidRPr="005953A3">
              <w:rPr>
                <w:sz w:val="22"/>
                <w:szCs w:val="52"/>
              </w:rPr>
              <w:t>IV</w:t>
            </w:r>
            <w:r w:rsidRPr="005953A3">
              <w:rPr>
                <w:spacing w:val="-1"/>
                <w:sz w:val="22"/>
                <w:szCs w:val="52"/>
              </w:rPr>
              <w:t xml:space="preserve"> </w:t>
            </w:r>
            <w:r w:rsidR="00176313" w:rsidRPr="005953A3">
              <w:rPr>
                <w:sz w:val="22"/>
                <w:szCs w:val="52"/>
              </w:rPr>
              <w:t>b</w:t>
            </w:r>
            <w:r w:rsidRPr="005953A3">
              <w:rPr>
                <w:sz w:val="22"/>
                <w:szCs w:val="52"/>
              </w:rPr>
              <w:t>olus</w:t>
            </w:r>
          </w:p>
        </w:tc>
        <w:tc>
          <w:tcPr>
            <w:tcW w:w="2892" w:type="dxa"/>
            <w:vAlign w:val="center"/>
          </w:tcPr>
          <w:p w14:paraId="65923E03" w14:textId="45326033" w:rsidR="00F13B43" w:rsidRPr="005953A3" w:rsidRDefault="00A02249" w:rsidP="00CC39CD">
            <w:pPr>
              <w:pStyle w:val="TableHead"/>
              <w:spacing w:before="0" w:after="0" w:line="360" w:lineRule="auto"/>
              <w:rPr>
                <w:sz w:val="22"/>
                <w:szCs w:val="52"/>
              </w:rPr>
            </w:pPr>
            <w:r w:rsidRPr="005953A3">
              <w:rPr>
                <w:sz w:val="22"/>
                <w:szCs w:val="52"/>
              </w:rPr>
              <w:t>Continuous IV infusion</w:t>
            </w:r>
          </w:p>
        </w:tc>
        <w:tc>
          <w:tcPr>
            <w:tcW w:w="3007" w:type="dxa"/>
            <w:vAlign w:val="center"/>
          </w:tcPr>
          <w:p w14:paraId="3661EE47" w14:textId="3E99C64D" w:rsidR="00F13B43" w:rsidRPr="005953A3" w:rsidRDefault="00F13B43" w:rsidP="00CC39CD">
            <w:pPr>
              <w:pStyle w:val="TableHead"/>
              <w:spacing w:before="0" w:after="0" w:line="360" w:lineRule="auto"/>
              <w:rPr>
                <w:sz w:val="22"/>
                <w:szCs w:val="52"/>
              </w:rPr>
            </w:pPr>
            <w:r w:rsidRPr="005953A3">
              <w:rPr>
                <w:sz w:val="22"/>
                <w:szCs w:val="52"/>
              </w:rPr>
              <w:t xml:space="preserve">Total </w:t>
            </w:r>
            <w:r w:rsidR="00176313" w:rsidRPr="005953A3">
              <w:rPr>
                <w:sz w:val="22"/>
                <w:szCs w:val="52"/>
              </w:rPr>
              <w:t>n</w:t>
            </w:r>
            <w:r w:rsidRPr="005953A3">
              <w:rPr>
                <w:sz w:val="22"/>
                <w:szCs w:val="52"/>
              </w:rPr>
              <w:t>umber o</w:t>
            </w:r>
            <w:r w:rsidR="00A02249" w:rsidRPr="005953A3">
              <w:rPr>
                <w:sz w:val="22"/>
                <w:szCs w:val="52"/>
              </w:rPr>
              <w:t xml:space="preserve">f </w:t>
            </w:r>
            <w:r w:rsidRPr="005953A3">
              <w:rPr>
                <w:sz w:val="22"/>
                <w:szCs w:val="52"/>
              </w:rPr>
              <w:t>200</w:t>
            </w:r>
            <w:r w:rsidRPr="005953A3">
              <w:rPr>
                <w:spacing w:val="-2"/>
                <w:sz w:val="22"/>
                <w:szCs w:val="52"/>
              </w:rPr>
              <w:t xml:space="preserve"> </w:t>
            </w:r>
            <w:r w:rsidRPr="005953A3">
              <w:rPr>
                <w:sz w:val="22"/>
                <w:szCs w:val="52"/>
              </w:rPr>
              <w:t>mg</w:t>
            </w:r>
            <w:r w:rsidRPr="005953A3">
              <w:rPr>
                <w:spacing w:val="1"/>
                <w:sz w:val="22"/>
                <w:szCs w:val="52"/>
              </w:rPr>
              <w:t xml:space="preserve"> </w:t>
            </w:r>
            <w:r w:rsidR="00176313" w:rsidRPr="005953A3">
              <w:rPr>
                <w:sz w:val="22"/>
                <w:szCs w:val="52"/>
              </w:rPr>
              <w:t>v</w:t>
            </w:r>
            <w:r w:rsidRPr="005953A3">
              <w:rPr>
                <w:sz w:val="22"/>
                <w:szCs w:val="52"/>
              </w:rPr>
              <w:t>ials</w:t>
            </w:r>
          </w:p>
        </w:tc>
      </w:tr>
      <w:tr w:rsidR="00F13B43" w14:paraId="6E669645" w14:textId="77777777" w:rsidTr="00D87D86">
        <w:trPr>
          <w:trHeight w:val="460"/>
        </w:trPr>
        <w:tc>
          <w:tcPr>
            <w:tcW w:w="1255" w:type="dxa"/>
            <w:vAlign w:val="center"/>
          </w:tcPr>
          <w:p w14:paraId="0153D9D6" w14:textId="295CE787" w:rsidR="00F13B43" w:rsidRPr="005953A3" w:rsidRDefault="00F13B43" w:rsidP="00CC39CD">
            <w:pPr>
              <w:pStyle w:val="TableParagraph"/>
              <w:spacing w:line="360" w:lineRule="auto"/>
              <w:ind w:left="0"/>
              <w:jc w:val="center"/>
              <w:rPr>
                <w:szCs w:val="52"/>
              </w:rPr>
            </w:pPr>
            <w:r w:rsidRPr="005953A3">
              <w:rPr>
                <w:szCs w:val="52"/>
              </w:rPr>
              <w:t>Low</w:t>
            </w:r>
            <w:r w:rsidRPr="005953A3">
              <w:rPr>
                <w:spacing w:val="-1"/>
                <w:szCs w:val="52"/>
              </w:rPr>
              <w:t xml:space="preserve"> </w:t>
            </w:r>
            <w:r w:rsidR="00176313" w:rsidRPr="005953A3">
              <w:rPr>
                <w:szCs w:val="52"/>
              </w:rPr>
              <w:t>d</w:t>
            </w:r>
            <w:r w:rsidRPr="005953A3">
              <w:rPr>
                <w:szCs w:val="52"/>
              </w:rPr>
              <w:t>ose</w:t>
            </w:r>
          </w:p>
        </w:tc>
        <w:tc>
          <w:tcPr>
            <w:tcW w:w="2196" w:type="dxa"/>
          </w:tcPr>
          <w:p w14:paraId="08D8A443" w14:textId="02AF6636" w:rsidR="00F13B43" w:rsidRPr="005953A3" w:rsidRDefault="00F13B43" w:rsidP="00CC39CD">
            <w:pPr>
              <w:pStyle w:val="TableParagraph"/>
              <w:spacing w:line="360" w:lineRule="auto"/>
              <w:ind w:left="0"/>
              <w:jc w:val="center"/>
              <w:rPr>
                <w:szCs w:val="52"/>
              </w:rPr>
            </w:pPr>
            <w:r w:rsidRPr="005953A3">
              <w:rPr>
                <w:szCs w:val="52"/>
              </w:rPr>
              <w:t>400 mg at a target</w:t>
            </w:r>
            <w:r w:rsidR="00CC39CD">
              <w:rPr>
                <w:szCs w:val="52"/>
              </w:rPr>
              <w:t xml:space="preserve"> </w:t>
            </w:r>
            <w:r w:rsidRPr="005953A3">
              <w:rPr>
                <w:szCs w:val="52"/>
              </w:rPr>
              <w:t>rat</w:t>
            </w:r>
            <w:r w:rsidR="005953A3" w:rsidRPr="005953A3">
              <w:rPr>
                <w:szCs w:val="52"/>
              </w:rPr>
              <w:t xml:space="preserve">e </w:t>
            </w:r>
            <w:r w:rsidRPr="005953A3">
              <w:rPr>
                <w:szCs w:val="52"/>
              </w:rPr>
              <w:t>of 30</w:t>
            </w:r>
            <w:r w:rsidRPr="005953A3">
              <w:rPr>
                <w:spacing w:val="-1"/>
                <w:szCs w:val="52"/>
              </w:rPr>
              <w:t xml:space="preserve"> </w:t>
            </w:r>
            <w:r w:rsidRPr="005953A3">
              <w:rPr>
                <w:szCs w:val="52"/>
              </w:rPr>
              <w:t>mg/min</w:t>
            </w:r>
          </w:p>
        </w:tc>
        <w:tc>
          <w:tcPr>
            <w:tcW w:w="2892" w:type="dxa"/>
          </w:tcPr>
          <w:p w14:paraId="126473B2" w14:textId="630E3C54" w:rsidR="00F13B43" w:rsidRPr="005953A3" w:rsidRDefault="00F13B43" w:rsidP="00CC39CD">
            <w:pPr>
              <w:pStyle w:val="TableParagraph"/>
              <w:spacing w:line="360" w:lineRule="auto"/>
              <w:ind w:left="0"/>
              <w:jc w:val="center"/>
              <w:rPr>
                <w:szCs w:val="52"/>
              </w:rPr>
            </w:pPr>
            <w:r w:rsidRPr="005953A3">
              <w:rPr>
                <w:szCs w:val="52"/>
              </w:rPr>
              <w:t>4 mg/min</w:t>
            </w:r>
            <w:r w:rsidRPr="005953A3">
              <w:rPr>
                <w:spacing w:val="-1"/>
                <w:szCs w:val="52"/>
              </w:rPr>
              <w:t xml:space="preserve"> </w:t>
            </w:r>
            <w:r w:rsidRPr="005953A3">
              <w:rPr>
                <w:szCs w:val="52"/>
              </w:rPr>
              <w:t>for</w:t>
            </w:r>
            <w:r w:rsidRPr="005953A3">
              <w:rPr>
                <w:spacing w:val="-3"/>
                <w:szCs w:val="52"/>
              </w:rPr>
              <w:t xml:space="preserve"> </w:t>
            </w:r>
            <w:r w:rsidRPr="005953A3">
              <w:rPr>
                <w:szCs w:val="52"/>
              </w:rPr>
              <w:t>120</w:t>
            </w:r>
            <w:r w:rsidRPr="005953A3">
              <w:rPr>
                <w:spacing w:val="-1"/>
                <w:szCs w:val="52"/>
              </w:rPr>
              <w:t xml:space="preserve"> </w:t>
            </w:r>
            <w:r w:rsidRPr="005953A3">
              <w:rPr>
                <w:szCs w:val="52"/>
              </w:rPr>
              <w:t>minutes</w:t>
            </w:r>
            <w:r w:rsidR="005953A3" w:rsidRPr="005953A3">
              <w:rPr>
                <w:szCs w:val="52"/>
              </w:rPr>
              <w:br/>
            </w:r>
            <w:r w:rsidRPr="005953A3">
              <w:rPr>
                <w:szCs w:val="52"/>
              </w:rPr>
              <w:t>(480</w:t>
            </w:r>
            <w:r w:rsidRPr="005953A3">
              <w:rPr>
                <w:spacing w:val="-1"/>
                <w:szCs w:val="52"/>
              </w:rPr>
              <w:t xml:space="preserve"> </w:t>
            </w:r>
            <w:r w:rsidRPr="005953A3">
              <w:rPr>
                <w:szCs w:val="52"/>
              </w:rPr>
              <w:t>mg)</w:t>
            </w:r>
          </w:p>
        </w:tc>
        <w:tc>
          <w:tcPr>
            <w:tcW w:w="3007" w:type="dxa"/>
          </w:tcPr>
          <w:p w14:paraId="39A447E3" w14:textId="3E02A37D" w:rsidR="00F13B43" w:rsidRPr="005953A3" w:rsidRDefault="00F13B43" w:rsidP="00CC39CD">
            <w:pPr>
              <w:pStyle w:val="TableParagraph"/>
              <w:spacing w:line="360" w:lineRule="auto"/>
              <w:ind w:left="0"/>
              <w:jc w:val="center"/>
              <w:rPr>
                <w:szCs w:val="52"/>
              </w:rPr>
            </w:pPr>
            <w:r w:rsidRPr="005953A3">
              <w:rPr>
                <w:w w:val="99"/>
                <w:szCs w:val="52"/>
              </w:rPr>
              <w:t>5</w:t>
            </w:r>
            <w:r w:rsidR="005953A3" w:rsidRPr="005953A3">
              <w:rPr>
                <w:szCs w:val="52"/>
              </w:rPr>
              <w:br/>
            </w:r>
            <w:r w:rsidRPr="005953A3">
              <w:rPr>
                <w:szCs w:val="52"/>
              </w:rPr>
              <w:t>(2</w:t>
            </w:r>
            <w:r w:rsidRPr="005953A3">
              <w:rPr>
                <w:spacing w:val="-1"/>
                <w:szCs w:val="52"/>
              </w:rPr>
              <w:t xml:space="preserve"> </w:t>
            </w:r>
            <w:r w:rsidRPr="005953A3">
              <w:rPr>
                <w:szCs w:val="52"/>
              </w:rPr>
              <w:t>vials</w:t>
            </w:r>
            <w:r w:rsidRPr="005953A3">
              <w:rPr>
                <w:spacing w:val="-3"/>
                <w:szCs w:val="52"/>
              </w:rPr>
              <w:t xml:space="preserve"> </w:t>
            </w:r>
            <w:r w:rsidRPr="005953A3">
              <w:rPr>
                <w:szCs w:val="52"/>
              </w:rPr>
              <w:t>bolus</w:t>
            </w:r>
            <w:r w:rsidRPr="005953A3">
              <w:rPr>
                <w:spacing w:val="-2"/>
                <w:szCs w:val="52"/>
              </w:rPr>
              <w:t xml:space="preserve"> </w:t>
            </w:r>
            <w:r w:rsidRPr="005953A3">
              <w:rPr>
                <w:szCs w:val="52"/>
              </w:rPr>
              <w:t>+</w:t>
            </w:r>
            <w:r w:rsidRPr="005953A3">
              <w:rPr>
                <w:spacing w:val="-4"/>
                <w:szCs w:val="52"/>
              </w:rPr>
              <w:t xml:space="preserve"> </w:t>
            </w:r>
            <w:r w:rsidRPr="005953A3">
              <w:rPr>
                <w:szCs w:val="52"/>
              </w:rPr>
              <w:t>3 vials</w:t>
            </w:r>
            <w:r w:rsidRPr="005953A3">
              <w:rPr>
                <w:spacing w:val="-3"/>
                <w:szCs w:val="52"/>
              </w:rPr>
              <w:t xml:space="preserve"> </w:t>
            </w:r>
            <w:r w:rsidRPr="005953A3">
              <w:rPr>
                <w:szCs w:val="52"/>
              </w:rPr>
              <w:t>infusion)</w:t>
            </w:r>
          </w:p>
        </w:tc>
      </w:tr>
      <w:tr w:rsidR="00F13B43" w14:paraId="48AE67B4" w14:textId="77777777" w:rsidTr="00D87D86">
        <w:trPr>
          <w:trHeight w:val="460"/>
        </w:trPr>
        <w:tc>
          <w:tcPr>
            <w:tcW w:w="1255" w:type="dxa"/>
            <w:vAlign w:val="center"/>
          </w:tcPr>
          <w:p w14:paraId="709FC7DB" w14:textId="437A2E65" w:rsidR="00F13B43" w:rsidRPr="005953A3" w:rsidRDefault="00F13B43" w:rsidP="00CC39CD">
            <w:pPr>
              <w:pStyle w:val="TableParagraph"/>
              <w:spacing w:line="360" w:lineRule="auto"/>
              <w:ind w:left="0"/>
              <w:jc w:val="center"/>
              <w:rPr>
                <w:szCs w:val="52"/>
              </w:rPr>
            </w:pPr>
            <w:r w:rsidRPr="005953A3">
              <w:rPr>
                <w:szCs w:val="52"/>
              </w:rPr>
              <w:t>High</w:t>
            </w:r>
            <w:r w:rsidRPr="005953A3">
              <w:rPr>
                <w:spacing w:val="-1"/>
                <w:szCs w:val="52"/>
              </w:rPr>
              <w:t xml:space="preserve"> </w:t>
            </w:r>
            <w:r w:rsidR="00176313" w:rsidRPr="005953A3">
              <w:rPr>
                <w:szCs w:val="52"/>
              </w:rPr>
              <w:t>d</w:t>
            </w:r>
            <w:r w:rsidRPr="005953A3">
              <w:rPr>
                <w:szCs w:val="52"/>
              </w:rPr>
              <w:t>ose</w:t>
            </w:r>
          </w:p>
        </w:tc>
        <w:tc>
          <w:tcPr>
            <w:tcW w:w="2196" w:type="dxa"/>
          </w:tcPr>
          <w:p w14:paraId="3CC300E3" w14:textId="57D019C5" w:rsidR="00F13B43" w:rsidRPr="005953A3" w:rsidRDefault="00F13B43" w:rsidP="00CC39CD">
            <w:pPr>
              <w:pStyle w:val="TableParagraph"/>
              <w:spacing w:line="360" w:lineRule="auto"/>
              <w:ind w:left="0"/>
              <w:jc w:val="center"/>
              <w:rPr>
                <w:szCs w:val="52"/>
              </w:rPr>
            </w:pPr>
            <w:r w:rsidRPr="005953A3">
              <w:rPr>
                <w:szCs w:val="52"/>
              </w:rPr>
              <w:t xml:space="preserve">800 mg at a target </w:t>
            </w:r>
            <w:r w:rsidR="00CC39CD">
              <w:rPr>
                <w:szCs w:val="52"/>
              </w:rPr>
              <w:t xml:space="preserve">rate </w:t>
            </w:r>
            <w:r w:rsidRPr="005953A3">
              <w:rPr>
                <w:szCs w:val="52"/>
              </w:rPr>
              <w:t>of 30</w:t>
            </w:r>
            <w:r w:rsidRPr="005953A3">
              <w:rPr>
                <w:spacing w:val="-1"/>
                <w:szCs w:val="52"/>
              </w:rPr>
              <w:t xml:space="preserve"> </w:t>
            </w:r>
            <w:r w:rsidRPr="005953A3">
              <w:rPr>
                <w:szCs w:val="52"/>
              </w:rPr>
              <w:t>mg/min</w:t>
            </w:r>
          </w:p>
        </w:tc>
        <w:tc>
          <w:tcPr>
            <w:tcW w:w="2892" w:type="dxa"/>
          </w:tcPr>
          <w:p w14:paraId="2005E6B3" w14:textId="77777777" w:rsidR="00F13B43" w:rsidRPr="005953A3" w:rsidRDefault="00F13B43" w:rsidP="00CC39CD">
            <w:pPr>
              <w:pStyle w:val="TableParagraph"/>
              <w:spacing w:line="360" w:lineRule="auto"/>
              <w:ind w:left="0"/>
              <w:jc w:val="center"/>
              <w:rPr>
                <w:szCs w:val="52"/>
              </w:rPr>
            </w:pPr>
            <w:r w:rsidRPr="005953A3">
              <w:rPr>
                <w:szCs w:val="52"/>
              </w:rPr>
              <w:t>8 mg/min</w:t>
            </w:r>
            <w:r w:rsidRPr="005953A3">
              <w:rPr>
                <w:spacing w:val="-1"/>
                <w:szCs w:val="52"/>
              </w:rPr>
              <w:t xml:space="preserve"> </w:t>
            </w:r>
            <w:r w:rsidRPr="005953A3">
              <w:rPr>
                <w:szCs w:val="52"/>
              </w:rPr>
              <w:t>for</w:t>
            </w:r>
            <w:r w:rsidRPr="005953A3">
              <w:rPr>
                <w:spacing w:val="-3"/>
                <w:szCs w:val="52"/>
              </w:rPr>
              <w:t xml:space="preserve"> </w:t>
            </w:r>
            <w:r w:rsidRPr="005953A3">
              <w:rPr>
                <w:szCs w:val="52"/>
              </w:rPr>
              <w:t>120</w:t>
            </w:r>
            <w:r w:rsidRPr="005953A3">
              <w:rPr>
                <w:spacing w:val="-1"/>
                <w:szCs w:val="52"/>
              </w:rPr>
              <w:t xml:space="preserve"> </w:t>
            </w:r>
            <w:r w:rsidRPr="005953A3">
              <w:rPr>
                <w:szCs w:val="52"/>
              </w:rPr>
              <w:t>minutes</w:t>
            </w:r>
          </w:p>
          <w:p w14:paraId="1D701987" w14:textId="77777777" w:rsidR="00F13B43" w:rsidRPr="005953A3" w:rsidRDefault="00F13B43" w:rsidP="00CC39CD">
            <w:pPr>
              <w:pStyle w:val="TableParagraph"/>
              <w:spacing w:line="360" w:lineRule="auto"/>
              <w:ind w:left="0"/>
              <w:jc w:val="center"/>
              <w:rPr>
                <w:szCs w:val="52"/>
              </w:rPr>
            </w:pPr>
            <w:r w:rsidRPr="005953A3">
              <w:rPr>
                <w:szCs w:val="52"/>
              </w:rPr>
              <w:t>(960</w:t>
            </w:r>
            <w:r w:rsidRPr="005953A3">
              <w:rPr>
                <w:spacing w:val="-1"/>
                <w:szCs w:val="52"/>
              </w:rPr>
              <w:t xml:space="preserve"> </w:t>
            </w:r>
            <w:r w:rsidRPr="005953A3">
              <w:rPr>
                <w:szCs w:val="52"/>
              </w:rPr>
              <w:t>mg)</w:t>
            </w:r>
          </w:p>
        </w:tc>
        <w:tc>
          <w:tcPr>
            <w:tcW w:w="3007" w:type="dxa"/>
          </w:tcPr>
          <w:p w14:paraId="709001DE" w14:textId="77777777" w:rsidR="00F13B43" w:rsidRPr="005953A3" w:rsidRDefault="00F13B43" w:rsidP="00CC39CD">
            <w:pPr>
              <w:pStyle w:val="TableParagraph"/>
              <w:spacing w:line="360" w:lineRule="auto"/>
              <w:ind w:left="0"/>
              <w:jc w:val="center"/>
              <w:rPr>
                <w:szCs w:val="52"/>
              </w:rPr>
            </w:pPr>
            <w:r w:rsidRPr="005953A3">
              <w:rPr>
                <w:w w:val="99"/>
                <w:szCs w:val="52"/>
              </w:rPr>
              <w:t>9</w:t>
            </w:r>
          </w:p>
          <w:p w14:paraId="5FA499D5" w14:textId="77777777" w:rsidR="00F13B43" w:rsidRPr="005953A3" w:rsidRDefault="00F13B43" w:rsidP="00CC39CD">
            <w:pPr>
              <w:pStyle w:val="TableParagraph"/>
              <w:spacing w:line="360" w:lineRule="auto"/>
              <w:ind w:left="0"/>
              <w:jc w:val="center"/>
              <w:rPr>
                <w:szCs w:val="52"/>
              </w:rPr>
            </w:pPr>
            <w:r w:rsidRPr="005953A3">
              <w:rPr>
                <w:szCs w:val="52"/>
              </w:rPr>
              <w:t>(4</w:t>
            </w:r>
            <w:r w:rsidRPr="005953A3">
              <w:rPr>
                <w:spacing w:val="-1"/>
                <w:szCs w:val="52"/>
              </w:rPr>
              <w:t xml:space="preserve"> </w:t>
            </w:r>
            <w:r w:rsidRPr="005953A3">
              <w:rPr>
                <w:szCs w:val="52"/>
              </w:rPr>
              <w:t>vials</w:t>
            </w:r>
            <w:r w:rsidRPr="005953A3">
              <w:rPr>
                <w:spacing w:val="-3"/>
                <w:szCs w:val="52"/>
              </w:rPr>
              <w:t xml:space="preserve"> </w:t>
            </w:r>
            <w:r w:rsidRPr="005953A3">
              <w:rPr>
                <w:szCs w:val="52"/>
              </w:rPr>
              <w:t>bolus</w:t>
            </w:r>
            <w:r w:rsidRPr="005953A3">
              <w:rPr>
                <w:spacing w:val="-2"/>
                <w:szCs w:val="52"/>
              </w:rPr>
              <w:t xml:space="preserve"> </w:t>
            </w:r>
            <w:r w:rsidRPr="005953A3">
              <w:rPr>
                <w:szCs w:val="52"/>
              </w:rPr>
              <w:t>+</w:t>
            </w:r>
            <w:r w:rsidRPr="005953A3">
              <w:rPr>
                <w:spacing w:val="-4"/>
                <w:szCs w:val="52"/>
              </w:rPr>
              <w:t xml:space="preserve"> </w:t>
            </w:r>
            <w:r w:rsidRPr="005953A3">
              <w:rPr>
                <w:szCs w:val="52"/>
              </w:rPr>
              <w:t>5 vials</w:t>
            </w:r>
            <w:r w:rsidRPr="005953A3">
              <w:rPr>
                <w:spacing w:val="-3"/>
                <w:szCs w:val="52"/>
              </w:rPr>
              <w:t xml:space="preserve"> </w:t>
            </w:r>
            <w:r w:rsidRPr="005953A3">
              <w:rPr>
                <w:szCs w:val="52"/>
              </w:rPr>
              <w:t>infusion)</w:t>
            </w:r>
          </w:p>
        </w:tc>
      </w:tr>
    </w:tbl>
    <w:p w14:paraId="65CD50BC" w14:textId="66451E89" w:rsidR="00F13B43" w:rsidRPr="005953A3" w:rsidRDefault="00F13B43" w:rsidP="000674B8">
      <w:pPr>
        <w:pStyle w:val="TableFootnoteInfo"/>
        <w:rPr>
          <w:sz w:val="20"/>
          <w:szCs w:val="52"/>
        </w:rPr>
      </w:pPr>
      <w:r w:rsidRPr="005953A3">
        <w:rPr>
          <w:sz w:val="20"/>
          <w:szCs w:val="52"/>
        </w:rPr>
        <w:t>Abbreviation:</w:t>
      </w:r>
      <w:r w:rsidRPr="005953A3">
        <w:rPr>
          <w:spacing w:val="-6"/>
          <w:sz w:val="20"/>
          <w:szCs w:val="52"/>
        </w:rPr>
        <w:t xml:space="preserve"> </w:t>
      </w:r>
      <w:r w:rsidRPr="005953A3">
        <w:rPr>
          <w:sz w:val="20"/>
          <w:szCs w:val="52"/>
        </w:rPr>
        <w:t>IV</w:t>
      </w:r>
      <w:r w:rsidRPr="005953A3">
        <w:rPr>
          <w:spacing w:val="-2"/>
          <w:sz w:val="20"/>
          <w:szCs w:val="52"/>
        </w:rPr>
        <w:t xml:space="preserve"> </w:t>
      </w:r>
      <w:r w:rsidRPr="005953A3">
        <w:rPr>
          <w:sz w:val="20"/>
          <w:szCs w:val="52"/>
        </w:rPr>
        <w:t>=</w:t>
      </w:r>
      <w:r w:rsidRPr="005953A3">
        <w:rPr>
          <w:spacing w:val="-3"/>
          <w:sz w:val="20"/>
          <w:szCs w:val="52"/>
        </w:rPr>
        <w:t xml:space="preserve"> </w:t>
      </w:r>
      <w:r w:rsidRPr="005953A3">
        <w:rPr>
          <w:sz w:val="20"/>
          <w:szCs w:val="52"/>
        </w:rPr>
        <w:t>intravenous</w:t>
      </w:r>
    </w:p>
    <w:p w14:paraId="04B16B94" w14:textId="77777777" w:rsidR="005953A3" w:rsidRPr="005953A3" w:rsidRDefault="005953A3" w:rsidP="000674B8">
      <w:pPr>
        <w:pStyle w:val="TableFootnoteInfo"/>
        <w:rPr>
          <w:sz w:val="24"/>
          <w:szCs w:val="24"/>
        </w:rPr>
      </w:pPr>
    </w:p>
    <w:p w14:paraId="45E12331" w14:textId="6447C084" w:rsidR="00F13B43" w:rsidRPr="001F7C1C" w:rsidRDefault="00F13B43" w:rsidP="001F7C1C">
      <w:pPr>
        <w:pStyle w:val="Heading3Unnumbered"/>
      </w:pPr>
      <w:r w:rsidRPr="001F7C1C">
        <w:t>Reversal</w:t>
      </w:r>
      <w:r w:rsidRPr="001F7C1C">
        <w:rPr>
          <w:spacing w:val="-2"/>
        </w:rPr>
        <w:t xml:space="preserve"> </w:t>
      </w:r>
      <w:r w:rsidRPr="001F7C1C">
        <w:t>of</w:t>
      </w:r>
      <w:r w:rsidRPr="001F7C1C">
        <w:rPr>
          <w:spacing w:val="-1"/>
        </w:rPr>
        <w:t xml:space="preserve"> </w:t>
      </w:r>
      <w:r w:rsidR="00306375" w:rsidRPr="001F7C1C">
        <w:t>a</w:t>
      </w:r>
      <w:r w:rsidRPr="001F7C1C">
        <w:t>pixaban</w:t>
      </w:r>
      <w:r w:rsidR="00306375" w:rsidRPr="001F7C1C">
        <w:t xml:space="preserve"> or r</w:t>
      </w:r>
      <w:r w:rsidRPr="001F7C1C">
        <w:t>ivaroxaban</w:t>
      </w:r>
    </w:p>
    <w:p w14:paraId="690FECD5" w14:textId="1708A450" w:rsidR="00F13B43" w:rsidRDefault="00F13B43" w:rsidP="00306375">
      <w:pPr>
        <w:pStyle w:val="Paragraph"/>
      </w:pPr>
      <w:r>
        <w:t xml:space="preserve">The recommended dosing of ANDEXXA is based on the specific </w:t>
      </w:r>
      <w:proofErr w:type="spellStart"/>
      <w:r>
        <w:t>FXa</w:t>
      </w:r>
      <w:proofErr w:type="spellEnd"/>
      <w:r>
        <w:t xml:space="preserve"> inhibitor, </w:t>
      </w:r>
      <w:r w:rsidR="00B44108">
        <w:t xml:space="preserve">last </w:t>
      </w:r>
      <w:r>
        <w:t xml:space="preserve">dose of </w:t>
      </w:r>
      <w:proofErr w:type="spellStart"/>
      <w:r>
        <w:t>FXa</w:t>
      </w:r>
      <w:proofErr w:type="spellEnd"/>
      <w:r>
        <w:rPr>
          <w:spacing w:val="-57"/>
        </w:rPr>
        <w:t xml:space="preserve"> </w:t>
      </w:r>
      <w:r>
        <w:t>inhibitor,</w:t>
      </w:r>
      <w:r>
        <w:rPr>
          <w:spacing w:val="-1"/>
        </w:rPr>
        <w:t xml:space="preserve"> </w:t>
      </w:r>
      <w:r>
        <w:t>and time</w:t>
      </w:r>
      <w:r>
        <w:rPr>
          <w:spacing w:val="-1"/>
        </w:rPr>
        <w:t xml:space="preserve"> </w:t>
      </w:r>
      <w:r>
        <w:t>since</w:t>
      </w:r>
      <w:r>
        <w:rPr>
          <w:spacing w:val="-1"/>
        </w:rPr>
        <w:t xml:space="preserve"> </w:t>
      </w:r>
      <w:r>
        <w:t>the</w:t>
      </w:r>
      <w:r>
        <w:rPr>
          <w:spacing w:val="-1"/>
        </w:rPr>
        <w:t xml:space="preserve"> </w:t>
      </w:r>
      <w:r>
        <w:t>last</w:t>
      </w:r>
      <w:r>
        <w:rPr>
          <w:spacing w:val="-1"/>
        </w:rPr>
        <w:t xml:space="preserve"> </w:t>
      </w:r>
      <w:r>
        <w:t>dose</w:t>
      </w:r>
      <w:r>
        <w:rPr>
          <w:spacing w:val="-1"/>
        </w:rPr>
        <w:t xml:space="preserve"> </w:t>
      </w:r>
      <w:r>
        <w:t>of</w:t>
      </w:r>
      <w:r>
        <w:rPr>
          <w:spacing w:val="-1"/>
        </w:rPr>
        <w:t xml:space="preserve"> </w:t>
      </w:r>
      <w:proofErr w:type="spellStart"/>
      <w:r>
        <w:t>FXa</w:t>
      </w:r>
      <w:proofErr w:type="spellEnd"/>
      <w:r>
        <w:rPr>
          <w:spacing w:val="-1"/>
        </w:rPr>
        <w:t xml:space="preserve"> </w:t>
      </w:r>
      <w:r>
        <w:t>inhibitor</w:t>
      </w:r>
      <w:r>
        <w:rPr>
          <w:spacing w:val="-1"/>
        </w:rPr>
        <w:t xml:space="preserve"> </w:t>
      </w:r>
      <w:r>
        <w:t>(see</w:t>
      </w:r>
      <w:r w:rsidR="00D018CB">
        <w:t xml:space="preserve"> Table 2</w:t>
      </w:r>
      <w:r>
        <w:rPr>
          <w:spacing w:val="-1"/>
        </w:rPr>
        <w:t xml:space="preserve"> </w:t>
      </w:r>
      <w:r w:rsidR="00B44108">
        <w:rPr>
          <w:color w:val="000000" w:themeColor="text1"/>
        </w:rPr>
        <w:t>and 3</w:t>
      </w:r>
      <w:r>
        <w:t>).</w:t>
      </w:r>
    </w:p>
    <w:p w14:paraId="16035755" w14:textId="6EFEA67C" w:rsidR="00376D82" w:rsidRDefault="00D018CB" w:rsidP="00D018CB">
      <w:pPr>
        <w:pStyle w:val="Caption"/>
      </w:pPr>
      <w:bookmarkStart w:id="6" w:name="_bookmark12"/>
      <w:bookmarkStart w:id="7" w:name="_Ref139358779"/>
      <w:bookmarkEnd w:id="6"/>
      <w:r>
        <w:t xml:space="preserve">Table </w:t>
      </w:r>
      <w:r>
        <w:fldChar w:fldCharType="begin"/>
      </w:r>
      <w:r>
        <w:instrText xml:space="preserve"> SEQ Table \* ARABIC </w:instrText>
      </w:r>
      <w:r>
        <w:fldChar w:fldCharType="separate"/>
      </w:r>
      <w:r>
        <w:rPr>
          <w:noProof/>
        </w:rPr>
        <w:t>2</w:t>
      </w:r>
      <w:r>
        <w:fldChar w:fldCharType="end"/>
      </w:r>
      <w:bookmarkEnd w:id="7"/>
      <w:r w:rsidR="00376D82">
        <w:tab/>
        <w:t>Summary of dosing for reversal of apixaban</w:t>
      </w:r>
    </w:p>
    <w:p w14:paraId="193A103A" w14:textId="77777777" w:rsidR="00376D82" w:rsidRPr="00A02249" w:rsidRDefault="00376D82" w:rsidP="00376D82">
      <w:pPr>
        <w:pStyle w:val="BodyText"/>
        <w:spacing w:after="0"/>
        <w:rPr>
          <w:b/>
        </w:rPr>
      </w:pP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2631"/>
        <w:gridCol w:w="2578"/>
        <w:gridCol w:w="1366"/>
      </w:tblGrid>
      <w:tr w:rsidR="00376D82" w:rsidRPr="005953A3" w14:paraId="0D40492C" w14:textId="77777777" w:rsidTr="00BB1939">
        <w:trPr>
          <w:trHeight w:val="350"/>
        </w:trPr>
        <w:tc>
          <w:tcPr>
            <w:tcW w:w="1841" w:type="dxa"/>
            <w:vMerge w:val="restart"/>
            <w:vAlign w:val="center"/>
          </w:tcPr>
          <w:p w14:paraId="638D4B53" w14:textId="77777777" w:rsidR="00376D82" w:rsidRPr="005953A3" w:rsidRDefault="00376D82" w:rsidP="00BB1939">
            <w:pPr>
              <w:pStyle w:val="TableHead"/>
              <w:spacing w:before="0" w:after="0" w:line="360" w:lineRule="auto"/>
              <w:rPr>
                <w:sz w:val="22"/>
                <w:szCs w:val="52"/>
              </w:rPr>
            </w:pPr>
            <w:proofErr w:type="spellStart"/>
            <w:r w:rsidRPr="005953A3">
              <w:rPr>
                <w:sz w:val="22"/>
                <w:szCs w:val="52"/>
              </w:rPr>
              <w:t>FXa</w:t>
            </w:r>
            <w:proofErr w:type="spellEnd"/>
            <w:r w:rsidRPr="005953A3">
              <w:rPr>
                <w:spacing w:val="-4"/>
                <w:sz w:val="22"/>
                <w:szCs w:val="52"/>
              </w:rPr>
              <w:t xml:space="preserve"> </w:t>
            </w:r>
            <w:r w:rsidRPr="005953A3">
              <w:rPr>
                <w:sz w:val="22"/>
                <w:szCs w:val="52"/>
              </w:rPr>
              <w:t>inhibitor</w:t>
            </w:r>
          </w:p>
        </w:tc>
        <w:tc>
          <w:tcPr>
            <w:tcW w:w="2631" w:type="dxa"/>
            <w:vMerge w:val="restart"/>
            <w:vAlign w:val="center"/>
          </w:tcPr>
          <w:p w14:paraId="3E8F8937" w14:textId="2B536054" w:rsidR="00376D82" w:rsidRPr="005953A3" w:rsidRDefault="00A808C8" w:rsidP="00BB1939">
            <w:pPr>
              <w:pStyle w:val="TableHead"/>
              <w:spacing w:before="0" w:after="0" w:line="360" w:lineRule="auto"/>
              <w:rPr>
                <w:sz w:val="22"/>
                <w:szCs w:val="52"/>
              </w:rPr>
            </w:pPr>
            <w:r>
              <w:rPr>
                <w:sz w:val="22"/>
                <w:szCs w:val="52"/>
              </w:rPr>
              <w:t>L</w:t>
            </w:r>
            <w:r w:rsidR="00376D82" w:rsidRPr="005953A3">
              <w:rPr>
                <w:sz w:val="22"/>
                <w:szCs w:val="52"/>
              </w:rPr>
              <w:t>ast</w:t>
            </w:r>
            <w:r w:rsidR="00376D82" w:rsidRPr="005953A3">
              <w:rPr>
                <w:spacing w:val="-2"/>
                <w:sz w:val="22"/>
                <w:szCs w:val="52"/>
              </w:rPr>
              <w:t xml:space="preserve"> </w:t>
            </w:r>
            <w:r w:rsidR="00376D82" w:rsidRPr="005953A3">
              <w:rPr>
                <w:sz w:val="22"/>
                <w:szCs w:val="52"/>
              </w:rPr>
              <w:t>dose</w:t>
            </w:r>
          </w:p>
        </w:tc>
        <w:tc>
          <w:tcPr>
            <w:tcW w:w="3944" w:type="dxa"/>
            <w:gridSpan w:val="2"/>
            <w:vAlign w:val="center"/>
          </w:tcPr>
          <w:p w14:paraId="238FE98F" w14:textId="77777777" w:rsidR="00376D82" w:rsidRPr="008355E9" w:rsidRDefault="00376D82" w:rsidP="00BB1939">
            <w:pPr>
              <w:pStyle w:val="TableHead"/>
              <w:spacing w:after="0" w:line="360" w:lineRule="auto"/>
              <w:rPr>
                <w:sz w:val="22"/>
                <w:szCs w:val="52"/>
              </w:rPr>
            </w:pPr>
            <w:r w:rsidRPr="008355E9">
              <w:rPr>
                <w:sz w:val="22"/>
                <w:szCs w:val="52"/>
              </w:rPr>
              <w:t>Tim</w:t>
            </w:r>
            <w:r>
              <w:rPr>
                <w:sz w:val="22"/>
                <w:szCs w:val="52"/>
              </w:rPr>
              <w:t>e since</w:t>
            </w:r>
            <w:r w:rsidRPr="008355E9">
              <w:rPr>
                <w:sz w:val="22"/>
                <w:szCs w:val="52"/>
              </w:rPr>
              <w:t xml:space="preserve"> last dose before</w:t>
            </w:r>
          </w:p>
          <w:p w14:paraId="62FFDFF9" w14:textId="77777777" w:rsidR="00376D82" w:rsidRPr="005953A3" w:rsidRDefault="00376D82" w:rsidP="00BB1939">
            <w:pPr>
              <w:pStyle w:val="TableHead"/>
              <w:spacing w:before="0" w:after="0" w:line="360" w:lineRule="auto"/>
              <w:rPr>
                <w:sz w:val="22"/>
                <w:szCs w:val="52"/>
              </w:rPr>
            </w:pPr>
            <w:r>
              <w:rPr>
                <w:sz w:val="22"/>
                <w:szCs w:val="52"/>
              </w:rPr>
              <w:t>i</w:t>
            </w:r>
            <w:r w:rsidRPr="008355E9">
              <w:rPr>
                <w:sz w:val="22"/>
                <w:szCs w:val="52"/>
              </w:rPr>
              <w:t>nitiation</w:t>
            </w:r>
            <w:r>
              <w:rPr>
                <w:sz w:val="22"/>
                <w:szCs w:val="52"/>
              </w:rPr>
              <w:t xml:space="preserve"> of ANDEXXA</w:t>
            </w:r>
          </w:p>
        </w:tc>
      </w:tr>
      <w:tr w:rsidR="00376D82" w:rsidRPr="005953A3" w14:paraId="7B915773" w14:textId="77777777" w:rsidTr="00BB1939">
        <w:trPr>
          <w:trHeight w:val="350"/>
        </w:trPr>
        <w:tc>
          <w:tcPr>
            <w:tcW w:w="1841" w:type="dxa"/>
            <w:vMerge/>
            <w:vAlign w:val="center"/>
          </w:tcPr>
          <w:p w14:paraId="7643DE2B" w14:textId="77777777" w:rsidR="00376D82" w:rsidRPr="005953A3" w:rsidRDefault="00376D82" w:rsidP="00BB1939">
            <w:pPr>
              <w:pStyle w:val="TableHead"/>
              <w:spacing w:before="0" w:after="0" w:line="360" w:lineRule="auto"/>
              <w:rPr>
                <w:sz w:val="22"/>
                <w:szCs w:val="52"/>
              </w:rPr>
            </w:pPr>
          </w:p>
        </w:tc>
        <w:tc>
          <w:tcPr>
            <w:tcW w:w="2631" w:type="dxa"/>
            <w:vMerge/>
            <w:vAlign w:val="center"/>
          </w:tcPr>
          <w:p w14:paraId="24AF18E0" w14:textId="77777777" w:rsidR="00376D82" w:rsidRPr="005953A3" w:rsidRDefault="00376D82" w:rsidP="00BB1939">
            <w:pPr>
              <w:pStyle w:val="TableHead"/>
              <w:spacing w:before="0" w:after="0" w:line="360" w:lineRule="auto"/>
              <w:rPr>
                <w:sz w:val="22"/>
                <w:szCs w:val="52"/>
              </w:rPr>
            </w:pPr>
          </w:p>
        </w:tc>
        <w:tc>
          <w:tcPr>
            <w:tcW w:w="2578" w:type="dxa"/>
            <w:vAlign w:val="center"/>
          </w:tcPr>
          <w:p w14:paraId="6C5A0996" w14:textId="77777777" w:rsidR="00376D82" w:rsidRPr="005953A3" w:rsidRDefault="00376D82" w:rsidP="00BB1939">
            <w:pPr>
              <w:pStyle w:val="TableHead"/>
              <w:spacing w:before="0" w:after="0" w:line="360" w:lineRule="auto"/>
              <w:rPr>
                <w:sz w:val="22"/>
                <w:szCs w:val="52"/>
              </w:rPr>
            </w:pPr>
            <w:r w:rsidRPr="005953A3">
              <w:rPr>
                <w:sz w:val="22"/>
                <w:szCs w:val="52"/>
              </w:rPr>
              <w:t>&lt;8 hours</w:t>
            </w:r>
            <w:r w:rsidRPr="005953A3">
              <w:rPr>
                <w:spacing w:val="-2"/>
                <w:sz w:val="22"/>
                <w:szCs w:val="52"/>
              </w:rPr>
              <w:t xml:space="preserve"> </w:t>
            </w:r>
            <w:r w:rsidRPr="005953A3">
              <w:rPr>
                <w:sz w:val="22"/>
                <w:szCs w:val="52"/>
              </w:rPr>
              <w:t>or</w:t>
            </w:r>
            <w:r w:rsidRPr="005953A3">
              <w:rPr>
                <w:spacing w:val="-1"/>
                <w:sz w:val="22"/>
                <w:szCs w:val="52"/>
              </w:rPr>
              <w:t xml:space="preserve"> </w:t>
            </w:r>
            <w:r w:rsidRPr="005953A3">
              <w:rPr>
                <w:sz w:val="22"/>
                <w:szCs w:val="52"/>
              </w:rPr>
              <w:t>unknown</w:t>
            </w:r>
          </w:p>
        </w:tc>
        <w:tc>
          <w:tcPr>
            <w:tcW w:w="1366" w:type="dxa"/>
            <w:vAlign w:val="center"/>
          </w:tcPr>
          <w:p w14:paraId="552EB2E1" w14:textId="77777777" w:rsidR="00376D82" w:rsidRPr="005953A3" w:rsidRDefault="00376D82" w:rsidP="00BB1939">
            <w:pPr>
              <w:pStyle w:val="TableHead"/>
              <w:spacing w:before="0" w:after="0" w:line="360" w:lineRule="auto"/>
              <w:rPr>
                <w:sz w:val="22"/>
                <w:szCs w:val="52"/>
              </w:rPr>
            </w:pPr>
            <w:r w:rsidRPr="005953A3">
              <w:rPr>
                <w:sz w:val="22"/>
                <w:szCs w:val="52"/>
              </w:rPr>
              <w:t>≥8 hours</w:t>
            </w:r>
          </w:p>
        </w:tc>
      </w:tr>
      <w:tr w:rsidR="00376D82" w:rsidRPr="005953A3" w14:paraId="385AA69F" w14:textId="77777777" w:rsidTr="00BB1939">
        <w:trPr>
          <w:trHeight w:val="227"/>
        </w:trPr>
        <w:tc>
          <w:tcPr>
            <w:tcW w:w="1841" w:type="dxa"/>
            <w:vMerge w:val="restart"/>
            <w:tcBorders>
              <w:bottom w:val="single" w:sz="6" w:space="0" w:color="000000"/>
            </w:tcBorders>
            <w:vAlign w:val="center"/>
          </w:tcPr>
          <w:p w14:paraId="11D4BE55" w14:textId="77777777" w:rsidR="00376D82" w:rsidRPr="005953A3" w:rsidRDefault="00376D82" w:rsidP="00BB1939">
            <w:pPr>
              <w:pStyle w:val="TableParagraph"/>
              <w:spacing w:line="360" w:lineRule="auto"/>
              <w:ind w:left="0"/>
              <w:jc w:val="center"/>
              <w:rPr>
                <w:szCs w:val="52"/>
              </w:rPr>
            </w:pPr>
            <w:r w:rsidRPr="005953A3">
              <w:rPr>
                <w:szCs w:val="52"/>
              </w:rPr>
              <w:t>Apixaban</w:t>
            </w:r>
          </w:p>
        </w:tc>
        <w:tc>
          <w:tcPr>
            <w:tcW w:w="2631" w:type="dxa"/>
            <w:vAlign w:val="center"/>
          </w:tcPr>
          <w:p w14:paraId="2996778E" w14:textId="77777777" w:rsidR="00376D82" w:rsidRPr="005953A3" w:rsidRDefault="00376D82" w:rsidP="00BB1939">
            <w:pPr>
              <w:pStyle w:val="TableParagraph"/>
              <w:spacing w:line="360" w:lineRule="auto"/>
              <w:ind w:left="0"/>
              <w:jc w:val="center"/>
              <w:rPr>
                <w:szCs w:val="52"/>
              </w:rPr>
            </w:pPr>
            <w:r w:rsidRPr="005953A3">
              <w:rPr>
                <w:szCs w:val="52"/>
              </w:rPr>
              <w:t>≤5</w:t>
            </w:r>
            <w:r w:rsidRPr="005953A3">
              <w:rPr>
                <w:spacing w:val="1"/>
                <w:szCs w:val="52"/>
              </w:rPr>
              <w:t xml:space="preserve"> </w:t>
            </w:r>
            <w:r w:rsidRPr="005953A3">
              <w:rPr>
                <w:szCs w:val="52"/>
              </w:rPr>
              <w:t>mg</w:t>
            </w:r>
          </w:p>
        </w:tc>
        <w:tc>
          <w:tcPr>
            <w:tcW w:w="2578" w:type="dxa"/>
            <w:vAlign w:val="center"/>
          </w:tcPr>
          <w:p w14:paraId="0C7550AA" w14:textId="77777777" w:rsidR="00376D82" w:rsidRPr="005953A3" w:rsidRDefault="00376D82" w:rsidP="00BB1939">
            <w:pPr>
              <w:pStyle w:val="TableParagraph"/>
              <w:spacing w:line="360" w:lineRule="auto"/>
              <w:ind w:left="0"/>
              <w:jc w:val="center"/>
              <w:rPr>
                <w:szCs w:val="52"/>
              </w:rPr>
            </w:pPr>
            <w:r w:rsidRPr="005953A3">
              <w:rPr>
                <w:szCs w:val="52"/>
              </w:rPr>
              <w:t>Low</w:t>
            </w:r>
            <w:r w:rsidRPr="005953A3">
              <w:rPr>
                <w:spacing w:val="-1"/>
                <w:szCs w:val="52"/>
              </w:rPr>
              <w:t xml:space="preserve"> </w:t>
            </w:r>
            <w:r w:rsidRPr="005953A3">
              <w:rPr>
                <w:szCs w:val="52"/>
              </w:rPr>
              <w:t>dose</w:t>
            </w:r>
          </w:p>
        </w:tc>
        <w:tc>
          <w:tcPr>
            <w:tcW w:w="1366" w:type="dxa"/>
            <w:vMerge w:val="restart"/>
            <w:tcBorders>
              <w:top w:val="nil"/>
              <w:left w:val="single" w:sz="6" w:space="0" w:color="000000"/>
              <w:right w:val="single" w:sz="6" w:space="0" w:color="000000"/>
            </w:tcBorders>
            <w:vAlign w:val="center"/>
          </w:tcPr>
          <w:p w14:paraId="0BA44794" w14:textId="77777777" w:rsidR="00376D82" w:rsidRPr="005953A3" w:rsidRDefault="00376D82" w:rsidP="00BB1939">
            <w:pPr>
              <w:spacing w:after="0" w:line="360" w:lineRule="auto"/>
              <w:jc w:val="center"/>
              <w:rPr>
                <w:sz w:val="22"/>
                <w:szCs w:val="52"/>
              </w:rPr>
            </w:pPr>
            <w:r>
              <w:rPr>
                <w:sz w:val="22"/>
                <w:szCs w:val="52"/>
              </w:rPr>
              <w:t>Low dose</w:t>
            </w:r>
          </w:p>
        </w:tc>
      </w:tr>
      <w:tr w:rsidR="00376D82" w:rsidRPr="005953A3" w14:paraId="39FC384B" w14:textId="77777777" w:rsidTr="00BB1939">
        <w:trPr>
          <w:trHeight w:val="227"/>
        </w:trPr>
        <w:tc>
          <w:tcPr>
            <w:tcW w:w="1841" w:type="dxa"/>
            <w:vMerge/>
            <w:tcBorders>
              <w:top w:val="nil"/>
              <w:bottom w:val="single" w:sz="6" w:space="0" w:color="000000"/>
            </w:tcBorders>
          </w:tcPr>
          <w:p w14:paraId="08B701E6" w14:textId="77777777" w:rsidR="00376D82" w:rsidRPr="005953A3" w:rsidRDefault="00376D82" w:rsidP="00BB1939">
            <w:pPr>
              <w:spacing w:after="0" w:line="360" w:lineRule="auto"/>
              <w:jc w:val="center"/>
              <w:rPr>
                <w:sz w:val="22"/>
                <w:szCs w:val="52"/>
              </w:rPr>
            </w:pPr>
          </w:p>
        </w:tc>
        <w:tc>
          <w:tcPr>
            <w:tcW w:w="2631" w:type="dxa"/>
            <w:tcBorders>
              <w:bottom w:val="single" w:sz="6" w:space="0" w:color="000000"/>
            </w:tcBorders>
            <w:vAlign w:val="center"/>
          </w:tcPr>
          <w:p w14:paraId="6FD089C0" w14:textId="77777777" w:rsidR="00376D82" w:rsidRPr="005953A3" w:rsidRDefault="00376D82" w:rsidP="00BB1939">
            <w:pPr>
              <w:pStyle w:val="TableParagraph"/>
              <w:spacing w:line="360" w:lineRule="auto"/>
              <w:ind w:left="0"/>
              <w:jc w:val="center"/>
              <w:rPr>
                <w:szCs w:val="52"/>
              </w:rPr>
            </w:pPr>
            <w:r w:rsidRPr="005953A3">
              <w:rPr>
                <w:szCs w:val="52"/>
              </w:rPr>
              <w:t>&gt;5 mg</w:t>
            </w:r>
            <w:r w:rsidRPr="005953A3">
              <w:rPr>
                <w:spacing w:val="-1"/>
                <w:szCs w:val="52"/>
              </w:rPr>
              <w:t xml:space="preserve"> </w:t>
            </w:r>
            <w:r w:rsidRPr="005953A3">
              <w:rPr>
                <w:szCs w:val="52"/>
              </w:rPr>
              <w:t>or unknown</w:t>
            </w:r>
          </w:p>
        </w:tc>
        <w:tc>
          <w:tcPr>
            <w:tcW w:w="2578" w:type="dxa"/>
            <w:tcBorders>
              <w:bottom w:val="single" w:sz="6" w:space="0" w:color="000000"/>
            </w:tcBorders>
            <w:vAlign w:val="center"/>
          </w:tcPr>
          <w:p w14:paraId="2E41899B" w14:textId="77777777" w:rsidR="00376D82" w:rsidRPr="005953A3" w:rsidRDefault="00376D82" w:rsidP="00BB1939">
            <w:pPr>
              <w:pStyle w:val="TableParagraph"/>
              <w:spacing w:line="360" w:lineRule="auto"/>
              <w:ind w:left="0"/>
              <w:jc w:val="center"/>
              <w:rPr>
                <w:szCs w:val="52"/>
              </w:rPr>
            </w:pPr>
            <w:r w:rsidRPr="005953A3">
              <w:rPr>
                <w:szCs w:val="52"/>
              </w:rPr>
              <w:t>High</w:t>
            </w:r>
            <w:r w:rsidRPr="005953A3">
              <w:rPr>
                <w:spacing w:val="-1"/>
                <w:szCs w:val="52"/>
              </w:rPr>
              <w:t xml:space="preserve"> </w:t>
            </w:r>
            <w:r w:rsidRPr="005953A3">
              <w:rPr>
                <w:szCs w:val="52"/>
              </w:rPr>
              <w:t>dose</w:t>
            </w:r>
          </w:p>
        </w:tc>
        <w:tc>
          <w:tcPr>
            <w:tcW w:w="1366" w:type="dxa"/>
            <w:vMerge/>
            <w:tcBorders>
              <w:top w:val="nil"/>
              <w:left w:val="single" w:sz="6" w:space="0" w:color="000000"/>
              <w:right w:val="single" w:sz="6" w:space="0" w:color="000000"/>
            </w:tcBorders>
          </w:tcPr>
          <w:p w14:paraId="2348C6B8" w14:textId="77777777" w:rsidR="00376D82" w:rsidRPr="005953A3" w:rsidRDefault="00376D82" w:rsidP="00BB1939">
            <w:pPr>
              <w:spacing w:after="0" w:line="360" w:lineRule="auto"/>
              <w:rPr>
                <w:sz w:val="22"/>
                <w:szCs w:val="52"/>
              </w:rPr>
            </w:pPr>
          </w:p>
        </w:tc>
      </w:tr>
    </w:tbl>
    <w:p w14:paraId="1C08589C" w14:textId="77777777" w:rsidR="00376D82" w:rsidRDefault="00376D82" w:rsidP="00376D82">
      <w:pPr>
        <w:pStyle w:val="BodyText"/>
        <w:spacing w:after="0"/>
        <w:rPr>
          <w:b/>
          <w:szCs w:val="22"/>
        </w:rPr>
      </w:pPr>
    </w:p>
    <w:p w14:paraId="073C1777" w14:textId="795AF077" w:rsidR="00376D82" w:rsidRDefault="00D018CB" w:rsidP="00D018CB">
      <w:pPr>
        <w:pStyle w:val="Caption"/>
      </w:pPr>
      <w:r>
        <w:t xml:space="preserve">Table </w:t>
      </w:r>
      <w:r>
        <w:fldChar w:fldCharType="begin"/>
      </w:r>
      <w:r>
        <w:instrText xml:space="preserve"> SEQ Table \* ARABIC </w:instrText>
      </w:r>
      <w:r>
        <w:fldChar w:fldCharType="separate"/>
      </w:r>
      <w:r>
        <w:rPr>
          <w:noProof/>
        </w:rPr>
        <w:t>3</w:t>
      </w:r>
      <w:r>
        <w:fldChar w:fldCharType="end"/>
      </w:r>
      <w:r w:rsidR="00376D82">
        <w:tab/>
        <w:t>Summary of dosing for reversal of rivaroxaban</w:t>
      </w:r>
    </w:p>
    <w:p w14:paraId="275CEBF3" w14:textId="77777777" w:rsidR="00376D82" w:rsidRDefault="00376D82" w:rsidP="00376D82">
      <w:pPr>
        <w:pStyle w:val="BodyText"/>
        <w:spacing w:after="0"/>
        <w:rPr>
          <w:b/>
          <w:szCs w:val="22"/>
        </w:rPr>
      </w:pP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2631"/>
        <w:gridCol w:w="2578"/>
        <w:gridCol w:w="1366"/>
      </w:tblGrid>
      <w:tr w:rsidR="00376D82" w:rsidRPr="005953A3" w14:paraId="5B8A6F47" w14:textId="77777777" w:rsidTr="00BB1939">
        <w:trPr>
          <w:trHeight w:val="350"/>
        </w:trPr>
        <w:tc>
          <w:tcPr>
            <w:tcW w:w="1841" w:type="dxa"/>
            <w:vMerge w:val="restart"/>
            <w:vAlign w:val="center"/>
          </w:tcPr>
          <w:p w14:paraId="32D49A33" w14:textId="77777777" w:rsidR="00376D82" w:rsidRPr="005953A3" w:rsidRDefault="00376D82" w:rsidP="00BB1939">
            <w:pPr>
              <w:pStyle w:val="TableHead"/>
              <w:spacing w:before="0" w:after="0" w:line="360" w:lineRule="auto"/>
              <w:rPr>
                <w:sz w:val="22"/>
                <w:szCs w:val="52"/>
              </w:rPr>
            </w:pPr>
            <w:proofErr w:type="spellStart"/>
            <w:r w:rsidRPr="005953A3">
              <w:rPr>
                <w:sz w:val="22"/>
                <w:szCs w:val="52"/>
              </w:rPr>
              <w:t>FXa</w:t>
            </w:r>
            <w:proofErr w:type="spellEnd"/>
            <w:r w:rsidRPr="005953A3">
              <w:rPr>
                <w:spacing w:val="-4"/>
                <w:sz w:val="22"/>
                <w:szCs w:val="52"/>
              </w:rPr>
              <w:t xml:space="preserve"> </w:t>
            </w:r>
            <w:r w:rsidRPr="005953A3">
              <w:rPr>
                <w:sz w:val="22"/>
                <w:szCs w:val="52"/>
              </w:rPr>
              <w:t>inhibitor</w:t>
            </w:r>
          </w:p>
        </w:tc>
        <w:tc>
          <w:tcPr>
            <w:tcW w:w="2631" w:type="dxa"/>
            <w:vMerge w:val="restart"/>
            <w:vAlign w:val="center"/>
          </w:tcPr>
          <w:p w14:paraId="212C76F6" w14:textId="76B57A67" w:rsidR="00376D82" w:rsidRPr="005953A3" w:rsidRDefault="00A808C8" w:rsidP="00BB1939">
            <w:pPr>
              <w:pStyle w:val="TableHead"/>
              <w:spacing w:before="0" w:after="0" w:line="360" w:lineRule="auto"/>
              <w:rPr>
                <w:sz w:val="22"/>
                <w:szCs w:val="52"/>
              </w:rPr>
            </w:pPr>
            <w:r>
              <w:rPr>
                <w:sz w:val="22"/>
                <w:szCs w:val="52"/>
              </w:rPr>
              <w:t>L</w:t>
            </w:r>
            <w:r w:rsidR="00376D82" w:rsidRPr="005953A3">
              <w:rPr>
                <w:sz w:val="22"/>
                <w:szCs w:val="52"/>
              </w:rPr>
              <w:t>ast</w:t>
            </w:r>
            <w:r w:rsidR="00376D82" w:rsidRPr="005953A3">
              <w:rPr>
                <w:spacing w:val="-2"/>
                <w:sz w:val="22"/>
                <w:szCs w:val="52"/>
              </w:rPr>
              <w:t xml:space="preserve"> </w:t>
            </w:r>
            <w:r w:rsidR="00376D82" w:rsidRPr="005953A3">
              <w:rPr>
                <w:sz w:val="22"/>
                <w:szCs w:val="52"/>
              </w:rPr>
              <w:t>dose</w:t>
            </w:r>
          </w:p>
        </w:tc>
        <w:tc>
          <w:tcPr>
            <w:tcW w:w="3944" w:type="dxa"/>
            <w:gridSpan w:val="2"/>
            <w:vAlign w:val="center"/>
          </w:tcPr>
          <w:p w14:paraId="41DC8C71" w14:textId="77777777" w:rsidR="00376D82" w:rsidRPr="008355E9" w:rsidRDefault="00376D82" w:rsidP="00BB1939">
            <w:pPr>
              <w:pStyle w:val="TableHead"/>
              <w:spacing w:after="0" w:line="360" w:lineRule="auto"/>
              <w:rPr>
                <w:sz w:val="22"/>
                <w:szCs w:val="52"/>
              </w:rPr>
            </w:pPr>
            <w:r w:rsidRPr="008355E9">
              <w:rPr>
                <w:sz w:val="22"/>
                <w:szCs w:val="52"/>
              </w:rPr>
              <w:t>Tim</w:t>
            </w:r>
            <w:r>
              <w:rPr>
                <w:sz w:val="22"/>
                <w:szCs w:val="52"/>
              </w:rPr>
              <w:t>e since</w:t>
            </w:r>
            <w:r w:rsidRPr="008355E9">
              <w:rPr>
                <w:sz w:val="22"/>
                <w:szCs w:val="52"/>
              </w:rPr>
              <w:t xml:space="preserve"> last dose before</w:t>
            </w:r>
          </w:p>
          <w:p w14:paraId="4504930F" w14:textId="77777777" w:rsidR="00376D82" w:rsidRPr="005953A3" w:rsidRDefault="00376D82" w:rsidP="00BB1939">
            <w:pPr>
              <w:pStyle w:val="TableHead"/>
              <w:spacing w:before="0" w:after="0" w:line="360" w:lineRule="auto"/>
              <w:rPr>
                <w:sz w:val="22"/>
                <w:szCs w:val="52"/>
              </w:rPr>
            </w:pPr>
            <w:r>
              <w:rPr>
                <w:sz w:val="22"/>
                <w:szCs w:val="52"/>
              </w:rPr>
              <w:t>i</w:t>
            </w:r>
            <w:r w:rsidRPr="008355E9">
              <w:rPr>
                <w:sz w:val="22"/>
                <w:szCs w:val="52"/>
              </w:rPr>
              <w:t>nitiation</w:t>
            </w:r>
            <w:r>
              <w:rPr>
                <w:sz w:val="22"/>
                <w:szCs w:val="52"/>
              </w:rPr>
              <w:t xml:space="preserve"> of ANDEXXA</w:t>
            </w:r>
          </w:p>
        </w:tc>
      </w:tr>
      <w:tr w:rsidR="00376D82" w:rsidRPr="005953A3" w14:paraId="1C69BDC1" w14:textId="77777777" w:rsidTr="00BB1939">
        <w:trPr>
          <w:trHeight w:val="350"/>
        </w:trPr>
        <w:tc>
          <w:tcPr>
            <w:tcW w:w="1841" w:type="dxa"/>
            <w:vMerge/>
            <w:vAlign w:val="center"/>
          </w:tcPr>
          <w:p w14:paraId="68DBE5E9" w14:textId="77777777" w:rsidR="00376D82" w:rsidRPr="005953A3" w:rsidRDefault="00376D82" w:rsidP="00BB1939">
            <w:pPr>
              <w:pStyle w:val="TableHead"/>
              <w:spacing w:before="0" w:after="0" w:line="360" w:lineRule="auto"/>
              <w:rPr>
                <w:sz w:val="22"/>
                <w:szCs w:val="52"/>
              </w:rPr>
            </w:pPr>
          </w:p>
        </w:tc>
        <w:tc>
          <w:tcPr>
            <w:tcW w:w="2631" w:type="dxa"/>
            <w:vMerge/>
            <w:vAlign w:val="center"/>
          </w:tcPr>
          <w:p w14:paraId="571003CB" w14:textId="77777777" w:rsidR="00376D82" w:rsidRPr="005953A3" w:rsidRDefault="00376D82" w:rsidP="00BB1939">
            <w:pPr>
              <w:pStyle w:val="TableHead"/>
              <w:spacing w:before="0" w:after="0" w:line="360" w:lineRule="auto"/>
              <w:rPr>
                <w:sz w:val="22"/>
                <w:szCs w:val="52"/>
              </w:rPr>
            </w:pPr>
          </w:p>
        </w:tc>
        <w:tc>
          <w:tcPr>
            <w:tcW w:w="2578" w:type="dxa"/>
            <w:vAlign w:val="center"/>
          </w:tcPr>
          <w:p w14:paraId="1C6E6F05" w14:textId="77777777" w:rsidR="00376D82" w:rsidRPr="005953A3" w:rsidRDefault="00376D82" w:rsidP="00BB1939">
            <w:pPr>
              <w:pStyle w:val="TableHead"/>
              <w:spacing w:before="0" w:after="0" w:line="360" w:lineRule="auto"/>
              <w:rPr>
                <w:sz w:val="22"/>
                <w:szCs w:val="52"/>
              </w:rPr>
            </w:pPr>
            <w:r w:rsidRPr="005953A3">
              <w:rPr>
                <w:sz w:val="22"/>
                <w:szCs w:val="52"/>
              </w:rPr>
              <w:t>&lt;8 hours</w:t>
            </w:r>
            <w:r w:rsidRPr="005953A3">
              <w:rPr>
                <w:spacing w:val="-2"/>
                <w:sz w:val="22"/>
                <w:szCs w:val="52"/>
              </w:rPr>
              <w:t xml:space="preserve"> </w:t>
            </w:r>
            <w:r w:rsidRPr="005953A3">
              <w:rPr>
                <w:sz w:val="22"/>
                <w:szCs w:val="52"/>
              </w:rPr>
              <w:t>or</w:t>
            </w:r>
            <w:r w:rsidRPr="005953A3">
              <w:rPr>
                <w:spacing w:val="-1"/>
                <w:sz w:val="22"/>
                <w:szCs w:val="52"/>
              </w:rPr>
              <w:t xml:space="preserve"> </w:t>
            </w:r>
            <w:r w:rsidRPr="005953A3">
              <w:rPr>
                <w:sz w:val="22"/>
                <w:szCs w:val="52"/>
              </w:rPr>
              <w:t>unknown</w:t>
            </w:r>
          </w:p>
        </w:tc>
        <w:tc>
          <w:tcPr>
            <w:tcW w:w="1366" w:type="dxa"/>
            <w:vAlign w:val="center"/>
          </w:tcPr>
          <w:p w14:paraId="53A5D859" w14:textId="77777777" w:rsidR="00376D82" w:rsidRPr="005953A3" w:rsidRDefault="00376D82" w:rsidP="00BB1939">
            <w:pPr>
              <w:pStyle w:val="TableHead"/>
              <w:spacing w:before="0" w:after="0" w:line="360" w:lineRule="auto"/>
              <w:rPr>
                <w:sz w:val="22"/>
                <w:szCs w:val="52"/>
              </w:rPr>
            </w:pPr>
            <w:r w:rsidRPr="005953A3">
              <w:rPr>
                <w:sz w:val="22"/>
                <w:szCs w:val="52"/>
              </w:rPr>
              <w:t>≥8 hours</w:t>
            </w:r>
          </w:p>
        </w:tc>
      </w:tr>
      <w:tr w:rsidR="00376D82" w:rsidRPr="005953A3" w14:paraId="2FA03ACC" w14:textId="77777777" w:rsidTr="00BB1939">
        <w:trPr>
          <w:trHeight w:val="229"/>
        </w:trPr>
        <w:tc>
          <w:tcPr>
            <w:tcW w:w="1841" w:type="dxa"/>
            <w:vMerge w:val="restart"/>
            <w:vAlign w:val="center"/>
          </w:tcPr>
          <w:p w14:paraId="1FA14C6A" w14:textId="77777777" w:rsidR="00376D82" w:rsidRPr="005953A3" w:rsidRDefault="00376D82" w:rsidP="00BB1939">
            <w:pPr>
              <w:pStyle w:val="TableParagraph"/>
              <w:spacing w:line="360" w:lineRule="auto"/>
              <w:ind w:left="0"/>
              <w:jc w:val="center"/>
              <w:rPr>
                <w:szCs w:val="52"/>
              </w:rPr>
            </w:pPr>
            <w:r w:rsidRPr="005953A3">
              <w:rPr>
                <w:szCs w:val="52"/>
              </w:rPr>
              <w:t>Rivaroxaban</w:t>
            </w:r>
          </w:p>
        </w:tc>
        <w:tc>
          <w:tcPr>
            <w:tcW w:w="2631" w:type="dxa"/>
            <w:vAlign w:val="center"/>
          </w:tcPr>
          <w:p w14:paraId="09FD33EF" w14:textId="77777777" w:rsidR="00376D82" w:rsidRPr="005953A3" w:rsidRDefault="00376D82" w:rsidP="00BB1939">
            <w:pPr>
              <w:pStyle w:val="TableParagraph"/>
              <w:spacing w:line="360" w:lineRule="auto"/>
              <w:ind w:left="0"/>
              <w:jc w:val="center"/>
              <w:rPr>
                <w:szCs w:val="52"/>
              </w:rPr>
            </w:pPr>
            <w:r w:rsidRPr="005953A3">
              <w:rPr>
                <w:szCs w:val="52"/>
              </w:rPr>
              <w:t>≤10</w:t>
            </w:r>
            <w:r w:rsidRPr="005953A3">
              <w:rPr>
                <w:spacing w:val="-1"/>
                <w:szCs w:val="52"/>
              </w:rPr>
              <w:t xml:space="preserve"> </w:t>
            </w:r>
            <w:r w:rsidRPr="005953A3">
              <w:rPr>
                <w:szCs w:val="52"/>
              </w:rPr>
              <w:t>mg</w:t>
            </w:r>
          </w:p>
        </w:tc>
        <w:tc>
          <w:tcPr>
            <w:tcW w:w="2578" w:type="dxa"/>
            <w:vAlign w:val="center"/>
          </w:tcPr>
          <w:p w14:paraId="51BE1EDB" w14:textId="77777777" w:rsidR="00376D82" w:rsidRPr="005953A3" w:rsidRDefault="00376D82" w:rsidP="00BB1939">
            <w:pPr>
              <w:pStyle w:val="TableParagraph"/>
              <w:spacing w:line="360" w:lineRule="auto"/>
              <w:ind w:left="0"/>
              <w:jc w:val="center"/>
              <w:rPr>
                <w:szCs w:val="52"/>
              </w:rPr>
            </w:pPr>
            <w:r w:rsidRPr="005953A3">
              <w:rPr>
                <w:szCs w:val="52"/>
              </w:rPr>
              <w:t>Low</w:t>
            </w:r>
            <w:r w:rsidRPr="005953A3">
              <w:rPr>
                <w:spacing w:val="-1"/>
                <w:szCs w:val="52"/>
              </w:rPr>
              <w:t xml:space="preserve"> </w:t>
            </w:r>
            <w:r w:rsidRPr="005953A3">
              <w:rPr>
                <w:szCs w:val="52"/>
              </w:rPr>
              <w:t>dose</w:t>
            </w:r>
          </w:p>
        </w:tc>
        <w:tc>
          <w:tcPr>
            <w:tcW w:w="1366" w:type="dxa"/>
            <w:vMerge w:val="restart"/>
            <w:tcBorders>
              <w:left w:val="single" w:sz="6" w:space="0" w:color="000000"/>
              <w:right w:val="single" w:sz="6" w:space="0" w:color="000000"/>
            </w:tcBorders>
            <w:vAlign w:val="center"/>
          </w:tcPr>
          <w:p w14:paraId="05B298E5" w14:textId="77777777" w:rsidR="00376D82" w:rsidRPr="005953A3" w:rsidRDefault="00376D82" w:rsidP="00BB1939">
            <w:pPr>
              <w:pStyle w:val="TableParagraph"/>
              <w:spacing w:line="360" w:lineRule="auto"/>
              <w:ind w:left="0"/>
              <w:jc w:val="center"/>
              <w:rPr>
                <w:szCs w:val="52"/>
              </w:rPr>
            </w:pPr>
            <w:r w:rsidRPr="005953A3">
              <w:rPr>
                <w:szCs w:val="52"/>
              </w:rPr>
              <w:t>Low</w:t>
            </w:r>
            <w:r w:rsidRPr="005953A3">
              <w:rPr>
                <w:spacing w:val="-1"/>
                <w:szCs w:val="52"/>
              </w:rPr>
              <w:t xml:space="preserve"> </w:t>
            </w:r>
            <w:r w:rsidRPr="005953A3">
              <w:rPr>
                <w:szCs w:val="52"/>
              </w:rPr>
              <w:t>dose</w:t>
            </w:r>
          </w:p>
        </w:tc>
      </w:tr>
      <w:tr w:rsidR="00376D82" w:rsidRPr="005953A3" w14:paraId="367F2AA7" w14:textId="77777777" w:rsidTr="00BB1939">
        <w:trPr>
          <w:trHeight w:val="230"/>
        </w:trPr>
        <w:tc>
          <w:tcPr>
            <w:tcW w:w="1841" w:type="dxa"/>
            <w:vMerge/>
            <w:tcBorders>
              <w:top w:val="nil"/>
            </w:tcBorders>
            <w:vAlign w:val="center"/>
          </w:tcPr>
          <w:p w14:paraId="30FC6107" w14:textId="77777777" w:rsidR="00376D82" w:rsidRPr="005953A3" w:rsidRDefault="00376D82" w:rsidP="00BB1939">
            <w:pPr>
              <w:spacing w:after="0" w:line="360" w:lineRule="auto"/>
              <w:jc w:val="center"/>
              <w:rPr>
                <w:sz w:val="22"/>
                <w:szCs w:val="52"/>
              </w:rPr>
            </w:pPr>
          </w:p>
        </w:tc>
        <w:tc>
          <w:tcPr>
            <w:tcW w:w="2631" w:type="dxa"/>
            <w:vAlign w:val="center"/>
          </w:tcPr>
          <w:p w14:paraId="5D2316DE" w14:textId="77777777" w:rsidR="00376D82" w:rsidRPr="005953A3" w:rsidRDefault="00376D82" w:rsidP="00BB1939">
            <w:pPr>
              <w:pStyle w:val="TableParagraph"/>
              <w:spacing w:line="360" w:lineRule="auto"/>
              <w:ind w:left="0"/>
              <w:jc w:val="center"/>
              <w:rPr>
                <w:szCs w:val="52"/>
              </w:rPr>
            </w:pPr>
            <w:r w:rsidRPr="005953A3">
              <w:rPr>
                <w:szCs w:val="52"/>
              </w:rPr>
              <w:t>&gt;10 mg</w:t>
            </w:r>
            <w:r w:rsidRPr="005953A3">
              <w:rPr>
                <w:spacing w:val="-2"/>
                <w:szCs w:val="52"/>
              </w:rPr>
              <w:t xml:space="preserve"> </w:t>
            </w:r>
            <w:r w:rsidRPr="005953A3">
              <w:rPr>
                <w:szCs w:val="52"/>
              </w:rPr>
              <w:t>or unknown</w:t>
            </w:r>
          </w:p>
        </w:tc>
        <w:tc>
          <w:tcPr>
            <w:tcW w:w="2578" w:type="dxa"/>
            <w:vAlign w:val="center"/>
          </w:tcPr>
          <w:p w14:paraId="26312DDF" w14:textId="77777777" w:rsidR="00376D82" w:rsidRPr="005953A3" w:rsidRDefault="00376D82" w:rsidP="00BB1939">
            <w:pPr>
              <w:pStyle w:val="TableParagraph"/>
              <w:spacing w:line="360" w:lineRule="auto"/>
              <w:ind w:left="0"/>
              <w:jc w:val="center"/>
              <w:rPr>
                <w:szCs w:val="52"/>
              </w:rPr>
            </w:pPr>
            <w:r w:rsidRPr="005953A3">
              <w:rPr>
                <w:szCs w:val="52"/>
              </w:rPr>
              <w:t>High</w:t>
            </w:r>
            <w:r w:rsidRPr="005953A3">
              <w:rPr>
                <w:spacing w:val="-1"/>
                <w:szCs w:val="52"/>
              </w:rPr>
              <w:t xml:space="preserve"> d</w:t>
            </w:r>
            <w:r w:rsidRPr="005953A3">
              <w:rPr>
                <w:szCs w:val="52"/>
              </w:rPr>
              <w:t>ose</w:t>
            </w:r>
          </w:p>
        </w:tc>
        <w:tc>
          <w:tcPr>
            <w:tcW w:w="1366" w:type="dxa"/>
            <w:vMerge/>
            <w:tcBorders>
              <w:top w:val="nil"/>
              <w:left w:val="single" w:sz="6" w:space="0" w:color="000000"/>
              <w:right w:val="single" w:sz="6" w:space="0" w:color="000000"/>
            </w:tcBorders>
          </w:tcPr>
          <w:p w14:paraId="47B99B14" w14:textId="77777777" w:rsidR="00376D82" w:rsidRPr="005953A3" w:rsidRDefault="00376D82" w:rsidP="00BB1939">
            <w:pPr>
              <w:spacing w:after="0" w:line="360" w:lineRule="auto"/>
              <w:rPr>
                <w:sz w:val="22"/>
                <w:szCs w:val="52"/>
              </w:rPr>
            </w:pPr>
          </w:p>
        </w:tc>
      </w:tr>
    </w:tbl>
    <w:p w14:paraId="45106C56" w14:textId="159211AD" w:rsidR="00F13B43" w:rsidRDefault="00F13B43" w:rsidP="0034277E">
      <w:pPr>
        <w:pStyle w:val="BodyText"/>
        <w:spacing w:after="0"/>
        <w:rPr>
          <w:b/>
          <w:szCs w:val="22"/>
        </w:rPr>
      </w:pPr>
    </w:p>
    <w:p w14:paraId="1C14389B" w14:textId="048D48B3" w:rsidR="00667C03" w:rsidRPr="00DB286D" w:rsidRDefault="00667C03" w:rsidP="00DB286D">
      <w:pPr>
        <w:pStyle w:val="Paragraph"/>
      </w:pPr>
      <w:r>
        <w:t>Treatment with andexanet alfa should not be administered if more than 18 hours has elapsed since the last dose of apixaban or rivaroxaban</w:t>
      </w:r>
    </w:p>
    <w:p w14:paraId="2218F7F6" w14:textId="29B06878" w:rsidR="00F13B43" w:rsidRPr="001F7C1C" w:rsidRDefault="00F13B43" w:rsidP="00176313">
      <w:pPr>
        <w:pStyle w:val="Heading3Unnumbered"/>
        <w:spacing w:before="0"/>
      </w:pPr>
      <w:r w:rsidRPr="001F7C1C">
        <w:t>Restarting</w:t>
      </w:r>
      <w:r w:rsidRPr="001F7C1C">
        <w:rPr>
          <w:spacing w:val="-4"/>
        </w:rPr>
        <w:t xml:space="preserve"> </w:t>
      </w:r>
      <w:r w:rsidR="0034277E" w:rsidRPr="001F7C1C">
        <w:t>a</w:t>
      </w:r>
      <w:r w:rsidRPr="001F7C1C">
        <w:t>ntithrombotic</w:t>
      </w:r>
      <w:r w:rsidRPr="001F7C1C">
        <w:rPr>
          <w:spacing w:val="-5"/>
        </w:rPr>
        <w:t xml:space="preserve"> </w:t>
      </w:r>
      <w:r w:rsidR="0034277E" w:rsidRPr="001F7C1C">
        <w:t>t</w:t>
      </w:r>
      <w:r w:rsidRPr="001F7C1C">
        <w:t>herapy</w:t>
      </w:r>
    </w:p>
    <w:p w14:paraId="050EE415" w14:textId="2AB4E785" w:rsidR="00C85696" w:rsidRPr="00712489" w:rsidRDefault="00F13B43" w:rsidP="00712489">
      <w:pPr>
        <w:pStyle w:val="Paragraph"/>
      </w:pPr>
      <w:r w:rsidRPr="00712489">
        <w:t xml:space="preserve">Patients being treated with </w:t>
      </w:r>
      <w:proofErr w:type="spellStart"/>
      <w:r w:rsidRPr="00712489">
        <w:t>FXa</w:t>
      </w:r>
      <w:proofErr w:type="spellEnd"/>
      <w:r w:rsidRPr="00712489">
        <w:t xml:space="preserve"> inhibitors have underlying disease states that predispose them to thromboembolic events. Reversing </w:t>
      </w:r>
      <w:proofErr w:type="spellStart"/>
      <w:r w:rsidRPr="00712489">
        <w:t>FXa</w:t>
      </w:r>
      <w:proofErr w:type="spellEnd"/>
      <w:r w:rsidRPr="00712489">
        <w:t xml:space="preserve"> inhibitor therapy exposes patients to the thrombotic </w:t>
      </w:r>
      <w:r w:rsidR="00712489" w:rsidRPr="00712489">
        <w:t xml:space="preserve">risk </w:t>
      </w:r>
      <w:r w:rsidRPr="00712489">
        <w:t>of their underlying disease. To reduce this risk, resumption of anticoagulant therapy should be considered as soon as medically appropriate.</w:t>
      </w:r>
    </w:p>
    <w:p w14:paraId="29C553CD" w14:textId="77777777" w:rsidR="00F06D37" w:rsidRDefault="00F06D37" w:rsidP="00F06D37">
      <w:pPr>
        <w:pStyle w:val="Heading3Unnumbered"/>
      </w:pPr>
      <w:r>
        <w:t>Method of administration</w:t>
      </w:r>
    </w:p>
    <w:p w14:paraId="122CB69E" w14:textId="77777777" w:rsidR="00F06D37" w:rsidRDefault="00F06D37" w:rsidP="00F06D37">
      <w:pPr>
        <w:pStyle w:val="Paragraph"/>
      </w:pPr>
      <w:r>
        <w:t>For intravenous (IV) use only.</w:t>
      </w:r>
    </w:p>
    <w:p w14:paraId="58668864" w14:textId="0C989CCD" w:rsidR="00F06D37" w:rsidRPr="00712489" w:rsidRDefault="00F06D37" w:rsidP="00712489">
      <w:pPr>
        <w:pStyle w:val="Paragraph"/>
      </w:pPr>
      <w:r w:rsidRPr="00712489">
        <w:lastRenderedPageBreak/>
        <w:t>After an appropriate number of vials of ANDEXXA has been reconstituted, the reconstituted solution (10 mg/mL) without further dilution is transferred to sterile large volume syringes in case a syringe pump is used for administration</w:t>
      </w:r>
      <w:r w:rsidR="00621A3F">
        <w:t>,</w:t>
      </w:r>
      <w:r w:rsidRPr="00712489">
        <w:t xml:space="preserve"> or to suitable empty IV bags comprised of polyolefin (PO) or polyvinyl chloride (PVC) material. Prior to administration by IV infusion, a 0.2 or 0.22 micron in-line </w:t>
      </w:r>
      <w:proofErr w:type="spellStart"/>
      <w:r w:rsidRPr="00712489">
        <w:t>polyethersulfone</w:t>
      </w:r>
      <w:proofErr w:type="spellEnd"/>
      <w:r w:rsidRPr="00712489">
        <w:t xml:space="preserve"> (PES) or equivalent low protein- binding filter should be used.</w:t>
      </w:r>
    </w:p>
    <w:p w14:paraId="708B389F" w14:textId="37BDDEAF" w:rsidR="00F06D37" w:rsidRDefault="00F06D37" w:rsidP="00F06D37">
      <w:pPr>
        <w:pStyle w:val="Paragraph"/>
      </w:pPr>
      <w:r>
        <w:t>ANDEXXA is administered as an IV bolus at a target rate of approximately 30 mg/min, followed by administration of a continuous IV infusion for 120 minutes (see</w:t>
      </w:r>
      <w:r w:rsidR="00D018CB">
        <w:t xml:space="preserve"> Table 1</w:t>
      </w:r>
      <w:r>
        <w:t>).</w:t>
      </w:r>
      <w:r w:rsidR="004E7490">
        <w:t xml:space="preserve"> </w:t>
      </w:r>
      <w:r w:rsidR="004E7490" w:rsidRPr="004E7490">
        <w:t>The continuous infusion is to be administered within two minutes following the bolus dose.</w:t>
      </w:r>
    </w:p>
    <w:p w14:paraId="5201CA93" w14:textId="0B533C81" w:rsidR="00F06D37" w:rsidRDefault="00F06D37" w:rsidP="0034277E">
      <w:pPr>
        <w:pStyle w:val="Paragraph"/>
      </w:pPr>
      <w:r>
        <w:t xml:space="preserve">For instructions on reconstitution of the medicinal product before administration, see </w:t>
      </w:r>
      <w:r w:rsidR="005F00C9">
        <w:t>below.</w:t>
      </w:r>
    </w:p>
    <w:p w14:paraId="679EF1E7" w14:textId="77777777" w:rsidR="00151021" w:rsidRDefault="00151021" w:rsidP="00201BDC">
      <w:pPr>
        <w:pStyle w:val="Heading3Unnumbered"/>
      </w:pPr>
      <w:r>
        <w:t>Reconstitution</w:t>
      </w:r>
    </w:p>
    <w:p w14:paraId="57B30A61" w14:textId="77777777" w:rsidR="00151021" w:rsidRDefault="00151021" w:rsidP="00151021">
      <w:pPr>
        <w:pStyle w:val="Paragraph"/>
      </w:pPr>
      <w:r>
        <w:t>The following are needed before starting reconstitution:</w:t>
      </w:r>
    </w:p>
    <w:p w14:paraId="0AA20575" w14:textId="6BE85CBF" w:rsidR="00151021" w:rsidRDefault="00151021" w:rsidP="00B94762">
      <w:pPr>
        <w:pStyle w:val="Paragraph"/>
        <w:numPr>
          <w:ilvl w:val="0"/>
          <w:numId w:val="14"/>
        </w:numPr>
      </w:pPr>
      <w:r>
        <w:t>Calculated number of vials (see</w:t>
      </w:r>
      <w:r w:rsidR="00D018CB">
        <w:t xml:space="preserve"> Table 1</w:t>
      </w:r>
      <w:r w:rsidR="005F00C9">
        <w:t xml:space="preserve"> and 2</w:t>
      </w:r>
      <w:r w:rsidR="00395F60">
        <w:t xml:space="preserve"> or 3</w:t>
      </w:r>
      <w:r>
        <w:t>).</w:t>
      </w:r>
    </w:p>
    <w:p w14:paraId="04B8014B" w14:textId="42C13A93" w:rsidR="00151021" w:rsidRDefault="00151021" w:rsidP="00B94762">
      <w:pPr>
        <w:pStyle w:val="Paragraph"/>
        <w:numPr>
          <w:ilvl w:val="0"/>
          <w:numId w:val="14"/>
        </w:numPr>
      </w:pPr>
      <w:r>
        <w:t xml:space="preserve">Same number of 20 mL (or larger) solvent syringes equipped with a </w:t>
      </w:r>
      <w:proofErr w:type="gramStart"/>
      <w:r>
        <w:t>20 gauge</w:t>
      </w:r>
      <w:proofErr w:type="gramEnd"/>
      <w:r>
        <w:t xml:space="preserve"> (or larger) needle.</w:t>
      </w:r>
    </w:p>
    <w:p w14:paraId="22165F08" w14:textId="09F0E3A9" w:rsidR="00151021" w:rsidRDefault="00151021" w:rsidP="00B94762">
      <w:pPr>
        <w:pStyle w:val="Paragraph"/>
        <w:numPr>
          <w:ilvl w:val="0"/>
          <w:numId w:val="14"/>
        </w:numPr>
      </w:pPr>
      <w:r>
        <w:t>Alcohol swabs.</w:t>
      </w:r>
    </w:p>
    <w:p w14:paraId="4F488601" w14:textId="09820195" w:rsidR="00151021" w:rsidRDefault="00151021" w:rsidP="00B94762">
      <w:pPr>
        <w:pStyle w:val="Paragraph"/>
        <w:numPr>
          <w:ilvl w:val="0"/>
          <w:numId w:val="14"/>
        </w:numPr>
      </w:pPr>
      <w:r>
        <w:t xml:space="preserve">Large (40 mL or larger) sterile syringe. If a </w:t>
      </w:r>
      <w:r w:rsidRPr="00DB286D">
        <w:t xml:space="preserve">syringe </w:t>
      </w:r>
      <w:r w:rsidR="006C266A" w:rsidRPr="00DB286D">
        <w:t>pump</w:t>
      </w:r>
      <w:r w:rsidRPr="00DB286D">
        <w:t xml:space="preserve"> is</w:t>
      </w:r>
      <w:r>
        <w:t xml:space="preserve"> used for administration, multiple syringes should be used to contain the final volume of reconstituted product.</w:t>
      </w:r>
    </w:p>
    <w:p w14:paraId="2C49B4DF" w14:textId="1CB86A46" w:rsidR="00151021" w:rsidRDefault="007D20E7" w:rsidP="00B94762">
      <w:pPr>
        <w:pStyle w:val="Paragraph"/>
        <w:numPr>
          <w:ilvl w:val="0"/>
          <w:numId w:val="14"/>
        </w:numPr>
      </w:pPr>
      <w:r>
        <w:t>Empty i</w:t>
      </w:r>
      <w:r w:rsidR="00151021">
        <w:t>ntravenous polyolefin (PO) or polyvinyl chloride (PVC) ba</w:t>
      </w:r>
      <w:r w:rsidR="00151021" w:rsidRPr="00DB286D">
        <w:t>g</w:t>
      </w:r>
      <w:r w:rsidR="00C802E6" w:rsidRPr="00DB286D">
        <w:t>s</w:t>
      </w:r>
      <w:r w:rsidR="00151021" w:rsidRPr="00DB286D">
        <w:t xml:space="preserve"> (</w:t>
      </w:r>
      <w:r w:rsidR="00151021">
        <w:t>250 mL or less) to contain the final volume of reconstituted product (if administration is performed with an IV bag).</w:t>
      </w:r>
    </w:p>
    <w:p w14:paraId="22ACA70E" w14:textId="7C0341B5" w:rsidR="00151021" w:rsidRDefault="00151021" w:rsidP="00B94762">
      <w:pPr>
        <w:pStyle w:val="Paragraph"/>
        <w:numPr>
          <w:ilvl w:val="0"/>
          <w:numId w:val="14"/>
        </w:numPr>
      </w:pPr>
      <w:r>
        <w:t>Water for injection.</w:t>
      </w:r>
    </w:p>
    <w:p w14:paraId="549187F8" w14:textId="23FCB970" w:rsidR="00151021" w:rsidRDefault="00151021" w:rsidP="00B94762">
      <w:pPr>
        <w:pStyle w:val="Paragraph"/>
        <w:numPr>
          <w:ilvl w:val="0"/>
          <w:numId w:val="14"/>
        </w:numPr>
      </w:pPr>
      <w:r>
        <w:t xml:space="preserve">0.2 or 0.22 micron in-line </w:t>
      </w:r>
      <w:proofErr w:type="spellStart"/>
      <w:r>
        <w:t>polyethersulfone</w:t>
      </w:r>
      <w:proofErr w:type="spellEnd"/>
      <w:r>
        <w:t xml:space="preserve"> (PES) or equivalent low protein-binding filter.</w:t>
      </w:r>
    </w:p>
    <w:p w14:paraId="6E1A24A9" w14:textId="6594A316" w:rsidR="00151021" w:rsidRDefault="00151021" w:rsidP="00151021">
      <w:pPr>
        <w:pStyle w:val="Paragraph"/>
      </w:pPr>
      <w:r>
        <w:t xml:space="preserve">ANDEXXA does not need to be brought to room temperature </w:t>
      </w:r>
      <w:r w:rsidR="00A119F4">
        <w:t>(</w:t>
      </w:r>
      <w:r w:rsidR="00BB1939">
        <w:t>≤</w:t>
      </w:r>
      <w:r w:rsidR="00A119F4">
        <w:t>25</w:t>
      </w:r>
      <w:r w:rsidR="00A119F4" w:rsidRPr="00A119F4">
        <w:rPr>
          <w:lang w:val="en-AU"/>
        </w:rPr>
        <w:t>°C</w:t>
      </w:r>
      <w:r w:rsidR="00A119F4">
        <w:rPr>
          <w:lang w:val="en-AU"/>
        </w:rPr>
        <w:t>)</w:t>
      </w:r>
      <w:r w:rsidR="00A119F4" w:rsidRPr="00A119F4">
        <w:rPr>
          <w:lang w:val="en-AU"/>
        </w:rPr>
        <w:t xml:space="preserve"> </w:t>
      </w:r>
      <w:r>
        <w:t>before reconstitution or administration to the patient. Aseptic technique during the reconstitution procedure should be used.</w:t>
      </w:r>
      <w:r w:rsidR="00416134">
        <w:t xml:space="preserve"> </w:t>
      </w:r>
      <w:r w:rsidR="00416134" w:rsidRPr="00416134">
        <w:t xml:space="preserve">Product is for single use in one patient only. </w:t>
      </w:r>
      <w:r w:rsidR="00416134">
        <w:t>Discard any residue.</w:t>
      </w:r>
    </w:p>
    <w:p w14:paraId="7BFD52FD" w14:textId="764C2923" w:rsidR="00151021" w:rsidRDefault="00151021" w:rsidP="00151021">
      <w:pPr>
        <w:pStyle w:val="Paragraph"/>
      </w:pPr>
      <w:r>
        <w:t>Each vial is reconstituted according to the following instructions:</w:t>
      </w:r>
    </w:p>
    <w:p w14:paraId="62D3105C" w14:textId="6B10224E" w:rsidR="005F1589" w:rsidRDefault="005F1589" w:rsidP="00B94762">
      <w:pPr>
        <w:pStyle w:val="Paragraph"/>
        <w:numPr>
          <w:ilvl w:val="0"/>
          <w:numId w:val="15"/>
        </w:numPr>
      </w:pPr>
      <w:r>
        <w:t>Remove</w:t>
      </w:r>
      <w:r w:rsidRPr="005F1589">
        <w:t xml:space="preserve"> </w:t>
      </w:r>
      <w:r>
        <w:t>the flip-top from each vial.</w:t>
      </w:r>
    </w:p>
    <w:p w14:paraId="17CA1926" w14:textId="33873BB5" w:rsidR="00151021" w:rsidRDefault="00151021" w:rsidP="00B94762">
      <w:pPr>
        <w:pStyle w:val="Paragraph"/>
        <w:numPr>
          <w:ilvl w:val="0"/>
          <w:numId w:val="15"/>
        </w:numPr>
      </w:pPr>
      <w:r>
        <w:t>Wipe the rubber stopper of each vial with an alcohol swab.</w:t>
      </w:r>
    </w:p>
    <w:p w14:paraId="3F3381B3" w14:textId="7B4C0DBA" w:rsidR="00151021" w:rsidRDefault="00151021" w:rsidP="00B94762">
      <w:pPr>
        <w:pStyle w:val="Paragraph"/>
        <w:numPr>
          <w:ilvl w:val="0"/>
          <w:numId w:val="15"/>
        </w:numPr>
      </w:pPr>
      <w:r>
        <w:t xml:space="preserve">Using a 20 mL (or larger) syringe and a </w:t>
      </w:r>
      <w:proofErr w:type="gramStart"/>
      <w:r>
        <w:t>20 gauge</w:t>
      </w:r>
      <w:proofErr w:type="gramEnd"/>
      <w:r>
        <w:t xml:space="preserve"> (or larger) needle, withdraw 20 mL of water for injection.</w:t>
      </w:r>
    </w:p>
    <w:p w14:paraId="36038107" w14:textId="00087EEB" w:rsidR="00151021" w:rsidRDefault="00151021" w:rsidP="00B94762">
      <w:pPr>
        <w:pStyle w:val="Paragraph"/>
        <w:numPr>
          <w:ilvl w:val="0"/>
          <w:numId w:val="15"/>
        </w:numPr>
      </w:pPr>
      <w:r>
        <w:t>Insert the syringe needle through the centr</w:t>
      </w:r>
      <w:r w:rsidR="00532BE9">
        <w:t>e</w:t>
      </w:r>
      <w:r>
        <w:t xml:space="preserve"> of the rubber stopper.</w:t>
      </w:r>
    </w:p>
    <w:p w14:paraId="3F79AA95" w14:textId="2FB79C5F" w:rsidR="00151021" w:rsidRDefault="00151021" w:rsidP="00B94762">
      <w:pPr>
        <w:pStyle w:val="Paragraph"/>
        <w:numPr>
          <w:ilvl w:val="0"/>
          <w:numId w:val="15"/>
        </w:numPr>
      </w:pPr>
      <w:r>
        <w:t>Push the plunger down to slowly inject the 20 mL of water for injection into the vial, directing the stream toward the inside wall of the vial to minimise foaming.</w:t>
      </w:r>
    </w:p>
    <w:p w14:paraId="3991E315" w14:textId="133AB924" w:rsidR="00151021" w:rsidRDefault="00151021" w:rsidP="00B94762">
      <w:pPr>
        <w:pStyle w:val="Paragraph"/>
        <w:numPr>
          <w:ilvl w:val="0"/>
          <w:numId w:val="15"/>
        </w:numPr>
      </w:pPr>
      <w:r>
        <w:lastRenderedPageBreak/>
        <w:t xml:space="preserve">Gently swirl each vial, until </w:t>
      </w:r>
      <w:proofErr w:type="gramStart"/>
      <w:r>
        <w:t>all of</w:t>
      </w:r>
      <w:proofErr w:type="gramEnd"/>
      <w:r>
        <w:t xml:space="preserve"> the powder is completely dissolved. DO NOT SHAKE the vials as this can lead to foaming. The dissolution time for each vial is approximately 3 to 5 minutes.</w:t>
      </w:r>
    </w:p>
    <w:p w14:paraId="2CC16503" w14:textId="32770EBA" w:rsidR="00151021" w:rsidRDefault="00151021" w:rsidP="00B94762">
      <w:pPr>
        <w:pStyle w:val="Paragraph"/>
        <w:numPr>
          <w:ilvl w:val="0"/>
          <w:numId w:val="15"/>
        </w:numPr>
      </w:pPr>
      <w:r>
        <w:t>The reconstituted solution should be inspected for particulate matter and/or discolouration prior to administration. Do not use if opaque particles or discolouration are present.</w:t>
      </w:r>
    </w:p>
    <w:p w14:paraId="124CE967" w14:textId="2F35815B" w:rsidR="00151021" w:rsidRDefault="00151021" w:rsidP="00B94762">
      <w:pPr>
        <w:pStyle w:val="Paragraph"/>
        <w:numPr>
          <w:ilvl w:val="0"/>
          <w:numId w:val="15"/>
        </w:numPr>
      </w:pPr>
      <w:r>
        <w:t>For the most efficient reconstitution of the needed dose, and to minimise errors, inject each vial needed with 20 mL of water for injection before proceeding to the next step.</w:t>
      </w:r>
    </w:p>
    <w:p w14:paraId="438C49B1" w14:textId="6E75895A" w:rsidR="00151021" w:rsidRDefault="00151021" w:rsidP="00B94762">
      <w:pPr>
        <w:pStyle w:val="Paragraph"/>
        <w:numPr>
          <w:ilvl w:val="0"/>
          <w:numId w:val="15"/>
        </w:numPr>
      </w:pPr>
      <w:r>
        <w:t xml:space="preserve">Reconstituted ANDEXXA in vials is stable at room temperature </w:t>
      </w:r>
      <w:r w:rsidR="00A75B62">
        <w:t>(</w:t>
      </w:r>
      <w:r w:rsidR="00214608">
        <w:t>≤</w:t>
      </w:r>
      <w:r w:rsidR="00A75B62">
        <w:t>25</w:t>
      </w:r>
      <w:r w:rsidR="00A75B62" w:rsidRPr="00A119F4">
        <w:rPr>
          <w:lang w:val="en-AU"/>
        </w:rPr>
        <w:t>°C</w:t>
      </w:r>
      <w:r w:rsidR="00A75B62">
        <w:rPr>
          <w:lang w:val="en-AU"/>
        </w:rPr>
        <w:t xml:space="preserve">) </w:t>
      </w:r>
      <w:r>
        <w:t>for up to 8 hours, or may be stored for up to 24 hours at 2°C to 8°C.</w:t>
      </w:r>
    </w:p>
    <w:p w14:paraId="77F3DCE5" w14:textId="2C724BD0" w:rsidR="00151021" w:rsidRDefault="00151021" w:rsidP="00AB62C6">
      <w:pPr>
        <w:pStyle w:val="Heading3Unnumbered"/>
      </w:pPr>
      <w:r>
        <w:t xml:space="preserve">Administration </w:t>
      </w:r>
      <w:r w:rsidR="00AB62C6">
        <w:t>u</w:t>
      </w:r>
      <w:r>
        <w:t xml:space="preserve">sing a </w:t>
      </w:r>
      <w:r w:rsidR="00AB62C6">
        <w:t>s</w:t>
      </w:r>
      <w:r>
        <w:t xml:space="preserve">yringe </w:t>
      </w:r>
      <w:r w:rsidR="00AB62C6">
        <w:t>p</w:t>
      </w:r>
      <w:r>
        <w:t>ump</w:t>
      </w:r>
    </w:p>
    <w:p w14:paraId="616E35F9" w14:textId="5FFD6AF5" w:rsidR="00151021" w:rsidRDefault="005F1589" w:rsidP="00B94762">
      <w:pPr>
        <w:pStyle w:val="Paragraph"/>
        <w:numPr>
          <w:ilvl w:val="0"/>
          <w:numId w:val="16"/>
        </w:numPr>
      </w:pPr>
      <w:r>
        <w:t xml:space="preserve">Once all </w:t>
      </w:r>
      <w:r w:rsidR="00151021">
        <w:t xml:space="preserve">required vials are reconstituted, the reconstituted solution is withdrawn from each vial, using the large volume (40 mL or larger) syringe equipped with a </w:t>
      </w:r>
      <w:proofErr w:type="gramStart"/>
      <w:r w:rsidR="00151021">
        <w:t>20 gauge</w:t>
      </w:r>
      <w:proofErr w:type="gramEnd"/>
      <w:r w:rsidR="00151021">
        <w:t xml:space="preserve"> (or larger) needle.</w:t>
      </w:r>
    </w:p>
    <w:p w14:paraId="5C198A2A" w14:textId="3565425C" w:rsidR="00151021" w:rsidRDefault="00151021" w:rsidP="00B94762">
      <w:pPr>
        <w:pStyle w:val="Paragraph"/>
        <w:numPr>
          <w:ilvl w:val="0"/>
          <w:numId w:val="16"/>
        </w:numPr>
      </w:pPr>
      <w:r>
        <w:t>The bolus and infusion are prepared in separate large volume syringes.</w:t>
      </w:r>
    </w:p>
    <w:p w14:paraId="5AD65EFF" w14:textId="32FCC930" w:rsidR="00151021" w:rsidRDefault="00151021" w:rsidP="00B94762">
      <w:pPr>
        <w:pStyle w:val="Paragraph"/>
        <w:numPr>
          <w:ilvl w:val="0"/>
          <w:numId w:val="16"/>
        </w:numPr>
      </w:pPr>
      <w:r>
        <w:t xml:space="preserve">Due to the additional volume, the high dose bolus and infusion </w:t>
      </w:r>
      <w:proofErr w:type="gramStart"/>
      <w:r>
        <w:t>have to</w:t>
      </w:r>
      <w:proofErr w:type="gramEnd"/>
      <w:r>
        <w:t xml:space="preserve"> be further separated into additional syringes (2 syringes apiece for bolus and infusion).</w:t>
      </w:r>
    </w:p>
    <w:p w14:paraId="6D07527F" w14:textId="2D7CDCE3" w:rsidR="00151021" w:rsidRDefault="00151021" w:rsidP="00B94762">
      <w:pPr>
        <w:pStyle w:val="Paragraph"/>
        <w:numPr>
          <w:ilvl w:val="0"/>
          <w:numId w:val="16"/>
        </w:numPr>
      </w:pPr>
      <w:r>
        <w:t>To prevent the inadvertent transfer of air, be careful to hold the syringe needle up, and do not set the syringe down between multiple withdrawals from vials.</w:t>
      </w:r>
    </w:p>
    <w:p w14:paraId="4CF4C7A0" w14:textId="0EC1BCFF" w:rsidR="00151021" w:rsidRDefault="00151021" w:rsidP="00B94762">
      <w:pPr>
        <w:pStyle w:val="Paragraph"/>
        <w:numPr>
          <w:ilvl w:val="0"/>
          <w:numId w:val="16"/>
        </w:numPr>
      </w:pPr>
      <w:r>
        <w:t>Attach ancillary equipment (</w:t>
      </w:r>
      <w:proofErr w:type="gramStart"/>
      <w:r w:rsidR="005F00C9">
        <w:t>i.e.</w:t>
      </w:r>
      <w:proofErr w:type="gramEnd"/>
      <w:r>
        <w:t xml:space="preserve"> extension tubing,</w:t>
      </w:r>
      <w:r w:rsidR="00D41208">
        <w:t xml:space="preserve"> </w:t>
      </w:r>
      <w:r w:rsidR="00D41208" w:rsidRPr="00D41208">
        <w:t xml:space="preserve">0.2 or 0.22 micron in-line </w:t>
      </w:r>
      <w:proofErr w:type="spellStart"/>
      <w:r w:rsidR="00D41208" w:rsidRPr="00D41208">
        <w:t>polyethersulfone</w:t>
      </w:r>
      <w:proofErr w:type="spellEnd"/>
      <w:r w:rsidR="00D41208" w:rsidRPr="00D41208">
        <w:t xml:space="preserve"> (PES) or equivalent low protein-binding filter</w:t>
      </w:r>
      <w:r>
        <w:t xml:space="preserve">, syringe </w:t>
      </w:r>
      <w:r w:rsidR="00D41208">
        <w:t>pum</w:t>
      </w:r>
      <w:r w:rsidR="00504DED">
        <w:t>p</w:t>
      </w:r>
      <w:r>
        <w:t>) in preparation for administration.</w:t>
      </w:r>
    </w:p>
    <w:p w14:paraId="659B17C5" w14:textId="35276CFF" w:rsidR="00151021" w:rsidRDefault="00151021" w:rsidP="00B94762">
      <w:pPr>
        <w:pStyle w:val="Paragraph"/>
        <w:numPr>
          <w:ilvl w:val="0"/>
          <w:numId w:val="16"/>
        </w:numPr>
      </w:pPr>
      <w:r>
        <w:t>Administer the reconstituted solution at the appropriate rate.</w:t>
      </w:r>
    </w:p>
    <w:p w14:paraId="355D824E" w14:textId="02158532" w:rsidR="00151021" w:rsidRDefault="00151021" w:rsidP="00B94762">
      <w:pPr>
        <w:pStyle w:val="Paragraph"/>
        <w:numPr>
          <w:ilvl w:val="0"/>
          <w:numId w:val="16"/>
        </w:numPr>
      </w:pPr>
      <w:r>
        <w:t>Discard all used syringes, needles, and vials, including any unused portion of reconstituted solution.</w:t>
      </w:r>
    </w:p>
    <w:p w14:paraId="5F5CBAF5" w14:textId="6E40DF3D" w:rsidR="00151021" w:rsidRDefault="00151021" w:rsidP="005F1589">
      <w:pPr>
        <w:pStyle w:val="Heading3Unnumbered"/>
      </w:pPr>
      <w:r>
        <w:t xml:space="preserve">Administration </w:t>
      </w:r>
      <w:r w:rsidR="00AB62C6">
        <w:t>u</w:t>
      </w:r>
      <w:r>
        <w:t xml:space="preserve">sing an </w:t>
      </w:r>
      <w:r w:rsidR="00AB62C6">
        <w:t>i</w:t>
      </w:r>
      <w:r>
        <w:t xml:space="preserve">ntravenous </w:t>
      </w:r>
      <w:r w:rsidR="00AB62C6">
        <w:t>b</w:t>
      </w:r>
      <w:r>
        <w:t>ag</w:t>
      </w:r>
    </w:p>
    <w:p w14:paraId="037D33EE" w14:textId="3993F474" w:rsidR="00151021" w:rsidRDefault="005F1589" w:rsidP="00B94762">
      <w:pPr>
        <w:pStyle w:val="Paragraph"/>
        <w:numPr>
          <w:ilvl w:val="0"/>
          <w:numId w:val="17"/>
        </w:numPr>
      </w:pPr>
      <w:r>
        <w:t>Once all r</w:t>
      </w:r>
      <w:r w:rsidR="00151021">
        <w:t xml:space="preserve">equired vials are reconstituted, withdraw the reconstituted solution from each vial, using the large volume (40 mL or larger) syringe equipped with a </w:t>
      </w:r>
      <w:proofErr w:type="gramStart"/>
      <w:r w:rsidR="00151021">
        <w:t>20 gauge</w:t>
      </w:r>
      <w:proofErr w:type="gramEnd"/>
      <w:r w:rsidR="00151021">
        <w:t xml:space="preserve"> (or larger) needle.</w:t>
      </w:r>
    </w:p>
    <w:p w14:paraId="753DECA7" w14:textId="262D44F0" w:rsidR="00151021" w:rsidRDefault="00151021" w:rsidP="00B94762">
      <w:pPr>
        <w:pStyle w:val="Paragraph"/>
        <w:numPr>
          <w:ilvl w:val="0"/>
          <w:numId w:val="17"/>
        </w:numPr>
      </w:pPr>
      <w:r>
        <w:t>Transfer the reconstituted solution from the syringe into an empty polyolefin (PO) or polyvinyl chloride (PVC) IV bag with a volume of 250 mL or less.</w:t>
      </w:r>
    </w:p>
    <w:p w14:paraId="63ACAF89" w14:textId="6673C644" w:rsidR="00151021" w:rsidRDefault="00151021" w:rsidP="00B94762">
      <w:pPr>
        <w:pStyle w:val="Paragraph"/>
        <w:numPr>
          <w:ilvl w:val="0"/>
          <w:numId w:val="17"/>
        </w:numPr>
      </w:pPr>
      <w:r>
        <w:t>Repeat steps 1 and 2 as necessary to transfer the complete volume of the bolus and the infusion into an IV bag.</w:t>
      </w:r>
    </w:p>
    <w:p w14:paraId="72D7181F" w14:textId="4983BD15" w:rsidR="00151021" w:rsidRDefault="00151021" w:rsidP="00B94762">
      <w:pPr>
        <w:pStyle w:val="Paragraph"/>
        <w:numPr>
          <w:ilvl w:val="0"/>
          <w:numId w:val="17"/>
        </w:numPr>
      </w:pPr>
      <w:r>
        <w:t>It is recommended that the bolus and infusion be split into 2 separate bags to ensure the correct administration rate. Although it is also permissible to use 1 PO or PVC IV bag for the bolus and infusion, the correct infusion rate must be ensured when switching from the bolus to the infusion.</w:t>
      </w:r>
    </w:p>
    <w:p w14:paraId="40C5590B" w14:textId="6E8E14D4" w:rsidR="00151021" w:rsidRDefault="00151021" w:rsidP="00B94762">
      <w:pPr>
        <w:pStyle w:val="Paragraph"/>
        <w:numPr>
          <w:ilvl w:val="0"/>
          <w:numId w:val="17"/>
        </w:numPr>
      </w:pPr>
      <w:r w:rsidRPr="00DB286D">
        <w:lastRenderedPageBreak/>
        <w:t>Attach ancillary equipment (</w:t>
      </w:r>
      <w:proofErr w:type="gramStart"/>
      <w:r w:rsidRPr="00DB286D">
        <w:t>i.e.</w:t>
      </w:r>
      <w:proofErr w:type="gramEnd"/>
      <w:r w:rsidRPr="00DB286D">
        <w:t xml:space="preserve"> extension tubing, </w:t>
      </w:r>
      <w:r w:rsidR="00E121F3" w:rsidRPr="00DB286D">
        <w:rPr>
          <w:rStyle w:val="eop"/>
        </w:rPr>
        <w:t xml:space="preserve">0.2 or 0.22 micron in-line </w:t>
      </w:r>
      <w:proofErr w:type="spellStart"/>
      <w:r w:rsidR="00E121F3" w:rsidRPr="00DB286D">
        <w:rPr>
          <w:rStyle w:val="eop"/>
        </w:rPr>
        <w:t>polyethersulfone</w:t>
      </w:r>
      <w:proofErr w:type="spellEnd"/>
      <w:r w:rsidR="00E121F3" w:rsidRPr="00DB286D">
        <w:rPr>
          <w:rStyle w:val="eop"/>
        </w:rPr>
        <w:t xml:space="preserve"> (PES) or equivalent low protein-binding filter</w:t>
      </w:r>
      <w:r w:rsidRPr="00DB286D">
        <w:t>, IV pump</w:t>
      </w:r>
      <w:r>
        <w:t>) in preparation for administration.</w:t>
      </w:r>
    </w:p>
    <w:p w14:paraId="6DF5D788" w14:textId="22DBDCC3" w:rsidR="00151021" w:rsidRDefault="00151021" w:rsidP="00B94762">
      <w:pPr>
        <w:pStyle w:val="Paragraph"/>
        <w:numPr>
          <w:ilvl w:val="0"/>
          <w:numId w:val="17"/>
        </w:numPr>
      </w:pPr>
      <w:r>
        <w:t>Administer the reconstituted solution at the appropriate rate.</w:t>
      </w:r>
    </w:p>
    <w:p w14:paraId="258B8B1D" w14:textId="5028A674" w:rsidR="00151021" w:rsidRDefault="00151021" w:rsidP="00B94762">
      <w:pPr>
        <w:pStyle w:val="Paragraph"/>
        <w:numPr>
          <w:ilvl w:val="0"/>
          <w:numId w:val="17"/>
        </w:numPr>
      </w:pPr>
      <w:r>
        <w:t xml:space="preserve">Reconstituted ANDEXXA in IV bags is stable at room temperature </w:t>
      </w:r>
      <w:r w:rsidR="00A75B62">
        <w:t>(≤25</w:t>
      </w:r>
      <w:r w:rsidR="00A75B62" w:rsidRPr="00A119F4">
        <w:rPr>
          <w:lang w:val="en-AU"/>
        </w:rPr>
        <w:t>°C</w:t>
      </w:r>
      <w:r w:rsidR="00A75B62">
        <w:rPr>
          <w:lang w:val="en-AU"/>
        </w:rPr>
        <w:t xml:space="preserve">) </w:t>
      </w:r>
      <w:r>
        <w:t>for up to 8 hours.</w:t>
      </w:r>
    </w:p>
    <w:p w14:paraId="2750B69F" w14:textId="0B1B8C8A" w:rsidR="00ED27EC" w:rsidRDefault="00ED27EC" w:rsidP="00ED27EC">
      <w:pPr>
        <w:pStyle w:val="Heading3Unnumbered"/>
      </w:pPr>
      <w:r>
        <w:t>Special patient populations</w:t>
      </w:r>
    </w:p>
    <w:p w14:paraId="5E7AC60E" w14:textId="2E1572AF" w:rsidR="00ED27EC" w:rsidRDefault="00ED27EC" w:rsidP="00ED27EC">
      <w:pPr>
        <w:pStyle w:val="Heading4Unnumbered"/>
      </w:pPr>
      <w:r>
        <w:t>Renal impairment</w:t>
      </w:r>
    </w:p>
    <w:p w14:paraId="270CEE30" w14:textId="15272D8B" w:rsidR="00ED27EC" w:rsidRPr="0034277E" w:rsidRDefault="0034277E" w:rsidP="00C85696">
      <w:pPr>
        <w:pStyle w:val="Paragraph"/>
        <w:rPr>
          <w:lang w:val="en-US"/>
        </w:rPr>
      </w:pPr>
      <w:r w:rsidRPr="0034277E">
        <w:rPr>
          <w:lang w:val="en-US"/>
        </w:rPr>
        <w:t>The effect of renal impairment on ANDEXXA exposure levels has not been evaluated. Based on the existing data on clearance, no dose adjustment is recommended.</w:t>
      </w:r>
    </w:p>
    <w:p w14:paraId="361A7EE1" w14:textId="7AB2FAF5" w:rsidR="00ED27EC" w:rsidRDefault="00ED27EC" w:rsidP="00ED27EC">
      <w:pPr>
        <w:pStyle w:val="Heading4Unnumbered"/>
      </w:pPr>
      <w:r>
        <w:t>Hepatic impairment</w:t>
      </w:r>
    </w:p>
    <w:p w14:paraId="3182569B" w14:textId="326E0060" w:rsidR="00ED27EC" w:rsidRPr="001F7C1C" w:rsidRDefault="001F7C1C" w:rsidP="00C85696">
      <w:pPr>
        <w:pStyle w:val="Paragraph"/>
        <w:rPr>
          <w:lang w:val="en-US"/>
        </w:rPr>
      </w:pPr>
      <w:r w:rsidRPr="001F7C1C">
        <w:rPr>
          <w:lang w:val="en-US"/>
        </w:rPr>
        <w:t>The safety and efficacy of ANDEXXA have not been studied in patients with hepatic impairment.</w:t>
      </w:r>
    </w:p>
    <w:p w14:paraId="70413C1E" w14:textId="7BC1F01C" w:rsidR="00ED27EC" w:rsidRDefault="00ED27EC" w:rsidP="00ED27EC">
      <w:pPr>
        <w:pStyle w:val="Heading4Unnumbered"/>
      </w:pPr>
      <w:r>
        <w:t>Use in the elderly</w:t>
      </w:r>
    </w:p>
    <w:p w14:paraId="11AC3380" w14:textId="476EC205" w:rsidR="00ED27EC" w:rsidRPr="001F7C1C" w:rsidRDefault="001F7C1C" w:rsidP="00C85696">
      <w:pPr>
        <w:pStyle w:val="Paragraph"/>
        <w:rPr>
          <w:lang w:val="en-US"/>
        </w:rPr>
      </w:pPr>
      <w:r w:rsidRPr="001F7C1C">
        <w:rPr>
          <w:lang w:val="en-US"/>
        </w:rPr>
        <w:t xml:space="preserve">No dose adjustment is required in elderly patients (aged 65 years and over). Of the 477 subjects in the ANNEXA-4 study, 431 (90%) were 65 years of age or older, and 315 (66%) were </w:t>
      </w:r>
      <w:r w:rsidR="00561AD4">
        <w:rPr>
          <w:lang w:val="en-US"/>
        </w:rPr>
        <w:t xml:space="preserve">over </w:t>
      </w:r>
      <w:r w:rsidRPr="001F7C1C">
        <w:rPr>
          <w:lang w:val="en-US"/>
        </w:rPr>
        <w:t>75 years of age. No overall differences in safety or efficacy were observed between these patients and younger patients, and other reported clinical experience has not identified differences in responses between elderly and younger patients.</w:t>
      </w:r>
    </w:p>
    <w:p w14:paraId="16407EDC" w14:textId="03EBB7DA" w:rsidR="00ED27EC" w:rsidRDefault="001B114A" w:rsidP="00ED27EC">
      <w:pPr>
        <w:pStyle w:val="Heading4Unnumbered"/>
      </w:pPr>
      <w:r w:rsidRPr="001B114A">
        <w:t>Paediatric use</w:t>
      </w:r>
    </w:p>
    <w:p w14:paraId="434F6ABB" w14:textId="18D89413" w:rsidR="00ED27EC" w:rsidRDefault="001F7C1C" w:rsidP="00C85696">
      <w:pPr>
        <w:pStyle w:val="Paragraph"/>
      </w:pPr>
      <w:r w:rsidRPr="001F7C1C">
        <w:t>The safety and efficacy of ANDEXXA in children and adolescents have not been established.</w:t>
      </w:r>
    </w:p>
    <w:p w14:paraId="50DC408C" w14:textId="77777777" w:rsidR="001A3992" w:rsidRDefault="001A3992" w:rsidP="00EE3AC8">
      <w:pPr>
        <w:pStyle w:val="Heading2"/>
      </w:pPr>
      <w:r w:rsidRPr="00377337">
        <w:t>Contraindications</w:t>
      </w:r>
    </w:p>
    <w:p w14:paraId="53FFD69E" w14:textId="66144EB8" w:rsidR="00C85696" w:rsidRPr="00E420F8" w:rsidRDefault="00E420F8" w:rsidP="00E420F8">
      <w:pPr>
        <w:pStyle w:val="Paragraph"/>
        <w:rPr>
          <w:iCs/>
          <w:color w:val="000000" w:themeColor="text1"/>
        </w:rPr>
      </w:pPr>
      <w:r w:rsidRPr="00E420F8">
        <w:rPr>
          <w:iCs/>
          <w:color w:val="000000" w:themeColor="text1"/>
        </w:rPr>
        <w:t>None.</w:t>
      </w:r>
    </w:p>
    <w:p w14:paraId="569C1D60" w14:textId="77777777" w:rsidR="00E420F8" w:rsidRDefault="00E420F8" w:rsidP="00E420F8">
      <w:pPr>
        <w:pStyle w:val="Heading2"/>
      </w:pPr>
      <w:r w:rsidRPr="00377337">
        <w:t>Special warnings and precautions for use</w:t>
      </w:r>
    </w:p>
    <w:p w14:paraId="154AFD87" w14:textId="3393BFA9" w:rsidR="001A3992" w:rsidRDefault="003B26C7" w:rsidP="00D347D7">
      <w:pPr>
        <w:pStyle w:val="Heading3Unnumbered"/>
      </w:pPr>
      <w:r>
        <w:t>Limitations of use</w:t>
      </w:r>
    </w:p>
    <w:p w14:paraId="7BF52E94" w14:textId="102F659A" w:rsidR="00EC60F8" w:rsidRDefault="003B26C7" w:rsidP="00EC60F8">
      <w:pPr>
        <w:pStyle w:val="Paragraph"/>
      </w:pPr>
      <w:r w:rsidRPr="003B26C7">
        <w:t xml:space="preserve">ANDEXXA has not been shown to be effective for, and is not indicated for, the treatment of bleeding related to any </w:t>
      </w:r>
      <w:proofErr w:type="spellStart"/>
      <w:r w:rsidRPr="003B26C7">
        <w:t>FXa</w:t>
      </w:r>
      <w:proofErr w:type="spellEnd"/>
      <w:r w:rsidRPr="003B26C7">
        <w:t xml:space="preserve"> inhibitors other than apixaban</w:t>
      </w:r>
      <w:r w:rsidR="00176313">
        <w:t xml:space="preserve"> or </w:t>
      </w:r>
      <w:r w:rsidRPr="003B26C7">
        <w:t>rivaroxaban.</w:t>
      </w:r>
    </w:p>
    <w:p w14:paraId="05597281" w14:textId="0A028246" w:rsidR="00E63714" w:rsidRPr="00DB286D" w:rsidRDefault="00E63714" w:rsidP="00EC60F8">
      <w:pPr>
        <w:pStyle w:val="Paragraph"/>
      </w:pPr>
      <w:r w:rsidRPr="00DB286D">
        <w:t>Commercial anti-</w:t>
      </w:r>
      <w:proofErr w:type="spellStart"/>
      <w:r w:rsidRPr="00DB286D">
        <w:t>FXa</w:t>
      </w:r>
      <w:proofErr w:type="spellEnd"/>
      <w:r w:rsidRPr="00DB286D">
        <w:t>-activity assays are unsuitable for measuring anti-</w:t>
      </w:r>
      <w:proofErr w:type="spellStart"/>
      <w:r w:rsidRPr="00DB286D">
        <w:t>F</w:t>
      </w:r>
      <w:r w:rsidR="00960A92" w:rsidRPr="00DB286D">
        <w:t>X</w:t>
      </w:r>
      <w:r w:rsidRPr="00DB286D">
        <w:t>a</w:t>
      </w:r>
      <w:proofErr w:type="spellEnd"/>
      <w:r w:rsidRPr="00DB286D">
        <w:t xml:space="preserve"> activity following administration of</w:t>
      </w:r>
      <w:r w:rsidR="00BF06A1" w:rsidRPr="00DB286D">
        <w:t xml:space="preserve"> ANDEXXA, see Section </w:t>
      </w:r>
      <w:r w:rsidR="00BF06A1" w:rsidRPr="00DB286D">
        <w:fldChar w:fldCharType="begin"/>
      </w:r>
      <w:r w:rsidR="00BF06A1" w:rsidRPr="00DB286D">
        <w:instrText xml:space="preserve"> REF _Ref134089064 \r \h  \* MERGEFORMAT </w:instrText>
      </w:r>
      <w:r w:rsidR="00BF06A1" w:rsidRPr="00DB286D">
        <w:fldChar w:fldCharType="separate"/>
      </w:r>
      <w:r w:rsidR="00BF06A1" w:rsidRPr="00DB286D">
        <w:t>5.1</w:t>
      </w:r>
      <w:r w:rsidR="00BF06A1" w:rsidRPr="00DB286D">
        <w:fldChar w:fldCharType="end"/>
      </w:r>
      <w:r w:rsidR="00BF06A1" w:rsidRPr="00DB286D">
        <w:t xml:space="preserve"> </w:t>
      </w:r>
      <w:r w:rsidR="00BF06A1" w:rsidRPr="00DB286D">
        <w:fldChar w:fldCharType="begin"/>
      </w:r>
      <w:r w:rsidR="00BF06A1" w:rsidRPr="00DB286D">
        <w:instrText xml:space="preserve"> REF _Ref134089064 \h  \* MERGEFORMAT </w:instrText>
      </w:r>
      <w:r w:rsidR="00BF06A1" w:rsidRPr="00DB286D">
        <w:fldChar w:fldCharType="separate"/>
      </w:r>
      <w:r w:rsidR="00BF06A1" w:rsidRPr="00DB286D">
        <w:t>Pharmacodynamic properties</w:t>
      </w:r>
      <w:r w:rsidR="00BF06A1" w:rsidRPr="00DB286D">
        <w:fldChar w:fldCharType="end"/>
      </w:r>
      <w:r w:rsidR="00BF06A1" w:rsidRPr="00DB286D">
        <w:t>.</w:t>
      </w:r>
    </w:p>
    <w:p w14:paraId="3AAA1863" w14:textId="5BA70137" w:rsidR="004226B5" w:rsidRDefault="004226B5" w:rsidP="00EC60F8">
      <w:pPr>
        <w:pStyle w:val="Paragraph"/>
      </w:pPr>
      <w:r w:rsidRPr="00DB286D">
        <w:t>The efficacy and safety of ANDEXXA for reversal of anticoagulation before urgent surgery have not been established.</w:t>
      </w:r>
    </w:p>
    <w:p w14:paraId="5E31B147" w14:textId="668C404C" w:rsidR="00176313" w:rsidRDefault="00176313" w:rsidP="00176313">
      <w:pPr>
        <w:pStyle w:val="Heading3Unnumbered"/>
      </w:pPr>
      <w:r>
        <w:t>Thromboembolic and isch</w:t>
      </w:r>
      <w:r w:rsidR="00532BE9">
        <w:t>a</w:t>
      </w:r>
      <w:r>
        <w:t>emic risk</w:t>
      </w:r>
    </w:p>
    <w:p w14:paraId="53AD3E15" w14:textId="77777777" w:rsidR="00176313" w:rsidRDefault="00176313" w:rsidP="00176313">
      <w:pPr>
        <w:pStyle w:val="Paragraph"/>
      </w:pPr>
      <w:r>
        <w:t xml:space="preserve">Thrombotic events have been reported following treatment of patients with ANDEXXA. Patients being treated with </w:t>
      </w:r>
      <w:proofErr w:type="spellStart"/>
      <w:r>
        <w:t>FXa</w:t>
      </w:r>
      <w:proofErr w:type="spellEnd"/>
      <w:r>
        <w:t xml:space="preserve"> inhibitors have underlying disease states that predispose them to thrombotic events. To reduce this risk, resumption of anticoagulant therapy should be considered as soon as medically appropriate after completion of treatment.</w:t>
      </w:r>
    </w:p>
    <w:p w14:paraId="2A270EB1" w14:textId="6FAFB73A" w:rsidR="00176313" w:rsidRDefault="00176313" w:rsidP="00176313">
      <w:pPr>
        <w:pStyle w:val="Paragraph"/>
      </w:pPr>
      <w:r>
        <w:lastRenderedPageBreak/>
        <w:t>The thromboembolic and isch</w:t>
      </w:r>
      <w:r w:rsidR="00532BE9">
        <w:t>a</w:t>
      </w:r>
      <w:r>
        <w:t xml:space="preserve">emic risks were assessed in 477 patients with acute major bleeding associated with </w:t>
      </w:r>
      <w:proofErr w:type="spellStart"/>
      <w:r>
        <w:t>FXa</w:t>
      </w:r>
      <w:proofErr w:type="spellEnd"/>
      <w:r>
        <w:t xml:space="preserve"> inhibitor usage who received ANDEXXA. The median time to first event was 10 days, and patients were observed for these events for 30 days following the ANDEXXA infusion. A total of 50 of 477 patients (10.5%) experienced a thrombotic event. Of the 477 patients who received ANDEXXA, 326 (68</w:t>
      </w:r>
      <w:r w:rsidR="001618A3">
        <w:t>.3</w:t>
      </w:r>
      <w:r>
        <w:t>%) received any form of re anticoagulation within 30 days after treatment. Of these 326 subjects, 18 received anticoagulation in response to a thrombotic event, while 308 received the anticoagulation as a prophylactic. Of these 308 subjects, 15 (4.9%) had a thrombotic event after resumption of anticoagulation. In the 169 of 477 patients who did not receive anticoagulation as a prophylactic, 35 (20.7%) had a thrombotic event.</w:t>
      </w:r>
    </w:p>
    <w:p w14:paraId="376B67FB" w14:textId="43151D10" w:rsidR="00176313" w:rsidRDefault="00176313" w:rsidP="00176313">
      <w:pPr>
        <w:pStyle w:val="Paragraph"/>
      </w:pPr>
      <w:r>
        <w:t>Monitor patients treated with ANDEXXA for signs and symptoms of arterial and venous thromboembolic events, isch</w:t>
      </w:r>
      <w:r w:rsidR="00532BE9">
        <w:t>a</w:t>
      </w:r>
      <w:r>
        <w:t>emic events, and cardiac arrest. To reduce thromboembolic risk, resume anticoagulant therapy as soon as medically appropriate following treatment with ANDEXXA.</w:t>
      </w:r>
    </w:p>
    <w:p w14:paraId="21A1FB48" w14:textId="09B7FC8C" w:rsidR="00176313" w:rsidRDefault="00176313" w:rsidP="00176313">
      <w:pPr>
        <w:pStyle w:val="Paragraph"/>
      </w:pPr>
      <w:r>
        <w:t xml:space="preserve">The safety of ANDEXXA has not been evaluated in patients who experienced thromboembolic events or disseminated intravascular coagulation within 2 weeks prior to the life-threatening bleeding event requiring treatment with ANDEXXA. Safety of ANDEXXA also has not been evaluated in patients who received prothrombin complex concentrates, recombinant factor </w:t>
      </w:r>
      <w:proofErr w:type="spellStart"/>
      <w:r>
        <w:t>VIIa</w:t>
      </w:r>
      <w:proofErr w:type="spellEnd"/>
      <w:r>
        <w:t>, or whole blood products within 7 days prior to the bleeding event.</w:t>
      </w:r>
    </w:p>
    <w:p w14:paraId="312BD024" w14:textId="724D0FD9" w:rsidR="00176313" w:rsidRDefault="00176313" w:rsidP="00176313">
      <w:pPr>
        <w:pStyle w:val="Heading3Unnumbered"/>
      </w:pPr>
      <w:r>
        <w:t>Use of heparin following administration of ANDEXXA</w:t>
      </w:r>
    </w:p>
    <w:p w14:paraId="72602B59" w14:textId="7BC842A5" w:rsidR="00176313" w:rsidRDefault="00176313" w:rsidP="00176313">
      <w:pPr>
        <w:pStyle w:val="Paragraph"/>
      </w:pPr>
      <w:r w:rsidRPr="00176313">
        <w:t>A</w:t>
      </w:r>
      <w:r w:rsidR="007F3B65">
        <w:t>ndexanet alfa</w:t>
      </w:r>
      <w:r w:rsidRPr="00176313">
        <w:t xml:space="preserve"> is a </w:t>
      </w:r>
      <w:proofErr w:type="spellStart"/>
      <w:r w:rsidR="0089799E">
        <w:t>F</w:t>
      </w:r>
      <w:r w:rsidRPr="00176313">
        <w:t>Xa</w:t>
      </w:r>
      <w:proofErr w:type="spellEnd"/>
      <w:r w:rsidRPr="00176313">
        <w:t xml:space="preserve"> decoy molecule capable of binding heparin-bound anti-thrombin III (ATIII) and neutrali</w:t>
      </w:r>
      <w:r w:rsidR="007F3B65">
        <w:t>s</w:t>
      </w:r>
      <w:r w:rsidRPr="00176313">
        <w:t xml:space="preserve">ing the anticoagulant effect of heparin. Use of heparin during surgeries requiring anticoagulation after administration of ANDEXXA for reversal of a direct </w:t>
      </w:r>
      <w:proofErr w:type="spellStart"/>
      <w:r w:rsidRPr="00176313">
        <w:t>FXa</w:t>
      </w:r>
      <w:proofErr w:type="spellEnd"/>
      <w:r w:rsidRPr="00176313">
        <w:t xml:space="preserve"> inhibitor should be avoided. In such cases, consideration should be given to the use of an alternative to heparin, such as a direct thrombin inhibitor.</w:t>
      </w:r>
    </w:p>
    <w:p w14:paraId="399F6D84" w14:textId="77777777" w:rsidR="001A3992" w:rsidRDefault="001A3992" w:rsidP="00D347D7">
      <w:pPr>
        <w:pStyle w:val="Heading3Unnumbered"/>
      </w:pPr>
      <w:r w:rsidRPr="00377337">
        <w:t>Use in the elderly</w:t>
      </w:r>
    </w:p>
    <w:p w14:paraId="44CF508B" w14:textId="45FA4E5E" w:rsidR="0098045A" w:rsidRPr="00EC60F8" w:rsidRDefault="0098045A" w:rsidP="0098045A">
      <w:pPr>
        <w:pStyle w:val="Paragraph"/>
      </w:pPr>
      <w:r>
        <w:t xml:space="preserve">See Section </w:t>
      </w:r>
      <w:r w:rsidR="00D018CB">
        <w:fldChar w:fldCharType="begin"/>
      </w:r>
      <w:r w:rsidR="00D018CB">
        <w:instrText xml:space="preserve"> REF _Ref139358670 \r \h </w:instrText>
      </w:r>
      <w:r w:rsidR="00D018CB">
        <w:fldChar w:fldCharType="separate"/>
      </w:r>
      <w:r w:rsidR="00D018CB">
        <w:t>4.2</w:t>
      </w:r>
      <w:r w:rsidR="00D018CB">
        <w:fldChar w:fldCharType="end"/>
      </w:r>
      <w:r w:rsidR="00D018CB">
        <w:t xml:space="preserve"> </w:t>
      </w:r>
      <w:r w:rsidR="00D018CB">
        <w:fldChar w:fldCharType="begin"/>
      </w:r>
      <w:r w:rsidR="00D018CB">
        <w:instrText xml:space="preserve"> REF _Ref139358670 \h </w:instrText>
      </w:r>
      <w:r w:rsidR="00D018CB">
        <w:fldChar w:fldCharType="separate"/>
      </w:r>
      <w:r w:rsidR="00D018CB" w:rsidRPr="00377337">
        <w:t>Dose and method of administration</w:t>
      </w:r>
      <w:r w:rsidR="00D018CB">
        <w:fldChar w:fldCharType="end"/>
      </w:r>
      <w:r>
        <w:t>, Use in the elderly.</w:t>
      </w:r>
    </w:p>
    <w:p w14:paraId="22F275DE" w14:textId="77777777" w:rsidR="001A3992" w:rsidRDefault="001A3992" w:rsidP="00D347D7">
      <w:pPr>
        <w:pStyle w:val="Heading3Unnumbered"/>
      </w:pPr>
      <w:r w:rsidRPr="00377337">
        <w:t>Paediatric use</w:t>
      </w:r>
    </w:p>
    <w:p w14:paraId="0DA360A4" w14:textId="301154C6" w:rsidR="00EC60F8" w:rsidRPr="00EC60F8" w:rsidRDefault="002803FC" w:rsidP="00EC60F8">
      <w:pPr>
        <w:pStyle w:val="Paragraph"/>
      </w:pPr>
      <w:r>
        <w:t>No data available.</w:t>
      </w:r>
    </w:p>
    <w:p w14:paraId="4FBF1D03" w14:textId="77777777" w:rsidR="001A3992" w:rsidRDefault="001A3992" w:rsidP="00D347D7">
      <w:pPr>
        <w:pStyle w:val="Heading3Unnumbered"/>
      </w:pPr>
      <w:r w:rsidRPr="00377337">
        <w:t>Effects on laboratory tests</w:t>
      </w:r>
    </w:p>
    <w:p w14:paraId="1595FF39" w14:textId="77777777" w:rsidR="001C4917" w:rsidRPr="00EC60F8" w:rsidRDefault="001C4917" w:rsidP="001C4917">
      <w:pPr>
        <w:pStyle w:val="Paragraph"/>
      </w:pPr>
      <w:bookmarkStart w:id="8" w:name="_Ref505770425"/>
      <w:r>
        <w:t>No data available.</w:t>
      </w:r>
    </w:p>
    <w:p w14:paraId="5A03F3C7" w14:textId="77777777" w:rsidR="001A3992" w:rsidRDefault="001A3992" w:rsidP="00EE3AC8">
      <w:pPr>
        <w:pStyle w:val="Heading2"/>
      </w:pPr>
      <w:r w:rsidRPr="00377337">
        <w:t>Interactions with other medicines and other forms of interactions</w:t>
      </w:r>
      <w:bookmarkEnd w:id="8"/>
    </w:p>
    <w:p w14:paraId="5B57D57E" w14:textId="40E46443" w:rsidR="0098045A" w:rsidRDefault="0098045A" w:rsidP="0098045A">
      <w:pPr>
        <w:pStyle w:val="Paragraph"/>
      </w:pPr>
      <w:r>
        <w:t xml:space="preserve">No interaction studies </w:t>
      </w:r>
      <w:r w:rsidR="00545307">
        <w:t xml:space="preserve">with andexanet alfa </w:t>
      </w:r>
      <w:r>
        <w:t>have been performed. The pharmacokinetics of andexanet alfa were not affected by steady-state levels of apixaban or rivaroxaban.</w:t>
      </w:r>
    </w:p>
    <w:p w14:paraId="4DEEF41E" w14:textId="2BF1219A" w:rsidR="00EC60F8" w:rsidRDefault="0098045A" w:rsidP="0098045A">
      <w:pPr>
        <w:pStyle w:val="Paragraph"/>
      </w:pPr>
      <w:r w:rsidRPr="00545307">
        <w:rPr>
          <w:i/>
          <w:iCs/>
        </w:rPr>
        <w:t>In vitro</w:t>
      </w:r>
      <w:r>
        <w:t xml:space="preserve"> data suggest interaction of andexanet alfa with the heparin- anti-thrombin III (ATIII) complex and neutrali</w:t>
      </w:r>
      <w:r w:rsidR="006B677E">
        <w:t>s</w:t>
      </w:r>
      <w:r>
        <w:t>ation of the anticoagulant effect of heparin. Post-marketing data suggest that the use of andexanet alfa pre-surgery with intended heparin-anticoagulation could cause unresponsiveness to heparin.</w:t>
      </w:r>
      <w:r w:rsidR="009E5800" w:rsidRPr="00F42FA7">
        <w:t xml:space="preserve"> Use of andexanet alfa as an antidote for heparin or low-molecular weight heparin is not recommended.</w:t>
      </w:r>
    </w:p>
    <w:p w14:paraId="69C66EF5" w14:textId="77777777" w:rsidR="001A3992" w:rsidRDefault="001A3992" w:rsidP="00EE3AC8">
      <w:pPr>
        <w:pStyle w:val="Heading2"/>
      </w:pPr>
      <w:r w:rsidRPr="00377337">
        <w:lastRenderedPageBreak/>
        <w:t>Fer</w:t>
      </w:r>
      <w:r w:rsidR="00EC60F8">
        <w:t>tility, pregnancy and lactation</w:t>
      </w:r>
    </w:p>
    <w:p w14:paraId="7BAF77A8" w14:textId="77777777" w:rsidR="001A3992" w:rsidRDefault="001A3992" w:rsidP="0026491B">
      <w:pPr>
        <w:pStyle w:val="Heading3Unnumbered"/>
      </w:pPr>
      <w:r w:rsidRPr="00377337">
        <w:t>Effects on fertility</w:t>
      </w:r>
    </w:p>
    <w:p w14:paraId="158E52F5" w14:textId="7ABD8ECA" w:rsidR="00446EDD" w:rsidRPr="00446EDD" w:rsidRDefault="007F3B65" w:rsidP="00446EDD">
      <w:pPr>
        <w:pStyle w:val="Paragraph"/>
      </w:pPr>
      <w:r w:rsidRPr="007F3B65">
        <w:t xml:space="preserve">There are no data on the effects of </w:t>
      </w:r>
      <w:r>
        <w:t>andexanet alfa</w:t>
      </w:r>
      <w:r w:rsidRPr="007F3B65">
        <w:t xml:space="preserve"> on human fertility.</w:t>
      </w:r>
    </w:p>
    <w:p w14:paraId="10113C47" w14:textId="62C9A1EA" w:rsidR="001A3992" w:rsidRDefault="00446EDD" w:rsidP="0026491B">
      <w:pPr>
        <w:pStyle w:val="Heading3Unnumbered"/>
      </w:pPr>
      <w:r>
        <w:t xml:space="preserve">Use in pregnancy </w:t>
      </w:r>
      <w:r w:rsidR="00E45826">
        <w:t xml:space="preserve">– Category </w:t>
      </w:r>
      <w:r w:rsidR="00020724">
        <w:t>B2</w:t>
      </w:r>
    </w:p>
    <w:p w14:paraId="004216E9" w14:textId="042C5AB2" w:rsidR="00446EDD" w:rsidRPr="00446EDD" w:rsidRDefault="00E802E2" w:rsidP="00446EDD">
      <w:pPr>
        <w:pStyle w:val="Paragraph"/>
      </w:pPr>
      <w:r w:rsidRPr="00671A59">
        <w:t xml:space="preserve">There are no data from the use of ANDEXXA in pregnant women. </w:t>
      </w:r>
      <w:r w:rsidR="00020724" w:rsidRPr="00671A59">
        <w:t xml:space="preserve">Animal reproductive and developmental studies have not been conducted with andexanet alfa. </w:t>
      </w:r>
      <w:r w:rsidR="00960A92" w:rsidRPr="00671A59">
        <w:t xml:space="preserve"> ANDEXXA is not recommended during pregnancy or in women of childbearing potential not using contraception.</w:t>
      </w:r>
    </w:p>
    <w:p w14:paraId="02759515" w14:textId="77777777" w:rsidR="001A3992" w:rsidRDefault="00446EDD" w:rsidP="0026491B">
      <w:pPr>
        <w:pStyle w:val="Heading3Unnumbered"/>
      </w:pPr>
      <w:r>
        <w:t>Use in lactation</w:t>
      </w:r>
    </w:p>
    <w:p w14:paraId="73E4EF17" w14:textId="75B065C2" w:rsidR="00446EDD" w:rsidRPr="00446EDD" w:rsidRDefault="00A61D6D" w:rsidP="00446EDD">
      <w:pPr>
        <w:pStyle w:val="Paragraph"/>
      </w:pPr>
      <w:r>
        <w:t>No studies have been conducted to assess the presence of ANDEXXA in human milk.</w:t>
      </w:r>
      <w:r w:rsidR="007F3B65" w:rsidRPr="007F3B65">
        <w:t xml:space="preserve"> A risk to breastfed </w:t>
      </w:r>
      <w:proofErr w:type="spellStart"/>
      <w:r w:rsidR="007F3B65" w:rsidRPr="007F3B65">
        <w:t>newborns</w:t>
      </w:r>
      <w:proofErr w:type="spellEnd"/>
      <w:r w:rsidR="007F3B65" w:rsidRPr="007F3B65">
        <w:t xml:space="preserve">/infants cannot be </w:t>
      </w:r>
      <w:r w:rsidR="007F3B65" w:rsidRPr="00671A59">
        <w:t xml:space="preserve">excluded. </w:t>
      </w:r>
      <w:r w:rsidR="00F3797E" w:rsidRPr="00671A59">
        <w:t>Breast-feeding should be discontinued during treatment with ANDEXXA.</w:t>
      </w:r>
    </w:p>
    <w:p w14:paraId="30B530DE" w14:textId="77777777" w:rsidR="001A3992" w:rsidRDefault="001A3992" w:rsidP="003B7CFF">
      <w:pPr>
        <w:pStyle w:val="Heading2"/>
      </w:pPr>
      <w:r w:rsidRPr="00377337">
        <w:t>Effects on ability to drive and use machines</w:t>
      </w:r>
    </w:p>
    <w:p w14:paraId="4F4A28C2" w14:textId="41DF4396" w:rsidR="00446EDD" w:rsidRPr="00446EDD" w:rsidRDefault="00020724" w:rsidP="00446EDD">
      <w:pPr>
        <w:pStyle w:val="Paragraph"/>
      </w:pPr>
      <w:r w:rsidRPr="00020724">
        <w:t>ANDEXXA has no or negligible influence on the ability to drive and use machines.</w:t>
      </w:r>
    </w:p>
    <w:p w14:paraId="6B0A8B8B" w14:textId="77777777" w:rsidR="001A3992" w:rsidRDefault="001A3992" w:rsidP="00EE3AC8">
      <w:pPr>
        <w:pStyle w:val="Heading2"/>
      </w:pPr>
      <w:r w:rsidRPr="00377337">
        <w:t>Adverse effects (Undesirable effects)</w:t>
      </w:r>
    </w:p>
    <w:p w14:paraId="001CB7D3" w14:textId="6F63CDB3" w:rsidR="00446EDD" w:rsidRDefault="00065637" w:rsidP="00065637">
      <w:pPr>
        <w:pStyle w:val="Heading3Unnumbered"/>
      </w:pPr>
      <w:r>
        <w:t>Summary of the safety profile</w:t>
      </w:r>
    </w:p>
    <w:p w14:paraId="54E5014E" w14:textId="77777777" w:rsidR="00065637" w:rsidRDefault="00065637" w:rsidP="00065637">
      <w:pPr>
        <w:pStyle w:val="Paragraph"/>
      </w:pPr>
      <w:r>
        <w:t>The safety of ANDEXXA has been evaluated in clinical trials including 417 healthy subjects</w:t>
      </w:r>
      <w:r>
        <w:rPr>
          <w:spacing w:val="1"/>
        </w:rPr>
        <w:t xml:space="preserve"> </w:t>
      </w:r>
      <w:r>
        <w:t>administered</w:t>
      </w:r>
      <w:r>
        <w:rPr>
          <w:spacing w:val="-2"/>
        </w:rPr>
        <w:t xml:space="preserve"> </w:t>
      </w:r>
      <w:r>
        <w:t xml:space="preserve">a </w:t>
      </w:r>
      <w:proofErr w:type="spellStart"/>
      <w:r>
        <w:t>FXa</w:t>
      </w:r>
      <w:proofErr w:type="spellEnd"/>
      <w:r>
        <w:rPr>
          <w:spacing w:val="-2"/>
        </w:rPr>
        <w:t xml:space="preserve"> </w:t>
      </w:r>
      <w:r>
        <w:t>inhibitor,</w:t>
      </w:r>
      <w:r>
        <w:rPr>
          <w:spacing w:val="-1"/>
        </w:rPr>
        <w:t xml:space="preserve"> </w:t>
      </w:r>
      <w:r>
        <w:t>as</w:t>
      </w:r>
      <w:r>
        <w:rPr>
          <w:spacing w:val="-1"/>
        </w:rPr>
        <w:t xml:space="preserve"> </w:t>
      </w:r>
      <w:r>
        <w:t>well</w:t>
      </w:r>
      <w:r>
        <w:rPr>
          <w:spacing w:val="-1"/>
        </w:rPr>
        <w:t xml:space="preserve"> </w:t>
      </w:r>
      <w:r>
        <w:t>as</w:t>
      </w:r>
      <w:r>
        <w:rPr>
          <w:spacing w:val="-2"/>
        </w:rPr>
        <w:t xml:space="preserve"> </w:t>
      </w:r>
      <w:r>
        <w:t>in</w:t>
      </w:r>
      <w:r>
        <w:rPr>
          <w:spacing w:val="-1"/>
        </w:rPr>
        <w:t xml:space="preserve"> </w:t>
      </w:r>
      <w:r>
        <w:t>477</w:t>
      </w:r>
      <w:r>
        <w:rPr>
          <w:spacing w:val="-1"/>
        </w:rPr>
        <w:t xml:space="preserve"> </w:t>
      </w:r>
      <w:r>
        <w:t>patients</w:t>
      </w:r>
      <w:r>
        <w:rPr>
          <w:spacing w:val="-1"/>
        </w:rPr>
        <w:t xml:space="preserve"> </w:t>
      </w:r>
      <w:r>
        <w:t>in</w:t>
      </w:r>
      <w:r>
        <w:rPr>
          <w:spacing w:val="-1"/>
        </w:rPr>
        <w:t xml:space="preserve"> </w:t>
      </w:r>
      <w:r>
        <w:t>a</w:t>
      </w:r>
      <w:r>
        <w:rPr>
          <w:spacing w:val="-2"/>
        </w:rPr>
        <w:t xml:space="preserve"> </w:t>
      </w:r>
      <w:r>
        <w:t>Phase</w:t>
      </w:r>
      <w:r>
        <w:rPr>
          <w:spacing w:val="-3"/>
        </w:rPr>
        <w:t xml:space="preserve"> </w:t>
      </w:r>
      <w:r>
        <w:t>3b/4</w:t>
      </w:r>
      <w:r>
        <w:rPr>
          <w:spacing w:val="-1"/>
        </w:rPr>
        <w:t xml:space="preserve"> </w:t>
      </w:r>
      <w:r>
        <w:t>study</w:t>
      </w:r>
      <w:r>
        <w:rPr>
          <w:spacing w:val="-1"/>
        </w:rPr>
        <w:t xml:space="preserve"> </w:t>
      </w:r>
      <w:r>
        <w:t>(ANNEXA-4),</w:t>
      </w:r>
      <w:r>
        <w:rPr>
          <w:spacing w:val="-1"/>
        </w:rPr>
        <w:t xml:space="preserve"> </w:t>
      </w:r>
      <w:r>
        <w:t>who</w:t>
      </w:r>
      <w:r>
        <w:rPr>
          <w:spacing w:val="-57"/>
        </w:rPr>
        <w:t xml:space="preserve"> </w:t>
      </w:r>
      <w:r>
        <w:t xml:space="preserve">had acute major bleeding and were under treatment with a </w:t>
      </w:r>
      <w:proofErr w:type="spellStart"/>
      <w:r>
        <w:t>FXa</w:t>
      </w:r>
      <w:proofErr w:type="spellEnd"/>
      <w:r>
        <w:t xml:space="preserve"> inhibitor (mostly apixaban and</w:t>
      </w:r>
      <w:r>
        <w:rPr>
          <w:spacing w:val="1"/>
        </w:rPr>
        <w:t xml:space="preserve"> </w:t>
      </w:r>
      <w:r>
        <w:t>rivaroxaban).</w:t>
      </w:r>
    </w:p>
    <w:p w14:paraId="15AFBD46" w14:textId="7A5B8E74" w:rsidR="00797653" w:rsidRDefault="00065637" w:rsidP="00797653">
      <w:pPr>
        <w:pStyle w:val="Paragraph"/>
        <w:rPr>
          <w:spacing w:val="1"/>
        </w:rPr>
      </w:pPr>
      <w:r>
        <w:t xml:space="preserve">In clinical studies in healthy subjects who were administered a </w:t>
      </w:r>
      <w:proofErr w:type="spellStart"/>
      <w:r>
        <w:t>FXa</w:t>
      </w:r>
      <w:proofErr w:type="spellEnd"/>
      <w:r>
        <w:t xml:space="preserve"> inhibitor and then received</w:t>
      </w:r>
      <w:r>
        <w:rPr>
          <w:spacing w:val="1"/>
        </w:rPr>
        <w:t xml:space="preserve"> </w:t>
      </w:r>
      <w:r>
        <w:t xml:space="preserve">ANDEXXA. The frequency of </w:t>
      </w:r>
      <w:r w:rsidR="00382466">
        <w:t>treatment-emergent adverse events</w:t>
      </w:r>
      <w:r>
        <w:t xml:space="preserve"> </w:t>
      </w:r>
      <w:r w:rsidR="00797653">
        <w:t>was</w:t>
      </w:r>
      <w:r>
        <w:t xml:space="preserve"> similar in</w:t>
      </w:r>
      <w:r>
        <w:rPr>
          <w:spacing w:val="1"/>
        </w:rPr>
        <w:t xml:space="preserve"> </w:t>
      </w:r>
      <w:r>
        <w:t>the ANDEXXA-treated group (</w:t>
      </w:r>
      <w:r w:rsidR="004B2C7B">
        <w:t>16.8</w:t>
      </w:r>
      <w:r>
        <w:t>%) and in the placebo-treated group (</w:t>
      </w:r>
      <w:r w:rsidR="004B2C7B">
        <w:t>12.2</w:t>
      </w:r>
      <w:r>
        <w:t>%).</w:t>
      </w:r>
      <w:r>
        <w:rPr>
          <w:spacing w:val="1"/>
        </w:rPr>
        <w:t xml:space="preserve"> </w:t>
      </w:r>
    </w:p>
    <w:p w14:paraId="5B53794A" w14:textId="1FF50439" w:rsidR="00E54D5C" w:rsidRDefault="00E54D5C" w:rsidP="00E54D5C">
      <w:pPr>
        <w:pStyle w:val="Heading3Unnumbered"/>
      </w:pPr>
      <w:r w:rsidRPr="00336FF5">
        <w:t xml:space="preserve">Adverse </w:t>
      </w:r>
      <w:r>
        <w:t>reactions</w:t>
      </w:r>
    </w:p>
    <w:p w14:paraId="341336C6" w14:textId="1D51919D" w:rsidR="00065637" w:rsidRDefault="00065637" w:rsidP="00065637">
      <w:pPr>
        <w:pStyle w:val="Paragraph"/>
      </w:pPr>
      <w:r w:rsidRPr="00165D9E">
        <w:rPr>
          <w:color w:val="000000" w:themeColor="text1"/>
        </w:rPr>
        <w:t>Table</w:t>
      </w:r>
      <w:r w:rsidRPr="00165D9E">
        <w:rPr>
          <w:color w:val="000000" w:themeColor="text1"/>
          <w:spacing w:val="-3"/>
        </w:rPr>
        <w:t xml:space="preserve"> </w:t>
      </w:r>
      <w:r w:rsidR="00395F60">
        <w:rPr>
          <w:color w:val="000000" w:themeColor="text1"/>
        </w:rPr>
        <w:t>4</w:t>
      </w:r>
      <w:r w:rsidRPr="00165D9E">
        <w:rPr>
          <w:color w:val="000000" w:themeColor="text1"/>
          <w:spacing w:val="-1"/>
        </w:rPr>
        <w:t xml:space="preserve"> </w:t>
      </w:r>
      <w:r>
        <w:t>provides</w:t>
      </w:r>
      <w:r>
        <w:rPr>
          <w:spacing w:val="-1"/>
        </w:rPr>
        <w:t xml:space="preserve"> </w:t>
      </w:r>
      <w:r>
        <w:t>the</w:t>
      </w:r>
      <w:r>
        <w:rPr>
          <w:spacing w:val="-2"/>
        </w:rPr>
        <w:t xml:space="preserve"> </w:t>
      </w:r>
      <w:r>
        <w:t>list</w:t>
      </w:r>
      <w:r>
        <w:rPr>
          <w:spacing w:val="1"/>
        </w:rPr>
        <w:t xml:space="preserve"> </w:t>
      </w:r>
      <w:r>
        <w:t>of</w:t>
      </w:r>
      <w:r>
        <w:rPr>
          <w:spacing w:val="-2"/>
        </w:rPr>
        <w:t xml:space="preserve"> </w:t>
      </w:r>
      <w:r>
        <w:t>adverse</w:t>
      </w:r>
      <w:r>
        <w:rPr>
          <w:spacing w:val="-2"/>
        </w:rPr>
        <w:t xml:space="preserve"> </w:t>
      </w:r>
      <w:r>
        <w:t>reactions</w:t>
      </w:r>
      <w:r>
        <w:rPr>
          <w:spacing w:val="-1"/>
        </w:rPr>
        <w:t xml:space="preserve"> </w:t>
      </w:r>
      <w:r>
        <w:t>from</w:t>
      </w:r>
      <w:r>
        <w:rPr>
          <w:spacing w:val="1"/>
        </w:rPr>
        <w:t xml:space="preserve"> </w:t>
      </w:r>
      <w:r>
        <w:t>the</w:t>
      </w:r>
      <w:r>
        <w:rPr>
          <w:spacing w:val="-2"/>
        </w:rPr>
        <w:t xml:space="preserve"> </w:t>
      </w:r>
      <w:r>
        <w:t>results</w:t>
      </w:r>
      <w:r>
        <w:rPr>
          <w:spacing w:val="-1"/>
        </w:rPr>
        <w:t xml:space="preserve"> </w:t>
      </w:r>
      <w:r>
        <w:t>of</w:t>
      </w:r>
      <w:r>
        <w:rPr>
          <w:spacing w:val="-2"/>
        </w:rPr>
        <w:t xml:space="preserve"> </w:t>
      </w:r>
      <w:r>
        <w:t>the</w:t>
      </w:r>
      <w:r>
        <w:rPr>
          <w:spacing w:val="-2"/>
        </w:rPr>
        <w:t xml:space="preserve"> </w:t>
      </w:r>
      <w:r>
        <w:t>Phase</w:t>
      </w:r>
      <w:r>
        <w:rPr>
          <w:spacing w:val="-2"/>
        </w:rPr>
        <w:t xml:space="preserve"> </w:t>
      </w:r>
      <w:r>
        <w:t>3b/4</w:t>
      </w:r>
      <w:r>
        <w:rPr>
          <w:spacing w:val="-1"/>
        </w:rPr>
        <w:t xml:space="preserve"> </w:t>
      </w:r>
      <w:r>
        <w:t>ANNEXA-</w:t>
      </w:r>
      <w:r>
        <w:rPr>
          <w:spacing w:val="-57"/>
        </w:rPr>
        <w:t xml:space="preserve"> </w:t>
      </w:r>
      <w:r>
        <w:t>4</w:t>
      </w:r>
      <w:r>
        <w:rPr>
          <w:spacing w:val="-1"/>
        </w:rPr>
        <w:t xml:space="preserve"> </w:t>
      </w:r>
      <w:r>
        <w:t>study,</w:t>
      </w:r>
      <w:r>
        <w:rPr>
          <w:spacing w:val="-1"/>
        </w:rPr>
        <w:t xml:space="preserve"> </w:t>
      </w:r>
      <w:r>
        <w:t>including</w:t>
      </w:r>
      <w:r>
        <w:rPr>
          <w:spacing w:val="-1"/>
        </w:rPr>
        <w:t xml:space="preserve"> </w:t>
      </w:r>
      <w:r>
        <w:t>477 patients</w:t>
      </w:r>
      <w:r>
        <w:rPr>
          <w:spacing w:val="-1"/>
        </w:rPr>
        <w:t xml:space="preserve"> </w:t>
      </w:r>
      <w:r>
        <w:t>with</w:t>
      </w:r>
      <w:r>
        <w:rPr>
          <w:spacing w:val="-1"/>
        </w:rPr>
        <w:t xml:space="preserve"> </w:t>
      </w:r>
      <w:r>
        <w:t>acute</w:t>
      </w:r>
      <w:r>
        <w:rPr>
          <w:spacing w:val="-2"/>
        </w:rPr>
        <w:t xml:space="preserve"> </w:t>
      </w:r>
      <w:r>
        <w:t>major</w:t>
      </w:r>
      <w:r>
        <w:rPr>
          <w:spacing w:val="-1"/>
        </w:rPr>
        <w:t xml:space="preserve"> </w:t>
      </w:r>
      <w:r>
        <w:t>bleeding</w:t>
      </w:r>
      <w:r>
        <w:rPr>
          <w:spacing w:val="-1"/>
        </w:rPr>
        <w:t xml:space="preserve"> </w:t>
      </w:r>
      <w:r>
        <w:t>treated</w:t>
      </w:r>
      <w:r>
        <w:rPr>
          <w:spacing w:val="-1"/>
        </w:rPr>
        <w:t xml:space="preserve"> </w:t>
      </w:r>
      <w:r>
        <w:t>with ANDEXXA.</w:t>
      </w:r>
    </w:p>
    <w:p w14:paraId="252E6FAA" w14:textId="4C57F612" w:rsidR="00065637" w:rsidRDefault="00065637" w:rsidP="00065637">
      <w:pPr>
        <w:pStyle w:val="Paragraph"/>
      </w:pPr>
      <w:r>
        <w:t>Adverse</w:t>
      </w:r>
      <w:r>
        <w:rPr>
          <w:spacing w:val="-2"/>
        </w:rPr>
        <w:t xml:space="preserve"> </w:t>
      </w:r>
      <w:r>
        <w:t>reactions</w:t>
      </w:r>
      <w:r>
        <w:rPr>
          <w:spacing w:val="-2"/>
        </w:rPr>
        <w:t xml:space="preserve"> </w:t>
      </w:r>
      <w:r>
        <w:t>with</w:t>
      </w:r>
      <w:r>
        <w:rPr>
          <w:spacing w:val="-2"/>
        </w:rPr>
        <w:t xml:space="preserve"> </w:t>
      </w:r>
      <w:r>
        <w:t>ANDEXXA</w:t>
      </w:r>
      <w:r>
        <w:rPr>
          <w:spacing w:val="-1"/>
        </w:rPr>
        <w:t xml:space="preserve"> </w:t>
      </w:r>
      <w:r>
        <w:t>are</w:t>
      </w:r>
      <w:r>
        <w:rPr>
          <w:spacing w:val="-3"/>
        </w:rPr>
        <w:t xml:space="preserve"> </w:t>
      </w:r>
      <w:r>
        <w:t>listed</w:t>
      </w:r>
      <w:r>
        <w:rPr>
          <w:spacing w:val="-2"/>
        </w:rPr>
        <w:t xml:space="preserve"> </w:t>
      </w:r>
      <w:r>
        <w:t>by</w:t>
      </w:r>
      <w:r>
        <w:rPr>
          <w:spacing w:val="-2"/>
        </w:rPr>
        <w:t xml:space="preserve"> </w:t>
      </w:r>
      <w:r>
        <w:t>System</w:t>
      </w:r>
      <w:r>
        <w:rPr>
          <w:spacing w:val="-2"/>
        </w:rPr>
        <w:t xml:space="preserve"> </w:t>
      </w:r>
      <w:r>
        <w:t>Organ</w:t>
      </w:r>
      <w:r>
        <w:rPr>
          <w:spacing w:val="-2"/>
        </w:rPr>
        <w:t xml:space="preserve"> </w:t>
      </w:r>
      <w:r>
        <w:t>Class</w:t>
      </w:r>
      <w:r>
        <w:rPr>
          <w:spacing w:val="-2"/>
        </w:rPr>
        <w:t xml:space="preserve"> </w:t>
      </w:r>
      <w:r>
        <w:t>(SOC)</w:t>
      </w:r>
      <w:r>
        <w:rPr>
          <w:spacing w:val="-3"/>
        </w:rPr>
        <w:t xml:space="preserve"> </w:t>
      </w:r>
      <w:r>
        <w:t>and</w:t>
      </w:r>
      <w:r>
        <w:rPr>
          <w:spacing w:val="-2"/>
        </w:rPr>
        <w:t xml:space="preserve"> </w:t>
      </w:r>
      <w:r>
        <w:t>Preferred</w:t>
      </w:r>
      <w:r>
        <w:rPr>
          <w:spacing w:val="-2"/>
        </w:rPr>
        <w:t xml:space="preserve"> </w:t>
      </w:r>
      <w:r>
        <w:t>Term</w:t>
      </w:r>
      <w:r>
        <w:rPr>
          <w:spacing w:val="-57"/>
        </w:rPr>
        <w:t xml:space="preserve"> </w:t>
      </w:r>
      <w:r>
        <w:t>using Medical Dictionary for Regulatory Activities (MedDRA) frequency convention very</w:t>
      </w:r>
      <w:r>
        <w:rPr>
          <w:spacing w:val="1"/>
        </w:rPr>
        <w:t xml:space="preserve"> </w:t>
      </w:r>
      <w:r>
        <w:t>common</w:t>
      </w:r>
      <w:r>
        <w:rPr>
          <w:spacing w:val="-1"/>
        </w:rPr>
        <w:t xml:space="preserve"> </w:t>
      </w:r>
      <w:r>
        <w:t>(≥1/10), common</w:t>
      </w:r>
      <w:r>
        <w:rPr>
          <w:spacing w:val="-1"/>
        </w:rPr>
        <w:t xml:space="preserve"> </w:t>
      </w:r>
      <w:r>
        <w:t>(≥1/100 to</w:t>
      </w:r>
      <w:r>
        <w:rPr>
          <w:spacing w:val="-1"/>
        </w:rPr>
        <w:t xml:space="preserve"> </w:t>
      </w:r>
      <w:r>
        <w:t>&lt;1/10), uncommon</w:t>
      </w:r>
      <w:r>
        <w:rPr>
          <w:spacing w:val="-1"/>
        </w:rPr>
        <w:t xml:space="preserve"> </w:t>
      </w:r>
      <w:r>
        <w:t>(≥1/1,000 to</w:t>
      </w:r>
      <w:r>
        <w:rPr>
          <w:spacing w:val="-1"/>
        </w:rPr>
        <w:t xml:space="preserve"> </w:t>
      </w:r>
      <w:r>
        <w:t>&lt;1/100), rare</w:t>
      </w:r>
      <w:r w:rsidR="00165D9E">
        <w:t xml:space="preserve"> </w:t>
      </w:r>
      <w:r>
        <w:t>(≥1/10,000</w:t>
      </w:r>
      <w:r>
        <w:rPr>
          <w:spacing w:val="-1"/>
        </w:rPr>
        <w:t xml:space="preserve"> </w:t>
      </w:r>
      <w:r>
        <w:t>to</w:t>
      </w:r>
      <w:r>
        <w:rPr>
          <w:spacing w:val="-1"/>
        </w:rPr>
        <w:t xml:space="preserve"> </w:t>
      </w:r>
      <w:r>
        <w:t>&lt;1/1,000),</w:t>
      </w:r>
      <w:r>
        <w:rPr>
          <w:spacing w:val="-1"/>
        </w:rPr>
        <w:t xml:space="preserve"> </w:t>
      </w:r>
      <w:r>
        <w:t>very</w:t>
      </w:r>
      <w:r>
        <w:rPr>
          <w:spacing w:val="-1"/>
        </w:rPr>
        <w:t xml:space="preserve"> </w:t>
      </w:r>
      <w:r>
        <w:t>rare</w:t>
      </w:r>
      <w:r>
        <w:rPr>
          <w:spacing w:val="-1"/>
        </w:rPr>
        <w:t xml:space="preserve"> </w:t>
      </w:r>
      <w:r>
        <w:t>(&lt;1/10,000),</w:t>
      </w:r>
      <w:r>
        <w:rPr>
          <w:spacing w:val="1"/>
        </w:rPr>
        <w:t xml:space="preserve"> </w:t>
      </w:r>
      <w:r>
        <w:t>and</w:t>
      </w:r>
      <w:r>
        <w:rPr>
          <w:spacing w:val="-1"/>
        </w:rPr>
        <w:t xml:space="preserve"> </w:t>
      </w:r>
      <w:r>
        <w:t>not</w:t>
      </w:r>
      <w:r>
        <w:rPr>
          <w:spacing w:val="-1"/>
        </w:rPr>
        <w:t xml:space="preserve"> </w:t>
      </w:r>
      <w:r>
        <w:t>known</w:t>
      </w:r>
      <w:r>
        <w:rPr>
          <w:spacing w:val="-1"/>
        </w:rPr>
        <w:t xml:space="preserve"> </w:t>
      </w:r>
      <w:r>
        <w:t>(cannot</w:t>
      </w:r>
      <w:r>
        <w:rPr>
          <w:spacing w:val="-1"/>
        </w:rPr>
        <w:t xml:space="preserve"> </w:t>
      </w:r>
      <w:r>
        <w:t>be</w:t>
      </w:r>
      <w:r>
        <w:rPr>
          <w:spacing w:val="-1"/>
        </w:rPr>
        <w:t xml:space="preserve"> </w:t>
      </w:r>
      <w:r>
        <w:t>estimated</w:t>
      </w:r>
      <w:r>
        <w:rPr>
          <w:spacing w:val="-1"/>
        </w:rPr>
        <w:t xml:space="preserve"> </w:t>
      </w:r>
      <w:r>
        <w:t>fr</w:t>
      </w:r>
      <w:r w:rsidR="000E22C5">
        <w:t xml:space="preserve">om </w:t>
      </w:r>
      <w:r>
        <w:t>available</w:t>
      </w:r>
      <w:r>
        <w:rPr>
          <w:spacing w:val="-2"/>
        </w:rPr>
        <w:t xml:space="preserve"> </w:t>
      </w:r>
      <w:r>
        <w:t>data).</w:t>
      </w:r>
    </w:p>
    <w:p w14:paraId="017E86C2" w14:textId="4AD69597" w:rsidR="00065637" w:rsidRDefault="00D018CB" w:rsidP="007027CF">
      <w:pPr>
        <w:pStyle w:val="Caption"/>
        <w:pageBreakBefore/>
      </w:pPr>
      <w:bookmarkStart w:id="9" w:name="_bookmark26"/>
      <w:bookmarkEnd w:id="9"/>
      <w:r>
        <w:lastRenderedPageBreak/>
        <w:t xml:space="preserve">Table </w:t>
      </w:r>
      <w:r>
        <w:fldChar w:fldCharType="begin"/>
      </w:r>
      <w:r>
        <w:instrText xml:space="preserve"> SEQ Table \* ARABIC </w:instrText>
      </w:r>
      <w:r>
        <w:fldChar w:fldCharType="separate"/>
      </w:r>
      <w:r>
        <w:rPr>
          <w:noProof/>
        </w:rPr>
        <w:t>4</w:t>
      </w:r>
      <w:r>
        <w:fldChar w:fldCharType="end"/>
      </w:r>
      <w:r w:rsidR="00065637">
        <w:rPr>
          <w:spacing w:val="80"/>
        </w:rPr>
        <w:t xml:space="preserve"> </w:t>
      </w:r>
      <w:r w:rsidR="001A5FF6">
        <w:t>A</w:t>
      </w:r>
      <w:r w:rsidR="00065637">
        <w:t>dverse</w:t>
      </w:r>
      <w:r w:rsidR="00065637">
        <w:rPr>
          <w:spacing w:val="-3"/>
        </w:rPr>
        <w:t xml:space="preserve"> r</w:t>
      </w:r>
      <w:r w:rsidR="00065637">
        <w:t>eactions</w:t>
      </w:r>
      <w:r w:rsidR="00065637">
        <w:rPr>
          <w:spacing w:val="-1"/>
        </w:rPr>
        <w:t xml:space="preserve"> </w:t>
      </w:r>
      <w:r w:rsidR="00065637">
        <w:t>in</w:t>
      </w:r>
      <w:r w:rsidR="00065637">
        <w:rPr>
          <w:spacing w:val="-1"/>
        </w:rPr>
        <w:t xml:space="preserve"> </w:t>
      </w:r>
      <w:r w:rsidR="00065637">
        <w:t>bleeding</w:t>
      </w:r>
      <w:r w:rsidR="00065637">
        <w:rPr>
          <w:spacing w:val="-2"/>
        </w:rPr>
        <w:t xml:space="preserve"> </w:t>
      </w:r>
      <w:r w:rsidR="00065637">
        <w:t>patients</w:t>
      </w:r>
      <w:r w:rsidR="00065637">
        <w:rPr>
          <w:spacing w:val="-1"/>
        </w:rPr>
        <w:t xml:space="preserve"> </w:t>
      </w:r>
      <w:r w:rsidR="00065637">
        <w:t>receiving</w:t>
      </w:r>
      <w:r w:rsidR="00065637">
        <w:rPr>
          <w:spacing w:val="-1"/>
        </w:rPr>
        <w:t xml:space="preserve"> </w:t>
      </w:r>
      <w:r w:rsidR="00065637">
        <w:t>ANDEXXA</w:t>
      </w:r>
    </w:p>
    <w:p w14:paraId="6E046437" w14:textId="77777777" w:rsidR="00065637" w:rsidRDefault="00065637" w:rsidP="00065637">
      <w:pPr>
        <w:pStyle w:val="BodyText"/>
        <w:spacing w:before="6"/>
        <w:rPr>
          <w:b/>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1511"/>
        <w:gridCol w:w="1566"/>
        <w:gridCol w:w="1420"/>
        <w:gridCol w:w="1494"/>
        <w:gridCol w:w="1492"/>
      </w:tblGrid>
      <w:tr w:rsidR="00065637" w14:paraId="57D4F2EF" w14:textId="77777777" w:rsidTr="00E54D5C">
        <w:trPr>
          <w:trHeight w:val="714"/>
        </w:trPr>
        <w:tc>
          <w:tcPr>
            <w:tcW w:w="1867" w:type="dxa"/>
            <w:shd w:val="clear" w:color="auto" w:fill="D9D9D9"/>
          </w:tcPr>
          <w:p w14:paraId="39858479" w14:textId="6A3B96D8" w:rsidR="00065637" w:rsidRPr="002036F5" w:rsidRDefault="00065637" w:rsidP="002036F5">
            <w:pPr>
              <w:pStyle w:val="TableHead"/>
              <w:spacing w:before="0" w:after="0" w:line="276" w:lineRule="auto"/>
              <w:rPr>
                <w:sz w:val="22"/>
                <w:szCs w:val="22"/>
              </w:rPr>
            </w:pPr>
            <w:r w:rsidRPr="002036F5">
              <w:rPr>
                <w:sz w:val="22"/>
                <w:szCs w:val="22"/>
              </w:rPr>
              <w:t>MedDRA System</w:t>
            </w:r>
            <w:r w:rsidRPr="002036F5">
              <w:rPr>
                <w:spacing w:val="-42"/>
                <w:sz w:val="22"/>
                <w:szCs w:val="22"/>
              </w:rPr>
              <w:t xml:space="preserve"> </w:t>
            </w:r>
            <w:r w:rsidRPr="002036F5">
              <w:rPr>
                <w:sz w:val="22"/>
                <w:szCs w:val="22"/>
              </w:rPr>
              <w:t>Or</w:t>
            </w:r>
            <w:r w:rsidR="00A808C8">
              <w:rPr>
                <w:sz w:val="22"/>
                <w:szCs w:val="22"/>
              </w:rPr>
              <w:t>gan</w:t>
            </w:r>
            <w:r w:rsidRPr="002036F5">
              <w:rPr>
                <w:spacing w:val="-2"/>
                <w:sz w:val="22"/>
                <w:szCs w:val="22"/>
              </w:rPr>
              <w:t xml:space="preserve"> </w:t>
            </w:r>
            <w:r w:rsidRPr="002036F5">
              <w:rPr>
                <w:sz w:val="22"/>
                <w:szCs w:val="22"/>
              </w:rPr>
              <w:t>Class</w:t>
            </w:r>
          </w:p>
        </w:tc>
        <w:tc>
          <w:tcPr>
            <w:tcW w:w="1511" w:type="dxa"/>
            <w:shd w:val="clear" w:color="auto" w:fill="D9D9D9"/>
          </w:tcPr>
          <w:p w14:paraId="5237E9F3" w14:textId="339BCA0A" w:rsidR="00065637" w:rsidRPr="002036F5" w:rsidRDefault="00065637" w:rsidP="002036F5">
            <w:pPr>
              <w:pStyle w:val="TableHead"/>
              <w:spacing w:before="0" w:after="0" w:line="276" w:lineRule="auto"/>
              <w:rPr>
                <w:sz w:val="22"/>
                <w:szCs w:val="22"/>
              </w:rPr>
            </w:pPr>
            <w:r w:rsidRPr="002036F5">
              <w:rPr>
                <w:sz w:val="22"/>
                <w:szCs w:val="22"/>
              </w:rPr>
              <w:t xml:space="preserve">Very </w:t>
            </w:r>
            <w:r w:rsidR="00A808C8">
              <w:rPr>
                <w:sz w:val="22"/>
                <w:szCs w:val="22"/>
              </w:rPr>
              <w:t>c</w:t>
            </w:r>
            <w:r w:rsidRPr="002036F5">
              <w:rPr>
                <w:sz w:val="22"/>
                <w:szCs w:val="22"/>
              </w:rPr>
              <w:t>ommon</w:t>
            </w:r>
          </w:p>
          <w:p w14:paraId="461700DE" w14:textId="72F14CF9" w:rsidR="00065637" w:rsidRPr="002036F5" w:rsidRDefault="00065637" w:rsidP="002036F5">
            <w:pPr>
              <w:pStyle w:val="TableHead"/>
              <w:spacing w:before="0" w:after="0" w:line="276" w:lineRule="auto"/>
              <w:rPr>
                <w:sz w:val="22"/>
                <w:szCs w:val="22"/>
              </w:rPr>
            </w:pPr>
            <w:r w:rsidRPr="002036F5">
              <w:rPr>
                <w:sz w:val="22"/>
                <w:szCs w:val="22"/>
              </w:rPr>
              <w:t>(≥1/10)</w:t>
            </w:r>
          </w:p>
        </w:tc>
        <w:tc>
          <w:tcPr>
            <w:tcW w:w="1566" w:type="dxa"/>
            <w:shd w:val="clear" w:color="auto" w:fill="D9D9D9"/>
          </w:tcPr>
          <w:p w14:paraId="7B892C92" w14:textId="77777777" w:rsidR="00065637" w:rsidRPr="002036F5" w:rsidRDefault="00065637" w:rsidP="002036F5">
            <w:pPr>
              <w:pStyle w:val="TableHead"/>
              <w:spacing w:before="0" w:after="0" w:line="276" w:lineRule="auto"/>
              <w:rPr>
                <w:sz w:val="22"/>
                <w:szCs w:val="22"/>
              </w:rPr>
            </w:pPr>
            <w:r w:rsidRPr="002036F5">
              <w:rPr>
                <w:sz w:val="22"/>
                <w:szCs w:val="22"/>
              </w:rPr>
              <w:t>Common</w:t>
            </w:r>
          </w:p>
          <w:p w14:paraId="587FDAC5" w14:textId="2E22E8C4" w:rsidR="00065637" w:rsidRPr="002036F5" w:rsidRDefault="00065637" w:rsidP="002036F5">
            <w:pPr>
              <w:pStyle w:val="TableHead"/>
              <w:spacing w:before="0" w:after="0" w:line="276" w:lineRule="auto"/>
              <w:rPr>
                <w:sz w:val="22"/>
                <w:szCs w:val="22"/>
              </w:rPr>
            </w:pPr>
            <w:r w:rsidRPr="002036F5">
              <w:rPr>
                <w:sz w:val="22"/>
                <w:szCs w:val="22"/>
              </w:rPr>
              <w:t>(≥1/100</w:t>
            </w:r>
            <w:r w:rsidRPr="002036F5">
              <w:rPr>
                <w:spacing w:val="-1"/>
                <w:sz w:val="22"/>
                <w:szCs w:val="22"/>
              </w:rPr>
              <w:t xml:space="preserve"> </w:t>
            </w:r>
            <w:r w:rsidRPr="002036F5">
              <w:rPr>
                <w:sz w:val="22"/>
                <w:szCs w:val="22"/>
              </w:rPr>
              <w:t>to</w:t>
            </w:r>
          </w:p>
          <w:p w14:paraId="3BF8899D" w14:textId="0C4867DF" w:rsidR="00065637" w:rsidRPr="002036F5" w:rsidRDefault="00065637" w:rsidP="002036F5">
            <w:pPr>
              <w:pStyle w:val="TableHead"/>
              <w:spacing w:before="0" w:after="0" w:line="276" w:lineRule="auto"/>
              <w:rPr>
                <w:sz w:val="22"/>
                <w:szCs w:val="22"/>
              </w:rPr>
            </w:pPr>
            <w:r w:rsidRPr="002036F5">
              <w:rPr>
                <w:sz w:val="22"/>
                <w:szCs w:val="22"/>
              </w:rPr>
              <w:t>&lt;1/10)</w:t>
            </w:r>
          </w:p>
        </w:tc>
        <w:tc>
          <w:tcPr>
            <w:tcW w:w="1420" w:type="dxa"/>
            <w:shd w:val="clear" w:color="auto" w:fill="D9D9D9"/>
          </w:tcPr>
          <w:p w14:paraId="48C421E7" w14:textId="50C5801F" w:rsidR="00065637" w:rsidRPr="002036F5" w:rsidRDefault="00065637" w:rsidP="002036F5">
            <w:pPr>
              <w:pStyle w:val="TableHead"/>
              <w:spacing w:before="0" w:after="0" w:line="276" w:lineRule="auto"/>
              <w:rPr>
                <w:sz w:val="22"/>
                <w:szCs w:val="22"/>
              </w:rPr>
            </w:pPr>
            <w:r w:rsidRPr="002036F5">
              <w:rPr>
                <w:sz w:val="22"/>
                <w:szCs w:val="22"/>
              </w:rPr>
              <w:t>Uncommon</w:t>
            </w:r>
            <w:r w:rsidRPr="002036F5">
              <w:rPr>
                <w:spacing w:val="1"/>
                <w:sz w:val="22"/>
                <w:szCs w:val="22"/>
              </w:rPr>
              <w:t xml:space="preserve"> </w:t>
            </w:r>
            <w:r w:rsidRPr="002036F5">
              <w:rPr>
                <w:spacing w:val="1"/>
                <w:sz w:val="22"/>
                <w:szCs w:val="22"/>
              </w:rPr>
              <w:br/>
            </w:r>
            <w:r w:rsidRPr="002036F5">
              <w:rPr>
                <w:sz w:val="22"/>
                <w:szCs w:val="22"/>
              </w:rPr>
              <w:t>(≥1/1,000</w:t>
            </w:r>
            <w:r w:rsidRPr="002036F5">
              <w:rPr>
                <w:spacing w:val="-6"/>
                <w:sz w:val="22"/>
                <w:szCs w:val="22"/>
              </w:rPr>
              <w:t xml:space="preserve"> </w:t>
            </w:r>
            <w:r w:rsidRPr="002036F5">
              <w:rPr>
                <w:sz w:val="22"/>
                <w:szCs w:val="22"/>
              </w:rPr>
              <w:t>to</w:t>
            </w:r>
          </w:p>
          <w:p w14:paraId="27557AE7" w14:textId="43D1023F" w:rsidR="00065637" w:rsidRPr="002036F5" w:rsidRDefault="00065637" w:rsidP="002036F5">
            <w:pPr>
              <w:pStyle w:val="TableHead"/>
              <w:spacing w:before="0" w:after="0" w:line="276" w:lineRule="auto"/>
              <w:rPr>
                <w:sz w:val="22"/>
                <w:szCs w:val="22"/>
              </w:rPr>
            </w:pPr>
            <w:r w:rsidRPr="002036F5">
              <w:rPr>
                <w:sz w:val="22"/>
                <w:szCs w:val="22"/>
              </w:rPr>
              <w:t>&lt;1/100)</w:t>
            </w:r>
          </w:p>
        </w:tc>
        <w:tc>
          <w:tcPr>
            <w:tcW w:w="1494" w:type="dxa"/>
            <w:shd w:val="clear" w:color="auto" w:fill="D9D9D9"/>
          </w:tcPr>
          <w:p w14:paraId="1558BD8C" w14:textId="77777777" w:rsidR="00065637" w:rsidRPr="002036F5" w:rsidRDefault="00065637" w:rsidP="002036F5">
            <w:pPr>
              <w:pStyle w:val="TableHead"/>
              <w:spacing w:before="0" w:after="0" w:line="276" w:lineRule="auto"/>
              <w:rPr>
                <w:sz w:val="22"/>
                <w:szCs w:val="22"/>
              </w:rPr>
            </w:pPr>
            <w:r w:rsidRPr="002036F5">
              <w:rPr>
                <w:sz w:val="22"/>
                <w:szCs w:val="22"/>
              </w:rPr>
              <w:t>Rare</w:t>
            </w:r>
          </w:p>
          <w:p w14:paraId="086C5E3B" w14:textId="445014AF" w:rsidR="00065637" w:rsidRPr="002036F5" w:rsidRDefault="00065637" w:rsidP="002036F5">
            <w:pPr>
              <w:pStyle w:val="TableHead"/>
              <w:spacing w:before="0" w:after="0" w:line="276" w:lineRule="auto"/>
              <w:rPr>
                <w:sz w:val="22"/>
                <w:szCs w:val="22"/>
              </w:rPr>
            </w:pPr>
            <w:r w:rsidRPr="002036F5">
              <w:rPr>
                <w:sz w:val="22"/>
                <w:szCs w:val="22"/>
              </w:rPr>
              <w:t>(≥1/10,000</w:t>
            </w:r>
            <w:r w:rsidRPr="002036F5">
              <w:rPr>
                <w:spacing w:val="-1"/>
                <w:sz w:val="22"/>
                <w:szCs w:val="22"/>
              </w:rPr>
              <w:t xml:space="preserve"> </w:t>
            </w:r>
            <w:r w:rsidRPr="002036F5">
              <w:rPr>
                <w:sz w:val="22"/>
                <w:szCs w:val="22"/>
              </w:rPr>
              <w:t>to</w:t>
            </w:r>
          </w:p>
          <w:p w14:paraId="4067C404" w14:textId="4F3669B2" w:rsidR="00065637" w:rsidRPr="002036F5" w:rsidRDefault="00065637" w:rsidP="002036F5">
            <w:pPr>
              <w:pStyle w:val="TableHead"/>
              <w:spacing w:before="0" w:after="0" w:line="276" w:lineRule="auto"/>
              <w:rPr>
                <w:sz w:val="22"/>
                <w:szCs w:val="22"/>
              </w:rPr>
            </w:pPr>
            <w:r w:rsidRPr="002036F5">
              <w:rPr>
                <w:sz w:val="22"/>
                <w:szCs w:val="22"/>
              </w:rPr>
              <w:t>&lt;1/1,000)</w:t>
            </w:r>
          </w:p>
        </w:tc>
        <w:tc>
          <w:tcPr>
            <w:tcW w:w="1492" w:type="dxa"/>
            <w:shd w:val="clear" w:color="auto" w:fill="D9D9D9"/>
          </w:tcPr>
          <w:p w14:paraId="67D7AB56" w14:textId="4BC90A21" w:rsidR="00065637" w:rsidRPr="002036F5" w:rsidRDefault="00065637" w:rsidP="002036F5">
            <w:pPr>
              <w:pStyle w:val="TableHead"/>
              <w:spacing w:before="0" w:after="0" w:line="276" w:lineRule="auto"/>
              <w:rPr>
                <w:sz w:val="22"/>
                <w:szCs w:val="22"/>
              </w:rPr>
            </w:pPr>
            <w:r w:rsidRPr="002036F5">
              <w:rPr>
                <w:sz w:val="22"/>
                <w:szCs w:val="22"/>
              </w:rPr>
              <w:t xml:space="preserve">Very </w:t>
            </w:r>
            <w:r w:rsidR="00A808C8">
              <w:rPr>
                <w:sz w:val="22"/>
                <w:szCs w:val="22"/>
              </w:rPr>
              <w:t>r</w:t>
            </w:r>
            <w:r w:rsidRPr="002036F5">
              <w:rPr>
                <w:sz w:val="22"/>
                <w:szCs w:val="22"/>
              </w:rPr>
              <w:t>are</w:t>
            </w:r>
            <w:r w:rsidRPr="002036F5">
              <w:rPr>
                <w:spacing w:val="1"/>
                <w:sz w:val="22"/>
                <w:szCs w:val="22"/>
              </w:rPr>
              <w:t xml:space="preserve"> </w:t>
            </w:r>
            <w:r w:rsidRPr="002036F5">
              <w:rPr>
                <w:spacing w:val="1"/>
                <w:sz w:val="22"/>
                <w:szCs w:val="22"/>
              </w:rPr>
              <w:br/>
            </w:r>
            <w:r w:rsidRPr="002036F5">
              <w:rPr>
                <w:sz w:val="22"/>
                <w:szCs w:val="22"/>
              </w:rPr>
              <w:t>(&lt;1/10,000)</w:t>
            </w:r>
          </w:p>
        </w:tc>
      </w:tr>
      <w:tr w:rsidR="00065637" w14:paraId="60368556" w14:textId="77777777" w:rsidTr="00E54D5C">
        <w:trPr>
          <w:trHeight w:val="1322"/>
        </w:trPr>
        <w:tc>
          <w:tcPr>
            <w:tcW w:w="1867" w:type="dxa"/>
          </w:tcPr>
          <w:p w14:paraId="1F789BDC" w14:textId="77777777" w:rsidR="00065637" w:rsidRPr="002036F5" w:rsidRDefault="00065637" w:rsidP="002036F5">
            <w:pPr>
              <w:pStyle w:val="TableParagraph"/>
              <w:spacing w:line="276" w:lineRule="auto"/>
              <w:ind w:left="0"/>
            </w:pPr>
            <w:r w:rsidRPr="002036F5">
              <w:t>Nervous system disorders</w:t>
            </w:r>
          </w:p>
        </w:tc>
        <w:tc>
          <w:tcPr>
            <w:tcW w:w="1511" w:type="dxa"/>
          </w:tcPr>
          <w:p w14:paraId="71000303" w14:textId="77777777" w:rsidR="00065637" w:rsidRPr="002036F5" w:rsidRDefault="00065637" w:rsidP="002036F5">
            <w:pPr>
              <w:pStyle w:val="TableParagraph"/>
              <w:spacing w:line="276" w:lineRule="auto"/>
              <w:ind w:left="0"/>
            </w:pPr>
          </w:p>
        </w:tc>
        <w:tc>
          <w:tcPr>
            <w:tcW w:w="1566" w:type="dxa"/>
          </w:tcPr>
          <w:p w14:paraId="28807DDB" w14:textId="75B67BEF" w:rsidR="00065637" w:rsidRPr="002036F5" w:rsidRDefault="00562E3B" w:rsidP="002036F5">
            <w:pPr>
              <w:pStyle w:val="TableParagraph"/>
              <w:spacing w:line="276" w:lineRule="auto"/>
              <w:ind w:left="0"/>
            </w:pPr>
            <w:r>
              <w:t>C</w:t>
            </w:r>
            <w:r w:rsidR="00065637" w:rsidRPr="002036F5">
              <w:t>erebrovascular</w:t>
            </w:r>
            <w:r w:rsidR="00065637" w:rsidRPr="002036F5">
              <w:rPr>
                <w:spacing w:val="-47"/>
              </w:rPr>
              <w:t xml:space="preserve"> </w:t>
            </w:r>
            <w:r w:rsidR="00065637" w:rsidRPr="002036F5">
              <w:t>accident,</w:t>
            </w:r>
          </w:p>
          <w:p w14:paraId="64690676" w14:textId="23144C28" w:rsidR="00065637" w:rsidRPr="002036F5" w:rsidRDefault="00E54D5C" w:rsidP="002036F5">
            <w:pPr>
              <w:pStyle w:val="TableParagraph"/>
              <w:spacing w:line="276" w:lineRule="auto"/>
              <w:ind w:left="0"/>
            </w:pPr>
            <w:proofErr w:type="spellStart"/>
            <w:r w:rsidRPr="002036F5">
              <w:t>i</w:t>
            </w:r>
            <w:r w:rsidR="00065637" w:rsidRPr="002036F5">
              <w:t>schaemic</w:t>
            </w:r>
            <w:proofErr w:type="spellEnd"/>
            <w:r w:rsidR="00065637" w:rsidRPr="002036F5">
              <w:rPr>
                <w:spacing w:val="-2"/>
              </w:rPr>
              <w:t xml:space="preserve"> </w:t>
            </w:r>
            <w:r w:rsidR="00065637" w:rsidRPr="002036F5">
              <w:t>stroke</w:t>
            </w:r>
          </w:p>
        </w:tc>
        <w:tc>
          <w:tcPr>
            <w:tcW w:w="1420" w:type="dxa"/>
          </w:tcPr>
          <w:p w14:paraId="2C29B6C8" w14:textId="32647F95" w:rsidR="00065637" w:rsidRPr="002036F5" w:rsidRDefault="00065637" w:rsidP="00562E3B">
            <w:pPr>
              <w:pStyle w:val="TableParagraph"/>
              <w:spacing w:line="276" w:lineRule="auto"/>
              <w:ind w:left="0"/>
            </w:pPr>
            <w:r w:rsidRPr="002036F5">
              <w:t>Trans</w:t>
            </w:r>
            <w:r w:rsidR="002036F5" w:rsidRPr="002036F5">
              <w:t xml:space="preserve">ient </w:t>
            </w:r>
            <w:proofErr w:type="spellStart"/>
            <w:r w:rsidR="002036F5" w:rsidRPr="002036F5">
              <w:t>ischaemic</w:t>
            </w:r>
            <w:proofErr w:type="spellEnd"/>
            <w:r w:rsidR="002036F5" w:rsidRPr="002036F5">
              <w:t xml:space="preserve"> attack</w:t>
            </w:r>
            <w:r w:rsidR="00562E3B">
              <w:t>, cerebral infarction</w:t>
            </w:r>
          </w:p>
        </w:tc>
        <w:tc>
          <w:tcPr>
            <w:tcW w:w="1494" w:type="dxa"/>
          </w:tcPr>
          <w:p w14:paraId="5755EF4C" w14:textId="77777777" w:rsidR="00065637" w:rsidRPr="002036F5" w:rsidRDefault="00065637" w:rsidP="002036F5">
            <w:pPr>
              <w:pStyle w:val="TableParagraph"/>
              <w:spacing w:line="276" w:lineRule="auto"/>
              <w:ind w:left="0"/>
            </w:pPr>
          </w:p>
        </w:tc>
        <w:tc>
          <w:tcPr>
            <w:tcW w:w="1492" w:type="dxa"/>
          </w:tcPr>
          <w:p w14:paraId="16CA0BE1" w14:textId="77777777" w:rsidR="00065637" w:rsidRPr="002036F5" w:rsidRDefault="00065637" w:rsidP="002036F5">
            <w:pPr>
              <w:pStyle w:val="TableParagraph"/>
              <w:spacing w:line="276" w:lineRule="auto"/>
              <w:ind w:left="0"/>
            </w:pPr>
          </w:p>
        </w:tc>
      </w:tr>
      <w:tr w:rsidR="00065637" w14:paraId="6360CBB2" w14:textId="77777777" w:rsidTr="00E54D5C">
        <w:trPr>
          <w:trHeight w:val="1322"/>
        </w:trPr>
        <w:tc>
          <w:tcPr>
            <w:tcW w:w="1867" w:type="dxa"/>
          </w:tcPr>
          <w:p w14:paraId="26A622D7" w14:textId="77777777" w:rsidR="00065637" w:rsidRPr="002036F5" w:rsidRDefault="00065637" w:rsidP="002036F5">
            <w:pPr>
              <w:pStyle w:val="TableParagraph"/>
              <w:spacing w:line="276" w:lineRule="auto"/>
              <w:ind w:left="0"/>
            </w:pPr>
            <w:r w:rsidRPr="002036F5">
              <w:t>Cardiac disorders</w:t>
            </w:r>
          </w:p>
        </w:tc>
        <w:tc>
          <w:tcPr>
            <w:tcW w:w="1511" w:type="dxa"/>
          </w:tcPr>
          <w:p w14:paraId="4E93497A" w14:textId="77777777" w:rsidR="00065637" w:rsidRPr="002036F5" w:rsidRDefault="00065637" w:rsidP="002036F5">
            <w:pPr>
              <w:pStyle w:val="TableParagraph"/>
              <w:spacing w:line="276" w:lineRule="auto"/>
              <w:ind w:left="0"/>
            </w:pPr>
          </w:p>
        </w:tc>
        <w:tc>
          <w:tcPr>
            <w:tcW w:w="1566" w:type="dxa"/>
          </w:tcPr>
          <w:p w14:paraId="0376B014" w14:textId="72A89063" w:rsidR="00065637" w:rsidRPr="002036F5" w:rsidRDefault="00065637" w:rsidP="002036F5">
            <w:pPr>
              <w:pStyle w:val="TableParagraph"/>
              <w:spacing w:line="276" w:lineRule="auto"/>
              <w:ind w:left="0"/>
            </w:pPr>
            <w:r w:rsidRPr="002036F5">
              <w:t>Acute</w:t>
            </w:r>
            <w:r w:rsidRPr="002036F5">
              <w:rPr>
                <w:spacing w:val="1"/>
              </w:rPr>
              <w:t xml:space="preserve"> </w:t>
            </w:r>
            <w:r w:rsidRPr="002036F5">
              <w:t>myocardial</w:t>
            </w:r>
            <w:r w:rsidRPr="002036F5">
              <w:rPr>
                <w:spacing w:val="-47"/>
              </w:rPr>
              <w:t xml:space="preserve"> </w:t>
            </w:r>
            <w:r w:rsidRPr="002036F5">
              <w:t>infarction,</w:t>
            </w:r>
            <w:r w:rsidRPr="002036F5">
              <w:rPr>
                <w:spacing w:val="1"/>
              </w:rPr>
              <w:t xml:space="preserve"> </w:t>
            </w:r>
            <w:r w:rsidR="00E54D5C" w:rsidRPr="002036F5">
              <w:t>m</w:t>
            </w:r>
            <w:r w:rsidRPr="002036F5">
              <w:t>yocardial</w:t>
            </w:r>
          </w:p>
          <w:p w14:paraId="7B4DB22C" w14:textId="77777777" w:rsidR="00065637" w:rsidRPr="002036F5" w:rsidRDefault="00065637" w:rsidP="002036F5">
            <w:pPr>
              <w:pStyle w:val="TableParagraph"/>
              <w:spacing w:line="276" w:lineRule="auto"/>
              <w:ind w:left="0"/>
            </w:pPr>
            <w:r w:rsidRPr="002036F5">
              <w:t>infarction</w:t>
            </w:r>
          </w:p>
        </w:tc>
        <w:tc>
          <w:tcPr>
            <w:tcW w:w="1420" w:type="dxa"/>
          </w:tcPr>
          <w:p w14:paraId="6EB94A0D" w14:textId="77777777" w:rsidR="00065637" w:rsidRPr="002036F5" w:rsidRDefault="00065637" w:rsidP="002036F5">
            <w:pPr>
              <w:pStyle w:val="TableParagraph"/>
              <w:spacing w:line="276" w:lineRule="auto"/>
              <w:ind w:left="0"/>
            </w:pPr>
            <w:r w:rsidRPr="002036F5">
              <w:t>Cardiac</w:t>
            </w:r>
            <w:r w:rsidRPr="002036F5">
              <w:rPr>
                <w:spacing w:val="-3"/>
              </w:rPr>
              <w:t xml:space="preserve"> </w:t>
            </w:r>
            <w:r w:rsidRPr="002036F5">
              <w:t>arrest</w:t>
            </w:r>
          </w:p>
        </w:tc>
        <w:tc>
          <w:tcPr>
            <w:tcW w:w="1494" w:type="dxa"/>
          </w:tcPr>
          <w:p w14:paraId="555ACF87" w14:textId="77777777" w:rsidR="00065637" w:rsidRPr="002036F5" w:rsidRDefault="00065637" w:rsidP="002036F5">
            <w:pPr>
              <w:pStyle w:val="TableParagraph"/>
              <w:spacing w:line="276" w:lineRule="auto"/>
              <w:ind w:left="0"/>
            </w:pPr>
          </w:p>
        </w:tc>
        <w:tc>
          <w:tcPr>
            <w:tcW w:w="1492" w:type="dxa"/>
          </w:tcPr>
          <w:p w14:paraId="17D86329" w14:textId="77777777" w:rsidR="00065637" w:rsidRPr="002036F5" w:rsidRDefault="00065637" w:rsidP="002036F5">
            <w:pPr>
              <w:pStyle w:val="TableParagraph"/>
              <w:spacing w:line="276" w:lineRule="auto"/>
              <w:ind w:left="0"/>
            </w:pPr>
          </w:p>
        </w:tc>
      </w:tr>
      <w:tr w:rsidR="00065637" w14:paraId="6D132AF8" w14:textId="77777777" w:rsidTr="00E54D5C">
        <w:trPr>
          <w:trHeight w:val="530"/>
        </w:trPr>
        <w:tc>
          <w:tcPr>
            <w:tcW w:w="1867" w:type="dxa"/>
          </w:tcPr>
          <w:p w14:paraId="13736786" w14:textId="77777777" w:rsidR="00065637" w:rsidRPr="002036F5" w:rsidRDefault="00065637" w:rsidP="002036F5">
            <w:pPr>
              <w:pStyle w:val="TableParagraph"/>
              <w:spacing w:line="276" w:lineRule="auto"/>
              <w:ind w:left="0"/>
            </w:pPr>
            <w:r w:rsidRPr="002036F5">
              <w:t>Vascular disorders</w:t>
            </w:r>
          </w:p>
        </w:tc>
        <w:tc>
          <w:tcPr>
            <w:tcW w:w="1511" w:type="dxa"/>
          </w:tcPr>
          <w:p w14:paraId="4D573CD2" w14:textId="77777777" w:rsidR="00065637" w:rsidRPr="002036F5" w:rsidRDefault="00065637" w:rsidP="002036F5">
            <w:pPr>
              <w:pStyle w:val="TableParagraph"/>
              <w:spacing w:line="276" w:lineRule="auto"/>
              <w:ind w:left="0"/>
            </w:pPr>
          </w:p>
        </w:tc>
        <w:tc>
          <w:tcPr>
            <w:tcW w:w="1566" w:type="dxa"/>
          </w:tcPr>
          <w:p w14:paraId="26C52686" w14:textId="77777777" w:rsidR="00065637" w:rsidRPr="002036F5" w:rsidRDefault="00065637" w:rsidP="002036F5">
            <w:pPr>
              <w:pStyle w:val="TableParagraph"/>
              <w:spacing w:line="276" w:lineRule="auto"/>
              <w:ind w:left="0"/>
            </w:pPr>
            <w:r w:rsidRPr="002036F5">
              <w:t>Deep</w:t>
            </w:r>
            <w:r w:rsidRPr="002036F5">
              <w:rPr>
                <w:spacing w:val="-1"/>
              </w:rPr>
              <w:t xml:space="preserve"> </w:t>
            </w:r>
            <w:r w:rsidRPr="002036F5">
              <w:t>vein</w:t>
            </w:r>
          </w:p>
          <w:p w14:paraId="74639B2C" w14:textId="77777777" w:rsidR="00065637" w:rsidRPr="002036F5" w:rsidRDefault="00065637" w:rsidP="002036F5">
            <w:pPr>
              <w:pStyle w:val="TableParagraph"/>
              <w:spacing w:line="276" w:lineRule="auto"/>
              <w:ind w:left="0"/>
            </w:pPr>
            <w:r w:rsidRPr="002036F5">
              <w:t>thrombosis</w:t>
            </w:r>
          </w:p>
        </w:tc>
        <w:tc>
          <w:tcPr>
            <w:tcW w:w="1420" w:type="dxa"/>
          </w:tcPr>
          <w:p w14:paraId="2C44E58A" w14:textId="77777777" w:rsidR="00065637" w:rsidRPr="002036F5" w:rsidRDefault="00065637" w:rsidP="002036F5">
            <w:pPr>
              <w:pStyle w:val="TableParagraph"/>
              <w:spacing w:line="276" w:lineRule="auto"/>
              <w:ind w:left="0"/>
            </w:pPr>
            <w:r w:rsidRPr="002036F5">
              <w:t>Iliac</w:t>
            </w:r>
            <w:r w:rsidRPr="002036F5">
              <w:rPr>
                <w:spacing w:val="-3"/>
              </w:rPr>
              <w:t xml:space="preserve"> </w:t>
            </w:r>
            <w:r w:rsidRPr="002036F5">
              <w:t>artery</w:t>
            </w:r>
          </w:p>
          <w:p w14:paraId="6A26B107" w14:textId="77777777" w:rsidR="00065637" w:rsidRPr="002036F5" w:rsidRDefault="00065637" w:rsidP="002036F5">
            <w:pPr>
              <w:pStyle w:val="TableParagraph"/>
              <w:spacing w:line="276" w:lineRule="auto"/>
              <w:ind w:left="0"/>
            </w:pPr>
            <w:r w:rsidRPr="002036F5">
              <w:t>occlusion</w:t>
            </w:r>
          </w:p>
        </w:tc>
        <w:tc>
          <w:tcPr>
            <w:tcW w:w="1494" w:type="dxa"/>
          </w:tcPr>
          <w:p w14:paraId="696247D6" w14:textId="77777777" w:rsidR="00065637" w:rsidRPr="002036F5" w:rsidRDefault="00065637" w:rsidP="002036F5">
            <w:pPr>
              <w:pStyle w:val="TableParagraph"/>
              <w:spacing w:line="276" w:lineRule="auto"/>
              <w:ind w:left="0"/>
            </w:pPr>
          </w:p>
        </w:tc>
        <w:tc>
          <w:tcPr>
            <w:tcW w:w="1492" w:type="dxa"/>
          </w:tcPr>
          <w:p w14:paraId="7A6AC4F7" w14:textId="77777777" w:rsidR="00065637" w:rsidRPr="002036F5" w:rsidRDefault="00065637" w:rsidP="002036F5">
            <w:pPr>
              <w:pStyle w:val="TableParagraph"/>
              <w:spacing w:line="276" w:lineRule="auto"/>
              <w:ind w:left="0"/>
            </w:pPr>
          </w:p>
        </w:tc>
      </w:tr>
      <w:tr w:rsidR="00065637" w14:paraId="3F22B8EA" w14:textId="77777777" w:rsidTr="00E54D5C">
        <w:trPr>
          <w:trHeight w:val="741"/>
        </w:trPr>
        <w:tc>
          <w:tcPr>
            <w:tcW w:w="1867" w:type="dxa"/>
          </w:tcPr>
          <w:p w14:paraId="13645406" w14:textId="77777777" w:rsidR="00065637" w:rsidRPr="002036F5" w:rsidRDefault="00065637" w:rsidP="002036F5">
            <w:pPr>
              <w:pStyle w:val="TableParagraph"/>
              <w:spacing w:line="276" w:lineRule="auto"/>
              <w:ind w:left="0"/>
            </w:pPr>
            <w:r w:rsidRPr="002036F5">
              <w:t>Respiratory, thoracic mediastinal</w:t>
            </w:r>
          </w:p>
          <w:p w14:paraId="0AF81B43" w14:textId="77777777" w:rsidR="00065637" w:rsidRPr="002036F5" w:rsidRDefault="00065637" w:rsidP="002036F5">
            <w:pPr>
              <w:pStyle w:val="TableParagraph"/>
              <w:spacing w:line="276" w:lineRule="auto"/>
              <w:ind w:left="0"/>
            </w:pPr>
            <w:r w:rsidRPr="002036F5">
              <w:t>disorders</w:t>
            </w:r>
          </w:p>
        </w:tc>
        <w:tc>
          <w:tcPr>
            <w:tcW w:w="1511" w:type="dxa"/>
          </w:tcPr>
          <w:p w14:paraId="6B3A8BD7" w14:textId="77777777" w:rsidR="00065637" w:rsidRPr="002036F5" w:rsidRDefault="00065637" w:rsidP="002036F5">
            <w:pPr>
              <w:pStyle w:val="TableParagraph"/>
              <w:spacing w:line="276" w:lineRule="auto"/>
              <w:ind w:left="0"/>
            </w:pPr>
          </w:p>
        </w:tc>
        <w:tc>
          <w:tcPr>
            <w:tcW w:w="1566" w:type="dxa"/>
          </w:tcPr>
          <w:p w14:paraId="4013A147" w14:textId="77777777" w:rsidR="00065637" w:rsidRPr="002036F5" w:rsidRDefault="00065637" w:rsidP="002036F5">
            <w:pPr>
              <w:pStyle w:val="TableParagraph"/>
              <w:spacing w:line="276" w:lineRule="auto"/>
              <w:ind w:left="0"/>
            </w:pPr>
            <w:r w:rsidRPr="002036F5">
              <w:t>Pulmonary</w:t>
            </w:r>
            <w:r w:rsidRPr="002036F5">
              <w:rPr>
                <w:spacing w:val="-47"/>
              </w:rPr>
              <w:t xml:space="preserve"> </w:t>
            </w:r>
            <w:r w:rsidRPr="002036F5">
              <w:t>embolism</w:t>
            </w:r>
          </w:p>
        </w:tc>
        <w:tc>
          <w:tcPr>
            <w:tcW w:w="1420" w:type="dxa"/>
          </w:tcPr>
          <w:p w14:paraId="4C1F0978" w14:textId="77777777" w:rsidR="00065637" w:rsidRPr="002036F5" w:rsidRDefault="00065637" w:rsidP="002036F5">
            <w:pPr>
              <w:pStyle w:val="TableParagraph"/>
              <w:spacing w:line="276" w:lineRule="auto"/>
              <w:ind w:left="0"/>
            </w:pPr>
          </w:p>
        </w:tc>
        <w:tc>
          <w:tcPr>
            <w:tcW w:w="1494" w:type="dxa"/>
          </w:tcPr>
          <w:p w14:paraId="5DBB10EA" w14:textId="77777777" w:rsidR="00065637" w:rsidRPr="002036F5" w:rsidRDefault="00065637" w:rsidP="002036F5">
            <w:pPr>
              <w:pStyle w:val="TableParagraph"/>
              <w:spacing w:line="276" w:lineRule="auto"/>
              <w:ind w:left="0"/>
            </w:pPr>
          </w:p>
        </w:tc>
        <w:tc>
          <w:tcPr>
            <w:tcW w:w="1492" w:type="dxa"/>
          </w:tcPr>
          <w:p w14:paraId="6C84D66B" w14:textId="77777777" w:rsidR="00065637" w:rsidRPr="002036F5" w:rsidRDefault="00065637" w:rsidP="002036F5">
            <w:pPr>
              <w:pStyle w:val="TableParagraph"/>
              <w:spacing w:line="276" w:lineRule="auto"/>
              <w:ind w:left="0"/>
            </w:pPr>
          </w:p>
        </w:tc>
      </w:tr>
      <w:tr w:rsidR="00065637" w14:paraId="28F4E1FC" w14:textId="77777777" w:rsidTr="00E54D5C">
        <w:trPr>
          <w:trHeight w:val="695"/>
        </w:trPr>
        <w:tc>
          <w:tcPr>
            <w:tcW w:w="1867" w:type="dxa"/>
          </w:tcPr>
          <w:p w14:paraId="397786E4" w14:textId="77777777" w:rsidR="00065637" w:rsidRPr="002036F5" w:rsidRDefault="00065637" w:rsidP="002036F5">
            <w:pPr>
              <w:pStyle w:val="TableParagraph"/>
              <w:spacing w:line="276" w:lineRule="auto"/>
              <w:ind w:left="0"/>
            </w:pPr>
            <w:r w:rsidRPr="002036F5">
              <w:t>General disorders</w:t>
            </w:r>
          </w:p>
          <w:p w14:paraId="0BA62B7D" w14:textId="7E11EA93" w:rsidR="00065637" w:rsidRPr="002036F5" w:rsidRDefault="00065637" w:rsidP="002036F5">
            <w:pPr>
              <w:pStyle w:val="TableParagraph"/>
              <w:spacing w:line="276" w:lineRule="auto"/>
              <w:ind w:left="0"/>
            </w:pPr>
            <w:r w:rsidRPr="002036F5">
              <w:t>and administrat</w:t>
            </w:r>
            <w:r w:rsidR="00E54D5C" w:rsidRPr="002036F5">
              <w:t xml:space="preserve">ive </w:t>
            </w:r>
            <w:r w:rsidRPr="002036F5">
              <w:t>conditions</w:t>
            </w:r>
          </w:p>
        </w:tc>
        <w:tc>
          <w:tcPr>
            <w:tcW w:w="1511" w:type="dxa"/>
          </w:tcPr>
          <w:p w14:paraId="00DF0280" w14:textId="77777777" w:rsidR="00065637" w:rsidRPr="002036F5" w:rsidRDefault="00065637" w:rsidP="002036F5">
            <w:pPr>
              <w:pStyle w:val="TableParagraph"/>
              <w:spacing w:line="276" w:lineRule="auto"/>
              <w:ind w:left="0"/>
            </w:pPr>
          </w:p>
        </w:tc>
        <w:tc>
          <w:tcPr>
            <w:tcW w:w="1566" w:type="dxa"/>
          </w:tcPr>
          <w:p w14:paraId="066FA2CC" w14:textId="49BEFCA4" w:rsidR="00065637" w:rsidRPr="002036F5" w:rsidRDefault="00065637" w:rsidP="002036F5">
            <w:pPr>
              <w:pStyle w:val="TableParagraph"/>
              <w:spacing w:line="276" w:lineRule="auto"/>
              <w:ind w:left="0"/>
            </w:pPr>
            <w:r w:rsidRPr="002036F5">
              <w:t>Pyrexia</w:t>
            </w:r>
          </w:p>
        </w:tc>
        <w:tc>
          <w:tcPr>
            <w:tcW w:w="1420" w:type="dxa"/>
          </w:tcPr>
          <w:p w14:paraId="03C52BBB" w14:textId="77777777" w:rsidR="00065637" w:rsidRPr="002036F5" w:rsidRDefault="00065637" w:rsidP="002036F5">
            <w:pPr>
              <w:pStyle w:val="TableParagraph"/>
              <w:spacing w:line="276" w:lineRule="auto"/>
              <w:ind w:left="0"/>
            </w:pPr>
          </w:p>
        </w:tc>
        <w:tc>
          <w:tcPr>
            <w:tcW w:w="1494" w:type="dxa"/>
          </w:tcPr>
          <w:p w14:paraId="3E2B45B6" w14:textId="77777777" w:rsidR="00065637" w:rsidRPr="002036F5" w:rsidRDefault="00065637" w:rsidP="002036F5">
            <w:pPr>
              <w:pStyle w:val="TableParagraph"/>
              <w:spacing w:line="276" w:lineRule="auto"/>
              <w:ind w:left="0"/>
            </w:pPr>
          </w:p>
        </w:tc>
        <w:tc>
          <w:tcPr>
            <w:tcW w:w="1492" w:type="dxa"/>
          </w:tcPr>
          <w:p w14:paraId="1D1E2818" w14:textId="77777777" w:rsidR="00065637" w:rsidRPr="002036F5" w:rsidRDefault="00065637" w:rsidP="002036F5">
            <w:pPr>
              <w:pStyle w:val="TableParagraph"/>
              <w:spacing w:line="276" w:lineRule="auto"/>
              <w:ind w:left="0"/>
            </w:pPr>
          </w:p>
        </w:tc>
      </w:tr>
      <w:tr w:rsidR="00302FD8" w14:paraId="56AE5D4C" w14:textId="77777777" w:rsidTr="00E54D5C">
        <w:trPr>
          <w:trHeight w:val="695"/>
        </w:trPr>
        <w:tc>
          <w:tcPr>
            <w:tcW w:w="1867" w:type="dxa"/>
          </w:tcPr>
          <w:p w14:paraId="2C0E46D6" w14:textId="6F0CCC81" w:rsidR="00302FD8" w:rsidRPr="00797653" w:rsidRDefault="00302FD8" w:rsidP="00302FD8">
            <w:pPr>
              <w:pStyle w:val="TableParagraph"/>
              <w:spacing w:line="276" w:lineRule="auto"/>
              <w:ind w:left="0"/>
            </w:pPr>
            <w:r w:rsidRPr="00797653">
              <w:t>Injury, poisoning and procedural complications</w:t>
            </w:r>
          </w:p>
        </w:tc>
        <w:tc>
          <w:tcPr>
            <w:tcW w:w="1511" w:type="dxa"/>
          </w:tcPr>
          <w:p w14:paraId="3AC049FF" w14:textId="77777777" w:rsidR="00302FD8" w:rsidRPr="002036F5" w:rsidRDefault="00302FD8" w:rsidP="00302FD8">
            <w:pPr>
              <w:pStyle w:val="TableParagraph"/>
              <w:spacing w:line="276" w:lineRule="auto"/>
              <w:ind w:left="0"/>
            </w:pPr>
          </w:p>
        </w:tc>
        <w:tc>
          <w:tcPr>
            <w:tcW w:w="1566" w:type="dxa"/>
          </w:tcPr>
          <w:p w14:paraId="7DE395B2" w14:textId="77777777" w:rsidR="00302FD8" w:rsidRPr="002036F5" w:rsidRDefault="00302FD8" w:rsidP="00302FD8">
            <w:pPr>
              <w:pStyle w:val="TableParagraph"/>
              <w:spacing w:line="276" w:lineRule="auto"/>
              <w:ind w:left="0"/>
            </w:pPr>
          </w:p>
        </w:tc>
        <w:tc>
          <w:tcPr>
            <w:tcW w:w="1420" w:type="dxa"/>
          </w:tcPr>
          <w:p w14:paraId="1EF2DA9B" w14:textId="3877F1B2" w:rsidR="00302FD8" w:rsidRPr="002036F5" w:rsidRDefault="00302FD8" w:rsidP="00302FD8">
            <w:pPr>
              <w:pStyle w:val="TableParagraph"/>
              <w:spacing w:line="276" w:lineRule="auto"/>
              <w:ind w:left="0"/>
            </w:pPr>
            <w:r w:rsidRPr="00302FD8">
              <w:rPr>
                <w:rFonts w:eastAsia="SimSun"/>
                <w:szCs w:val="24"/>
                <w:lang w:val="en-GB"/>
              </w:rPr>
              <w:t xml:space="preserve">Infusion related </w:t>
            </w:r>
            <w:proofErr w:type="spellStart"/>
            <w:r w:rsidRPr="00302FD8">
              <w:rPr>
                <w:rFonts w:eastAsia="SimSun"/>
                <w:szCs w:val="24"/>
                <w:lang w:val="en-GB"/>
              </w:rPr>
              <w:t>reaction</w:t>
            </w:r>
            <w:r w:rsidRPr="00302FD8">
              <w:rPr>
                <w:rFonts w:eastAsia="SimSun"/>
                <w:szCs w:val="24"/>
                <w:vertAlign w:val="superscript"/>
                <w:lang w:val="en-GB"/>
              </w:rPr>
              <w:t>a</w:t>
            </w:r>
            <w:proofErr w:type="spellEnd"/>
          </w:p>
        </w:tc>
        <w:tc>
          <w:tcPr>
            <w:tcW w:w="1494" w:type="dxa"/>
          </w:tcPr>
          <w:p w14:paraId="65B93968" w14:textId="77777777" w:rsidR="00302FD8" w:rsidRPr="002036F5" w:rsidRDefault="00302FD8" w:rsidP="00302FD8">
            <w:pPr>
              <w:pStyle w:val="TableParagraph"/>
              <w:spacing w:line="276" w:lineRule="auto"/>
              <w:ind w:left="0"/>
            </w:pPr>
          </w:p>
        </w:tc>
        <w:tc>
          <w:tcPr>
            <w:tcW w:w="1492" w:type="dxa"/>
          </w:tcPr>
          <w:p w14:paraId="0DDC4777" w14:textId="77777777" w:rsidR="00302FD8" w:rsidRPr="002036F5" w:rsidRDefault="00302FD8" w:rsidP="00302FD8">
            <w:pPr>
              <w:pStyle w:val="TableParagraph"/>
              <w:spacing w:line="276" w:lineRule="auto"/>
              <w:ind w:left="0"/>
            </w:pPr>
          </w:p>
        </w:tc>
      </w:tr>
    </w:tbl>
    <w:p w14:paraId="153D14C7" w14:textId="22ECF1EE" w:rsidR="00302FD8" w:rsidRPr="00302FD8" w:rsidRDefault="00302FD8" w:rsidP="00302FD8">
      <w:pPr>
        <w:pStyle w:val="TableFootnoteInfo"/>
        <w:rPr>
          <w:sz w:val="20"/>
          <w:szCs w:val="52"/>
        </w:rPr>
      </w:pPr>
      <w:r w:rsidRPr="00302FD8">
        <w:rPr>
          <w:sz w:val="20"/>
          <w:szCs w:val="52"/>
          <w:vertAlign w:val="superscript"/>
        </w:rPr>
        <w:t>a</w:t>
      </w:r>
      <w:r w:rsidRPr="00302FD8">
        <w:rPr>
          <w:sz w:val="20"/>
          <w:szCs w:val="52"/>
        </w:rPr>
        <w:t xml:space="preserve"> reported signs/symptoms (rigors, chills, hypertension, oxygen desaturation, </w:t>
      </w:r>
      <w:proofErr w:type="gramStart"/>
      <w:r w:rsidRPr="00302FD8">
        <w:rPr>
          <w:sz w:val="20"/>
          <w:szCs w:val="52"/>
        </w:rPr>
        <w:t>agitation</w:t>
      </w:r>
      <w:proofErr w:type="gramEnd"/>
      <w:r w:rsidRPr="00302FD8">
        <w:rPr>
          <w:sz w:val="20"/>
          <w:szCs w:val="52"/>
        </w:rPr>
        <w:t xml:space="preserve"> and confusion) were transient and mild to moderate in severity.</w:t>
      </w:r>
    </w:p>
    <w:p w14:paraId="6F78500C" w14:textId="77777777" w:rsidR="00E54D5C" w:rsidRDefault="00E54D5C" w:rsidP="00EF1639">
      <w:pPr>
        <w:pStyle w:val="Paragraph"/>
        <w:spacing w:after="0"/>
      </w:pPr>
    </w:p>
    <w:p w14:paraId="264D17BC" w14:textId="0D510B10" w:rsidR="00065637" w:rsidRDefault="00065637" w:rsidP="00E54D5C">
      <w:pPr>
        <w:pStyle w:val="Heading3Unnumbered"/>
        <w:spacing w:before="0"/>
      </w:pPr>
      <w:r>
        <w:t>Description</w:t>
      </w:r>
      <w:r>
        <w:rPr>
          <w:spacing w:val="-2"/>
        </w:rPr>
        <w:t xml:space="preserve"> </w:t>
      </w:r>
      <w:r>
        <w:t>of</w:t>
      </w:r>
      <w:r>
        <w:rPr>
          <w:spacing w:val="-3"/>
        </w:rPr>
        <w:t xml:space="preserve"> </w:t>
      </w:r>
      <w:r w:rsidR="00E54D5C">
        <w:t>s</w:t>
      </w:r>
      <w:r>
        <w:t xml:space="preserve">elected </w:t>
      </w:r>
      <w:r w:rsidR="00E54D5C">
        <w:t>a</w:t>
      </w:r>
      <w:r>
        <w:t>dverse</w:t>
      </w:r>
      <w:r>
        <w:rPr>
          <w:spacing w:val="-3"/>
        </w:rPr>
        <w:t xml:space="preserve"> </w:t>
      </w:r>
      <w:r w:rsidR="00E54D5C">
        <w:t>r</w:t>
      </w:r>
      <w:r>
        <w:t>eactions</w:t>
      </w:r>
    </w:p>
    <w:p w14:paraId="769453A5" w14:textId="3408AFCD" w:rsidR="00065637" w:rsidRDefault="00065637" w:rsidP="00165D9E">
      <w:pPr>
        <w:pStyle w:val="Paragraph"/>
      </w:pPr>
      <w:r>
        <w:t xml:space="preserve">In the ANNEXA-4 study, 50/477 </w:t>
      </w:r>
      <w:r w:rsidR="00B24A1E">
        <w:t xml:space="preserve">(10.5%) </w:t>
      </w:r>
      <w:r>
        <w:t>patients experienced one or more of the following</w:t>
      </w:r>
      <w:r>
        <w:rPr>
          <w:spacing w:val="1"/>
        </w:rPr>
        <w:t xml:space="preserve"> </w:t>
      </w:r>
      <w:r>
        <w:t>thrombotic</w:t>
      </w:r>
      <w:r>
        <w:rPr>
          <w:spacing w:val="-1"/>
        </w:rPr>
        <w:t xml:space="preserve"> </w:t>
      </w:r>
      <w:r>
        <w:t>events:</w:t>
      </w:r>
      <w:r>
        <w:rPr>
          <w:spacing w:val="1"/>
        </w:rPr>
        <w:t xml:space="preserve"> </w:t>
      </w:r>
      <w:r>
        <w:t>cerebrovascular</w:t>
      </w:r>
      <w:r>
        <w:rPr>
          <w:spacing w:val="1"/>
        </w:rPr>
        <w:t xml:space="preserve"> </w:t>
      </w:r>
      <w:r>
        <w:t>accident</w:t>
      </w:r>
      <w:r>
        <w:rPr>
          <w:spacing w:val="1"/>
        </w:rPr>
        <w:t xml:space="preserve"> </w:t>
      </w:r>
      <w:r>
        <w:t>(22/50),</w:t>
      </w:r>
      <w:r>
        <w:rPr>
          <w:spacing w:val="1"/>
        </w:rPr>
        <w:t xml:space="preserve"> </w:t>
      </w:r>
      <w:r>
        <w:t>deep venous</w:t>
      </w:r>
      <w:r>
        <w:rPr>
          <w:spacing w:val="1"/>
        </w:rPr>
        <w:t xml:space="preserve"> </w:t>
      </w:r>
      <w:r>
        <w:t>thrombosis</w:t>
      </w:r>
      <w:r>
        <w:rPr>
          <w:spacing w:val="1"/>
        </w:rPr>
        <w:t xml:space="preserve"> </w:t>
      </w:r>
      <w:r>
        <w:t>(12/50),</w:t>
      </w:r>
      <w:r>
        <w:rPr>
          <w:spacing w:val="1"/>
        </w:rPr>
        <w:t xml:space="preserve"> </w:t>
      </w:r>
      <w:r>
        <w:t>myocardial infarction (9/50), pulmonary embolism (5/50), and transient isch</w:t>
      </w:r>
      <w:r w:rsidR="00847177">
        <w:t>a</w:t>
      </w:r>
      <w:r>
        <w:t>emic attack (2/50).</w:t>
      </w:r>
      <w:r>
        <w:rPr>
          <w:spacing w:val="1"/>
        </w:rPr>
        <w:t xml:space="preserve"> </w:t>
      </w:r>
      <w:r>
        <w:t>The median time to thrombotic event was 10 days. Nineteen of 50 patients with thrombotic</w:t>
      </w:r>
      <w:r>
        <w:rPr>
          <w:spacing w:val="1"/>
        </w:rPr>
        <w:t xml:space="preserve"> </w:t>
      </w:r>
      <w:r>
        <w:t>events experienced the thrombotic event during the first 3 days. Of the 477 patients who received</w:t>
      </w:r>
      <w:r w:rsidR="00B24A1E">
        <w:t xml:space="preserve"> ANDEXXA</w:t>
      </w:r>
      <w:r>
        <w:t>, 308 received at least 1 anticoagulation dose within 30 days after treatment as a</w:t>
      </w:r>
      <w:r>
        <w:rPr>
          <w:spacing w:val="1"/>
        </w:rPr>
        <w:t xml:space="preserve"> </w:t>
      </w:r>
      <w:r>
        <w:t xml:space="preserve">prophylactic measure. Of these 308, 15 </w:t>
      </w:r>
      <w:r w:rsidR="00B24A1E">
        <w:t xml:space="preserve">(4.9%) </w:t>
      </w:r>
      <w:r>
        <w:t>patients had a thrombotic event after resumption of</w:t>
      </w:r>
      <w:r>
        <w:rPr>
          <w:spacing w:val="1"/>
        </w:rPr>
        <w:t xml:space="preserve"> </w:t>
      </w:r>
      <w:r>
        <w:t>anticoagulation; while of the 169 patients who did not receive anticoagulation as a prophylactic,</w:t>
      </w:r>
      <w:r>
        <w:rPr>
          <w:spacing w:val="1"/>
        </w:rPr>
        <w:t xml:space="preserve"> </w:t>
      </w:r>
      <w:r>
        <w:t>35</w:t>
      </w:r>
      <w:r>
        <w:rPr>
          <w:spacing w:val="-1"/>
        </w:rPr>
        <w:t xml:space="preserve"> </w:t>
      </w:r>
      <w:r w:rsidR="00B24A1E">
        <w:rPr>
          <w:spacing w:val="-1"/>
        </w:rPr>
        <w:t xml:space="preserve">(20.7%) </w:t>
      </w:r>
      <w:r>
        <w:t>had</w:t>
      </w:r>
      <w:r>
        <w:rPr>
          <w:spacing w:val="2"/>
        </w:rPr>
        <w:t xml:space="preserve"> </w:t>
      </w:r>
      <w:r>
        <w:t>a</w:t>
      </w:r>
      <w:r>
        <w:rPr>
          <w:spacing w:val="-1"/>
        </w:rPr>
        <w:t xml:space="preserve"> </w:t>
      </w:r>
      <w:r>
        <w:t>thrombotic</w:t>
      </w:r>
      <w:r>
        <w:rPr>
          <w:spacing w:val="-1"/>
        </w:rPr>
        <w:t xml:space="preserve"> </w:t>
      </w:r>
      <w:r>
        <w:t>event.</w:t>
      </w:r>
    </w:p>
    <w:p w14:paraId="62D74A5B" w14:textId="39EBA90E" w:rsidR="00065637" w:rsidRPr="00065637" w:rsidRDefault="00065637" w:rsidP="00065637">
      <w:pPr>
        <w:pStyle w:val="Paragraph"/>
      </w:pPr>
      <w:r>
        <w:t>No</w:t>
      </w:r>
      <w:r>
        <w:rPr>
          <w:spacing w:val="-3"/>
        </w:rPr>
        <w:t xml:space="preserve"> </w:t>
      </w:r>
      <w:r>
        <w:t>thrombotic</w:t>
      </w:r>
      <w:r>
        <w:rPr>
          <w:spacing w:val="-2"/>
        </w:rPr>
        <w:t xml:space="preserve"> </w:t>
      </w:r>
      <w:r>
        <w:t>events</w:t>
      </w:r>
      <w:r>
        <w:rPr>
          <w:spacing w:val="-1"/>
        </w:rPr>
        <w:t xml:space="preserve"> </w:t>
      </w:r>
      <w:r>
        <w:t>were</w:t>
      </w:r>
      <w:r>
        <w:rPr>
          <w:spacing w:val="-2"/>
        </w:rPr>
        <w:t xml:space="preserve"> </w:t>
      </w:r>
      <w:r>
        <w:t>observed</w:t>
      </w:r>
      <w:r>
        <w:rPr>
          <w:spacing w:val="-1"/>
        </w:rPr>
        <w:t xml:space="preserve"> </w:t>
      </w:r>
      <w:r>
        <w:t>in</w:t>
      </w:r>
      <w:r>
        <w:rPr>
          <w:spacing w:val="-2"/>
        </w:rPr>
        <w:t xml:space="preserve"> </w:t>
      </w:r>
      <w:r>
        <w:t>417</w:t>
      </w:r>
      <w:r>
        <w:rPr>
          <w:spacing w:val="-1"/>
        </w:rPr>
        <w:t xml:space="preserve"> </w:t>
      </w:r>
      <w:r>
        <w:t>healthy</w:t>
      </w:r>
      <w:r>
        <w:rPr>
          <w:spacing w:val="-1"/>
        </w:rPr>
        <w:t xml:space="preserve"> </w:t>
      </w:r>
      <w:r>
        <w:t>volunteers</w:t>
      </w:r>
      <w:r>
        <w:rPr>
          <w:spacing w:val="-1"/>
        </w:rPr>
        <w:t xml:space="preserve"> </w:t>
      </w:r>
      <w:r>
        <w:t>who</w:t>
      </w:r>
      <w:r>
        <w:rPr>
          <w:spacing w:val="-1"/>
        </w:rPr>
        <w:t xml:space="preserve"> </w:t>
      </w:r>
      <w:r>
        <w:t>received</w:t>
      </w:r>
      <w:r>
        <w:rPr>
          <w:spacing w:val="-2"/>
        </w:rPr>
        <w:t xml:space="preserve"> </w:t>
      </w:r>
      <w:proofErr w:type="spellStart"/>
      <w:r>
        <w:t>FXa</w:t>
      </w:r>
      <w:proofErr w:type="spellEnd"/>
      <w:r>
        <w:rPr>
          <w:spacing w:val="-2"/>
        </w:rPr>
        <w:t xml:space="preserve"> </w:t>
      </w:r>
      <w:r>
        <w:t>inhibitors</w:t>
      </w:r>
      <w:r>
        <w:rPr>
          <w:spacing w:val="-1"/>
        </w:rPr>
        <w:t xml:space="preserve"> </w:t>
      </w:r>
      <w:r>
        <w:t>and</w:t>
      </w:r>
      <w:r>
        <w:rPr>
          <w:spacing w:val="-57"/>
        </w:rPr>
        <w:t xml:space="preserve"> </w:t>
      </w:r>
      <w:r>
        <w:t>were</w:t>
      </w:r>
      <w:r>
        <w:rPr>
          <w:spacing w:val="-2"/>
        </w:rPr>
        <w:t xml:space="preserve"> </w:t>
      </w:r>
      <w:r>
        <w:t>treated</w:t>
      </w:r>
      <w:r>
        <w:rPr>
          <w:spacing w:val="2"/>
        </w:rPr>
        <w:t xml:space="preserve"> </w:t>
      </w:r>
      <w:r>
        <w:t>with ANDEXXA.</w:t>
      </w:r>
    </w:p>
    <w:p w14:paraId="1AAD7E4E" w14:textId="77777777" w:rsidR="00E54D5C" w:rsidRDefault="00E54D5C" w:rsidP="00E54D5C">
      <w:pPr>
        <w:pStyle w:val="Heading3Unnumbered"/>
      </w:pPr>
      <w:r w:rsidRPr="00336FF5">
        <w:t>Adverse events</w:t>
      </w:r>
    </w:p>
    <w:p w14:paraId="4B72C074" w14:textId="1B046846" w:rsidR="005A5DA1" w:rsidRDefault="00561312" w:rsidP="005A5DA1">
      <w:pPr>
        <w:pStyle w:val="Paragraph"/>
      </w:pPr>
      <w:r>
        <w:t xml:space="preserve">Table </w:t>
      </w:r>
      <w:r w:rsidR="00395F60">
        <w:t>5</w:t>
      </w:r>
      <w:r w:rsidRPr="00561312">
        <w:t xml:space="preserve"> </w:t>
      </w:r>
      <w:r>
        <w:t>provides</w:t>
      </w:r>
      <w:r>
        <w:rPr>
          <w:spacing w:val="-1"/>
        </w:rPr>
        <w:t xml:space="preserve"> </w:t>
      </w:r>
      <w:r>
        <w:t>the</w:t>
      </w:r>
      <w:r>
        <w:rPr>
          <w:spacing w:val="-2"/>
        </w:rPr>
        <w:t xml:space="preserve"> </w:t>
      </w:r>
      <w:r>
        <w:t>list</w:t>
      </w:r>
      <w:r>
        <w:rPr>
          <w:spacing w:val="1"/>
        </w:rPr>
        <w:t xml:space="preserve"> </w:t>
      </w:r>
      <w:r>
        <w:t>of</w:t>
      </w:r>
      <w:r>
        <w:rPr>
          <w:spacing w:val="-2"/>
        </w:rPr>
        <w:t xml:space="preserve"> treatment-emergent </w:t>
      </w:r>
      <w:r>
        <w:t>adverse</w:t>
      </w:r>
      <w:r>
        <w:rPr>
          <w:spacing w:val="-2"/>
        </w:rPr>
        <w:t xml:space="preserve"> events</w:t>
      </w:r>
      <w:r>
        <w:rPr>
          <w:spacing w:val="-1"/>
        </w:rPr>
        <w:t xml:space="preserve"> </w:t>
      </w:r>
      <w:r w:rsidR="005A5DA1">
        <w:rPr>
          <w:spacing w:val="-1"/>
        </w:rPr>
        <w:t xml:space="preserve">(TEAE) </w:t>
      </w:r>
      <w:r>
        <w:rPr>
          <w:spacing w:val="-1"/>
        </w:rPr>
        <w:t>regardless of causality occurring in at least ≥3</w:t>
      </w:r>
      <w:r w:rsidR="005A5DA1">
        <w:rPr>
          <w:spacing w:val="-1"/>
        </w:rPr>
        <w:t xml:space="preserve">% of patients </w:t>
      </w:r>
      <w:r>
        <w:t>from</w:t>
      </w:r>
      <w:r>
        <w:rPr>
          <w:spacing w:val="1"/>
        </w:rPr>
        <w:t xml:space="preserve"> </w:t>
      </w:r>
      <w:r>
        <w:t>the</w:t>
      </w:r>
      <w:r>
        <w:rPr>
          <w:spacing w:val="-2"/>
        </w:rPr>
        <w:t xml:space="preserve"> </w:t>
      </w:r>
      <w:r>
        <w:t>Phase</w:t>
      </w:r>
      <w:r>
        <w:rPr>
          <w:spacing w:val="-2"/>
        </w:rPr>
        <w:t xml:space="preserve"> </w:t>
      </w:r>
      <w:r>
        <w:t>3b/4</w:t>
      </w:r>
      <w:r>
        <w:rPr>
          <w:spacing w:val="-1"/>
        </w:rPr>
        <w:t xml:space="preserve"> </w:t>
      </w:r>
      <w:r>
        <w:t>ANNEXA-</w:t>
      </w:r>
      <w:r>
        <w:rPr>
          <w:spacing w:val="-57"/>
        </w:rPr>
        <w:t xml:space="preserve"> </w:t>
      </w:r>
      <w:r>
        <w:t>4</w:t>
      </w:r>
      <w:r>
        <w:rPr>
          <w:spacing w:val="-1"/>
        </w:rPr>
        <w:t xml:space="preserve"> </w:t>
      </w:r>
      <w:r>
        <w:t>study,</w:t>
      </w:r>
      <w:r>
        <w:rPr>
          <w:spacing w:val="-1"/>
        </w:rPr>
        <w:t xml:space="preserve"> </w:t>
      </w:r>
      <w:r>
        <w:t>including</w:t>
      </w:r>
      <w:r>
        <w:rPr>
          <w:spacing w:val="-1"/>
        </w:rPr>
        <w:t xml:space="preserve"> </w:t>
      </w:r>
      <w:r>
        <w:t>477 patients</w:t>
      </w:r>
      <w:r>
        <w:rPr>
          <w:spacing w:val="-1"/>
        </w:rPr>
        <w:t xml:space="preserve"> </w:t>
      </w:r>
      <w:r>
        <w:t>with</w:t>
      </w:r>
      <w:r>
        <w:rPr>
          <w:spacing w:val="-1"/>
        </w:rPr>
        <w:t xml:space="preserve"> </w:t>
      </w:r>
      <w:r>
        <w:t>acute</w:t>
      </w:r>
      <w:r>
        <w:rPr>
          <w:spacing w:val="-2"/>
        </w:rPr>
        <w:t xml:space="preserve"> </w:t>
      </w:r>
      <w:r>
        <w:t>major</w:t>
      </w:r>
      <w:r>
        <w:rPr>
          <w:spacing w:val="-1"/>
        </w:rPr>
        <w:t xml:space="preserve"> </w:t>
      </w:r>
      <w:r>
        <w:t>bleeding</w:t>
      </w:r>
      <w:r>
        <w:rPr>
          <w:spacing w:val="-1"/>
        </w:rPr>
        <w:t xml:space="preserve"> </w:t>
      </w:r>
      <w:r>
        <w:t>treated</w:t>
      </w:r>
      <w:r>
        <w:rPr>
          <w:spacing w:val="-1"/>
        </w:rPr>
        <w:t xml:space="preserve"> </w:t>
      </w:r>
      <w:r>
        <w:t>with ANDEXXA.</w:t>
      </w:r>
    </w:p>
    <w:p w14:paraId="6B9FC33F" w14:textId="71E6D2DE" w:rsidR="001A5FF6" w:rsidRPr="005A5DA1" w:rsidRDefault="00D018CB" w:rsidP="00D018CB">
      <w:pPr>
        <w:pStyle w:val="Caption"/>
      </w:pPr>
      <w:r>
        <w:lastRenderedPageBreak/>
        <w:t xml:space="preserve">Table </w:t>
      </w:r>
      <w:r>
        <w:fldChar w:fldCharType="begin"/>
      </w:r>
      <w:r>
        <w:instrText xml:space="preserve"> SEQ Table \* ARABIC </w:instrText>
      </w:r>
      <w:r>
        <w:fldChar w:fldCharType="separate"/>
      </w:r>
      <w:r>
        <w:rPr>
          <w:noProof/>
        </w:rPr>
        <w:t>5</w:t>
      </w:r>
      <w:r>
        <w:fldChar w:fldCharType="end"/>
      </w:r>
      <w:r w:rsidR="001A5FF6">
        <w:tab/>
        <w:t xml:space="preserve">Treatment-emergent adverse events that occurred in </w:t>
      </w:r>
      <w:r w:rsidR="001A5FF6">
        <w:rPr>
          <w:spacing w:val="-1"/>
        </w:rPr>
        <w:t>≥3% of bleeding patients receiving ANDEXXA</w:t>
      </w:r>
    </w:p>
    <w:tbl>
      <w:tblPr>
        <w:tblW w:w="0" w:type="auto"/>
        <w:tblInd w:w="1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4"/>
        <w:gridCol w:w="2415"/>
      </w:tblGrid>
      <w:tr w:rsidR="005A5DA1" w14:paraId="038E897B" w14:textId="77777777" w:rsidTr="00EF1639">
        <w:trPr>
          <w:trHeight w:val="770"/>
        </w:trPr>
        <w:tc>
          <w:tcPr>
            <w:tcW w:w="3534" w:type="dxa"/>
            <w:vAlign w:val="center"/>
          </w:tcPr>
          <w:p w14:paraId="20DBE283" w14:textId="3330E7E5" w:rsidR="005A5DA1" w:rsidRPr="00EF1639" w:rsidRDefault="005A5DA1" w:rsidP="002036F5">
            <w:pPr>
              <w:pStyle w:val="TableHead"/>
              <w:spacing w:before="0" w:after="0" w:line="276" w:lineRule="auto"/>
              <w:rPr>
                <w:sz w:val="22"/>
                <w:szCs w:val="52"/>
              </w:rPr>
            </w:pPr>
            <w:r w:rsidRPr="00EF1639">
              <w:rPr>
                <w:sz w:val="22"/>
                <w:szCs w:val="52"/>
              </w:rPr>
              <w:t>Preferred</w:t>
            </w:r>
            <w:r w:rsidRPr="00EF1639">
              <w:rPr>
                <w:spacing w:val="-3"/>
                <w:sz w:val="22"/>
                <w:szCs w:val="52"/>
              </w:rPr>
              <w:t xml:space="preserve"> </w:t>
            </w:r>
            <w:r w:rsidR="00FC3D35" w:rsidRPr="00EF1639">
              <w:rPr>
                <w:sz w:val="22"/>
                <w:szCs w:val="52"/>
              </w:rPr>
              <w:t>t</w:t>
            </w:r>
            <w:r w:rsidRPr="00EF1639">
              <w:rPr>
                <w:sz w:val="22"/>
                <w:szCs w:val="52"/>
              </w:rPr>
              <w:t>erm</w:t>
            </w:r>
          </w:p>
        </w:tc>
        <w:tc>
          <w:tcPr>
            <w:tcW w:w="2415" w:type="dxa"/>
            <w:vAlign w:val="center"/>
          </w:tcPr>
          <w:p w14:paraId="2E8D7356" w14:textId="00B6585E" w:rsidR="005A5DA1" w:rsidRPr="00EF1639" w:rsidRDefault="005A5DA1" w:rsidP="002036F5">
            <w:pPr>
              <w:pStyle w:val="TableHead"/>
              <w:spacing w:before="0" w:after="0" w:line="276" w:lineRule="auto"/>
              <w:rPr>
                <w:sz w:val="22"/>
                <w:szCs w:val="52"/>
              </w:rPr>
            </w:pPr>
            <w:r w:rsidRPr="00EF1639">
              <w:rPr>
                <w:spacing w:val="-1"/>
                <w:sz w:val="22"/>
                <w:szCs w:val="52"/>
              </w:rPr>
              <w:t xml:space="preserve">All </w:t>
            </w:r>
            <w:r w:rsidR="00FC3D35" w:rsidRPr="00EF1639">
              <w:rPr>
                <w:spacing w:val="-1"/>
                <w:sz w:val="22"/>
                <w:szCs w:val="52"/>
              </w:rPr>
              <w:t>p</w:t>
            </w:r>
            <w:r w:rsidRPr="00EF1639">
              <w:rPr>
                <w:sz w:val="22"/>
                <w:szCs w:val="52"/>
              </w:rPr>
              <w:t>atients</w:t>
            </w:r>
            <w:r w:rsidRPr="00EF1639">
              <w:rPr>
                <w:spacing w:val="-47"/>
                <w:sz w:val="22"/>
                <w:szCs w:val="52"/>
              </w:rPr>
              <w:t xml:space="preserve"> </w:t>
            </w:r>
            <w:r w:rsidRPr="00EF1639">
              <w:rPr>
                <w:spacing w:val="-47"/>
                <w:sz w:val="22"/>
                <w:szCs w:val="52"/>
              </w:rPr>
              <w:br/>
            </w:r>
            <w:r w:rsidRPr="00EF1639">
              <w:rPr>
                <w:sz w:val="22"/>
                <w:szCs w:val="52"/>
              </w:rPr>
              <w:t>(N=</w:t>
            </w:r>
            <w:r w:rsidR="00F655CA">
              <w:rPr>
                <w:sz w:val="22"/>
                <w:szCs w:val="52"/>
              </w:rPr>
              <w:t>477</w:t>
            </w:r>
            <w:r w:rsidRPr="00EF1639">
              <w:rPr>
                <w:sz w:val="22"/>
                <w:szCs w:val="52"/>
              </w:rPr>
              <w:t>)</w:t>
            </w:r>
            <w:r w:rsidRPr="00EF1639">
              <w:rPr>
                <w:spacing w:val="1"/>
                <w:sz w:val="22"/>
                <w:szCs w:val="52"/>
              </w:rPr>
              <w:br/>
            </w:r>
            <w:r w:rsidRPr="00EF1639">
              <w:rPr>
                <w:sz w:val="22"/>
                <w:szCs w:val="52"/>
              </w:rPr>
              <w:t>%</w:t>
            </w:r>
          </w:p>
        </w:tc>
      </w:tr>
      <w:tr w:rsidR="005A5DA1" w14:paraId="48CE096B" w14:textId="77777777" w:rsidTr="00EF1639">
        <w:trPr>
          <w:trHeight w:val="311"/>
        </w:trPr>
        <w:tc>
          <w:tcPr>
            <w:tcW w:w="3534" w:type="dxa"/>
            <w:vAlign w:val="center"/>
          </w:tcPr>
          <w:p w14:paraId="412F2969" w14:textId="0DE8124D" w:rsidR="005A5DA1" w:rsidRPr="00EF1639" w:rsidRDefault="005A5DA1" w:rsidP="002036F5">
            <w:pPr>
              <w:pStyle w:val="TableParagraph"/>
              <w:spacing w:line="276" w:lineRule="auto"/>
              <w:ind w:left="115"/>
              <w:jc w:val="center"/>
              <w:rPr>
                <w:szCs w:val="52"/>
              </w:rPr>
            </w:pPr>
            <w:r w:rsidRPr="00EF1639">
              <w:rPr>
                <w:szCs w:val="52"/>
              </w:rPr>
              <w:t>Urinary</w:t>
            </w:r>
            <w:r w:rsidRPr="00EF1639">
              <w:rPr>
                <w:spacing w:val="-6"/>
                <w:szCs w:val="52"/>
              </w:rPr>
              <w:t xml:space="preserve"> </w:t>
            </w:r>
            <w:r w:rsidR="009B00BB">
              <w:rPr>
                <w:szCs w:val="52"/>
              </w:rPr>
              <w:t>t</w:t>
            </w:r>
            <w:r w:rsidRPr="00EF1639">
              <w:rPr>
                <w:szCs w:val="52"/>
              </w:rPr>
              <w:t>ract</w:t>
            </w:r>
            <w:r w:rsidRPr="00EF1639">
              <w:rPr>
                <w:spacing w:val="-4"/>
                <w:szCs w:val="52"/>
              </w:rPr>
              <w:t xml:space="preserve"> </w:t>
            </w:r>
            <w:r w:rsidR="009B00BB">
              <w:rPr>
                <w:szCs w:val="52"/>
              </w:rPr>
              <w:t>i</w:t>
            </w:r>
            <w:r w:rsidRPr="00EF1639">
              <w:rPr>
                <w:szCs w:val="52"/>
              </w:rPr>
              <w:t>nfection</w:t>
            </w:r>
          </w:p>
        </w:tc>
        <w:tc>
          <w:tcPr>
            <w:tcW w:w="2415" w:type="dxa"/>
            <w:vAlign w:val="center"/>
          </w:tcPr>
          <w:p w14:paraId="495479B6" w14:textId="3AFBCEBA" w:rsidR="005A5DA1" w:rsidRPr="00EF1639" w:rsidRDefault="00F655CA" w:rsidP="002036F5">
            <w:pPr>
              <w:pStyle w:val="TableParagraph"/>
              <w:spacing w:line="276" w:lineRule="auto"/>
              <w:ind w:left="706" w:right="702"/>
              <w:jc w:val="center"/>
              <w:rPr>
                <w:szCs w:val="52"/>
              </w:rPr>
            </w:pPr>
            <w:r>
              <w:rPr>
                <w:szCs w:val="52"/>
              </w:rPr>
              <w:t>10.5</w:t>
            </w:r>
          </w:p>
        </w:tc>
      </w:tr>
      <w:tr w:rsidR="005A5DA1" w14:paraId="0899CD2A" w14:textId="77777777" w:rsidTr="00EF1639">
        <w:trPr>
          <w:trHeight w:val="309"/>
        </w:trPr>
        <w:tc>
          <w:tcPr>
            <w:tcW w:w="3534" w:type="dxa"/>
            <w:vAlign w:val="center"/>
          </w:tcPr>
          <w:p w14:paraId="234C2098" w14:textId="77777777" w:rsidR="005A5DA1" w:rsidRPr="00EF1639" w:rsidRDefault="005A5DA1" w:rsidP="002036F5">
            <w:pPr>
              <w:pStyle w:val="TableParagraph"/>
              <w:spacing w:line="276" w:lineRule="auto"/>
              <w:ind w:left="115"/>
              <w:jc w:val="center"/>
              <w:rPr>
                <w:szCs w:val="52"/>
              </w:rPr>
            </w:pPr>
            <w:r w:rsidRPr="00EF1639">
              <w:rPr>
                <w:szCs w:val="52"/>
              </w:rPr>
              <w:t>Pneumonia</w:t>
            </w:r>
          </w:p>
        </w:tc>
        <w:tc>
          <w:tcPr>
            <w:tcW w:w="2415" w:type="dxa"/>
            <w:vAlign w:val="center"/>
          </w:tcPr>
          <w:p w14:paraId="3A8B2F13" w14:textId="50D19DBC" w:rsidR="005A5DA1" w:rsidRPr="00EF1639" w:rsidRDefault="00F655CA" w:rsidP="002036F5">
            <w:pPr>
              <w:pStyle w:val="TableParagraph"/>
              <w:spacing w:line="276" w:lineRule="auto"/>
              <w:ind w:left="706" w:right="702"/>
              <w:jc w:val="center"/>
              <w:rPr>
                <w:szCs w:val="52"/>
              </w:rPr>
            </w:pPr>
            <w:r>
              <w:rPr>
                <w:szCs w:val="52"/>
              </w:rPr>
              <w:t>8.2</w:t>
            </w:r>
          </w:p>
        </w:tc>
      </w:tr>
      <w:tr w:rsidR="005A5DA1" w14:paraId="4DC78C62" w14:textId="77777777" w:rsidTr="00EF1639">
        <w:trPr>
          <w:trHeight w:val="309"/>
        </w:trPr>
        <w:tc>
          <w:tcPr>
            <w:tcW w:w="3534" w:type="dxa"/>
            <w:vAlign w:val="center"/>
          </w:tcPr>
          <w:p w14:paraId="0F606EE5" w14:textId="11E6DEF0" w:rsidR="005A5DA1" w:rsidRPr="00EF1639" w:rsidRDefault="00F655CA" w:rsidP="002036F5">
            <w:pPr>
              <w:pStyle w:val="TableParagraph"/>
              <w:spacing w:line="276" w:lineRule="auto"/>
              <w:ind w:left="115"/>
              <w:jc w:val="center"/>
              <w:rPr>
                <w:szCs w:val="52"/>
              </w:rPr>
            </w:pPr>
            <w:r>
              <w:rPr>
                <w:szCs w:val="52"/>
              </w:rPr>
              <w:t>Delirium</w:t>
            </w:r>
          </w:p>
        </w:tc>
        <w:tc>
          <w:tcPr>
            <w:tcW w:w="2415" w:type="dxa"/>
            <w:vAlign w:val="center"/>
          </w:tcPr>
          <w:p w14:paraId="018B083C" w14:textId="55B38405" w:rsidR="005A5DA1" w:rsidRPr="00EF1639" w:rsidRDefault="005A5DA1" w:rsidP="002036F5">
            <w:pPr>
              <w:pStyle w:val="TableParagraph"/>
              <w:spacing w:line="276" w:lineRule="auto"/>
              <w:ind w:left="706" w:right="702"/>
              <w:jc w:val="center"/>
              <w:rPr>
                <w:szCs w:val="52"/>
              </w:rPr>
            </w:pPr>
            <w:r w:rsidRPr="00EF1639">
              <w:rPr>
                <w:szCs w:val="52"/>
              </w:rPr>
              <w:t>4.</w:t>
            </w:r>
            <w:r w:rsidR="00F655CA">
              <w:rPr>
                <w:szCs w:val="52"/>
              </w:rPr>
              <w:t>4</w:t>
            </w:r>
          </w:p>
        </w:tc>
      </w:tr>
      <w:tr w:rsidR="005A5DA1" w14:paraId="31F5D375" w14:textId="77777777" w:rsidTr="00EF1639">
        <w:trPr>
          <w:trHeight w:val="311"/>
        </w:trPr>
        <w:tc>
          <w:tcPr>
            <w:tcW w:w="3534" w:type="dxa"/>
            <w:vAlign w:val="center"/>
          </w:tcPr>
          <w:p w14:paraId="7B617A58" w14:textId="77777777" w:rsidR="005A5DA1" w:rsidRPr="00EF1639" w:rsidRDefault="005A5DA1" w:rsidP="002036F5">
            <w:pPr>
              <w:pStyle w:val="TableParagraph"/>
              <w:spacing w:line="276" w:lineRule="auto"/>
              <w:ind w:left="115"/>
              <w:jc w:val="center"/>
              <w:rPr>
                <w:szCs w:val="52"/>
              </w:rPr>
            </w:pPr>
            <w:r w:rsidRPr="00EF1639">
              <w:rPr>
                <w:szCs w:val="52"/>
              </w:rPr>
              <w:t>Hypotension</w:t>
            </w:r>
          </w:p>
        </w:tc>
        <w:tc>
          <w:tcPr>
            <w:tcW w:w="2415" w:type="dxa"/>
            <w:vAlign w:val="center"/>
          </w:tcPr>
          <w:p w14:paraId="659F791A" w14:textId="4446FFC7" w:rsidR="005A5DA1" w:rsidRPr="00EF1639" w:rsidRDefault="005A5DA1" w:rsidP="002036F5">
            <w:pPr>
              <w:pStyle w:val="TableParagraph"/>
              <w:spacing w:line="276" w:lineRule="auto"/>
              <w:ind w:left="706" w:right="702"/>
              <w:jc w:val="center"/>
              <w:rPr>
                <w:szCs w:val="52"/>
              </w:rPr>
            </w:pPr>
            <w:r w:rsidRPr="00EF1639">
              <w:rPr>
                <w:szCs w:val="52"/>
              </w:rPr>
              <w:t>4.</w:t>
            </w:r>
            <w:r w:rsidR="00F655CA">
              <w:rPr>
                <w:szCs w:val="52"/>
              </w:rPr>
              <w:t>0</w:t>
            </w:r>
          </w:p>
        </w:tc>
      </w:tr>
      <w:tr w:rsidR="005A5DA1" w14:paraId="25001D61" w14:textId="77777777" w:rsidTr="00EF1639">
        <w:trPr>
          <w:trHeight w:val="309"/>
        </w:trPr>
        <w:tc>
          <w:tcPr>
            <w:tcW w:w="3534" w:type="dxa"/>
            <w:vAlign w:val="center"/>
          </w:tcPr>
          <w:p w14:paraId="3EBDF064" w14:textId="56604690" w:rsidR="005A5DA1" w:rsidRPr="00EF1639" w:rsidRDefault="00F655CA" w:rsidP="002036F5">
            <w:pPr>
              <w:pStyle w:val="TableParagraph"/>
              <w:spacing w:line="276" w:lineRule="auto"/>
              <w:ind w:left="115"/>
              <w:jc w:val="center"/>
              <w:rPr>
                <w:szCs w:val="52"/>
              </w:rPr>
            </w:pPr>
            <w:r>
              <w:rPr>
                <w:szCs w:val="52"/>
              </w:rPr>
              <w:t>Pyrexia</w:t>
            </w:r>
          </w:p>
        </w:tc>
        <w:tc>
          <w:tcPr>
            <w:tcW w:w="2415" w:type="dxa"/>
            <w:vAlign w:val="center"/>
          </w:tcPr>
          <w:p w14:paraId="17BC11B5" w14:textId="2707AC34" w:rsidR="005A5DA1" w:rsidRPr="00EF1639" w:rsidRDefault="005A5DA1" w:rsidP="002036F5">
            <w:pPr>
              <w:pStyle w:val="TableParagraph"/>
              <w:spacing w:line="276" w:lineRule="auto"/>
              <w:ind w:left="706" w:right="702"/>
              <w:jc w:val="center"/>
              <w:rPr>
                <w:szCs w:val="52"/>
              </w:rPr>
            </w:pPr>
            <w:r w:rsidRPr="00EF1639">
              <w:rPr>
                <w:szCs w:val="52"/>
              </w:rPr>
              <w:t>4.0</w:t>
            </w:r>
          </w:p>
        </w:tc>
      </w:tr>
      <w:tr w:rsidR="005A5DA1" w14:paraId="06F233A2" w14:textId="77777777" w:rsidTr="00EF1639">
        <w:trPr>
          <w:trHeight w:val="309"/>
        </w:trPr>
        <w:tc>
          <w:tcPr>
            <w:tcW w:w="3534" w:type="dxa"/>
            <w:vAlign w:val="center"/>
          </w:tcPr>
          <w:p w14:paraId="1073D6CD" w14:textId="64365601" w:rsidR="005A5DA1" w:rsidRPr="00EF1639" w:rsidRDefault="00F655CA" w:rsidP="002036F5">
            <w:pPr>
              <w:pStyle w:val="TableParagraph"/>
              <w:spacing w:line="276" w:lineRule="auto"/>
              <w:ind w:left="115"/>
              <w:jc w:val="center"/>
              <w:rPr>
                <w:szCs w:val="52"/>
              </w:rPr>
            </w:pPr>
            <w:r>
              <w:rPr>
                <w:szCs w:val="52"/>
              </w:rPr>
              <w:t>Headache</w:t>
            </w:r>
          </w:p>
        </w:tc>
        <w:tc>
          <w:tcPr>
            <w:tcW w:w="2415" w:type="dxa"/>
            <w:vAlign w:val="center"/>
          </w:tcPr>
          <w:p w14:paraId="470431AA" w14:textId="53C13961" w:rsidR="005A5DA1" w:rsidRPr="00EF1639" w:rsidRDefault="005A5DA1" w:rsidP="002036F5">
            <w:pPr>
              <w:pStyle w:val="TableParagraph"/>
              <w:spacing w:line="276" w:lineRule="auto"/>
              <w:ind w:left="706" w:right="702"/>
              <w:jc w:val="center"/>
              <w:rPr>
                <w:szCs w:val="52"/>
              </w:rPr>
            </w:pPr>
            <w:r w:rsidRPr="00EF1639">
              <w:rPr>
                <w:szCs w:val="52"/>
              </w:rPr>
              <w:t>3.</w:t>
            </w:r>
            <w:r w:rsidR="00F655CA">
              <w:rPr>
                <w:szCs w:val="52"/>
              </w:rPr>
              <w:t>8</w:t>
            </w:r>
          </w:p>
        </w:tc>
      </w:tr>
      <w:tr w:rsidR="005A5DA1" w14:paraId="7231FA17" w14:textId="77777777" w:rsidTr="00EF1639">
        <w:trPr>
          <w:trHeight w:val="311"/>
        </w:trPr>
        <w:tc>
          <w:tcPr>
            <w:tcW w:w="3534" w:type="dxa"/>
            <w:vAlign w:val="center"/>
          </w:tcPr>
          <w:p w14:paraId="14B37E68" w14:textId="285804E4" w:rsidR="005A5DA1" w:rsidRPr="00EF1639" w:rsidRDefault="00F655CA" w:rsidP="002036F5">
            <w:pPr>
              <w:pStyle w:val="TableParagraph"/>
              <w:spacing w:line="276" w:lineRule="auto"/>
              <w:ind w:left="115"/>
              <w:jc w:val="center"/>
              <w:rPr>
                <w:szCs w:val="52"/>
              </w:rPr>
            </w:pPr>
            <w:r>
              <w:rPr>
                <w:szCs w:val="52"/>
              </w:rPr>
              <w:t>Hypertension</w:t>
            </w:r>
          </w:p>
        </w:tc>
        <w:tc>
          <w:tcPr>
            <w:tcW w:w="2415" w:type="dxa"/>
            <w:vAlign w:val="center"/>
          </w:tcPr>
          <w:p w14:paraId="45052A3B" w14:textId="169D8F6E" w:rsidR="005A5DA1" w:rsidRPr="00EF1639" w:rsidRDefault="005A5DA1" w:rsidP="002036F5">
            <w:pPr>
              <w:pStyle w:val="TableParagraph"/>
              <w:spacing w:line="276" w:lineRule="auto"/>
              <w:ind w:left="706" w:right="702"/>
              <w:jc w:val="center"/>
              <w:rPr>
                <w:szCs w:val="52"/>
              </w:rPr>
            </w:pPr>
            <w:r w:rsidRPr="00EF1639">
              <w:rPr>
                <w:szCs w:val="52"/>
              </w:rPr>
              <w:t>3.</w:t>
            </w:r>
            <w:r w:rsidR="00F655CA">
              <w:rPr>
                <w:szCs w:val="52"/>
              </w:rPr>
              <w:t>6</w:t>
            </w:r>
          </w:p>
        </w:tc>
      </w:tr>
      <w:tr w:rsidR="005A5DA1" w14:paraId="0E0B0E4C" w14:textId="77777777" w:rsidTr="00EF1639">
        <w:trPr>
          <w:trHeight w:val="309"/>
        </w:trPr>
        <w:tc>
          <w:tcPr>
            <w:tcW w:w="3534" w:type="dxa"/>
            <w:vAlign w:val="center"/>
          </w:tcPr>
          <w:p w14:paraId="02542A56" w14:textId="76C0B8CC" w:rsidR="005A5DA1" w:rsidRPr="00EF1639" w:rsidRDefault="00F655CA" w:rsidP="002036F5">
            <w:pPr>
              <w:pStyle w:val="TableParagraph"/>
              <w:spacing w:line="276" w:lineRule="auto"/>
              <w:ind w:left="115"/>
              <w:jc w:val="center"/>
              <w:rPr>
                <w:szCs w:val="52"/>
              </w:rPr>
            </w:pPr>
            <w:r>
              <w:rPr>
                <w:szCs w:val="52"/>
              </w:rPr>
              <w:t>Nausea</w:t>
            </w:r>
          </w:p>
        </w:tc>
        <w:tc>
          <w:tcPr>
            <w:tcW w:w="2415" w:type="dxa"/>
            <w:vAlign w:val="center"/>
          </w:tcPr>
          <w:p w14:paraId="71E8E0F5" w14:textId="3C48ED43" w:rsidR="005A5DA1" w:rsidRPr="00EF1639" w:rsidRDefault="005A5DA1" w:rsidP="002036F5">
            <w:pPr>
              <w:pStyle w:val="TableParagraph"/>
              <w:spacing w:line="276" w:lineRule="auto"/>
              <w:ind w:left="706" w:right="702"/>
              <w:jc w:val="center"/>
              <w:rPr>
                <w:szCs w:val="52"/>
              </w:rPr>
            </w:pPr>
            <w:r w:rsidRPr="00EF1639">
              <w:rPr>
                <w:szCs w:val="52"/>
              </w:rPr>
              <w:t>3.</w:t>
            </w:r>
            <w:r w:rsidR="00F655CA">
              <w:rPr>
                <w:szCs w:val="52"/>
              </w:rPr>
              <w:t>4</w:t>
            </w:r>
          </w:p>
        </w:tc>
      </w:tr>
      <w:tr w:rsidR="005A5DA1" w14:paraId="077335D6" w14:textId="77777777" w:rsidTr="00EF1639">
        <w:trPr>
          <w:trHeight w:val="309"/>
        </w:trPr>
        <w:tc>
          <w:tcPr>
            <w:tcW w:w="3534" w:type="dxa"/>
            <w:vAlign w:val="center"/>
          </w:tcPr>
          <w:p w14:paraId="59302464" w14:textId="68245807" w:rsidR="005A5DA1" w:rsidRPr="00EF1639" w:rsidRDefault="00F655CA" w:rsidP="002036F5">
            <w:pPr>
              <w:pStyle w:val="TableParagraph"/>
              <w:spacing w:line="276" w:lineRule="auto"/>
              <w:ind w:left="115"/>
              <w:jc w:val="center"/>
              <w:rPr>
                <w:szCs w:val="52"/>
              </w:rPr>
            </w:pPr>
            <w:r>
              <w:rPr>
                <w:szCs w:val="52"/>
              </w:rPr>
              <w:t>Pneumonia aspiration</w:t>
            </w:r>
          </w:p>
        </w:tc>
        <w:tc>
          <w:tcPr>
            <w:tcW w:w="2415" w:type="dxa"/>
            <w:vAlign w:val="center"/>
          </w:tcPr>
          <w:p w14:paraId="26F105AB" w14:textId="4353EA2D" w:rsidR="005A5DA1" w:rsidRPr="00EF1639" w:rsidRDefault="005A5DA1" w:rsidP="002036F5">
            <w:pPr>
              <w:pStyle w:val="TableParagraph"/>
              <w:spacing w:line="276" w:lineRule="auto"/>
              <w:ind w:left="706" w:right="702"/>
              <w:jc w:val="center"/>
              <w:rPr>
                <w:szCs w:val="52"/>
              </w:rPr>
            </w:pPr>
            <w:r w:rsidRPr="00EF1639">
              <w:rPr>
                <w:szCs w:val="52"/>
              </w:rPr>
              <w:t>3.</w:t>
            </w:r>
            <w:r w:rsidR="00F655CA">
              <w:rPr>
                <w:szCs w:val="52"/>
              </w:rPr>
              <w:t>4</w:t>
            </w:r>
          </w:p>
        </w:tc>
      </w:tr>
      <w:tr w:rsidR="00F655CA" w14:paraId="53A84291" w14:textId="77777777" w:rsidTr="00EF1639">
        <w:trPr>
          <w:trHeight w:val="309"/>
        </w:trPr>
        <w:tc>
          <w:tcPr>
            <w:tcW w:w="3534" w:type="dxa"/>
            <w:vAlign w:val="center"/>
          </w:tcPr>
          <w:p w14:paraId="394194BB" w14:textId="6E0B3D9C" w:rsidR="00F655CA" w:rsidRDefault="00F655CA" w:rsidP="002036F5">
            <w:pPr>
              <w:pStyle w:val="TableParagraph"/>
              <w:spacing w:line="276" w:lineRule="auto"/>
              <w:ind w:left="115"/>
              <w:jc w:val="center"/>
              <w:rPr>
                <w:szCs w:val="52"/>
              </w:rPr>
            </w:pPr>
            <w:r>
              <w:rPr>
                <w:szCs w:val="52"/>
              </w:rPr>
              <w:t>Constipation</w:t>
            </w:r>
          </w:p>
        </w:tc>
        <w:tc>
          <w:tcPr>
            <w:tcW w:w="2415" w:type="dxa"/>
            <w:vAlign w:val="center"/>
          </w:tcPr>
          <w:p w14:paraId="23F39BAF" w14:textId="4F4259B9" w:rsidR="00F655CA" w:rsidRPr="00EF1639" w:rsidRDefault="00F655CA" w:rsidP="002036F5">
            <w:pPr>
              <w:pStyle w:val="TableParagraph"/>
              <w:spacing w:line="276" w:lineRule="auto"/>
              <w:ind w:left="706" w:right="702"/>
              <w:jc w:val="center"/>
              <w:rPr>
                <w:szCs w:val="52"/>
              </w:rPr>
            </w:pPr>
            <w:r>
              <w:rPr>
                <w:szCs w:val="52"/>
              </w:rPr>
              <w:t>3.1</w:t>
            </w:r>
          </w:p>
        </w:tc>
      </w:tr>
    </w:tbl>
    <w:p w14:paraId="5E176EBE" w14:textId="77777777" w:rsidR="00F655CA" w:rsidRDefault="00F655CA" w:rsidP="00743D55">
      <w:pPr>
        <w:pStyle w:val="Paragraph"/>
        <w:spacing w:after="0"/>
      </w:pPr>
    </w:p>
    <w:p w14:paraId="51993763" w14:textId="39BB361B" w:rsidR="00DF3302" w:rsidRPr="00DF3302" w:rsidRDefault="00DF3302" w:rsidP="00DF3302">
      <w:pPr>
        <w:pStyle w:val="Heading3Unnumbered"/>
      </w:pPr>
      <w:r w:rsidRPr="00DF3302">
        <w:t xml:space="preserve">Reporting suspected adverse </w:t>
      </w:r>
      <w:r w:rsidR="002803FC">
        <w:t>effects</w:t>
      </w:r>
    </w:p>
    <w:p w14:paraId="04E25A7A" w14:textId="77777777" w:rsidR="001D3AF3" w:rsidRPr="00446EDD" w:rsidRDefault="00DF3302" w:rsidP="00446EDD">
      <w:pPr>
        <w:pStyle w:val="Paragraph"/>
      </w:pPr>
      <w:r w:rsidRPr="00DF3302">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r w:rsidR="00F06F31" w:rsidRPr="00F06F31">
        <w:t>www.tga.gov.au/reporting-problems</w:t>
      </w:r>
      <w:r w:rsidRPr="00DF3302">
        <w:t>.</w:t>
      </w:r>
    </w:p>
    <w:p w14:paraId="7AB59D3C" w14:textId="77777777" w:rsidR="001A3992" w:rsidRDefault="001A3992" w:rsidP="00EE3AC8">
      <w:pPr>
        <w:pStyle w:val="Heading2"/>
      </w:pPr>
      <w:r w:rsidRPr="00377337">
        <w:t>Overdose</w:t>
      </w:r>
    </w:p>
    <w:p w14:paraId="39C9C5C5" w14:textId="65EB70FC" w:rsidR="00782B80" w:rsidRPr="00782B80" w:rsidRDefault="00782B80" w:rsidP="001D3AF3">
      <w:pPr>
        <w:pStyle w:val="Paragraph"/>
        <w:rPr>
          <w:iCs/>
          <w:color w:val="000000" w:themeColor="text1"/>
          <w:lang w:val="en-US"/>
        </w:rPr>
      </w:pPr>
      <w:r w:rsidRPr="00782B80">
        <w:rPr>
          <w:iCs/>
          <w:color w:val="000000" w:themeColor="text1"/>
          <w:lang w:val="en-US"/>
        </w:rPr>
        <w:t>There is no clinical experience with overdose of ANDEXXA. No dose-limiting toxicities have been observed during clinical trials.</w:t>
      </w:r>
    </w:p>
    <w:p w14:paraId="77BF908D" w14:textId="77777777" w:rsidR="00D87298" w:rsidRPr="00D87298" w:rsidRDefault="00D87298" w:rsidP="00D87298">
      <w:pPr>
        <w:pStyle w:val="Paragraph"/>
      </w:pPr>
      <w:r>
        <w:t>For information on the management of overdose, contact the Poison Information Centre on 131126 (Australia).</w:t>
      </w:r>
    </w:p>
    <w:p w14:paraId="0B197925" w14:textId="77777777" w:rsidR="001A3992" w:rsidRPr="00377337" w:rsidRDefault="001A3992" w:rsidP="00881EA6">
      <w:pPr>
        <w:pStyle w:val="Heading1"/>
        <w:keepNext w:val="0"/>
      </w:pPr>
      <w:r w:rsidRPr="00377337">
        <w:t>Pharmacological properties</w:t>
      </w:r>
    </w:p>
    <w:p w14:paraId="6B494719" w14:textId="77777777" w:rsidR="001A3992" w:rsidRPr="00377337" w:rsidRDefault="007403BD" w:rsidP="00EE3AC8">
      <w:pPr>
        <w:pStyle w:val="Heading2"/>
      </w:pPr>
      <w:bookmarkStart w:id="10" w:name="_Ref134089064"/>
      <w:r>
        <w:t>Pharmacodynamic properties</w:t>
      </w:r>
      <w:bookmarkEnd w:id="10"/>
    </w:p>
    <w:p w14:paraId="3761B38C" w14:textId="77777777" w:rsidR="001A3992" w:rsidRDefault="001A3992" w:rsidP="0026491B">
      <w:pPr>
        <w:pStyle w:val="Heading3Unnumbered"/>
      </w:pPr>
      <w:bookmarkStart w:id="11" w:name="_Hlk100691146"/>
      <w:r w:rsidRPr="00377337">
        <w:t>Mechanism of action</w:t>
      </w:r>
    </w:p>
    <w:p w14:paraId="0B3D5526" w14:textId="56F54835" w:rsidR="008D5FB2" w:rsidRPr="008D5FB2" w:rsidRDefault="008D5FB2" w:rsidP="008D5FB2">
      <w:pPr>
        <w:pStyle w:val="Paragraph"/>
        <w:rPr>
          <w:lang w:val="en-US"/>
        </w:rPr>
      </w:pPr>
      <w:r w:rsidRPr="008D5FB2">
        <w:rPr>
          <w:lang w:val="en-US"/>
        </w:rPr>
        <w:t xml:space="preserve">Andexanet alfa is a recombinant form of human </w:t>
      </w:r>
      <w:proofErr w:type="spellStart"/>
      <w:r w:rsidRPr="008D5FB2">
        <w:rPr>
          <w:lang w:val="en-US"/>
        </w:rPr>
        <w:t>FXa</w:t>
      </w:r>
      <w:proofErr w:type="spellEnd"/>
      <w:r w:rsidRPr="008D5FB2">
        <w:rPr>
          <w:lang w:val="en-US"/>
        </w:rPr>
        <w:t xml:space="preserve"> protein that has been modified to lack </w:t>
      </w:r>
      <w:proofErr w:type="spellStart"/>
      <w:r w:rsidRPr="008D5FB2">
        <w:rPr>
          <w:lang w:val="en-US"/>
        </w:rPr>
        <w:t>FXa</w:t>
      </w:r>
      <w:proofErr w:type="spellEnd"/>
      <w:r w:rsidRPr="008D5FB2">
        <w:rPr>
          <w:lang w:val="en-US"/>
        </w:rPr>
        <w:t xml:space="preserve"> enzymatic activity. The active site serine was substituted with alanine, rendering the molecule unable to cleave and activate prothrombin, and the gamma-</w:t>
      </w:r>
      <w:proofErr w:type="spellStart"/>
      <w:r w:rsidRPr="008D5FB2">
        <w:rPr>
          <w:lang w:val="en-US"/>
        </w:rPr>
        <w:t>carboxyglutamic</w:t>
      </w:r>
      <w:proofErr w:type="spellEnd"/>
      <w:r w:rsidRPr="008D5FB2">
        <w:rPr>
          <w:lang w:val="en-US"/>
        </w:rPr>
        <w:t xml:space="preserve"> acid (</w:t>
      </w:r>
      <w:proofErr w:type="spellStart"/>
      <w:r w:rsidRPr="008D5FB2">
        <w:rPr>
          <w:lang w:val="en-US"/>
        </w:rPr>
        <w:t>Gla</w:t>
      </w:r>
      <w:proofErr w:type="spellEnd"/>
      <w:r w:rsidRPr="008D5FB2">
        <w:rPr>
          <w:lang w:val="en-US"/>
        </w:rPr>
        <w:t>) domain was removed to eliminate the ability of the protein to assemble into the prothrombinase complex, thus removing any anti-coagulant effects.</w:t>
      </w:r>
    </w:p>
    <w:p w14:paraId="1C52E251" w14:textId="4AF858F0" w:rsidR="008D5FB2" w:rsidRPr="00AE132B" w:rsidRDefault="008D5FB2" w:rsidP="008D5FB2">
      <w:pPr>
        <w:pStyle w:val="Paragraph"/>
        <w:rPr>
          <w:lang w:val="en-US"/>
        </w:rPr>
      </w:pPr>
      <w:r w:rsidRPr="008D5FB2">
        <w:rPr>
          <w:lang w:val="en-US"/>
        </w:rPr>
        <w:t xml:space="preserve">Andexanet alfa is a specific reversal agent for </w:t>
      </w:r>
      <w:proofErr w:type="spellStart"/>
      <w:r w:rsidRPr="008D5FB2">
        <w:rPr>
          <w:lang w:val="en-US"/>
        </w:rPr>
        <w:t>FXa</w:t>
      </w:r>
      <w:proofErr w:type="spellEnd"/>
      <w:r w:rsidRPr="008D5FB2">
        <w:rPr>
          <w:lang w:val="en-US"/>
        </w:rPr>
        <w:t xml:space="preserve"> inhibitors. The predominant mechanism of action is the binding and sequestration of the </w:t>
      </w:r>
      <w:proofErr w:type="spellStart"/>
      <w:r w:rsidRPr="008D5FB2">
        <w:rPr>
          <w:lang w:val="en-US"/>
        </w:rPr>
        <w:t>FXa</w:t>
      </w:r>
      <w:proofErr w:type="spellEnd"/>
      <w:r w:rsidRPr="008D5FB2">
        <w:rPr>
          <w:lang w:val="en-US"/>
        </w:rPr>
        <w:t xml:space="preserve"> inhibitor. In addition, andexanet alfa has been observed to bind to, and inhibit tissue factor pathway inhibitor (TFPI). Inhibition of TFPI activity can increase tissue factor-initiated thrombin generation inducing a pro-coagulant effect.</w:t>
      </w:r>
    </w:p>
    <w:bookmarkEnd w:id="11"/>
    <w:p w14:paraId="45290177" w14:textId="5B38943E" w:rsidR="00D3655B" w:rsidRDefault="00D3655B" w:rsidP="00D3655B">
      <w:pPr>
        <w:pStyle w:val="Heading3Unnumbered"/>
      </w:pPr>
      <w:r>
        <w:lastRenderedPageBreak/>
        <w:t>Pharmacodynamic effects</w:t>
      </w:r>
    </w:p>
    <w:p w14:paraId="1DED8884" w14:textId="33BB936F" w:rsidR="00D3655B" w:rsidRDefault="00D3655B" w:rsidP="00D3655B">
      <w:pPr>
        <w:pStyle w:val="Paragraph"/>
        <w:rPr>
          <w:color w:val="000000"/>
        </w:rPr>
      </w:pPr>
      <w:r>
        <w:t>The</w:t>
      </w:r>
      <w:r>
        <w:rPr>
          <w:spacing w:val="-3"/>
        </w:rPr>
        <w:t xml:space="preserve"> </w:t>
      </w:r>
      <w:r>
        <w:t>effects</w:t>
      </w:r>
      <w:r>
        <w:rPr>
          <w:spacing w:val="-1"/>
        </w:rPr>
        <w:t xml:space="preserve"> </w:t>
      </w:r>
      <w:r>
        <w:t>of</w:t>
      </w:r>
      <w:r>
        <w:rPr>
          <w:spacing w:val="-2"/>
        </w:rPr>
        <w:t xml:space="preserve"> </w:t>
      </w:r>
      <w:r>
        <w:t>andexanet alfa</w:t>
      </w:r>
      <w:r>
        <w:rPr>
          <w:spacing w:val="-2"/>
        </w:rPr>
        <w:t xml:space="preserve"> </w:t>
      </w:r>
      <w:r>
        <w:t>can</w:t>
      </w:r>
      <w:r>
        <w:rPr>
          <w:spacing w:val="-1"/>
        </w:rPr>
        <w:t xml:space="preserve"> </w:t>
      </w:r>
      <w:r>
        <w:t>be</w:t>
      </w:r>
      <w:r>
        <w:rPr>
          <w:spacing w:val="-2"/>
        </w:rPr>
        <w:t xml:space="preserve"> </w:t>
      </w:r>
      <w:r>
        <w:t>measured</w:t>
      </w:r>
      <w:r>
        <w:rPr>
          <w:spacing w:val="-1"/>
        </w:rPr>
        <w:t xml:space="preserve"> </w:t>
      </w:r>
      <w:r>
        <w:t>using</w:t>
      </w:r>
      <w:r>
        <w:rPr>
          <w:spacing w:val="-1"/>
        </w:rPr>
        <w:t xml:space="preserve"> </w:t>
      </w:r>
      <w:r>
        <w:t>assays</w:t>
      </w:r>
      <w:r>
        <w:rPr>
          <w:spacing w:val="-1"/>
        </w:rPr>
        <w:t xml:space="preserve"> </w:t>
      </w:r>
      <w:r>
        <w:t>for</w:t>
      </w:r>
      <w:r>
        <w:rPr>
          <w:spacing w:val="-2"/>
        </w:rPr>
        <w:t xml:space="preserve"> </w:t>
      </w:r>
      <w:r>
        <w:t>its</w:t>
      </w:r>
      <w:r>
        <w:rPr>
          <w:spacing w:val="-1"/>
        </w:rPr>
        <w:t xml:space="preserve"> </w:t>
      </w:r>
      <w:r>
        <w:t>anti-</w:t>
      </w:r>
      <w:proofErr w:type="spellStart"/>
      <w:r w:rsidR="00E67006">
        <w:t>F</w:t>
      </w:r>
      <w:r>
        <w:t>Xa</w:t>
      </w:r>
      <w:proofErr w:type="spellEnd"/>
      <w:r>
        <w:rPr>
          <w:spacing w:val="-2"/>
        </w:rPr>
        <w:t xml:space="preserve"> </w:t>
      </w:r>
      <w:r>
        <w:t>activity,</w:t>
      </w:r>
      <w:r>
        <w:rPr>
          <w:spacing w:val="-1"/>
        </w:rPr>
        <w:t xml:space="preserve"> </w:t>
      </w:r>
      <w:r>
        <w:t>free</w:t>
      </w:r>
      <w:r>
        <w:rPr>
          <w:spacing w:val="-2"/>
        </w:rPr>
        <w:t xml:space="preserve"> </w:t>
      </w:r>
      <w:r>
        <w:t>fraction</w:t>
      </w:r>
      <w:r>
        <w:rPr>
          <w:spacing w:val="-1"/>
        </w:rPr>
        <w:t xml:space="preserve"> </w:t>
      </w:r>
      <w:r>
        <w:t>of</w:t>
      </w:r>
      <w:r>
        <w:rPr>
          <w:spacing w:val="-57"/>
        </w:rPr>
        <w:t xml:space="preserve"> </w:t>
      </w:r>
      <w:proofErr w:type="spellStart"/>
      <w:r>
        <w:t>FXa</w:t>
      </w:r>
      <w:proofErr w:type="spellEnd"/>
      <w:r>
        <w:t xml:space="preserve"> inhibitor, and thrombin generation. In addition to its ability to sequester the </w:t>
      </w:r>
      <w:proofErr w:type="spellStart"/>
      <w:r>
        <w:t>FXa</w:t>
      </w:r>
      <w:proofErr w:type="spellEnd"/>
      <w:r>
        <w:t xml:space="preserve"> inhibitors,</w:t>
      </w:r>
      <w:r>
        <w:rPr>
          <w:spacing w:val="1"/>
        </w:rPr>
        <w:t xml:space="preserve"> </w:t>
      </w:r>
      <w:r>
        <w:t xml:space="preserve">rivaroxaban and apixaban, </w:t>
      </w:r>
      <w:r>
        <w:rPr>
          <w:color w:val="000000"/>
        </w:rPr>
        <w:t>andexanet alfa has been</w:t>
      </w:r>
      <w:r>
        <w:rPr>
          <w:color w:val="000000"/>
          <w:spacing w:val="1"/>
        </w:rPr>
        <w:t xml:space="preserve"> </w:t>
      </w:r>
      <w:r>
        <w:rPr>
          <w:color w:val="000000"/>
        </w:rPr>
        <w:t>shown</w:t>
      </w:r>
      <w:r>
        <w:rPr>
          <w:color w:val="000000"/>
          <w:spacing w:val="-1"/>
        </w:rPr>
        <w:t xml:space="preserve"> </w:t>
      </w:r>
      <w:r>
        <w:rPr>
          <w:color w:val="000000"/>
        </w:rPr>
        <w:t>to inhibit TFPI</w:t>
      </w:r>
      <w:r>
        <w:rPr>
          <w:color w:val="000000"/>
          <w:spacing w:val="-4"/>
        </w:rPr>
        <w:t xml:space="preserve"> </w:t>
      </w:r>
      <w:r>
        <w:rPr>
          <w:color w:val="000000"/>
        </w:rPr>
        <w:t>activity.</w:t>
      </w:r>
    </w:p>
    <w:p w14:paraId="453FC18B" w14:textId="50C31192" w:rsidR="009A113F" w:rsidRPr="006A2126" w:rsidRDefault="009A113F" w:rsidP="006A2126">
      <w:pPr>
        <w:pStyle w:val="Paragraph"/>
      </w:pPr>
      <w:r w:rsidRPr="006A2126">
        <w:t>Current commercial clinical anti-</w:t>
      </w:r>
      <w:proofErr w:type="spellStart"/>
      <w:r w:rsidRPr="006A2126">
        <w:t>FXa</w:t>
      </w:r>
      <w:proofErr w:type="spellEnd"/>
      <w:r w:rsidR="00847177">
        <w:t xml:space="preserve"> </w:t>
      </w:r>
      <w:r w:rsidRPr="006A2126">
        <w:t xml:space="preserve">activity assays are unsuitable for measuring </w:t>
      </w:r>
      <w:proofErr w:type="spellStart"/>
      <w:r w:rsidRPr="006A2126">
        <w:t>FXa</w:t>
      </w:r>
      <w:proofErr w:type="spellEnd"/>
      <w:r w:rsidRPr="006A2126">
        <w:t xml:space="preserve"> activity following administration of ANDEXXA. Due to the reversible binding of andexanet alfa to the </w:t>
      </w:r>
      <w:proofErr w:type="spellStart"/>
      <w:r w:rsidRPr="006A2126">
        <w:t>FXa</w:t>
      </w:r>
      <w:proofErr w:type="spellEnd"/>
      <w:r w:rsidRPr="006A2126">
        <w:t xml:space="preserve"> inhibitor, the high sample dilution currently used in commercial clinical assays promotes dissociation of the inhibitor from andexanet alfa, resulting in detection of erroneously elevated anti-</w:t>
      </w:r>
      <w:proofErr w:type="spellStart"/>
      <w:r w:rsidRPr="006A2126">
        <w:t>FXa</w:t>
      </w:r>
      <w:proofErr w:type="spellEnd"/>
      <w:r w:rsidRPr="006A2126">
        <w:t xml:space="preserve"> activity levels, thereby causing a substantial underestimation of the reversal activity o</w:t>
      </w:r>
      <w:r w:rsidR="00311573" w:rsidRPr="006A2126">
        <w:t>f andexanet alfa</w:t>
      </w:r>
      <w:r w:rsidRPr="006A2126">
        <w:t>.</w:t>
      </w:r>
    </w:p>
    <w:p w14:paraId="3C9B0107" w14:textId="77777777" w:rsidR="00D3655B" w:rsidRPr="006A2126" w:rsidRDefault="00D3655B" w:rsidP="006A2126">
      <w:pPr>
        <w:pStyle w:val="Paragraph"/>
      </w:pPr>
      <w:r w:rsidRPr="006A2126">
        <w:t>The dose and dosing regimen of ANDEXXA that are required to reverse anti-</w:t>
      </w:r>
      <w:proofErr w:type="spellStart"/>
      <w:r w:rsidRPr="006A2126">
        <w:t>FXa</w:t>
      </w:r>
      <w:proofErr w:type="spellEnd"/>
      <w:r w:rsidRPr="006A2126">
        <w:t xml:space="preserve"> activity and to restore thrombin generation were determined in dose-ranging studies on healthy volunteers.</w:t>
      </w:r>
    </w:p>
    <w:p w14:paraId="2183318D" w14:textId="3F7B530C" w:rsidR="00D3655B" w:rsidRPr="006A2126" w:rsidRDefault="00D3655B" w:rsidP="006A2126">
      <w:pPr>
        <w:pStyle w:val="Paragraph"/>
      </w:pPr>
      <w:r w:rsidRPr="006A2126">
        <w:t>Dosing of ANDEXXA, as a bolus followed by a 2-hour continuous infusion, resulted in a rapid decrease in anti-</w:t>
      </w:r>
      <w:proofErr w:type="spellStart"/>
      <w:r w:rsidR="00E67006" w:rsidRPr="006A2126">
        <w:t>F</w:t>
      </w:r>
      <w:r w:rsidRPr="006A2126">
        <w:t>Xa</w:t>
      </w:r>
      <w:proofErr w:type="spellEnd"/>
      <w:r w:rsidRPr="006A2126">
        <w:t xml:space="preserve"> activity (within 2 minutes after the completion of the bolus administration) followed by reduced anti-</w:t>
      </w:r>
      <w:proofErr w:type="spellStart"/>
      <w:r w:rsidRPr="006A2126">
        <w:t>FXa</w:t>
      </w:r>
      <w:proofErr w:type="spellEnd"/>
      <w:r w:rsidRPr="006A2126">
        <w:t xml:space="preserve"> activity that was maintained throughout the duration of the continuous infusion. The anti-</w:t>
      </w:r>
      <w:proofErr w:type="spellStart"/>
      <w:r w:rsidR="00E67006" w:rsidRPr="006A2126">
        <w:t>F</w:t>
      </w:r>
      <w:r w:rsidRPr="006A2126">
        <w:t>Xa</w:t>
      </w:r>
      <w:proofErr w:type="spellEnd"/>
      <w:r w:rsidRPr="006A2126">
        <w:t xml:space="preserve"> activity returned to the placebo levels approximately 2 hour</w:t>
      </w:r>
      <w:r w:rsidR="006A2126" w:rsidRPr="006A2126">
        <w:t>s after</w:t>
      </w:r>
      <w:r w:rsidRPr="006A2126">
        <w:t xml:space="preserve"> completion of a bolus or continuous infusion whereas TFPI activity in plasma returned to the </w:t>
      </w:r>
      <w:r w:rsidR="006B6426" w:rsidRPr="006A2126">
        <w:t>pre-treatment</w:t>
      </w:r>
      <w:r w:rsidRPr="006A2126">
        <w:t xml:space="preserve"> levels between 72 and 93 hours following ANDEXXA administration.</w:t>
      </w:r>
    </w:p>
    <w:p w14:paraId="394B5CD8" w14:textId="7BEFEF3B" w:rsidR="00D3655B" w:rsidRPr="006A2126" w:rsidRDefault="00D3655B" w:rsidP="006A2126">
      <w:pPr>
        <w:pStyle w:val="Paragraph"/>
      </w:pPr>
      <w:r w:rsidRPr="006A2126">
        <w:t>Restoration of thrombin generation following administration was dose- and</w:t>
      </w:r>
      <w:r w:rsidR="006B6426" w:rsidRPr="006A2126">
        <w:t xml:space="preserve"> </w:t>
      </w:r>
      <w:r w:rsidRPr="006A2126">
        <w:t>dose-regimen-dependent and did not correlate with anti-</w:t>
      </w:r>
      <w:proofErr w:type="spellStart"/>
      <w:r w:rsidR="00E67006" w:rsidRPr="006A2126">
        <w:t>F</w:t>
      </w:r>
      <w:r w:rsidRPr="006A2126">
        <w:t>Xa</w:t>
      </w:r>
      <w:proofErr w:type="spellEnd"/>
      <w:r w:rsidRPr="006A2126">
        <w:t xml:space="preserve"> activity beyond </w:t>
      </w:r>
      <w:r w:rsidR="006B6426" w:rsidRPr="006A2126">
        <w:t>approximate</w:t>
      </w:r>
      <w:r w:rsidR="009A113F" w:rsidRPr="006A2126">
        <w:t>ly 4 hours</w:t>
      </w:r>
      <w:r w:rsidRPr="006A2126">
        <w:t>.</w:t>
      </w:r>
    </w:p>
    <w:p w14:paraId="110C285C" w14:textId="7065C3D2" w:rsidR="005E4471" w:rsidRDefault="00D3655B" w:rsidP="006A2126">
      <w:pPr>
        <w:pStyle w:val="Paragraph"/>
      </w:pPr>
      <w:r w:rsidRPr="006A2126">
        <w:t xml:space="preserve">Elevation of </w:t>
      </w:r>
      <w:r w:rsidR="003501A2">
        <w:t>tissue factor (</w:t>
      </w:r>
      <w:r w:rsidRPr="006A2126">
        <w:t>TF</w:t>
      </w:r>
      <w:r w:rsidR="003501A2">
        <w:t>)</w:t>
      </w:r>
      <w:r w:rsidRPr="006A2126">
        <w:t xml:space="preserve">-initiated thrombin generation above the baseline range (prior to anticoagulation) occurred within 2 minutes following a bolus administration of ANDEXXA and was maintained throughout the duration of the continuous infusion. The TF-initiated thrombin generation was elevated above placebo for at least 22 hours for direct </w:t>
      </w:r>
      <w:proofErr w:type="spellStart"/>
      <w:r w:rsidRPr="006A2126">
        <w:t>FXa</w:t>
      </w:r>
      <w:proofErr w:type="spellEnd"/>
      <w:r w:rsidRPr="006A2126">
        <w:t xml:space="preserve"> inhibitors rivaroxaban</w:t>
      </w:r>
      <w:r w:rsidR="009A113F" w:rsidRPr="006A2126">
        <w:t xml:space="preserve"> and</w:t>
      </w:r>
      <w:r w:rsidRPr="006A2126">
        <w:t xml:space="preserve"> apixaban. The sustained elevation of thrombin generation over the baseline range and the sustained elevation over placebo were not observed in a contact- activated thrombin generation assay (an assay that is not affected by TF-TFPI interaction).</w:t>
      </w:r>
    </w:p>
    <w:p w14:paraId="0B162FBA" w14:textId="018F503A" w:rsidR="003475F2" w:rsidRPr="00671A59" w:rsidRDefault="003475F2" w:rsidP="003475F2">
      <w:pPr>
        <w:pStyle w:val="Heading3Unnumbered"/>
      </w:pPr>
      <w:r w:rsidRPr="00671A59">
        <w:t>Immunogenicity</w:t>
      </w:r>
    </w:p>
    <w:p w14:paraId="7205797D" w14:textId="45E3A84A" w:rsidR="003475F2" w:rsidRPr="006A2126" w:rsidRDefault="00A426DB" w:rsidP="006A2126">
      <w:pPr>
        <w:pStyle w:val="Paragraph"/>
      </w:pPr>
      <w:r w:rsidRPr="00671A59">
        <w:t xml:space="preserve">A total of </w:t>
      </w:r>
      <w:r w:rsidR="00CA34CB" w:rsidRPr="00671A59">
        <w:t>573</w:t>
      </w:r>
      <w:r w:rsidR="003475F2" w:rsidRPr="00671A59">
        <w:t xml:space="preserve"> healthy subjects</w:t>
      </w:r>
      <w:r w:rsidR="00CA34CB" w:rsidRPr="00671A59">
        <w:t xml:space="preserve"> (417 in the </w:t>
      </w:r>
      <w:r w:rsidR="00166AC0" w:rsidRPr="00671A59">
        <w:t>ANDEXXA</w:t>
      </w:r>
      <w:r w:rsidR="00CA34CB" w:rsidRPr="00671A59">
        <w:t>-treated group and 156 in the placebo group) </w:t>
      </w:r>
      <w:r w:rsidR="003475F2" w:rsidRPr="00671A59">
        <w:t xml:space="preserve">were tested for antibodies cross reacting with </w:t>
      </w:r>
      <w:r w:rsidR="00E26AF6" w:rsidRPr="00671A59">
        <w:t xml:space="preserve">ANDEXXA </w:t>
      </w:r>
      <w:r w:rsidR="003475F2" w:rsidRPr="00671A59">
        <w:t xml:space="preserve">and antibodies to factor X and </w:t>
      </w:r>
      <w:proofErr w:type="spellStart"/>
      <w:r w:rsidR="003475F2" w:rsidRPr="00671A59">
        <w:t>FXa</w:t>
      </w:r>
      <w:proofErr w:type="spellEnd"/>
      <w:r w:rsidR="003475F2" w:rsidRPr="00671A59">
        <w:t xml:space="preserve">. Treatment-emergent, non-neutralizing antibodies to </w:t>
      </w:r>
      <w:r w:rsidR="00166AC0" w:rsidRPr="00671A59">
        <w:t>ANDEXXA</w:t>
      </w:r>
      <w:r w:rsidR="003475F2" w:rsidRPr="00671A59">
        <w:t xml:space="preserve"> were detected in approximately </w:t>
      </w:r>
      <w:r w:rsidR="002B32E9" w:rsidRPr="00671A59">
        <w:t>6.4</w:t>
      </w:r>
      <w:r w:rsidR="003475F2" w:rsidRPr="00671A59">
        <w:t>% (</w:t>
      </w:r>
      <w:r w:rsidR="002B32E9" w:rsidRPr="00671A59">
        <w:t>21</w:t>
      </w:r>
      <w:r w:rsidR="003475F2" w:rsidRPr="00671A59">
        <w:t>/3</w:t>
      </w:r>
      <w:r w:rsidR="002B32E9" w:rsidRPr="00671A59">
        <w:t>29</w:t>
      </w:r>
      <w:r w:rsidR="003475F2" w:rsidRPr="00671A59">
        <w:t>)</w:t>
      </w:r>
      <w:r w:rsidR="00D808E9" w:rsidRPr="00671A59">
        <w:t xml:space="preserve"> of subjects</w:t>
      </w:r>
      <w:r w:rsidR="003475F2" w:rsidRPr="00671A59">
        <w:t xml:space="preserve">. These antibodies were generally low titre, and no clinical consequences were observed. No neutralising antibodies or antibodies to factor X or </w:t>
      </w:r>
      <w:proofErr w:type="spellStart"/>
      <w:r w:rsidR="003475F2" w:rsidRPr="00671A59">
        <w:t>FXa</w:t>
      </w:r>
      <w:proofErr w:type="spellEnd"/>
      <w:r w:rsidR="003475F2" w:rsidRPr="00671A59">
        <w:t xml:space="preserve"> were detected. </w:t>
      </w:r>
      <w:r w:rsidR="006C6781" w:rsidRPr="00671A59">
        <w:t>Th</w:t>
      </w:r>
      <w:r w:rsidR="003475F2" w:rsidRPr="00671A59">
        <w:t>e occurrence of positive, non-neutrali</w:t>
      </w:r>
      <w:r w:rsidRPr="00671A59">
        <w:t>s</w:t>
      </w:r>
      <w:r w:rsidR="003475F2" w:rsidRPr="00671A59">
        <w:t xml:space="preserve">ing antibodies to </w:t>
      </w:r>
      <w:r w:rsidR="00166AC0" w:rsidRPr="00671A59">
        <w:t>ANDEXXA</w:t>
      </w:r>
      <w:r w:rsidR="003475F2" w:rsidRPr="00671A59">
        <w:t xml:space="preserve"> following treatment in patients in the study </w:t>
      </w:r>
      <w:r w:rsidR="00166AC0" w:rsidRPr="00671A59">
        <w:t>ANNEXA-4</w:t>
      </w:r>
      <w:r w:rsidR="003475F2" w:rsidRPr="00671A59">
        <w:t xml:space="preserve"> (8% or </w:t>
      </w:r>
      <w:r w:rsidR="001B5766" w:rsidRPr="00671A59">
        <w:t>25</w:t>
      </w:r>
      <w:r w:rsidR="003475F2" w:rsidRPr="00671A59">
        <w:t>/</w:t>
      </w:r>
      <w:r w:rsidR="001B5766" w:rsidRPr="00671A59">
        <w:t>314</w:t>
      </w:r>
      <w:r w:rsidR="003475F2" w:rsidRPr="00671A59">
        <w:t xml:space="preserve"> patients) has been </w:t>
      </w:r>
      <w:proofErr w:type="gramStart"/>
      <w:r w:rsidR="003475F2" w:rsidRPr="00671A59">
        <w:t>similar to</w:t>
      </w:r>
      <w:proofErr w:type="gramEnd"/>
      <w:r w:rsidR="003475F2" w:rsidRPr="00671A59">
        <w:t xml:space="preserve"> that observed in healthy subjects.</w:t>
      </w:r>
    </w:p>
    <w:p w14:paraId="421D8BE9" w14:textId="0E39289C" w:rsidR="001A3992" w:rsidRDefault="001A3992" w:rsidP="0026491B">
      <w:pPr>
        <w:pStyle w:val="Heading3Unnumbered"/>
      </w:pPr>
      <w:r w:rsidRPr="00377337">
        <w:t>Clinical trials</w:t>
      </w:r>
    </w:p>
    <w:p w14:paraId="324F9535" w14:textId="7FA10098" w:rsidR="00311573" w:rsidRDefault="00311573" w:rsidP="00A808C8">
      <w:pPr>
        <w:pStyle w:val="Paragraph"/>
      </w:pPr>
      <w:r>
        <w:t xml:space="preserve">The efficacy of ANDEXXA was evaluated </w:t>
      </w:r>
      <w:r w:rsidRPr="00671A59">
        <w:t xml:space="preserve">in </w:t>
      </w:r>
      <w:r w:rsidR="00034825" w:rsidRPr="00671A59">
        <w:t>2</w:t>
      </w:r>
      <w:r w:rsidRPr="00671A59">
        <w:t xml:space="preserve"> prospective, randomi</w:t>
      </w:r>
      <w:r w:rsidR="001459FB" w:rsidRPr="00671A59">
        <w:t>s</w:t>
      </w:r>
      <w:r w:rsidRPr="00671A59">
        <w:t>ed, placebo-controlled</w:t>
      </w:r>
      <w:r w:rsidRPr="00671A59">
        <w:rPr>
          <w:spacing w:val="1"/>
        </w:rPr>
        <w:t xml:space="preserve"> </w:t>
      </w:r>
      <w:r w:rsidRPr="00671A59">
        <w:t xml:space="preserve">studies conducted in healthy volunteers (Study 1 </w:t>
      </w:r>
      <w:r w:rsidR="00E83CAA" w:rsidRPr="00671A59">
        <w:t>[</w:t>
      </w:r>
      <w:r w:rsidRPr="00671A59">
        <w:t>ANNEXA-A</w:t>
      </w:r>
      <w:r w:rsidR="00E83CAA" w:rsidRPr="00671A59">
        <w:t>]</w:t>
      </w:r>
      <w:r w:rsidR="00034825" w:rsidRPr="00671A59">
        <w:t xml:space="preserve"> and</w:t>
      </w:r>
      <w:r w:rsidRPr="00671A59">
        <w:t xml:space="preserve"> Study 2 </w:t>
      </w:r>
      <w:r w:rsidR="00E83CAA" w:rsidRPr="00671A59">
        <w:t>[</w:t>
      </w:r>
      <w:r w:rsidRPr="00671A59">
        <w:t>ANNEXA-R</w:t>
      </w:r>
      <w:r w:rsidR="00E83CAA" w:rsidRPr="00671A59">
        <w:t>]</w:t>
      </w:r>
      <w:r w:rsidRPr="00671A59">
        <w:t>). These studies examined the percent change in anti-</w:t>
      </w:r>
      <w:proofErr w:type="spellStart"/>
      <w:r w:rsidR="00E67006" w:rsidRPr="00671A59">
        <w:t>F</w:t>
      </w:r>
      <w:r w:rsidRPr="00671A59">
        <w:t>Xa</w:t>
      </w:r>
      <w:proofErr w:type="spellEnd"/>
      <w:r w:rsidRPr="00671A59">
        <w:t xml:space="preserve"> activity, from baseline to nadir,</w:t>
      </w:r>
      <w:r w:rsidRPr="00671A59">
        <w:rPr>
          <w:spacing w:val="1"/>
        </w:rPr>
        <w:t xml:space="preserve"> </w:t>
      </w:r>
      <w:r w:rsidRPr="00671A59">
        <w:t>for the low-dose and high-dose regimens of bolus followed by continuous infusion. Low-dose</w:t>
      </w:r>
      <w:r w:rsidRPr="00671A59">
        <w:rPr>
          <w:spacing w:val="1"/>
        </w:rPr>
        <w:t xml:space="preserve"> </w:t>
      </w:r>
      <w:r w:rsidRPr="00671A59">
        <w:t>ANDEXXA was administered</w:t>
      </w:r>
      <w:r>
        <w:t xml:space="preserve"> as a 400 mg IV bolus followed by a 4 mg/min continuous infusio</w:t>
      </w:r>
      <w:r w:rsidR="006A2126">
        <w:t>n for</w:t>
      </w:r>
      <w:r>
        <w:t xml:space="preserve"> 120 minutes (infusion total </w:t>
      </w:r>
      <w:r>
        <w:lastRenderedPageBreak/>
        <w:t>480 mg; total bolus plus continuous infusion 880 mg). High-dose</w:t>
      </w:r>
      <w:r>
        <w:rPr>
          <w:spacing w:val="1"/>
        </w:rPr>
        <w:t xml:space="preserve"> </w:t>
      </w:r>
      <w:r>
        <w:t>ANDEXXA was administered as an 800 mg IV bolus followed by an 8 mg/min continuous</w:t>
      </w:r>
      <w:r>
        <w:rPr>
          <w:spacing w:val="1"/>
        </w:rPr>
        <w:t xml:space="preserve"> </w:t>
      </w:r>
      <w:r>
        <w:t>infusion for 120 minutes (infusion total 960 mg; total bolus plus continuous infusion 1760 mg).</w:t>
      </w:r>
      <w:r>
        <w:rPr>
          <w:spacing w:val="1"/>
        </w:rPr>
        <w:t xml:space="preserve"> </w:t>
      </w:r>
      <w:r>
        <w:t>Nadir was defined as the smallest value measured within 5 minutes after the end of the</w:t>
      </w:r>
      <w:r>
        <w:rPr>
          <w:spacing w:val="1"/>
        </w:rPr>
        <w:t xml:space="preserve"> </w:t>
      </w:r>
      <w:r>
        <w:t>continuous</w:t>
      </w:r>
      <w:r>
        <w:rPr>
          <w:spacing w:val="-1"/>
        </w:rPr>
        <w:t xml:space="preserve"> </w:t>
      </w:r>
      <w:r>
        <w:t>infusion.</w:t>
      </w:r>
    </w:p>
    <w:p w14:paraId="5188616A" w14:textId="36A9A166" w:rsidR="00311573" w:rsidRPr="001B50E8" w:rsidRDefault="00311573" w:rsidP="00A808C8">
      <w:pPr>
        <w:pStyle w:val="Paragraph"/>
      </w:pPr>
      <w:r>
        <w:t>The efficacy of ANDEXXA was evaluated in a multinational, prospective, single-arm,</w:t>
      </w:r>
      <w:r>
        <w:rPr>
          <w:spacing w:val="1"/>
        </w:rPr>
        <w:t xml:space="preserve"> </w:t>
      </w:r>
      <w:r>
        <w:t>open-label</w:t>
      </w:r>
      <w:r>
        <w:rPr>
          <w:spacing w:val="-2"/>
        </w:rPr>
        <w:t xml:space="preserve"> </w:t>
      </w:r>
      <w:r>
        <w:t>Phase</w:t>
      </w:r>
      <w:r>
        <w:rPr>
          <w:spacing w:val="-2"/>
        </w:rPr>
        <w:t xml:space="preserve"> </w:t>
      </w:r>
      <w:r>
        <w:t>3b/4</w:t>
      </w:r>
      <w:r>
        <w:rPr>
          <w:spacing w:val="-2"/>
        </w:rPr>
        <w:t xml:space="preserve"> </w:t>
      </w:r>
      <w:r>
        <w:t>study</w:t>
      </w:r>
      <w:r>
        <w:rPr>
          <w:spacing w:val="-1"/>
        </w:rPr>
        <w:t xml:space="preserve"> </w:t>
      </w:r>
      <w:r>
        <w:t>(Study</w:t>
      </w:r>
      <w:r>
        <w:rPr>
          <w:spacing w:val="-2"/>
        </w:rPr>
        <w:t xml:space="preserve"> </w:t>
      </w:r>
      <w:r>
        <w:t>4</w:t>
      </w:r>
      <w:r>
        <w:rPr>
          <w:spacing w:val="-1"/>
        </w:rPr>
        <w:t xml:space="preserve"> </w:t>
      </w:r>
      <w:r w:rsidR="00E83CAA">
        <w:rPr>
          <w:spacing w:val="-1"/>
        </w:rPr>
        <w:t>[</w:t>
      </w:r>
      <w:r>
        <w:t>ANNEXA-4</w:t>
      </w:r>
      <w:r w:rsidR="00E83CAA">
        <w:t>]</w:t>
      </w:r>
      <w:r>
        <w:t>)</w:t>
      </w:r>
      <w:r>
        <w:rPr>
          <w:spacing w:val="-3"/>
        </w:rPr>
        <w:t xml:space="preserve"> </w:t>
      </w:r>
      <w:r>
        <w:t>in</w:t>
      </w:r>
      <w:r>
        <w:rPr>
          <w:spacing w:val="-1"/>
        </w:rPr>
        <w:t xml:space="preserve"> </w:t>
      </w:r>
      <w:r>
        <w:t>patients</w:t>
      </w:r>
      <w:r>
        <w:rPr>
          <w:spacing w:val="-2"/>
        </w:rPr>
        <w:t xml:space="preserve"> </w:t>
      </w:r>
      <w:r>
        <w:t>presenting</w:t>
      </w:r>
      <w:r>
        <w:rPr>
          <w:spacing w:val="1"/>
        </w:rPr>
        <w:t xml:space="preserve"> </w:t>
      </w:r>
      <w:r>
        <w:t>with</w:t>
      </w:r>
      <w:r>
        <w:rPr>
          <w:spacing w:val="-2"/>
        </w:rPr>
        <w:t xml:space="preserve"> </w:t>
      </w:r>
      <w:r>
        <w:t>acute</w:t>
      </w:r>
      <w:r>
        <w:rPr>
          <w:spacing w:val="-2"/>
        </w:rPr>
        <w:t xml:space="preserve"> </w:t>
      </w:r>
      <w:r w:rsidR="00E83CAA">
        <w:t>major bleeding</w:t>
      </w:r>
      <w:r>
        <w:rPr>
          <w:spacing w:val="-2"/>
        </w:rPr>
        <w:t xml:space="preserve"> </w:t>
      </w:r>
      <w:r>
        <w:t>and</w:t>
      </w:r>
      <w:r>
        <w:rPr>
          <w:spacing w:val="-1"/>
        </w:rPr>
        <w:t xml:space="preserve"> </w:t>
      </w:r>
      <w:r>
        <w:t>who</w:t>
      </w:r>
      <w:r>
        <w:rPr>
          <w:spacing w:val="-1"/>
        </w:rPr>
        <w:t xml:space="preserve"> </w:t>
      </w:r>
      <w:r>
        <w:t>have</w:t>
      </w:r>
      <w:r>
        <w:rPr>
          <w:spacing w:val="-2"/>
        </w:rPr>
        <w:t xml:space="preserve"> </w:t>
      </w:r>
      <w:r>
        <w:t>recently</w:t>
      </w:r>
      <w:r>
        <w:rPr>
          <w:spacing w:val="-1"/>
        </w:rPr>
        <w:t xml:space="preserve"> </w:t>
      </w:r>
      <w:r>
        <w:t>received</w:t>
      </w:r>
      <w:r>
        <w:rPr>
          <w:spacing w:val="1"/>
        </w:rPr>
        <w:t xml:space="preserve"> </w:t>
      </w:r>
      <w:r>
        <w:t>a</w:t>
      </w:r>
      <w:r>
        <w:rPr>
          <w:spacing w:val="-2"/>
        </w:rPr>
        <w:t xml:space="preserve"> </w:t>
      </w:r>
      <w:proofErr w:type="spellStart"/>
      <w:r>
        <w:t>FXa</w:t>
      </w:r>
      <w:proofErr w:type="spellEnd"/>
      <w:r>
        <w:rPr>
          <w:spacing w:val="-2"/>
        </w:rPr>
        <w:t xml:space="preserve"> </w:t>
      </w:r>
      <w:r>
        <w:t>inhibitor.</w:t>
      </w:r>
      <w:r>
        <w:rPr>
          <w:spacing w:val="-2"/>
        </w:rPr>
        <w:t xml:space="preserve"> </w:t>
      </w:r>
      <w:r>
        <w:t>This</w:t>
      </w:r>
      <w:r>
        <w:rPr>
          <w:spacing w:val="-1"/>
        </w:rPr>
        <w:t xml:space="preserve"> </w:t>
      </w:r>
      <w:r>
        <w:t>study</w:t>
      </w:r>
      <w:r>
        <w:rPr>
          <w:spacing w:val="-1"/>
        </w:rPr>
        <w:t xml:space="preserve"> </w:t>
      </w:r>
      <w:r>
        <w:t>examined</w:t>
      </w:r>
      <w:r>
        <w:rPr>
          <w:spacing w:val="-1"/>
        </w:rPr>
        <w:t xml:space="preserve"> </w:t>
      </w:r>
      <w:r>
        <w:t>the</w:t>
      </w:r>
      <w:r>
        <w:rPr>
          <w:spacing w:val="-2"/>
        </w:rPr>
        <w:t xml:space="preserve"> </w:t>
      </w:r>
      <w:r>
        <w:t>percent change</w:t>
      </w:r>
      <w:r>
        <w:rPr>
          <w:spacing w:val="-3"/>
        </w:rPr>
        <w:t xml:space="preserve"> </w:t>
      </w:r>
      <w:r>
        <w:t>in</w:t>
      </w:r>
      <w:r>
        <w:rPr>
          <w:spacing w:val="-1"/>
        </w:rPr>
        <w:t xml:space="preserve"> </w:t>
      </w:r>
      <w:r>
        <w:t>anti-</w:t>
      </w:r>
      <w:proofErr w:type="spellStart"/>
      <w:r w:rsidR="00E67006">
        <w:t>F</w:t>
      </w:r>
      <w:r>
        <w:t>Xa</w:t>
      </w:r>
      <w:proofErr w:type="spellEnd"/>
      <w:r>
        <w:t xml:space="preserve"> activity</w:t>
      </w:r>
      <w:r>
        <w:rPr>
          <w:spacing w:val="-1"/>
        </w:rPr>
        <w:t xml:space="preserve"> </w:t>
      </w:r>
      <w:r>
        <w:t>from</w:t>
      </w:r>
      <w:r>
        <w:rPr>
          <w:spacing w:val="-1"/>
        </w:rPr>
        <w:t xml:space="preserve"> </w:t>
      </w:r>
      <w:r>
        <w:t>baseline</w:t>
      </w:r>
      <w:r>
        <w:rPr>
          <w:spacing w:val="-2"/>
        </w:rPr>
        <w:t xml:space="preserve"> </w:t>
      </w:r>
      <w:r>
        <w:t>to</w:t>
      </w:r>
      <w:r>
        <w:rPr>
          <w:spacing w:val="-1"/>
        </w:rPr>
        <w:t xml:space="preserve"> </w:t>
      </w:r>
      <w:r>
        <w:t>the</w:t>
      </w:r>
      <w:r>
        <w:rPr>
          <w:spacing w:val="-2"/>
        </w:rPr>
        <w:t xml:space="preserve"> </w:t>
      </w:r>
      <w:r>
        <w:t>on-treatment</w:t>
      </w:r>
      <w:r>
        <w:rPr>
          <w:spacing w:val="-1"/>
        </w:rPr>
        <w:t xml:space="preserve"> </w:t>
      </w:r>
      <w:r>
        <w:t>nadir</w:t>
      </w:r>
      <w:r>
        <w:rPr>
          <w:spacing w:val="-2"/>
        </w:rPr>
        <w:t xml:space="preserve"> </w:t>
      </w:r>
      <w:r>
        <w:t>between</w:t>
      </w:r>
      <w:r>
        <w:rPr>
          <w:spacing w:val="1"/>
        </w:rPr>
        <w:t xml:space="preserve"> </w:t>
      </w:r>
      <w:r>
        <w:t>end</w:t>
      </w:r>
      <w:r>
        <w:rPr>
          <w:spacing w:val="-1"/>
        </w:rPr>
        <w:t xml:space="preserve"> </w:t>
      </w:r>
      <w:r>
        <w:t>of</w:t>
      </w:r>
      <w:r>
        <w:rPr>
          <w:spacing w:val="-2"/>
        </w:rPr>
        <w:t xml:space="preserve"> </w:t>
      </w:r>
      <w:r>
        <w:t>the</w:t>
      </w:r>
      <w:r>
        <w:rPr>
          <w:spacing w:val="-2"/>
        </w:rPr>
        <w:t xml:space="preserve"> </w:t>
      </w:r>
      <w:r>
        <w:t>bolus</w:t>
      </w:r>
      <w:r>
        <w:rPr>
          <w:spacing w:val="-1"/>
        </w:rPr>
        <w:t xml:space="preserve"> </w:t>
      </w:r>
      <w:r>
        <w:t>and</w:t>
      </w:r>
      <w:r>
        <w:rPr>
          <w:spacing w:val="-57"/>
        </w:rPr>
        <w:t xml:space="preserve"> </w:t>
      </w:r>
      <w:r w:rsidR="0028377A">
        <w:rPr>
          <w:spacing w:val="-57"/>
        </w:rPr>
        <w:t xml:space="preserve">   </w:t>
      </w:r>
      <w:r w:rsidR="0028377A">
        <w:t xml:space="preserve"> end</w:t>
      </w:r>
      <w:r>
        <w:t xml:space="preserve"> of the infusion. The study also examined the rate of effective </w:t>
      </w:r>
      <w:r w:rsidR="00E83CAA">
        <w:t>haemostasis</w:t>
      </w:r>
      <w:r>
        <w:t xml:space="preserve"> at 12 hours after</w:t>
      </w:r>
      <w:r>
        <w:rPr>
          <w:spacing w:val="1"/>
        </w:rPr>
        <w:t xml:space="preserve"> </w:t>
      </w:r>
      <w:r>
        <w:t>treatment, as rated by an independent endpoint adjudication committee blinded to anti-</w:t>
      </w:r>
      <w:proofErr w:type="spellStart"/>
      <w:r w:rsidR="00E67006">
        <w:t>F</w:t>
      </w:r>
      <w:r>
        <w:t>Xa</w:t>
      </w:r>
      <w:proofErr w:type="spellEnd"/>
      <w:r>
        <w:rPr>
          <w:spacing w:val="1"/>
        </w:rPr>
        <w:t xml:space="preserve"> </w:t>
      </w:r>
      <w:r>
        <w:t>activity</w:t>
      </w:r>
      <w:r>
        <w:rPr>
          <w:spacing w:val="-1"/>
        </w:rPr>
        <w:t xml:space="preserve"> </w:t>
      </w:r>
      <w:r>
        <w:t>levels.</w:t>
      </w:r>
    </w:p>
    <w:p w14:paraId="11402605" w14:textId="1F92C8B1" w:rsidR="008F2CB8" w:rsidRPr="00B3746D" w:rsidRDefault="00311573" w:rsidP="00B3746D">
      <w:pPr>
        <w:pStyle w:val="Heading4Unnumbered"/>
        <w:rPr>
          <w:i w:val="0"/>
          <w:iCs/>
        </w:rPr>
      </w:pPr>
      <w:r w:rsidRPr="00B3746D">
        <w:rPr>
          <w:i w:val="0"/>
          <w:iCs/>
        </w:rPr>
        <w:t xml:space="preserve">Study 1 </w:t>
      </w:r>
      <w:r w:rsidR="009E4F89" w:rsidRPr="00B3746D">
        <w:rPr>
          <w:i w:val="0"/>
          <w:iCs/>
        </w:rPr>
        <w:t>(</w:t>
      </w:r>
      <w:r w:rsidRPr="00B3746D">
        <w:rPr>
          <w:i w:val="0"/>
          <w:iCs/>
        </w:rPr>
        <w:t>ANNEXA-A</w:t>
      </w:r>
      <w:r w:rsidR="009E4F89" w:rsidRPr="00B3746D">
        <w:rPr>
          <w:i w:val="0"/>
          <w:iCs/>
        </w:rPr>
        <w:t>)</w:t>
      </w:r>
      <w:r w:rsidRPr="00B3746D">
        <w:rPr>
          <w:i w:val="0"/>
          <w:iCs/>
        </w:rPr>
        <w:t xml:space="preserve"> – </w:t>
      </w:r>
      <w:r w:rsidR="001459FB">
        <w:rPr>
          <w:i w:val="0"/>
          <w:iCs/>
        </w:rPr>
        <w:t>A</w:t>
      </w:r>
      <w:r w:rsidRPr="00B3746D">
        <w:rPr>
          <w:i w:val="0"/>
          <w:iCs/>
        </w:rPr>
        <w:t xml:space="preserve">pixaban </w:t>
      </w:r>
      <w:r w:rsidR="001B50E8" w:rsidRPr="00B3746D">
        <w:rPr>
          <w:i w:val="0"/>
          <w:iCs/>
        </w:rPr>
        <w:t>r</w:t>
      </w:r>
      <w:r w:rsidRPr="00B3746D">
        <w:rPr>
          <w:i w:val="0"/>
          <w:iCs/>
        </w:rPr>
        <w:t>eversal</w:t>
      </w:r>
    </w:p>
    <w:p w14:paraId="1DCAA636" w14:textId="24AF50E6" w:rsidR="00311573" w:rsidRPr="001B50E8" w:rsidRDefault="00311573" w:rsidP="001B50E8">
      <w:pPr>
        <w:pStyle w:val="Paragraph"/>
        <w:rPr>
          <w:position w:val="2"/>
        </w:rPr>
      </w:pPr>
      <w:r w:rsidRPr="001B50E8">
        <w:t>In</w:t>
      </w:r>
      <w:r w:rsidRPr="001B50E8">
        <w:rPr>
          <w:spacing w:val="-2"/>
        </w:rPr>
        <w:t xml:space="preserve"> </w:t>
      </w:r>
      <w:r w:rsidRPr="001B50E8">
        <w:t>Study</w:t>
      </w:r>
      <w:r w:rsidRPr="001B50E8">
        <w:rPr>
          <w:spacing w:val="-1"/>
        </w:rPr>
        <w:t xml:space="preserve"> </w:t>
      </w:r>
      <w:r w:rsidRPr="001B50E8">
        <w:t>1,</w:t>
      </w:r>
      <w:r w:rsidRPr="001B50E8">
        <w:rPr>
          <w:spacing w:val="-2"/>
        </w:rPr>
        <w:t xml:space="preserve"> </w:t>
      </w:r>
      <w:r w:rsidRPr="001B50E8">
        <w:t>healthy</w:t>
      </w:r>
      <w:r w:rsidRPr="001B50E8">
        <w:rPr>
          <w:spacing w:val="-1"/>
        </w:rPr>
        <w:t xml:space="preserve"> </w:t>
      </w:r>
      <w:r w:rsidRPr="001B50E8">
        <w:t>subjects</w:t>
      </w:r>
      <w:r w:rsidRPr="001B50E8">
        <w:rPr>
          <w:spacing w:val="-1"/>
        </w:rPr>
        <w:t xml:space="preserve"> </w:t>
      </w:r>
      <w:r w:rsidRPr="001B50E8">
        <w:t>(median</w:t>
      </w:r>
      <w:r w:rsidRPr="001B50E8">
        <w:rPr>
          <w:spacing w:val="-2"/>
        </w:rPr>
        <w:t xml:space="preserve"> </w:t>
      </w:r>
      <w:r w:rsidRPr="001B50E8">
        <w:t>age:</w:t>
      </w:r>
      <w:r w:rsidRPr="001B50E8">
        <w:rPr>
          <w:spacing w:val="-1"/>
        </w:rPr>
        <w:t xml:space="preserve"> </w:t>
      </w:r>
      <w:r w:rsidRPr="001B50E8">
        <w:t>57</w:t>
      </w:r>
      <w:r w:rsidRPr="001B50E8">
        <w:rPr>
          <w:spacing w:val="-1"/>
        </w:rPr>
        <w:t xml:space="preserve"> </w:t>
      </w:r>
      <w:r w:rsidRPr="001B50E8">
        <w:t>years;</w:t>
      </w:r>
      <w:r w:rsidRPr="001B50E8">
        <w:rPr>
          <w:spacing w:val="-2"/>
        </w:rPr>
        <w:t xml:space="preserve"> </w:t>
      </w:r>
      <w:r w:rsidRPr="001B50E8">
        <w:t>range:</w:t>
      </w:r>
      <w:r w:rsidRPr="001B50E8">
        <w:rPr>
          <w:spacing w:val="-1"/>
        </w:rPr>
        <w:t xml:space="preserve"> </w:t>
      </w:r>
      <w:r w:rsidRPr="001B50E8">
        <w:t>50</w:t>
      </w:r>
      <w:r w:rsidRPr="001B50E8">
        <w:rPr>
          <w:spacing w:val="-2"/>
        </w:rPr>
        <w:t xml:space="preserve"> </w:t>
      </w:r>
      <w:r w:rsidRPr="001B50E8">
        <w:t>to</w:t>
      </w:r>
      <w:r w:rsidRPr="001B50E8">
        <w:rPr>
          <w:spacing w:val="-1"/>
        </w:rPr>
        <w:t xml:space="preserve"> </w:t>
      </w:r>
      <w:r w:rsidRPr="001B50E8">
        <w:t>73</w:t>
      </w:r>
      <w:r w:rsidRPr="001B50E8">
        <w:rPr>
          <w:spacing w:val="-1"/>
        </w:rPr>
        <w:t xml:space="preserve"> </w:t>
      </w:r>
      <w:r w:rsidRPr="001B50E8">
        <w:t>years)</w:t>
      </w:r>
      <w:r w:rsidRPr="001B50E8">
        <w:rPr>
          <w:spacing w:val="-3"/>
        </w:rPr>
        <w:t xml:space="preserve"> </w:t>
      </w:r>
      <w:r w:rsidRPr="001B50E8">
        <w:t>received</w:t>
      </w:r>
      <w:r w:rsidRPr="001B50E8">
        <w:rPr>
          <w:spacing w:val="1"/>
        </w:rPr>
        <w:t xml:space="preserve"> </w:t>
      </w:r>
      <w:r w:rsidRPr="001B50E8">
        <w:t>apixaba</w:t>
      </w:r>
      <w:r w:rsidR="001B50E8">
        <w:t>n 5</w:t>
      </w:r>
      <w:r w:rsidRPr="001B50E8">
        <w:t xml:space="preserve"> mg twice daily for 3.5 days to achieve steady state. At 3 hours after the last apixaban do</w:t>
      </w:r>
      <w:r w:rsidR="001B50E8">
        <w:t xml:space="preserve">se </w:t>
      </w:r>
      <w:r w:rsidRPr="001B50E8">
        <w:rPr>
          <w:position w:val="2"/>
        </w:rPr>
        <w:t>(~C</w:t>
      </w:r>
      <w:r w:rsidRPr="00E83CAA">
        <w:rPr>
          <w:vertAlign w:val="subscript"/>
        </w:rPr>
        <w:t>max</w:t>
      </w:r>
      <w:r w:rsidRPr="001B50E8">
        <w:rPr>
          <w:position w:val="2"/>
        </w:rPr>
        <w:t>),</w:t>
      </w:r>
      <w:r w:rsidRPr="001B50E8">
        <w:rPr>
          <w:spacing w:val="-2"/>
          <w:position w:val="2"/>
        </w:rPr>
        <w:t xml:space="preserve"> </w:t>
      </w:r>
      <w:r w:rsidRPr="001B50E8">
        <w:rPr>
          <w:position w:val="2"/>
        </w:rPr>
        <w:t>ANDEXXA</w:t>
      </w:r>
      <w:r w:rsidRPr="001B50E8">
        <w:rPr>
          <w:spacing w:val="-2"/>
          <w:position w:val="2"/>
        </w:rPr>
        <w:t xml:space="preserve"> </w:t>
      </w:r>
      <w:r w:rsidRPr="001B50E8">
        <w:rPr>
          <w:position w:val="2"/>
        </w:rPr>
        <w:t>or placebo</w:t>
      </w:r>
      <w:r w:rsidRPr="001B50E8">
        <w:rPr>
          <w:spacing w:val="-1"/>
          <w:position w:val="2"/>
        </w:rPr>
        <w:t xml:space="preserve"> </w:t>
      </w:r>
      <w:r w:rsidRPr="001B50E8">
        <w:rPr>
          <w:position w:val="2"/>
        </w:rPr>
        <w:t>was</w:t>
      </w:r>
      <w:r w:rsidRPr="001B50E8">
        <w:rPr>
          <w:spacing w:val="-2"/>
          <w:position w:val="2"/>
        </w:rPr>
        <w:t xml:space="preserve"> </w:t>
      </w:r>
      <w:r w:rsidRPr="001B50E8">
        <w:rPr>
          <w:position w:val="2"/>
        </w:rPr>
        <w:t>administered.</w:t>
      </w:r>
      <w:r w:rsidRPr="001B50E8">
        <w:rPr>
          <w:spacing w:val="-1"/>
          <w:position w:val="2"/>
        </w:rPr>
        <w:t xml:space="preserve"> </w:t>
      </w:r>
      <w:r w:rsidRPr="001B50E8">
        <w:rPr>
          <w:position w:val="2"/>
        </w:rPr>
        <w:t>Eight</w:t>
      </w:r>
      <w:r w:rsidRPr="001B50E8">
        <w:rPr>
          <w:spacing w:val="-1"/>
          <w:position w:val="2"/>
        </w:rPr>
        <w:t xml:space="preserve"> </w:t>
      </w:r>
      <w:r w:rsidRPr="001B50E8">
        <w:rPr>
          <w:position w:val="2"/>
        </w:rPr>
        <w:t>subjects</w:t>
      </w:r>
      <w:r w:rsidRPr="001B50E8">
        <w:rPr>
          <w:spacing w:val="-1"/>
          <w:position w:val="2"/>
        </w:rPr>
        <w:t xml:space="preserve"> </w:t>
      </w:r>
      <w:r w:rsidRPr="001B50E8">
        <w:rPr>
          <w:position w:val="2"/>
        </w:rPr>
        <w:t>received</w:t>
      </w:r>
      <w:r w:rsidRPr="001B50E8">
        <w:rPr>
          <w:spacing w:val="-1"/>
          <w:position w:val="2"/>
        </w:rPr>
        <w:t xml:space="preserve"> </w:t>
      </w:r>
      <w:r w:rsidRPr="001B50E8">
        <w:rPr>
          <w:position w:val="2"/>
        </w:rPr>
        <w:t>placebo</w:t>
      </w:r>
      <w:r w:rsidRPr="001B50E8">
        <w:rPr>
          <w:spacing w:val="-2"/>
          <w:position w:val="2"/>
        </w:rPr>
        <w:t xml:space="preserve"> </w:t>
      </w:r>
      <w:r w:rsidR="001B50E8">
        <w:rPr>
          <w:position w:val="2"/>
        </w:rPr>
        <w:t>and 24 received ANDEXXA administered as low dose IV bolus plus infusion.</w:t>
      </w:r>
    </w:p>
    <w:p w14:paraId="36F6E627" w14:textId="1F213759" w:rsidR="008F2CB8" w:rsidRPr="00B3746D" w:rsidRDefault="00311573" w:rsidP="00B3746D">
      <w:pPr>
        <w:pStyle w:val="Heading4Unnumbered"/>
        <w:rPr>
          <w:i w:val="0"/>
          <w:iCs/>
        </w:rPr>
      </w:pPr>
      <w:r w:rsidRPr="00B3746D">
        <w:rPr>
          <w:i w:val="0"/>
          <w:iCs/>
        </w:rPr>
        <w:t xml:space="preserve">Study 2 </w:t>
      </w:r>
      <w:r w:rsidR="009E4F89" w:rsidRPr="00B3746D">
        <w:rPr>
          <w:i w:val="0"/>
          <w:iCs/>
        </w:rPr>
        <w:t>(</w:t>
      </w:r>
      <w:r w:rsidRPr="00B3746D">
        <w:rPr>
          <w:i w:val="0"/>
          <w:iCs/>
        </w:rPr>
        <w:t>ANNEXA-R</w:t>
      </w:r>
      <w:r w:rsidR="009E4F89" w:rsidRPr="00B3746D">
        <w:rPr>
          <w:i w:val="0"/>
          <w:iCs/>
        </w:rPr>
        <w:t>)</w:t>
      </w:r>
      <w:r w:rsidRPr="00B3746D">
        <w:rPr>
          <w:i w:val="0"/>
          <w:iCs/>
        </w:rPr>
        <w:t xml:space="preserve"> – Rivaroxaban </w:t>
      </w:r>
      <w:r w:rsidR="001B50E8" w:rsidRPr="00B3746D">
        <w:rPr>
          <w:i w:val="0"/>
          <w:iCs/>
        </w:rPr>
        <w:t>r</w:t>
      </w:r>
      <w:r w:rsidRPr="00B3746D">
        <w:rPr>
          <w:i w:val="0"/>
          <w:iCs/>
        </w:rPr>
        <w:t>eversal</w:t>
      </w:r>
    </w:p>
    <w:p w14:paraId="70B39975" w14:textId="3B2186FA" w:rsidR="008F2CB8" w:rsidRPr="00B3746D" w:rsidRDefault="00311573" w:rsidP="00B3746D">
      <w:pPr>
        <w:pStyle w:val="Paragraph"/>
      </w:pPr>
      <w:r>
        <w:t>In Study 2, healthy subjects (median age: 57 years; range: 50 to 68 years) received rivaroxaban</w:t>
      </w:r>
      <w:r>
        <w:rPr>
          <w:spacing w:val="1"/>
        </w:rPr>
        <w:t xml:space="preserve"> </w:t>
      </w:r>
      <w:r w:rsidR="001B50E8">
        <w:rPr>
          <w:spacing w:val="1"/>
        </w:rPr>
        <w:br/>
      </w:r>
      <w:r>
        <w:t>20</w:t>
      </w:r>
      <w:r>
        <w:rPr>
          <w:spacing w:val="-1"/>
        </w:rPr>
        <w:t xml:space="preserve"> </w:t>
      </w:r>
      <w:r>
        <w:t>mg</w:t>
      </w:r>
      <w:r>
        <w:rPr>
          <w:spacing w:val="-1"/>
        </w:rPr>
        <w:t xml:space="preserve"> </w:t>
      </w:r>
      <w:r>
        <w:t>once</w:t>
      </w:r>
      <w:r>
        <w:rPr>
          <w:spacing w:val="-1"/>
        </w:rPr>
        <w:t xml:space="preserve"> </w:t>
      </w:r>
      <w:r>
        <w:t>per</w:t>
      </w:r>
      <w:r>
        <w:rPr>
          <w:spacing w:val="-2"/>
        </w:rPr>
        <w:t xml:space="preserve"> </w:t>
      </w:r>
      <w:r>
        <w:t>day for</w:t>
      </w:r>
      <w:r>
        <w:rPr>
          <w:spacing w:val="-2"/>
        </w:rPr>
        <w:t xml:space="preserve"> </w:t>
      </w:r>
      <w:r>
        <w:t>4</w:t>
      </w:r>
      <w:r>
        <w:rPr>
          <w:spacing w:val="2"/>
        </w:rPr>
        <w:t xml:space="preserve"> </w:t>
      </w:r>
      <w:r>
        <w:t>days</w:t>
      </w:r>
      <w:r>
        <w:rPr>
          <w:spacing w:val="-1"/>
        </w:rPr>
        <w:t xml:space="preserve"> </w:t>
      </w:r>
      <w:r>
        <w:t>to</w:t>
      </w:r>
      <w:r>
        <w:rPr>
          <w:spacing w:val="-1"/>
        </w:rPr>
        <w:t xml:space="preserve"> </w:t>
      </w:r>
      <w:r>
        <w:t>achieve</w:t>
      </w:r>
      <w:r>
        <w:rPr>
          <w:spacing w:val="-1"/>
        </w:rPr>
        <w:t xml:space="preserve"> </w:t>
      </w:r>
      <w:r>
        <w:t>steady</w:t>
      </w:r>
      <w:r>
        <w:rPr>
          <w:spacing w:val="-2"/>
        </w:rPr>
        <w:t xml:space="preserve"> </w:t>
      </w:r>
      <w:r>
        <w:t>state. At</w:t>
      </w:r>
      <w:r>
        <w:rPr>
          <w:spacing w:val="-1"/>
        </w:rPr>
        <w:t xml:space="preserve"> </w:t>
      </w:r>
      <w:r>
        <w:t>4 hours</w:t>
      </w:r>
      <w:r>
        <w:rPr>
          <w:spacing w:val="-1"/>
        </w:rPr>
        <w:t xml:space="preserve"> </w:t>
      </w:r>
      <w:r>
        <w:t>after</w:t>
      </w:r>
      <w:r>
        <w:rPr>
          <w:spacing w:val="-2"/>
        </w:rPr>
        <w:t xml:space="preserve"> </w:t>
      </w:r>
      <w:r>
        <w:t>the</w:t>
      </w:r>
      <w:r>
        <w:rPr>
          <w:spacing w:val="-1"/>
        </w:rPr>
        <w:t xml:space="preserve"> </w:t>
      </w:r>
      <w:r>
        <w:t>last</w:t>
      </w:r>
      <w:r>
        <w:rPr>
          <w:spacing w:val="-1"/>
        </w:rPr>
        <w:t xml:space="preserve"> </w:t>
      </w:r>
      <w:r>
        <w:t>rivaroxaban dose</w:t>
      </w:r>
      <w:r>
        <w:rPr>
          <w:spacing w:val="-57"/>
        </w:rPr>
        <w:t xml:space="preserve"> </w:t>
      </w:r>
      <w:r>
        <w:rPr>
          <w:position w:val="2"/>
        </w:rPr>
        <w:t>(~C</w:t>
      </w:r>
      <w:r>
        <w:rPr>
          <w:sz w:val="16"/>
        </w:rPr>
        <w:t>max</w:t>
      </w:r>
      <w:r>
        <w:rPr>
          <w:position w:val="2"/>
        </w:rPr>
        <w:t>),</w:t>
      </w:r>
      <w:r>
        <w:rPr>
          <w:spacing w:val="-2"/>
          <w:position w:val="2"/>
        </w:rPr>
        <w:t xml:space="preserve"> </w:t>
      </w:r>
      <w:r>
        <w:rPr>
          <w:position w:val="2"/>
        </w:rPr>
        <w:t>ANDEXXA</w:t>
      </w:r>
      <w:r>
        <w:rPr>
          <w:spacing w:val="-2"/>
          <w:position w:val="2"/>
        </w:rPr>
        <w:t xml:space="preserve"> </w:t>
      </w:r>
      <w:r>
        <w:rPr>
          <w:position w:val="2"/>
        </w:rPr>
        <w:t>or placebo</w:t>
      </w:r>
      <w:r>
        <w:rPr>
          <w:spacing w:val="-2"/>
          <w:position w:val="2"/>
        </w:rPr>
        <w:t xml:space="preserve"> </w:t>
      </w:r>
      <w:r>
        <w:rPr>
          <w:position w:val="2"/>
        </w:rPr>
        <w:t>was</w:t>
      </w:r>
      <w:r>
        <w:rPr>
          <w:spacing w:val="-1"/>
          <w:position w:val="2"/>
        </w:rPr>
        <w:t xml:space="preserve"> </w:t>
      </w:r>
      <w:r>
        <w:rPr>
          <w:position w:val="2"/>
        </w:rPr>
        <w:t>administered.</w:t>
      </w:r>
      <w:r>
        <w:rPr>
          <w:spacing w:val="-1"/>
          <w:position w:val="2"/>
        </w:rPr>
        <w:t xml:space="preserve"> </w:t>
      </w:r>
      <w:r>
        <w:rPr>
          <w:position w:val="2"/>
        </w:rPr>
        <w:t>Thirteen</w:t>
      </w:r>
      <w:r>
        <w:rPr>
          <w:spacing w:val="-2"/>
          <w:position w:val="2"/>
        </w:rPr>
        <w:t xml:space="preserve"> </w:t>
      </w:r>
      <w:r>
        <w:rPr>
          <w:position w:val="2"/>
        </w:rPr>
        <w:t>subjects</w:t>
      </w:r>
      <w:r>
        <w:rPr>
          <w:spacing w:val="-1"/>
          <w:position w:val="2"/>
        </w:rPr>
        <w:t xml:space="preserve"> </w:t>
      </w:r>
      <w:r>
        <w:rPr>
          <w:position w:val="2"/>
        </w:rPr>
        <w:t>received</w:t>
      </w:r>
      <w:r>
        <w:rPr>
          <w:spacing w:val="-1"/>
          <w:position w:val="2"/>
        </w:rPr>
        <w:t xml:space="preserve"> </w:t>
      </w:r>
      <w:r>
        <w:rPr>
          <w:position w:val="2"/>
        </w:rPr>
        <w:t>placebo</w:t>
      </w:r>
      <w:r>
        <w:rPr>
          <w:spacing w:val="1"/>
          <w:position w:val="2"/>
        </w:rPr>
        <w:t xml:space="preserve"> </w:t>
      </w:r>
      <w:r w:rsidR="001B50E8">
        <w:rPr>
          <w:position w:val="2"/>
        </w:rPr>
        <w:t>and 26 receive</w:t>
      </w:r>
      <w:r w:rsidR="00136ABE">
        <w:rPr>
          <w:position w:val="2"/>
        </w:rPr>
        <w:t>d ANDEXXA administered as high dose IV bolus plus infusion.</w:t>
      </w:r>
    </w:p>
    <w:p w14:paraId="0CD5DBE6" w14:textId="08005468" w:rsidR="00311573" w:rsidRPr="00B3746D" w:rsidRDefault="00311573" w:rsidP="00B3746D">
      <w:pPr>
        <w:pStyle w:val="Heading4Unnumbered"/>
        <w:rPr>
          <w:i w:val="0"/>
          <w:iCs/>
        </w:rPr>
      </w:pPr>
      <w:r w:rsidRPr="00B3746D">
        <w:rPr>
          <w:i w:val="0"/>
          <w:iCs/>
        </w:rPr>
        <w:t xml:space="preserve">Reduction in </w:t>
      </w:r>
      <w:r w:rsidR="001459FB">
        <w:rPr>
          <w:i w:val="0"/>
          <w:iCs/>
        </w:rPr>
        <w:t>a</w:t>
      </w:r>
      <w:r w:rsidRPr="00B3746D">
        <w:rPr>
          <w:i w:val="0"/>
          <w:iCs/>
        </w:rPr>
        <w:t>nti-</w:t>
      </w:r>
      <w:proofErr w:type="spellStart"/>
      <w:r w:rsidR="00E67006">
        <w:rPr>
          <w:i w:val="0"/>
          <w:iCs/>
        </w:rPr>
        <w:t>F</w:t>
      </w:r>
      <w:r w:rsidRPr="00B3746D">
        <w:rPr>
          <w:i w:val="0"/>
          <w:iCs/>
        </w:rPr>
        <w:t>Xa</w:t>
      </w:r>
      <w:proofErr w:type="spellEnd"/>
      <w:r w:rsidRPr="00B3746D">
        <w:rPr>
          <w:i w:val="0"/>
          <w:iCs/>
        </w:rPr>
        <w:t xml:space="preserve"> </w:t>
      </w:r>
      <w:r w:rsidR="001459FB">
        <w:rPr>
          <w:i w:val="0"/>
          <w:iCs/>
        </w:rPr>
        <w:t>a</w:t>
      </w:r>
      <w:r w:rsidRPr="00B3746D">
        <w:rPr>
          <w:i w:val="0"/>
          <w:iCs/>
        </w:rPr>
        <w:t>ctivity</w:t>
      </w:r>
    </w:p>
    <w:p w14:paraId="75A455A9" w14:textId="0FAFC4EE" w:rsidR="00311573" w:rsidRDefault="00311573" w:rsidP="007F7801">
      <w:pPr>
        <w:pStyle w:val="Paragraph"/>
        <w:rPr>
          <w:sz w:val="15"/>
        </w:rPr>
      </w:pPr>
      <w:r>
        <w:t>The primary endpoint evaluating the percent change from baseline in anti-</w:t>
      </w:r>
      <w:proofErr w:type="spellStart"/>
      <w:r w:rsidR="00E67006">
        <w:t>F</w:t>
      </w:r>
      <w:r>
        <w:t>Xa</w:t>
      </w:r>
      <w:proofErr w:type="spellEnd"/>
      <w:r>
        <w:t xml:space="preserve"> activity at its nadir</w:t>
      </w:r>
      <w:r>
        <w:rPr>
          <w:spacing w:val="-58"/>
        </w:rPr>
        <w:t xml:space="preserve"> </w:t>
      </w:r>
      <w:r>
        <w:t xml:space="preserve">was statistically significant (p&lt;0.0001) in </w:t>
      </w:r>
      <w:r w:rsidR="007F7801">
        <w:t>favour</w:t>
      </w:r>
      <w:r>
        <w:t xml:space="preserve"> of the ANDEXXA groups compared to </w:t>
      </w:r>
      <w:r w:rsidR="007F7801">
        <w:t xml:space="preserve">placebo in </w:t>
      </w:r>
      <w:r>
        <w:t>both Studies</w:t>
      </w:r>
      <w:r>
        <w:rPr>
          <w:spacing w:val="-1"/>
        </w:rPr>
        <w:t xml:space="preserve"> </w:t>
      </w:r>
      <w:r>
        <w:t>1 and</w:t>
      </w:r>
      <w:r>
        <w:rPr>
          <w:spacing w:val="-1"/>
        </w:rPr>
        <w:t xml:space="preserve"> </w:t>
      </w:r>
      <w:r>
        <w:t>2. The</w:t>
      </w:r>
      <w:r>
        <w:rPr>
          <w:spacing w:val="-1"/>
        </w:rPr>
        <w:t xml:space="preserve"> </w:t>
      </w:r>
      <w:r>
        <w:t>results</w:t>
      </w:r>
      <w:r>
        <w:rPr>
          <w:spacing w:val="-1"/>
        </w:rPr>
        <w:t xml:space="preserve"> </w:t>
      </w:r>
      <w:r>
        <w:t>of</w:t>
      </w:r>
      <w:r>
        <w:rPr>
          <w:spacing w:val="-1"/>
        </w:rPr>
        <w:t xml:space="preserve"> </w:t>
      </w:r>
      <w:r>
        <w:t>Study</w:t>
      </w:r>
      <w:r>
        <w:rPr>
          <w:spacing w:val="-1"/>
        </w:rPr>
        <w:t xml:space="preserve"> </w:t>
      </w:r>
      <w:r>
        <w:t>1 and</w:t>
      </w:r>
      <w:r>
        <w:rPr>
          <w:spacing w:val="-1"/>
        </w:rPr>
        <w:t xml:space="preserve"> </w:t>
      </w:r>
      <w:r>
        <w:t>Study 2 are</w:t>
      </w:r>
      <w:r>
        <w:rPr>
          <w:spacing w:val="-2"/>
        </w:rPr>
        <w:t xml:space="preserve"> </w:t>
      </w:r>
      <w:r>
        <w:t>provided in</w:t>
      </w:r>
      <w:r>
        <w:rPr>
          <w:spacing w:val="1"/>
        </w:rPr>
        <w:t xml:space="preserve"> </w:t>
      </w:r>
      <w:r>
        <w:t>Table</w:t>
      </w:r>
      <w:r>
        <w:rPr>
          <w:spacing w:val="-1"/>
        </w:rPr>
        <w:t xml:space="preserve"> </w:t>
      </w:r>
      <w:r w:rsidR="00395F60">
        <w:t>6</w:t>
      </w:r>
      <w:r>
        <w:rPr>
          <w:spacing w:val="-1"/>
        </w:rPr>
        <w:t xml:space="preserve"> </w:t>
      </w:r>
      <w:r>
        <w:t>and</w:t>
      </w:r>
      <w:r>
        <w:rPr>
          <w:spacing w:val="-1"/>
        </w:rPr>
        <w:t xml:space="preserve"> </w:t>
      </w:r>
      <w:r>
        <w:t>Table</w:t>
      </w:r>
      <w:r>
        <w:rPr>
          <w:spacing w:val="-1"/>
        </w:rPr>
        <w:t xml:space="preserve"> </w:t>
      </w:r>
      <w:r w:rsidR="00395F60">
        <w:t>7</w:t>
      </w:r>
      <w:r>
        <w:t>.</w:t>
      </w:r>
    </w:p>
    <w:p w14:paraId="44773FE9" w14:textId="2A1EEE55" w:rsidR="00311573" w:rsidRPr="007F7801" w:rsidRDefault="00311573" w:rsidP="007F7801">
      <w:pPr>
        <w:pStyle w:val="Paragraph"/>
      </w:pPr>
      <w:r>
        <w:t>The</w:t>
      </w:r>
      <w:r>
        <w:rPr>
          <w:spacing w:val="-3"/>
        </w:rPr>
        <w:t xml:space="preserve"> </w:t>
      </w:r>
      <w:r>
        <w:t>time</w:t>
      </w:r>
      <w:r>
        <w:rPr>
          <w:spacing w:val="-3"/>
        </w:rPr>
        <w:t xml:space="preserve"> </w:t>
      </w:r>
      <w:r>
        <w:t>courses</w:t>
      </w:r>
      <w:r>
        <w:rPr>
          <w:spacing w:val="-1"/>
        </w:rPr>
        <w:t xml:space="preserve"> </w:t>
      </w:r>
      <w:r>
        <w:t>of</w:t>
      </w:r>
      <w:r>
        <w:rPr>
          <w:spacing w:val="-1"/>
        </w:rPr>
        <w:t xml:space="preserve"> </w:t>
      </w:r>
      <w:r>
        <w:t>anti-</w:t>
      </w:r>
      <w:proofErr w:type="spellStart"/>
      <w:r w:rsidR="00E67006">
        <w:t>F</w:t>
      </w:r>
      <w:r>
        <w:t>Xa</w:t>
      </w:r>
      <w:proofErr w:type="spellEnd"/>
      <w:r>
        <w:rPr>
          <w:spacing w:val="-2"/>
        </w:rPr>
        <w:t xml:space="preserve"> </w:t>
      </w:r>
      <w:r>
        <w:t>activity</w:t>
      </w:r>
      <w:r>
        <w:rPr>
          <w:spacing w:val="-2"/>
        </w:rPr>
        <w:t xml:space="preserve"> </w:t>
      </w:r>
      <w:r>
        <w:t>before and</w:t>
      </w:r>
      <w:r>
        <w:rPr>
          <w:spacing w:val="-2"/>
        </w:rPr>
        <w:t xml:space="preserve"> </w:t>
      </w:r>
      <w:r>
        <w:t>after</w:t>
      </w:r>
      <w:r>
        <w:rPr>
          <w:spacing w:val="-3"/>
        </w:rPr>
        <w:t xml:space="preserve"> </w:t>
      </w:r>
      <w:r>
        <w:t>ANDEXXA administration</w:t>
      </w:r>
      <w:r>
        <w:rPr>
          <w:spacing w:val="-2"/>
        </w:rPr>
        <w:t xml:space="preserve"> </w:t>
      </w:r>
      <w:r>
        <w:t>are</w:t>
      </w:r>
      <w:r>
        <w:rPr>
          <w:spacing w:val="-2"/>
        </w:rPr>
        <w:t xml:space="preserve"> </w:t>
      </w:r>
      <w:r>
        <w:t>shown</w:t>
      </w:r>
      <w:r>
        <w:rPr>
          <w:spacing w:val="-2"/>
        </w:rPr>
        <w:t xml:space="preserve"> </w:t>
      </w:r>
      <w:r>
        <w:t>in</w:t>
      </w:r>
      <w:r>
        <w:rPr>
          <w:spacing w:val="-57"/>
        </w:rPr>
        <w:t xml:space="preserve"> </w:t>
      </w:r>
      <w:r w:rsidRPr="007F7801">
        <w:rPr>
          <w:color w:val="000000" w:themeColor="text1"/>
        </w:rPr>
        <w:t>Figure</w:t>
      </w:r>
      <w:r w:rsidRPr="007F7801">
        <w:rPr>
          <w:color w:val="000000" w:themeColor="text1"/>
          <w:spacing w:val="-2"/>
        </w:rPr>
        <w:t xml:space="preserve"> </w:t>
      </w:r>
      <w:r w:rsidRPr="007F7801">
        <w:rPr>
          <w:color w:val="000000" w:themeColor="text1"/>
        </w:rPr>
        <w:t>1</w:t>
      </w:r>
      <w:r w:rsidR="007F7801" w:rsidRPr="007F7801">
        <w:rPr>
          <w:color w:val="000000" w:themeColor="text1"/>
          <w:spacing w:val="2"/>
        </w:rPr>
        <w:t>.</w:t>
      </w:r>
    </w:p>
    <w:p w14:paraId="2DDBB8CB" w14:textId="64F2D662" w:rsidR="00311573" w:rsidRDefault="00D018CB" w:rsidP="00D018CB">
      <w:pPr>
        <w:pStyle w:val="Caption"/>
      </w:pPr>
      <w:r>
        <w:t xml:space="preserve">Table </w:t>
      </w:r>
      <w:r>
        <w:fldChar w:fldCharType="begin"/>
      </w:r>
      <w:r>
        <w:instrText xml:space="preserve"> SEQ Table \* ARABIC </w:instrText>
      </w:r>
      <w:r>
        <w:fldChar w:fldCharType="separate"/>
      </w:r>
      <w:r>
        <w:rPr>
          <w:noProof/>
        </w:rPr>
        <w:t>6</w:t>
      </w:r>
      <w:r>
        <w:fldChar w:fldCharType="end"/>
      </w:r>
      <w:r w:rsidR="00311573">
        <w:tab/>
        <w:t>Change</w:t>
      </w:r>
      <w:r w:rsidR="00311573">
        <w:rPr>
          <w:spacing w:val="-5"/>
        </w:rPr>
        <w:t xml:space="preserve"> </w:t>
      </w:r>
      <w:r w:rsidR="00311573">
        <w:t>in</w:t>
      </w:r>
      <w:r w:rsidR="00311573">
        <w:rPr>
          <w:spacing w:val="-4"/>
        </w:rPr>
        <w:t xml:space="preserve"> </w:t>
      </w:r>
      <w:r w:rsidR="00FC3D35">
        <w:t>a</w:t>
      </w:r>
      <w:r w:rsidR="00311573">
        <w:t>nti-</w:t>
      </w:r>
      <w:proofErr w:type="spellStart"/>
      <w:r w:rsidR="00311573">
        <w:t>FXa</w:t>
      </w:r>
      <w:proofErr w:type="spellEnd"/>
      <w:r w:rsidR="00311573">
        <w:rPr>
          <w:spacing w:val="-3"/>
        </w:rPr>
        <w:t xml:space="preserve"> </w:t>
      </w:r>
      <w:r w:rsidR="00FC3D35">
        <w:t>a</w:t>
      </w:r>
      <w:r w:rsidR="00311573">
        <w:t>ctivity</w:t>
      </w:r>
      <w:r w:rsidR="006A2126">
        <w:t xml:space="preserve"> – </w:t>
      </w:r>
      <w:r w:rsidR="00311573">
        <w:t>Study</w:t>
      </w:r>
      <w:r w:rsidR="00311573">
        <w:rPr>
          <w:spacing w:val="-4"/>
        </w:rPr>
        <w:t xml:space="preserve"> </w:t>
      </w:r>
      <w:r w:rsidR="00311573">
        <w:t>1</w:t>
      </w:r>
      <w:r w:rsidR="00311573">
        <w:rPr>
          <w:spacing w:val="-3"/>
        </w:rPr>
        <w:t xml:space="preserve"> </w:t>
      </w:r>
      <w:r w:rsidR="00311573">
        <w:t>(</w:t>
      </w:r>
      <w:r w:rsidR="00FC3D35">
        <w:t>a</w:t>
      </w:r>
      <w:r w:rsidR="00311573">
        <w:t>pixaban)</w:t>
      </w:r>
    </w:p>
    <w:p w14:paraId="614D13D8" w14:textId="77777777" w:rsidR="00311573" w:rsidRDefault="00311573" w:rsidP="00311573">
      <w:pPr>
        <w:pStyle w:val="BodyText"/>
        <w:spacing w:before="6"/>
        <w:rPr>
          <w:b/>
          <w:sz w:val="10"/>
        </w:rPr>
      </w:pPr>
    </w:p>
    <w:tbl>
      <w:tblPr>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9"/>
        <w:gridCol w:w="2457"/>
        <w:gridCol w:w="2277"/>
      </w:tblGrid>
      <w:tr w:rsidR="00311573" w:rsidRPr="006A2126" w14:paraId="0180870A" w14:textId="77777777" w:rsidTr="002F5203">
        <w:trPr>
          <w:trHeight w:val="892"/>
        </w:trPr>
        <w:tc>
          <w:tcPr>
            <w:tcW w:w="3679" w:type="dxa"/>
            <w:vAlign w:val="center"/>
          </w:tcPr>
          <w:p w14:paraId="64FF25F9" w14:textId="2E37AF15" w:rsidR="00311573" w:rsidRPr="006A2126" w:rsidRDefault="00311573" w:rsidP="001361A8">
            <w:pPr>
              <w:pStyle w:val="TableHead"/>
              <w:spacing w:before="0" w:after="0" w:line="276" w:lineRule="auto"/>
              <w:rPr>
                <w:sz w:val="22"/>
                <w:szCs w:val="52"/>
              </w:rPr>
            </w:pPr>
            <w:r w:rsidRPr="006A2126">
              <w:rPr>
                <w:sz w:val="22"/>
                <w:szCs w:val="52"/>
              </w:rPr>
              <w:t>Anti-</w:t>
            </w:r>
            <w:proofErr w:type="spellStart"/>
            <w:r w:rsidRPr="006A2126">
              <w:rPr>
                <w:sz w:val="22"/>
                <w:szCs w:val="52"/>
              </w:rPr>
              <w:t>FXa</w:t>
            </w:r>
            <w:proofErr w:type="spellEnd"/>
            <w:r w:rsidRPr="006A2126">
              <w:rPr>
                <w:spacing w:val="-3"/>
                <w:sz w:val="22"/>
                <w:szCs w:val="52"/>
              </w:rPr>
              <w:t xml:space="preserve"> </w:t>
            </w:r>
            <w:r w:rsidR="00B96140" w:rsidRPr="006A2126">
              <w:rPr>
                <w:sz w:val="22"/>
                <w:szCs w:val="52"/>
              </w:rPr>
              <w:t>a</w:t>
            </w:r>
            <w:r w:rsidRPr="006A2126">
              <w:rPr>
                <w:sz w:val="22"/>
                <w:szCs w:val="52"/>
              </w:rPr>
              <w:t>ctivity</w:t>
            </w:r>
          </w:p>
        </w:tc>
        <w:tc>
          <w:tcPr>
            <w:tcW w:w="2457" w:type="dxa"/>
            <w:vAlign w:val="center"/>
          </w:tcPr>
          <w:p w14:paraId="2B60BFDD" w14:textId="28A7F687" w:rsidR="00311573" w:rsidRPr="006A2126" w:rsidRDefault="00311573" w:rsidP="001361A8">
            <w:pPr>
              <w:pStyle w:val="TableHead"/>
              <w:spacing w:before="0" w:after="0" w:line="276" w:lineRule="auto"/>
              <w:rPr>
                <w:sz w:val="22"/>
                <w:szCs w:val="52"/>
              </w:rPr>
            </w:pPr>
            <w:r w:rsidRPr="006A2126">
              <w:rPr>
                <w:sz w:val="22"/>
                <w:szCs w:val="52"/>
              </w:rPr>
              <w:t>Low</w:t>
            </w:r>
            <w:r w:rsidRPr="006A2126">
              <w:rPr>
                <w:spacing w:val="1"/>
                <w:sz w:val="22"/>
                <w:szCs w:val="52"/>
              </w:rPr>
              <w:t xml:space="preserve"> </w:t>
            </w:r>
            <w:r w:rsidR="00D634A6" w:rsidRPr="006A2126">
              <w:rPr>
                <w:sz w:val="22"/>
                <w:szCs w:val="52"/>
              </w:rPr>
              <w:t>d</w:t>
            </w:r>
            <w:r w:rsidRPr="006A2126">
              <w:rPr>
                <w:sz w:val="22"/>
                <w:szCs w:val="52"/>
              </w:rPr>
              <w:t>ose</w:t>
            </w:r>
          </w:p>
          <w:p w14:paraId="39AD452C" w14:textId="40D5FE8A" w:rsidR="00311573" w:rsidRPr="006A2126" w:rsidRDefault="00311573" w:rsidP="001361A8">
            <w:pPr>
              <w:pStyle w:val="TableHead"/>
              <w:spacing w:before="0" w:after="0" w:line="276" w:lineRule="auto"/>
              <w:rPr>
                <w:sz w:val="22"/>
                <w:szCs w:val="52"/>
              </w:rPr>
            </w:pPr>
            <w:r w:rsidRPr="006A2126">
              <w:rPr>
                <w:sz w:val="22"/>
                <w:szCs w:val="52"/>
              </w:rPr>
              <w:t>ANDEXXA</w:t>
            </w:r>
            <w:r w:rsidRPr="006A2126">
              <w:rPr>
                <w:w w:val="99"/>
                <w:sz w:val="22"/>
                <w:szCs w:val="52"/>
              </w:rPr>
              <w:t xml:space="preserve"> </w:t>
            </w:r>
            <w:r w:rsidR="00D634A6" w:rsidRPr="006A2126">
              <w:rPr>
                <w:w w:val="99"/>
                <w:sz w:val="22"/>
                <w:szCs w:val="52"/>
              </w:rPr>
              <w:br/>
            </w:r>
            <w:r w:rsidRPr="006A2126">
              <w:rPr>
                <w:sz w:val="22"/>
                <w:szCs w:val="52"/>
              </w:rPr>
              <w:t>N=23</w:t>
            </w:r>
          </w:p>
        </w:tc>
        <w:tc>
          <w:tcPr>
            <w:tcW w:w="2277" w:type="dxa"/>
            <w:vAlign w:val="center"/>
          </w:tcPr>
          <w:p w14:paraId="47437230" w14:textId="6C92D038" w:rsidR="00311573" w:rsidRPr="006A2126" w:rsidRDefault="00311573" w:rsidP="001361A8">
            <w:pPr>
              <w:pStyle w:val="TableHead"/>
              <w:spacing w:before="0" w:after="0" w:line="276" w:lineRule="auto"/>
              <w:rPr>
                <w:sz w:val="22"/>
                <w:szCs w:val="52"/>
              </w:rPr>
            </w:pPr>
            <w:r w:rsidRPr="006A2126">
              <w:rPr>
                <w:sz w:val="22"/>
                <w:szCs w:val="52"/>
              </w:rPr>
              <w:t>Placebo</w:t>
            </w:r>
            <w:r w:rsidRPr="006A2126">
              <w:rPr>
                <w:spacing w:val="-48"/>
                <w:sz w:val="22"/>
                <w:szCs w:val="52"/>
              </w:rPr>
              <w:t xml:space="preserve"> </w:t>
            </w:r>
            <w:r w:rsidR="00D634A6" w:rsidRPr="006A2126">
              <w:rPr>
                <w:spacing w:val="-48"/>
                <w:sz w:val="22"/>
                <w:szCs w:val="52"/>
              </w:rPr>
              <w:br/>
            </w:r>
            <w:r w:rsidRPr="006A2126">
              <w:rPr>
                <w:sz w:val="22"/>
                <w:szCs w:val="52"/>
              </w:rPr>
              <w:t>N=8</w:t>
            </w:r>
          </w:p>
        </w:tc>
      </w:tr>
      <w:tr w:rsidR="00311573" w:rsidRPr="006A2126" w14:paraId="1D5CFFD0" w14:textId="77777777" w:rsidTr="001331C4">
        <w:trPr>
          <w:trHeight w:val="460"/>
        </w:trPr>
        <w:tc>
          <w:tcPr>
            <w:tcW w:w="3679" w:type="dxa"/>
            <w:vAlign w:val="center"/>
          </w:tcPr>
          <w:p w14:paraId="3AC937D1" w14:textId="77777777" w:rsidR="00311573" w:rsidRPr="006A2126" w:rsidRDefault="00311573" w:rsidP="001361A8">
            <w:pPr>
              <w:pStyle w:val="TableParagraph"/>
              <w:spacing w:line="276" w:lineRule="auto"/>
              <w:ind w:left="0"/>
              <w:jc w:val="center"/>
              <w:rPr>
                <w:szCs w:val="52"/>
              </w:rPr>
            </w:pPr>
            <w:r w:rsidRPr="006A2126">
              <w:rPr>
                <w:szCs w:val="52"/>
              </w:rPr>
              <w:t>Mean</w:t>
            </w:r>
            <w:r w:rsidRPr="006A2126">
              <w:rPr>
                <w:spacing w:val="-1"/>
                <w:szCs w:val="52"/>
              </w:rPr>
              <w:t xml:space="preserve"> </w:t>
            </w:r>
            <w:r w:rsidRPr="006A2126">
              <w:rPr>
                <w:szCs w:val="52"/>
              </w:rPr>
              <w:t>(±</w:t>
            </w:r>
            <w:r w:rsidRPr="006A2126">
              <w:rPr>
                <w:spacing w:val="-1"/>
                <w:szCs w:val="52"/>
              </w:rPr>
              <w:t xml:space="preserve"> </w:t>
            </w:r>
            <w:r w:rsidRPr="006A2126">
              <w:rPr>
                <w:szCs w:val="52"/>
              </w:rPr>
              <w:t>SD)</w:t>
            </w:r>
            <w:r w:rsidRPr="006A2126">
              <w:rPr>
                <w:spacing w:val="-1"/>
                <w:szCs w:val="52"/>
              </w:rPr>
              <w:t xml:space="preserve"> </w:t>
            </w:r>
            <w:r w:rsidRPr="006A2126">
              <w:rPr>
                <w:szCs w:val="52"/>
              </w:rPr>
              <w:t>at</w:t>
            </w:r>
            <w:r w:rsidRPr="006A2126">
              <w:rPr>
                <w:spacing w:val="-2"/>
                <w:szCs w:val="52"/>
              </w:rPr>
              <w:t xml:space="preserve"> </w:t>
            </w:r>
            <w:r w:rsidRPr="006A2126">
              <w:rPr>
                <w:szCs w:val="52"/>
              </w:rPr>
              <w:t>baseline,</w:t>
            </w:r>
            <w:r w:rsidRPr="006A2126">
              <w:rPr>
                <w:spacing w:val="-3"/>
                <w:szCs w:val="52"/>
              </w:rPr>
              <w:t xml:space="preserve"> </w:t>
            </w:r>
            <w:r w:rsidRPr="006A2126">
              <w:rPr>
                <w:szCs w:val="52"/>
              </w:rPr>
              <w:t>ng/mL</w:t>
            </w:r>
          </w:p>
        </w:tc>
        <w:tc>
          <w:tcPr>
            <w:tcW w:w="2457" w:type="dxa"/>
            <w:vAlign w:val="center"/>
          </w:tcPr>
          <w:p w14:paraId="546F14B5" w14:textId="77777777" w:rsidR="00311573" w:rsidRPr="006A2126" w:rsidRDefault="00311573" w:rsidP="001361A8">
            <w:pPr>
              <w:pStyle w:val="TableParagraph"/>
              <w:spacing w:line="276" w:lineRule="auto"/>
              <w:ind w:left="0"/>
              <w:jc w:val="center"/>
              <w:rPr>
                <w:szCs w:val="52"/>
              </w:rPr>
            </w:pPr>
            <w:r w:rsidRPr="006A2126">
              <w:rPr>
                <w:szCs w:val="52"/>
              </w:rPr>
              <w:t>173.0</w:t>
            </w:r>
          </w:p>
          <w:p w14:paraId="447A4982" w14:textId="77777777" w:rsidR="00311573" w:rsidRPr="006A2126" w:rsidRDefault="00311573" w:rsidP="001361A8">
            <w:pPr>
              <w:pStyle w:val="TableParagraph"/>
              <w:spacing w:line="276" w:lineRule="auto"/>
              <w:ind w:left="0"/>
              <w:jc w:val="center"/>
              <w:rPr>
                <w:szCs w:val="52"/>
              </w:rPr>
            </w:pPr>
            <w:r w:rsidRPr="006A2126">
              <w:rPr>
                <w:szCs w:val="52"/>
              </w:rPr>
              <w:t>(50.5)</w:t>
            </w:r>
          </w:p>
        </w:tc>
        <w:tc>
          <w:tcPr>
            <w:tcW w:w="2277" w:type="dxa"/>
            <w:vAlign w:val="center"/>
          </w:tcPr>
          <w:p w14:paraId="2262CD54" w14:textId="77777777" w:rsidR="00311573" w:rsidRPr="006A2126" w:rsidRDefault="00311573" w:rsidP="001361A8">
            <w:pPr>
              <w:pStyle w:val="TableParagraph"/>
              <w:spacing w:line="276" w:lineRule="auto"/>
              <w:ind w:left="0"/>
              <w:jc w:val="center"/>
              <w:rPr>
                <w:szCs w:val="52"/>
              </w:rPr>
            </w:pPr>
            <w:r w:rsidRPr="006A2126">
              <w:rPr>
                <w:szCs w:val="52"/>
              </w:rPr>
              <w:t>191.7</w:t>
            </w:r>
          </w:p>
          <w:p w14:paraId="436BE5D5" w14:textId="77777777" w:rsidR="00311573" w:rsidRPr="006A2126" w:rsidRDefault="00311573" w:rsidP="001361A8">
            <w:pPr>
              <w:pStyle w:val="TableParagraph"/>
              <w:spacing w:line="276" w:lineRule="auto"/>
              <w:ind w:left="0"/>
              <w:jc w:val="center"/>
              <w:rPr>
                <w:szCs w:val="52"/>
              </w:rPr>
            </w:pPr>
            <w:r w:rsidRPr="006A2126">
              <w:rPr>
                <w:szCs w:val="52"/>
              </w:rPr>
              <w:t>(34.4)</w:t>
            </w:r>
          </w:p>
        </w:tc>
      </w:tr>
      <w:tr w:rsidR="00311573" w:rsidRPr="006A2126" w14:paraId="276CA7A3" w14:textId="77777777" w:rsidTr="001331C4">
        <w:trPr>
          <w:trHeight w:val="539"/>
        </w:trPr>
        <w:tc>
          <w:tcPr>
            <w:tcW w:w="3679" w:type="dxa"/>
            <w:vAlign w:val="center"/>
          </w:tcPr>
          <w:p w14:paraId="13CE8377" w14:textId="37F78CC8" w:rsidR="00311573" w:rsidRPr="006A2126" w:rsidRDefault="00311573" w:rsidP="001361A8">
            <w:pPr>
              <w:pStyle w:val="TableParagraph"/>
              <w:spacing w:line="276" w:lineRule="auto"/>
              <w:ind w:left="0"/>
              <w:jc w:val="center"/>
              <w:rPr>
                <w:szCs w:val="52"/>
              </w:rPr>
            </w:pPr>
            <w:r w:rsidRPr="006A2126">
              <w:rPr>
                <w:szCs w:val="52"/>
              </w:rPr>
              <w:t>Mean (± SD) change from baselin</w:t>
            </w:r>
            <w:r w:rsidR="00AD0F95">
              <w:rPr>
                <w:szCs w:val="52"/>
              </w:rPr>
              <w:t xml:space="preserve">e to </w:t>
            </w:r>
            <w:proofErr w:type="spellStart"/>
            <w:r w:rsidRPr="006A2126">
              <w:rPr>
                <w:szCs w:val="52"/>
              </w:rPr>
              <w:t>nadir</w:t>
            </w:r>
            <w:r w:rsidRPr="006A2126">
              <w:rPr>
                <w:szCs w:val="52"/>
                <w:vertAlign w:val="superscript"/>
              </w:rPr>
              <w:t>a</w:t>
            </w:r>
            <w:proofErr w:type="spellEnd"/>
            <w:r w:rsidRPr="006A2126">
              <w:rPr>
                <w:szCs w:val="52"/>
              </w:rPr>
              <w:t>, ng/mL</w:t>
            </w:r>
          </w:p>
        </w:tc>
        <w:tc>
          <w:tcPr>
            <w:tcW w:w="2457" w:type="dxa"/>
            <w:vAlign w:val="center"/>
          </w:tcPr>
          <w:p w14:paraId="749628D8" w14:textId="77777777" w:rsidR="00311573" w:rsidRPr="006A2126" w:rsidRDefault="00311573" w:rsidP="001361A8">
            <w:pPr>
              <w:pStyle w:val="TableParagraph"/>
              <w:spacing w:line="276" w:lineRule="auto"/>
              <w:ind w:left="0"/>
              <w:jc w:val="center"/>
              <w:rPr>
                <w:szCs w:val="52"/>
              </w:rPr>
            </w:pPr>
            <w:r w:rsidRPr="006A2126">
              <w:rPr>
                <w:szCs w:val="52"/>
              </w:rPr>
              <w:t>-160.6</w:t>
            </w:r>
          </w:p>
          <w:p w14:paraId="3FA9E4A6" w14:textId="77777777" w:rsidR="00311573" w:rsidRPr="006A2126" w:rsidRDefault="00311573" w:rsidP="001361A8">
            <w:pPr>
              <w:pStyle w:val="TableParagraph"/>
              <w:spacing w:line="276" w:lineRule="auto"/>
              <w:ind w:left="0"/>
              <w:jc w:val="center"/>
              <w:rPr>
                <w:szCs w:val="52"/>
              </w:rPr>
            </w:pPr>
            <w:r w:rsidRPr="006A2126">
              <w:rPr>
                <w:szCs w:val="52"/>
              </w:rPr>
              <w:t>(49.3)</w:t>
            </w:r>
          </w:p>
        </w:tc>
        <w:tc>
          <w:tcPr>
            <w:tcW w:w="2277" w:type="dxa"/>
            <w:vAlign w:val="center"/>
          </w:tcPr>
          <w:p w14:paraId="73B589A5" w14:textId="77777777" w:rsidR="00311573" w:rsidRPr="006A2126" w:rsidRDefault="00311573" w:rsidP="001361A8">
            <w:pPr>
              <w:pStyle w:val="TableParagraph"/>
              <w:spacing w:line="276" w:lineRule="auto"/>
              <w:ind w:left="0"/>
              <w:jc w:val="center"/>
              <w:rPr>
                <w:szCs w:val="52"/>
              </w:rPr>
            </w:pPr>
            <w:r w:rsidRPr="006A2126">
              <w:rPr>
                <w:szCs w:val="52"/>
              </w:rPr>
              <w:t>-63.2</w:t>
            </w:r>
          </w:p>
          <w:p w14:paraId="166E7AE0" w14:textId="77777777" w:rsidR="00311573" w:rsidRPr="006A2126" w:rsidRDefault="00311573" w:rsidP="001361A8">
            <w:pPr>
              <w:pStyle w:val="TableParagraph"/>
              <w:spacing w:line="276" w:lineRule="auto"/>
              <w:ind w:left="0"/>
              <w:jc w:val="center"/>
              <w:rPr>
                <w:szCs w:val="52"/>
              </w:rPr>
            </w:pPr>
            <w:r w:rsidRPr="006A2126">
              <w:rPr>
                <w:szCs w:val="52"/>
              </w:rPr>
              <w:t>(18.1)</w:t>
            </w:r>
          </w:p>
        </w:tc>
      </w:tr>
      <w:tr w:rsidR="00311573" w:rsidRPr="006A2126" w14:paraId="09690623" w14:textId="77777777" w:rsidTr="001331C4">
        <w:trPr>
          <w:trHeight w:val="539"/>
        </w:trPr>
        <w:tc>
          <w:tcPr>
            <w:tcW w:w="3679" w:type="dxa"/>
            <w:vAlign w:val="center"/>
          </w:tcPr>
          <w:p w14:paraId="0E67DDE7" w14:textId="7AEDFA4C" w:rsidR="00311573" w:rsidRPr="006A2126" w:rsidRDefault="00311573" w:rsidP="001361A8">
            <w:pPr>
              <w:pStyle w:val="TableParagraph"/>
              <w:spacing w:line="276" w:lineRule="auto"/>
              <w:ind w:left="0"/>
              <w:jc w:val="center"/>
              <w:rPr>
                <w:szCs w:val="52"/>
              </w:rPr>
            </w:pPr>
            <w:r w:rsidRPr="006A2126">
              <w:rPr>
                <w:szCs w:val="52"/>
              </w:rPr>
              <w:t>Mean % (± SD) change from base</w:t>
            </w:r>
            <w:r w:rsidR="00AD0F95">
              <w:rPr>
                <w:szCs w:val="52"/>
              </w:rPr>
              <w:t xml:space="preserve">line </w:t>
            </w:r>
            <w:r w:rsidRPr="006A2126">
              <w:rPr>
                <w:szCs w:val="52"/>
              </w:rPr>
              <w:t xml:space="preserve">to </w:t>
            </w:r>
            <w:proofErr w:type="spellStart"/>
            <w:r w:rsidRPr="006A2126">
              <w:rPr>
                <w:szCs w:val="52"/>
              </w:rPr>
              <w:t>nadir</w:t>
            </w:r>
            <w:r w:rsidRPr="006A2126">
              <w:rPr>
                <w:szCs w:val="52"/>
                <w:vertAlign w:val="superscript"/>
              </w:rPr>
              <w:t>a</w:t>
            </w:r>
            <w:proofErr w:type="spellEnd"/>
          </w:p>
        </w:tc>
        <w:tc>
          <w:tcPr>
            <w:tcW w:w="2457" w:type="dxa"/>
            <w:vAlign w:val="center"/>
          </w:tcPr>
          <w:p w14:paraId="41B8978C" w14:textId="77777777" w:rsidR="00311573" w:rsidRPr="006A2126" w:rsidRDefault="00311573" w:rsidP="001361A8">
            <w:pPr>
              <w:pStyle w:val="TableParagraph"/>
              <w:spacing w:line="276" w:lineRule="auto"/>
              <w:ind w:left="0"/>
              <w:jc w:val="center"/>
              <w:rPr>
                <w:szCs w:val="52"/>
              </w:rPr>
            </w:pPr>
            <w:r w:rsidRPr="006A2126">
              <w:rPr>
                <w:szCs w:val="52"/>
              </w:rPr>
              <w:t>-92.3</w:t>
            </w:r>
          </w:p>
          <w:p w14:paraId="619AAB47" w14:textId="77777777" w:rsidR="00311573" w:rsidRPr="006A2126" w:rsidRDefault="00311573" w:rsidP="001361A8">
            <w:pPr>
              <w:pStyle w:val="TableParagraph"/>
              <w:spacing w:line="276" w:lineRule="auto"/>
              <w:ind w:left="0"/>
              <w:jc w:val="center"/>
              <w:rPr>
                <w:szCs w:val="52"/>
              </w:rPr>
            </w:pPr>
            <w:r w:rsidRPr="006A2126">
              <w:rPr>
                <w:szCs w:val="52"/>
              </w:rPr>
              <w:t>(2.8)</w:t>
            </w:r>
          </w:p>
        </w:tc>
        <w:tc>
          <w:tcPr>
            <w:tcW w:w="2277" w:type="dxa"/>
            <w:vAlign w:val="center"/>
          </w:tcPr>
          <w:p w14:paraId="05A99F55" w14:textId="77777777" w:rsidR="00311573" w:rsidRPr="006A2126" w:rsidRDefault="00311573" w:rsidP="001361A8">
            <w:pPr>
              <w:pStyle w:val="TableParagraph"/>
              <w:spacing w:line="276" w:lineRule="auto"/>
              <w:ind w:left="0"/>
              <w:jc w:val="center"/>
              <w:rPr>
                <w:szCs w:val="52"/>
              </w:rPr>
            </w:pPr>
            <w:r w:rsidRPr="006A2126">
              <w:rPr>
                <w:szCs w:val="52"/>
              </w:rPr>
              <w:t>-32.7</w:t>
            </w:r>
          </w:p>
          <w:p w14:paraId="57523FDE" w14:textId="77777777" w:rsidR="00311573" w:rsidRPr="006A2126" w:rsidRDefault="00311573" w:rsidP="001361A8">
            <w:pPr>
              <w:pStyle w:val="TableParagraph"/>
              <w:spacing w:line="276" w:lineRule="auto"/>
              <w:ind w:left="0"/>
              <w:jc w:val="center"/>
              <w:rPr>
                <w:szCs w:val="52"/>
              </w:rPr>
            </w:pPr>
            <w:r w:rsidRPr="006A2126">
              <w:rPr>
                <w:szCs w:val="52"/>
              </w:rPr>
              <w:t>(5.6)</w:t>
            </w:r>
          </w:p>
        </w:tc>
      </w:tr>
      <w:tr w:rsidR="00311573" w:rsidRPr="006A2126" w14:paraId="70E6579C" w14:textId="77777777" w:rsidTr="001331C4">
        <w:trPr>
          <w:trHeight w:val="539"/>
        </w:trPr>
        <w:tc>
          <w:tcPr>
            <w:tcW w:w="3679" w:type="dxa"/>
            <w:vAlign w:val="center"/>
          </w:tcPr>
          <w:p w14:paraId="1D1D2211" w14:textId="20F0F8D8" w:rsidR="00311573" w:rsidRPr="006A2126" w:rsidRDefault="00311573" w:rsidP="001361A8">
            <w:pPr>
              <w:pStyle w:val="TableParagraph"/>
              <w:spacing w:line="276" w:lineRule="auto"/>
              <w:ind w:left="0"/>
              <w:jc w:val="center"/>
              <w:rPr>
                <w:szCs w:val="52"/>
              </w:rPr>
            </w:pPr>
            <w:r w:rsidRPr="006A2126">
              <w:rPr>
                <w:szCs w:val="52"/>
              </w:rPr>
              <w:t>Median</w:t>
            </w:r>
            <w:r w:rsidRPr="006A2126">
              <w:rPr>
                <w:spacing w:val="2"/>
                <w:szCs w:val="52"/>
              </w:rPr>
              <w:t xml:space="preserve"> </w:t>
            </w:r>
            <w:r w:rsidRPr="006A2126">
              <w:rPr>
                <w:szCs w:val="52"/>
              </w:rPr>
              <w:t>difference</w:t>
            </w:r>
            <w:r w:rsidRPr="006A2126">
              <w:rPr>
                <w:spacing w:val="4"/>
                <w:szCs w:val="52"/>
              </w:rPr>
              <w:t xml:space="preserve"> </w:t>
            </w:r>
            <w:r w:rsidRPr="006A2126">
              <w:rPr>
                <w:szCs w:val="52"/>
              </w:rPr>
              <w:t>and</w:t>
            </w:r>
            <w:r w:rsidR="001331C4">
              <w:rPr>
                <w:spacing w:val="5"/>
                <w:szCs w:val="52"/>
              </w:rPr>
              <w:t xml:space="preserve"> </w:t>
            </w:r>
            <w:r w:rsidR="006A2126" w:rsidRPr="006A2126">
              <w:rPr>
                <w:szCs w:val="52"/>
              </w:rPr>
              <w:t>associated</w:t>
            </w:r>
            <w:r w:rsidR="006A2126">
              <w:rPr>
                <w:szCs w:val="52"/>
              </w:rPr>
              <w:t xml:space="preserve"> 95% c</w:t>
            </w:r>
            <w:r w:rsidRPr="006A2126">
              <w:rPr>
                <w:szCs w:val="52"/>
              </w:rPr>
              <w:t>onfidence</w:t>
            </w:r>
            <w:r w:rsidRPr="006A2126">
              <w:rPr>
                <w:spacing w:val="-1"/>
                <w:szCs w:val="52"/>
              </w:rPr>
              <w:t xml:space="preserve"> </w:t>
            </w:r>
            <w:r w:rsidRPr="006A2126">
              <w:rPr>
                <w:szCs w:val="52"/>
              </w:rPr>
              <w:t>interval</w:t>
            </w:r>
            <w:r w:rsidRPr="006A2126">
              <w:rPr>
                <w:spacing w:val="-1"/>
                <w:szCs w:val="52"/>
              </w:rPr>
              <w:t xml:space="preserve"> </w:t>
            </w:r>
            <w:r w:rsidRPr="006A2126">
              <w:rPr>
                <w:szCs w:val="52"/>
              </w:rPr>
              <w:t>(CI)</w:t>
            </w:r>
            <w:r w:rsidRPr="006A2126">
              <w:rPr>
                <w:szCs w:val="52"/>
                <w:vertAlign w:val="superscript"/>
              </w:rPr>
              <w:t>b</w:t>
            </w:r>
          </w:p>
        </w:tc>
        <w:tc>
          <w:tcPr>
            <w:tcW w:w="4734" w:type="dxa"/>
            <w:gridSpan w:val="2"/>
            <w:vAlign w:val="center"/>
          </w:tcPr>
          <w:p w14:paraId="01B0A63E" w14:textId="57873927" w:rsidR="00311573" w:rsidRPr="006A2126" w:rsidRDefault="00311573" w:rsidP="001361A8">
            <w:pPr>
              <w:pStyle w:val="TableParagraph"/>
              <w:spacing w:line="276" w:lineRule="auto"/>
              <w:ind w:left="0"/>
              <w:jc w:val="center"/>
              <w:rPr>
                <w:szCs w:val="52"/>
              </w:rPr>
            </w:pPr>
            <w:r w:rsidRPr="006A2126">
              <w:rPr>
                <w:szCs w:val="52"/>
              </w:rPr>
              <w:t>-59.5</w:t>
            </w:r>
            <w:r w:rsidRPr="006A2126">
              <w:rPr>
                <w:spacing w:val="-3"/>
                <w:szCs w:val="52"/>
              </w:rPr>
              <w:t xml:space="preserve"> </w:t>
            </w:r>
            <w:r w:rsidR="001331C4">
              <w:rPr>
                <w:spacing w:val="-3"/>
                <w:szCs w:val="52"/>
              </w:rPr>
              <w:br/>
            </w:r>
            <w:r w:rsidRPr="006A2126">
              <w:rPr>
                <w:szCs w:val="52"/>
              </w:rPr>
              <w:t>(-64.1;</w:t>
            </w:r>
            <w:r w:rsidRPr="006A2126">
              <w:rPr>
                <w:spacing w:val="-1"/>
                <w:szCs w:val="52"/>
              </w:rPr>
              <w:t xml:space="preserve"> </w:t>
            </w:r>
            <w:r w:rsidRPr="006A2126">
              <w:rPr>
                <w:szCs w:val="52"/>
              </w:rPr>
              <w:t>-55.2)</w:t>
            </w:r>
          </w:p>
        </w:tc>
      </w:tr>
      <w:tr w:rsidR="00311573" w:rsidRPr="006A2126" w14:paraId="1CB3BF54" w14:textId="77777777" w:rsidTr="002F5203">
        <w:trPr>
          <w:trHeight w:val="460"/>
        </w:trPr>
        <w:tc>
          <w:tcPr>
            <w:tcW w:w="3679" w:type="dxa"/>
            <w:vAlign w:val="center"/>
          </w:tcPr>
          <w:p w14:paraId="4FBBF9A1" w14:textId="77777777" w:rsidR="00311573" w:rsidRPr="006A2126" w:rsidRDefault="00311573" w:rsidP="001361A8">
            <w:pPr>
              <w:pStyle w:val="TableParagraph"/>
              <w:spacing w:line="276" w:lineRule="auto"/>
              <w:ind w:left="0"/>
              <w:jc w:val="center"/>
              <w:rPr>
                <w:szCs w:val="52"/>
              </w:rPr>
            </w:pPr>
            <w:r w:rsidRPr="006A2126">
              <w:rPr>
                <w:szCs w:val="52"/>
              </w:rPr>
              <w:t>p-value</w:t>
            </w:r>
          </w:p>
        </w:tc>
        <w:tc>
          <w:tcPr>
            <w:tcW w:w="4734" w:type="dxa"/>
            <w:gridSpan w:val="2"/>
            <w:vAlign w:val="center"/>
          </w:tcPr>
          <w:p w14:paraId="79646CED" w14:textId="776ED6A4" w:rsidR="00311573" w:rsidRPr="006A2126" w:rsidRDefault="00311573" w:rsidP="001361A8">
            <w:pPr>
              <w:pStyle w:val="TableParagraph"/>
              <w:spacing w:line="276" w:lineRule="auto"/>
              <w:ind w:left="0"/>
              <w:jc w:val="center"/>
              <w:rPr>
                <w:szCs w:val="52"/>
              </w:rPr>
            </w:pPr>
            <w:r w:rsidRPr="006A2126">
              <w:rPr>
                <w:szCs w:val="52"/>
              </w:rPr>
              <w:t>&lt;0.0001</w:t>
            </w:r>
            <w:r w:rsidRPr="006A2126">
              <w:rPr>
                <w:szCs w:val="52"/>
                <w:vertAlign w:val="superscript"/>
              </w:rPr>
              <w:t>c</w:t>
            </w:r>
          </w:p>
        </w:tc>
      </w:tr>
    </w:tbl>
    <w:p w14:paraId="3A6956F0" w14:textId="77777777" w:rsidR="0044536A" w:rsidRPr="00B96140" w:rsidRDefault="0044536A" w:rsidP="0044536A">
      <w:pPr>
        <w:pStyle w:val="TableFootnoteInfo"/>
        <w:rPr>
          <w:sz w:val="20"/>
          <w:szCs w:val="52"/>
        </w:rPr>
      </w:pPr>
      <w:bookmarkStart w:id="12" w:name="_bookmark41"/>
      <w:bookmarkEnd w:id="12"/>
      <w:r w:rsidRPr="00B96140">
        <w:rPr>
          <w:sz w:val="20"/>
          <w:szCs w:val="52"/>
        </w:rPr>
        <w:t>Note:</w:t>
      </w:r>
      <w:r w:rsidRPr="00B96140">
        <w:rPr>
          <w:spacing w:val="-2"/>
          <w:sz w:val="20"/>
          <w:szCs w:val="52"/>
        </w:rPr>
        <w:t xml:space="preserve"> </w:t>
      </w:r>
      <w:r w:rsidRPr="00B96140">
        <w:rPr>
          <w:sz w:val="20"/>
          <w:szCs w:val="52"/>
        </w:rPr>
        <w:t>Baseline</w:t>
      </w:r>
      <w:r w:rsidRPr="00B96140">
        <w:rPr>
          <w:spacing w:val="-2"/>
          <w:sz w:val="20"/>
          <w:szCs w:val="52"/>
        </w:rPr>
        <w:t xml:space="preserve"> </w:t>
      </w:r>
      <w:r w:rsidRPr="00B96140">
        <w:rPr>
          <w:sz w:val="20"/>
          <w:szCs w:val="52"/>
        </w:rPr>
        <w:t>is</w:t>
      </w:r>
      <w:r w:rsidRPr="00B96140">
        <w:rPr>
          <w:spacing w:val="-3"/>
          <w:sz w:val="20"/>
          <w:szCs w:val="52"/>
        </w:rPr>
        <w:t xml:space="preserve"> </w:t>
      </w:r>
      <w:r w:rsidRPr="00B96140">
        <w:rPr>
          <w:sz w:val="20"/>
          <w:szCs w:val="52"/>
        </w:rPr>
        <w:t>the</w:t>
      </w:r>
      <w:r w:rsidRPr="00B96140">
        <w:rPr>
          <w:spacing w:val="-2"/>
          <w:sz w:val="20"/>
          <w:szCs w:val="52"/>
        </w:rPr>
        <w:t xml:space="preserve"> </w:t>
      </w:r>
      <w:r w:rsidRPr="00B96140">
        <w:rPr>
          <w:sz w:val="20"/>
          <w:szCs w:val="52"/>
        </w:rPr>
        <w:t>last</w:t>
      </w:r>
      <w:r w:rsidRPr="00B96140">
        <w:rPr>
          <w:spacing w:val="-2"/>
          <w:sz w:val="20"/>
          <w:szCs w:val="52"/>
        </w:rPr>
        <w:t xml:space="preserve"> </w:t>
      </w:r>
      <w:r w:rsidRPr="00B96140">
        <w:rPr>
          <w:sz w:val="20"/>
          <w:szCs w:val="52"/>
        </w:rPr>
        <w:t>assessment</w:t>
      </w:r>
      <w:r w:rsidRPr="00B96140">
        <w:rPr>
          <w:spacing w:val="-2"/>
          <w:sz w:val="20"/>
          <w:szCs w:val="52"/>
        </w:rPr>
        <w:t xml:space="preserve"> </w:t>
      </w:r>
      <w:r w:rsidRPr="00B96140">
        <w:rPr>
          <w:sz w:val="20"/>
          <w:szCs w:val="52"/>
        </w:rPr>
        <w:t>obtained</w:t>
      </w:r>
      <w:r w:rsidRPr="00B96140">
        <w:rPr>
          <w:spacing w:val="-3"/>
          <w:sz w:val="20"/>
          <w:szCs w:val="52"/>
        </w:rPr>
        <w:t xml:space="preserve"> </w:t>
      </w:r>
      <w:r w:rsidRPr="00B96140">
        <w:rPr>
          <w:sz w:val="20"/>
          <w:szCs w:val="52"/>
        </w:rPr>
        <w:t>prior</w:t>
      </w:r>
      <w:r w:rsidRPr="00B96140">
        <w:rPr>
          <w:spacing w:val="-1"/>
          <w:sz w:val="20"/>
          <w:szCs w:val="52"/>
        </w:rPr>
        <w:t xml:space="preserve"> </w:t>
      </w:r>
      <w:r w:rsidRPr="00B96140">
        <w:rPr>
          <w:sz w:val="20"/>
          <w:szCs w:val="52"/>
        </w:rPr>
        <w:t>to</w:t>
      </w:r>
      <w:r w:rsidRPr="00B96140">
        <w:rPr>
          <w:spacing w:val="-1"/>
          <w:sz w:val="20"/>
          <w:szCs w:val="52"/>
        </w:rPr>
        <w:t xml:space="preserve"> </w:t>
      </w:r>
      <w:r w:rsidRPr="00B96140">
        <w:rPr>
          <w:sz w:val="20"/>
          <w:szCs w:val="52"/>
        </w:rPr>
        <w:t>the</w:t>
      </w:r>
      <w:r w:rsidRPr="00B96140">
        <w:rPr>
          <w:spacing w:val="-2"/>
          <w:sz w:val="20"/>
          <w:szCs w:val="52"/>
        </w:rPr>
        <w:t xml:space="preserve"> </w:t>
      </w:r>
      <w:r w:rsidRPr="00B96140">
        <w:rPr>
          <w:sz w:val="20"/>
          <w:szCs w:val="52"/>
        </w:rPr>
        <w:t>first</w:t>
      </w:r>
      <w:r w:rsidRPr="00B96140">
        <w:rPr>
          <w:spacing w:val="-2"/>
          <w:sz w:val="20"/>
          <w:szCs w:val="52"/>
        </w:rPr>
        <w:t xml:space="preserve"> </w:t>
      </w:r>
      <w:r w:rsidRPr="00B96140">
        <w:rPr>
          <w:sz w:val="20"/>
          <w:szCs w:val="52"/>
        </w:rPr>
        <w:t>dose</w:t>
      </w:r>
      <w:r w:rsidRPr="00B96140">
        <w:rPr>
          <w:spacing w:val="-1"/>
          <w:sz w:val="20"/>
          <w:szCs w:val="52"/>
        </w:rPr>
        <w:t xml:space="preserve"> </w:t>
      </w:r>
      <w:r w:rsidRPr="00B96140">
        <w:rPr>
          <w:sz w:val="20"/>
          <w:szCs w:val="52"/>
        </w:rPr>
        <w:t>of</w:t>
      </w:r>
      <w:r w:rsidRPr="00B96140">
        <w:rPr>
          <w:spacing w:val="-1"/>
          <w:sz w:val="20"/>
          <w:szCs w:val="52"/>
        </w:rPr>
        <w:t xml:space="preserve"> </w:t>
      </w:r>
      <w:r w:rsidRPr="00B96140">
        <w:rPr>
          <w:sz w:val="20"/>
          <w:szCs w:val="52"/>
        </w:rPr>
        <w:t>ANDEXXA</w:t>
      </w:r>
      <w:r w:rsidRPr="00B96140">
        <w:rPr>
          <w:spacing w:val="-2"/>
          <w:sz w:val="20"/>
          <w:szCs w:val="52"/>
        </w:rPr>
        <w:t xml:space="preserve"> </w:t>
      </w:r>
      <w:r w:rsidRPr="00B96140">
        <w:rPr>
          <w:sz w:val="20"/>
          <w:szCs w:val="52"/>
        </w:rPr>
        <w:t>or</w:t>
      </w:r>
      <w:r w:rsidRPr="00B96140">
        <w:rPr>
          <w:spacing w:val="-1"/>
          <w:sz w:val="20"/>
          <w:szCs w:val="52"/>
        </w:rPr>
        <w:t xml:space="preserve"> </w:t>
      </w:r>
      <w:r w:rsidRPr="00B96140">
        <w:rPr>
          <w:sz w:val="20"/>
          <w:szCs w:val="52"/>
        </w:rPr>
        <w:t>placebo.</w:t>
      </w:r>
    </w:p>
    <w:p w14:paraId="7638FE77" w14:textId="77777777" w:rsidR="0044536A" w:rsidRPr="00B96140" w:rsidRDefault="0044536A" w:rsidP="0044536A">
      <w:pPr>
        <w:pStyle w:val="TableFootnoteInfo"/>
        <w:rPr>
          <w:sz w:val="20"/>
          <w:szCs w:val="52"/>
        </w:rPr>
      </w:pPr>
      <w:r w:rsidRPr="00B96140">
        <w:rPr>
          <w:spacing w:val="-1"/>
          <w:sz w:val="20"/>
          <w:szCs w:val="52"/>
          <w:vertAlign w:val="superscript"/>
        </w:rPr>
        <w:lastRenderedPageBreak/>
        <w:t>a</w:t>
      </w:r>
      <w:r w:rsidRPr="00B96140">
        <w:rPr>
          <w:spacing w:val="-1"/>
          <w:sz w:val="20"/>
          <w:szCs w:val="52"/>
        </w:rPr>
        <w:t xml:space="preserve"> Nadir is the smallest value for anti-</w:t>
      </w:r>
      <w:proofErr w:type="spellStart"/>
      <w:r>
        <w:rPr>
          <w:spacing w:val="-1"/>
          <w:sz w:val="20"/>
          <w:szCs w:val="52"/>
        </w:rPr>
        <w:t>F</w:t>
      </w:r>
      <w:r w:rsidRPr="00B96140">
        <w:rPr>
          <w:spacing w:val="-1"/>
          <w:sz w:val="20"/>
          <w:szCs w:val="52"/>
        </w:rPr>
        <w:t>Xa</w:t>
      </w:r>
      <w:proofErr w:type="spellEnd"/>
      <w:r w:rsidRPr="00B96140">
        <w:rPr>
          <w:spacing w:val="-1"/>
          <w:sz w:val="20"/>
          <w:szCs w:val="52"/>
        </w:rPr>
        <w:t xml:space="preserve"> activity at the 110-minute </w:t>
      </w:r>
      <w:r w:rsidRPr="00B96140">
        <w:rPr>
          <w:sz w:val="20"/>
          <w:szCs w:val="52"/>
        </w:rPr>
        <w:t>(10 minutes prior to the end of the infusion) time</w:t>
      </w:r>
      <w:r w:rsidRPr="00B96140">
        <w:rPr>
          <w:spacing w:val="1"/>
          <w:sz w:val="20"/>
          <w:szCs w:val="52"/>
        </w:rPr>
        <w:t xml:space="preserve"> </w:t>
      </w:r>
      <w:r w:rsidRPr="00B96140">
        <w:rPr>
          <w:sz w:val="20"/>
          <w:szCs w:val="52"/>
        </w:rPr>
        <w:t>point, 2-minute time point before completion of the infusion, or the 5-minute time point after the completion of the</w:t>
      </w:r>
      <w:r w:rsidRPr="00B96140">
        <w:rPr>
          <w:spacing w:val="-47"/>
          <w:sz w:val="20"/>
          <w:szCs w:val="52"/>
        </w:rPr>
        <w:t xml:space="preserve"> </w:t>
      </w:r>
      <w:r w:rsidRPr="00B96140">
        <w:rPr>
          <w:sz w:val="20"/>
          <w:szCs w:val="52"/>
        </w:rPr>
        <w:t>infusion for</w:t>
      </w:r>
      <w:r w:rsidRPr="00B96140">
        <w:rPr>
          <w:spacing w:val="1"/>
          <w:sz w:val="20"/>
          <w:szCs w:val="52"/>
        </w:rPr>
        <w:t xml:space="preserve"> </w:t>
      </w:r>
      <w:r w:rsidRPr="00B96140">
        <w:rPr>
          <w:sz w:val="20"/>
          <w:szCs w:val="52"/>
        </w:rPr>
        <w:t>each</w:t>
      </w:r>
      <w:r w:rsidRPr="00B96140">
        <w:rPr>
          <w:spacing w:val="-1"/>
          <w:sz w:val="20"/>
          <w:szCs w:val="52"/>
        </w:rPr>
        <w:t xml:space="preserve"> </w:t>
      </w:r>
      <w:r w:rsidRPr="00B96140">
        <w:rPr>
          <w:sz w:val="20"/>
          <w:szCs w:val="52"/>
        </w:rPr>
        <w:t>subject.</w:t>
      </w:r>
    </w:p>
    <w:p w14:paraId="19A4E338" w14:textId="77777777" w:rsidR="00B06AAC" w:rsidRPr="00B96140" w:rsidRDefault="00B06AAC" w:rsidP="00B06AAC">
      <w:pPr>
        <w:pStyle w:val="TableFootnoteInfo"/>
        <w:rPr>
          <w:sz w:val="20"/>
          <w:szCs w:val="52"/>
        </w:rPr>
      </w:pPr>
      <w:r w:rsidRPr="00B96140">
        <w:rPr>
          <w:w w:val="95"/>
          <w:sz w:val="20"/>
          <w:szCs w:val="52"/>
          <w:vertAlign w:val="superscript"/>
        </w:rPr>
        <w:t>b</w:t>
      </w:r>
      <w:r w:rsidRPr="00B96140">
        <w:rPr>
          <w:spacing w:val="-4"/>
          <w:w w:val="95"/>
          <w:sz w:val="20"/>
          <w:szCs w:val="52"/>
        </w:rPr>
        <w:t xml:space="preserve"> </w:t>
      </w:r>
      <w:r>
        <w:rPr>
          <w:sz w:val="20"/>
          <w:szCs w:val="52"/>
        </w:rPr>
        <w:t>The CI is for the Hodges-Lehman estimate of shift.</w:t>
      </w:r>
    </w:p>
    <w:p w14:paraId="3154C531" w14:textId="77777777" w:rsidR="00682D8B" w:rsidRDefault="0044536A" w:rsidP="00395F60">
      <w:pPr>
        <w:pStyle w:val="TableFootnoteInfo"/>
        <w:rPr>
          <w:spacing w:val="1"/>
          <w:sz w:val="20"/>
          <w:szCs w:val="52"/>
        </w:rPr>
      </w:pPr>
      <w:r w:rsidRPr="00B96140">
        <w:rPr>
          <w:noProof/>
          <w:sz w:val="20"/>
          <w:szCs w:val="52"/>
        </w:rPr>
        <mc:AlternateContent>
          <mc:Choice Requires="wps">
            <w:drawing>
              <wp:anchor distT="0" distB="0" distL="114300" distR="114300" simplePos="0" relativeHeight="251658241" behindDoc="0" locked="0" layoutInCell="1" allowOverlap="1" wp14:anchorId="16EEA1CD" wp14:editId="5BC1E1C1">
                <wp:simplePos x="0" y="0"/>
                <wp:positionH relativeFrom="page">
                  <wp:posOffset>3092450</wp:posOffset>
                </wp:positionH>
                <wp:positionV relativeFrom="paragraph">
                  <wp:posOffset>279400</wp:posOffset>
                </wp:positionV>
                <wp:extent cx="31750" cy="6350"/>
                <wp:effectExtent l="0" t="254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AE1DA" id="Rectangle 2" o:spid="_x0000_s1026" style="position:absolute;margin-left:243.5pt;margin-top:22pt;width:2.5pt;height:.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" fillcolor="black" stroked="f">
                <w10:wrap anchorx="page"/>
              </v:rect>
            </w:pict>
          </mc:Fallback>
        </mc:AlternateContent>
      </w:r>
      <w:r w:rsidRPr="00B96140">
        <w:rPr>
          <w:spacing w:val="-1"/>
          <w:sz w:val="20"/>
          <w:szCs w:val="52"/>
          <w:vertAlign w:val="superscript"/>
        </w:rPr>
        <w:t>c</w:t>
      </w:r>
      <w:r w:rsidRPr="00B96140">
        <w:rPr>
          <w:spacing w:val="-1"/>
          <w:sz w:val="20"/>
          <w:szCs w:val="52"/>
        </w:rPr>
        <w:t xml:space="preserve"> p-value obtained from a 2-sided exact </w:t>
      </w:r>
      <w:r w:rsidRPr="00B96140">
        <w:rPr>
          <w:sz w:val="20"/>
          <w:szCs w:val="52"/>
        </w:rPr>
        <w:t>Wilcoxon rank-sum test.</w:t>
      </w:r>
      <w:r w:rsidRPr="00B96140">
        <w:rPr>
          <w:spacing w:val="1"/>
          <w:sz w:val="20"/>
          <w:szCs w:val="52"/>
        </w:rPr>
        <w:t xml:space="preserve"> </w:t>
      </w:r>
    </w:p>
    <w:p w14:paraId="35A002B6" w14:textId="3A823C6C" w:rsidR="006A2126" w:rsidRDefault="0044536A" w:rsidP="00395F60">
      <w:pPr>
        <w:pStyle w:val="TableFootnoteInfo"/>
        <w:rPr>
          <w:sz w:val="20"/>
          <w:szCs w:val="52"/>
        </w:rPr>
      </w:pPr>
      <w:r w:rsidRPr="00B96140">
        <w:rPr>
          <w:sz w:val="20"/>
          <w:szCs w:val="52"/>
        </w:rPr>
        <w:t>Abbreviations:</w:t>
      </w:r>
      <w:r w:rsidRPr="00B96140">
        <w:rPr>
          <w:spacing w:val="-4"/>
          <w:sz w:val="20"/>
          <w:szCs w:val="52"/>
        </w:rPr>
        <w:t xml:space="preserve"> </w:t>
      </w:r>
      <w:proofErr w:type="spellStart"/>
      <w:r w:rsidRPr="00B96140">
        <w:rPr>
          <w:sz w:val="20"/>
          <w:szCs w:val="52"/>
        </w:rPr>
        <w:t>FXa</w:t>
      </w:r>
      <w:proofErr w:type="spellEnd"/>
      <w:r w:rsidRPr="00B96140">
        <w:rPr>
          <w:spacing w:val="-3"/>
          <w:sz w:val="20"/>
          <w:szCs w:val="52"/>
        </w:rPr>
        <w:t xml:space="preserve"> </w:t>
      </w:r>
      <w:r w:rsidRPr="00B96140">
        <w:rPr>
          <w:sz w:val="20"/>
          <w:szCs w:val="52"/>
        </w:rPr>
        <w:t>=</w:t>
      </w:r>
      <w:r w:rsidRPr="00B96140">
        <w:rPr>
          <w:spacing w:val="-3"/>
          <w:sz w:val="20"/>
          <w:szCs w:val="52"/>
        </w:rPr>
        <w:t xml:space="preserve"> </w:t>
      </w:r>
      <w:r w:rsidRPr="00B96140">
        <w:rPr>
          <w:sz w:val="20"/>
          <w:szCs w:val="52"/>
        </w:rPr>
        <w:t>factor</w:t>
      </w:r>
      <w:r w:rsidRPr="00B96140">
        <w:rPr>
          <w:spacing w:val="-2"/>
          <w:sz w:val="20"/>
          <w:szCs w:val="52"/>
        </w:rPr>
        <w:t xml:space="preserve"> </w:t>
      </w:r>
      <w:proofErr w:type="spellStart"/>
      <w:r w:rsidRPr="00B96140">
        <w:rPr>
          <w:sz w:val="20"/>
          <w:szCs w:val="52"/>
        </w:rPr>
        <w:t>X</w:t>
      </w:r>
      <w:r>
        <w:rPr>
          <w:sz w:val="20"/>
          <w:szCs w:val="52"/>
        </w:rPr>
        <w:t>a</w:t>
      </w:r>
      <w:proofErr w:type="spellEnd"/>
      <w:r w:rsidRPr="00B96140">
        <w:rPr>
          <w:sz w:val="20"/>
          <w:szCs w:val="52"/>
        </w:rPr>
        <w:t>;</w:t>
      </w:r>
      <w:r w:rsidRPr="00B96140">
        <w:rPr>
          <w:spacing w:val="-3"/>
          <w:sz w:val="20"/>
          <w:szCs w:val="52"/>
        </w:rPr>
        <w:t xml:space="preserve"> </w:t>
      </w:r>
      <w:r w:rsidRPr="00B96140">
        <w:rPr>
          <w:sz w:val="20"/>
          <w:szCs w:val="52"/>
        </w:rPr>
        <w:t>SD</w:t>
      </w:r>
      <w:r w:rsidRPr="00B96140">
        <w:rPr>
          <w:spacing w:val="-4"/>
          <w:sz w:val="20"/>
          <w:szCs w:val="52"/>
        </w:rPr>
        <w:t xml:space="preserve"> </w:t>
      </w:r>
      <w:r w:rsidRPr="00B96140">
        <w:rPr>
          <w:sz w:val="20"/>
          <w:szCs w:val="52"/>
        </w:rPr>
        <w:t>=</w:t>
      </w:r>
      <w:r w:rsidRPr="00B96140">
        <w:rPr>
          <w:spacing w:val="-3"/>
          <w:sz w:val="20"/>
          <w:szCs w:val="52"/>
        </w:rPr>
        <w:t xml:space="preserve"> </w:t>
      </w:r>
      <w:r w:rsidRPr="00B96140">
        <w:rPr>
          <w:sz w:val="20"/>
          <w:szCs w:val="52"/>
        </w:rPr>
        <w:t>standard</w:t>
      </w:r>
      <w:r w:rsidRPr="00B96140">
        <w:rPr>
          <w:spacing w:val="-2"/>
          <w:sz w:val="20"/>
          <w:szCs w:val="52"/>
        </w:rPr>
        <w:t xml:space="preserve"> </w:t>
      </w:r>
      <w:r w:rsidRPr="00B96140">
        <w:rPr>
          <w:sz w:val="20"/>
          <w:szCs w:val="52"/>
        </w:rPr>
        <w:t>deviation</w:t>
      </w:r>
    </w:p>
    <w:p w14:paraId="30F6E2C0" w14:textId="77777777" w:rsidR="00395F60" w:rsidRPr="00395F60" w:rsidRDefault="00395F60" w:rsidP="00395F60">
      <w:pPr>
        <w:pStyle w:val="TableFootnoteInfo"/>
        <w:rPr>
          <w:sz w:val="20"/>
          <w:szCs w:val="52"/>
        </w:rPr>
      </w:pPr>
    </w:p>
    <w:p w14:paraId="71CBE203" w14:textId="42EC1F21" w:rsidR="00D634A6" w:rsidRDefault="00D018CB" w:rsidP="00D018CB">
      <w:pPr>
        <w:pStyle w:val="Caption"/>
      </w:pPr>
      <w:r>
        <w:t xml:space="preserve">Table </w:t>
      </w:r>
      <w:r>
        <w:fldChar w:fldCharType="begin"/>
      </w:r>
      <w:r>
        <w:instrText xml:space="preserve"> SEQ Table \* ARABIC </w:instrText>
      </w:r>
      <w:r>
        <w:fldChar w:fldCharType="separate"/>
      </w:r>
      <w:r>
        <w:rPr>
          <w:noProof/>
        </w:rPr>
        <w:t>7</w:t>
      </w:r>
      <w:r>
        <w:fldChar w:fldCharType="end"/>
      </w:r>
      <w:r w:rsidR="00D634A6">
        <w:tab/>
        <w:t>Change</w:t>
      </w:r>
      <w:r w:rsidR="00D634A6">
        <w:rPr>
          <w:spacing w:val="-5"/>
        </w:rPr>
        <w:t xml:space="preserve"> </w:t>
      </w:r>
      <w:r w:rsidR="00D634A6">
        <w:t>in</w:t>
      </w:r>
      <w:r w:rsidR="00D634A6">
        <w:rPr>
          <w:spacing w:val="-4"/>
        </w:rPr>
        <w:t xml:space="preserve"> </w:t>
      </w:r>
      <w:r w:rsidR="00FC3D35">
        <w:t>a</w:t>
      </w:r>
      <w:r w:rsidR="00D634A6">
        <w:t>nti-</w:t>
      </w:r>
      <w:proofErr w:type="spellStart"/>
      <w:r w:rsidR="00D634A6">
        <w:t>FXa</w:t>
      </w:r>
      <w:proofErr w:type="spellEnd"/>
      <w:r w:rsidR="00D634A6">
        <w:rPr>
          <w:spacing w:val="-3"/>
        </w:rPr>
        <w:t xml:space="preserve"> </w:t>
      </w:r>
      <w:r w:rsidR="00FC3D35">
        <w:t>a</w:t>
      </w:r>
      <w:r w:rsidR="00D634A6">
        <w:t>ctivity</w:t>
      </w:r>
      <w:r w:rsidR="006A2126">
        <w:t xml:space="preserve"> – </w:t>
      </w:r>
      <w:r w:rsidR="00D634A6">
        <w:t>Study</w:t>
      </w:r>
      <w:r w:rsidR="00D634A6">
        <w:rPr>
          <w:spacing w:val="-4"/>
        </w:rPr>
        <w:t xml:space="preserve"> </w:t>
      </w:r>
      <w:r w:rsidR="00FC3D35">
        <w:t>2</w:t>
      </w:r>
      <w:r w:rsidR="00D634A6">
        <w:rPr>
          <w:spacing w:val="-3"/>
        </w:rPr>
        <w:t xml:space="preserve"> </w:t>
      </w:r>
      <w:r w:rsidR="00D634A6">
        <w:t>(</w:t>
      </w:r>
      <w:r w:rsidR="00FC3D35">
        <w:t>rivaroxaban</w:t>
      </w:r>
      <w:r w:rsidR="00D634A6">
        <w:t>)</w:t>
      </w:r>
    </w:p>
    <w:p w14:paraId="210FE640" w14:textId="77777777" w:rsidR="00311573" w:rsidRDefault="00311573" w:rsidP="00311573">
      <w:pPr>
        <w:pStyle w:val="BodyText"/>
        <w:spacing w:before="6"/>
        <w:rPr>
          <w:b/>
          <w:sz w:val="10"/>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gridCol w:w="2654"/>
      </w:tblGrid>
      <w:tr w:rsidR="00311573" w:rsidRPr="006A2126" w14:paraId="0676834B" w14:textId="77777777" w:rsidTr="006A2126">
        <w:trPr>
          <w:cantSplit/>
          <w:trHeight w:val="892"/>
        </w:trPr>
        <w:tc>
          <w:tcPr>
            <w:tcW w:w="3115" w:type="dxa"/>
            <w:vAlign w:val="center"/>
          </w:tcPr>
          <w:p w14:paraId="08A58D77" w14:textId="424D09F6" w:rsidR="00311573" w:rsidRPr="006A2126" w:rsidRDefault="00311573" w:rsidP="001361A8">
            <w:pPr>
              <w:pStyle w:val="TableHead"/>
              <w:spacing w:before="0" w:after="0" w:line="276" w:lineRule="auto"/>
              <w:rPr>
                <w:sz w:val="22"/>
                <w:szCs w:val="52"/>
              </w:rPr>
            </w:pPr>
            <w:r w:rsidRPr="006A2126">
              <w:rPr>
                <w:sz w:val="22"/>
                <w:szCs w:val="52"/>
              </w:rPr>
              <w:t>Anti-</w:t>
            </w:r>
            <w:proofErr w:type="spellStart"/>
            <w:r w:rsidRPr="006A2126">
              <w:rPr>
                <w:sz w:val="22"/>
                <w:szCs w:val="52"/>
              </w:rPr>
              <w:t>FXa</w:t>
            </w:r>
            <w:proofErr w:type="spellEnd"/>
            <w:r w:rsidRPr="006A2126">
              <w:rPr>
                <w:spacing w:val="-3"/>
                <w:sz w:val="22"/>
                <w:szCs w:val="52"/>
              </w:rPr>
              <w:t xml:space="preserve"> </w:t>
            </w:r>
            <w:r w:rsidR="00B96140" w:rsidRPr="006A2126">
              <w:rPr>
                <w:sz w:val="22"/>
                <w:szCs w:val="52"/>
              </w:rPr>
              <w:t>a</w:t>
            </w:r>
            <w:r w:rsidRPr="006A2126">
              <w:rPr>
                <w:sz w:val="22"/>
                <w:szCs w:val="52"/>
              </w:rPr>
              <w:t>ctivity</w:t>
            </w:r>
          </w:p>
        </w:tc>
        <w:tc>
          <w:tcPr>
            <w:tcW w:w="3117" w:type="dxa"/>
            <w:vAlign w:val="center"/>
          </w:tcPr>
          <w:p w14:paraId="5230BF3C" w14:textId="4D73D0C0" w:rsidR="00311573" w:rsidRPr="006A2126" w:rsidRDefault="00311573" w:rsidP="001361A8">
            <w:pPr>
              <w:pStyle w:val="TableHead"/>
              <w:spacing w:before="0" w:after="0" w:line="276" w:lineRule="auto"/>
              <w:rPr>
                <w:sz w:val="22"/>
                <w:szCs w:val="52"/>
              </w:rPr>
            </w:pPr>
            <w:r w:rsidRPr="006A2126">
              <w:rPr>
                <w:sz w:val="22"/>
                <w:szCs w:val="52"/>
              </w:rPr>
              <w:t>High</w:t>
            </w:r>
            <w:r w:rsidRPr="006A2126">
              <w:rPr>
                <w:spacing w:val="-1"/>
                <w:sz w:val="22"/>
                <w:szCs w:val="52"/>
              </w:rPr>
              <w:t xml:space="preserve"> </w:t>
            </w:r>
            <w:r w:rsidR="00D634A6" w:rsidRPr="006A2126">
              <w:rPr>
                <w:sz w:val="22"/>
                <w:szCs w:val="52"/>
              </w:rPr>
              <w:t>d</w:t>
            </w:r>
            <w:r w:rsidRPr="006A2126">
              <w:rPr>
                <w:sz w:val="22"/>
                <w:szCs w:val="52"/>
              </w:rPr>
              <w:t>ose</w:t>
            </w:r>
          </w:p>
          <w:p w14:paraId="332532B2" w14:textId="429C1097" w:rsidR="00311573" w:rsidRPr="006A2126" w:rsidRDefault="00311573" w:rsidP="001361A8">
            <w:pPr>
              <w:pStyle w:val="TableHead"/>
              <w:spacing w:before="0" w:after="0" w:line="276" w:lineRule="auto"/>
              <w:rPr>
                <w:sz w:val="22"/>
                <w:szCs w:val="52"/>
              </w:rPr>
            </w:pPr>
            <w:r w:rsidRPr="006A2126">
              <w:rPr>
                <w:w w:val="95"/>
                <w:sz w:val="22"/>
                <w:szCs w:val="52"/>
              </w:rPr>
              <w:t>ANDEXXA</w:t>
            </w:r>
            <w:r w:rsidRPr="006A2126">
              <w:rPr>
                <w:spacing w:val="1"/>
                <w:w w:val="95"/>
                <w:sz w:val="22"/>
                <w:szCs w:val="52"/>
              </w:rPr>
              <w:t xml:space="preserve"> </w:t>
            </w:r>
            <w:r w:rsidR="00B96140" w:rsidRPr="006A2126">
              <w:rPr>
                <w:spacing w:val="1"/>
                <w:w w:val="95"/>
                <w:sz w:val="22"/>
                <w:szCs w:val="52"/>
              </w:rPr>
              <w:br/>
            </w:r>
            <w:r w:rsidRPr="006A2126">
              <w:rPr>
                <w:sz w:val="22"/>
                <w:szCs w:val="52"/>
              </w:rPr>
              <w:t>N=26</w:t>
            </w:r>
          </w:p>
        </w:tc>
        <w:tc>
          <w:tcPr>
            <w:tcW w:w="2654" w:type="dxa"/>
            <w:vAlign w:val="center"/>
          </w:tcPr>
          <w:p w14:paraId="3FCF1572" w14:textId="2D417115" w:rsidR="00311573" w:rsidRPr="006A2126" w:rsidRDefault="00311573" w:rsidP="001361A8">
            <w:pPr>
              <w:pStyle w:val="TableHead"/>
              <w:spacing w:before="0" w:after="0" w:line="276" w:lineRule="auto"/>
              <w:rPr>
                <w:sz w:val="22"/>
                <w:szCs w:val="52"/>
              </w:rPr>
            </w:pPr>
            <w:r w:rsidRPr="006A2126">
              <w:rPr>
                <w:sz w:val="22"/>
                <w:szCs w:val="52"/>
              </w:rPr>
              <w:t>Placebo</w:t>
            </w:r>
            <w:r w:rsidR="00B96140" w:rsidRPr="006A2126">
              <w:rPr>
                <w:sz w:val="22"/>
                <w:szCs w:val="52"/>
              </w:rPr>
              <w:br/>
            </w:r>
            <w:r w:rsidRPr="006A2126">
              <w:rPr>
                <w:spacing w:val="-48"/>
                <w:sz w:val="22"/>
                <w:szCs w:val="52"/>
              </w:rPr>
              <w:t xml:space="preserve"> </w:t>
            </w:r>
            <w:r w:rsidRPr="006A2126">
              <w:rPr>
                <w:sz w:val="22"/>
                <w:szCs w:val="52"/>
              </w:rPr>
              <w:t>N=13</w:t>
            </w:r>
          </w:p>
        </w:tc>
      </w:tr>
      <w:tr w:rsidR="00311573" w:rsidRPr="006A2126" w14:paraId="335B13E0" w14:textId="77777777" w:rsidTr="006A2126">
        <w:trPr>
          <w:cantSplit/>
          <w:trHeight w:val="460"/>
        </w:trPr>
        <w:tc>
          <w:tcPr>
            <w:tcW w:w="3115" w:type="dxa"/>
            <w:vAlign w:val="center"/>
          </w:tcPr>
          <w:p w14:paraId="0B9795A9" w14:textId="77777777" w:rsidR="00311573" w:rsidRPr="006A2126" w:rsidRDefault="00311573" w:rsidP="001361A8">
            <w:pPr>
              <w:pStyle w:val="TableParagraph"/>
              <w:spacing w:line="276" w:lineRule="auto"/>
              <w:ind w:left="0"/>
              <w:jc w:val="center"/>
              <w:rPr>
                <w:szCs w:val="52"/>
              </w:rPr>
            </w:pPr>
            <w:r w:rsidRPr="006A2126">
              <w:rPr>
                <w:szCs w:val="52"/>
              </w:rPr>
              <w:t>Mean</w:t>
            </w:r>
            <w:r w:rsidRPr="006A2126">
              <w:rPr>
                <w:spacing w:val="-1"/>
                <w:szCs w:val="52"/>
              </w:rPr>
              <w:t xml:space="preserve"> </w:t>
            </w:r>
            <w:r w:rsidRPr="006A2126">
              <w:rPr>
                <w:szCs w:val="52"/>
              </w:rPr>
              <w:t>(±</w:t>
            </w:r>
            <w:r w:rsidRPr="006A2126">
              <w:rPr>
                <w:spacing w:val="-1"/>
                <w:szCs w:val="52"/>
              </w:rPr>
              <w:t xml:space="preserve"> </w:t>
            </w:r>
            <w:r w:rsidRPr="006A2126">
              <w:rPr>
                <w:szCs w:val="52"/>
              </w:rPr>
              <w:t>SD)</w:t>
            </w:r>
            <w:r w:rsidRPr="006A2126">
              <w:rPr>
                <w:spacing w:val="-1"/>
                <w:szCs w:val="52"/>
              </w:rPr>
              <w:t xml:space="preserve"> </w:t>
            </w:r>
            <w:r w:rsidRPr="006A2126">
              <w:rPr>
                <w:szCs w:val="52"/>
              </w:rPr>
              <w:t>at</w:t>
            </w:r>
            <w:r w:rsidRPr="006A2126">
              <w:rPr>
                <w:spacing w:val="-2"/>
                <w:szCs w:val="52"/>
              </w:rPr>
              <w:t xml:space="preserve"> </w:t>
            </w:r>
            <w:r w:rsidRPr="006A2126">
              <w:rPr>
                <w:szCs w:val="52"/>
              </w:rPr>
              <w:t>baseline,</w:t>
            </w:r>
            <w:r w:rsidRPr="006A2126">
              <w:rPr>
                <w:spacing w:val="-3"/>
                <w:szCs w:val="52"/>
              </w:rPr>
              <w:t xml:space="preserve"> </w:t>
            </w:r>
            <w:r w:rsidRPr="006A2126">
              <w:rPr>
                <w:szCs w:val="52"/>
              </w:rPr>
              <w:t>ng/mL</w:t>
            </w:r>
          </w:p>
        </w:tc>
        <w:tc>
          <w:tcPr>
            <w:tcW w:w="3117" w:type="dxa"/>
            <w:vAlign w:val="center"/>
          </w:tcPr>
          <w:p w14:paraId="51553DD3" w14:textId="77777777" w:rsidR="00311573" w:rsidRPr="006A2126" w:rsidRDefault="00311573" w:rsidP="001361A8">
            <w:pPr>
              <w:pStyle w:val="TableParagraph"/>
              <w:spacing w:line="276" w:lineRule="auto"/>
              <w:ind w:left="0"/>
              <w:jc w:val="center"/>
              <w:rPr>
                <w:szCs w:val="52"/>
              </w:rPr>
            </w:pPr>
            <w:r w:rsidRPr="006A2126">
              <w:rPr>
                <w:szCs w:val="52"/>
              </w:rPr>
              <w:t>335.3</w:t>
            </w:r>
          </w:p>
          <w:p w14:paraId="4E31A1CA" w14:textId="77777777" w:rsidR="00311573" w:rsidRPr="006A2126" w:rsidRDefault="00311573" w:rsidP="001361A8">
            <w:pPr>
              <w:pStyle w:val="TableParagraph"/>
              <w:spacing w:line="276" w:lineRule="auto"/>
              <w:ind w:left="0"/>
              <w:jc w:val="center"/>
              <w:rPr>
                <w:szCs w:val="52"/>
              </w:rPr>
            </w:pPr>
            <w:r w:rsidRPr="006A2126">
              <w:rPr>
                <w:szCs w:val="52"/>
              </w:rPr>
              <w:t>(91.0)</w:t>
            </w:r>
          </w:p>
        </w:tc>
        <w:tc>
          <w:tcPr>
            <w:tcW w:w="2654" w:type="dxa"/>
            <w:vAlign w:val="center"/>
          </w:tcPr>
          <w:p w14:paraId="6118AFED" w14:textId="77777777" w:rsidR="00311573" w:rsidRPr="006A2126" w:rsidRDefault="00311573" w:rsidP="001361A8">
            <w:pPr>
              <w:pStyle w:val="TableParagraph"/>
              <w:spacing w:line="276" w:lineRule="auto"/>
              <w:ind w:left="0"/>
              <w:jc w:val="center"/>
              <w:rPr>
                <w:szCs w:val="52"/>
              </w:rPr>
            </w:pPr>
            <w:r w:rsidRPr="006A2126">
              <w:rPr>
                <w:szCs w:val="52"/>
              </w:rPr>
              <w:t>317.2</w:t>
            </w:r>
          </w:p>
          <w:p w14:paraId="0B22065F" w14:textId="77777777" w:rsidR="00311573" w:rsidRPr="006A2126" w:rsidRDefault="00311573" w:rsidP="001361A8">
            <w:pPr>
              <w:pStyle w:val="TableParagraph"/>
              <w:spacing w:line="276" w:lineRule="auto"/>
              <w:ind w:left="0"/>
              <w:jc w:val="center"/>
              <w:rPr>
                <w:szCs w:val="52"/>
              </w:rPr>
            </w:pPr>
            <w:r w:rsidRPr="006A2126">
              <w:rPr>
                <w:szCs w:val="52"/>
              </w:rPr>
              <w:t>(91.0)</w:t>
            </w:r>
          </w:p>
        </w:tc>
      </w:tr>
      <w:tr w:rsidR="00311573" w:rsidRPr="006A2126" w14:paraId="0096311B" w14:textId="77777777" w:rsidTr="006A2126">
        <w:trPr>
          <w:cantSplit/>
          <w:trHeight w:val="539"/>
        </w:trPr>
        <w:tc>
          <w:tcPr>
            <w:tcW w:w="3115" w:type="dxa"/>
            <w:vAlign w:val="center"/>
          </w:tcPr>
          <w:p w14:paraId="4816360A" w14:textId="4AE61B28" w:rsidR="00311573" w:rsidRPr="006A2126" w:rsidRDefault="00311573" w:rsidP="001361A8">
            <w:pPr>
              <w:pStyle w:val="TableParagraph"/>
              <w:spacing w:line="276" w:lineRule="auto"/>
              <w:ind w:left="0"/>
              <w:jc w:val="center"/>
              <w:rPr>
                <w:szCs w:val="52"/>
              </w:rPr>
            </w:pPr>
            <w:r w:rsidRPr="006A2126">
              <w:rPr>
                <w:szCs w:val="52"/>
              </w:rPr>
              <w:t>Mean (± SD) change from base</w:t>
            </w:r>
            <w:r w:rsidR="00AD0F95">
              <w:rPr>
                <w:szCs w:val="52"/>
              </w:rPr>
              <w:t xml:space="preserve">line </w:t>
            </w:r>
            <w:r w:rsidRPr="006A2126">
              <w:rPr>
                <w:szCs w:val="52"/>
              </w:rPr>
              <w:t xml:space="preserve">to </w:t>
            </w:r>
            <w:proofErr w:type="spellStart"/>
            <w:r w:rsidRPr="006A2126">
              <w:rPr>
                <w:szCs w:val="52"/>
              </w:rPr>
              <w:t>nadir</w:t>
            </w:r>
            <w:r w:rsidRPr="006A2126">
              <w:rPr>
                <w:szCs w:val="52"/>
                <w:vertAlign w:val="superscript"/>
              </w:rPr>
              <w:t>a</w:t>
            </w:r>
            <w:proofErr w:type="spellEnd"/>
            <w:r w:rsidRPr="006A2126">
              <w:rPr>
                <w:szCs w:val="52"/>
              </w:rPr>
              <w:t>,</w:t>
            </w:r>
            <w:r w:rsidRPr="006A2126">
              <w:rPr>
                <w:spacing w:val="-2"/>
                <w:szCs w:val="52"/>
              </w:rPr>
              <w:t xml:space="preserve"> </w:t>
            </w:r>
            <w:r w:rsidRPr="006A2126">
              <w:rPr>
                <w:szCs w:val="52"/>
              </w:rPr>
              <w:t>ng/mL</w:t>
            </w:r>
          </w:p>
        </w:tc>
        <w:tc>
          <w:tcPr>
            <w:tcW w:w="3117" w:type="dxa"/>
            <w:vAlign w:val="center"/>
          </w:tcPr>
          <w:p w14:paraId="17240A48" w14:textId="77777777" w:rsidR="00311573" w:rsidRPr="006A2126" w:rsidRDefault="00311573" w:rsidP="001361A8">
            <w:pPr>
              <w:pStyle w:val="TableParagraph"/>
              <w:spacing w:line="276" w:lineRule="auto"/>
              <w:ind w:left="0"/>
              <w:jc w:val="center"/>
              <w:rPr>
                <w:szCs w:val="52"/>
              </w:rPr>
            </w:pPr>
            <w:r w:rsidRPr="006A2126">
              <w:rPr>
                <w:szCs w:val="52"/>
              </w:rPr>
              <w:t>-324.5</w:t>
            </w:r>
          </w:p>
          <w:p w14:paraId="5CAB2E2B" w14:textId="77777777" w:rsidR="00311573" w:rsidRPr="006A2126" w:rsidRDefault="00311573" w:rsidP="001361A8">
            <w:pPr>
              <w:pStyle w:val="TableParagraph"/>
              <w:spacing w:line="276" w:lineRule="auto"/>
              <w:ind w:left="0"/>
              <w:jc w:val="center"/>
              <w:rPr>
                <w:szCs w:val="52"/>
              </w:rPr>
            </w:pPr>
            <w:r w:rsidRPr="006A2126">
              <w:rPr>
                <w:szCs w:val="52"/>
              </w:rPr>
              <w:t>(89.2)</w:t>
            </w:r>
          </w:p>
        </w:tc>
        <w:tc>
          <w:tcPr>
            <w:tcW w:w="2654" w:type="dxa"/>
            <w:vAlign w:val="center"/>
          </w:tcPr>
          <w:p w14:paraId="2E170270" w14:textId="6685E434" w:rsidR="00311573" w:rsidRPr="006A2126" w:rsidRDefault="00783FC1" w:rsidP="001361A8">
            <w:pPr>
              <w:pStyle w:val="TableParagraph"/>
              <w:spacing w:line="276" w:lineRule="auto"/>
              <w:ind w:left="0"/>
              <w:jc w:val="center"/>
              <w:rPr>
                <w:szCs w:val="52"/>
              </w:rPr>
            </w:pPr>
            <w:r>
              <w:rPr>
                <w:szCs w:val="52"/>
              </w:rPr>
              <w:t>-</w:t>
            </w:r>
            <w:r w:rsidR="0044536A">
              <w:rPr>
                <w:szCs w:val="52"/>
              </w:rPr>
              <w:t>143.</w:t>
            </w:r>
            <w:r w:rsidR="00CE62C3">
              <w:rPr>
                <w:szCs w:val="52"/>
              </w:rPr>
              <w:t>4</w:t>
            </w:r>
          </w:p>
          <w:p w14:paraId="43C53BDC" w14:textId="77777777" w:rsidR="00311573" w:rsidRPr="006A2126" w:rsidRDefault="00311573" w:rsidP="001361A8">
            <w:pPr>
              <w:pStyle w:val="TableParagraph"/>
              <w:spacing w:line="276" w:lineRule="auto"/>
              <w:ind w:left="0"/>
              <w:jc w:val="center"/>
              <w:rPr>
                <w:szCs w:val="52"/>
              </w:rPr>
            </w:pPr>
            <w:r w:rsidRPr="006A2126">
              <w:rPr>
                <w:szCs w:val="52"/>
              </w:rPr>
              <w:t>(58.8)</w:t>
            </w:r>
          </w:p>
        </w:tc>
      </w:tr>
      <w:tr w:rsidR="00311573" w:rsidRPr="006A2126" w14:paraId="4DE13714" w14:textId="77777777" w:rsidTr="006A2126">
        <w:trPr>
          <w:cantSplit/>
          <w:trHeight w:val="539"/>
        </w:trPr>
        <w:tc>
          <w:tcPr>
            <w:tcW w:w="3115" w:type="dxa"/>
            <w:vAlign w:val="center"/>
          </w:tcPr>
          <w:p w14:paraId="1CE6858B" w14:textId="5B2C7421" w:rsidR="00311573" w:rsidRPr="006A2126" w:rsidRDefault="00311573" w:rsidP="001361A8">
            <w:pPr>
              <w:pStyle w:val="TableParagraph"/>
              <w:spacing w:line="276" w:lineRule="auto"/>
              <w:ind w:left="0"/>
              <w:jc w:val="center"/>
              <w:rPr>
                <w:szCs w:val="52"/>
              </w:rPr>
            </w:pPr>
            <w:r w:rsidRPr="006A2126">
              <w:rPr>
                <w:szCs w:val="52"/>
              </w:rPr>
              <w:t>Mean % (± SD) change fro</w:t>
            </w:r>
            <w:r w:rsidR="001331C4">
              <w:rPr>
                <w:szCs w:val="52"/>
              </w:rPr>
              <w:t>m baseline</w:t>
            </w:r>
            <w:r w:rsidRPr="006A2126">
              <w:rPr>
                <w:spacing w:val="-1"/>
                <w:szCs w:val="52"/>
              </w:rPr>
              <w:t xml:space="preserve"> </w:t>
            </w:r>
            <w:r w:rsidRPr="006A2126">
              <w:rPr>
                <w:szCs w:val="52"/>
              </w:rPr>
              <w:t>to</w:t>
            </w:r>
            <w:r w:rsidRPr="006A2126">
              <w:rPr>
                <w:spacing w:val="1"/>
                <w:szCs w:val="52"/>
              </w:rPr>
              <w:t xml:space="preserve"> </w:t>
            </w:r>
            <w:proofErr w:type="spellStart"/>
            <w:r w:rsidRPr="006A2126">
              <w:rPr>
                <w:szCs w:val="52"/>
              </w:rPr>
              <w:t>nadir</w:t>
            </w:r>
            <w:r w:rsidRPr="006A2126">
              <w:rPr>
                <w:szCs w:val="52"/>
                <w:vertAlign w:val="superscript"/>
              </w:rPr>
              <w:t>a</w:t>
            </w:r>
            <w:proofErr w:type="spellEnd"/>
          </w:p>
        </w:tc>
        <w:tc>
          <w:tcPr>
            <w:tcW w:w="3117" w:type="dxa"/>
            <w:vAlign w:val="center"/>
          </w:tcPr>
          <w:p w14:paraId="529DE9D5" w14:textId="77777777" w:rsidR="00311573" w:rsidRPr="006A2126" w:rsidRDefault="00311573" w:rsidP="001361A8">
            <w:pPr>
              <w:pStyle w:val="TableParagraph"/>
              <w:spacing w:line="276" w:lineRule="auto"/>
              <w:ind w:left="0"/>
              <w:jc w:val="center"/>
              <w:rPr>
                <w:szCs w:val="52"/>
              </w:rPr>
            </w:pPr>
            <w:r w:rsidRPr="006A2126">
              <w:rPr>
                <w:szCs w:val="52"/>
              </w:rPr>
              <w:t>-96.7</w:t>
            </w:r>
          </w:p>
          <w:p w14:paraId="0F206889" w14:textId="77777777" w:rsidR="00311573" w:rsidRPr="006A2126" w:rsidRDefault="00311573" w:rsidP="001361A8">
            <w:pPr>
              <w:pStyle w:val="TableParagraph"/>
              <w:spacing w:line="276" w:lineRule="auto"/>
              <w:ind w:left="0"/>
              <w:jc w:val="center"/>
              <w:rPr>
                <w:szCs w:val="52"/>
              </w:rPr>
            </w:pPr>
            <w:r w:rsidRPr="006A2126">
              <w:rPr>
                <w:szCs w:val="52"/>
              </w:rPr>
              <w:t>(1.8)</w:t>
            </w:r>
          </w:p>
        </w:tc>
        <w:tc>
          <w:tcPr>
            <w:tcW w:w="2654" w:type="dxa"/>
            <w:vAlign w:val="center"/>
          </w:tcPr>
          <w:p w14:paraId="69570AF6" w14:textId="77777777" w:rsidR="00311573" w:rsidRPr="006A2126" w:rsidRDefault="00311573" w:rsidP="001361A8">
            <w:pPr>
              <w:pStyle w:val="TableParagraph"/>
              <w:spacing w:line="276" w:lineRule="auto"/>
              <w:ind w:left="0"/>
              <w:jc w:val="center"/>
              <w:rPr>
                <w:szCs w:val="52"/>
              </w:rPr>
            </w:pPr>
            <w:r w:rsidRPr="006A2126">
              <w:rPr>
                <w:szCs w:val="52"/>
              </w:rPr>
              <w:t>-44.6</w:t>
            </w:r>
          </w:p>
          <w:p w14:paraId="4B4C6C3D" w14:textId="77777777" w:rsidR="00311573" w:rsidRPr="006A2126" w:rsidRDefault="00311573" w:rsidP="001361A8">
            <w:pPr>
              <w:pStyle w:val="TableParagraph"/>
              <w:spacing w:line="276" w:lineRule="auto"/>
              <w:ind w:left="0"/>
              <w:jc w:val="center"/>
              <w:rPr>
                <w:szCs w:val="52"/>
              </w:rPr>
            </w:pPr>
            <w:r w:rsidRPr="006A2126">
              <w:rPr>
                <w:szCs w:val="52"/>
              </w:rPr>
              <w:t>(11.8)</w:t>
            </w:r>
          </w:p>
        </w:tc>
      </w:tr>
      <w:tr w:rsidR="00311573" w:rsidRPr="006A2126" w14:paraId="1E4325B2" w14:textId="77777777" w:rsidTr="006A2126">
        <w:trPr>
          <w:cantSplit/>
          <w:trHeight w:val="539"/>
        </w:trPr>
        <w:tc>
          <w:tcPr>
            <w:tcW w:w="3115" w:type="dxa"/>
            <w:vAlign w:val="center"/>
          </w:tcPr>
          <w:p w14:paraId="540AC8B7" w14:textId="7101BD30" w:rsidR="00311573" w:rsidRPr="006A2126" w:rsidRDefault="00311573" w:rsidP="001361A8">
            <w:pPr>
              <w:pStyle w:val="TableParagraph"/>
              <w:spacing w:line="276" w:lineRule="auto"/>
              <w:ind w:left="0"/>
              <w:jc w:val="center"/>
              <w:rPr>
                <w:szCs w:val="52"/>
              </w:rPr>
            </w:pPr>
            <w:r w:rsidRPr="006A2126">
              <w:rPr>
                <w:szCs w:val="52"/>
              </w:rPr>
              <w:t>Median</w:t>
            </w:r>
            <w:r w:rsidRPr="006A2126">
              <w:rPr>
                <w:spacing w:val="2"/>
                <w:szCs w:val="52"/>
              </w:rPr>
              <w:t xml:space="preserve"> </w:t>
            </w:r>
            <w:r w:rsidRPr="006A2126">
              <w:rPr>
                <w:szCs w:val="52"/>
              </w:rPr>
              <w:t>difference</w:t>
            </w:r>
            <w:r w:rsidRPr="006A2126">
              <w:rPr>
                <w:spacing w:val="4"/>
                <w:szCs w:val="52"/>
              </w:rPr>
              <w:t xml:space="preserve"> </w:t>
            </w:r>
            <w:r w:rsidRPr="006A2126">
              <w:rPr>
                <w:szCs w:val="52"/>
              </w:rPr>
              <w:t>and</w:t>
            </w:r>
            <w:r w:rsidRPr="006A2126">
              <w:rPr>
                <w:spacing w:val="5"/>
                <w:szCs w:val="52"/>
              </w:rPr>
              <w:t xml:space="preserve"> </w:t>
            </w:r>
            <w:r w:rsidRPr="006A2126">
              <w:rPr>
                <w:szCs w:val="52"/>
              </w:rPr>
              <w:t>associat</w:t>
            </w:r>
            <w:r w:rsidR="001331C4">
              <w:rPr>
                <w:szCs w:val="52"/>
              </w:rPr>
              <w:t xml:space="preserve">ed </w:t>
            </w:r>
            <w:r w:rsidRPr="006A2126">
              <w:rPr>
                <w:szCs w:val="52"/>
              </w:rPr>
              <w:t>95%</w:t>
            </w:r>
            <w:r w:rsidRPr="006A2126">
              <w:rPr>
                <w:spacing w:val="-2"/>
                <w:szCs w:val="52"/>
              </w:rPr>
              <w:t xml:space="preserve"> </w:t>
            </w:r>
            <w:r w:rsidRPr="006A2126">
              <w:rPr>
                <w:szCs w:val="52"/>
              </w:rPr>
              <w:t>confidence</w:t>
            </w:r>
            <w:r w:rsidRPr="006A2126">
              <w:rPr>
                <w:spacing w:val="-1"/>
                <w:szCs w:val="52"/>
              </w:rPr>
              <w:t xml:space="preserve"> </w:t>
            </w:r>
            <w:r w:rsidRPr="006A2126">
              <w:rPr>
                <w:szCs w:val="52"/>
              </w:rPr>
              <w:t>interval</w:t>
            </w:r>
            <w:r w:rsidRPr="006A2126">
              <w:rPr>
                <w:spacing w:val="-1"/>
                <w:szCs w:val="52"/>
              </w:rPr>
              <w:t xml:space="preserve"> </w:t>
            </w:r>
            <w:r w:rsidRPr="006A2126">
              <w:rPr>
                <w:szCs w:val="52"/>
              </w:rPr>
              <w:t>(CI)</w:t>
            </w:r>
            <w:r w:rsidRPr="006A2126">
              <w:rPr>
                <w:szCs w:val="52"/>
                <w:vertAlign w:val="superscript"/>
              </w:rPr>
              <w:t>b</w:t>
            </w:r>
          </w:p>
        </w:tc>
        <w:tc>
          <w:tcPr>
            <w:tcW w:w="5771" w:type="dxa"/>
            <w:gridSpan w:val="2"/>
            <w:vAlign w:val="center"/>
          </w:tcPr>
          <w:p w14:paraId="3CC2F523" w14:textId="79A88054" w:rsidR="00311573" w:rsidRPr="006A2126" w:rsidRDefault="00311573" w:rsidP="001361A8">
            <w:pPr>
              <w:pStyle w:val="TableParagraph"/>
              <w:spacing w:line="276" w:lineRule="auto"/>
              <w:ind w:left="0"/>
              <w:jc w:val="center"/>
              <w:rPr>
                <w:szCs w:val="52"/>
              </w:rPr>
            </w:pPr>
            <w:r w:rsidRPr="006A2126">
              <w:rPr>
                <w:szCs w:val="52"/>
              </w:rPr>
              <w:t>-51.9</w:t>
            </w:r>
            <w:r w:rsidRPr="006A2126">
              <w:rPr>
                <w:spacing w:val="-3"/>
                <w:szCs w:val="52"/>
              </w:rPr>
              <w:t xml:space="preserve"> </w:t>
            </w:r>
            <w:r w:rsidR="001331C4">
              <w:rPr>
                <w:spacing w:val="-3"/>
                <w:szCs w:val="52"/>
              </w:rPr>
              <w:br/>
            </w:r>
            <w:r w:rsidRPr="006A2126">
              <w:rPr>
                <w:szCs w:val="52"/>
              </w:rPr>
              <w:t>(-58.0;</w:t>
            </w:r>
            <w:r w:rsidRPr="006A2126">
              <w:rPr>
                <w:spacing w:val="-1"/>
                <w:szCs w:val="52"/>
              </w:rPr>
              <w:t xml:space="preserve"> </w:t>
            </w:r>
            <w:r w:rsidRPr="006A2126">
              <w:rPr>
                <w:szCs w:val="52"/>
              </w:rPr>
              <w:t>-47.0)</w:t>
            </w:r>
          </w:p>
        </w:tc>
      </w:tr>
      <w:tr w:rsidR="00311573" w:rsidRPr="006A2126" w14:paraId="27C86C39" w14:textId="77777777" w:rsidTr="006A2126">
        <w:trPr>
          <w:cantSplit/>
          <w:trHeight w:val="460"/>
        </w:trPr>
        <w:tc>
          <w:tcPr>
            <w:tcW w:w="3115" w:type="dxa"/>
            <w:vAlign w:val="center"/>
          </w:tcPr>
          <w:p w14:paraId="1109D94F" w14:textId="77777777" w:rsidR="00311573" w:rsidRPr="006A2126" w:rsidRDefault="00311573" w:rsidP="001361A8">
            <w:pPr>
              <w:pStyle w:val="TableParagraph"/>
              <w:spacing w:line="276" w:lineRule="auto"/>
              <w:ind w:left="0"/>
              <w:jc w:val="center"/>
              <w:rPr>
                <w:szCs w:val="52"/>
              </w:rPr>
            </w:pPr>
            <w:r w:rsidRPr="006A2126">
              <w:rPr>
                <w:szCs w:val="52"/>
              </w:rPr>
              <w:t>p-value</w:t>
            </w:r>
          </w:p>
        </w:tc>
        <w:tc>
          <w:tcPr>
            <w:tcW w:w="5771" w:type="dxa"/>
            <w:gridSpan w:val="2"/>
            <w:vAlign w:val="center"/>
          </w:tcPr>
          <w:p w14:paraId="41E275A7" w14:textId="08D1E5F0" w:rsidR="00311573" w:rsidRPr="006A2126" w:rsidRDefault="00311573" w:rsidP="001361A8">
            <w:pPr>
              <w:pStyle w:val="TableParagraph"/>
              <w:spacing w:line="276" w:lineRule="auto"/>
              <w:ind w:left="0"/>
              <w:jc w:val="center"/>
              <w:rPr>
                <w:szCs w:val="52"/>
              </w:rPr>
            </w:pPr>
            <w:r w:rsidRPr="006A2126">
              <w:rPr>
                <w:szCs w:val="52"/>
              </w:rPr>
              <w:t>&lt;0.0001</w:t>
            </w:r>
            <w:r w:rsidRPr="006A2126">
              <w:rPr>
                <w:szCs w:val="52"/>
                <w:vertAlign w:val="superscript"/>
              </w:rPr>
              <w:t>c</w:t>
            </w:r>
          </w:p>
        </w:tc>
      </w:tr>
    </w:tbl>
    <w:p w14:paraId="4EEC9767" w14:textId="77777777" w:rsidR="00311573" w:rsidRPr="00B96140" w:rsidRDefault="00311573" w:rsidP="00C41116">
      <w:pPr>
        <w:pStyle w:val="TableFootnoteInfo"/>
        <w:rPr>
          <w:sz w:val="20"/>
          <w:szCs w:val="52"/>
        </w:rPr>
      </w:pPr>
      <w:bookmarkStart w:id="13" w:name="_Hlk99984651"/>
      <w:r w:rsidRPr="00B96140">
        <w:rPr>
          <w:sz w:val="20"/>
          <w:szCs w:val="52"/>
        </w:rPr>
        <w:t>Note:</w:t>
      </w:r>
      <w:r w:rsidRPr="00B96140">
        <w:rPr>
          <w:spacing w:val="-2"/>
          <w:sz w:val="20"/>
          <w:szCs w:val="52"/>
        </w:rPr>
        <w:t xml:space="preserve"> </w:t>
      </w:r>
      <w:r w:rsidRPr="00B96140">
        <w:rPr>
          <w:sz w:val="20"/>
          <w:szCs w:val="52"/>
        </w:rPr>
        <w:t>Baseline</w:t>
      </w:r>
      <w:r w:rsidRPr="00B96140">
        <w:rPr>
          <w:spacing w:val="-2"/>
          <w:sz w:val="20"/>
          <w:szCs w:val="52"/>
        </w:rPr>
        <w:t xml:space="preserve"> </w:t>
      </w:r>
      <w:r w:rsidRPr="00B96140">
        <w:rPr>
          <w:sz w:val="20"/>
          <w:szCs w:val="52"/>
        </w:rPr>
        <w:t>is</w:t>
      </w:r>
      <w:r w:rsidRPr="00B96140">
        <w:rPr>
          <w:spacing w:val="-3"/>
          <w:sz w:val="20"/>
          <w:szCs w:val="52"/>
        </w:rPr>
        <w:t xml:space="preserve"> </w:t>
      </w:r>
      <w:r w:rsidRPr="00B96140">
        <w:rPr>
          <w:sz w:val="20"/>
          <w:szCs w:val="52"/>
        </w:rPr>
        <w:t>the</w:t>
      </w:r>
      <w:r w:rsidRPr="00B96140">
        <w:rPr>
          <w:spacing w:val="-2"/>
          <w:sz w:val="20"/>
          <w:szCs w:val="52"/>
        </w:rPr>
        <w:t xml:space="preserve"> </w:t>
      </w:r>
      <w:r w:rsidRPr="00B96140">
        <w:rPr>
          <w:sz w:val="20"/>
          <w:szCs w:val="52"/>
        </w:rPr>
        <w:t>last</w:t>
      </w:r>
      <w:r w:rsidRPr="00B96140">
        <w:rPr>
          <w:spacing w:val="-2"/>
          <w:sz w:val="20"/>
          <w:szCs w:val="52"/>
        </w:rPr>
        <w:t xml:space="preserve"> </w:t>
      </w:r>
      <w:r w:rsidRPr="00B96140">
        <w:rPr>
          <w:sz w:val="20"/>
          <w:szCs w:val="52"/>
        </w:rPr>
        <w:t>assessment</w:t>
      </w:r>
      <w:r w:rsidRPr="00B96140">
        <w:rPr>
          <w:spacing w:val="-2"/>
          <w:sz w:val="20"/>
          <w:szCs w:val="52"/>
        </w:rPr>
        <w:t xml:space="preserve"> </w:t>
      </w:r>
      <w:r w:rsidRPr="00B96140">
        <w:rPr>
          <w:sz w:val="20"/>
          <w:szCs w:val="52"/>
        </w:rPr>
        <w:t>obtained</w:t>
      </w:r>
      <w:r w:rsidRPr="00B96140">
        <w:rPr>
          <w:spacing w:val="-3"/>
          <w:sz w:val="20"/>
          <w:szCs w:val="52"/>
        </w:rPr>
        <w:t xml:space="preserve"> </w:t>
      </w:r>
      <w:r w:rsidRPr="00B96140">
        <w:rPr>
          <w:sz w:val="20"/>
          <w:szCs w:val="52"/>
        </w:rPr>
        <w:t>prior</w:t>
      </w:r>
      <w:r w:rsidRPr="00B96140">
        <w:rPr>
          <w:spacing w:val="-1"/>
          <w:sz w:val="20"/>
          <w:szCs w:val="52"/>
        </w:rPr>
        <w:t xml:space="preserve"> </w:t>
      </w:r>
      <w:r w:rsidRPr="00B96140">
        <w:rPr>
          <w:sz w:val="20"/>
          <w:szCs w:val="52"/>
        </w:rPr>
        <w:t>to</w:t>
      </w:r>
      <w:r w:rsidRPr="00B96140">
        <w:rPr>
          <w:spacing w:val="-1"/>
          <w:sz w:val="20"/>
          <w:szCs w:val="52"/>
        </w:rPr>
        <w:t xml:space="preserve"> </w:t>
      </w:r>
      <w:r w:rsidRPr="00B96140">
        <w:rPr>
          <w:sz w:val="20"/>
          <w:szCs w:val="52"/>
        </w:rPr>
        <w:t>the</w:t>
      </w:r>
      <w:r w:rsidRPr="00B96140">
        <w:rPr>
          <w:spacing w:val="-2"/>
          <w:sz w:val="20"/>
          <w:szCs w:val="52"/>
        </w:rPr>
        <w:t xml:space="preserve"> </w:t>
      </w:r>
      <w:r w:rsidRPr="00B96140">
        <w:rPr>
          <w:sz w:val="20"/>
          <w:szCs w:val="52"/>
        </w:rPr>
        <w:t>first</w:t>
      </w:r>
      <w:r w:rsidRPr="00B96140">
        <w:rPr>
          <w:spacing w:val="-2"/>
          <w:sz w:val="20"/>
          <w:szCs w:val="52"/>
        </w:rPr>
        <w:t xml:space="preserve"> </w:t>
      </w:r>
      <w:r w:rsidRPr="00B96140">
        <w:rPr>
          <w:sz w:val="20"/>
          <w:szCs w:val="52"/>
        </w:rPr>
        <w:t>dose</w:t>
      </w:r>
      <w:r w:rsidRPr="00B96140">
        <w:rPr>
          <w:spacing w:val="-1"/>
          <w:sz w:val="20"/>
          <w:szCs w:val="52"/>
        </w:rPr>
        <w:t xml:space="preserve"> </w:t>
      </w:r>
      <w:r w:rsidRPr="00B96140">
        <w:rPr>
          <w:sz w:val="20"/>
          <w:szCs w:val="52"/>
        </w:rPr>
        <w:t>of</w:t>
      </w:r>
      <w:r w:rsidRPr="00B96140">
        <w:rPr>
          <w:spacing w:val="-1"/>
          <w:sz w:val="20"/>
          <w:szCs w:val="52"/>
        </w:rPr>
        <w:t xml:space="preserve"> </w:t>
      </w:r>
      <w:r w:rsidRPr="00B96140">
        <w:rPr>
          <w:sz w:val="20"/>
          <w:szCs w:val="52"/>
        </w:rPr>
        <w:t>ANDEXXA</w:t>
      </w:r>
      <w:r w:rsidRPr="00B96140">
        <w:rPr>
          <w:spacing w:val="-2"/>
          <w:sz w:val="20"/>
          <w:szCs w:val="52"/>
        </w:rPr>
        <w:t xml:space="preserve"> </w:t>
      </w:r>
      <w:r w:rsidRPr="00B96140">
        <w:rPr>
          <w:sz w:val="20"/>
          <w:szCs w:val="52"/>
        </w:rPr>
        <w:t>or</w:t>
      </w:r>
      <w:r w:rsidRPr="00B96140">
        <w:rPr>
          <w:spacing w:val="-1"/>
          <w:sz w:val="20"/>
          <w:szCs w:val="52"/>
        </w:rPr>
        <w:t xml:space="preserve"> </w:t>
      </w:r>
      <w:r w:rsidRPr="00B96140">
        <w:rPr>
          <w:sz w:val="20"/>
          <w:szCs w:val="52"/>
        </w:rPr>
        <w:t>placebo.</w:t>
      </w:r>
    </w:p>
    <w:p w14:paraId="65793C4F" w14:textId="1A915D60" w:rsidR="00311573" w:rsidRDefault="00311573" w:rsidP="00C41116">
      <w:pPr>
        <w:pStyle w:val="TableFootnoteInfo"/>
        <w:rPr>
          <w:sz w:val="20"/>
          <w:szCs w:val="52"/>
        </w:rPr>
      </w:pPr>
      <w:r w:rsidRPr="00B96140">
        <w:rPr>
          <w:spacing w:val="-1"/>
          <w:sz w:val="20"/>
          <w:szCs w:val="52"/>
          <w:vertAlign w:val="superscript"/>
        </w:rPr>
        <w:t>a</w:t>
      </w:r>
      <w:r w:rsidRPr="00B96140">
        <w:rPr>
          <w:spacing w:val="-1"/>
          <w:sz w:val="20"/>
          <w:szCs w:val="52"/>
        </w:rPr>
        <w:t xml:space="preserve"> Nadir is the smallest value for anti-</w:t>
      </w:r>
      <w:proofErr w:type="spellStart"/>
      <w:r w:rsidR="00506DC3">
        <w:rPr>
          <w:spacing w:val="-1"/>
          <w:sz w:val="20"/>
          <w:szCs w:val="52"/>
        </w:rPr>
        <w:t>F</w:t>
      </w:r>
      <w:r w:rsidRPr="00B96140">
        <w:rPr>
          <w:spacing w:val="-1"/>
          <w:sz w:val="20"/>
          <w:szCs w:val="52"/>
        </w:rPr>
        <w:t>Xa</w:t>
      </w:r>
      <w:proofErr w:type="spellEnd"/>
      <w:r w:rsidRPr="00B96140">
        <w:rPr>
          <w:spacing w:val="-1"/>
          <w:sz w:val="20"/>
          <w:szCs w:val="52"/>
        </w:rPr>
        <w:t xml:space="preserve"> activity at the 110-minute </w:t>
      </w:r>
      <w:r w:rsidRPr="00B96140">
        <w:rPr>
          <w:sz w:val="20"/>
          <w:szCs w:val="52"/>
        </w:rPr>
        <w:t>(10 minutes prior to the end of the infusion) time</w:t>
      </w:r>
      <w:r w:rsidRPr="00B96140">
        <w:rPr>
          <w:spacing w:val="1"/>
          <w:sz w:val="20"/>
          <w:szCs w:val="52"/>
        </w:rPr>
        <w:t xml:space="preserve"> </w:t>
      </w:r>
      <w:r w:rsidRPr="00B96140">
        <w:rPr>
          <w:sz w:val="20"/>
          <w:szCs w:val="52"/>
        </w:rPr>
        <w:t>point, 2-minute time point before completion of the infusion, or the 5-minute time point after the completion of the</w:t>
      </w:r>
      <w:r w:rsidRPr="00B96140">
        <w:rPr>
          <w:spacing w:val="-47"/>
          <w:sz w:val="20"/>
          <w:szCs w:val="52"/>
        </w:rPr>
        <w:t xml:space="preserve"> </w:t>
      </w:r>
      <w:r w:rsidRPr="00B96140">
        <w:rPr>
          <w:sz w:val="20"/>
          <w:szCs w:val="52"/>
        </w:rPr>
        <w:t>infusion for</w:t>
      </w:r>
      <w:r w:rsidRPr="00B96140">
        <w:rPr>
          <w:spacing w:val="1"/>
          <w:sz w:val="20"/>
          <w:szCs w:val="52"/>
        </w:rPr>
        <w:t xml:space="preserve"> </w:t>
      </w:r>
      <w:r w:rsidRPr="00B96140">
        <w:rPr>
          <w:sz w:val="20"/>
          <w:szCs w:val="52"/>
        </w:rPr>
        <w:t>each</w:t>
      </w:r>
      <w:r w:rsidRPr="00B96140">
        <w:rPr>
          <w:spacing w:val="-1"/>
          <w:sz w:val="20"/>
          <w:szCs w:val="52"/>
        </w:rPr>
        <w:t xml:space="preserve"> </w:t>
      </w:r>
      <w:r w:rsidRPr="00B96140">
        <w:rPr>
          <w:sz w:val="20"/>
          <w:szCs w:val="52"/>
        </w:rPr>
        <w:t>subject.</w:t>
      </w:r>
    </w:p>
    <w:p w14:paraId="55B7F6E1" w14:textId="4C00073D" w:rsidR="00C41116" w:rsidRPr="00B96140" w:rsidRDefault="00C41116" w:rsidP="00C41116">
      <w:pPr>
        <w:pStyle w:val="TableFootnoteInfo"/>
        <w:rPr>
          <w:sz w:val="20"/>
          <w:szCs w:val="52"/>
        </w:rPr>
      </w:pPr>
      <w:r w:rsidRPr="00B96140">
        <w:rPr>
          <w:w w:val="95"/>
          <w:sz w:val="20"/>
          <w:szCs w:val="52"/>
          <w:vertAlign w:val="superscript"/>
        </w:rPr>
        <w:t>b</w:t>
      </w:r>
      <w:r w:rsidRPr="00B96140">
        <w:rPr>
          <w:spacing w:val="-4"/>
          <w:w w:val="95"/>
          <w:sz w:val="20"/>
          <w:szCs w:val="52"/>
        </w:rPr>
        <w:t xml:space="preserve"> </w:t>
      </w:r>
      <w:r>
        <w:rPr>
          <w:sz w:val="20"/>
          <w:szCs w:val="52"/>
        </w:rPr>
        <w:t>The CI is for the Hodges-Lehman estimate of shift.</w:t>
      </w:r>
    </w:p>
    <w:p w14:paraId="389C2EF9" w14:textId="77777777" w:rsidR="00682D8B" w:rsidRDefault="00311573" w:rsidP="00C41116">
      <w:pPr>
        <w:pStyle w:val="TableFootnoteInfo"/>
        <w:rPr>
          <w:spacing w:val="1"/>
          <w:sz w:val="20"/>
          <w:szCs w:val="52"/>
        </w:rPr>
      </w:pPr>
      <w:r w:rsidRPr="00B96140">
        <w:rPr>
          <w:noProof/>
          <w:sz w:val="20"/>
          <w:szCs w:val="52"/>
        </w:rPr>
        <mc:AlternateContent>
          <mc:Choice Requires="wps">
            <w:drawing>
              <wp:anchor distT="0" distB="0" distL="114300" distR="114300" simplePos="0" relativeHeight="251658240" behindDoc="0" locked="0" layoutInCell="1" allowOverlap="1" wp14:anchorId="7CF7E168" wp14:editId="34F24FD5">
                <wp:simplePos x="0" y="0"/>
                <wp:positionH relativeFrom="page">
                  <wp:posOffset>3092450</wp:posOffset>
                </wp:positionH>
                <wp:positionV relativeFrom="paragraph">
                  <wp:posOffset>279400</wp:posOffset>
                </wp:positionV>
                <wp:extent cx="31750" cy="6350"/>
                <wp:effectExtent l="0" t="2540" r="0" b="635"/>
                <wp:wrapNone/>
                <wp:docPr id="710"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68075" id="Rectangle 710" o:spid="_x0000_s1026" style="position:absolute;margin-left:243.5pt;margin-top:22pt;width:2.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" fillcolor="black" stroked="f">
                <w10:wrap anchorx="page"/>
              </v:rect>
            </w:pict>
          </mc:Fallback>
        </mc:AlternateContent>
      </w:r>
      <w:r w:rsidRPr="00B96140">
        <w:rPr>
          <w:spacing w:val="-1"/>
          <w:sz w:val="20"/>
          <w:szCs w:val="52"/>
          <w:vertAlign w:val="superscript"/>
        </w:rPr>
        <w:t>c</w:t>
      </w:r>
      <w:r w:rsidRPr="00B96140">
        <w:rPr>
          <w:spacing w:val="-1"/>
          <w:sz w:val="20"/>
          <w:szCs w:val="52"/>
        </w:rPr>
        <w:t xml:space="preserve"> p-value obtained from a 2-sided exact </w:t>
      </w:r>
      <w:r w:rsidRPr="00B96140">
        <w:rPr>
          <w:sz w:val="20"/>
          <w:szCs w:val="52"/>
        </w:rPr>
        <w:t>Wilcoxon rank-sum test.</w:t>
      </w:r>
      <w:r w:rsidRPr="00B96140">
        <w:rPr>
          <w:spacing w:val="1"/>
          <w:sz w:val="20"/>
          <w:szCs w:val="52"/>
        </w:rPr>
        <w:t xml:space="preserve"> </w:t>
      </w:r>
    </w:p>
    <w:p w14:paraId="51FB2B85" w14:textId="1C1DA6FE" w:rsidR="00311573" w:rsidRPr="00B96140" w:rsidRDefault="00311573" w:rsidP="00C41116">
      <w:pPr>
        <w:pStyle w:val="TableFootnoteInfo"/>
        <w:rPr>
          <w:sz w:val="20"/>
          <w:szCs w:val="52"/>
        </w:rPr>
      </w:pPr>
      <w:r w:rsidRPr="00B96140">
        <w:rPr>
          <w:sz w:val="20"/>
          <w:szCs w:val="52"/>
        </w:rPr>
        <w:t>Abbreviations:</w:t>
      </w:r>
      <w:r w:rsidRPr="00B96140">
        <w:rPr>
          <w:spacing w:val="-4"/>
          <w:sz w:val="20"/>
          <w:szCs w:val="52"/>
        </w:rPr>
        <w:t xml:space="preserve"> </w:t>
      </w:r>
      <w:proofErr w:type="spellStart"/>
      <w:r w:rsidRPr="00B96140">
        <w:rPr>
          <w:sz w:val="20"/>
          <w:szCs w:val="52"/>
        </w:rPr>
        <w:t>FXa</w:t>
      </w:r>
      <w:proofErr w:type="spellEnd"/>
      <w:r w:rsidRPr="00B96140">
        <w:rPr>
          <w:spacing w:val="-3"/>
          <w:sz w:val="20"/>
          <w:szCs w:val="52"/>
        </w:rPr>
        <w:t xml:space="preserve"> </w:t>
      </w:r>
      <w:r w:rsidRPr="00B96140">
        <w:rPr>
          <w:sz w:val="20"/>
          <w:szCs w:val="52"/>
        </w:rPr>
        <w:t>=</w:t>
      </w:r>
      <w:r w:rsidRPr="00B96140">
        <w:rPr>
          <w:spacing w:val="-3"/>
          <w:sz w:val="20"/>
          <w:szCs w:val="52"/>
        </w:rPr>
        <w:t xml:space="preserve"> </w:t>
      </w:r>
      <w:r w:rsidRPr="00B96140">
        <w:rPr>
          <w:sz w:val="20"/>
          <w:szCs w:val="52"/>
        </w:rPr>
        <w:t>factor</w:t>
      </w:r>
      <w:r w:rsidRPr="00B96140">
        <w:rPr>
          <w:spacing w:val="-2"/>
          <w:sz w:val="20"/>
          <w:szCs w:val="52"/>
        </w:rPr>
        <w:t xml:space="preserve"> </w:t>
      </w:r>
      <w:proofErr w:type="spellStart"/>
      <w:r w:rsidRPr="00B96140">
        <w:rPr>
          <w:sz w:val="20"/>
          <w:szCs w:val="52"/>
        </w:rPr>
        <w:t>X</w:t>
      </w:r>
      <w:r w:rsidR="00D6755E">
        <w:rPr>
          <w:sz w:val="20"/>
          <w:szCs w:val="52"/>
        </w:rPr>
        <w:t>a</w:t>
      </w:r>
      <w:proofErr w:type="spellEnd"/>
      <w:r w:rsidRPr="00B96140">
        <w:rPr>
          <w:sz w:val="20"/>
          <w:szCs w:val="52"/>
        </w:rPr>
        <w:t>;</w:t>
      </w:r>
      <w:r w:rsidRPr="00B96140">
        <w:rPr>
          <w:spacing w:val="-3"/>
          <w:sz w:val="20"/>
          <w:szCs w:val="52"/>
        </w:rPr>
        <w:t xml:space="preserve"> </w:t>
      </w:r>
      <w:r w:rsidRPr="00B96140">
        <w:rPr>
          <w:sz w:val="20"/>
          <w:szCs w:val="52"/>
        </w:rPr>
        <w:t>SD</w:t>
      </w:r>
      <w:r w:rsidRPr="00B96140">
        <w:rPr>
          <w:spacing w:val="-4"/>
          <w:sz w:val="20"/>
          <w:szCs w:val="52"/>
        </w:rPr>
        <w:t xml:space="preserve"> </w:t>
      </w:r>
      <w:r w:rsidRPr="00B96140">
        <w:rPr>
          <w:sz w:val="20"/>
          <w:szCs w:val="52"/>
        </w:rPr>
        <w:t>=</w:t>
      </w:r>
      <w:r w:rsidRPr="00B96140">
        <w:rPr>
          <w:spacing w:val="-3"/>
          <w:sz w:val="20"/>
          <w:szCs w:val="52"/>
        </w:rPr>
        <w:t xml:space="preserve"> </w:t>
      </w:r>
      <w:r w:rsidRPr="00B96140">
        <w:rPr>
          <w:sz w:val="20"/>
          <w:szCs w:val="52"/>
        </w:rPr>
        <w:t>standard</w:t>
      </w:r>
      <w:r w:rsidRPr="00B96140">
        <w:rPr>
          <w:spacing w:val="-2"/>
          <w:sz w:val="20"/>
          <w:szCs w:val="52"/>
        </w:rPr>
        <w:t xml:space="preserve"> </w:t>
      </w:r>
      <w:r w:rsidRPr="00B96140">
        <w:rPr>
          <w:sz w:val="20"/>
          <w:szCs w:val="52"/>
        </w:rPr>
        <w:t>deviation</w:t>
      </w:r>
    </w:p>
    <w:bookmarkEnd w:id="13"/>
    <w:p w14:paraId="2F5846B8" w14:textId="77777777" w:rsidR="00B96140" w:rsidRDefault="00B96140" w:rsidP="00B96140">
      <w:pPr>
        <w:pStyle w:val="TableFootnoteInfo"/>
      </w:pPr>
    </w:p>
    <w:p w14:paraId="06E983A4" w14:textId="17806ADB" w:rsidR="009D271D" w:rsidRDefault="00B96140" w:rsidP="0044692B">
      <w:pPr>
        <w:pStyle w:val="FigureTitle"/>
      </w:pPr>
      <w:r w:rsidRPr="00B96140">
        <w:t>Figure 1</w:t>
      </w:r>
      <w:r w:rsidRPr="00B96140">
        <w:tab/>
        <w:t>Change in anti-</w:t>
      </w:r>
      <w:proofErr w:type="spellStart"/>
      <w:r w:rsidRPr="00B96140">
        <w:t>FXa</w:t>
      </w:r>
      <w:proofErr w:type="spellEnd"/>
      <w:r w:rsidRPr="00B96140">
        <w:t xml:space="preserve"> activity (ng/mL) in healthy subjects anticoagulated with apixaban (A) and rivaroxaban (B)</w:t>
      </w:r>
    </w:p>
    <w:p w14:paraId="0C5D126B" w14:textId="52EFAB6D" w:rsidR="0044692B" w:rsidRPr="009D271D" w:rsidRDefault="0044692B" w:rsidP="00EA5850">
      <w:pPr>
        <w:keepNext/>
        <w:ind w:left="118"/>
        <w:jc w:val="center"/>
      </w:pPr>
      <w:r>
        <w:rPr>
          <w:noProof/>
        </w:rPr>
        <w:drawing>
          <wp:inline distT="0" distB="0" distL="0" distR="0" wp14:anchorId="4F90563B" wp14:editId="414E1A91">
            <wp:extent cx="4049486" cy="2274388"/>
            <wp:effectExtent l="0" t="0" r="8255" b="0"/>
            <wp:docPr id="13" name="Picture 13"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13" name="Picture 13" descr="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054652" cy="2277290"/>
                    </a:xfrm>
                    <a:prstGeom prst="rect">
                      <a:avLst/>
                    </a:prstGeom>
                  </pic:spPr>
                </pic:pic>
              </a:graphicData>
            </a:graphic>
          </wp:inline>
        </w:drawing>
      </w:r>
    </w:p>
    <w:p w14:paraId="0F8BD843" w14:textId="237F43C4" w:rsidR="009D271D" w:rsidRPr="009E4F89" w:rsidRDefault="009D271D" w:rsidP="00EA5850">
      <w:pPr>
        <w:ind w:left="4038" w:firstLine="282"/>
      </w:pPr>
      <w:r>
        <w:rPr>
          <w:b/>
          <w:spacing w:val="-2"/>
        </w:rPr>
        <w:t>(A)</w:t>
      </w:r>
    </w:p>
    <w:p w14:paraId="6F03561C" w14:textId="6C5E0829" w:rsidR="009D271D" w:rsidRDefault="009D271D" w:rsidP="00EA5850">
      <w:pPr>
        <w:ind w:left="118"/>
        <w:jc w:val="center"/>
      </w:pPr>
    </w:p>
    <w:p w14:paraId="15FA43F8" w14:textId="52EF6C74" w:rsidR="0044692B" w:rsidRPr="009D271D" w:rsidRDefault="0044692B" w:rsidP="00EA5850">
      <w:pPr>
        <w:ind w:left="118"/>
        <w:jc w:val="center"/>
      </w:pPr>
      <w:r>
        <w:rPr>
          <w:noProof/>
        </w:rPr>
        <w:lastRenderedPageBreak/>
        <w:drawing>
          <wp:inline distT="0" distB="0" distL="0" distR="0" wp14:anchorId="46208F0F" wp14:editId="69CB2068">
            <wp:extent cx="3992245" cy="2345871"/>
            <wp:effectExtent l="0" t="0" r="8255" b="0"/>
            <wp:docPr id="12" name="Picture 12"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997094" cy="2348720"/>
                    </a:xfrm>
                    <a:prstGeom prst="rect">
                      <a:avLst/>
                    </a:prstGeom>
                  </pic:spPr>
                </pic:pic>
              </a:graphicData>
            </a:graphic>
          </wp:inline>
        </w:drawing>
      </w:r>
    </w:p>
    <w:p w14:paraId="5AA7A5FF" w14:textId="1E9755D5" w:rsidR="008F2CB8" w:rsidRPr="009E4F89" w:rsidRDefault="008F2CB8" w:rsidP="00EA5850">
      <w:pPr>
        <w:ind w:left="4038" w:firstLine="282"/>
      </w:pPr>
      <w:r>
        <w:rPr>
          <w:b/>
          <w:spacing w:val="-2"/>
        </w:rPr>
        <w:t>(B)</w:t>
      </w:r>
    </w:p>
    <w:p w14:paraId="7DC9FD96" w14:textId="77777777" w:rsidR="009D271D" w:rsidRPr="009D271D" w:rsidRDefault="009D271D" w:rsidP="009D271D">
      <w:pPr>
        <w:pStyle w:val="Paragraph"/>
        <w:spacing w:after="0"/>
        <w:rPr>
          <w:sz w:val="20"/>
          <w:szCs w:val="20"/>
        </w:rPr>
      </w:pPr>
      <w:r w:rsidRPr="00D6755E">
        <w:rPr>
          <w:sz w:val="20"/>
          <w:szCs w:val="20"/>
        </w:rPr>
        <w:t>Note:</w:t>
      </w:r>
      <w:r w:rsidRPr="009D271D">
        <w:rPr>
          <w:spacing w:val="-4"/>
          <w:sz w:val="20"/>
          <w:szCs w:val="20"/>
        </w:rPr>
        <w:t xml:space="preserve"> </w:t>
      </w:r>
      <w:r w:rsidRPr="009D271D">
        <w:rPr>
          <w:sz w:val="20"/>
          <w:szCs w:val="20"/>
        </w:rPr>
        <w:t>Anti-</w:t>
      </w:r>
      <w:proofErr w:type="spellStart"/>
      <w:r w:rsidRPr="009D271D">
        <w:rPr>
          <w:sz w:val="20"/>
          <w:szCs w:val="20"/>
        </w:rPr>
        <w:t>FXa</w:t>
      </w:r>
      <w:proofErr w:type="spellEnd"/>
      <w:r w:rsidRPr="009D271D">
        <w:rPr>
          <w:spacing w:val="-3"/>
          <w:sz w:val="20"/>
          <w:szCs w:val="20"/>
        </w:rPr>
        <w:t xml:space="preserve"> </w:t>
      </w:r>
      <w:r w:rsidRPr="009D271D">
        <w:rPr>
          <w:sz w:val="20"/>
          <w:szCs w:val="20"/>
        </w:rPr>
        <w:t>activity</w:t>
      </w:r>
      <w:r w:rsidRPr="009D271D">
        <w:rPr>
          <w:spacing w:val="-2"/>
          <w:sz w:val="20"/>
          <w:szCs w:val="20"/>
        </w:rPr>
        <w:t xml:space="preserve"> </w:t>
      </w:r>
      <w:r w:rsidRPr="009D271D">
        <w:rPr>
          <w:sz w:val="20"/>
          <w:szCs w:val="20"/>
        </w:rPr>
        <w:t>was</w:t>
      </w:r>
      <w:r w:rsidRPr="009D271D">
        <w:rPr>
          <w:spacing w:val="-4"/>
          <w:sz w:val="20"/>
          <w:szCs w:val="20"/>
        </w:rPr>
        <w:t xml:space="preserve"> </w:t>
      </w:r>
      <w:r w:rsidRPr="009D271D">
        <w:rPr>
          <w:sz w:val="20"/>
          <w:szCs w:val="20"/>
        </w:rPr>
        <w:t>measured</w:t>
      </w:r>
      <w:r w:rsidRPr="009D271D">
        <w:rPr>
          <w:spacing w:val="-3"/>
          <w:sz w:val="20"/>
          <w:szCs w:val="20"/>
        </w:rPr>
        <w:t xml:space="preserve"> </w:t>
      </w:r>
      <w:r w:rsidRPr="009D271D">
        <w:rPr>
          <w:sz w:val="20"/>
          <w:szCs w:val="20"/>
        </w:rPr>
        <w:t>prior</w:t>
      </w:r>
      <w:r w:rsidRPr="009D271D">
        <w:rPr>
          <w:spacing w:val="-2"/>
          <w:sz w:val="20"/>
          <w:szCs w:val="20"/>
        </w:rPr>
        <w:t xml:space="preserve"> </w:t>
      </w:r>
      <w:r w:rsidRPr="009D271D">
        <w:rPr>
          <w:sz w:val="20"/>
          <w:szCs w:val="20"/>
        </w:rPr>
        <w:t>to</w:t>
      </w:r>
      <w:r w:rsidRPr="009D271D">
        <w:rPr>
          <w:spacing w:val="-2"/>
          <w:sz w:val="20"/>
          <w:szCs w:val="20"/>
        </w:rPr>
        <w:t xml:space="preserve"> </w:t>
      </w:r>
      <w:r w:rsidRPr="009D271D">
        <w:rPr>
          <w:sz w:val="20"/>
          <w:szCs w:val="20"/>
        </w:rPr>
        <w:t>and</w:t>
      </w:r>
      <w:r w:rsidRPr="009D271D">
        <w:rPr>
          <w:spacing w:val="-2"/>
          <w:sz w:val="20"/>
          <w:szCs w:val="20"/>
        </w:rPr>
        <w:t xml:space="preserve"> </w:t>
      </w:r>
      <w:r w:rsidRPr="009D271D">
        <w:rPr>
          <w:sz w:val="20"/>
          <w:szCs w:val="20"/>
        </w:rPr>
        <w:t>after</w:t>
      </w:r>
      <w:r w:rsidRPr="009D271D">
        <w:rPr>
          <w:spacing w:val="-3"/>
          <w:sz w:val="20"/>
          <w:szCs w:val="20"/>
        </w:rPr>
        <w:t xml:space="preserve"> </w:t>
      </w:r>
      <w:r w:rsidRPr="009D271D">
        <w:rPr>
          <w:sz w:val="20"/>
          <w:szCs w:val="20"/>
        </w:rPr>
        <w:t>ANDEXXA</w:t>
      </w:r>
      <w:r w:rsidRPr="009D271D">
        <w:rPr>
          <w:spacing w:val="-3"/>
          <w:sz w:val="20"/>
          <w:szCs w:val="20"/>
        </w:rPr>
        <w:t xml:space="preserve"> </w:t>
      </w:r>
      <w:r w:rsidRPr="009D271D">
        <w:rPr>
          <w:sz w:val="20"/>
          <w:szCs w:val="20"/>
        </w:rPr>
        <w:t>or</w:t>
      </w:r>
      <w:r w:rsidRPr="009D271D">
        <w:rPr>
          <w:spacing w:val="-2"/>
          <w:sz w:val="20"/>
          <w:szCs w:val="20"/>
        </w:rPr>
        <w:t xml:space="preserve"> </w:t>
      </w:r>
      <w:r w:rsidRPr="009D271D">
        <w:rPr>
          <w:sz w:val="20"/>
          <w:szCs w:val="20"/>
        </w:rPr>
        <w:t>placebo</w:t>
      </w:r>
      <w:r w:rsidRPr="009D271D">
        <w:rPr>
          <w:spacing w:val="-2"/>
          <w:sz w:val="20"/>
          <w:szCs w:val="20"/>
        </w:rPr>
        <w:t xml:space="preserve"> </w:t>
      </w:r>
      <w:r w:rsidRPr="009D271D">
        <w:rPr>
          <w:sz w:val="20"/>
          <w:szCs w:val="20"/>
        </w:rPr>
        <w:t>administration.</w:t>
      </w:r>
    </w:p>
    <w:p w14:paraId="49125B14" w14:textId="6AE1303A" w:rsidR="009D271D" w:rsidRPr="009D271D" w:rsidRDefault="009D271D" w:rsidP="009D271D">
      <w:pPr>
        <w:pStyle w:val="Paragraph"/>
        <w:spacing w:after="0"/>
        <w:rPr>
          <w:sz w:val="20"/>
          <w:szCs w:val="20"/>
        </w:rPr>
      </w:pPr>
      <w:r w:rsidRPr="009D271D">
        <w:rPr>
          <w:sz w:val="20"/>
          <w:szCs w:val="20"/>
        </w:rPr>
        <w:t>Dashed lines indicate the end of the bolus or infusion. A break in the x-axis is added to better visuali</w:t>
      </w:r>
      <w:r>
        <w:rPr>
          <w:sz w:val="20"/>
          <w:szCs w:val="20"/>
        </w:rPr>
        <w:t>s</w:t>
      </w:r>
      <w:r w:rsidRPr="009D271D">
        <w:rPr>
          <w:sz w:val="20"/>
          <w:szCs w:val="20"/>
        </w:rPr>
        <w:t>e the</w:t>
      </w:r>
      <w:r w:rsidRPr="009D271D">
        <w:rPr>
          <w:spacing w:val="1"/>
          <w:sz w:val="20"/>
          <w:szCs w:val="20"/>
        </w:rPr>
        <w:t xml:space="preserve"> </w:t>
      </w:r>
      <w:r w:rsidRPr="009D271D">
        <w:rPr>
          <w:sz w:val="20"/>
          <w:szCs w:val="20"/>
        </w:rPr>
        <w:t>immediate, short-term dynamics of anti-</w:t>
      </w:r>
      <w:proofErr w:type="spellStart"/>
      <w:r w:rsidR="00506DC3">
        <w:rPr>
          <w:sz w:val="20"/>
          <w:szCs w:val="20"/>
        </w:rPr>
        <w:t>F</w:t>
      </w:r>
      <w:r w:rsidRPr="009D271D">
        <w:rPr>
          <w:sz w:val="20"/>
          <w:szCs w:val="20"/>
        </w:rPr>
        <w:t>Xa</w:t>
      </w:r>
      <w:proofErr w:type="spellEnd"/>
      <w:r w:rsidRPr="009D271D">
        <w:rPr>
          <w:sz w:val="20"/>
          <w:szCs w:val="20"/>
        </w:rPr>
        <w:t xml:space="preserve"> activity following ANDEXXA treatment. The points on the graph</w:t>
      </w:r>
      <w:r w:rsidRPr="009D271D">
        <w:rPr>
          <w:spacing w:val="1"/>
          <w:sz w:val="20"/>
          <w:szCs w:val="20"/>
        </w:rPr>
        <w:t xml:space="preserve"> </w:t>
      </w:r>
      <w:r w:rsidRPr="009D271D">
        <w:rPr>
          <w:sz w:val="20"/>
          <w:szCs w:val="20"/>
        </w:rPr>
        <w:t>represent the mean anti-</w:t>
      </w:r>
      <w:proofErr w:type="spellStart"/>
      <w:r w:rsidR="00506DC3">
        <w:rPr>
          <w:sz w:val="20"/>
          <w:szCs w:val="20"/>
        </w:rPr>
        <w:t>F</w:t>
      </w:r>
      <w:r w:rsidRPr="009D271D">
        <w:rPr>
          <w:sz w:val="20"/>
          <w:szCs w:val="20"/>
        </w:rPr>
        <w:t>Xa</w:t>
      </w:r>
      <w:proofErr w:type="spellEnd"/>
      <w:r w:rsidRPr="009D271D">
        <w:rPr>
          <w:sz w:val="20"/>
          <w:szCs w:val="20"/>
        </w:rPr>
        <w:t xml:space="preserve"> activity level; error bars illustrate standard error. There was a statistically signific</w:t>
      </w:r>
      <w:r w:rsidR="00D6755E">
        <w:rPr>
          <w:sz w:val="20"/>
          <w:szCs w:val="20"/>
        </w:rPr>
        <w:t xml:space="preserve">ant </w:t>
      </w:r>
      <w:r w:rsidRPr="009D271D">
        <w:rPr>
          <w:sz w:val="20"/>
          <w:szCs w:val="20"/>
        </w:rPr>
        <w:t>difference (p &lt;0.05) in the percent change of anti-</w:t>
      </w:r>
      <w:proofErr w:type="spellStart"/>
      <w:r w:rsidR="00506DC3">
        <w:rPr>
          <w:sz w:val="20"/>
          <w:szCs w:val="20"/>
        </w:rPr>
        <w:t>F</w:t>
      </w:r>
      <w:r w:rsidRPr="009D271D">
        <w:rPr>
          <w:sz w:val="20"/>
          <w:szCs w:val="20"/>
        </w:rPr>
        <w:t>Xa</w:t>
      </w:r>
      <w:proofErr w:type="spellEnd"/>
      <w:r w:rsidRPr="009D271D">
        <w:rPr>
          <w:sz w:val="20"/>
          <w:szCs w:val="20"/>
        </w:rPr>
        <w:t xml:space="preserve"> activity normali</w:t>
      </w:r>
      <w:r w:rsidR="006B677E">
        <w:rPr>
          <w:sz w:val="20"/>
          <w:szCs w:val="20"/>
        </w:rPr>
        <w:t>s</w:t>
      </w:r>
      <w:r w:rsidRPr="009D271D">
        <w:rPr>
          <w:sz w:val="20"/>
          <w:szCs w:val="20"/>
        </w:rPr>
        <w:t xml:space="preserve">ed to pre-bolus between ANDEXXA </w:t>
      </w:r>
      <w:proofErr w:type="gramStart"/>
      <w:r w:rsidR="00D6755E">
        <w:rPr>
          <w:sz w:val="20"/>
          <w:szCs w:val="20"/>
        </w:rPr>
        <w:t xml:space="preserve">and </w:t>
      </w:r>
      <w:r w:rsidRPr="009D271D">
        <w:rPr>
          <w:spacing w:val="-48"/>
          <w:sz w:val="20"/>
          <w:szCs w:val="20"/>
        </w:rPr>
        <w:t xml:space="preserve"> </w:t>
      </w:r>
      <w:r w:rsidRPr="009D271D">
        <w:rPr>
          <w:sz w:val="20"/>
          <w:szCs w:val="20"/>
        </w:rPr>
        <w:t>placebo</w:t>
      </w:r>
      <w:proofErr w:type="gramEnd"/>
      <w:r w:rsidRPr="009D271D">
        <w:rPr>
          <w:sz w:val="20"/>
          <w:szCs w:val="20"/>
        </w:rPr>
        <w:t xml:space="preserve"> until 2</w:t>
      </w:r>
      <w:r w:rsidRPr="009D271D">
        <w:rPr>
          <w:spacing w:val="1"/>
          <w:sz w:val="20"/>
          <w:szCs w:val="20"/>
        </w:rPr>
        <w:t xml:space="preserve"> </w:t>
      </w:r>
      <w:r w:rsidRPr="009D271D">
        <w:rPr>
          <w:sz w:val="20"/>
          <w:szCs w:val="20"/>
        </w:rPr>
        <w:t>hours</w:t>
      </w:r>
      <w:r w:rsidRPr="009D271D">
        <w:rPr>
          <w:spacing w:val="-1"/>
          <w:sz w:val="20"/>
          <w:szCs w:val="20"/>
        </w:rPr>
        <w:t xml:space="preserve"> </w:t>
      </w:r>
      <w:r w:rsidRPr="009D271D">
        <w:rPr>
          <w:sz w:val="20"/>
          <w:szCs w:val="20"/>
        </w:rPr>
        <w:t>after administration</w:t>
      </w:r>
      <w:r w:rsidRPr="009D271D">
        <w:rPr>
          <w:spacing w:val="1"/>
          <w:sz w:val="20"/>
          <w:szCs w:val="20"/>
        </w:rPr>
        <w:t xml:space="preserve"> </w:t>
      </w:r>
      <w:r w:rsidRPr="009D271D">
        <w:rPr>
          <w:sz w:val="20"/>
          <w:szCs w:val="20"/>
        </w:rPr>
        <w:t>of</w:t>
      </w:r>
      <w:r w:rsidRPr="009D271D">
        <w:rPr>
          <w:spacing w:val="1"/>
          <w:sz w:val="20"/>
          <w:szCs w:val="20"/>
        </w:rPr>
        <w:t xml:space="preserve"> </w:t>
      </w:r>
      <w:r w:rsidRPr="009D271D">
        <w:rPr>
          <w:sz w:val="20"/>
          <w:szCs w:val="20"/>
        </w:rPr>
        <w:t>infusion.</w:t>
      </w:r>
    </w:p>
    <w:p w14:paraId="603CE435" w14:textId="0CA3F1DE" w:rsidR="009D271D" w:rsidRPr="009D271D" w:rsidRDefault="009D271D" w:rsidP="009D271D">
      <w:pPr>
        <w:pStyle w:val="Paragraph"/>
        <w:spacing w:after="0"/>
        <w:rPr>
          <w:sz w:val="20"/>
          <w:szCs w:val="20"/>
        </w:rPr>
      </w:pPr>
      <w:r w:rsidRPr="009D271D">
        <w:rPr>
          <w:sz w:val="20"/>
          <w:szCs w:val="20"/>
        </w:rPr>
        <w:t>A.</w:t>
      </w:r>
      <w:r>
        <w:rPr>
          <w:sz w:val="20"/>
          <w:szCs w:val="20"/>
        </w:rPr>
        <w:t xml:space="preserve"> </w:t>
      </w:r>
      <w:r w:rsidRPr="009D271D">
        <w:rPr>
          <w:sz w:val="20"/>
          <w:szCs w:val="20"/>
        </w:rPr>
        <w:t>Apixaban</w:t>
      </w:r>
      <w:r w:rsidRPr="009D271D">
        <w:rPr>
          <w:spacing w:val="-1"/>
          <w:sz w:val="20"/>
          <w:szCs w:val="20"/>
        </w:rPr>
        <w:t xml:space="preserve"> </w:t>
      </w:r>
      <w:r w:rsidRPr="009D271D">
        <w:rPr>
          <w:sz w:val="20"/>
          <w:szCs w:val="20"/>
        </w:rPr>
        <w:t>with</w:t>
      </w:r>
      <w:r w:rsidRPr="009D271D">
        <w:rPr>
          <w:spacing w:val="-1"/>
          <w:sz w:val="20"/>
          <w:szCs w:val="20"/>
        </w:rPr>
        <w:t xml:space="preserve"> </w:t>
      </w:r>
      <w:r w:rsidRPr="009D271D">
        <w:rPr>
          <w:sz w:val="20"/>
          <w:szCs w:val="20"/>
        </w:rPr>
        <w:t>ANDEXXA</w:t>
      </w:r>
      <w:r w:rsidRPr="009D271D">
        <w:rPr>
          <w:spacing w:val="-1"/>
          <w:sz w:val="20"/>
          <w:szCs w:val="20"/>
        </w:rPr>
        <w:t xml:space="preserve"> </w:t>
      </w:r>
      <w:r w:rsidRPr="009D271D">
        <w:rPr>
          <w:sz w:val="20"/>
          <w:szCs w:val="20"/>
        </w:rPr>
        <w:t>400</w:t>
      </w:r>
      <w:r w:rsidRPr="009D271D">
        <w:rPr>
          <w:spacing w:val="-1"/>
          <w:sz w:val="20"/>
          <w:szCs w:val="20"/>
        </w:rPr>
        <w:t xml:space="preserve"> </w:t>
      </w:r>
      <w:r w:rsidRPr="009D271D">
        <w:rPr>
          <w:sz w:val="20"/>
          <w:szCs w:val="20"/>
        </w:rPr>
        <w:t>mg</w:t>
      </w:r>
      <w:r w:rsidRPr="009D271D">
        <w:rPr>
          <w:spacing w:val="-1"/>
          <w:sz w:val="20"/>
          <w:szCs w:val="20"/>
        </w:rPr>
        <w:t xml:space="preserve"> </w:t>
      </w:r>
      <w:r w:rsidRPr="009D271D">
        <w:rPr>
          <w:sz w:val="20"/>
          <w:szCs w:val="20"/>
        </w:rPr>
        <w:t>IV</w:t>
      </w:r>
      <w:r w:rsidRPr="009D271D">
        <w:rPr>
          <w:spacing w:val="-1"/>
          <w:sz w:val="20"/>
          <w:szCs w:val="20"/>
        </w:rPr>
        <w:t xml:space="preserve"> </w:t>
      </w:r>
      <w:r w:rsidRPr="009D271D">
        <w:rPr>
          <w:sz w:val="20"/>
          <w:szCs w:val="20"/>
        </w:rPr>
        <w:t>bolus</w:t>
      </w:r>
      <w:r w:rsidRPr="009D271D">
        <w:rPr>
          <w:spacing w:val="-3"/>
          <w:sz w:val="20"/>
          <w:szCs w:val="20"/>
        </w:rPr>
        <w:t xml:space="preserve"> </w:t>
      </w:r>
      <w:r w:rsidRPr="009D271D">
        <w:rPr>
          <w:sz w:val="20"/>
          <w:szCs w:val="20"/>
        </w:rPr>
        <w:t>plus</w:t>
      </w:r>
      <w:r w:rsidRPr="009D271D">
        <w:rPr>
          <w:spacing w:val="-2"/>
          <w:sz w:val="20"/>
          <w:szCs w:val="20"/>
        </w:rPr>
        <w:t xml:space="preserve"> </w:t>
      </w:r>
      <w:r w:rsidRPr="009D271D">
        <w:rPr>
          <w:sz w:val="20"/>
          <w:szCs w:val="20"/>
        </w:rPr>
        <w:t>4</w:t>
      </w:r>
      <w:r w:rsidRPr="009D271D">
        <w:rPr>
          <w:spacing w:val="-3"/>
          <w:sz w:val="20"/>
          <w:szCs w:val="20"/>
        </w:rPr>
        <w:t xml:space="preserve"> </w:t>
      </w:r>
      <w:r w:rsidRPr="009D271D">
        <w:rPr>
          <w:sz w:val="20"/>
          <w:szCs w:val="20"/>
        </w:rPr>
        <w:t>mg/min</w:t>
      </w:r>
      <w:r w:rsidRPr="009D271D">
        <w:rPr>
          <w:spacing w:val="-1"/>
          <w:sz w:val="20"/>
          <w:szCs w:val="20"/>
        </w:rPr>
        <w:t xml:space="preserve"> </w:t>
      </w:r>
      <w:r w:rsidRPr="009D271D">
        <w:rPr>
          <w:sz w:val="20"/>
          <w:szCs w:val="20"/>
        </w:rPr>
        <w:t>infusion</w:t>
      </w:r>
      <w:r w:rsidRPr="009D271D">
        <w:rPr>
          <w:spacing w:val="-2"/>
          <w:sz w:val="20"/>
          <w:szCs w:val="20"/>
        </w:rPr>
        <w:t xml:space="preserve"> </w:t>
      </w:r>
      <w:r w:rsidRPr="009D271D">
        <w:rPr>
          <w:sz w:val="20"/>
          <w:szCs w:val="20"/>
        </w:rPr>
        <w:t>for</w:t>
      </w:r>
      <w:r w:rsidRPr="009D271D">
        <w:rPr>
          <w:spacing w:val="-4"/>
          <w:sz w:val="20"/>
          <w:szCs w:val="20"/>
        </w:rPr>
        <w:t xml:space="preserve"> </w:t>
      </w:r>
      <w:r w:rsidRPr="009D271D">
        <w:rPr>
          <w:sz w:val="20"/>
          <w:szCs w:val="20"/>
        </w:rPr>
        <w:t>120</w:t>
      </w:r>
      <w:r w:rsidRPr="009D271D">
        <w:rPr>
          <w:spacing w:val="-2"/>
          <w:sz w:val="20"/>
          <w:szCs w:val="20"/>
        </w:rPr>
        <w:t xml:space="preserve"> </w:t>
      </w:r>
      <w:r w:rsidRPr="009D271D">
        <w:rPr>
          <w:sz w:val="20"/>
          <w:szCs w:val="20"/>
        </w:rPr>
        <w:t>minutes.</w:t>
      </w:r>
    </w:p>
    <w:p w14:paraId="78338B44" w14:textId="5DF7FC37" w:rsidR="009D271D" w:rsidRDefault="009D271D" w:rsidP="009D271D">
      <w:pPr>
        <w:pStyle w:val="Paragraph"/>
        <w:spacing w:after="0"/>
        <w:rPr>
          <w:sz w:val="20"/>
          <w:szCs w:val="20"/>
        </w:rPr>
      </w:pPr>
      <w:r>
        <w:rPr>
          <w:sz w:val="20"/>
          <w:szCs w:val="20"/>
        </w:rPr>
        <w:t xml:space="preserve">B. </w:t>
      </w:r>
      <w:r w:rsidRPr="009D271D">
        <w:rPr>
          <w:sz w:val="20"/>
          <w:szCs w:val="20"/>
        </w:rPr>
        <w:t>Rivaroxaban with ANDEXXA 800 mg IV bolus plus 8 mg/min infusion for 120 minutes.</w:t>
      </w:r>
      <w:r w:rsidRPr="009D271D">
        <w:rPr>
          <w:spacing w:val="-47"/>
          <w:sz w:val="20"/>
          <w:szCs w:val="20"/>
        </w:rPr>
        <w:t xml:space="preserve"> </w:t>
      </w:r>
      <w:r>
        <w:rPr>
          <w:spacing w:val="-47"/>
          <w:sz w:val="20"/>
          <w:szCs w:val="20"/>
        </w:rPr>
        <w:br/>
      </w:r>
      <w:r w:rsidRPr="009D271D">
        <w:rPr>
          <w:sz w:val="20"/>
          <w:szCs w:val="20"/>
        </w:rPr>
        <w:t>Abbreviations:</w:t>
      </w:r>
      <w:r w:rsidRPr="009D271D">
        <w:rPr>
          <w:spacing w:val="-1"/>
          <w:sz w:val="20"/>
          <w:szCs w:val="20"/>
        </w:rPr>
        <w:t xml:space="preserve"> </w:t>
      </w:r>
      <w:proofErr w:type="spellStart"/>
      <w:r w:rsidRPr="009D271D">
        <w:rPr>
          <w:sz w:val="20"/>
          <w:szCs w:val="20"/>
        </w:rPr>
        <w:t>FXa</w:t>
      </w:r>
      <w:proofErr w:type="spellEnd"/>
      <w:r w:rsidRPr="009D271D">
        <w:rPr>
          <w:sz w:val="20"/>
          <w:szCs w:val="20"/>
        </w:rPr>
        <w:t xml:space="preserve"> =</w:t>
      </w:r>
      <w:r w:rsidRPr="009D271D">
        <w:rPr>
          <w:spacing w:val="1"/>
          <w:sz w:val="20"/>
          <w:szCs w:val="20"/>
        </w:rPr>
        <w:t xml:space="preserve"> </w:t>
      </w:r>
      <w:r w:rsidRPr="009D271D">
        <w:rPr>
          <w:sz w:val="20"/>
          <w:szCs w:val="20"/>
        </w:rPr>
        <w:t>factor</w:t>
      </w:r>
      <w:r w:rsidRPr="009D271D">
        <w:rPr>
          <w:spacing w:val="1"/>
          <w:sz w:val="20"/>
          <w:szCs w:val="20"/>
        </w:rPr>
        <w:t xml:space="preserve"> </w:t>
      </w:r>
      <w:proofErr w:type="spellStart"/>
      <w:r w:rsidRPr="009D271D">
        <w:rPr>
          <w:sz w:val="20"/>
          <w:szCs w:val="20"/>
        </w:rPr>
        <w:t>X</w:t>
      </w:r>
      <w:r w:rsidR="00D6755E">
        <w:rPr>
          <w:sz w:val="20"/>
          <w:szCs w:val="20"/>
        </w:rPr>
        <w:t>a</w:t>
      </w:r>
      <w:proofErr w:type="spellEnd"/>
      <w:r w:rsidRPr="009D271D">
        <w:rPr>
          <w:sz w:val="20"/>
          <w:szCs w:val="20"/>
        </w:rPr>
        <w:t>;</w:t>
      </w:r>
      <w:r w:rsidRPr="009D271D">
        <w:rPr>
          <w:spacing w:val="-1"/>
          <w:sz w:val="20"/>
          <w:szCs w:val="20"/>
        </w:rPr>
        <w:t xml:space="preserve"> </w:t>
      </w:r>
      <w:r w:rsidRPr="009D271D">
        <w:rPr>
          <w:sz w:val="20"/>
          <w:szCs w:val="20"/>
        </w:rPr>
        <w:t>IV =</w:t>
      </w:r>
      <w:r w:rsidRPr="009D271D">
        <w:rPr>
          <w:spacing w:val="-2"/>
          <w:sz w:val="20"/>
          <w:szCs w:val="20"/>
        </w:rPr>
        <w:t xml:space="preserve"> </w:t>
      </w:r>
      <w:r w:rsidRPr="009D271D">
        <w:rPr>
          <w:sz w:val="20"/>
          <w:szCs w:val="20"/>
        </w:rPr>
        <w:t>intravenous</w:t>
      </w:r>
      <w:r>
        <w:rPr>
          <w:sz w:val="20"/>
          <w:szCs w:val="20"/>
        </w:rPr>
        <w:t>.</w:t>
      </w:r>
    </w:p>
    <w:p w14:paraId="35EE0269" w14:textId="77777777" w:rsidR="008F2CB8" w:rsidRDefault="008F2CB8" w:rsidP="002F5203">
      <w:pPr>
        <w:pStyle w:val="Paragraph"/>
        <w:spacing w:after="0"/>
      </w:pPr>
    </w:p>
    <w:p w14:paraId="2B4864F2" w14:textId="25A7EAF8" w:rsidR="009D271D" w:rsidRPr="008F2CB8" w:rsidRDefault="009D271D" w:rsidP="008F2CB8">
      <w:pPr>
        <w:pStyle w:val="Heading4Unnumbered"/>
        <w:rPr>
          <w:i w:val="0"/>
          <w:iCs/>
        </w:rPr>
      </w:pPr>
      <w:r w:rsidRPr="008F2CB8">
        <w:rPr>
          <w:i w:val="0"/>
          <w:iCs/>
        </w:rPr>
        <w:t xml:space="preserve">Study 4 </w:t>
      </w:r>
      <w:r w:rsidR="009E4F89" w:rsidRPr="008F2CB8">
        <w:rPr>
          <w:i w:val="0"/>
          <w:iCs/>
        </w:rPr>
        <w:t>(</w:t>
      </w:r>
      <w:r w:rsidRPr="008F2CB8">
        <w:rPr>
          <w:i w:val="0"/>
          <w:iCs/>
        </w:rPr>
        <w:t>ANNEXA-4</w:t>
      </w:r>
      <w:r w:rsidR="009E4F89" w:rsidRPr="008F2CB8">
        <w:rPr>
          <w:i w:val="0"/>
          <w:iCs/>
        </w:rPr>
        <w:t>)</w:t>
      </w:r>
    </w:p>
    <w:p w14:paraId="4B2002A7" w14:textId="18DECE59" w:rsidR="009D271D" w:rsidRDefault="009D271D" w:rsidP="009D271D">
      <w:pPr>
        <w:pStyle w:val="Paragraph"/>
      </w:pPr>
      <w:r w:rsidRPr="009D271D">
        <w:t xml:space="preserve">In a multinational, prospective, single-arm, open-label study, ANDEXXA was administered to 477 patients taking </w:t>
      </w:r>
      <w:proofErr w:type="spellStart"/>
      <w:r w:rsidRPr="009D271D">
        <w:t>FXa</w:t>
      </w:r>
      <w:proofErr w:type="spellEnd"/>
      <w:r w:rsidRPr="009D271D">
        <w:t xml:space="preserve"> inhibitors who presented with acute major bleeding. </w:t>
      </w:r>
      <w:r w:rsidR="00C41116">
        <w:t xml:space="preserve">In </w:t>
      </w:r>
      <w:proofErr w:type="gramStart"/>
      <w:r w:rsidR="00C41116">
        <w:t>the majority of</w:t>
      </w:r>
      <w:proofErr w:type="gramEnd"/>
      <w:r w:rsidR="00C41116">
        <w:t xml:space="preserve"> patients, ANDEXXA was used to reverse anticoagulant therapy following either an intracranial haemorrhage (</w:t>
      </w:r>
      <w:r w:rsidR="00BC3421">
        <w:t>329</w:t>
      </w:r>
      <w:r w:rsidR="00C41116">
        <w:t>; 6</w:t>
      </w:r>
      <w:r w:rsidR="00BC3421">
        <w:t>9.0</w:t>
      </w:r>
      <w:r w:rsidR="00C41116">
        <w:t>%) or a gastrointestinal bleed (</w:t>
      </w:r>
      <w:r w:rsidR="00BC3421">
        <w:t>109</w:t>
      </w:r>
      <w:r w:rsidR="00C41116">
        <w:t>; 2</w:t>
      </w:r>
      <w:r w:rsidR="00BC3421">
        <w:t>2.9</w:t>
      </w:r>
      <w:r w:rsidR="00C41116">
        <w:t>%), with the remaining 3</w:t>
      </w:r>
      <w:r w:rsidR="00BC3421">
        <w:t>9</w:t>
      </w:r>
      <w:r w:rsidR="00C41116">
        <w:t xml:space="preserve"> subjects (</w:t>
      </w:r>
      <w:r w:rsidR="00BC3421">
        <w:t>8.2</w:t>
      </w:r>
      <w:r w:rsidR="00C41116">
        <w:t xml:space="preserve">%) experiencing bleeding at other sites. </w:t>
      </w:r>
      <w:r w:rsidRPr="009D271D">
        <w:t xml:space="preserve">The coprimary endpoints </w:t>
      </w:r>
      <w:proofErr w:type="gramStart"/>
      <w:r w:rsidRPr="009D271D">
        <w:t>were:</w:t>
      </w:r>
      <w:proofErr w:type="gramEnd"/>
      <w:r w:rsidRPr="009D271D">
        <w:t xml:space="preserve"> a) percent change in anti-</w:t>
      </w:r>
      <w:proofErr w:type="spellStart"/>
      <w:r w:rsidR="00506DC3">
        <w:t>F</w:t>
      </w:r>
      <w:r w:rsidRPr="009D271D">
        <w:t>Xa</w:t>
      </w:r>
      <w:proofErr w:type="spellEnd"/>
      <w:r w:rsidRPr="009D271D">
        <w:t xml:space="preserve"> activity from baseline to the on-treatment nadir</w:t>
      </w:r>
      <w:r w:rsidR="00955DEB">
        <w:t xml:space="preserve"> </w:t>
      </w:r>
      <w:r w:rsidRPr="009D271D">
        <w:t>between the end of the bolus up until the end of the infusion; and b) rate of effective h</w:t>
      </w:r>
      <w:r w:rsidR="009F7229">
        <w:t>a</w:t>
      </w:r>
      <w:r w:rsidRPr="009D271D">
        <w:t>emostasis at 12 hours after infusion, as rated by an independent endpoint adjudication committee blinded to anti-</w:t>
      </w:r>
      <w:proofErr w:type="spellStart"/>
      <w:r w:rsidR="00506DC3">
        <w:t>F</w:t>
      </w:r>
      <w:r w:rsidRPr="009D271D">
        <w:t>Xa</w:t>
      </w:r>
      <w:proofErr w:type="spellEnd"/>
      <w:r w:rsidRPr="009D271D">
        <w:t xml:space="preserve"> activity levels.</w:t>
      </w:r>
    </w:p>
    <w:p w14:paraId="1BFFA5A5" w14:textId="29A60C8C" w:rsidR="008A768A" w:rsidRPr="009D271D" w:rsidRDefault="003308B9" w:rsidP="009D271D">
      <w:pPr>
        <w:pStyle w:val="Paragraph"/>
      </w:pPr>
      <w:r w:rsidRPr="00671A59">
        <w:t xml:space="preserve">Key inclusion criteria were: acute major bleeding requiring urgent reversal of anticoagulation, in a patient who had received or was believed to have received a Factor </w:t>
      </w:r>
      <w:proofErr w:type="spellStart"/>
      <w:r w:rsidRPr="00671A59">
        <w:t>Xa</w:t>
      </w:r>
      <w:proofErr w:type="spellEnd"/>
      <w:r w:rsidRPr="00671A59">
        <w:t xml:space="preserve"> inhibitor within 18 hours prior to dosing with </w:t>
      </w:r>
      <w:r w:rsidR="00816B4D" w:rsidRPr="00671A59">
        <w:t>ANDEXXA</w:t>
      </w:r>
      <w:r w:rsidRPr="00671A59">
        <w:t xml:space="preserve">, either with signs or symptoms of haemodynamic compromise, a haemoglobin ≤ </w:t>
      </w:r>
      <w:r w:rsidR="004E7490" w:rsidRPr="00671A59">
        <w:t xml:space="preserve">80g/L </w:t>
      </w:r>
      <w:r w:rsidRPr="00671A59">
        <w:t xml:space="preserve">or drop in haemoglobin of ≥ </w:t>
      </w:r>
      <w:r w:rsidR="0016558D" w:rsidRPr="00671A59">
        <w:t>20g/L</w:t>
      </w:r>
      <w:r w:rsidRPr="00671A59">
        <w:t xml:space="preserve">, or acute bleeding in a critical area or organ (eg, pericardial, intracranial, or intraspinal). Key exclusion criteria </w:t>
      </w:r>
      <w:proofErr w:type="gramStart"/>
      <w:r w:rsidRPr="00671A59">
        <w:t>were:</w:t>
      </w:r>
      <w:proofErr w:type="gramEnd"/>
      <w:r w:rsidRPr="00671A59">
        <w:t xml:space="preserve"> patients scheduled to undergo surgery in less than 12 hours after the end of ANDEXXA infusion, patients with ICH and GCS &lt; 7 or haematoma volume &gt; 60 mL, patients with a recent history of a thrombotic event, and patients with sepsis.</w:t>
      </w:r>
      <w:r w:rsidR="00F133D0">
        <w:t xml:space="preserve"> </w:t>
      </w:r>
    </w:p>
    <w:p w14:paraId="3502E4C7" w14:textId="761D82F9" w:rsidR="009D271D" w:rsidRPr="009D271D" w:rsidRDefault="009D271D" w:rsidP="009D271D">
      <w:pPr>
        <w:pStyle w:val="Paragraph"/>
      </w:pPr>
      <w:r w:rsidRPr="00BD7D95">
        <w:t xml:space="preserve">Of the 477 patients dosed </w:t>
      </w:r>
      <w:r w:rsidRPr="00671A59">
        <w:t xml:space="preserve">with ANDEXXA, 347 patients were </w:t>
      </w:r>
      <w:r w:rsidR="003308B9" w:rsidRPr="00671A59">
        <w:t xml:space="preserve">considered </w:t>
      </w:r>
      <w:proofErr w:type="gramStart"/>
      <w:r w:rsidRPr="00671A59">
        <w:t>efficacy-evaluable</w:t>
      </w:r>
      <w:proofErr w:type="gramEnd"/>
      <w:r w:rsidR="003308B9" w:rsidRPr="00671A59">
        <w:t>. Of these 347 patients, 172 (49.6%) patients taking apixaban and 130 (37.5%) patients taking rivaroxaban were efficacy-evaluable, defined as patients 1) who had a baseline anti-</w:t>
      </w:r>
      <w:proofErr w:type="spellStart"/>
      <w:r w:rsidR="003308B9" w:rsidRPr="00671A59">
        <w:t>FXa</w:t>
      </w:r>
      <w:proofErr w:type="spellEnd"/>
      <w:r w:rsidR="003308B9" w:rsidRPr="00671A59">
        <w:t xml:space="preserve"> activity at or above 75 ng/mL for apixaban- or rivaroxaban-treated patients; and 2) were adjudicated as meeting eligibility criteria for acute major bleeding</w:t>
      </w:r>
      <w:r w:rsidR="003308B9" w:rsidRPr="00671A59">
        <w:rPr>
          <w:i/>
          <w:iCs/>
        </w:rPr>
        <w:t>.</w:t>
      </w:r>
    </w:p>
    <w:p w14:paraId="2694CA09" w14:textId="6E8D95C2" w:rsidR="00E26AF6" w:rsidRPr="00671A59" w:rsidRDefault="009D271D" w:rsidP="009D271D">
      <w:pPr>
        <w:pStyle w:val="Paragraph"/>
      </w:pPr>
      <w:r w:rsidRPr="00671A59">
        <w:lastRenderedPageBreak/>
        <w:t>For anti-</w:t>
      </w:r>
      <w:proofErr w:type="spellStart"/>
      <w:r w:rsidR="00506DC3" w:rsidRPr="00671A59">
        <w:t>F</w:t>
      </w:r>
      <w:r w:rsidR="00BD2067" w:rsidRPr="00671A59">
        <w:t>x</w:t>
      </w:r>
      <w:r w:rsidRPr="00671A59">
        <w:t>a</w:t>
      </w:r>
      <w:proofErr w:type="spellEnd"/>
      <w:r w:rsidRPr="00671A59">
        <w:t xml:space="preserve"> activity, the median (95% confidence interval [CI]) decrease from baseline to nadir in anti-</w:t>
      </w:r>
      <w:proofErr w:type="spellStart"/>
      <w:r w:rsidR="00506DC3" w:rsidRPr="00671A59">
        <w:t>F</w:t>
      </w:r>
      <w:r w:rsidR="00BD2067" w:rsidRPr="00671A59">
        <w:t>x</w:t>
      </w:r>
      <w:r w:rsidRPr="00671A59">
        <w:t>a</w:t>
      </w:r>
      <w:proofErr w:type="spellEnd"/>
      <w:r w:rsidRPr="00671A59">
        <w:t xml:space="preserve"> activity for apixaban was -93% (-94%, -92%)</w:t>
      </w:r>
      <w:r w:rsidR="00A54C68" w:rsidRPr="00671A59">
        <w:t xml:space="preserve"> and for</w:t>
      </w:r>
      <w:r w:rsidRPr="00671A59">
        <w:t xml:space="preserve"> rivaroxaban was -94% (-95%, -93%)</w:t>
      </w:r>
      <w:r w:rsidR="008B5CC8" w:rsidRPr="00671A59">
        <w:t>.</w:t>
      </w:r>
      <w:r w:rsidR="004734F3" w:rsidRPr="00671A59">
        <w:t xml:space="preserve"> </w:t>
      </w:r>
      <w:r w:rsidR="005E133D" w:rsidRPr="00671A59">
        <w:t>A total of 128 patients in the ANNEXA-4 study were anticoagulated and had elevated baseline levels of anti-</w:t>
      </w:r>
      <w:proofErr w:type="spellStart"/>
      <w:r w:rsidR="005E133D" w:rsidRPr="00671A59">
        <w:t>FXa</w:t>
      </w:r>
      <w:proofErr w:type="spellEnd"/>
      <w:r w:rsidR="005E133D" w:rsidRPr="00671A59">
        <w:t xml:space="preserve"> (&gt;150 ng/mL for apixaban and &gt;300 ng/mL for rivaroxaban). After administration of ANDEXXA, these patients experienced decreased anti-</w:t>
      </w:r>
      <w:proofErr w:type="spellStart"/>
      <w:r w:rsidR="005E133D" w:rsidRPr="00671A59">
        <w:t>FXa</w:t>
      </w:r>
      <w:proofErr w:type="spellEnd"/>
      <w:r w:rsidR="005E133D" w:rsidRPr="00671A59">
        <w:t xml:space="preserve"> activity levels, with median reductions of 92% for apixaban and 96% for rivaroxaban. </w:t>
      </w:r>
    </w:p>
    <w:p w14:paraId="2DD8B15F" w14:textId="318D3D62" w:rsidR="009D271D" w:rsidRDefault="009D271D" w:rsidP="009D271D">
      <w:pPr>
        <w:pStyle w:val="Paragraph"/>
      </w:pPr>
      <w:r w:rsidRPr="00671A59">
        <w:t>Of the 34</w:t>
      </w:r>
      <w:r w:rsidR="009F586A" w:rsidRPr="00671A59">
        <w:t>0</w:t>
      </w:r>
      <w:r w:rsidRPr="00671A59">
        <w:t xml:space="preserve"> patients in the efficacy</w:t>
      </w:r>
      <w:r w:rsidR="00955DEB" w:rsidRPr="00671A59">
        <w:t xml:space="preserve"> </w:t>
      </w:r>
      <w:r w:rsidRPr="00671A59">
        <w:t>population</w:t>
      </w:r>
      <w:r w:rsidR="00296CA0" w:rsidRPr="00671A59">
        <w:t xml:space="preserve"> that</w:t>
      </w:r>
      <w:r w:rsidRPr="00671A59">
        <w:t xml:space="preserve"> were determined by the </w:t>
      </w:r>
      <w:r w:rsidR="00F5104F" w:rsidRPr="00671A59">
        <w:t>E</w:t>
      </w:r>
      <w:r w:rsidRPr="00671A59">
        <w:t xml:space="preserve">ndpoint </w:t>
      </w:r>
      <w:r w:rsidR="00F5104F" w:rsidRPr="00671A59">
        <w:t>A</w:t>
      </w:r>
      <w:r w:rsidRPr="00671A59">
        <w:t xml:space="preserve">djudication </w:t>
      </w:r>
      <w:r w:rsidR="00F5104F" w:rsidRPr="00671A59">
        <w:t>C</w:t>
      </w:r>
      <w:r w:rsidRPr="00671A59">
        <w:t xml:space="preserve">ommittee to be evaluable for effective </w:t>
      </w:r>
      <w:r w:rsidR="00EC0B88" w:rsidRPr="00671A59">
        <w:t>haemostasis</w:t>
      </w:r>
      <w:r w:rsidR="00916558" w:rsidRPr="00671A59">
        <w:t xml:space="preserve">, </w:t>
      </w:r>
      <w:r w:rsidR="00BD2067" w:rsidRPr="00671A59">
        <w:t>there were 1</w:t>
      </w:r>
      <w:r w:rsidR="0063356E" w:rsidRPr="00671A59">
        <w:t xml:space="preserve">69 </w:t>
      </w:r>
      <w:r w:rsidR="00BD2067" w:rsidRPr="00671A59">
        <w:t xml:space="preserve">apixaban-treated </w:t>
      </w:r>
      <w:r w:rsidR="0063356E" w:rsidRPr="00671A59">
        <w:t xml:space="preserve">patients </w:t>
      </w:r>
      <w:r w:rsidR="00916558" w:rsidRPr="00671A59">
        <w:t xml:space="preserve">and </w:t>
      </w:r>
      <w:r w:rsidR="00BD2067" w:rsidRPr="00671A59">
        <w:t xml:space="preserve">127 </w:t>
      </w:r>
      <w:r w:rsidR="00916558" w:rsidRPr="00671A59">
        <w:t>rivaroxaban-treated patients</w:t>
      </w:r>
      <w:r w:rsidRPr="00671A59">
        <w:t xml:space="preserve">. Overall, effective </w:t>
      </w:r>
      <w:r w:rsidR="00EC0B88" w:rsidRPr="00671A59">
        <w:t>haemostasis</w:t>
      </w:r>
      <w:r w:rsidRPr="00671A59">
        <w:t xml:space="preserve"> was reported as 80%</w:t>
      </w:r>
      <w:r w:rsidR="00F5104F" w:rsidRPr="00671A59">
        <w:t xml:space="preserve"> </w:t>
      </w:r>
      <w:r w:rsidR="008B5CC8" w:rsidRPr="00671A59">
        <w:t>and for apixaban- and rivaroxaban-treated patients, it was 79.3% and 80.3% respectively.</w:t>
      </w:r>
      <w:r w:rsidRPr="00671A59">
        <w:t xml:space="preserve"> </w:t>
      </w:r>
      <w:r w:rsidR="00490876" w:rsidRPr="00671A59">
        <w:t>Effective haemostasis was defined as the proportion of patients with excellent or good haemostasis as adjudicated by an independent Endpoint Adjudication Committee.</w:t>
      </w:r>
    </w:p>
    <w:p w14:paraId="6D194274" w14:textId="77777777" w:rsidR="009D271D" w:rsidRPr="009D271D" w:rsidRDefault="009D271D" w:rsidP="009D271D">
      <w:pPr>
        <w:pStyle w:val="Paragraph"/>
      </w:pPr>
      <w:r w:rsidRPr="009D271D">
        <w:t>In the ANNEXA-4 study, of the 477 patients in the safety population, there were 81 (17%) deaths. There were 41 cardiovascular deaths related to bleeding, 20 deaths that were cardiovascular and not related to bleeding, 15 that were non-cardiovascular, and 5 deaths had an uncertain or unknown cause. The average time to death was 15 days after treatment. All deaths occurred before Day 45. Of the 81 patients who died, the bleeding type was intracranial bleeding in 60 (74%), gastrointestinal bleeding in 15 (19%), and other bleeding types in 6 (7%) patients.</w:t>
      </w:r>
    </w:p>
    <w:p w14:paraId="7309E134" w14:textId="20EFABFD" w:rsidR="007403BD" w:rsidRDefault="009D271D" w:rsidP="007403BD">
      <w:pPr>
        <w:pStyle w:val="Paragraph"/>
      </w:pPr>
      <w:r w:rsidRPr="009D271D">
        <w:t xml:space="preserve">An improvement in </w:t>
      </w:r>
      <w:r w:rsidR="00955DEB" w:rsidRPr="009D271D">
        <w:t>haemostasis</w:t>
      </w:r>
      <w:r w:rsidRPr="009D271D">
        <w:t xml:space="preserve"> has not been established in a </w:t>
      </w:r>
      <w:r w:rsidRPr="00671A59">
        <w:t xml:space="preserve">controlled trial. ANDEXXA has not been shown to be effective for bleeding related to any </w:t>
      </w:r>
      <w:proofErr w:type="spellStart"/>
      <w:r w:rsidRPr="00671A59">
        <w:t>FXa</w:t>
      </w:r>
      <w:proofErr w:type="spellEnd"/>
      <w:r w:rsidRPr="00671A59">
        <w:t xml:space="preserve"> inhibitors other than apixaban</w:t>
      </w:r>
      <w:r w:rsidR="00E76C55" w:rsidRPr="00671A59">
        <w:t xml:space="preserve"> </w:t>
      </w:r>
      <w:r w:rsidR="00AD45E1" w:rsidRPr="00671A59">
        <w:t>and</w:t>
      </w:r>
      <w:r w:rsidR="004734F3" w:rsidRPr="00671A59">
        <w:t xml:space="preserve"> </w:t>
      </w:r>
      <w:r w:rsidRPr="00671A59">
        <w:t>rivaroxaban.</w:t>
      </w:r>
    </w:p>
    <w:p w14:paraId="4FF8552C" w14:textId="6EDCA05A" w:rsidR="003E3955" w:rsidRDefault="003E3955" w:rsidP="003E3955">
      <w:pPr>
        <w:pStyle w:val="Heading4Unnumbered"/>
      </w:pPr>
      <w:r>
        <w:t>Time course of reversal of anti-</w:t>
      </w:r>
      <w:proofErr w:type="spellStart"/>
      <w:r w:rsidR="00506DC3">
        <w:t>F</w:t>
      </w:r>
      <w:r>
        <w:t>Xa</w:t>
      </w:r>
      <w:proofErr w:type="spellEnd"/>
      <w:r>
        <w:t xml:space="preserve"> activity</w:t>
      </w:r>
    </w:p>
    <w:p w14:paraId="04E85FB7" w14:textId="341D8D9B" w:rsidR="003E3955" w:rsidRDefault="003E3955" w:rsidP="003E3955">
      <w:pPr>
        <w:pStyle w:val="Paragraph"/>
      </w:pPr>
      <w:r>
        <w:t>The time course of ANDEXXA administration was consistent among the healthy volunteer studies and the ANNEXA-4 study in bleeding patients. Compared to baseline, there was a rapid and substantial decrease in anti-</w:t>
      </w:r>
      <w:proofErr w:type="spellStart"/>
      <w:r w:rsidR="00506DC3">
        <w:t>F</w:t>
      </w:r>
      <w:r>
        <w:t>Xa</w:t>
      </w:r>
      <w:proofErr w:type="spellEnd"/>
      <w:r>
        <w:t xml:space="preserve"> activity corresponding to the ANDEXXA bolus. This decrease was sustained through the end of the ANDEXXA continuous infusion. The anti-</w:t>
      </w:r>
      <w:proofErr w:type="spellStart"/>
      <w:r w:rsidR="00506DC3">
        <w:t>F</w:t>
      </w:r>
      <w:r>
        <w:t>Xa</w:t>
      </w:r>
      <w:proofErr w:type="spellEnd"/>
      <w:r>
        <w:t xml:space="preserve"> activity returned to the placebo levels approximately 2 hours after completion of a bolus or continuous infusion. Subsequently, the anti-</w:t>
      </w:r>
      <w:proofErr w:type="spellStart"/>
      <w:r w:rsidR="00506DC3">
        <w:t>F</w:t>
      </w:r>
      <w:r>
        <w:t>Xa</w:t>
      </w:r>
      <w:proofErr w:type="spellEnd"/>
      <w:r>
        <w:t xml:space="preserve"> activity decreased at a rate </w:t>
      </w:r>
      <w:proofErr w:type="gramStart"/>
      <w:r>
        <w:t>similar to</w:t>
      </w:r>
      <w:proofErr w:type="gramEnd"/>
      <w:r>
        <w:t xml:space="preserve"> the clearance of the </w:t>
      </w:r>
      <w:proofErr w:type="spellStart"/>
      <w:r>
        <w:t>FXa</w:t>
      </w:r>
      <w:proofErr w:type="spellEnd"/>
      <w:r>
        <w:t xml:space="preserve"> inhibitors.</w:t>
      </w:r>
    </w:p>
    <w:p w14:paraId="5D11797B" w14:textId="77777777" w:rsidR="001A3992" w:rsidRDefault="007403BD" w:rsidP="003B7CFF">
      <w:pPr>
        <w:pStyle w:val="Heading2"/>
      </w:pPr>
      <w:r>
        <w:t>Pharmacokinetic properties</w:t>
      </w:r>
    </w:p>
    <w:p w14:paraId="6E460F83" w14:textId="59E30B9D" w:rsidR="009E4F89" w:rsidRDefault="009E4F89" w:rsidP="009E4F89">
      <w:pPr>
        <w:pStyle w:val="Paragraph"/>
      </w:pPr>
      <w:r w:rsidRPr="009E4F89">
        <w:t>The exposure of andexanet alfa at the high and low dose are dose proportional based on assessment of AUC</w:t>
      </w:r>
      <w:r w:rsidRPr="00D6755E">
        <w:rPr>
          <w:vertAlign w:val="subscript"/>
        </w:rPr>
        <w:t>0-∞</w:t>
      </w:r>
      <w:r w:rsidRPr="009E4F89">
        <w:t>, AUC</w:t>
      </w:r>
      <w:r w:rsidRPr="00D6755E">
        <w:rPr>
          <w:vertAlign w:val="subscript"/>
        </w:rPr>
        <w:t>0-last</w:t>
      </w:r>
      <w:r w:rsidRPr="009E4F89">
        <w:t>, and C</w:t>
      </w:r>
      <w:r w:rsidRPr="00D6755E">
        <w:rPr>
          <w:vertAlign w:val="subscript"/>
        </w:rPr>
        <w:t>max</w:t>
      </w:r>
      <w:r w:rsidRPr="009E4F89">
        <w:t>.</w:t>
      </w:r>
    </w:p>
    <w:p w14:paraId="493535F0" w14:textId="2D172C2A" w:rsidR="00667C03" w:rsidRDefault="00667C03" w:rsidP="00667C03">
      <w:pPr>
        <w:pStyle w:val="Paragraph"/>
      </w:pPr>
      <w:bookmarkStart w:id="14" w:name="_Hlk129944025"/>
      <w:r>
        <w:t>A</w:t>
      </w:r>
      <w:r>
        <w:rPr>
          <w:spacing w:val="-6"/>
        </w:rPr>
        <w:t xml:space="preserve"> </w:t>
      </w:r>
      <w:r>
        <w:t>summary</w:t>
      </w:r>
      <w:r>
        <w:rPr>
          <w:spacing w:val="-6"/>
        </w:rPr>
        <w:t xml:space="preserve"> </w:t>
      </w:r>
      <w:r>
        <w:t>of</w:t>
      </w:r>
      <w:r>
        <w:rPr>
          <w:spacing w:val="-9"/>
        </w:rPr>
        <w:t xml:space="preserve"> </w:t>
      </w:r>
      <w:r>
        <w:t>the</w:t>
      </w:r>
      <w:r>
        <w:rPr>
          <w:spacing w:val="-5"/>
        </w:rPr>
        <w:t xml:space="preserve"> </w:t>
      </w:r>
      <w:r>
        <w:t>pharmacokinetic</w:t>
      </w:r>
      <w:r>
        <w:rPr>
          <w:spacing w:val="-2"/>
        </w:rPr>
        <w:t xml:space="preserve"> </w:t>
      </w:r>
      <w:r>
        <w:t>(PK)</w:t>
      </w:r>
      <w:r>
        <w:rPr>
          <w:spacing w:val="-3"/>
        </w:rPr>
        <w:t xml:space="preserve"> </w:t>
      </w:r>
      <w:r>
        <w:t>properties of</w:t>
      </w:r>
      <w:r>
        <w:rPr>
          <w:spacing w:val="-9"/>
        </w:rPr>
        <w:t xml:space="preserve"> </w:t>
      </w:r>
      <w:r>
        <w:t>ANDEXXA</w:t>
      </w:r>
      <w:r>
        <w:rPr>
          <w:spacing w:val="-2"/>
        </w:rPr>
        <w:t xml:space="preserve"> </w:t>
      </w:r>
      <w:r>
        <w:t>in</w:t>
      </w:r>
      <w:r>
        <w:rPr>
          <w:spacing w:val="-2"/>
        </w:rPr>
        <w:t xml:space="preserve"> </w:t>
      </w:r>
      <w:r>
        <w:t>healthy</w:t>
      </w:r>
      <w:r>
        <w:rPr>
          <w:spacing w:val="-2"/>
        </w:rPr>
        <w:t xml:space="preserve"> </w:t>
      </w:r>
      <w:r>
        <w:t>subjects is</w:t>
      </w:r>
      <w:r>
        <w:rPr>
          <w:spacing w:val="-5"/>
        </w:rPr>
        <w:t xml:space="preserve"> </w:t>
      </w:r>
      <w:r>
        <w:t>shown</w:t>
      </w:r>
      <w:r>
        <w:rPr>
          <w:spacing w:val="-5"/>
        </w:rPr>
        <w:t xml:space="preserve"> </w:t>
      </w:r>
      <w:r w:rsidR="00BE1795">
        <w:t xml:space="preserve">in </w:t>
      </w:r>
      <w:r>
        <w:t xml:space="preserve">Table </w:t>
      </w:r>
      <w:r w:rsidR="008E5D46">
        <w:t>8</w:t>
      </w:r>
      <w:r>
        <w:t>.</w:t>
      </w:r>
    </w:p>
    <w:bookmarkEnd w:id="14"/>
    <w:p w14:paraId="1963133A" w14:textId="3839EB7B" w:rsidR="00667C03" w:rsidRDefault="00D018CB" w:rsidP="007027CF">
      <w:pPr>
        <w:pStyle w:val="Caption"/>
        <w:pageBreakBefore/>
      </w:pPr>
      <w:r>
        <w:lastRenderedPageBreak/>
        <w:t xml:space="preserve">Table </w:t>
      </w:r>
      <w:r>
        <w:fldChar w:fldCharType="begin"/>
      </w:r>
      <w:r>
        <w:instrText xml:space="preserve"> SEQ Table \* ARABIC </w:instrText>
      </w:r>
      <w:r>
        <w:fldChar w:fldCharType="separate"/>
      </w:r>
      <w:r>
        <w:rPr>
          <w:noProof/>
        </w:rPr>
        <w:t>8</w:t>
      </w:r>
      <w:r>
        <w:fldChar w:fldCharType="end"/>
      </w:r>
      <w:r w:rsidR="00667C03">
        <w:tab/>
        <w:t>Summary</w:t>
      </w:r>
      <w:r w:rsidR="00667C03" w:rsidRPr="00667C03">
        <w:rPr>
          <w:spacing w:val="-5"/>
        </w:rPr>
        <w:t xml:space="preserve"> </w:t>
      </w:r>
      <w:r w:rsidR="00667C03">
        <w:t>of</w:t>
      </w:r>
      <w:r w:rsidR="00667C03" w:rsidRPr="00667C03">
        <w:rPr>
          <w:spacing w:val="-3"/>
        </w:rPr>
        <w:t xml:space="preserve"> </w:t>
      </w:r>
      <w:r w:rsidR="00667C03">
        <w:t>PK</w:t>
      </w:r>
      <w:r w:rsidR="00667C03" w:rsidRPr="00667C03">
        <w:rPr>
          <w:spacing w:val="-2"/>
        </w:rPr>
        <w:t xml:space="preserve"> </w:t>
      </w:r>
      <w:r w:rsidR="008E5D46">
        <w:t>p</w:t>
      </w:r>
      <w:r w:rsidR="00667C03">
        <w:t xml:space="preserve">arameters with </w:t>
      </w:r>
      <w:r w:rsidR="008E5D46">
        <w:t>h</w:t>
      </w:r>
      <w:r w:rsidR="00667C03">
        <w:t>igh</w:t>
      </w:r>
      <w:r w:rsidR="00667C03" w:rsidRPr="00667C03">
        <w:rPr>
          <w:spacing w:val="-3"/>
        </w:rPr>
        <w:t xml:space="preserve"> </w:t>
      </w:r>
      <w:r w:rsidR="00667C03">
        <w:t>and</w:t>
      </w:r>
      <w:r w:rsidR="00667C03" w:rsidRPr="00667C03">
        <w:rPr>
          <w:spacing w:val="-3"/>
        </w:rPr>
        <w:t xml:space="preserve"> </w:t>
      </w:r>
      <w:r w:rsidR="008E5D46">
        <w:t>l</w:t>
      </w:r>
      <w:r w:rsidR="00667C03">
        <w:t>ow</w:t>
      </w:r>
      <w:r w:rsidR="00667C03" w:rsidRPr="00667C03">
        <w:rPr>
          <w:spacing w:val="-2"/>
        </w:rPr>
        <w:t xml:space="preserve"> </w:t>
      </w:r>
      <w:r w:rsidR="008E5D46">
        <w:rPr>
          <w:spacing w:val="-2"/>
        </w:rPr>
        <w:t>d</w:t>
      </w:r>
      <w:r w:rsidR="00667C03" w:rsidRPr="00667C03">
        <w:rPr>
          <w:spacing w:val="-2"/>
        </w:rPr>
        <w:t>oses</w:t>
      </w:r>
    </w:p>
    <w:p w14:paraId="08E56626" w14:textId="77777777" w:rsidR="00667C03" w:rsidRDefault="00667C03" w:rsidP="008E5D46">
      <w:pPr>
        <w:pStyle w:val="BodyText"/>
        <w:spacing w:after="0"/>
        <w:rPr>
          <w:b/>
          <w:sz w:val="21"/>
        </w:rPr>
      </w:pPr>
    </w:p>
    <w:tbl>
      <w:tblPr>
        <w:tblW w:w="0" w:type="auto"/>
        <w:tblInd w:w="18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55"/>
        <w:gridCol w:w="2063"/>
        <w:gridCol w:w="2074"/>
      </w:tblGrid>
      <w:tr w:rsidR="000F7BCC" w14:paraId="2D76F7FD" w14:textId="77777777" w:rsidTr="00912A0A">
        <w:trPr>
          <w:trHeight w:val="690"/>
        </w:trPr>
        <w:tc>
          <w:tcPr>
            <w:tcW w:w="1355" w:type="dxa"/>
            <w:tcBorders>
              <w:right w:val="single" w:sz="8" w:space="0" w:color="000000"/>
            </w:tcBorders>
          </w:tcPr>
          <w:p w14:paraId="638C7D9E" w14:textId="1234DA32" w:rsidR="000F7BCC" w:rsidRPr="000F7BCC" w:rsidRDefault="000F7BCC" w:rsidP="008E5D46">
            <w:pPr>
              <w:pStyle w:val="TableHead"/>
              <w:rPr>
                <w:sz w:val="22"/>
                <w:szCs w:val="52"/>
              </w:rPr>
            </w:pPr>
            <w:r w:rsidRPr="000F7BCC">
              <w:rPr>
                <w:sz w:val="22"/>
                <w:szCs w:val="52"/>
              </w:rPr>
              <w:t>PK parameters</w:t>
            </w:r>
          </w:p>
        </w:tc>
        <w:tc>
          <w:tcPr>
            <w:tcW w:w="2063" w:type="dxa"/>
            <w:tcBorders>
              <w:left w:val="single" w:sz="8" w:space="0" w:color="000000"/>
              <w:right w:val="single" w:sz="8" w:space="0" w:color="000000"/>
            </w:tcBorders>
          </w:tcPr>
          <w:p w14:paraId="192FF17E" w14:textId="77777777" w:rsidR="000F7BCC" w:rsidRPr="000F7BCC" w:rsidRDefault="000F7BCC" w:rsidP="008E5D46">
            <w:pPr>
              <w:pStyle w:val="TableHead"/>
              <w:rPr>
                <w:sz w:val="22"/>
                <w:szCs w:val="52"/>
              </w:rPr>
            </w:pPr>
            <w:r w:rsidRPr="000F7BCC">
              <w:rPr>
                <w:sz w:val="22"/>
                <w:szCs w:val="52"/>
              </w:rPr>
              <w:t>Low</w:t>
            </w:r>
            <w:r w:rsidRPr="000F7BCC">
              <w:rPr>
                <w:spacing w:val="-5"/>
                <w:sz w:val="22"/>
                <w:szCs w:val="52"/>
              </w:rPr>
              <w:t xml:space="preserve"> do</w:t>
            </w:r>
            <w:r w:rsidRPr="000F7BCC">
              <w:rPr>
                <w:spacing w:val="-4"/>
                <w:sz w:val="22"/>
                <w:szCs w:val="52"/>
              </w:rPr>
              <w:t>se</w:t>
            </w:r>
          </w:p>
          <w:p w14:paraId="1FBC10FC" w14:textId="10B980F2" w:rsidR="000F7BCC" w:rsidRPr="000F7BCC" w:rsidRDefault="000F7BCC" w:rsidP="008E5D46">
            <w:pPr>
              <w:pStyle w:val="TableHead"/>
              <w:rPr>
                <w:sz w:val="22"/>
                <w:szCs w:val="52"/>
              </w:rPr>
            </w:pPr>
            <w:r w:rsidRPr="000F7BCC">
              <w:rPr>
                <w:spacing w:val="-5"/>
                <w:sz w:val="22"/>
                <w:szCs w:val="52"/>
              </w:rPr>
              <w:t>N=11</w:t>
            </w:r>
          </w:p>
        </w:tc>
        <w:tc>
          <w:tcPr>
            <w:tcW w:w="2074" w:type="dxa"/>
            <w:tcBorders>
              <w:left w:val="single" w:sz="8" w:space="0" w:color="000000"/>
            </w:tcBorders>
          </w:tcPr>
          <w:p w14:paraId="2E0C2D19" w14:textId="77777777" w:rsidR="000F7BCC" w:rsidRPr="000F7BCC" w:rsidRDefault="000F7BCC" w:rsidP="008E5D46">
            <w:pPr>
              <w:pStyle w:val="TableHead"/>
              <w:rPr>
                <w:sz w:val="22"/>
                <w:szCs w:val="52"/>
              </w:rPr>
            </w:pPr>
            <w:r w:rsidRPr="000F7BCC">
              <w:rPr>
                <w:sz w:val="22"/>
                <w:szCs w:val="52"/>
              </w:rPr>
              <w:t>High</w:t>
            </w:r>
            <w:r w:rsidRPr="000F7BCC">
              <w:rPr>
                <w:spacing w:val="-2"/>
                <w:sz w:val="22"/>
                <w:szCs w:val="52"/>
              </w:rPr>
              <w:t xml:space="preserve"> </w:t>
            </w:r>
            <w:r w:rsidRPr="000F7BCC">
              <w:rPr>
                <w:spacing w:val="-4"/>
                <w:sz w:val="22"/>
                <w:szCs w:val="52"/>
              </w:rPr>
              <w:t>dose</w:t>
            </w:r>
          </w:p>
          <w:p w14:paraId="0CE44D52" w14:textId="02A9598D" w:rsidR="000F7BCC" w:rsidRPr="000F7BCC" w:rsidRDefault="000F7BCC" w:rsidP="008E5D46">
            <w:pPr>
              <w:pStyle w:val="TableHead"/>
              <w:rPr>
                <w:sz w:val="22"/>
                <w:szCs w:val="52"/>
              </w:rPr>
            </w:pPr>
            <w:r w:rsidRPr="000F7BCC">
              <w:rPr>
                <w:spacing w:val="-5"/>
                <w:sz w:val="22"/>
                <w:szCs w:val="52"/>
              </w:rPr>
              <w:t>N=10</w:t>
            </w:r>
          </w:p>
        </w:tc>
      </w:tr>
      <w:tr w:rsidR="00667C03" w14:paraId="7412AFF4" w14:textId="77777777" w:rsidTr="008E5D46">
        <w:trPr>
          <w:trHeight w:val="570"/>
        </w:trPr>
        <w:tc>
          <w:tcPr>
            <w:tcW w:w="1355" w:type="dxa"/>
            <w:tcBorders>
              <w:bottom w:val="single" w:sz="8" w:space="0" w:color="000000"/>
              <w:right w:val="single" w:sz="8" w:space="0" w:color="000000"/>
            </w:tcBorders>
          </w:tcPr>
          <w:p w14:paraId="78BFE4CE" w14:textId="77777777" w:rsidR="00667C03" w:rsidRPr="00667C03" w:rsidRDefault="00667C03" w:rsidP="00667C03">
            <w:pPr>
              <w:pStyle w:val="TableParagraph"/>
              <w:spacing w:before="43"/>
              <w:ind w:left="105"/>
            </w:pPr>
            <w:r w:rsidRPr="00667C03">
              <w:rPr>
                <w:spacing w:val="-2"/>
              </w:rPr>
              <w:t>AUC</w:t>
            </w:r>
            <w:r w:rsidRPr="00667C03">
              <w:rPr>
                <w:spacing w:val="-2"/>
                <w:vertAlign w:val="subscript"/>
              </w:rPr>
              <w:t>0-</w:t>
            </w:r>
            <w:r w:rsidRPr="00667C03">
              <w:rPr>
                <w:spacing w:val="-10"/>
                <w:vertAlign w:val="subscript"/>
              </w:rPr>
              <w:t>∞</w:t>
            </w:r>
          </w:p>
          <w:p w14:paraId="74B99883" w14:textId="77777777" w:rsidR="00667C03" w:rsidRPr="00667C03" w:rsidRDefault="00667C03" w:rsidP="00667C03">
            <w:pPr>
              <w:pStyle w:val="TableParagraph"/>
              <w:spacing w:before="15"/>
              <w:ind w:left="105"/>
            </w:pPr>
            <w:r w:rsidRPr="00667C03">
              <w:rPr>
                <w:spacing w:val="-2"/>
              </w:rPr>
              <w:t>(</w:t>
            </w:r>
            <w:proofErr w:type="spellStart"/>
            <w:r w:rsidRPr="00667C03">
              <w:rPr>
                <w:spacing w:val="-2"/>
              </w:rPr>
              <w:t>hr</w:t>
            </w:r>
            <w:proofErr w:type="spellEnd"/>
            <w:r w:rsidRPr="00667C03">
              <w:rPr>
                <w:b/>
                <w:spacing w:val="-2"/>
              </w:rPr>
              <w:t>*</w:t>
            </w:r>
            <w:r w:rsidRPr="00667C03">
              <w:rPr>
                <w:spacing w:val="-2"/>
              </w:rPr>
              <w:t>µg/mL)</w:t>
            </w:r>
          </w:p>
        </w:tc>
        <w:tc>
          <w:tcPr>
            <w:tcW w:w="2063" w:type="dxa"/>
            <w:tcBorders>
              <w:left w:val="single" w:sz="8" w:space="0" w:color="000000"/>
              <w:bottom w:val="single" w:sz="8" w:space="0" w:color="000000"/>
              <w:right w:val="single" w:sz="8" w:space="0" w:color="000000"/>
            </w:tcBorders>
          </w:tcPr>
          <w:p w14:paraId="0F1CC62A" w14:textId="77777777" w:rsidR="00667C03" w:rsidRPr="00667C03" w:rsidRDefault="00667C03" w:rsidP="00667C03">
            <w:pPr>
              <w:pStyle w:val="TableParagraph"/>
              <w:spacing w:before="48"/>
              <w:ind w:left="580"/>
            </w:pPr>
            <w:r w:rsidRPr="00667C03">
              <w:t>200.5</w:t>
            </w:r>
            <w:r w:rsidRPr="00667C03">
              <w:rPr>
                <w:spacing w:val="-2"/>
              </w:rPr>
              <w:t xml:space="preserve"> (16.3)</w:t>
            </w:r>
          </w:p>
          <w:p w14:paraId="5DEAF460" w14:textId="77777777" w:rsidR="00667C03" w:rsidRPr="00667C03" w:rsidRDefault="00667C03" w:rsidP="00667C03">
            <w:pPr>
              <w:pStyle w:val="TableParagraph"/>
              <w:ind w:left="503"/>
            </w:pPr>
            <w:r w:rsidRPr="00667C03">
              <w:t>[153.4;</w:t>
            </w:r>
            <w:r w:rsidRPr="00667C03">
              <w:rPr>
                <w:spacing w:val="-6"/>
              </w:rPr>
              <w:t xml:space="preserve"> </w:t>
            </w:r>
            <w:r w:rsidRPr="00667C03">
              <w:rPr>
                <w:spacing w:val="-2"/>
              </w:rPr>
              <w:t>255.6]</w:t>
            </w:r>
          </w:p>
        </w:tc>
        <w:tc>
          <w:tcPr>
            <w:tcW w:w="2074" w:type="dxa"/>
            <w:tcBorders>
              <w:left w:val="single" w:sz="8" w:space="0" w:color="000000"/>
              <w:bottom w:val="single" w:sz="8" w:space="0" w:color="000000"/>
            </w:tcBorders>
          </w:tcPr>
          <w:p w14:paraId="19ADECC8" w14:textId="77777777" w:rsidR="00667C03" w:rsidRPr="00667C03" w:rsidRDefault="00667C03" w:rsidP="00667C03">
            <w:pPr>
              <w:pStyle w:val="TableParagraph"/>
              <w:spacing w:before="48"/>
              <w:ind w:left="551"/>
            </w:pPr>
            <w:r w:rsidRPr="00667C03">
              <w:t>572.9</w:t>
            </w:r>
            <w:r w:rsidRPr="00667C03">
              <w:rPr>
                <w:spacing w:val="-2"/>
              </w:rPr>
              <w:t xml:space="preserve"> (16.0)</w:t>
            </w:r>
          </w:p>
          <w:p w14:paraId="40616955" w14:textId="77777777" w:rsidR="00667C03" w:rsidRPr="00667C03" w:rsidRDefault="00667C03" w:rsidP="00667C03">
            <w:pPr>
              <w:pStyle w:val="TableParagraph"/>
              <w:ind w:left="474"/>
            </w:pPr>
            <w:r w:rsidRPr="00667C03">
              <w:t>[467.1;</w:t>
            </w:r>
            <w:r w:rsidRPr="00667C03">
              <w:rPr>
                <w:spacing w:val="-6"/>
              </w:rPr>
              <w:t xml:space="preserve"> </w:t>
            </w:r>
            <w:r w:rsidRPr="00667C03">
              <w:rPr>
                <w:spacing w:val="-2"/>
              </w:rPr>
              <w:t>783.9]</w:t>
            </w:r>
          </w:p>
        </w:tc>
      </w:tr>
      <w:tr w:rsidR="00667C03" w14:paraId="6BABDC55" w14:textId="77777777" w:rsidTr="008E5D46">
        <w:trPr>
          <w:trHeight w:val="575"/>
        </w:trPr>
        <w:tc>
          <w:tcPr>
            <w:tcW w:w="1355" w:type="dxa"/>
            <w:tcBorders>
              <w:top w:val="single" w:sz="8" w:space="0" w:color="000000"/>
              <w:bottom w:val="single" w:sz="8" w:space="0" w:color="000000"/>
              <w:right w:val="single" w:sz="8" w:space="0" w:color="000000"/>
            </w:tcBorders>
          </w:tcPr>
          <w:p w14:paraId="0BF507D3" w14:textId="77777777" w:rsidR="00667C03" w:rsidRPr="00667C03" w:rsidRDefault="00667C03" w:rsidP="00667C03">
            <w:pPr>
              <w:pStyle w:val="TableParagraph"/>
              <w:spacing w:before="42"/>
              <w:ind w:left="105" w:right="464"/>
            </w:pPr>
            <w:r w:rsidRPr="00667C03">
              <w:rPr>
                <w:spacing w:val="-4"/>
                <w:position w:val="3"/>
              </w:rPr>
              <w:t>C</w:t>
            </w:r>
            <w:r w:rsidRPr="00667C03">
              <w:rPr>
                <w:spacing w:val="-4"/>
              </w:rPr>
              <w:t>max</w:t>
            </w:r>
            <w:r w:rsidRPr="00667C03">
              <w:rPr>
                <w:spacing w:val="40"/>
              </w:rPr>
              <w:t xml:space="preserve"> </w:t>
            </w:r>
            <w:r w:rsidRPr="00667C03">
              <w:rPr>
                <w:spacing w:val="-2"/>
              </w:rPr>
              <w:t>(µg/mL)</w:t>
            </w:r>
          </w:p>
        </w:tc>
        <w:tc>
          <w:tcPr>
            <w:tcW w:w="2063" w:type="dxa"/>
            <w:tcBorders>
              <w:top w:val="single" w:sz="8" w:space="0" w:color="000000"/>
              <w:left w:val="single" w:sz="8" w:space="0" w:color="000000"/>
              <w:bottom w:val="single" w:sz="8" w:space="0" w:color="000000"/>
              <w:right w:val="single" w:sz="8" w:space="0" w:color="000000"/>
            </w:tcBorders>
          </w:tcPr>
          <w:p w14:paraId="5239D795" w14:textId="77777777" w:rsidR="00667C03" w:rsidRPr="00667C03" w:rsidRDefault="00667C03" w:rsidP="00667C03">
            <w:pPr>
              <w:pStyle w:val="TableParagraph"/>
              <w:spacing w:before="57"/>
              <w:ind w:left="628"/>
            </w:pPr>
            <w:r w:rsidRPr="00667C03">
              <w:t>76.6</w:t>
            </w:r>
            <w:r w:rsidRPr="00667C03">
              <w:rPr>
                <w:spacing w:val="-1"/>
              </w:rPr>
              <w:t xml:space="preserve"> </w:t>
            </w:r>
            <w:r w:rsidRPr="00667C03">
              <w:rPr>
                <w:spacing w:val="-2"/>
              </w:rPr>
              <w:t>(17.5)</w:t>
            </w:r>
          </w:p>
          <w:p w14:paraId="1010563C" w14:textId="77777777" w:rsidR="00667C03" w:rsidRPr="00667C03" w:rsidRDefault="00667C03" w:rsidP="00667C03">
            <w:pPr>
              <w:pStyle w:val="TableParagraph"/>
              <w:spacing w:before="1"/>
              <w:ind w:left="551"/>
            </w:pPr>
            <w:r w:rsidRPr="00667C03">
              <w:t>[61.1;</w:t>
            </w:r>
            <w:r w:rsidRPr="00667C03">
              <w:rPr>
                <w:spacing w:val="-1"/>
              </w:rPr>
              <w:t xml:space="preserve"> </w:t>
            </w:r>
            <w:r w:rsidRPr="00667C03">
              <w:rPr>
                <w:spacing w:val="-2"/>
              </w:rPr>
              <w:t>100.1]</w:t>
            </w:r>
          </w:p>
        </w:tc>
        <w:tc>
          <w:tcPr>
            <w:tcW w:w="2074" w:type="dxa"/>
            <w:tcBorders>
              <w:top w:val="single" w:sz="8" w:space="0" w:color="000000"/>
              <w:left w:val="single" w:sz="8" w:space="0" w:color="000000"/>
              <w:bottom w:val="single" w:sz="8" w:space="0" w:color="000000"/>
            </w:tcBorders>
          </w:tcPr>
          <w:p w14:paraId="5DC8ECE0" w14:textId="77777777" w:rsidR="00667C03" w:rsidRPr="00667C03" w:rsidRDefault="00667C03" w:rsidP="00667C03">
            <w:pPr>
              <w:pStyle w:val="TableParagraph"/>
              <w:spacing w:before="57"/>
              <w:ind w:left="551"/>
            </w:pPr>
            <w:r w:rsidRPr="00667C03">
              <w:t>206.6</w:t>
            </w:r>
            <w:r w:rsidRPr="00667C03">
              <w:rPr>
                <w:spacing w:val="-2"/>
              </w:rPr>
              <w:t xml:space="preserve"> (18.8)</w:t>
            </w:r>
          </w:p>
          <w:p w14:paraId="0034263F" w14:textId="77777777" w:rsidR="00667C03" w:rsidRPr="00667C03" w:rsidRDefault="00667C03" w:rsidP="00667C03">
            <w:pPr>
              <w:pStyle w:val="TableParagraph"/>
              <w:spacing w:before="1"/>
              <w:ind w:left="474"/>
            </w:pPr>
            <w:r w:rsidRPr="00667C03">
              <w:t>[158.9;</w:t>
            </w:r>
            <w:r w:rsidRPr="00667C03">
              <w:rPr>
                <w:spacing w:val="-6"/>
              </w:rPr>
              <w:t xml:space="preserve"> </w:t>
            </w:r>
            <w:r w:rsidRPr="00667C03">
              <w:rPr>
                <w:spacing w:val="-2"/>
              </w:rPr>
              <w:t>280.5]</w:t>
            </w:r>
          </w:p>
        </w:tc>
      </w:tr>
      <w:tr w:rsidR="00667C03" w14:paraId="09A71CC5" w14:textId="77777777" w:rsidTr="008E5D46">
        <w:trPr>
          <w:trHeight w:val="580"/>
        </w:trPr>
        <w:tc>
          <w:tcPr>
            <w:tcW w:w="1355" w:type="dxa"/>
            <w:tcBorders>
              <w:top w:val="single" w:sz="8" w:space="0" w:color="000000"/>
              <w:bottom w:val="single" w:sz="8" w:space="0" w:color="000000"/>
              <w:right w:val="single" w:sz="8" w:space="0" w:color="000000"/>
            </w:tcBorders>
          </w:tcPr>
          <w:p w14:paraId="3B30917B" w14:textId="4738174B" w:rsidR="00667C03" w:rsidRPr="00667C03" w:rsidRDefault="00BE1795" w:rsidP="00667C03">
            <w:pPr>
              <w:pStyle w:val="TableParagraph"/>
              <w:spacing w:before="56" w:line="235" w:lineRule="auto"/>
              <w:ind w:left="105"/>
            </w:pPr>
            <w:r>
              <w:rPr>
                <w:spacing w:val="-2"/>
              </w:rPr>
              <w:t xml:space="preserve"> </w:t>
            </w:r>
            <w:r w:rsidR="00667C03" w:rsidRPr="00667C03">
              <w:rPr>
                <w:spacing w:val="-2"/>
              </w:rPr>
              <w:t>Clearance (L/</w:t>
            </w:r>
            <w:proofErr w:type="spellStart"/>
            <w:r w:rsidR="00667C03" w:rsidRPr="00667C03">
              <w:rPr>
                <w:spacing w:val="-2"/>
              </w:rPr>
              <w:t>hr</w:t>
            </w:r>
            <w:proofErr w:type="spellEnd"/>
            <w:r w:rsidR="00667C03" w:rsidRPr="00667C03">
              <w:rPr>
                <w:spacing w:val="-2"/>
              </w:rPr>
              <w:t>)</w:t>
            </w:r>
          </w:p>
        </w:tc>
        <w:tc>
          <w:tcPr>
            <w:tcW w:w="2063" w:type="dxa"/>
            <w:tcBorders>
              <w:top w:val="single" w:sz="8" w:space="0" w:color="000000"/>
              <w:left w:val="single" w:sz="8" w:space="0" w:color="000000"/>
              <w:bottom w:val="single" w:sz="8" w:space="0" w:color="000000"/>
              <w:right w:val="single" w:sz="8" w:space="0" w:color="000000"/>
            </w:tcBorders>
          </w:tcPr>
          <w:p w14:paraId="5149F36D" w14:textId="77777777" w:rsidR="00667C03" w:rsidRPr="00667C03" w:rsidRDefault="00667C03" w:rsidP="00667C03">
            <w:pPr>
              <w:pStyle w:val="TableParagraph"/>
              <w:spacing w:before="53" w:line="228" w:lineRule="exact"/>
              <w:ind w:left="680"/>
            </w:pPr>
            <w:r w:rsidRPr="00667C03">
              <w:t xml:space="preserve">4.4 </w:t>
            </w:r>
            <w:r w:rsidRPr="00667C03">
              <w:rPr>
                <w:spacing w:val="-2"/>
              </w:rPr>
              <w:t>(16.3)</w:t>
            </w:r>
          </w:p>
          <w:p w14:paraId="1D0C6AFA" w14:textId="77777777" w:rsidR="00667C03" w:rsidRPr="00667C03" w:rsidRDefault="00667C03" w:rsidP="00667C03">
            <w:pPr>
              <w:pStyle w:val="TableParagraph"/>
              <w:spacing w:line="228" w:lineRule="exact"/>
              <w:ind w:left="700"/>
            </w:pPr>
            <w:r w:rsidRPr="00667C03">
              <w:t>[3.4;</w:t>
            </w:r>
            <w:r w:rsidRPr="00667C03">
              <w:rPr>
                <w:spacing w:val="1"/>
              </w:rPr>
              <w:t xml:space="preserve"> </w:t>
            </w:r>
            <w:r w:rsidRPr="00667C03">
              <w:rPr>
                <w:spacing w:val="-4"/>
              </w:rPr>
              <w:t>5.7]</w:t>
            </w:r>
          </w:p>
        </w:tc>
        <w:tc>
          <w:tcPr>
            <w:tcW w:w="2074" w:type="dxa"/>
            <w:tcBorders>
              <w:top w:val="single" w:sz="8" w:space="0" w:color="000000"/>
              <w:left w:val="single" w:sz="8" w:space="0" w:color="000000"/>
              <w:bottom w:val="single" w:sz="8" w:space="0" w:color="000000"/>
            </w:tcBorders>
          </w:tcPr>
          <w:p w14:paraId="0070AC27" w14:textId="77777777" w:rsidR="00667C03" w:rsidRPr="00667C03" w:rsidRDefault="00667C03" w:rsidP="00667C03">
            <w:pPr>
              <w:pStyle w:val="TableParagraph"/>
              <w:spacing w:before="53" w:line="228" w:lineRule="exact"/>
              <w:ind w:left="651"/>
            </w:pPr>
            <w:r w:rsidRPr="00667C03">
              <w:t xml:space="preserve">3.1 </w:t>
            </w:r>
            <w:r w:rsidRPr="00667C03">
              <w:rPr>
                <w:spacing w:val="-2"/>
              </w:rPr>
              <w:t>(16.0)</w:t>
            </w:r>
          </w:p>
          <w:p w14:paraId="7D88F189" w14:textId="77777777" w:rsidR="00667C03" w:rsidRPr="00667C03" w:rsidRDefault="00667C03" w:rsidP="00667C03">
            <w:pPr>
              <w:pStyle w:val="TableParagraph"/>
              <w:spacing w:line="228" w:lineRule="exact"/>
              <w:ind w:left="675"/>
            </w:pPr>
            <w:r w:rsidRPr="00667C03">
              <w:t>[2.3;</w:t>
            </w:r>
            <w:r w:rsidRPr="00667C03">
              <w:rPr>
                <w:spacing w:val="1"/>
              </w:rPr>
              <w:t xml:space="preserve"> </w:t>
            </w:r>
            <w:r w:rsidRPr="00667C03">
              <w:rPr>
                <w:spacing w:val="-4"/>
              </w:rPr>
              <w:t>3.8]</w:t>
            </w:r>
          </w:p>
        </w:tc>
      </w:tr>
      <w:tr w:rsidR="00667C03" w14:paraId="05E3F721" w14:textId="77777777" w:rsidTr="008E5D46">
        <w:trPr>
          <w:trHeight w:val="579"/>
        </w:trPr>
        <w:tc>
          <w:tcPr>
            <w:tcW w:w="1355" w:type="dxa"/>
            <w:tcBorders>
              <w:top w:val="single" w:sz="8" w:space="0" w:color="000000"/>
              <w:right w:val="single" w:sz="8" w:space="0" w:color="000000"/>
            </w:tcBorders>
          </w:tcPr>
          <w:p w14:paraId="6B07644A" w14:textId="77777777" w:rsidR="00667C03" w:rsidRPr="00667C03" w:rsidRDefault="00667C03" w:rsidP="00667C03">
            <w:pPr>
              <w:pStyle w:val="TableParagraph"/>
              <w:spacing w:before="163"/>
              <w:ind w:left="105"/>
            </w:pPr>
            <w:r w:rsidRPr="00667C03">
              <w:t>T</w:t>
            </w:r>
            <w:r w:rsidRPr="00667C03">
              <w:rPr>
                <w:vertAlign w:val="subscript"/>
              </w:rPr>
              <w:t>1/2</w:t>
            </w:r>
            <w:r w:rsidRPr="00667C03">
              <w:rPr>
                <w:spacing w:val="-1"/>
              </w:rPr>
              <w:t xml:space="preserve"> </w:t>
            </w:r>
            <w:r w:rsidRPr="00667C03">
              <w:rPr>
                <w:spacing w:val="-4"/>
              </w:rPr>
              <w:t>(</w:t>
            </w:r>
            <w:proofErr w:type="spellStart"/>
            <w:r w:rsidRPr="00667C03">
              <w:rPr>
                <w:spacing w:val="-4"/>
              </w:rPr>
              <w:t>hr</w:t>
            </w:r>
            <w:proofErr w:type="spellEnd"/>
            <w:r w:rsidRPr="00667C03">
              <w:rPr>
                <w:spacing w:val="-4"/>
              </w:rPr>
              <w:t>)</w:t>
            </w:r>
          </w:p>
        </w:tc>
        <w:tc>
          <w:tcPr>
            <w:tcW w:w="2063" w:type="dxa"/>
            <w:tcBorders>
              <w:top w:val="single" w:sz="8" w:space="0" w:color="000000"/>
              <w:left w:val="single" w:sz="8" w:space="0" w:color="000000"/>
              <w:right w:val="single" w:sz="8" w:space="0" w:color="000000"/>
            </w:tcBorders>
          </w:tcPr>
          <w:p w14:paraId="159F69F7" w14:textId="77777777" w:rsidR="00667C03" w:rsidRPr="00667C03" w:rsidRDefault="00667C03" w:rsidP="00667C03">
            <w:pPr>
              <w:pStyle w:val="TableParagraph"/>
              <w:spacing w:before="48"/>
              <w:ind w:left="680"/>
            </w:pPr>
            <w:r w:rsidRPr="00667C03">
              <w:t xml:space="preserve">3.3 </w:t>
            </w:r>
            <w:r w:rsidRPr="00667C03">
              <w:rPr>
                <w:spacing w:val="-2"/>
              </w:rPr>
              <w:t>(15.0)</w:t>
            </w:r>
          </w:p>
          <w:p w14:paraId="1FB0DE9B" w14:textId="77777777" w:rsidR="00667C03" w:rsidRPr="00667C03" w:rsidRDefault="00667C03" w:rsidP="00667C03">
            <w:pPr>
              <w:pStyle w:val="TableParagraph"/>
              <w:ind w:left="700"/>
            </w:pPr>
            <w:r w:rsidRPr="00667C03">
              <w:t>[2.3;</w:t>
            </w:r>
            <w:r w:rsidRPr="00667C03">
              <w:rPr>
                <w:spacing w:val="1"/>
              </w:rPr>
              <w:t xml:space="preserve"> </w:t>
            </w:r>
            <w:r w:rsidRPr="00667C03">
              <w:rPr>
                <w:spacing w:val="-4"/>
              </w:rPr>
              <w:t>4.0]</w:t>
            </w:r>
          </w:p>
        </w:tc>
        <w:tc>
          <w:tcPr>
            <w:tcW w:w="2074" w:type="dxa"/>
            <w:tcBorders>
              <w:top w:val="single" w:sz="8" w:space="0" w:color="000000"/>
              <w:left w:val="single" w:sz="8" w:space="0" w:color="000000"/>
            </w:tcBorders>
          </w:tcPr>
          <w:p w14:paraId="5F58AAC9" w14:textId="77777777" w:rsidR="00667C03" w:rsidRPr="00667C03" w:rsidRDefault="00667C03" w:rsidP="00667C03">
            <w:pPr>
              <w:pStyle w:val="TableParagraph"/>
              <w:spacing w:before="48"/>
              <w:ind w:left="651"/>
            </w:pPr>
            <w:r w:rsidRPr="00667C03">
              <w:t xml:space="preserve">2.7 </w:t>
            </w:r>
            <w:r w:rsidRPr="00667C03">
              <w:rPr>
                <w:spacing w:val="-2"/>
              </w:rPr>
              <w:t>(20.0)</w:t>
            </w:r>
          </w:p>
          <w:p w14:paraId="679CCFFC" w14:textId="77777777" w:rsidR="00667C03" w:rsidRPr="00667C03" w:rsidRDefault="00667C03" w:rsidP="00667C03">
            <w:pPr>
              <w:pStyle w:val="TableParagraph"/>
              <w:ind w:left="675"/>
            </w:pPr>
            <w:r w:rsidRPr="00667C03">
              <w:t>[1.9;</w:t>
            </w:r>
            <w:r w:rsidRPr="00667C03">
              <w:rPr>
                <w:spacing w:val="1"/>
              </w:rPr>
              <w:t xml:space="preserve"> </w:t>
            </w:r>
            <w:r w:rsidRPr="00667C03">
              <w:rPr>
                <w:spacing w:val="-4"/>
              </w:rPr>
              <w:t>3.4]</w:t>
            </w:r>
          </w:p>
        </w:tc>
      </w:tr>
      <w:tr w:rsidR="00667C03" w14:paraId="10B9E1C6" w14:textId="77777777" w:rsidTr="008E5D46">
        <w:trPr>
          <w:trHeight w:val="574"/>
        </w:trPr>
        <w:tc>
          <w:tcPr>
            <w:tcW w:w="1355" w:type="dxa"/>
            <w:tcBorders>
              <w:right w:val="single" w:sz="8" w:space="0" w:color="000000"/>
            </w:tcBorders>
          </w:tcPr>
          <w:p w14:paraId="158C54C7" w14:textId="77777777" w:rsidR="00667C03" w:rsidRPr="00667C03" w:rsidRDefault="00667C03" w:rsidP="00667C03">
            <w:pPr>
              <w:pStyle w:val="TableParagraph"/>
              <w:spacing w:before="163"/>
              <w:ind w:left="105"/>
            </w:pPr>
            <w:proofErr w:type="spellStart"/>
            <w:r w:rsidRPr="00667C03">
              <w:t>V</w:t>
            </w:r>
            <w:r w:rsidRPr="00667C03">
              <w:rPr>
                <w:vertAlign w:val="subscript"/>
              </w:rPr>
              <w:t>ss</w:t>
            </w:r>
            <w:proofErr w:type="spellEnd"/>
            <w:r w:rsidRPr="00667C03">
              <w:rPr>
                <w:spacing w:val="-12"/>
              </w:rPr>
              <w:t xml:space="preserve"> </w:t>
            </w:r>
            <w:r w:rsidRPr="00667C03">
              <w:rPr>
                <w:spacing w:val="-5"/>
              </w:rPr>
              <w:t>(L)</w:t>
            </w:r>
          </w:p>
        </w:tc>
        <w:tc>
          <w:tcPr>
            <w:tcW w:w="2063" w:type="dxa"/>
            <w:tcBorders>
              <w:left w:val="single" w:sz="8" w:space="0" w:color="000000"/>
              <w:right w:val="single" w:sz="8" w:space="0" w:color="000000"/>
            </w:tcBorders>
          </w:tcPr>
          <w:p w14:paraId="439D1B14" w14:textId="77777777" w:rsidR="00667C03" w:rsidRPr="00667C03" w:rsidRDefault="00667C03" w:rsidP="00667C03">
            <w:pPr>
              <w:pStyle w:val="TableParagraph"/>
              <w:spacing w:before="48"/>
              <w:ind w:left="680"/>
            </w:pPr>
            <w:r w:rsidRPr="00667C03">
              <w:t xml:space="preserve">4.4 </w:t>
            </w:r>
            <w:r w:rsidRPr="00667C03">
              <w:rPr>
                <w:spacing w:val="-2"/>
              </w:rPr>
              <w:t>(17.6)</w:t>
            </w:r>
          </w:p>
          <w:p w14:paraId="7D249E5C" w14:textId="77777777" w:rsidR="00667C03" w:rsidRPr="00667C03" w:rsidRDefault="00667C03" w:rsidP="00667C03">
            <w:pPr>
              <w:pStyle w:val="TableParagraph"/>
              <w:ind w:left="700"/>
            </w:pPr>
            <w:r w:rsidRPr="00667C03">
              <w:t>[3.3;</w:t>
            </w:r>
            <w:r w:rsidRPr="00667C03">
              <w:rPr>
                <w:spacing w:val="1"/>
              </w:rPr>
              <w:t xml:space="preserve"> </w:t>
            </w:r>
            <w:r w:rsidRPr="00667C03">
              <w:rPr>
                <w:spacing w:val="-4"/>
              </w:rPr>
              <w:t>5.7]</w:t>
            </w:r>
          </w:p>
        </w:tc>
        <w:tc>
          <w:tcPr>
            <w:tcW w:w="2074" w:type="dxa"/>
            <w:tcBorders>
              <w:left w:val="single" w:sz="8" w:space="0" w:color="000000"/>
            </w:tcBorders>
          </w:tcPr>
          <w:p w14:paraId="00DC364C" w14:textId="77777777" w:rsidR="00667C03" w:rsidRPr="00667C03" w:rsidRDefault="00667C03" w:rsidP="00667C03">
            <w:pPr>
              <w:pStyle w:val="TableParagraph"/>
              <w:spacing w:before="48"/>
              <w:ind w:left="651"/>
            </w:pPr>
            <w:r w:rsidRPr="00667C03">
              <w:t xml:space="preserve">3.0 </w:t>
            </w:r>
            <w:r w:rsidRPr="00667C03">
              <w:rPr>
                <w:spacing w:val="-2"/>
              </w:rPr>
              <w:t>(23.3)</w:t>
            </w:r>
          </w:p>
          <w:p w14:paraId="1B1BB34A" w14:textId="77777777" w:rsidR="00667C03" w:rsidRPr="00667C03" w:rsidRDefault="00667C03" w:rsidP="00667C03">
            <w:pPr>
              <w:pStyle w:val="TableParagraph"/>
              <w:ind w:left="675"/>
            </w:pPr>
            <w:r w:rsidRPr="00667C03">
              <w:t>[2.2;</w:t>
            </w:r>
            <w:r w:rsidRPr="00667C03">
              <w:rPr>
                <w:spacing w:val="1"/>
              </w:rPr>
              <w:t xml:space="preserve"> </w:t>
            </w:r>
            <w:r w:rsidRPr="00667C03">
              <w:rPr>
                <w:spacing w:val="-4"/>
              </w:rPr>
              <w:t>5.0]</w:t>
            </w:r>
          </w:p>
        </w:tc>
      </w:tr>
    </w:tbl>
    <w:p w14:paraId="76417BBF" w14:textId="0E6B78C5" w:rsidR="00667C03" w:rsidRDefault="00667C03" w:rsidP="008E5D46">
      <w:pPr>
        <w:pStyle w:val="TableFootnoteInfo"/>
        <w:rPr>
          <w:spacing w:val="-2"/>
          <w:sz w:val="20"/>
          <w:szCs w:val="52"/>
        </w:rPr>
      </w:pPr>
      <w:r w:rsidRPr="008E5D46">
        <w:rPr>
          <w:sz w:val="20"/>
          <w:szCs w:val="52"/>
        </w:rPr>
        <w:t>Data</w:t>
      </w:r>
      <w:r w:rsidRPr="008E5D46">
        <w:rPr>
          <w:spacing w:val="-12"/>
          <w:sz w:val="20"/>
          <w:szCs w:val="52"/>
        </w:rPr>
        <w:t xml:space="preserve"> </w:t>
      </w:r>
      <w:r w:rsidRPr="008E5D46">
        <w:rPr>
          <w:sz w:val="20"/>
          <w:szCs w:val="52"/>
        </w:rPr>
        <w:t>presented</w:t>
      </w:r>
      <w:r w:rsidRPr="008E5D46">
        <w:rPr>
          <w:spacing w:val="-9"/>
          <w:sz w:val="20"/>
          <w:szCs w:val="52"/>
        </w:rPr>
        <w:t xml:space="preserve"> </w:t>
      </w:r>
      <w:r w:rsidRPr="008E5D46">
        <w:rPr>
          <w:sz w:val="20"/>
          <w:szCs w:val="52"/>
        </w:rPr>
        <w:t>are</w:t>
      </w:r>
      <w:r w:rsidRPr="008E5D46">
        <w:rPr>
          <w:spacing w:val="-9"/>
          <w:sz w:val="20"/>
          <w:szCs w:val="52"/>
        </w:rPr>
        <w:t xml:space="preserve"> </w:t>
      </w:r>
      <w:r w:rsidRPr="008E5D46">
        <w:rPr>
          <w:sz w:val="20"/>
          <w:szCs w:val="52"/>
        </w:rPr>
        <w:t>geometric</w:t>
      </w:r>
      <w:r w:rsidRPr="008E5D46">
        <w:rPr>
          <w:spacing w:val="-12"/>
          <w:sz w:val="20"/>
          <w:szCs w:val="52"/>
        </w:rPr>
        <w:t xml:space="preserve"> </w:t>
      </w:r>
      <w:r w:rsidRPr="008E5D46">
        <w:rPr>
          <w:sz w:val="20"/>
          <w:szCs w:val="52"/>
        </w:rPr>
        <w:t>mean</w:t>
      </w:r>
      <w:r w:rsidRPr="008E5D46">
        <w:rPr>
          <w:spacing w:val="-2"/>
          <w:sz w:val="20"/>
          <w:szCs w:val="52"/>
        </w:rPr>
        <w:t xml:space="preserve"> </w:t>
      </w:r>
      <w:r w:rsidRPr="008E5D46">
        <w:rPr>
          <w:sz w:val="20"/>
          <w:szCs w:val="52"/>
        </w:rPr>
        <w:t>(Geometric</w:t>
      </w:r>
      <w:r w:rsidRPr="008E5D46">
        <w:rPr>
          <w:spacing w:val="-9"/>
          <w:sz w:val="20"/>
          <w:szCs w:val="52"/>
        </w:rPr>
        <w:t xml:space="preserve"> </w:t>
      </w:r>
      <w:r w:rsidR="00315EE6">
        <w:rPr>
          <w:sz w:val="20"/>
          <w:szCs w:val="52"/>
        </w:rPr>
        <w:t>m</w:t>
      </w:r>
      <w:r w:rsidRPr="008E5D46">
        <w:rPr>
          <w:sz w:val="20"/>
          <w:szCs w:val="52"/>
        </w:rPr>
        <w:t>ean</w:t>
      </w:r>
      <w:r w:rsidRPr="008E5D46">
        <w:rPr>
          <w:spacing w:val="-6"/>
          <w:sz w:val="20"/>
          <w:szCs w:val="52"/>
        </w:rPr>
        <w:t xml:space="preserve"> </w:t>
      </w:r>
      <w:r w:rsidRPr="008E5D46">
        <w:rPr>
          <w:sz w:val="20"/>
          <w:szCs w:val="52"/>
        </w:rPr>
        <w:t>%</w:t>
      </w:r>
      <w:r w:rsidRPr="008E5D46">
        <w:rPr>
          <w:spacing w:val="-10"/>
          <w:sz w:val="20"/>
          <w:szCs w:val="52"/>
        </w:rPr>
        <w:t xml:space="preserve"> </w:t>
      </w:r>
      <w:r w:rsidR="00315EE6">
        <w:rPr>
          <w:sz w:val="20"/>
          <w:szCs w:val="52"/>
        </w:rPr>
        <w:t>c</w:t>
      </w:r>
      <w:r w:rsidRPr="008E5D46">
        <w:rPr>
          <w:sz w:val="20"/>
          <w:szCs w:val="52"/>
        </w:rPr>
        <w:t>oefficient</w:t>
      </w:r>
      <w:r w:rsidRPr="008E5D46">
        <w:rPr>
          <w:spacing w:val="-9"/>
          <w:sz w:val="20"/>
          <w:szCs w:val="52"/>
        </w:rPr>
        <w:t xml:space="preserve"> </w:t>
      </w:r>
      <w:r w:rsidRPr="008E5D46">
        <w:rPr>
          <w:sz w:val="20"/>
          <w:szCs w:val="52"/>
        </w:rPr>
        <w:t>of</w:t>
      </w:r>
      <w:r w:rsidRPr="008E5D46">
        <w:rPr>
          <w:spacing w:val="-9"/>
          <w:sz w:val="20"/>
          <w:szCs w:val="52"/>
        </w:rPr>
        <w:t xml:space="preserve"> </w:t>
      </w:r>
      <w:r w:rsidR="00315EE6">
        <w:rPr>
          <w:sz w:val="20"/>
          <w:szCs w:val="52"/>
        </w:rPr>
        <w:t>v</w:t>
      </w:r>
      <w:r w:rsidRPr="008E5D46">
        <w:rPr>
          <w:sz w:val="20"/>
          <w:szCs w:val="52"/>
        </w:rPr>
        <w:t>ariation),</w:t>
      </w:r>
      <w:r w:rsidRPr="008E5D46">
        <w:rPr>
          <w:spacing w:val="-8"/>
          <w:sz w:val="20"/>
          <w:szCs w:val="52"/>
        </w:rPr>
        <w:t xml:space="preserve"> </w:t>
      </w:r>
      <w:r w:rsidRPr="008E5D46">
        <w:rPr>
          <w:spacing w:val="-2"/>
          <w:sz w:val="20"/>
          <w:szCs w:val="52"/>
        </w:rPr>
        <w:t>[range].</w:t>
      </w:r>
    </w:p>
    <w:p w14:paraId="0E6EAD01" w14:textId="77777777" w:rsidR="008E5D46" w:rsidRPr="008E5D46" w:rsidRDefault="008E5D46" w:rsidP="008E5D46">
      <w:pPr>
        <w:pStyle w:val="TableFootnoteInfo"/>
        <w:rPr>
          <w:sz w:val="20"/>
          <w:szCs w:val="52"/>
        </w:rPr>
      </w:pPr>
    </w:p>
    <w:p w14:paraId="47CD7431" w14:textId="0885B38D" w:rsidR="00344BC2" w:rsidRDefault="00344BC2" w:rsidP="00344BC2">
      <w:pPr>
        <w:pStyle w:val="Heading3Unnumbered"/>
      </w:pPr>
      <w:r w:rsidRPr="00406501">
        <w:t>Special populations</w:t>
      </w:r>
    </w:p>
    <w:p w14:paraId="71773FF0" w14:textId="77777777" w:rsidR="00344BC2" w:rsidRPr="00406501" w:rsidRDefault="00344BC2" w:rsidP="00344BC2">
      <w:pPr>
        <w:pStyle w:val="Heading4Unnumbered"/>
      </w:pPr>
      <w:r w:rsidRPr="00406501">
        <w:t>Elderly patients</w:t>
      </w:r>
    </w:p>
    <w:p w14:paraId="04A9643E" w14:textId="78EC9A48" w:rsidR="00344BC2" w:rsidRDefault="00344BC2" w:rsidP="00344BC2">
      <w:pPr>
        <w:pStyle w:val="Paragraph"/>
      </w:pPr>
      <w:r w:rsidRPr="00344BC2">
        <w:t xml:space="preserve">In a study comparing </w:t>
      </w:r>
      <w:r w:rsidR="00B3746D">
        <w:t>andexanet alfa</w:t>
      </w:r>
      <w:r w:rsidRPr="00344BC2">
        <w:t xml:space="preserve"> pharmacokinetics in elderly (65-69 years) and younger </w:t>
      </w:r>
      <w:r w:rsidRPr="00344BC2">
        <w:br/>
        <w:t xml:space="preserve">(26-42 years) healthy subjects who had received apixaban, the pharmacokinetics of </w:t>
      </w:r>
      <w:r w:rsidR="00B3746D">
        <w:t>andexanet alfa</w:t>
      </w:r>
      <w:r w:rsidRPr="00344BC2">
        <w:t xml:space="preserve"> in the elderly subjects were not statistically different than those in the younger subjects.</w:t>
      </w:r>
    </w:p>
    <w:p w14:paraId="0FB4D533" w14:textId="77777777" w:rsidR="00344BC2" w:rsidRPr="00406501" w:rsidRDefault="00344BC2" w:rsidP="00344BC2">
      <w:pPr>
        <w:pStyle w:val="Heading4Unnumbered"/>
      </w:pPr>
      <w:r w:rsidRPr="00406501">
        <w:t xml:space="preserve">Renal impairment </w:t>
      </w:r>
    </w:p>
    <w:p w14:paraId="2D8DBBBE" w14:textId="1CDFB09C" w:rsidR="00344BC2" w:rsidRPr="00344BC2" w:rsidRDefault="00344BC2" w:rsidP="00344BC2">
      <w:pPr>
        <w:pStyle w:val="Paragraph"/>
        <w:rPr>
          <w:lang w:val="en-US"/>
        </w:rPr>
      </w:pPr>
      <w:r w:rsidRPr="00344BC2">
        <w:rPr>
          <w:lang w:val="en-US"/>
        </w:rPr>
        <w:t xml:space="preserve">No trials have been conducted to investigate the pharmacokinetics of </w:t>
      </w:r>
      <w:r w:rsidR="00B3746D">
        <w:rPr>
          <w:lang w:val="en-US"/>
        </w:rPr>
        <w:t>andexanet alfa</w:t>
      </w:r>
      <w:r w:rsidRPr="00344BC2">
        <w:rPr>
          <w:lang w:val="en-US"/>
        </w:rPr>
        <w:t xml:space="preserve"> in patients with renal impairment. Based on the available PK data, </w:t>
      </w:r>
      <w:r w:rsidR="00B3746D">
        <w:rPr>
          <w:lang w:val="en-US"/>
        </w:rPr>
        <w:t>andexanet alfa</w:t>
      </w:r>
      <w:r w:rsidRPr="00344BC2">
        <w:rPr>
          <w:lang w:val="en-US"/>
        </w:rPr>
        <w:t xml:space="preserve"> has little to no renal clearance, and thus would not require dose adjustment for patients with renal impairment.</w:t>
      </w:r>
    </w:p>
    <w:p w14:paraId="442F412E" w14:textId="64B0D1B4" w:rsidR="00344BC2" w:rsidRDefault="00344BC2" w:rsidP="00344BC2">
      <w:pPr>
        <w:pStyle w:val="Heading4Unnumbered"/>
      </w:pPr>
      <w:r w:rsidRPr="00406501">
        <w:t>Hepatic impairment</w:t>
      </w:r>
    </w:p>
    <w:p w14:paraId="67954624" w14:textId="5563FD7F" w:rsidR="00344BC2" w:rsidRDefault="00344BC2" w:rsidP="00344BC2">
      <w:pPr>
        <w:pStyle w:val="Paragraph"/>
      </w:pPr>
      <w:r w:rsidRPr="00344BC2">
        <w:t xml:space="preserve">No trials have been conducted to investigate the pharmacokinetics of </w:t>
      </w:r>
      <w:r w:rsidR="00B3746D">
        <w:t>andexanet alfa</w:t>
      </w:r>
      <w:r w:rsidRPr="00344BC2">
        <w:t xml:space="preserve"> in patients with hepatic impairment. Biliary and/or </w:t>
      </w:r>
      <w:r w:rsidR="00B3746D" w:rsidRPr="00344BC2">
        <w:t>faeces</w:t>
      </w:r>
      <w:r w:rsidRPr="00344BC2">
        <w:t xml:space="preserve"> elimination of protein therapeutics is not a known route of protein elimination. Therefore, dose adjustment is not considered needed for patients with hepatic impairment.</w:t>
      </w:r>
    </w:p>
    <w:p w14:paraId="3A83DC3E" w14:textId="2171CEA2" w:rsidR="00344BC2" w:rsidRDefault="00AB29AC" w:rsidP="00AB29AC">
      <w:pPr>
        <w:pStyle w:val="Heading4Unnumbered"/>
      </w:pPr>
      <w:r>
        <w:t>Gender</w:t>
      </w:r>
    </w:p>
    <w:p w14:paraId="64FD1556" w14:textId="5B80E11E" w:rsidR="00344BC2" w:rsidRPr="00344BC2" w:rsidRDefault="00AB29AC" w:rsidP="00344BC2">
      <w:pPr>
        <w:pStyle w:val="Paragraph"/>
      </w:pPr>
      <w:r w:rsidRPr="00AB29AC">
        <w:t xml:space="preserve">Based on population pharmacokinetics analysis, gender does not </w:t>
      </w:r>
      <w:proofErr w:type="gramStart"/>
      <w:r w:rsidRPr="00AB29AC">
        <w:t>have an effect on</w:t>
      </w:r>
      <w:proofErr w:type="gramEnd"/>
      <w:r w:rsidRPr="00AB29AC">
        <w:t xml:space="preserve"> the pharmacokinetics of </w:t>
      </w:r>
      <w:r w:rsidR="00B3746D">
        <w:t>andexanet alfa</w:t>
      </w:r>
      <w:r w:rsidRPr="00AB29AC">
        <w:t>.</w:t>
      </w:r>
    </w:p>
    <w:p w14:paraId="6E4A36A3" w14:textId="77777777" w:rsidR="001A3992" w:rsidRDefault="001A3992" w:rsidP="00EE3AC8">
      <w:pPr>
        <w:pStyle w:val="Heading2"/>
      </w:pPr>
      <w:r w:rsidRPr="00377337">
        <w:t>Preclinical safety data</w:t>
      </w:r>
    </w:p>
    <w:p w14:paraId="2BCD805B" w14:textId="65E3A23B" w:rsidR="001A3992" w:rsidRDefault="001A3992" w:rsidP="0026491B">
      <w:pPr>
        <w:pStyle w:val="Heading3Unnumbered"/>
      </w:pPr>
      <w:r w:rsidRPr="00377337">
        <w:t>Genotoxicity</w:t>
      </w:r>
    </w:p>
    <w:p w14:paraId="3E9BEE0B" w14:textId="390D8D98" w:rsidR="00C1749B" w:rsidRPr="007403BD" w:rsidRDefault="00C1749B" w:rsidP="00C1749B">
      <w:pPr>
        <w:pStyle w:val="Paragraph"/>
      </w:pPr>
      <w:r w:rsidRPr="00C1749B">
        <w:t xml:space="preserve">No animal studies were performed to evaluate the effects of </w:t>
      </w:r>
      <w:r w:rsidR="00B3746D">
        <w:t>andexanet alfa</w:t>
      </w:r>
      <w:r w:rsidRPr="00C1749B">
        <w:t xml:space="preserve"> on </w:t>
      </w:r>
      <w:r w:rsidR="00224FC5">
        <w:t>genotoxicity</w:t>
      </w:r>
      <w:r w:rsidRPr="00C1749B">
        <w:t>.</w:t>
      </w:r>
    </w:p>
    <w:p w14:paraId="52C9131A" w14:textId="77777777" w:rsidR="001A3992" w:rsidRDefault="001A3992" w:rsidP="0026491B">
      <w:pPr>
        <w:pStyle w:val="Heading3Unnumbered"/>
      </w:pPr>
      <w:r w:rsidRPr="00377337">
        <w:t>Carcinogenicity</w:t>
      </w:r>
    </w:p>
    <w:p w14:paraId="0F64EE0D" w14:textId="7CCA310E" w:rsidR="007403BD" w:rsidRPr="007403BD" w:rsidRDefault="00C1749B" w:rsidP="007403BD">
      <w:pPr>
        <w:pStyle w:val="Paragraph"/>
      </w:pPr>
      <w:r w:rsidRPr="00C1749B">
        <w:t>No studies were performed to evaluate the effects of</w:t>
      </w:r>
      <w:r w:rsidR="00B3746D">
        <w:t xml:space="preserve"> andexanet alfa</w:t>
      </w:r>
      <w:r w:rsidRPr="00C1749B">
        <w:t xml:space="preserve"> on carcinogenesis.</w:t>
      </w:r>
    </w:p>
    <w:p w14:paraId="2E0D3454" w14:textId="77777777" w:rsidR="001A3992" w:rsidRPr="00377337" w:rsidRDefault="001A3992" w:rsidP="00EE3AC8">
      <w:pPr>
        <w:pStyle w:val="Heading1"/>
      </w:pPr>
      <w:r w:rsidRPr="00377337">
        <w:lastRenderedPageBreak/>
        <w:t>Pharmaceutical particulars</w:t>
      </w:r>
    </w:p>
    <w:p w14:paraId="4B9D388E" w14:textId="77777777" w:rsidR="001A3992" w:rsidRDefault="001A3992" w:rsidP="00EE3AC8">
      <w:pPr>
        <w:pStyle w:val="Heading2"/>
      </w:pPr>
      <w:bookmarkStart w:id="15" w:name="_Ref505768678"/>
      <w:r w:rsidRPr="00377337">
        <w:t>List of exci</w:t>
      </w:r>
      <w:r w:rsidR="00795D99" w:rsidRPr="00377337">
        <w:t>pients</w:t>
      </w:r>
      <w:bookmarkEnd w:id="15"/>
    </w:p>
    <w:p w14:paraId="3D8FBE27" w14:textId="0259AD9C" w:rsidR="007A2548" w:rsidRPr="007403BD" w:rsidRDefault="00021935" w:rsidP="007A2548">
      <w:pPr>
        <w:pStyle w:val="Paragraph"/>
      </w:pPr>
      <w:r>
        <w:t>Trometamol, trometamol hydrochloride, arginine hydrochloride, sucrose, mannitol, and polysorbate 80.</w:t>
      </w:r>
    </w:p>
    <w:p w14:paraId="4E7EAC18" w14:textId="77777777" w:rsidR="001A3992" w:rsidRDefault="001A3992" w:rsidP="00EE3AC8">
      <w:pPr>
        <w:pStyle w:val="Heading2"/>
      </w:pPr>
      <w:r w:rsidRPr="00377337">
        <w:t>Incompatib</w:t>
      </w:r>
      <w:r w:rsidR="00795D99" w:rsidRPr="00377337">
        <w:t>ilities</w:t>
      </w:r>
    </w:p>
    <w:p w14:paraId="45315267" w14:textId="30EBE6A4" w:rsidR="007A2548" w:rsidRPr="00021935" w:rsidRDefault="00021935" w:rsidP="00021935">
      <w:pPr>
        <w:pStyle w:val="Paragraph"/>
      </w:pPr>
      <w:r w:rsidRPr="00021935">
        <w:t>In the absence of compatibility studies, this medicinal product must not be mixed with other medicinal products.</w:t>
      </w:r>
    </w:p>
    <w:p w14:paraId="10330C84" w14:textId="77777777" w:rsidR="001A3992" w:rsidRDefault="001A3992" w:rsidP="00EE3AC8">
      <w:pPr>
        <w:pStyle w:val="Heading2"/>
      </w:pPr>
      <w:r w:rsidRPr="00377337">
        <w:t>Shelf life</w:t>
      </w:r>
    </w:p>
    <w:p w14:paraId="4B7ADE5F" w14:textId="77777777" w:rsidR="007A2548" w:rsidRPr="007403BD" w:rsidRDefault="007A2548" w:rsidP="007403BD">
      <w:pPr>
        <w:pStyle w:val="Paragraph"/>
      </w:pPr>
      <w:r>
        <w:t>In Australia, information on the shelf life can be found on the public summary of the Australian Register of Therapeutic Goods (ARTG). The expiry date can be found on the packaging.</w:t>
      </w:r>
    </w:p>
    <w:p w14:paraId="1473FBCB" w14:textId="47E8F3BE" w:rsidR="007403BD" w:rsidRPr="00021935" w:rsidRDefault="00795D99" w:rsidP="007403BD">
      <w:pPr>
        <w:pStyle w:val="Heading2"/>
      </w:pPr>
      <w:r w:rsidRPr="00377337">
        <w:t>Special precautions for storage</w:t>
      </w:r>
    </w:p>
    <w:p w14:paraId="408F54BE" w14:textId="693878B0" w:rsidR="007A2548" w:rsidRDefault="00C41431" w:rsidP="00021935">
      <w:pPr>
        <w:pStyle w:val="Paragraph"/>
      </w:pPr>
      <w:r>
        <w:t>Unopened vials should be stored refrigerated</w:t>
      </w:r>
      <w:r w:rsidR="00021935" w:rsidRPr="00021935">
        <w:t xml:space="preserve"> at 2°C to 8°C.</w:t>
      </w:r>
      <w:r>
        <w:t xml:space="preserve"> Do not freeze.</w:t>
      </w:r>
      <w:r w:rsidR="003B0C92">
        <w:t xml:space="preserve"> Protect from light.</w:t>
      </w:r>
    </w:p>
    <w:p w14:paraId="75E7BDB6" w14:textId="0113F5B0" w:rsidR="00C41431" w:rsidRDefault="00C41431" w:rsidP="00C41431">
      <w:pPr>
        <w:pStyle w:val="Heading3Unnumbered"/>
      </w:pPr>
      <w:r>
        <w:t xml:space="preserve">Reconstituted </w:t>
      </w:r>
      <w:r w:rsidR="00A5306C">
        <w:t>m</w:t>
      </w:r>
      <w:r>
        <w:t xml:space="preserve">edicinal </w:t>
      </w:r>
      <w:r w:rsidR="00A5306C">
        <w:t>p</w:t>
      </w:r>
      <w:r>
        <w:t>roduct</w:t>
      </w:r>
    </w:p>
    <w:p w14:paraId="04F0F6D2" w14:textId="1B20D69E" w:rsidR="00C41431" w:rsidRPr="00C41431" w:rsidRDefault="00F97E8B" w:rsidP="00C41431">
      <w:pPr>
        <w:pStyle w:val="Paragraph"/>
      </w:pPr>
      <w:r>
        <w:t>To reduce microbiological hazard, use as soon as practicable after reconstitution</w:t>
      </w:r>
      <w:r w:rsidR="007B7CE1">
        <w:t>/preparation</w:t>
      </w:r>
      <w:r>
        <w:t xml:space="preserve">.  If storage is necessary, hold at </w:t>
      </w:r>
      <w:r w:rsidRPr="00021935">
        <w:t>2°C to 8°C</w:t>
      </w:r>
      <w:r>
        <w:t xml:space="preserve"> for not more than 24 hours</w:t>
      </w:r>
      <w:r w:rsidR="007B7CE1" w:rsidRPr="007B7CE1">
        <w:rPr>
          <w:rStyle w:val="Heading1Char"/>
          <w:color w:val="000000"/>
          <w:shd w:val="clear" w:color="auto" w:fill="FFFFFF"/>
        </w:rPr>
        <w:t xml:space="preserve"> </w:t>
      </w:r>
      <w:r w:rsidR="007B7CE1">
        <w:rPr>
          <w:rStyle w:val="normaltextrun"/>
          <w:color w:val="000000"/>
          <w:shd w:val="clear" w:color="auto" w:fill="FFFFFF"/>
        </w:rPr>
        <w:t>or intermittent storage at room temperature (≤25°C) for not more than 8 hours</w:t>
      </w:r>
      <w:r>
        <w:t>.</w:t>
      </w:r>
    </w:p>
    <w:p w14:paraId="55B2C720" w14:textId="77777777" w:rsidR="001A3992" w:rsidRDefault="001A3992" w:rsidP="00EE3AC8">
      <w:pPr>
        <w:pStyle w:val="Heading2"/>
      </w:pPr>
      <w:r w:rsidRPr="00377337">
        <w:t>N</w:t>
      </w:r>
      <w:r w:rsidR="00795D99" w:rsidRPr="00377337">
        <w:t>ature and contents of container</w:t>
      </w:r>
    </w:p>
    <w:p w14:paraId="1DF7F8A3" w14:textId="00B9766D" w:rsidR="006A727B" w:rsidRDefault="00C57878" w:rsidP="006A727B">
      <w:pPr>
        <w:pStyle w:val="Paragraph"/>
      </w:pPr>
      <w:r w:rsidRPr="00C57878">
        <w:t>Powder in a 20 mL vial (Type I glass) with a stopper (butyl rubber)</w:t>
      </w:r>
      <w:r w:rsidR="006246E6">
        <w:t xml:space="preserve"> and aluminium</w:t>
      </w:r>
      <w:r w:rsidRPr="00C57878">
        <w:t>. Pack size of 4 vials</w:t>
      </w:r>
      <w:r w:rsidR="0041325A">
        <w:t>.</w:t>
      </w:r>
    </w:p>
    <w:p w14:paraId="1EABD344" w14:textId="77777777" w:rsidR="001A3992" w:rsidRDefault="001A3992" w:rsidP="00EE3AC8">
      <w:pPr>
        <w:pStyle w:val="Heading2"/>
      </w:pPr>
      <w:r w:rsidRPr="00377337">
        <w:t>S</w:t>
      </w:r>
      <w:r w:rsidR="00795D99" w:rsidRPr="00377337">
        <w:t>pecial precautions for disposal</w:t>
      </w:r>
    </w:p>
    <w:p w14:paraId="35BB2C13" w14:textId="624A6B5B" w:rsidR="006A727B" w:rsidRPr="007403BD" w:rsidRDefault="007706C9" w:rsidP="007706C9">
      <w:pPr>
        <w:pStyle w:val="Paragraph"/>
      </w:pPr>
      <w:r>
        <w:t>In Australia, any unused medicine or waste material should be disposed of in accordance with local requirements.</w:t>
      </w:r>
    </w:p>
    <w:p w14:paraId="6896921E" w14:textId="77777777" w:rsidR="001A3992" w:rsidRDefault="001A3992" w:rsidP="00EE3AC8">
      <w:pPr>
        <w:pStyle w:val="Heading2"/>
      </w:pPr>
      <w:r w:rsidRPr="00377337">
        <w:t>Physicochemical properties</w:t>
      </w:r>
    </w:p>
    <w:p w14:paraId="73707218" w14:textId="77777777" w:rsidR="00062AE5" w:rsidRPr="00062AE5" w:rsidRDefault="00062AE5" w:rsidP="00062AE5">
      <w:pPr>
        <w:pStyle w:val="Heading3Unnumbered"/>
      </w:pPr>
      <w:r>
        <w:t>Chemical structure</w:t>
      </w:r>
    </w:p>
    <w:p w14:paraId="5B900E00" w14:textId="267A53F8" w:rsidR="004C7F1B" w:rsidRDefault="007B20BB" w:rsidP="004C7F1B">
      <w:pPr>
        <w:pStyle w:val="Paragraph"/>
      </w:pPr>
      <w:r>
        <w:t xml:space="preserve">Andexanet alfa is a </w:t>
      </w:r>
      <w:r w:rsidR="0061377A">
        <w:t xml:space="preserve">recombinant </w:t>
      </w:r>
      <w:r>
        <w:t xml:space="preserve">modified </w:t>
      </w:r>
      <w:r w:rsidR="0061377A">
        <w:t xml:space="preserve">version of a </w:t>
      </w:r>
      <w:r>
        <w:t xml:space="preserve">human </w:t>
      </w:r>
      <w:proofErr w:type="spellStart"/>
      <w:r>
        <w:t>FXa</w:t>
      </w:r>
      <w:proofErr w:type="spellEnd"/>
      <w:r>
        <w:t xml:space="preserve"> protein</w:t>
      </w:r>
      <w:r w:rsidR="00D11C81">
        <w:t xml:space="preserve"> </w:t>
      </w:r>
      <w:r w:rsidR="0061377A">
        <w:t xml:space="preserve">expressed </w:t>
      </w:r>
      <w:r w:rsidR="00D11C81">
        <w:t>in C</w:t>
      </w:r>
      <w:r w:rsidR="0089799E">
        <w:t>hinese hamster ovary (CHO)</w:t>
      </w:r>
      <w:r w:rsidR="00D11C81">
        <w:t xml:space="preserve"> cells</w:t>
      </w:r>
      <w:r w:rsidR="00C74F32">
        <w:t xml:space="preserve">. </w:t>
      </w:r>
      <w:r w:rsidR="0061377A">
        <w:t>The protein</w:t>
      </w:r>
      <w:r w:rsidR="00BE18FB">
        <w:t xml:space="preserve"> is a two</w:t>
      </w:r>
      <w:r w:rsidR="0061377A">
        <w:t>-</w:t>
      </w:r>
      <w:r w:rsidR="00BE18FB">
        <w:t>chain molecule compris</w:t>
      </w:r>
      <w:r w:rsidR="0061377A">
        <w:t>ed of</w:t>
      </w:r>
      <w:r w:rsidR="00BE18FB">
        <w:t xml:space="preserve"> a </w:t>
      </w:r>
      <w:r w:rsidR="0061377A">
        <w:t xml:space="preserve">105 amino acid </w:t>
      </w:r>
      <w:r w:rsidR="00BE18FB">
        <w:t xml:space="preserve">light chain </w:t>
      </w:r>
      <w:r w:rsidR="0061377A">
        <w:t>(</w:t>
      </w:r>
      <w:r w:rsidR="00BE18FB">
        <w:t xml:space="preserve">approximately 12 </w:t>
      </w:r>
      <w:proofErr w:type="spellStart"/>
      <w:r w:rsidR="00BE18FB">
        <w:t>kDa</w:t>
      </w:r>
      <w:proofErr w:type="spellEnd"/>
      <w:r w:rsidR="0061377A">
        <w:t>)</w:t>
      </w:r>
      <w:r w:rsidR="00BE18FB">
        <w:t xml:space="preserve"> and a </w:t>
      </w:r>
      <w:r w:rsidR="0061377A">
        <w:t xml:space="preserve">254 amino acid </w:t>
      </w:r>
      <w:r w:rsidR="00BE18FB">
        <w:t xml:space="preserve">heavy chain </w:t>
      </w:r>
      <w:r w:rsidR="0061377A">
        <w:t>(</w:t>
      </w:r>
      <w:r w:rsidR="00BE18FB">
        <w:t xml:space="preserve">approximately 28 </w:t>
      </w:r>
      <w:proofErr w:type="spellStart"/>
      <w:r w:rsidR="00BE18FB">
        <w:t>kDa</w:t>
      </w:r>
      <w:proofErr w:type="spellEnd"/>
      <w:r w:rsidR="0061377A">
        <w:t>).</w:t>
      </w:r>
      <w:r w:rsidR="00BE18FB">
        <w:t xml:space="preserve"> </w:t>
      </w:r>
      <w:r w:rsidR="0061377A">
        <w:t xml:space="preserve">The chains are </w:t>
      </w:r>
      <w:r w:rsidR="00BE18FB">
        <w:t>connected by a single inter-chain disulphide bond.</w:t>
      </w:r>
      <w:r w:rsidR="00265478">
        <w:t xml:space="preserve"> Andexanet alfa </w:t>
      </w:r>
      <w:r w:rsidR="00F91EDA">
        <w:t>has</w:t>
      </w:r>
      <w:r w:rsidR="00265478">
        <w:t xml:space="preserve"> </w:t>
      </w:r>
      <w:r w:rsidR="0061377A">
        <w:t xml:space="preserve">a total of </w:t>
      </w:r>
      <w:r w:rsidR="00265478">
        <w:t xml:space="preserve">359 amino acid residues and </w:t>
      </w:r>
      <w:r w:rsidR="00F91EDA">
        <w:t xml:space="preserve">an approximate </w:t>
      </w:r>
      <w:r w:rsidR="00265478">
        <w:t xml:space="preserve">molecular weight of 41 </w:t>
      </w:r>
      <w:proofErr w:type="spellStart"/>
      <w:r w:rsidR="00265478">
        <w:t>kDa</w:t>
      </w:r>
      <w:proofErr w:type="spellEnd"/>
      <w:r w:rsidR="00265478">
        <w:t>.</w:t>
      </w:r>
    </w:p>
    <w:p w14:paraId="4075F3BC" w14:textId="55B9DB74" w:rsidR="004C7F1B" w:rsidRDefault="004C7F1B" w:rsidP="004C7F1B">
      <w:pPr>
        <w:pStyle w:val="FigureTitle"/>
        <w:rPr>
          <w:lang w:val="en-AU"/>
        </w:rPr>
      </w:pPr>
      <w:r w:rsidRPr="001812B5">
        <w:lastRenderedPageBreak/>
        <w:t>Figure </w:t>
      </w:r>
      <w:r w:rsidR="00DF5ECF">
        <w:t>2</w:t>
      </w:r>
      <w:r w:rsidRPr="001812B5">
        <w:tab/>
      </w:r>
      <w:r w:rsidR="0061377A">
        <w:t>S</w:t>
      </w:r>
      <w:r w:rsidRPr="001812B5">
        <w:t xml:space="preserve">tructure of </w:t>
      </w:r>
      <w:r w:rsidR="00DF5ECF">
        <w:t>andexanet alfa</w:t>
      </w:r>
    </w:p>
    <w:p w14:paraId="0814560E" w14:textId="3DF26FD9" w:rsidR="004C7F1B" w:rsidRPr="004C7F1B" w:rsidRDefault="0061377A" w:rsidP="004C7F1B">
      <w:pPr>
        <w:pStyle w:val="Paragraph"/>
      </w:pPr>
      <w:r>
        <w:rPr>
          <w:noProof/>
        </w:rPr>
        <w:drawing>
          <wp:inline distT="0" distB="0" distL="0" distR="0" wp14:anchorId="18B9B592" wp14:editId="1F43A408">
            <wp:extent cx="4717915" cy="1770434"/>
            <wp:effectExtent l="0" t="0" r="6985" b="127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2293" cy="1798345"/>
                    </a:xfrm>
                    <a:prstGeom prst="rect">
                      <a:avLst/>
                    </a:prstGeom>
                    <a:noFill/>
                    <a:ln>
                      <a:noFill/>
                    </a:ln>
                  </pic:spPr>
                </pic:pic>
              </a:graphicData>
            </a:graphic>
          </wp:inline>
        </w:drawing>
      </w:r>
    </w:p>
    <w:p w14:paraId="0F361A00" w14:textId="77777777" w:rsidR="00062AE5" w:rsidRDefault="001A3992" w:rsidP="00062AE5">
      <w:pPr>
        <w:pStyle w:val="Heading3Unnumbered"/>
      </w:pPr>
      <w:r w:rsidRPr="004C7F1B">
        <w:t>CAS number</w:t>
      </w:r>
    </w:p>
    <w:p w14:paraId="29902D58" w14:textId="78664B78" w:rsidR="006A727B" w:rsidRPr="004C7F1B" w:rsidRDefault="007B20BB" w:rsidP="006A727B">
      <w:pPr>
        <w:pStyle w:val="Paragraph"/>
      </w:pPr>
      <w:r>
        <w:t>1262449-58-0</w:t>
      </w:r>
    </w:p>
    <w:p w14:paraId="1B285D6A" w14:textId="77777777" w:rsidR="001A3992" w:rsidRDefault="001A3992" w:rsidP="00EE3AC8">
      <w:pPr>
        <w:pStyle w:val="Heading1"/>
      </w:pPr>
      <w:r w:rsidRPr="00377337">
        <w:t>Medicine schedule (Poisons Standard)</w:t>
      </w:r>
    </w:p>
    <w:p w14:paraId="39202C46" w14:textId="1BD89812" w:rsidR="0041004D" w:rsidRPr="002D3489" w:rsidRDefault="0041004D" w:rsidP="002D3489">
      <w:pPr>
        <w:pStyle w:val="Paragraph"/>
      </w:pPr>
      <w:r w:rsidRPr="0041004D">
        <w:t>Prescription only medicine (Schedule 4)</w:t>
      </w:r>
      <w:r w:rsidR="00B265DD">
        <w:t>.</w:t>
      </w:r>
    </w:p>
    <w:p w14:paraId="224F531F" w14:textId="77777777" w:rsidR="00285173" w:rsidRDefault="001A3992" w:rsidP="00EE3AC8">
      <w:pPr>
        <w:pStyle w:val="Heading1"/>
      </w:pPr>
      <w:r w:rsidRPr="00377337">
        <w:t>Sponsor</w:t>
      </w:r>
    </w:p>
    <w:p w14:paraId="03765E72" w14:textId="7B66E3C0" w:rsidR="0041004D" w:rsidRDefault="0041004D" w:rsidP="0041004D">
      <w:pPr>
        <w:pStyle w:val="Paragraph"/>
      </w:pPr>
      <w:r>
        <w:t>AstraZeneca Pty Ltd</w:t>
      </w:r>
      <w:r>
        <w:br/>
        <w:t>ABN 54 009 682 311</w:t>
      </w:r>
      <w:r>
        <w:br/>
        <w:t>66 Talavera Road</w:t>
      </w:r>
      <w:r>
        <w:br/>
        <w:t>M</w:t>
      </w:r>
      <w:r w:rsidR="00CD1042">
        <w:t>acquarie</w:t>
      </w:r>
      <w:r>
        <w:t xml:space="preserve"> P</w:t>
      </w:r>
      <w:r w:rsidR="00CD1042">
        <w:t>ark</w:t>
      </w:r>
      <w:r>
        <w:t xml:space="preserve"> NSW 2113</w:t>
      </w:r>
    </w:p>
    <w:p w14:paraId="6F11F1CF" w14:textId="77777777" w:rsidR="0041004D" w:rsidRPr="002D3489" w:rsidRDefault="0041004D" w:rsidP="0041004D">
      <w:pPr>
        <w:pStyle w:val="Paragraph"/>
      </w:pPr>
      <w:r>
        <w:t>Telephone: 1800 805 342</w:t>
      </w:r>
    </w:p>
    <w:p w14:paraId="1E768D75" w14:textId="77777777" w:rsidR="00285173" w:rsidRDefault="00285173" w:rsidP="00EE3AC8">
      <w:pPr>
        <w:pStyle w:val="Heading1"/>
      </w:pPr>
      <w:r w:rsidRPr="00377337">
        <w:t xml:space="preserve">Date of first </w:t>
      </w:r>
      <w:r w:rsidR="00795D99" w:rsidRPr="00377337">
        <w:t>approval</w:t>
      </w:r>
    </w:p>
    <w:p w14:paraId="1AB81DD6" w14:textId="4282A97B" w:rsidR="00E00336" w:rsidRPr="002D3489" w:rsidRDefault="002C2E3C" w:rsidP="002D3489">
      <w:pPr>
        <w:pStyle w:val="Paragraph"/>
      </w:pPr>
      <w:r>
        <w:t>3 July 2023</w:t>
      </w:r>
    </w:p>
    <w:p w14:paraId="245D4C1F" w14:textId="77777777" w:rsidR="00285173" w:rsidRDefault="00285173" w:rsidP="00EE3AC8">
      <w:pPr>
        <w:pStyle w:val="Heading1"/>
      </w:pPr>
      <w:r w:rsidRPr="00377337">
        <w:t>Date o</w:t>
      </w:r>
      <w:r w:rsidR="00795D99" w:rsidRPr="00377337">
        <w:t>f revision</w:t>
      </w:r>
    </w:p>
    <w:p w14:paraId="29EAB9E8" w14:textId="0CE314E0" w:rsidR="00513B1A" w:rsidRDefault="001812B5" w:rsidP="00513B1A">
      <w:pPr>
        <w:pStyle w:val="Paragraph"/>
      </w:pPr>
      <w:r>
        <w:t>Not applicable</w:t>
      </w:r>
      <w:r w:rsidR="00B265DD">
        <w:t>.</w:t>
      </w:r>
    </w:p>
    <w:p w14:paraId="2CEABD05" w14:textId="77777777" w:rsidR="00285173" w:rsidRPr="00377337" w:rsidRDefault="00285173" w:rsidP="0026491B">
      <w:pPr>
        <w:pStyle w:val="Heading2Unnumbered"/>
      </w:pPr>
      <w:r w:rsidRPr="00377337">
        <w:t>Summary table of changes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129"/>
        <w:gridCol w:w="8509"/>
      </w:tblGrid>
      <w:tr w:rsidR="008A35FB" w14:paraId="55502763" w14:textId="77777777" w:rsidTr="008A35FB">
        <w:trPr>
          <w:cantSplit/>
          <w:tblHeader/>
        </w:trPr>
        <w:tc>
          <w:tcPr>
            <w:tcW w:w="1129" w:type="dxa"/>
            <w:shd w:val="clear" w:color="auto" w:fill="auto"/>
          </w:tcPr>
          <w:p w14:paraId="44622416" w14:textId="77777777" w:rsidR="008A35FB" w:rsidRDefault="008A35FB" w:rsidP="008A35FB">
            <w:pPr>
              <w:pStyle w:val="TableHead"/>
              <w:jc w:val="left"/>
            </w:pPr>
            <w:r>
              <w:t>Section changed</w:t>
            </w:r>
          </w:p>
        </w:tc>
        <w:tc>
          <w:tcPr>
            <w:tcW w:w="8509" w:type="dxa"/>
            <w:shd w:val="clear" w:color="auto" w:fill="auto"/>
          </w:tcPr>
          <w:p w14:paraId="040F2D79" w14:textId="77777777" w:rsidR="008A35FB" w:rsidRDefault="008A35FB" w:rsidP="008A35FB">
            <w:pPr>
              <w:pStyle w:val="TableHead"/>
              <w:jc w:val="left"/>
            </w:pPr>
            <w:r>
              <w:t>Summary of new information</w:t>
            </w:r>
          </w:p>
        </w:tc>
      </w:tr>
      <w:tr w:rsidR="001812B5" w14:paraId="687C68C8" w14:textId="77777777" w:rsidTr="00257099">
        <w:trPr>
          <w:cantSplit/>
        </w:trPr>
        <w:tc>
          <w:tcPr>
            <w:tcW w:w="1129" w:type="dxa"/>
            <w:shd w:val="clear" w:color="auto" w:fill="auto"/>
          </w:tcPr>
          <w:p w14:paraId="7F03F626" w14:textId="27544C2E" w:rsidR="001812B5" w:rsidRDefault="001812B5" w:rsidP="00257099">
            <w:pPr>
              <w:pStyle w:val="TableLeft"/>
            </w:pPr>
            <w:r>
              <w:t>N/A</w:t>
            </w:r>
          </w:p>
        </w:tc>
        <w:tc>
          <w:tcPr>
            <w:tcW w:w="8509" w:type="dxa"/>
            <w:shd w:val="clear" w:color="auto" w:fill="auto"/>
          </w:tcPr>
          <w:p w14:paraId="5607134E" w14:textId="3F94084B" w:rsidR="001812B5" w:rsidRDefault="001812B5" w:rsidP="00257099">
            <w:pPr>
              <w:pStyle w:val="TableLeft"/>
            </w:pPr>
            <w:r>
              <w:t>New product</w:t>
            </w:r>
            <w:r w:rsidR="00CD1042">
              <w:t>.</w:t>
            </w:r>
          </w:p>
        </w:tc>
      </w:tr>
    </w:tbl>
    <w:p w14:paraId="47B6B1B6" w14:textId="77777777" w:rsidR="00513B1A" w:rsidRDefault="00513B1A" w:rsidP="00513B1A">
      <w:pPr>
        <w:pStyle w:val="Paragraph"/>
      </w:pPr>
    </w:p>
    <w:p w14:paraId="46CC605E" w14:textId="388DF049" w:rsidR="00513B1A" w:rsidRPr="001812B5" w:rsidRDefault="00CD1042" w:rsidP="00513B1A">
      <w:pPr>
        <w:pStyle w:val="Paragraph"/>
        <w:rPr>
          <w:sz w:val="20"/>
          <w:szCs w:val="20"/>
        </w:rPr>
      </w:pPr>
      <w:r>
        <w:rPr>
          <w:sz w:val="20"/>
          <w:szCs w:val="20"/>
        </w:rPr>
        <w:t>ANDEXXA</w:t>
      </w:r>
      <w:r w:rsidR="00513B1A" w:rsidRPr="001812B5">
        <w:rPr>
          <w:sz w:val="20"/>
          <w:szCs w:val="20"/>
        </w:rPr>
        <w:t xml:space="preserve"> is a </w:t>
      </w:r>
      <w:r>
        <w:rPr>
          <w:sz w:val="20"/>
          <w:szCs w:val="20"/>
        </w:rPr>
        <w:t xml:space="preserve">registered </w:t>
      </w:r>
      <w:proofErr w:type="gramStart"/>
      <w:r w:rsidR="00513B1A" w:rsidRPr="001812B5">
        <w:rPr>
          <w:sz w:val="20"/>
          <w:szCs w:val="20"/>
        </w:rPr>
        <w:t>trade mark</w:t>
      </w:r>
      <w:proofErr w:type="gramEnd"/>
      <w:r w:rsidR="00513B1A" w:rsidRPr="001812B5">
        <w:rPr>
          <w:sz w:val="20"/>
          <w:szCs w:val="20"/>
        </w:rPr>
        <w:t xml:space="preserve"> of the AstraZeneca group of companies</w:t>
      </w:r>
      <w:r>
        <w:rPr>
          <w:sz w:val="20"/>
          <w:szCs w:val="20"/>
        </w:rPr>
        <w:t>.</w:t>
      </w:r>
    </w:p>
    <w:p w14:paraId="2999DA67" w14:textId="1F9FD532" w:rsidR="00513B1A" w:rsidRDefault="00513B1A" w:rsidP="00513B1A">
      <w:pPr>
        <w:pStyle w:val="Paragraph"/>
        <w:rPr>
          <w:sz w:val="20"/>
          <w:szCs w:val="20"/>
        </w:rPr>
      </w:pPr>
      <w:r w:rsidRPr="001812B5">
        <w:rPr>
          <w:sz w:val="20"/>
          <w:szCs w:val="20"/>
          <w:vertAlign w:val="superscript"/>
        </w:rPr>
        <w:t>©</w:t>
      </w:r>
      <w:r w:rsidRPr="001812B5">
        <w:rPr>
          <w:sz w:val="20"/>
          <w:szCs w:val="20"/>
        </w:rPr>
        <w:t xml:space="preserve"> AstraZeneca</w:t>
      </w:r>
      <w:r w:rsidR="00CD1042">
        <w:rPr>
          <w:sz w:val="20"/>
          <w:szCs w:val="20"/>
        </w:rPr>
        <w:t xml:space="preserve"> 2023</w:t>
      </w:r>
    </w:p>
    <w:p w14:paraId="51C29C9B" w14:textId="51D15BDE" w:rsidR="004A06F8" w:rsidRPr="001812B5" w:rsidRDefault="002C2E3C" w:rsidP="00513B1A">
      <w:pPr>
        <w:pStyle w:val="Paragraph"/>
        <w:rPr>
          <w:sz w:val="20"/>
          <w:szCs w:val="20"/>
        </w:rPr>
      </w:pPr>
      <w:r w:rsidRPr="002C2E3C">
        <w:rPr>
          <w:sz w:val="20"/>
          <w:szCs w:val="20"/>
        </w:rPr>
        <w:t>Doc ID-005215182</w:t>
      </w:r>
      <w:r>
        <w:rPr>
          <w:sz w:val="20"/>
          <w:szCs w:val="20"/>
        </w:rPr>
        <w:t xml:space="preserve"> v1</w:t>
      </w:r>
    </w:p>
    <w:sectPr w:rsidR="004A06F8" w:rsidRPr="001812B5" w:rsidSect="00EC0B88">
      <w:headerReference w:type="default"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E5FFF" w14:textId="77777777" w:rsidR="009D3DDE" w:rsidRDefault="009D3DDE" w:rsidP="001A3992">
      <w:pPr>
        <w:spacing w:after="0" w:line="240" w:lineRule="auto"/>
      </w:pPr>
      <w:r>
        <w:separator/>
      </w:r>
    </w:p>
  </w:endnote>
  <w:endnote w:type="continuationSeparator" w:id="0">
    <w:p w14:paraId="05DB3A6B" w14:textId="77777777" w:rsidR="009D3DDE" w:rsidRDefault="009D3DDE" w:rsidP="001A3992">
      <w:pPr>
        <w:spacing w:after="0" w:line="240" w:lineRule="auto"/>
      </w:pPr>
      <w:r>
        <w:continuationSeparator/>
      </w:r>
    </w:p>
  </w:endnote>
  <w:endnote w:type="continuationNotice" w:id="1">
    <w:p w14:paraId="6F9352F4" w14:textId="77777777" w:rsidR="009D3DDE" w:rsidRDefault="009D3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ahoma"/>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67561" w14:textId="41133CD5" w:rsidR="00667C03" w:rsidRDefault="00667C03" w:rsidP="000674B8">
    <w:pPr>
      <w:pStyle w:val="Footer"/>
      <w:jc w:val="center"/>
    </w:pPr>
    <w:r w:rsidRPr="00136256">
      <w:fldChar w:fldCharType="begin"/>
    </w:r>
    <w:r w:rsidRPr="00136256">
      <w:instrText xml:space="preserve"> PAGE </w:instrText>
    </w:r>
    <w:r w:rsidRPr="00136256">
      <w:fldChar w:fldCharType="separate"/>
    </w:r>
    <w:r>
      <w:rPr>
        <w:noProof/>
      </w:rPr>
      <w:t>1</w:t>
    </w:r>
    <w:r w:rsidRPr="00136256">
      <w:fldChar w:fldCharType="end"/>
    </w:r>
    <w:r w:rsidRPr="00136256">
      <w:t xml:space="preserve"> </w:t>
    </w:r>
    <w:r>
      <w:t xml:space="preserve">of </w:t>
    </w:r>
    <w:r>
      <w:fldChar w:fldCharType="begin"/>
    </w:r>
    <w:r>
      <w:instrText xml:space="preserve"> NUMPAGES </w:instrText>
    </w:r>
    <w: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B465D" w14:textId="77777777" w:rsidR="009D3DDE" w:rsidRDefault="009D3DDE" w:rsidP="001A3992">
      <w:pPr>
        <w:spacing w:after="0" w:line="240" w:lineRule="auto"/>
      </w:pPr>
      <w:r>
        <w:separator/>
      </w:r>
    </w:p>
  </w:footnote>
  <w:footnote w:type="continuationSeparator" w:id="0">
    <w:p w14:paraId="2BFA6A8D" w14:textId="77777777" w:rsidR="009D3DDE" w:rsidRDefault="009D3DDE" w:rsidP="001A3992">
      <w:pPr>
        <w:spacing w:after="0" w:line="240" w:lineRule="auto"/>
      </w:pPr>
      <w:r>
        <w:continuationSeparator/>
      </w:r>
    </w:p>
  </w:footnote>
  <w:footnote w:type="continuationNotice" w:id="1">
    <w:p w14:paraId="7A613BD7" w14:textId="77777777" w:rsidR="009D3DDE" w:rsidRDefault="009D3D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180"/>
    </w:tblGrid>
    <w:tr w:rsidR="007027CF" w:rsidRPr="000B2145" w14:paraId="10A2BBF9" w14:textId="77777777" w:rsidTr="00A82793">
      <w:trPr>
        <w:trHeight w:val="1012"/>
      </w:trPr>
      <w:tc>
        <w:tcPr>
          <w:tcW w:w="9180" w:type="dxa"/>
          <w:shd w:val="clear" w:color="auto" w:fill="E4F2E0"/>
        </w:tcPr>
        <w:p w14:paraId="5F3EC1CD" w14:textId="77777777" w:rsidR="007027CF" w:rsidRPr="004828D5" w:rsidRDefault="007027CF" w:rsidP="007027CF">
          <w:pPr>
            <w:pStyle w:val="Footer"/>
            <w:tabs>
              <w:tab w:val="center" w:pos="4513"/>
              <w:tab w:val="right" w:pos="9026"/>
            </w:tabs>
            <w:rPr>
              <w:b/>
              <w:sz w:val="18"/>
              <w:szCs w:val="18"/>
            </w:rPr>
          </w:pPr>
          <w:bookmarkStart w:id="16" w:name="_Hlk109054010"/>
          <w:r w:rsidRPr="00EE2A41">
            <w:rPr>
              <w:b/>
              <w:sz w:val="18"/>
              <w:szCs w:val="18"/>
            </w:rPr>
            <w:t xml:space="preserve">Attachment </w:t>
          </w:r>
          <w:r w:rsidRPr="004828D5">
            <w:rPr>
              <w:b/>
              <w:sz w:val="18"/>
              <w:szCs w:val="18"/>
            </w:rPr>
            <w:t xml:space="preserve">AusPAR - Andexxa - </w:t>
          </w:r>
          <w:proofErr w:type="spellStart"/>
          <w:r w:rsidRPr="004828D5">
            <w:rPr>
              <w:b/>
              <w:sz w:val="18"/>
              <w:szCs w:val="18"/>
            </w:rPr>
            <w:t>andexanet</w:t>
          </w:r>
          <w:proofErr w:type="spellEnd"/>
          <w:r w:rsidRPr="004828D5">
            <w:rPr>
              <w:b/>
              <w:sz w:val="18"/>
              <w:szCs w:val="18"/>
            </w:rPr>
            <w:t xml:space="preserve"> alfa - AstraZeneca Pty Ltd - PM-2022-01981-1-3</w:t>
          </w:r>
        </w:p>
        <w:p w14:paraId="059DC532" w14:textId="77777777" w:rsidR="007027CF" w:rsidRPr="000E4791" w:rsidRDefault="007027CF" w:rsidP="007027CF">
          <w:pPr>
            <w:pStyle w:val="Footer"/>
            <w:rPr>
              <w:b/>
              <w:sz w:val="18"/>
              <w:szCs w:val="18"/>
            </w:rPr>
          </w:pPr>
          <w:r w:rsidRPr="004828D5">
            <w:rPr>
              <w:b/>
              <w:sz w:val="18"/>
              <w:szCs w:val="18"/>
            </w:rPr>
            <w:t xml:space="preserve">FINAL </w:t>
          </w:r>
          <w:bookmarkStart w:id="17" w:name="_Hlk153878109"/>
          <w:r w:rsidRPr="004828D5">
            <w:rPr>
              <w:b/>
              <w:sz w:val="18"/>
              <w:szCs w:val="18"/>
            </w:rPr>
            <w:t xml:space="preserve">4 December </w:t>
          </w:r>
          <w:bookmarkEnd w:id="17"/>
          <w:r w:rsidRPr="004828D5">
            <w:rPr>
              <w:b/>
              <w:sz w:val="18"/>
              <w:szCs w:val="18"/>
            </w:rPr>
            <w:t>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6"/>
  </w:tbl>
  <w:p w14:paraId="0958523B" w14:textId="0EEAC2C5" w:rsidR="007027CF" w:rsidRDefault="00702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07B"/>
    <w:multiLevelType w:val="multilevel"/>
    <w:tmpl w:val="241253C8"/>
    <w:name w:val="ListBullet"/>
    <w:lvl w:ilvl="0">
      <w:start w:val="1"/>
      <w:numFmt w:val="bullet"/>
      <w:pStyle w:val="ListBullet"/>
      <w:lvlText w:val=""/>
      <w:lvlJc w:val="left"/>
      <w:pPr>
        <w:ind w:left="425" w:hanging="425"/>
      </w:pPr>
      <w:rPr>
        <w:rFonts w:ascii="Symbol" w:hAnsi="Symbol" w:hint="default"/>
        <w:b w:val="0"/>
        <w:i w:val="0"/>
        <w:caps w:val="0"/>
        <w:sz w:val="24"/>
        <w:u w:val="none"/>
        <w:vertAlign w:val="baseline"/>
      </w:rPr>
    </w:lvl>
    <w:lvl w:ilvl="1">
      <w:start w:val="1"/>
      <w:numFmt w:val="bullet"/>
      <w:pStyle w:val="ListBullet2"/>
      <w:lvlText w:val=""/>
      <w:lvlJc w:val="left"/>
      <w:pPr>
        <w:ind w:left="850" w:hanging="425"/>
      </w:pPr>
      <w:rPr>
        <w:rFonts w:ascii="Symbol" w:hAnsi="Symbol" w:hint="default"/>
        <w:color w:val="auto"/>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 w15:restartNumberingAfterBreak="0">
    <w:nsid w:val="062556DB"/>
    <w:multiLevelType w:val="multilevel"/>
    <w:tmpl w:val="C6DA3D6A"/>
    <w:name w:val="ListNumber"/>
    <w:lvl w:ilvl="0">
      <w:start w:val="1"/>
      <w:numFmt w:val="decimal"/>
      <w:pStyle w:val="ListNumber"/>
      <w:lvlText w:val="%1"/>
      <w:lvlJc w:val="left"/>
      <w:pPr>
        <w:ind w:left="425" w:hanging="425"/>
      </w:pPr>
      <w:rPr>
        <w:rFonts w:hint="default"/>
        <w:b w:val="0"/>
        <w:i w:val="0"/>
        <w:caps w:val="0"/>
        <w:sz w:val="24"/>
        <w:u w:val="none"/>
        <w:vertAlign w:val="baseline"/>
      </w:rPr>
    </w:lvl>
    <w:lvl w:ilvl="1">
      <w:start w:val="1"/>
      <w:numFmt w:val="lowerLetter"/>
      <w:pStyle w:val="ListNumber2"/>
      <w:lvlText w:val="(%2)"/>
      <w:lvlJc w:val="left"/>
      <w:pPr>
        <w:ind w:left="850" w:hanging="425"/>
      </w:pPr>
      <w:rPr>
        <w:rFonts w:ascii="Times New Roman" w:hAnsi="Times New Roman" w:hint="default"/>
      </w:rPr>
    </w:lvl>
    <w:lvl w:ilvl="2">
      <w:start w:val="1"/>
      <w:numFmt w:val="lowerRoman"/>
      <w:pStyle w:val="ListNumber3"/>
      <w:lvlText w:val="(%3)"/>
      <w:lvlJc w:val="left"/>
      <w:pPr>
        <w:ind w:left="1275" w:hanging="425"/>
      </w:pPr>
      <w:rPr>
        <w:rFonts w:ascii="Times New Roman" w:hAnsi="Times New Roman"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 w15:restartNumberingAfterBreak="0">
    <w:nsid w:val="0C1A0185"/>
    <w:multiLevelType w:val="hybridMultilevel"/>
    <w:tmpl w:val="AD16AC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6562D4"/>
    <w:multiLevelType w:val="multilevel"/>
    <w:tmpl w:val="786C40EC"/>
    <w:name w:val="TableFootnotes"/>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4" w15:restartNumberingAfterBreak="0">
    <w:nsid w:val="127E260B"/>
    <w:multiLevelType w:val="hybridMultilevel"/>
    <w:tmpl w:val="D26AA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A441C1"/>
    <w:multiLevelType w:val="singleLevel"/>
    <w:tmpl w:val="1FA422F0"/>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6" w15:restartNumberingAfterBreak="0">
    <w:nsid w:val="15AE6FEE"/>
    <w:multiLevelType w:val="multilevel"/>
    <w:tmpl w:val="01940AA0"/>
    <w:name w:val="ListBulletSmall1"/>
    <w:lvl w:ilvl="0">
      <w:start w:val="1"/>
      <w:numFmt w:val="bullet"/>
      <w:pStyle w:val="ListBulletSmall"/>
      <w:lvlText w:val="•"/>
      <w:lvlJc w:val="left"/>
      <w:pPr>
        <w:ind w:left="425" w:hanging="425"/>
      </w:pPr>
      <w:rPr>
        <w:rFonts w:ascii="Times New Roman" w:hAnsi="Times New Roman" w:cs="Times New Roman" w:hint="default"/>
        <w:b w:val="0"/>
        <w:i w:val="0"/>
        <w:caps w:val="0"/>
        <w:sz w:val="20"/>
        <w:u w:val="none"/>
        <w:vertAlign w:val="baseline"/>
      </w:rPr>
    </w:lvl>
    <w:lvl w:ilvl="1">
      <w:start w:val="1"/>
      <w:numFmt w:val="bullet"/>
      <w:pStyle w:val="ListBulletSmall2"/>
      <w:lvlText w:val=""/>
      <w:lvlJc w:val="left"/>
      <w:pPr>
        <w:ind w:left="850" w:hanging="425"/>
      </w:pPr>
      <w:rPr>
        <w:rFonts w:ascii="Symbol" w:hAnsi="Symbol"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bullet"/>
      <w:lvlText w:val="o"/>
      <w:lvlJc w:val="left"/>
      <w:pPr>
        <w:tabs>
          <w:tab w:val="num" w:pos="2060"/>
        </w:tabs>
        <w:ind w:left="2125" w:hanging="425"/>
      </w:pPr>
      <w:rPr>
        <w:rFonts w:ascii="Courier New" w:hAnsi="Courier New" w:cs="Courier New" w:hint="default"/>
      </w:rPr>
    </w:lvl>
    <w:lvl w:ilvl="5">
      <w:start w:val="1"/>
      <w:numFmt w:val="bullet"/>
      <w:lvlText w:val=""/>
      <w:lvlJc w:val="left"/>
      <w:pPr>
        <w:tabs>
          <w:tab w:val="num" w:pos="2485"/>
        </w:tabs>
        <w:ind w:left="2550" w:hanging="425"/>
      </w:pPr>
      <w:rPr>
        <w:rFonts w:ascii="Wingdings" w:hAnsi="Wingdings" w:hint="default"/>
      </w:rPr>
    </w:lvl>
    <w:lvl w:ilvl="6">
      <w:start w:val="1"/>
      <w:numFmt w:val="bullet"/>
      <w:lvlText w:val=""/>
      <w:lvlJc w:val="left"/>
      <w:pPr>
        <w:tabs>
          <w:tab w:val="num" w:pos="2910"/>
        </w:tabs>
        <w:ind w:left="2975" w:hanging="425"/>
      </w:pPr>
      <w:rPr>
        <w:rFonts w:ascii="Symbol" w:hAnsi="Symbol" w:hint="default"/>
      </w:rPr>
    </w:lvl>
    <w:lvl w:ilvl="7">
      <w:start w:val="1"/>
      <w:numFmt w:val="bullet"/>
      <w:lvlText w:val="o"/>
      <w:lvlJc w:val="left"/>
      <w:pPr>
        <w:tabs>
          <w:tab w:val="num" w:pos="3335"/>
        </w:tabs>
        <w:ind w:left="3400" w:hanging="425"/>
      </w:pPr>
      <w:rPr>
        <w:rFonts w:ascii="Courier New" w:hAnsi="Courier New" w:cs="Courier New" w:hint="default"/>
      </w:rPr>
    </w:lvl>
    <w:lvl w:ilvl="8">
      <w:start w:val="1"/>
      <w:numFmt w:val="bullet"/>
      <w:lvlText w:val=""/>
      <w:lvlJc w:val="left"/>
      <w:pPr>
        <w:tabs>
          <w:tab w:val="num" w:pos="3760"/>
        </w:tabs>
        <w:ind w:left="3825" w:hanging="425"/>
      </w:pPr>
      <w:rPr>
        <w:rFonts w:ascii="Wingdings" w:hAnsi="Wingdings" w:hint="default"/>
      </w:rPr>
    </w:lvl>
  </w:abstractNum>
  <w:abstractNum w:abstractNumId="7" w15:restartNumberingAfterBreak="0">
    <w:nsid w:val="29A7271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2372743"/>
    <w:multiLevelType w:val="hybridMultilevel"/>
    <w:tmpl w:val="CC206CD6"/>
    <w:lvl w:ilvl="0" w:tplc="B4A6BA90">
      <w:start w:val="16"/>
      <w:numFmt w:val="decimal"/>
      <w:lvlText w:val="%1"/>
      <w:lvlJc w:val="left"/>
      <w:pPr>
        <w:ind w:left="1698" w:hanging="720"/>
      </w:pPr>
      <w:rPr>
        <w:rFonts w:ascii="Times New Roman" w:eastAsia="Times New Roman" w:hAnsi="Times New Roman" w:cs="Times New Roman" w:hint="default"/>
        <w:b/>
        <w:bCs/>
        <w:i w:val="0"/>
        <w:iCs w:val="0"/>
        <w:w w:val="100"/>
        <w:sz w:val="24"/>
        <w:szCs w:val="24"/>
        <w:lang w:val="en-US" w:eastAsia="en-US" w:bidi="ar-SA"/>
      </w:rPr>
    </w:lvl>
    <w:lvl w:ilvl="1" w:tplc="BC72EA4A">
      <w:numFmt w:val="bullet"/>
      <w:lvlText w:val="•"/>
      <w:lvlJc w:val="left"/>
      <w:pPr>
        <w:ind w:left="2646" w:hanging="720"/>
      </w:pPr>
      <w:rPr>
        <w:rFonts w:hint="default"/>
        <w:lang w:val="en-US" w:eastAsia="en-US" w:bidi="ar-SA"/>
      </w:rPr>
    </w:lvl>
    <w:lvl w:ilvl="2" w:tplc="9732F45E">
      <w:numFmt w:val="bullet"/>
      <w:lvlText w:val="•"/>
      <w:lvlJc w:val="left"/>
      <w:pPr>
        <w:ind w:left="3592" w:hanging="720"/>
      </w:pPr>
      <w:rPr>
        <w:rFonts w:hint="default"/>
        <w:lang w:val="en-US" w:eastAsia="en-US" w:bidi="ar-SA"/>
      </w:rPr>
    </w:lvl>
    <w:lvl w:ilvl="3" w:tplc="7D4EB5CC">
      <w:numFmt w:val="bullet"/>
      <w:lvlText w:val="•"/>
      <w:lvlJc w:val="left"/>
      <w:pPr>
        <w:ind w:left="4538" w:hanging="720"/>
      </w:pPr>
      <w:rPr>
        <w:rFonts w:hint="default"/>
        <w:lang w:val="en-US" w:eastAsia="en-US" w:bidi="ar-SA"/>
      </w:rPr>
    </w:lvl>
    <w:lvl w:ilvl="4" w:tplc="DCDA2C78">
      <w:numFmt w:val="bullet"/>
      <w:lvlText w:val="•"/>
      <w:lvlJc w:val="left"/>
      <w:pPr>
        <w:ind w:left="5484" w:hanging="720"/>
      </w:pPr>
      <w:rPr>
        <w:rFonts w:hint="default"/>
        <w:lang w:val="en-US" w:eastAsia="en-US" w:bidi="ar-SA"/>
      </w:rPr>
    </w:lvl>
    <w:lvl w:ilvl="5" w:tplc="816454E2">
      <w:numFmt w:val="bullet"/>
      <w:lvlText w:val="•"/>
      <w:lvlJc w:val="left"/>
      <w:pPr>
        <w:ind w:left="6430" w:hanging="720"/>
      </w:pPr>
      <w:rPr>
        <w:rFonts w:hint="default"/>
        <w:lang w:val="en-US" w:eastAsia="en-US" w:bidi="ar-SA"/>
      </w:rPr>
    </w:lvl>
    <w:lvl w:ilvl="6" w:tplc="F538254E">
      <w:numFmt w:val="bullet"/>
      <w:lvlText w:val="•"/>
      <w:lvlJc w:val="left"/>
      <w:pPr>
        <w:ind w:left="7376" w:hanging="720"/>
      </w:pPr>
      <w:rPr>
        <w:rFonts w:hint="default"/>
        <w:lang w:val="en-US" w:eastAsia="en-US" w:bidi="ar-SA"/>
      </w:rPr>
    </w:lvl>
    <w:lvl w:ilvl="7" w:tplc="6F5235AE">
      <w:numFmt w:val="bullet"/>
      <w:lvlText w:val="•"/>
      <w:lvlJc w:val="left"/>
      <w:pPr>
        <w:ind w:left="8322" w:hanging="720"/>
      </w:pPr>
      <w:rPr>
        <w:rFonts w:hint="default"/>
        <w:lang w:val="en-US" w:eastAsia="en-US" w:bidi="ar-SA"/>
      </w:rPr>
    </w:lvl>
    <w:lvl w:ilvl="8" w:tplc="D8C6BAD8">
      <w:numFmt w:val="bullet"/>
      <w:lvlText w:val="•"/>
      <w:lvlJc w:val="left"/>
      <w:pPr>
        <w:ind w:left="9268" w:hanging="720"/>
      </w:pPr>
      <w:rPr>
        <w:rFonts w:hint="default"/>
        <w:lang w:val="en-US" w:eastAsia="en-US" w:bidi="ar-SA"/>
      </w:rPr>
    </w:lvl>
  </w:abstractNum>
  <w:abstractNum w:abstractNumId="9" w15:restartNumberingAfterBreak="0">
    <w:nsid w:val="32913332"/>
    <w:multiLevelType w:val="multilevel"/>
    <w:tmpl w:val="969A274A"/>
    <w:name w:val="HousestyleHeadings"/>
    <w:lvl w:ilvl="0">
      <w:start w:val="1"/>
      <w:numFmt w:val="decimal"/>
      <w:pStyle w:val="Heading1"/>
      <w:lvlText w:val="%1"/>
      <w:lvlJc w:val="left"/>
      <w:pPr>
        <w:tabs>
          <w:tab w:val="num" w:pos="1134"/>
        </w:tabs>
        <w:ind w:left="1134" w:hanging="1134"/>
      </w:pPr>
      <w:rPr>
        <w:rFonts w:ascii="Times New Roman" w:hAnsi="Times New Roman" w:hint="default"/>
      </w:rPr>
    </w:lvl>
    <w:lvl w:ilvl="1">
      <w:start w:val="1"/>
      <w:numFmt w:val="decimal"/>
      <w:pStyle w:val="Heading2"/>
      <w:lvlText w:val="%1.%2"/>
      <w:lvlJc w:val="left"/>
      <w:pPr>
        <w:tabs>
          <w:tab w:val="num" w:pos="1418"/>
        </w:tabs>
        <w:ind w:left="1418" w:hanging="1134"/>
      </w:pPr>
      <w:rPr>
        <w:rFonts w:ascii="Times New Roman" w:hAnsi="Times New Roman" w:hint="default"/>
      </w:rPr>
    </w:lvl>
    <w:lvl w:ilvl="2">
      <w:start w:val="1"/>
      <w:numFmt w:val="decimal"/>
      <w:pStyle w:val="Heading3"/>
      <w:lvlText w:val="%1.%2.%3"/>
      <w:lvlJc w:val="left"/>
      <w:pPr>
        <w:tabs>
          <w:tab w:val="num" w:pos="1134"/>
        </w:tabs>
        <w:ind w:left="1134" w:hanging="1134"/>
      </w:pPr>
      <w:rPr>
        <w:rFonts w:ascii="Times New Roman" w:hAnsi="Times New Roman" w:hint="default"/>
      </w:rPr>
    </w:lvl>
    <w:lvl w:ilvl="3">
      <w:start w:val="1"/>
      <w:numFmt w:val="decimal"/>
      <w:pStyle w:val="Heading4"/>
      <w:lvlText w:val="%1.%2.%3.%4"/>
      <w:lvlJc w:val="left"/>
      <w:pPr>
        <w:tabs>
          <w:tab w:val="num" w:pos="1134"/>
        </w:tabs>
        <w:ind w:left="1134" w:hanging="1134"/>
      </w:pPr>
      <w:rPr>
        <w:rFonts w:ascii="Times New Roman" w:hAnsi="Times New Roman" w:hint="default"/>
      </w:rPr>
    </w:lvl>
    <w:lvl w:ilvl="4">
      <w:start w:val="1"/>
      <w:numFmt w:val="decimal"/>
      <w:pStyle w:val="Heading5"/>
      <w:lvlText w:val="%1.%2.%3.%4.%5"/>
      <w:lvlJc w:val="left"/>
      <w:pPr>
        <w:tabs>
          <w:tab w:val="num" w:pos="1134"/>
        </w:tabs>
        <w:ind w:left="1134" w:hanging="1134"/>
      </w:pPr>
      <w:rPr>
        <w:rFonts w:ascii="Times New Roman" w:hAnsi="Times New Roman" w:hint="default"/>
      </w:rPr>
    </w:lvl>
    <w:lvl w:ilvl="5">
      <w:start w:val="1"/>
      <w:numFmt w:val="decimal"/>
      <w:pStyle w:val="Heading6"/>
      <w:lvlText w:val="%1.%2.%3.%4.%5.%6"/>
      <w:lvlJc w:val="left"/>
      <w:pPr>
        <w:tabs>
          <w:tab w:val="num" w:pos="1134"/>
        </w:tabs>
        <w:ind w:left="1134" w:hanging="1134"/>
      </w:pPr>
      <w:rPr>
        <w:rFonts w:ascii="Times New Roman" w:hAnsi="Times New Roman" w:hint="default"/>
      </w:rPr>
    </w:lvl>
    <w:lvl w:ilvl="6">
      <w:start w:val="1"/>
      <w:numFmt w:val="decimal"/>
      <w:pStyle w:val="Heading7"/>
      <w:lvlText w:val="%1.%2.%3.%4.%5.%6.%7"/>
      <w:lvlJc w:val="left"/>
      <w:pPr>
        <w:tabs>
          <w:tab w:val="num" w:pos="1134"/>
        </w:tabs>
        <w:ind w:left="1134" w:hanging="1134"/>
      </w:pPr>
      <w:rPr>
        <w:rFonts w:ascii="Times New Roman" w:hAnsi="Times New Roman" w:hint="default"/>
      </w:rPr>
    </w:lvl>
    <w:lvl w:ilvl="7">
      <w:start w:val="1"/>
      <w:numFmt w:val="decimal"/>
      <w:pStyle w:val="Heading8"/>
      <w:lvlText w:val="%1.%2.%3.%4.%5.%6.%7.%8"/>
      <w:lvlJc w:val="left"/>
      <w:pPr>
        <w:tabs>
          <w:tab w:val="num" w:pos="1134"/>
        </w:tabs>
        <w:ind w:left="1134" w:hanging="1134"/>
      </w:pPr>
      <w:rPr>
        <w:rFonts w:ascii="Times New Roman" w:hAnsi="Times New Roman" w:hint="default"/>
      </w:rPr>
    </w:lvl>
    <w:lvl w:ilvl="8">
      <w:start w:val="1"/>
      <w:numFmt w:val="none"/>
      <w:pStyle w:val="Heading9"/>
      <w:suff w:val="nothing"/>
      <w:lvlText w:val=""/>
      <w:lvlJc w:val="left"/>
      <w:pPr>
        <w:ind w:left="0" w:firstLine="0"/>
      </w:pPr>
      <w:rPr>
        <w:rFonts w:hint="default"/>
      </w:rPr>
    </w:lvl>
  </w:abstractNum>
  <w:abstractNum w:abstractNumId="10" w15:restartNumberingAfterBreak="0">
    <w:nsid w:val="37C00ED5"/>
    <w:multiLevelType w:val="hybridMultilevel"/>
    <w:tmpl w:val="D010A1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9E7E4D"/>
    <w:multiLevelType w:val="multilevel"/>
    <w:tmpl w:val="3C1EDB96"/>
    <w:name w:val="Appendix Alpha"/>
    <w:lvl w:ilvl="0">
      <w:start w:val="1"/>
      <w:numFmt w:val="upperLetter"/>
      <w:pStyle w:val="AppendixAlpha"/>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pStyle w:val="AppendixAlphaSub1"/>
      <w:lvlText w:val="%1 %2"/>
      <w:lvlJc w:val="left"/>
      <w:pPr>
        <w:tabs>
          <w:tab w:val="num" w:pos="1134"/>
        </w:tabs>
        <w:ind w:left="1134" w:hanging="1134"/>
      </w:pPr>
      <w:rPr>
        <w:rFonts w:ascii="Times New Roman Bold" w:hAnsi="Times New Roman Bold" w:hint="default"/>
        <w:b/>
        <w:i w:val="0"/>
        <w:sz w:val="26"/>
      </w:rPr>
    </w:lvl>
    <w:lvl w:ilvl="2">
      <w:start w:val="1"/>
      <w:numFmt w:val="decimal"/>
      <w:pStyle w:val="AppendixAlphaSub2"/>
      <w:lvlText w:val="%1 %2.%3"/>
      <w:lvlJc w:val="left"/>
      <w:pPr>
        <w:tabs>
          <w:tab w:val="num" w:pos="1134"/>
        </w:tabs>
        <w:ind w:left="1134" w:hanging="1134"/>
      </w:pPr>
      <w:rPr>
        <w:rFonts w:ascii="Times New Roman Bold" w:hAnsi="Times New Roman Bold" w:hint="default"/>
        <w:b/>
        <w:i w:val="0"/>
        <w:sz w:val="24"/>
      </w:rPr>
    </w:lvl>
    <w:lvl w:ilvl="3">
      <w:start w:val="1"/>
      <w:numFmt w:val="decimal"/>
      <w:pStyle w:val="AppendixAlphaSub3"/>
      <w:lvlText w:val="%1 %2.%3.%4"/>
      <w:lvlJc w:val="left"/>
      <w:pPr>
        <w:tabs>
          <w:tab w:val="num" w:pos="1134"/>
        </w:tabs>
        <w:ind w:left="1134" w:hanging="1134"/>
      </w:pPr>
      <w:rPr>
        <w:rFonts w:ascii="Times New Roman Bold" w:hAnsi="Times New Roman Bold" w:hint="default"/>
        <w:b/>
        <w:i w:val="0"/>
        <w:sz w:val="24"/>
      </w:rPr>
    </w:lvl>
    <w:lvl w:ilvl="4">
      <w:start w:val="1"/>
      <w:numFmt w:val="decimal"/>
      <w:pStyle w:val="AppendixAlphaSub4"/>
      <w:lvlText w:val="%1 %2.%3.%4.%5"/>
      <w:lvlJc w:val="left"/>
      <w:pPr>
        <w:tabs>
          <w:tab w:val="num" w:pos="1134"/>
        </w:tabs>
        <w:ind w:left="1134" w:hanging="1134"/>
      </w:pPr>
      <w:rPr>
        <w:rFonts w:ascii="Times New Roman Bold" w:hAnsi="Times New Roman Bold" w:hint="default"/>
        <w:b/>
        <w:i/>
        <w:sz w:val="24"/>
      </w:rPr>
    </w:lvl>
    <w:lvl w:ilvl="5">
      <w:start w:val="1"/>
      <w:numFmt w:val="none"/>
      <w:lvlText w:val=""/>
      <w:lvlJc w:val="left"/>
      <w:pPr>
        <w:tabs>
          <w:tab w:val="num" w:pos="1985"/>
        </w:tabs>
        <w:ind w:left="992" w:hanging="992"/>
      </w:pPr>
      <w:rPr>
        <w:rFonts w:hint="default"/>
      </w:rPr>
    </w:lvl>
    <w:lvl w:ilvl="6">
      <w:start w:val="1"/>
      <w:numFmt w:val="none"/>
      <w:lvlText w:val=""/>
      <w:lvlJc w:val="left"/>
      <w:pPr>
        <w:tabs>
          <w:tab w:val="num" w:pos="1985"/>
        </w:tabs>
        <w:ind w:left="992" w:hanging="992"/>
      </w:pPr>
      <w:rPr>
        <w:rFonts w:hint="default"/>
      </w:rPr>
    </w:lvl>
    <w:lvl w:ilvl="7">
      <w:start w:val="1"/>
      <w:numFmt w:val="none"/>
      <w:lvlText w:val=""/>
      <w:lvlJc w:val="left"/>
      <w:pPr>
        <w:tabs>
          <w:tab w:val="num" w:pos="1985"/>
        </w:tabs>
        <w:ind w:left="992" w:hanging="992"/>
      </w:pPr>
      <w:rPr>
        <w:rFonts w:hint="default"/>
      </w:rPr>
    </w:lvl>
    <w:lvl w:ilvl="8">
      <w:start w:val="1"/>
      <w:numFmt w:val="none"/>
      <w:lvlText w:val=""/>
      <w:lvlJc w:val="left"/>
      <w:pPr>
        <w:tabs>
          <w:tab w:val="num" w:pos="1985"/>
        </w:tabs>
        <w:ind w:left="992" w:hanging="992"/>
      </w:pPr>
      <w:rPr>
        <w:rFonts w:hint="default"/>
      </w:rPr>
    </w:lvl>
  </w:abstractNum>
  <w:abstractNum w:abstractNumId="12" w15:restartNumberingAfterBreak="0">
    <w:nsid w:val="47E3142E"/>
    <w:multiLevelType w:val="singleLevel"/>
    <w:tmpl w:val="9900FDD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3" w15:restartNumberingAfterBreak="0">
    <w:nsid w:val="556F4F4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BE70C3"/>
    <w:multiLevelType w:val="multilevel"/>
    <w:tmpl w:val="AD763C14"/>
    <w:name w:val="AppendixNum"/>
    <w:lvl w:ilvl="0">
      <w:start w:val="1"/>
      <w:numFmt w:val="decimal"/>
      <w:pStyle w:val="AppendixNumeric"/>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lvlText w:val="App %1-%2"/>
      <w:lvlJc w:val="left"/>
      <w:pPr>
        <w:tabs>
          <w:tab w:val="num" w:pos="1134"/>
        </w:tabs>
        <w:ind w:left="1134" w:hanging="1134"/>
      </w:pPr>
      <w:rPr>
        <w:rFonts w:ascii="Times New Roman Bold" w:hAnsi="Times New Roman Bold" w:hint="default"/>
        <w:b/>
        <w:i w:val="0"/>
        <w:sz w:val="28"/>
      </w:rPr>
    </w:lvl>
    <w:lvl w:ilvl="2">
      <w:start w:val="1"/>
      <w:numFmt w:val="decimal"/>
      <w:lvlText w:val="App %1-%3.%2"/>
      <w:lvlJc w:val="left"/>
      <w:pPr>
        <w:tabs>
          <w:tab w:val="num" w:pos="1134"/>
        </w:tabs>
        <w:ind w:left="1134" w:hanging="1134"/>
      </w:pPr>
      <w:rPr>
        <w:rFonts w:ascii="Times New Roman Bold" w:hAnsi="Times New Roman Bold" w:hint="default"/>
        <w:b/>
        <w:i w:val="0"/>
        <w:sz w:val="26"/>
      </w:rPr>
    </w:lvl>
    <w:lvl w:ilvl="3">
      <w:start w:val="1"/>
      <w:numFmt w:val="decimal"/>
      <w:lvlText w:val="App %1-%2.%3.%4"/>
      <w:lvlJc w:val="left"/>
      <w:pPr>
        <w:tabs>
          <w:tab w:val="num" w:pos="1134"/>
        </w:tabs>
        <w:ind w:left="1134" w:hanging="1134"/>
      </w:pPr>
      <w:rPr>
        <w:rFonts w:ascii="Times New Roman Bold" w:hAnsi="Times New Roman Bold" w:hint="default"/>
        <w:b/>
        <w:i w:val="0"/>
        <w:sz w:val="24"/>
      </w:rPr>
    </w:lvl>
    <w:lvl w:ilvl="4">
      <w:start w:val="1"/>
      <w:numFmt w:val="decimal"/>
      <w:lvlText w:val="App %1-%2.%3.%4.%5"/>
      <w:lvlJc w:val="left"/>
      <w:pPr>
        <w:tabs>
          <w:tab w:val="num" w:pos="1134"/>
        </w:tabs>
        <w:ind w:left="1134" w:hanging="1134"/>
      </w:pPr>
      <w:rPr>
        <w:rFonts w:ascii="Times New Roman Bold" w:hAnsi="Times New Roman Bold" w:hint="default"/>
        <w:b/>
        <w:i/>
        <w:sz w:val="24"/>
      </w:rPr>
    </w:lvl>
    <w:lvl w:ilvl="5">
      <w:start w:val="1"/>
      <w:numFmt w:val="none"/>
      <w:lvlText w:val=""/>
      <w:lvlJc w:val="left"/>
      <w:pPr>
        <w:ind w:left="1985" w:hanging="1985"/>
      </w:pPr>
      <w:rPr>
        <w:rFonts w:hint="default"/>
      </w:rPr>
    </w:lvl>
    <w:lvl w:ilvl="6">
      <w:start w:val="1"/>
      <w:numFmt w:val="none"/>
      <w:lvlText w:val=""/>
      <w:lvlJc w:val="left"/>
      <w:pPr>
        <w:ind w:left="1985" w:hanging="1985"/>
      </w:pPr>
      <w:rPr>
        <w:rFonts w:hint="default"/>
      </w:rPr>
    </w:lvl>
    <w:lvl w:ilvl="7">
      <w:start w:val="1"/>
      <w:numFmt w:val="none"/>
      <w:lvlText w:val=""/>
      <w:lvlJc w:val="left"/>
      <w:pPr>
        <w:ind w:left="1985" w:hanging="1985"/>
      </w:pPr>
      <w:rPr>
        <w:rFonts w:hint="default"/>
      </w:rPr>
    </w:lvl>
    <w:lvl w:ilvl="8">
      <w:start w:val="1"/>
      <w:numFmt w:val="none"/>
      <w:lvlText w:val=""/>
      <w:lvlJc w:val="right"/>
      <w:pPr>
        <w:ind w:left="1985" w:hanging="1985"/>
      </w:pPr>
      <w:rPr>
        <w:rFonts w:hint="default"/>
      </w:rPr>
    </w:lvl>
  </w:abstractNum>
  <w:abstractNum w:abstractNumId="15" w15:restartNumberingAfterBreak="0">
    <w:nsid w:val="681C5671"/>
    <w:multiLevelType w:val="hybridMultilevel"/>
    <w:tmpl w:val="0E7CF748"/>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74C030A5"/>
    <w:multiLevelType w:val="multilevel"/>
    <w:tmpl w:val="99C4946C"/>
    <w:name w:val="ListNumberSmall"/>
    <w:lvl w:ilvl="0">
      <w:start w:val="1"/>
      <w:numFmt w:val="decimal"/>
      <w:pStyle w:val="ListNumberSmall"/>
      <w:lvlText w:val="%1"/>
      <w:lvlJc w:val="left"/>
      <w:pPr>
        <w:tabs>
          <w:tab w:val="num" w:pos="425"/>
        </w:tabs>
        <w:ind w:left="425" w:hanging="425"/>
      </w:pPr>
      <w:rPr>
        <w:rFonts w:ascii="Times New Roman" w:hAnsi="Times New Roman" w:hint="default"/>
        <w:sz w:val="20"/>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tabs>
          <w:tab w:val="num" w:pos="1276"/>
        </w:tabs>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4DE3F11"/>
    <w:multiLevelType w:val="hybridMultilevel"/>
    <w:tmpl w:val="D1202E4C"/>
    <w:lvl w:ilvl="0" w:tplc="8C8448AE">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9D7603"/>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FD3082C"/>
    <w:multiLevelType w:val="hybridMultilevel"/>
    <w:tmpl w:val="CB7860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54456662">
    <w:abstractNumId w:val="14"/>
  </w:num>
  <w:num w:numId="2" w16cid:durableId="113452597">
    <w:abstractNumId w:val="11"/>
  </w:num>
  <w:num w:numId="3" w16cid:durableId="1490632299">
    <w:abstractNumId w:val="9"/>
  </w:num>
  <w:num w:numId="4" w16cid:durableId="981810330">
    <w:abstractNumId w:val="5"/>
  </w:num>
  <w:num w:numId="5" w16cid:durableId="1128935947">
    <w:abstractNumId w:val="12"/>
  </w:num>
  <w:num w:numId="6" w16cid:durableId="1930460667">
    <w:abstractNumId w:val="0"/>
  </w:num>
  <w:num w:numId="7" w16cid:durableId="1196701077">
    <w:abstractNumId w:val="6"/>
  </w:num>
  <w:num w:numId="8" w16cid:durableId="560020440">
    <w:abstractNumId w:val="13"/>
  </w:num>
  <w:num w:numId="9" w16cid:durableId="1089692336">
    <w:abstractNumId w:val="18"/>
  </w:num>
  <w:num w:numId="10" w16cid:durableId="1585799821">
    <w:abstractNumId w:val="7"/>
  </w:num>
  <w:num w:numId="11" w16cid:durableId="707874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2685105">
    <w:abstractNumId w:val="3"/>
  </w:num>
  <w:num w:numId="13" w16cid:durableId="891506375">
    <w:abstractNumId w:val="16"/>
  </w:num>
  <w:num w:numId="14" w16cid:durableId="1196117062">
    <w:abstractNumId w:val="17"/>
  </w:num>
  <w:num w:numId="15" w16cid:durableId="854465469">
    <w:abstractNumId w:val="19"/>
  </w:num>
  <w:num w:numId="16" w16cid:durableId="1684434792">
    <w:abstractNumId w:val="10"/>
  </w:num>
  <w:num w:numId="17" w16cid:durableId="730737868">
    <w:abstractNumId w:val="2"/>
  </w:num>
  <w:num w:numId="18" w16cid:durableId="1406536628">
    <w:abstractNumId w:val="8"/>
  </w:num>
  <w:num w:numId="19" w16cid:durableId="12653809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5028241">
    <w:abstractNumId w:val="4"/>
  </w:num>
  <w:num w:numId="21" w16cid:durableId="180781371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EA"/>
    <w:rsid w:val="00004DB4"/>
    <w:rsid w:val="00004F4C"/>
    <w:rsid w:val="000176E7"/>
    <w:rsid w:val="00020724"/>
    <w:rsid w:val="00021935"/>
    <w:rsid w:val="000265A7"/>
    <w:rsid w:val="00033004"/>
    <w:rsid w:val="00034825"/>
    <w:rsid w:val="00042302"/>
    <w:rsid w:val="00043005"/>
    <w:rsid w:val="00043104"/>
    <w:rsid w:val="000507BE"/>
    <w:rsid w:val="00052BC9"/>
    <w:rsid w:val="0006095A"/>
    <w:rsid w:val="00062AE5"/>
    <w:rsid w:val="00063EE1"/>
    <w:rsid w:val="00065637"/>
    <w:rsid w:val="000674B8"/>
    <w:rsid w:val="000809FF"/>
    <w:rsid w:val="00082082"/>
    <w:rsid w:val="0009106C"/>
    <w:rsid w:val="000A0820"/>
    <w:rsid w:val="000A2A74"/>
    <w:rsid w:val="000A7306"/>
    <w:rsid w:val="000B411B"/>
    <w:rsid w:val="000C2D86"/>
    <w:rsid w:val="000C6FB8"/>
    <w:rsid w:val="000E22C5"/>
    <w:rsid w:val="000E4E3C"/>
    <w:rsid w:val="000F69F9"/>
    <w:rsid w:val="000F7BCC"/>
    <w:rsid w:val="0011170D"/>
    <w:rsid w:val="00114E47"/>
    <w:rsid w:val="00121D90"/>
    <w:rsid w:val="001331C4"/>
    <w:rsid w:val="001361A8"/>
    <w:rsid w:val="001363DD"/>
    <w:rsid w:val="00136ABE"/>
    <w:rsid w:val="00137231"/>
    <w:rsid w:val="00145759"/>
    <w:rsid w:val="001459FB"/>
    <w:rsid w:val="00145C18"/>
    <w:rsid w:val="00151021"/>
    <w:rsid w:val="00155CBB"/>
    <w:rsid w:val="001618A3"/>
    <w:rsid w:val="0016558D"/>
    <w:rsid w:val="00165D9E"/>
    <w:rsid w:val="00166A0E"/>
    <w:rsid w:val="00166AC0"/>
    <w:rsid w:val="00167EF2"/>
    <w:rsid w:val="0017525E"/>
    <w:rsid w:val="00176313"/>
    <w:rsid w:val="001812B5"/>
    <w:rsid w:val="00186221"/>
    <w:rsid w:val="00187015"/>
    <w:rsid w:val="00192B48"/>
    <w:rsid w:val="0019614F"/>
    <w:rsid w:val="001A3992"/>
    <w:rsid w:val="001A5FF6"/>
    <w:rsid w:val="001B114A"/>
    <w:rsid w:val="001B2435"/>
    <w:rsid w:val="001B3258"/>
    <w:rsid w:val="001B50E8"/>
    <w:rsid w:val="001B5766"/>
    <w:rsid w:val="001C074F"/>
    <w:rsid w:val="001C2761"/>
    <w:rsid w:val="001C394C"/>
    <w:rsid w:val="001C4917"/>
    <w:rsid w:val="001D3AF3"/>
    <w:rsid w:val="001F4D29"/>
    <w:rsid w:val="001F5762"/>
    <w:rsid w:val="001F7C1C"/>
    <w:rsid w:val="00201BDC"/>
    <w:rsid w:val="002036F5"/>
    <w:rsid w:val="00212A6B"/>
    <w:rsid w:val="00214608"/>
    <w:rsid w:val="002206A2"/>
    <w:rsid w:val="00222E1D"/>
    <w:rsid w:val="00223D53"/>
    <w:rsid w:val="00224FC5"/>
    <w:rsid w:val="002335CD"/>
    <w:rsid w:val="00257099"/>
    <w:rsid w:val="00260225"/>
    <w:rsid w:val="00261A42"/>
    <w:rsid w:val="0026491B"/>
    <w:rsid w:val="00265478"/>
    <w:rsid w:val="00273341"/>
    <w:rsid w:val="00274334"/>
    <w:rsid w:val="00276F75"/>
    <w:rsid w:val="002803FC"/>
    <w:rsid w:val="002816A8"/>
    <w:rsid w:val="0028377A"/>
    <w:rsid w:val="00285173"/>
    <w:rsid w:val="00286FD5"/>
    <w:rsid w:val="00296CA0"/>
    <w:rsid w:val="00297C39"/>
    <w:rsid w:val="002B0C95"/>
    <w:rsid w:val="002B32E9"/>
    <w:rsid w:val="002C2E3C"/>
    <w:rsid w:val="002D1062"/>
    <w:rsid w:val="002D3489"/>
    <w:rsid w:val="002D4E3D"/>
    <w:rsid w:val="002E277D"/>
    <w:rsid w:val="002E664C"/>
    <w:rsid w:val="002F041A"/>
    <w:rsid w:val="002F5203"/>
    <w:rsid w:val="0030219F"/>
    <w:rsid w:val="00302FD8"/>
    <w:rsid w:val="00306375"/>
    <w:rsid w:val="00311573"/>
    <w:rsid w:val="00315EE6"/>
    <w:rsid w:val="003175D3"/>
    <w:rsid w:val="00317ED2"/>
    <w:rsid w:val="003308B9"/>
    <w:rsid w:val="00332AB4"/>
    <w:rsid w:val="0033385F"/>
    <w:rsid w:val="0033784D"/>
    <w:rsid w:val="0034277E"/>
    <w:rsid w:val="00344BC2"/>
    <w:rsid w:val="0034748C"/>
    <w:rsid w:val="003475F2"/>
    <w:rsid w:val="003501A2"/>
    <w:rsid w:val="003615FA"/>
    <w:rsid w:val="00362F10"/>
    <w:rsid w:val="00366B40"/>
    <w:rsid w:val="00373927"/>
    <w:rsid w:val="00375DF3"/>
    <w:rsid w:val="00376D26"/>
    <w:rsid w:val="00376D82"/>
    <w:rsid w:val="00377337"/>
    <w:rsid w:val="00382466"/>
    <w:rsid w:val="00395F60"/>
    <w:rsid w:val="003A2EDD"/>
    <w:rsid w:val="003A3F97"/>
    <w:rsid w:val="003A7BEC"/>
    <w:rsid w:val="003B0C92"/>
    <w:rsid w:val="003B26C7"/>
    <w:rsid w:val="003B7CFF"/>
    <w:rsid w:val="003C70D1"/>
    <w:rsid w:val="003D1C9B"/>
    <w:rsid w:val="003D752C"/>
    <w:rsid w:val="003E3955"/>
    <w:rsid w:val="003E4181"/>
    <w:rsid w:val="003E54A0"/>
    <w:rsid w:val="003E6104"/>
    <w:rsid w:val="003F796F"/>
    <w:rsid w:val="0041004D"/>
    <w:rsid w:val="00411A7F"/>
    <w:rsid w:val="0041325A"/>
    <w:rsid w:val="00416134"/>
    <w:rsid w:val="0042060E"/>
    <w:rsid w:val="004226B5"/>
    <w:rsid w:val="00425466"/>
    <w:rsid w:val="0042567C"/>
    <w:rsid w:val="00430DBB"/>
    <w:rsid w:val="00431257"/>
    <w:rsid w:val="00431ACD"/>
    <w:rsid w:val="0044536A"/>
    <w:rsid w:val="0044692B"/>
    <w:rsid w:val="00446EDD"/>
    <w:rsid w:val="004656F0"/>
    <w:rsid w:val="00470B58"/>
    <w:rsid w:val="00470DC2"/>
    <w:rsid w:val="004726D4"/>
    <w:rsid w:val="004734F3"/>
    <w:rsid w:val="00473D4A"/>
    <w:rsid w:val="00490876"/>
    <w:rsid w:val="0049167F"/>
    <w:rsid w:val="004A06F8"/>
    <w:rsid w:val="004A3FC7"/>
    <w:rsid w:val="004B104B"/>
    <w:rsid w:val="004B2980"/>
    <w:rsid w:val="004B2C7B"/>
    <w:rsid w:val="004B6B19"/>
    <w:rsid w:val="004B6DC9"/>
    <w:rsid w:val="004C2C0B"/>
    <w:rsid w:val="004C7F1B"/>
    <w:rsid w:val="004D6FC6"/>
    <w:rsid w:val="004E7490"/>
    <w:rsid w:val="004F05AB"/>
    <w:rsid w:val="004F5ACD"/>
    <w:rsid w:val="004F6D0B"/>
    <w:rsid w:val="00500C97"/>
    <w:rsid w:val="005041E5"/>
    <w:rsid w:val="00504DED"/>
    <w:rsid w:val="00506DC3"/>
    <w:rsid w:val="00511F00"/>
    <w:rsid w:val="00513B1A"/>
    <w:rsid w:val="005162A0"/>
    <w:rsid w:val="00516C9D"/>
    <w:rsid w:val="00532BE9"/>
    <w:rsid w:val="00535628"/>
    <w:rsid w:val="0053609E"/>
    <w:rsid w:val="00545307"/>
    <w:rsid w:val="0055294E"/>
    <w:rsid w:val="00560744"/>
    <w:rsid w:val="00561312"/>
    <w:rsid w:val="00561AD4"/>
    <w:rsid w:val="00562E3B"/>
    <w:rsid w:val="00567153"/>
    <w:rsid w:val="0059204D"/>
    <w:rsid w:val="005953A3"/>
    <w:rsid w:val="005A5DA1"/>
    <w:rsid w:val="005C1AF8"/>
    <w:rsid w:val="005D0E0A"/>
    <w:rsid w:val="005D4D93"/>
    <w:rsid w:val="005D7582"/>
    <w:rsid w:val="005E133D"/>
    <w:rsid w:val="005E4471"/>
    <w:rsid w:val="005F00C9"/>
    <w:rsid w:val="005F1589"/>
    <w:rsid w:val="005F37C9"/>
    <w:rsid w:val="006018AE"/>
    <w:rsid w:val="00603C64"/>
    <w:rsid w:val="0061377A"/>
    <w:rsid w:val="00621A3F"/>
    <w:rsid w:val="00622268"/>
    <w:rsid w:val="00622B85"/>
    <w:rsid w:val="006246E6"/>
    <w:rsid w:val="0063356E"/>
    <w:rsid w:val="00641142"/>
    <w:rsid w:val="00655CA0"/>
    <w:rsid w:val="00655D17"/>
    <w:rsid w:val="00663485"/>
    <w:rsid w:val="00664038"/>
    <w:rsid w:val="006674D3"/>
    <w:rsid w:val="00667C03"/>
    <w:rsid w:val="00671A59"/>
    <w:rsid w:val="00671C3F"/>
    <w:rsid w:val="00672E21"/>
    <w:rsid w:val="00680F04"/>
    <w:rsid w:val="00682D8B"/>
    <w:rsid w:val="006A03AB"/>
    <w:rsid w:val="006A2126"/>
    <w:rsid w:val="006A342F"/>
    <w:rsid w:val="006A727B"/>
    <w:rsid w:val="006B6426"/>
    <w:rsid w:val="006B677E"/>
    <w:rsid w:val="006C1C1D"/>
    <w:rsid w:val="006C266A"/>
    <w:rsid w:val="006C3575"/>
    <w:rsid w:val="006C6781"/>
    <w:rsid w:val="006C779C"/>
    <w:rsid w:val="006E25EA"/>
    <w:rsid w:val="006E4C1E"/>
    <w:rsid w:val="006E6975"/>
    <w:rsid w:val="006F0238"/>
    <w:rsid w:val="006F3929"/>
    <w:rsid w:val="00700A0D"/>
    <w:rsid w:val="007027CF"/>
    <w:rsid w:val="00702E60"/>
    <w:rsid w:val="00705CDF"/>
    <w:rsid w:val="00712489"/>
    <w:rsid w:val="00717C70"/>
    <w:rsid w:val="00722143"/>
    <w:rsid w:val="00722296"/>
    <w:rsid w:val="007228AC"/>
    <w:rsid w:val="007302AB"/>
    <w:rsid w:val="00731A36"/>
    <w:rsid w:val="00732191"/>
    <w:rsid w:val="007403BD"/>
    <w:rsid w:val="00740790"/>
    <w:rsid w:val="0074316F"/>
    <w:rsid w:val="00743D55"/>
    <w:rsid w:val="007463C5"/>
    <w:rsid w:val="007549B6"/>
    <w:rsid w:val="00760314"/>
    <w:rsid w:val="007646B0"/>
    <w:rsid w:val="007673CA"/>
    <w:rsid w:val="007706C9"/>
    <w:rsid w:val="007710BE"/>
    <w:rsid w:val="00771EAA"/>
    <w:rsid w:val="0078285E"/>
    <w:rsid w:val="00782B80"/>
    <w:rsid w:val="00783FC1"/>
    <w:rsid w:val="0079172E"/>
    <w:rsid w:val="0079276B"/>
    <w:rsid w:val="00795D99"/>
    <w:rsid w:val="00797653"/>
    <w:rsid w:val="007A2548"/>
    <w:rsid w:val="007A61B4"/>
    <w:rsid w:val="007B20BB"/>
    <w:rsid w:val="007B6285"/>
    <w:rsid w:val="007B7CE1"/>
    <w:rsid w:val="007C66C8"/>
    <w:rsid w:val="007C6DBC"/>
    <w:rsid w:val="007D20E7"/>
    <w:rsid w:val="007E3FDE"/>
    <w:rsid w:val="007F2D02"/>
    <w:rsid w:val="007F36E8"/>
    <w:rsid w:val="007F3B65"/>
    <w:rsid w:val="007F4AED"/>
    <w:rsid w:val="007F7801"/>
    <w:rsid w:val="0080581D"/>
    <w:rsid w:val="0080644B"/>
    <w:rsid w:val="00806C54"/>
    <w:rsid w:val="00816B4D"/>
    <w:rsid w:val="008211AF"/>
    <w:rsid w:val="00847177"/>
    <w:rsid w:val="00860B54"/>
    <w:rsid w:val="0086397A"/>
    <w:rsid w:val="0086492B"/>
    <w:rsid w:val="00866D40"/>
    <w:rsid w:val="00881EA6"/>
    <w:rsid w:val="0088724A"/>
    <w:rsid w:val="008958C0"/>
    <w:rsid w:val="00895E44"/>
    <w:rsid w:val="008969A3"/>
    <w:rsid w:val="0089799E"/>
    <w:rsid w:val="008A35FB"/>
    <w:rsid w:val="008A768A"/>
    <w:rsid w:val="008B5CC8"/>
    <w:rsid w:val="008D0C8A"/>
    <w:rsid w:val="008D5FB2"/>
    <w:rsid w:val="008E5D46"/>
    <w:rsid w:val="008F2CB8"/>
    <w:rsid w:val="009041DC"/>
    <w:rsid w:val="00905FE6"/>
    <w:rsid w:val="00906923"/>
    <w:rsid w:val="00912A0A"/>
    <w:rsid w:val="0091403B"/>
    <w:rsid w:val="00914A81"/>
    <w:rsid w:val="00916558"/>
    <w:rsid w:val="009249F4"/>
    <w:rsid w:val="0093138B"/>
    <w:rsid w:val="0093353C"/>
    <w:rsid w:val="00955DEB"/>
    <w:rsid w:val="00960A92"/>
    <w:rsid w:val="00960CD5"/>
    <w:rsid w:val="00971A5D"/>
    <w:rsid w:val="00973972"/>
    <w:rsid w:val="0098045A"/>
    <w:rsid w:val="00983443"/>
    <w:rsid w:val="00983867"/>
    <w:rsid w:val="00986EEB"/>
    <w:rsid w:val="0099426C"/>
    <w:rsid w:val="009A0B5D"/>
    <w:rsid w:val="009A113F"/>
    <w:rsid w:val="009B00BB"/>
    <w:rsid w:val="009B039A"/>
    <w:rsid w:val="009B20B4"/>
    <w:rsid w:val="009D271D"/>
    <w:rsid w:val="009D3DDE"/>
    <w:rsid w:val="009E11B1"/>
    <w:rsid w:val="009E4F89"/>
    <w:rsid w:val="009E5800"/>
    <w:rsid w:val="009F042B"/>
    <w:rsid w:val="009F586A"/>
    <w:rsid w:val="009F7229"/>
    <w:rsid w:val="00A02249"/>
    <w:rsid w:val="00A069A0"/>
    <w:rsid w:val="00A119F4"/>
    <w:rsid w:val="00A32E10"/>
    <w:rsid w:val="00A37B83"/>
    <w:rsid w:val="00A426DB"/>
    <w:rsid w:val="00A46C75"/>
    <w:rsid w:val="00A5306C"/>
    <w:rsid w:val="00A54C68"/>
    <w:rsid w:val="00A557F9"/>
    <w:rsid w:val="00A61D6D"/>
    <w:rsid w:val="00A65CEB"/>
    <w:rsid w:val="00A70B55"/>
    <w:rsid w:val="00A73C12"/>
    <w:rsid w:val="00A75B62"/>
    <w:rsid w:val="00A808C8"/>
    <w:rsid w:val="00A81129"/>
    <w:rsid w:val="00A934B5"/>
    <w:rsid w:val="00A97F76"/>
    <w:rsid w:val="00AA0B20"/>
    <w:rsid w:val="00AA5B67"/>
    <w:rsid w:val="00AB29AC"/>
    <w:rsid w:val="00AB4826"/>
    <w:rsid w:val="00AB5C47"/>
    <w:rsid w:val="00AB62C6"/>
    <w:rsid w:val="00AB6897"/>
    <w:rsid w:val="00AB79AE"/>
    <w:rsid w:val="00AC4836"/>
    <w:rsid w:val="00AC5A5D"/>
    <w:rsid w:val="00AD0F95"/>
    <w:rsid w:val="00AD2203"/>
    <w:rsid w:val="00AD45E1"/>
    <w:rsid w:val="00AE132B"/>
    <w:rsid w:val="00AE60EA"/>
    <w:rsid w:val="00B00EEA"/>
    <w:rsid w:val="00B0600C"/>
    <w:rsid w:val="00B06AAC"/>
    <w:rsid w:val="00B14C54"/>
    <w:rsid w:val="00B221C1"/>
    <w:rsid w:val="00B24A1E"/>
    <w:rsid w:val="00B265DD"/>
    <w:rsid w:val="00B3746D"/>
    <w:rsid w:val="00B438DD"/>
    <w:rsid w:val="00B44108"/>
    <w:rsid w:val="00B7535D"/>
    <w:rsid w:val="00B7629C"/>
    <w:rsid w:val="00B819F9"/>
    <w:rsid w:val="00B916EF"/>
    <w:rsid w:val="00B91DEF"/>
    <w:rsid w:val="00B94762"/>
    <w:rsid w:val="00B96140"/>
    <w:rsid w:val="00BA3475"/>
    <w:rsid w:val="00BB1939"/>
    <w:rsid w:val="00BB1BCD"/>
    <w:rsid w:val="00BC3421"/>
    <w:rsid w:val="00BD2067"/>
    <w:rsid w:val="00BD6D7D"/>
    <w:rsid w:val="00BD7D95"/>
    <w:rsid w:val="00BE1795"/>
    <w:rsid w:val="00BE18FB"/>
    <w:rsid w:val="00BE2A26"/>
    <w:rsid w:val="00BE2E59"/>
    <w:rsid w:val="00BE666D"/>
    <w:rsid w:val="00BF06A1"/>
    <w:rsid w:val="00BF3F33"/>
    <w:rsid w:val="00BF5AF6"/>
    <w:rsid w:val="00BF5DED"/>
    <w:rsid w:val="00C0354E"/>
    <w:rsid w:val="00C100EA"/>
    <w:rsid w:val="00C1707F"/>
    <w:rsid w:val="00C1749B"/>
    <w:rsid w:val="00C26EAA"/>
    <w:rsid w:val="00C342D0"/>
    <w:rsid w:val="00C41116"/>
    <w:rsid w:val="00C41431"/>
    <w:rsid w:val="00C456C0"/>
    <w:rsid w:val="00C4613D"/>
    <w:rsid w:val="00C47853"/>
    <w:rsid w:val="00C57878"/>
    <w:rsid w:val="00C60CEA"/>
    <w:rsid w:val="00C677B8"/>
    <w:rsid w:val="00C735CA"/>
    <w:rsid w:val="00C74F32"/>
    <w:rsid w:val="00C7507E"/>
    <w:rsid w:val="00C77EE8"/>
    <w:rsid w:val="00C802E6"/>
    <w:rsid w:val="00C85696"/>
    <w:rsid w:val="00C85970"/>
    <w:rsid w:val="00CA34CB"/>
    <w:rsid w:val="00CB13E6"/>
    <w:rsid w:val="00CB26AA"/>
    <w:rsid w:val="00CB7D09"/>
    <w:rsid w:val="00CC39CD"/>
    <w:rsid w:val="00CC6BAC"/>
    <w:rsid w:val="00CD0A69"/>
    <w:rsid w:val="00CD1042"/>
    <w:rsid w:val="00CD4CF6"/>
    <w:rsid w:val="00CE56EA"/>
    <w:rsid w:val="00CE5C71"/>
    <w:rsid w:val="00CE62C3"/>
    <w:rsid w:val="00CF40F6"/>
    <w:rsid w:val="00CF5968"/>
    <w:rsid w:val="00D00286"/>
    <w:rsid w:val="00D018CB"/>
    <w:rsid w:val="00D02597"/>
    <w:rsid w:val="00D04673"/>
    <w:rsid w:val="00D057F0"/>
    <w:rsid w:val="00D11C81"/>
    <w:rsid w:val="00D261AB"/>
    <w:rsid w:val="00D3215E"/>
    <w:rsid w:val="00D347D7"/>
    <w:rsid w:val="00D3655B"/>
    <w:rsid w:val="00D41208"/>
    <w:rsid w:val="00D56B80"/>
    <w:rsid w:val="00D634A6"/>
    <w:rsid w:val="00D6755E"/>
    <w:rsid w:val="00D808E9"/>
    <w:rsid w:val="00D87298"/>
    <w:rsid w:val="00D87D86"/>
    <w:rsid w:val="00D942AF"/>
    <w:rsid w:val="00DA4F25"/>
    <w:rsid w:val="00DB286D"/>
    <w:rsid w:val="00DB6F26"/>
    <w:rsid w:val="00DC0E61"/>
    <w:rsid w:val="00DC7846"/>
    <w:rsid w:val="00DD38A8"/>
    <w:rsid w:val="00DE068D"/>
    <w:rsid w:val="00DE2EBA"/>
    <w:rsid w:val="00DF1B38"/>
    <w:rsid w:val="00DF3302"/>
    <w:rsid w:val="00DF5ECF"/>
    <w:rsid w:val="00E00336"/>
    <w:rsid w:val="00E0536A"/>
    <w:rsid w:val="00E11216"/>
    <w:rsid w:val="00E121F3"/>
    <w:rsid w:val="00E26A80"/>
    <w:rsid w:val="00E26AF6"/>
    <w:rsid w:val="00E3791F"/>
    <w:rsid w:val="00E420F8"/>
    <w:rsid w:val="00E42754"/>
    <w:rsid w:val="00E43EE6"/>
    <w:rsid w:val="00E45826"/>
    <w:rsid w:val="00E46B49"/>
    <w:rsid w:val="00E54D5C"/>
    <w:rsid w:val="00E54F11"/>
    <w:rsid w:val="00E57391"/>
    <w:rsid w:val="00E63714"/>
    <w:rsid w:val="00E67006"/>
    <w:rsid w:val="00E67261"/>
    <w:rsid w:val="00E72EB2"/>
    <w:rsid w:val="00E74A56"/>
    <w:rsid w:val="00E7548F"/>
    <w:rsid w:val="00E76C55"/>
    <w:rsid w:val="00E802E2"/>
    <w:rsid w:val="00E82FC9"/>
    <w:rsid w:val="00E83CAA"/>
    <w:rsid w:val="00E846DA"/>
    <w:rsid w:val="00E92D95"/>
    <w:rsid w:val="00EA5850"/>
    <w:rsid w:val="00EB4625"/>
    <w:rsid w:val="00EB4E7C"/>
    <w:rsid w:val="00EB57C1"/>
    <w:rsid w:val="00EC0140"/>
    <w:rsid w:val="00EC0B88"/>
    <w:rsid w:val="00EC3BA4"/>
    <w:rsid w:val="00EC60F8"/>
    <w:rsid w:val="00ED27EC"/>
    <w:rsid w:val="00EE176E"/>
    <w:rsid w:val="00EE23CF"/>
    <w:rsid w:val="00EE3AC8"/>
    <w:rsid w:val="00EF1639"/>
    <w:rsid w:val="00EF5496"/>
    <w:rsid w:val="00EF6592"/>
    <w:rsid w:val="00F02A45"/>
    <w:rsid w:val="00F05589"/>
    <w:rsid w:val="00F06D37"/>
    <w:rsid w:val="00F06F31"/>
    <w:rsid w:val="00F075DF"/>
    <w:rsid w:val="00F133D0"/>
    <w:rsid w:val="00F13B43"/>
    <w:rsid w:val="00F13BF5"/>
    <w:rsid w:val="00F33F88"/>
    <w:rsid w:val="00F347CB"/>
    <w:rsid w:val="00F3797E"/>
    <w:rsid w:val="00F42FA7"/>
    <w:rsid w:val="00F471FB"/>
    <w:rsid w:val="00F5035A"/>
    <w:rsid w:val="00F5104F"/>
    <w:rsid w:val="00F63E90"/>
    <w:rsid w:val="00F655CA"/>
    <w:rsid w:val="00F6622B"/>
    <w:rsid w:val="00F7733D"/>
    <w:rsid w:val="00F80DBD"/>
    <w:rsid w:val="00F87AA6"/>
    <w:rsid w:val="00F913F9"/>
    <w:rsid w:val="00F91EDA"/>
    <w:rsid w:val="00F97E8B"/>
    <w:rsid w:val="00FB631B"/>
    <w:rsid w:val="00FB6A14"/>
    <w:rsid w:val="00FC204B"/>
    <w:rsid w:val="00FC3AA7"/>
    <w:rsid w:val="00FC3D35"/>
    <w:rsid w:val="00FC3D6B"/>
    <w:rsid w:val="00FC6AE3"/>
    <w:rsid w:val="00FD3FBC"/>
    <w:rsid w:val="00FE706A"/>
    <w:rsid w:val="00FF05D5"/>
    <w:rsid w:val="00FF4E1A"/>
    <w:rsid w:val="022AD599"/>
    <w:rsid w:val="15EC511F"/>
    <w:rsid w:val="33F0E236"/>
    <w:rsid w:val="7AE353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6ACA3"/>
  <w15:docId w15:val="{7054FCF3-0B02-490A-B092-B6AF284D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8" w:unhideWhenUsed="1" w:qFormat="1"/>
    <w:lsdException w:name="heading 6" w:semiHidden="1" w:uiPriority="8" w:unhideWhenUsed="1" w:qFormat="1"/>
    <w:lsdException w:name="heading 7" w:semiHidden="1" w:unhideWhenUsed="1" w:qFormat="1"/>
    <w:lsdException w:name="heading 8" w:semiHidden="1"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69" w:unhideWhenUsed="1"/>
    <w:lsdException w:name="header" w:semiHidden="1" w:uiPriority="29" w:unhideWhenUsed="1"/>
    <w:lsdException w:name="footer" w:semiHidden="1" w:uiPriority="0" w:unhideWhenUsed="1"/>
    <w:lsdException w:name="index heading" w:semiHidden="1" w:unhideWhenUsed="1"/>
    <w:lsdException w:name="caption" w:semiHidden="1" w:uiPriority="49" w:unhideWhenUsed="1" w:qFormat="1"/>
    <w:lsdException w:name="table of figures" w:semiHidden="1" w:uiPriority="40" w:unhideWhenUsed="1"/>
    <w:lsdException w:name="envelope address" w:semiHidden="1" w:uiPriority="69" w:unhideWhenUsed="1"/>
    <w:lsdException w:name="envelope return" w:semiHidden="1" w:uiPriority="69" w:unhideWhenUsed="1"/>
    <w:lsdException w:name="footnote reference" w:semiHidden="1" w:unhideWhenUsed="1"/>
    <w:lsdException w:name="annotation reference" w:semiHidden="1" w:uiPriority="69" w:unhideWhenUsed="1"/>
    <w:lsdException w:name="line number" w:semiHidden="1" w:unhideWhenUsed="1"/>
    <w:lsdException w:name="page number" w:semiHidden="1" w:unhideWhenUsed="1"/>
    <w:lsdException w:name="endnote reference" w:semiHidden="1" w:uiPriority="69" w:unhideWhenUsed="1"/>
    <w:lsdException w:name="endnote text" w:semiHidden="1" w:uiPriority="69"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iPriority="9" w:unhideWhenUsed="1" w:qFormat="1"/>
    <w:lsdException w:name="List Number 3" w:semiHidden="1" w:uiPriority="9" w:unhideWhenUsed="1" w:qFormat="1"/>
    <w:lsdException w:name="List Number 4" w:semiHidden="1" w:unhideWhenUsed="1"/>
    <w:lsdException w:name="List Number 5" w:semiHidden="1" w:unhideWhenUsed="1"/>
    <w:lsdException w:name="Title" w:uiPriority="25" w:qFormat="1"/>
    <w:lsdException w:name="Closing" w:semiHidden="1" w:uiPriority="69" w:unhideWhenUsed="1"/>
    <w:lsdException w:name="Signature" w:semiHidden="1" w:uiPriority="49" w:unhideWhenUsed="1"/>
    <w:lsdException w:name="Default Paragraph Font" w:semiHidden="1" w:uiPriority="1" w:unhideWhenUsed="1"/>
    <w:lsdException w:name="Body Text" w:semiHidden="1" w:uiPriority="1" w:unhideWhenUsed="1" w:qFormat="1"/>
    <w:lsdException w:name="Body Text Indent" w:semiHidden="1" w:uiPriority="6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49" w:unhideWhenUsed="1"/>
    <w:lsdException w:name="Date" w:semiHidden="1" w:uiPriority="69" w:unhideWhenUsed="1"/>
    <w:lsdException w:name="Body Text First Indent" w:semiHidden="1" w:uiPriority="69" w:unhideWhenUsed="1"/>
    <w:lsdException w:name="Body Text First Indent 2" w:semiHidden="1" w:uiPriority="69" w:unhideWhenUsed="1"/>
    <w:lsdException w:name="Note Heading" w:semiHidden="1" w:unhideWhenUsed="1"/>
    <w:lsdException w:name="Body Text 2" w:semiHidden="1" w:uiPriority="69" w:unhideWhenUsed="1"/>
    <w:lsdException w:name="Body Text 3" w:semiHidden="1" w:uiPriority="69" w:unhideWhenUsed="1"/>
    <w:lsdException w:name="Body Text Indent 2" w:semiHidden="1" w:uiPriority="69" w:unhideWhenUsed="1"/>
    <w:lsdException w:name="Body Text Indent 3" w:semiHidden="1" w:uiPriority="69"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69" w:qFormat="1"/>
    <w:lsdException w:name="Document Map" w:semiHidden="1" w:uiPriority="69" w:unhideWhenUsed="1"/>
    <w:lsdException w:name="Plain Text" w:semiHidden="1" w:uiPriority="49" w:unhideWhenUsed="1"/>
    <w:lsdException w:name="E-mail Signature" w:semiHidden="1" w:uiPriority="6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6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69"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B7CFF"/>
    <w:pPr>
      <w:spacing w:after="240"/>
    </w:pPr>
    <w:rPr>
      <w:rFonts w:ascii="Times New Roman" w:eastAsia="Times New Roman" w:hAnsi="Times New Roman" w:cs="Times New Roman"/>
      <w:sz w:val="24"/>
      <w:szCs w:val="24"/>
      <w:lang w:val="en-GB"/>
    </w:rPr>
  </w:style>
  <w:style w:type="paragraph" w:styleId="Heading1">
    <w:name w:val="heading 1"/>
    <w:next w:val="Paragraph"/>
    <w:link w:val="Heading1Char"/>
    <w:uiPriority w:val="4"/>
    <w:qFormat/>
    <w:rsid w:val="003B7CFF"/>
    <w:pPr>
      <w:keepNext/>
      <w:keepLines/>
      <w:numPr>
        <w:numId w:val="3"/>
      </w:numPr>
      <w:spacing w:before="240" w:after="240" w:line="240" w:lineRule="auto"/>
      <w:outlineLvl w:val="0"/>
    </w:pPr>
    <w:rPr>
      <w:rFonts w:ascii="Times New Roman" w:eastAsia="Times New Roman" w:hAnsi="Times New Roman" w:cs="Arial"/>
      <w:b/>
      <w:bCs/>
      <w:caps/>
      <w:kern w:val="32"/>
      <w:sz w:val="28"/>
      <w:szCs w:val="28"/>
      <w:lang w:val="en-GB"/>
    </w:rPr>
  </w:style>
  <w:style w:type="paragraph" w:styleId="Heading2">
    <w:name w:val="heading 2"/>
    <w:next w:val="Paragraph"/>
    <w:link w:val="Heading2Char"/>
    <w:uiPriority w:val="4"/>
    <w:qFormat/>
    <w:rsid w:val="00705CDF"/>
    <w:pPr>
      <w:keepNext/>
      <w:keepLines/>
      <w:numPr>
        <w:ilvl w:val="1"/>
        <w:numId w:val="3"/>
      </w:numPr>
      <w:tabs>
        <w:tab w:val="clear" w:pos="1418"/>
        <w:tab w:val="num" w:pos="1134"/>
      </w:tabs>
      <w:spacing w:before="60" w:after="120" w:line="240" w:lineRule="auto"/>
      <w:ind w:left="1134"/>
      <w:outlineLvl w:val="1"/>
    </w:pPr>
    <w:rPr>
      <w:rFonts w:ascii="Times New Roman Bold" w:eastAsia="Times New Roman" w:hAnsi="Times New Roman Bold" w:cs="Arial"/>
      <w:b/>
      <w:bCs/>
      <w:iCs/>
      <w:caps/>
      <w:sz w:val="24"/>
      <w:szCs w:val="26"/>
      <w:lang w:val="en-GB"/>
    </w:rPr>
  </w:style>
  <w:style w:type="paragraph" w:styleId="Heading3">
    <w:name w:val="heading 3"/>
    <w:next w:val="Paragraph"/>
    <w:link w:val="Heading3Char"/>
    <w:uiPriority w:val="4"/>
    <w:qFormat/>
    <w:rsid w:val="003B7CFF"/>
    <w:pPr>
      <w:keepNext/>
      <w:keepLines/>
      <w:numPr>
        <w:ilvl w:val="2"/>
        <w:numId w:val="3"/>
      </w:numPr>
      <w:spacing w:before="60" w:after="120" w:line="240" w:lineRule="auto"/>
      <w:outlineLvl w:val="2"/>
    </w:pPr>
    <w:rPr>
      <w:rFonts w:ascii="Times New Roman" w:eastAsia="Times New Roman" w:hAnsi="Times New Roman" w:cs="Arial"/>
      <w:b/>
      <w:bCs/>
      <w:sz w:val="26"/>
      <w:szCs w:val="24"/>
      <w:lang w:val="en-GB"/>
    </w:rPr>
  </w:style>
  <w:style w:type="paragraph" w:styleId="Heading4">
    <w:name w:val="heading 4"/>
    <w:next w:val="Paragraph"/>
    <w:link w:val="Heading4Char"/>
    <w:uiPriority w:val="4"/>
    <w:qFormat/>
    <w:rsid w:val="003B7CFF"/>
    <w:pPr>
      <w:keepNext/>
      <w:keepLines/>
      <w:numPr>
        <w:ilvl w:val="3"/>
        <w:numId w:val="3"/>
      </w:numPr>
      <w:spacing w:before="60" w:after="60" w:line="240" w:lineRule="auto"/>
      <w:outlineLvl w:val="3"/>
    </w:pPr>
    <w:rPr>
      <w:rFonts w:ascii="Times New Roman" w:eastAsia="Times New Roman" w:hAnsi="Times New Roman" w:cs="Times New Roman"/>
      <w:b/>
      <w:bCs/>
      <w:sz w:val="24"/>
      <w:lang w:val="en-GB"/>
    </w:rPr>
  </w:style>
  <w:style w:type="paragraph" w:styleId="Heading5">
    <w:name w:val="heading 5"/>
    <w:next w:val="Paragraph"/>
    <w:link w:val="Heading5Char"/>
    <w:uiPriority w:val="8"/>
    <w:qFormat/>
    <w:rsid w:val="003B7CFF"/>
    <w:pPr>
      <w:keepNext/>
      <w:keepLines/>
      <w:numPr>
        <w:ilvl w:val="4"/>
        <w:numId w:val="3"/>
      </w:numPr>
      <w:tabs>
        <w:tab w:val="left" w:pos="1440"/>
      </w:tabs>
      <w:spacing w:before="60" w:after="60" w:line="240" w:lineRule="auto"/>
      <w:outlineLvl w:val="4"/>
    </w:pPr>
    <w:rPr>
      <w:rFonts w:ascii="Times New Roman Bold" w:eastAsia="Times New Roman" w:hAnsi="Times New Roman Bold" w:cs="Arial"/>
      <w:b/>
      <w:bCs/>
      <w:iCs/>
      <w:lang w:val="en-US"/>
    </w:rPr>
  </w:style>
  <w:style w:type="paragraph" w:styleId="Heading6">
    <w:name w:val="heading 6"/>
    <w:next w:val="Paragraph"/>
    <w:link w:val="Heading6Char"/>
    <w:uiPriority w:val="8"/>
    <w:qFormat/>
    <w:rsid w:val="003B7CFF"/>
    <w:pPr>
      <w:keepNext/>
      <w:keepLines/>
      <w:numPr>
        <w:ilvl w:val="5"/>
        <w:numId w:val="3"/>
      </w:numPr>
      <w:tabs>
        <w:tab w:val="left" w:pos="1680"/>
      </w:tabs>
      <w:spacing w:before="60" w:after="60" w:line="240" w:lineRule="auto"/>
      <w:outlineLvl w:val="5"/>
    </w:pPr>
    <w:rPr>
      <w:rFonts w:ascii="Times New Roman" w:eastAsia="Times New Roman" w:hAnsi="Times New Roman" w:cs="Arial"/>
      <w:b/>
      <w:bCs/>
      <w:i/>
      <w:lang w:val="en-US"/>
    </w:rPr>
  </w:style>
  <w:style w:type="paragraph" w:styleId="Heading7">
    <w:name w:val="heading 7"/>
    <w:next w:val="Paragraph"/>
    <w:link w:val="Heading7Char"/>
    <w:uiPriority w:val="99"/>
    <w:semiHidden/>
    <w:qFormat/>
    <w:rsid w:val="003B7CFF"/>
    <w:pPr>
      <w:keepNext/>
      <w:keepLines/>
      <w:numPr>
        <w:ilvl w:val="6"/>
        <w:numId w:val="3"/>
      </w:numPr>
      <w:tabs>
        <w:tab w:val="left" w:pos="1920"/>
      </w:tabs>
      <w:spacing w:after="240" w:line="240" w:lineRule="auto"/>
      <w:outlineLvl w:val="6"/>
    </w:pPr>
    <w:rPr>
      <w:rFonts w:ascii="Times New Roman" w:eastAsia="Times New Roman" w:hAnsi="Times New Roman" w:cs="Arial"/>
      <w:i/>
      <w:sz w:val="24"/>
      <w:szCs w:val="24"/>
      <w:lang w:val="en-US"/>
    </w:rPr>
  </w:style>
  <w:style w:type="paragraph" w:styleId="Heading8">
    <w:name w:val="heading 8"/>
    <w:next w:val="Paragraph"/>
    <w:link w:val="Heading8Char"/>
    <w:uiPriority w:val="99"/>
    <w:semiHidden/>
    <w:qFormat/>
    <w:rsid w:val="003B7CFF"/>
    <w:pPr>
      <w:keepNext/>
      <w:keepLines/>
      <w:numPr>
        <w:ilvl w:val="7"/>
        <w:numId w:val="3"/>
      </w:numPr>
      <w:tabs>
        <w:tab w:val="left" w:pos="2160"/>
      </w:tabs>
      <w:spacing w:after="240" w:line="240" w:lineRule="auto"/>
      <w:outlineLvl w:val="7"/>
    </w:pPr>
    <w:rPr>
      <w:rFonts w:ascii="Times New Roman" w:eastAsia="Times New Roman" w:hAnsi="Times New Roman" w:cs="Arial"/>
      <w:i/>
      <w:iCs/>
      <w:sz w:val="24"/>
      <w:szCs w:val="24"/>
      <w:lang w:val="en-US"/>
    </w:rPr>
  </w:style>
  <w:style w:type="paragraph" w:styleId="Heading9">
    <w:name w:val="heading 9"/>
    <w:aliases w:val="-References"/>
    <w:next w:val="Paragraph"/>
    <w:link w:val="Heading9Char"/>
    <w:uiPriority w:val="7"/>
    <w:qFormat/>
    <w:rsid w:val="003B7CFF"/>
    <w:pPr>
      <w:keepNext/>
      <w:keepLines/>
      <w:numPr>
        <w:ilvl w:val="8"/>
        <w:numId w:val="3"/>
      </w:numPr>
      <w:spacing w:before="120" w:after="0" w:line="240" w:lineRule="auto"/>
      <w:outlineLvl w:val="8"/>
    </w:pPr>
    <w:rPr>
      <w:rFonts w:ascii="Times New Roman" w:eastAsia="Times New Roman" w:hAnsi="Times New Roman" w:cs="Arial"/>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3B7CFF"/>
    <w:rPr>
      <w:rFonts w:ascii="Times New Roman" w:eastAsia="Times New Roman" w:hAnsi="Times New Roman" w:cs="Arial"/>
      <w:b/>
      <w:bCs/>
      <w:caps/>
      <w:kern w:val="32"/>
      <w:sz w:val="28"/>
      <w:szCs w:val="28"/>
      <w:lang w:val="en-GB"/>
    </w:rPr>
  </w:style>
  <w:style w:type="character" w:customStyle="1" w:styleId="Heading2Char">
    <w:name w:val="Heading 2 Char"/>
    <w:basedOn w:val="DefaultParagraphFont"/>
    <w:link w:val="Heading2"/>
    <w:uiPriority w:val="4"/>
    <w:rsid w:val="00705CDF"/>
    <w:rPr>
      <w:rFonts w:ascii="Times New Roman Bold" w:eastAsia="Times New Roman" w:hAnsi="Times New Roman Bold" w:cs="Arial"/>
      <w:b/>
      <w:bCs/>
      <w:iCs/>
      <w:caps/>
      <w:sz w:val="24"/>
      <w:szCs w:val="26"/>
      <w:lang w:val="en-GB"/>
    </w:rPr>
  </w:style>
  <w:style w:type="character" w:customStyle="1" w:styleId="Heading3Char">
    <w:name w:val="Heading 3 Char"/>
    <w:basedOn w:val="DefaultParagraphFont"/>
    <w:link w:val="Heading3"/>
    <w:uiPriority w:val="4"/>
    <w:rsid w:val="003B7CFF"/>
    <w:rPr>
      <w:rFonts w:ascii="Times New Roman" w:eastAsia="Times New Roman" w:hAnsi="Times New Roman" w:cs="Arial"/>
      <w:b/>
      <w:bCs/>
      <w:sz w:val="26"/>
      <w:szCs w:val="24"/>
      <w:lang w:val="en-GB"/>
    </w:rPr>
  </w:style>
  <w:style w:type="character" w:customStyle="1" w:styleId="Heading4Char">
    <w:name w:val="Heading 4 Char"/>
    <w:basedOn w:val="DefaultParagraphFont"/>
    <w:link w:val="Heading4"/>
    <w:uiPriority w:val="4"/>
    <w:rsid w:val="003B7CFF"/>
    <w:rPr>
      <w:rFonts w:ascii="Times New Roman" w:eastAsia="Times New Roman" w:hAnsi="Times New Roman" w:cs="Times New Roman"/>
      <w:b/>
      <w:bCs/>
      <w:sz w:val="24"/>
      <w:lang w:val="en-GB"/>
    </w:rPr>
  </w:style>
  <w:style w:type="character" w:customStyle="1" w:styleId="Heading5Char">
    <w:name w:val="Heading 5 Char"/>
    <w:basedOn w:val="DefaultParagraphFont"/>
    <w:link w:val="Heading5"/>
    <w:uiPriority w:val="8"/>
    <w:rsid w:val="003B7CFF"/>
    <w:rPr>
      <w:rFonts w:ascii="Times New Roman Bold" w:eastAsia="Times New Roman" w:hAnsi="Times New Roman Bold" w:cs="Arial"/>
      <w:b/>
      <w:bCs/>
      <w:iCs/>
      <w:lang w:val="en-US"/>
    </w:rPr>
  </w:style>
  <w:style w:type="character" w:customStyle="1" w:styleId="Heading6Char">
    <w:name w:val="Heading 6 Char"/>
    <w:basedOn w:val="DefaultParagraphFont"/>
    <w:link w:val="Heading6"/>
    <w:uiPriority w:val="8"/>
    <w:rsid w:val="003B7CFF"/>
    <w:rPr>
      <w:rFonts w:ascii="Times New Roman" w:eastAsia="Times New Roman" w:hAnsi="Times New Roman" w:cs="Arial"/>
      <w:b/>
      <w:bCs/>
      <w:i/>
      <w:lang w:val="en-US"/>
    </w:rPr>
  </w:style>
  <w:style w:type="character" w:customStyle="1" w:styleId="Heading7Char">
    <w:name w:val="Heading 7 Char"/>
    <w:basedOn w:val="DefaultParagraphFont"/>
    <w:link w:val="Heading7"/>
    <w:uiPriority w:val="99"/>
    <w:semiHidden/>
    <w:rsid w:val="003B7CFF"/>
    <w:rPr>
      <w:rFonts w:ascii="Times New Roman" w:eastAsia="Times New Roman" w:hAnsi="Times New Roman" w:cs="Arial"/>
      <w:i/>
      <w:sz w:val="24"/>
      <w:szCs w:val="24"/>
      <w:lang w:val="en-US"/>
    </w:rPr>
  </w:style>
  <w:style w:type="character" w:customStyle="1" w:styleId="Heading8Char">
    <w:name w:val="Heading 8 Char"/>
    <w:basedOn w:val="DefaultParagraphFont"/>
    <w:link w:val="Heading8"/>
    <w:uiPriority w:val="99"/>
    <w:semiHidden/>
    <w:rsid w:val="003B7CFF"/>
    <w:rPr>
      <w:rFonts w:ascii="Times New Roman" w:eastAsia="Times New Roman" w:hAnsi="Times New Roman" w:cs="Arial"/>
      <w:i/>
      <w:iCs/>
      <w:sz w:val="24"/>
      <w:szCs w:val="24"/>
      <w:lang w:val="en-US"/>
    </w:rPr>
  </w:style>
  <w:style w:type="character" w:customStyle="1" w:styleId="Heading9Char">
    <w:name w:val="Heading 9 Char"/>
    <w:aliases w:val="-References Char"/>
    <w:basedOn w:val="DefaultParagraphFont"/>
    <w:link w:val="Heading9"/>
    <w:uiPriority w:val="7"/>
    <w:rsid w:val="003B7CFF"/>
    <w:rPr>
      <w:rFonts w:ascii="Times New Roman" w:eastAsia="Times New Roman" w:hAnsi="Times New Roman" w:cs="Arial"/>
      <w:b/>
      <w:szCs w:val="24"/>
      <w:lang w:val="en-GB"/>
    </w:rPr>
  </w:style>
  <w:style w:type="paragraph" w:styleId="ListParagraph">
    <w:name w:val="List Paragraph"/>
    <w:basedOn w:val="Normal"/>
    <w:uiPriority w:val="34"/>
    <w:qFormat/>
    <w:rsid w:val="003B7CFF"/>
    <w:pPr>
      <w:contextualSpacing/>
    </w:pPr>
  </w:style>
  <w:style w:type="character" w:styleId="CommentReference">
    <w:name w:val="annotation reference"/>
    <w:uiPriority w:val="69"/>
    <w:semiHidden/>
    <w:rsid w:val="003B7CFF"/>
    <w:rPr>
      <w:sz w:val="16"/>
      <w:szCs w:val="16"/>
    </w:rPr>
  </w:style>
  <w:style w:type="paragraph" w:styleId="CommentText">
    <w:name w:val="annotation text"/>
    <w:basedOn w:val="Normal"/>
    <w:link w:val="CommentTextChar"/>
    <w:uiPriority w:val="69"/>
    <w:semiHidden/>
    <w:rsid w:val="003B7CFF"/>
    <w:rPr>
      <w:sz w:val="20"/>
      <w:szCs w:val="20"/>
    </w:rPr>
  </w:style>
  <w:style w:type="character" w:customStyle="1" w:styleId="CommentTextChar">
    <w:name w:val="Comment Text Char"/>
    <w:basedOn w:val="DefaultParagraphFont"/>
    <w:link w:val="CommentText"/>
    <w:uiPriority w:val="69"/>
    <w:semiHidden/>
    <w:rsid w:val="003B7CFF"/>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rsid w:val="003B7CFF"/>
    <w:rPr>
      <w:sz w:val="20"/>
      <w:szCs w:val="20"/>
    </w:rPr>
  </w:style>
  <w:style w:type="character" w:customStyle="1" w:styleId="FootnoteTextChar">
    <w:name w:val="Footnote Text Char"/>
    <w:basedOn w:val="DefaultParagraphFont"/>
    <w:link w:val="FootnoteText"/>
    <w:uiPriority w:val="99"/>
    <w:rsid w:val="003B7CFF"/>
    <w:rPr>
      <w:rFonts w:ascii="Times New Roman" w:eastAsia="Times New Roman" w:hAnsi="Times New Roman" w:cs="Times New Roman"/>
      <w:sz w:val="20"/>
      <w:szCs w:val="20"/>
      <w:lang w:val="en-GB"/>
    </w:rPr>
  </w:style>
  <w:style w:type="character" w:styleId="FootnoteReference">
    <w:name w:val="footnote reference"/>
    <w:uiPriority w:val="99"/>
    <w:rsid w:val="003B7CFF"/>
    <w:rPr>
      <w:vertAlign w:val="superscript"/>
    </w:rPr>
  </w:style>
  <w:style w:type="paragraph" w:styleId="ListBullet">
    <w:name w:val="List Bullet"/>
    <w:uiPriority w:val="9"/>
    <w:qFormat/>
    <w:rsid w:val="003B7CFF"/>
    <w:pPr>
      <w:numPr>
        <w:numId w:val="6"/>
      </w:numPr>
      <w:spacing w:before="60" w:after="60" w:line="240" w:lineRule="auto"/>
    </w:pPr>
    <w:rPr>
      <w:rFonts w:ascii="Times New Roman" w:eastAsia="Times New Roman" w:hAnsi="Times New Roman" w:cs="Times New Roman"/>
      <w:sz w:val="24"/>
      <w:szCs w:val="20"/>
      <w:lang w:val="en-GB"/>
    </w:rPr>
  </w:style>
  <w:style w:type="character" w:styleId="Hyperlink">
    <w:name w:val="Hyperlink"/>
    <w:uiPriority w:val="99"/>
    <w:rsid w:val="003B7CFF"/>
    <w:rPr>
      <w:color w:val="0000FF"/>
      <w:u w:val="non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Header"/>
    <w:link w:val="FooterChar"/>
    <w:rsid w:val="003B7CFF"/>
  </w:style>
  <w:style w:type="character" w:customStyle="1" w:styleId="FooterChar">
    <w:name w:val="Footer Char"/>
    <w:basedOn w:val="DefaultParagraphFont"/>
    <w:link w:val="Footer"/>
    <w:rsid w:val="003B7C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69"/>
    <w:semiHidden/>
    <w:rsid w:val="003B7CFF"/>
    <w:rPr>
      <w:rFonts w:ascii="Arial Narrow" w:hAnsi="Arial Narrow" w:cs="Tahoma"/>
      <w:sz w:val="18"/>
      <w:szCs w:val="16"/>
    </w:rPr>
  </w:style>
  <w:style w:type="character" w:customStyle="1" w:styleId="BalloonTextChar">
    <w:name w:val="Balloon Text Char"/>
    <w:basedOn w:val="DefaultParagraphFont"/>
    <w:link w:val="BalloonText"/>
    <w:uiPriority w:val="69"/>
    <w:semiHidden/>
    <w:rsid w:val="003B7CFF"/>
    <w:rPr>
      <w:rFonts w:ascii="Arial Narrow" w:eastAsia="Times New Roman" w:hAnsi="Arial Narrow" w:cs="Tahoma"/>
      <w:sz w:val="18"/>
      <w:szCs w:val="16"/>
      <w:lang w:val="en-GB"/>
    </w:rPr>
  </w:style>
  <w:style w:type="paragraph" w:customStyle="1" w:styleId="AppendixNumeric">
    <w:name w:val="Appendix Numeric"/>
    <w:next w:val="Paragraph"/>
    <w:uiPriority w:val="20"/>
    <w:qFormat/>
    <w:rsid w:val="003B7CFF"/>
    <w:pPr>
      <w:pageBreakBefore/>
      <w:numPr>
        <w:numId w:val="1"/>
      </w:numPr>
      <w:spacing w:after="160" w:line="240" w:lineRule="auto"/>
    </w:pPr>
    <w:rPr>
      <w:rFonts w:ascii="Times New Roman" w:eastAsia="Times New Roman" w:hAnsi="Times New Roman" w:cs="Arial"/>
      <w:b/>
      <w:iCs/>
      <w:snapToGrid w:val="0"/>
      <w:sz w:val="28"/>
      <w:szCs w:val="26"/>
      <w:lang w:val="sv-SE"/>
    </w:rPr>
  </w:style>
  <w:style w:type="paragraph" w:customStyle="1" w:styleId="AppendixAlpha">
    <w:name w:val="Appendix Alpha"/>
    <w:basedOn w:val="AppendixNumeric"/>
    <w:next w:val="Paragraph"/>
    <w:uiPriority w:val="21"/>
    <w:qFormat/>
    <w:rsid w:val="003B7CFF"/>
    <w:pPr>
      <w:keepNext/>
      <w:keepLines/>
      <w:numPr>
        <w:numId w:val="2"/>
      </w:numPr>
    </w:pPr>
  </w:style>
  <w:style w:type="table" w:styleId="PlainTable1">
    <w:name w:val="Plain Table 1"/>
    <w:basedOn w:val="TableNormal"/>
    <w:uiPriority w:val="41"/>
    <w:rsid w:val="00EE3A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E3A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pproval">
    <w:name w:val="Approval"/>
    <w:basedOn w:val="Paragraph"/>
    <w:uiPriority w:val="24"/>
    <w:rsid w:val="003B7CFF"/>
  </w:style>
  <w:style w:type="paragraph" w:styleId="BodyText">
    <w:name w:val="Body Text"/>
    <w:basedOn w:val="Normal"/>
    <w:link w:val="BodyTextChar"/>
    <w:uiPriority w:val="1"/>
    <w:qFormat/>
    <w:rsid w:val="003B7CFF"/>
    <w:pPr>
      <w:spacing w:after="120"/>
    </w:pPr>
  </w:style>
  <w:style w:type="character" w:customStyle="1" w:styleId="BodyTextChar">
    <w:name w:val="Body Text Char"/>
    <w:basedOn w:val="DefaultParagraphFont"/>
    <w:link w:val="BodyText"/>
    <w:uiPriority w:val="69"/>
    <w:semiHidden/>
    <w:rsid w:val="003B7CFF"/>
    <w:rPr>
      <w:rFonts w:ascii="Times New Roman" w:eastAsia="Times New Roman" w:hAnsi="Times New Roman" w:cs="Times New Roman"/>
      <w:sz w:val="24"/>
      <w:szCs w:val="24"/>
      <w:lang w:val="en-GB"/>
    </w:rPr>
  </w:style>
  <w:style w:type="paragraph" w:styleId="BodyText2">
    <w:name w:val="Body Text 2"/>
    <w:basedOn w:val="Normal"/>
    <w:link w:val="BodyText2Char"/>
    <w:uiPriority w:val="69"/>
    <w:semiHidden/>
    <w:rsid w:val="003B7CFF"/>
    <w:pPr>
      <w:spacing w:after="120" w:line="480" w:lineRule="auto"/>
    </w:pPr>
  </w:style>
  <w:style w:type="character" w:customStyle="1" w:styleId="BodyText2Char">
    <w:name w:val="Body Text 2 Char"/>
    <w:basedOn w:val="DefaultParagraphFont"/>
    <w:link w:val="BodyText2"/>
    <w:uiPriority w:val="69"/>
    <w:semiHidden/>
    <w:rsid w:val="003B7CFF"/>
    <w:rPr>
      <w:rFonts w:ascii="Times New Roman" w:eastAsia="Times New Roman" w:hAnsi="Times New Roman" w:cs="Times New Roman"/>
      <w:sz w:val="24"/>
      <w:szCs w:val="24"/>
      <w:lang w:val="en-GB"/>
    </w:rPr>
  </w:style>
  <w:style w:type="paragraph" w:styleId="BodyText3">
    <w:name w:val="Body Text 3"/>
    <w:basedOn w:val="Normal"/>
    <w:link w:val="BodyText3Char"/>
    <w:uiPriority w:val="69"/>
    <w:semiHidden/>
    <w:rsid w:val="003B7CFF"/>
    <w:pPr>
      <w:spacing w:after="120"/>
    </w:pPr>
    <w:rPr>
      <w:sz w:val="16"/>
      <w:szCs w:val="16"/>
    </w:rPr>
  </w:style>
  <w:style w:type="character" w:customStyle="1" w:styleId="BodyText3Char">
    <w:name w:val="Body Text 3 Char"/>
    <w:basedOn w:val="DefaultParagraphFont"/>
    <w:link w:val="BodyText3"/>
    <w:uiPriority w:val="69"/>
    <w:semiHidden/>
    <w:rsid w:val="003B7CFF"/>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69"/>
    <w:semiHidden/>
    <w:rsid w:val="003B7CFF"/>
    <w:pPr>
      <w:ind w:firstLine="210"/>
    </w:pPr>
  </w:style>
  <w:style w:type="character" w:customStyle="1" w:styleId="BodyTextFirstIndentChar">
    <w:name w:val="Body Text First Indent Char"/>
    <w:basedOn w:val="BodyTextChar"/>
    <w:link w:val="BodyTextFirstIndent"/>
    <w:uiPriority w:val="69"/>
    <w:semiHidden/>
    <w:rsid w:val="003B7CFF"/>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69"/>
    <w:semiHidden/>
    <w:rsid w:val="003B7CFF"/>
    <w:pPr>
      <w:spacing w:after="120"/>
      <w:ind w:left="360"/>
    </w:pPr>
  </w:style>
  <w:style w:type="character" w:customStyle="1" w:styleId="BodyTextIndentChar">
    <w:name w:val="Body Text Indent Char"/>
    <w:basedOn w:val="DefaultParagraphFont"/>
    <w:link w:val="BodyTextIndent"/>
    <w:uiPriority w:val="69"/>
    <w:semiHidden/>
    <w:rsid w:val="003B7CFF"/>
    <w:rPr>
      <w:rFonts w:ascii="Times New Roman" w:eastAsia="Times New Roman" w:hAnsi="Times New Roman" w:cs="Times New Roman"/>
      <w:sz w:val="24"/>
      <w:szCs w:val="24"/>
      <w:lang w:val="en-GB"/>
    </w:rPr>
  </w:style>
  <w:style w:type="paragraph" w:styleId="BodyTextFirstIndent2">
    <w:name w:val="Body Text First Indent 2"/>
    <w:basedOn w:val="BodyTextIndent"/>
    <w:link w:val="BodyTextFirstIndent2Char"/>
    <w:uiPriority w:val="69"/>
    <w:semiHidden/>
    <w:rsid w:val="003B7CFF"/>
    <w:pPr>
      <w:ind w:firstLine="210"/>
    </w:pPr>
  </w:style>
  <w:style w:type="character" w:customStyle="1" w:styleId="BodyTextFirstIndent2Char">
    <w:name w:val="Body Text First Indent 2 Char"/>
    <w:basedOn w:val="BodyTextIndentChar"/>
    <w:link w:val="BodyTextFirstIndent2"/>
    <w:uiPriority w:val="69"/>
    <w:semiHidden/>
    <w:rsid w:val="003B7CFF"/>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69"/>
    <w:semiHidden/>
    <w:rsid w:val="003B7CFF"/>
    <w:pPr>
      <w:spacing w:after="120" w:line="480" w:lineRule="auto"/>
      <w:ind w:left="360"/>
    </w:pPr>
  </w:style>
  <w:style w:type="character" w:customStyle="1" w:styleId="BodyTextIndent2Char">
    <w:name w:val="Body Text Indent 2 Char"/>
    <w:basedOn w:val="DefaultParagraphFont"/>
    <w:link w:val="BodyTextIndent2"/>
    <w:uiPriority w:val="69"/>
    <w:semiHidden/>
    <w:rsid w:val="003B7CFF"/>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69"/>
    <w:semiHidden/>
    <w:rsid w:val="003B7CFF"/>
    <w:pPr>
      <w:spacing w:after="120"/>
      <w:ind w:left="360"/>
    </w:pPr>
    <w:rPr>
      <w:sz w:val="16"/>
      <w:szCs w:val="16"/>
    </w:rPr>
  </w:style>
  <w:style w:type="character" w:customStyle="1" w:styleId="BodyTextIndent3Char">
    <w:name w:val="Body Text Indent 3 Char"/>
    <w:basedOn w:val="DefaultParagraphFont"/>
    <w:link w:val="BodyTextIndent3"/>
    <w:uiPriority w:val="69"/>
    <w:semiHidden/>
    <w:rsid w:val="003B7CFF"/>
    <w:rPr>
      <w:rFonts w:ascii="Times New Roman" w:eastAsia="Times New Roman" w:hAnsi="Times New Roman" w:cs="Times New Roman"/>
      <w:sz w:val="16"/>
      <w:szCs w:val="16"/>
      <w:lang w:val="en-GB"/>
    </w:rPr>
  </w:style>
  <w:style w:type="numbering" w:styleId="111111">
    <w:name w:val="Outline List 2"/>
    <w:basedOn w:val="NoList"/>
    <w:uiPriority w:val="99"/>
    <w:semiHidden/>
    <w:unhideWhenUsed/>
    <w:rsid w:val="003B7CFF"/>
    <w:pPr>
      <w:numPr>
        <w:numId w:val="8"/>
      </w:numPr>
    </w:pPr>
  </w:style>
  <w:style w:type="numbering" w:styleId="1ai">
    <w:name w:val="Outline List 1"/>
    <w:basedOn w:val="NoList"/>
    <w:uiPriority w:val="99"/>
    <w:semiHidden/>
    <w:unhideWhenUsed/>
    <w:rsid w:val="003B7CFF"/>
    <w:pPr>
      <w:numPr>
        <w:numId w:val="9"/>
      </w:numPr>
    </w:pPr>
  </w:style>
  <w:style w:type="numbering" w:styleId="ArticleSection">
    <w:name w:val="Outline List 3"/>
    <w:basedOn w:val="NoList"/>
    <w:uiPriority w:val="99"/>
    <w:semiHidden/>
    <w:unhideWhenUsed/>
    <w:rsid w:val="003B7CFF"/>
    <w:pPr>
      <w:numPr>
        <w:numId w:val="10"/>
      </w:numPr>
    </w:pPr>
  </w:style>
  <w:style w:type="paragraph" w:styleId="Closing">
    <w:name w:val="Closing"/>
    <w:basedOn w:val="Normal"/>
    <w:link w:val="ClosingChar"/>
    <w:uiPriority w:val="69"/>
    <w:semiHidden/>
    <w:rsid w:val="003B7CFF"/>
    <w:pPr>
      <w:ind w:left="4320"/>
    </w:pPr>
  </w:style>
  <w:style w:type="character" w:customStyle="1" w:styleId="ClosingChar">
    <w:name w:val="Closing Char"/>
    <w:basedOn w:val="DefaultParagraphFont"/>
    <w:link w:val="Closing"/>
    <w:uiPriority w:val="69"/>
    <w:semiHidden/>
    <w:rsid w:val="003B7CF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69"/>
    <w:semiHidden/>
    <w:rsid w:val="003B7CFF"/>
    <w:rPr>
      <w:b/>
      <w:bCs/>
    </w:rPr>
  </w:style>
  <w:style w:type="character" w:customStyle="1" w:styleId="CommentSubjectChar">
    <w:name w:val="Comment Subject Char"/>
    <w:basedOn w:val="CommentTextChar"/>
    <w:link w:val="CommentSubject"/>
    <w:uiPriority w:val="69"/>
    <w:semiHidden/>
    <w:rsid w:val="003B7CFF"/>
    <w:rPr>
      <w:rFonts w:ascii="Times New Roman" w:eastAsia="Times New Roman" w:hAnsi="Times New Roman" w:cs="Times New Roman"/>
      <w:b/>
      <w:bCs/>
      <w:sz w:val="20"/>
      <w:szCs w:val="20"/>
      <w:lang w:val="en-GB"/>
    </w:rPr>
  </w:style>
  <w:style w:type="paragraph" w:customStyle="1" w:styleId="Confidentiality">
    <w:name w:val="Confidentiality"/>
    <w:uiPriority w:val="24"/>
    <w:rsid w:val="003B7CFF"/>
    <w:pPr>
      <w:spacing w:after="0" w:line="240" w:lineRule="auto"/>
    </w:pPr>
    <w:rPr>
      <w:rFonts w:ascii="Times New Roman" w:eastAsia="Times New Roman" w:hAnsi="Times New Roman" w:cs="Times New Roman"/>
      <w:sz w:val="24"/>
      <w:szCs w:val="20"/>
      <w:lang w:val="en-GB"/>
    </w:rPr>
  </w:style>
  <w:style w:type="paragraph" w:styleId="Date">
    <w:name w:val="Date"/>
    <w:basedOn w:val="Normal"/>
    <w:next w:val="Normal"/>
    <w:link w:val="DateChar"/>
    <w:uiPriority w:val="69"/>
    <w:semiHidden/>
    <w:rsid w:val="003B7CFF"/>
  </w:style>
  <w:style w:type="character" w:customStyle="1" w:styleId="DateChar">
    <w:name w:val="Date Char"/>
    <w:basedOn w:val="DefaultParagraphFont"/>
    <w:link w:val="Date"/>
    <w:uiPriority w:val="69"/>
    <w:semiHidden/>
    <w:rsid w:val="003B7CFF"/>
    <w:rPr>
      <w:rFonts w:ascii="Times New Roman" w:eastAsia="Times New Roman" w:hAnsi="Times New Roman" w:cs="Times New Roman"/>
      <w:sz w:val="24"/>
      <w:szCs w:val="24"/>
      <w:lang w:val="en-GB"/>
    </w:rPr>
  </w:style>
  <w:style w:type="paragraph" w:styleId="DocumentMap">
    <w:name w:val="Document Map"/>
    <w:basedOn w:val="Normal"/>
    <w:link w:val="DocumentMapChar"/>
    <w:uiPriority w:val="69"/>
    <w:semiHidden/>
    <w:rsid w:val="003B7CFF"/>
    <w:pPr>
      <w:shd w:val="clear" w:color="auto" w:fill="000080"/>
    </w:pPr>
    <w:rPr>
      <w:rFonts w:ascii="Tahoma" w:hAnsi="Tahoma" w:cs="Tahoma"/>
    </w:rPr>
  </w:style>
  <w:style w:type="character" w:customStyle="1" w:styleId="DocumentMapChar">
    <w:name w:val="Document Map Char"/>
    <w:basedOn w:val="DefaultParagraphFont"/>
    <w:link w:val="DocumentMap"/>
    <w:uiPriority w:val="69"/>
    <w:semiHidden/>
    <w:rsid w:val="003B7CFF"/>
    <w:rPr>
      <w:rFonts w:ascii="Tahoma" w:eastAsia="Times New Roman" w:hAnsi="Tahoma" w:cs="Tahoma"/>
      <w:sz w:val="24"/>
      <w:szCs w:val="24"/>
      <w:shd w:val="clear" w:color="auto" w:fill="000080"/>
      <w:lang w:val="en-GB"/>
    </w:rPr>
  </w:style>
  <w:style w:type="paragraph" w:styleId="E-mailSignature">
    <w:name w:val="E-mail Signature"/>
    <w:basedOn w:val="Normal"/>
    <w:link w:val="E-mailSignatureChar"/>
    <w:uiPriority w:val="69"/>
    <w:semiHidden/>
    <w:rsid w:val="003B7CFF"/>
  </w:style>
  <w:style w:type="character" w:customStyle="1" w:styleId="E-mailSignatureChar">
    <w:name w:val="E-mail Signature Char"/>
    <w:basedOn w:val="DefaultParagraphFont"/>
    <w:link w:val="E-mailSignature"/>
    <w:uiPriority w:val="69"/>
    <w:semiHidden/>
    <w:rsid w:val="003B7CFF"/>
    <w:rPr>
      <w:rFonts w:ascii="Times New Roman" w:eastAsia="Times New Roman" w:hAnsi="Times New Roman" w:cs="Times New Roman"/>
      <w:sz w:val="24"/>
      <w:szCs w:val="24"/>
      <w:lang w:val="en-GB"/>
    </w:rPr>
  </w:style>
  <w:style w:type="character" w:styleId="Emphasis">
    <w:name w:val="Emphasis"/>
    <w:uiPriority w:val="69"/>
    <w:qFormat/>
    <w:rsid w:val="003B7CFF"/>
    <w:rPr>
      <w:i/>
      <w:iCs/>
    </w:rPr>
  </w:style>
  <w:style w:type="character" w:styleId="EndnoteReference">
    <w:name w:val="endnote reference"/>
    <w:uiPriority w:val="69"/>
    <w:semiHidden/>
    <w:rsid w:val="003B7CFF"/>
    <w:rPr>
      <w:vertAlign w:val="superscript"/>
    </w:rPr>
  </w:style>
  <w:style w:type="paragraph" w:styleId="EndnoteText">
    <w:name w:val="endnote text"/>
    <w:basedOn w:val="Normal"/>
    <w:link w:val="EndnoteTextChar"/>
    <w:uiPriority w:val="69"/>
    <w:semiHidden/>
    <w:rsid w:val="003B7CFF"/>
    <w:rPr>
      <w:sz w:val="20"/>
      <w:szCs w:val="20"/>
    </w:rPr>
  </w:style>
  <w:style w:type="character" w:customStyle="1" w:styleId="EndnoteTextChar">
    <w:name w:val="Endnote Text Char"/>
    <w:basedOn w:val="DefaultParagraphFont"/>
    <w:link w:val="EndnoteText"/>
    <w:uiPriority w:val="69"/>
    <w:semiHidden/>
    <w:rsid w:val="003B7CFF"/>
    <w:rPr>
      <w:rFonts w:ascii="Times New Roman" w:eastAsia="Times New Roman" w:hAnsi="Times New Roman" w:cs="Times New Roman"/>
      <w:sz w:val="20"/>
      <w:szCs w:val="20"/>
      <w:lang w:val="en-GB"/>
    </w:rPr>
  </w:style>
  <w:style w:type="paragraph" w:styleId="EnvelopeAddress">
    <w:name w:val="envelope address"/>
    <w:basedOn w:val="Normal"/>
    <w:uiPriority w:val="69"/>
    <w:semiHidden/>
    <w:rsid w:val="003B7CF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69"/>
    <w:semiHidden/>
    <w:rsid w:val="003B7CFF"/>
    <w:rPr>
      <w:rFonts w:ascii="Arial" w:hAnsi="Arial" w:cs="Arial"/>
      <w:sz w:val="20"/>
      <w:szCs w:val="20"/>
    </w:rPr>
  </w:style>
  <w:style w:type="paragraph" w:customStyle="1" w:styleId="Equation">
    <w:name w:val="Equation"/>
    <w:next w:val="Paragraph"/>
    <w:uiPriority w:val="19"/>
    <w:rsid w:val="003B7CFF"/>
    <w:pPr>
      <w:keepLines/>
      <w:spacing w:after="120" w:line="240" w:lineRule="auto"/>
      <w:jc w:val="center"/>
    </w:pPr>
    <w:rPr>
      <w:rFonts w:ascii="Times New Roman" w:eastAsia="Times New Roman" w:hAnsi="Times New Roman" w:cs="Times New Roman"/>
      <w:color w:val="000000"/>
      <w:sz w:val="24"/>
      <w:szCs w:val="24"/>
      <w:lang w:val="en-US"/>
    </w:rPr>
  </w:style>
  <w:style w:type="paragraph" w:customStyle="1" w:styleId="EquationTitle">
    <w:name w:val="Equation Title"/>
    <w:next w:val="Equation"/>
    <w:uiPriority w:val="19"/>
    <w:rsid w:val="003B7CFF"/>
    <w:pPr>
      <w:keepNext/>
      <w:keepLines/>
      <w:spacing w:after="120" w:line="240" w:lineRule="auto"/>
      <w:ind w:left="1134" w:hanging="1134"/>
    </w:pPr>
    <w:rPr>
      <w:rFonts w:ascii="Times New Roman" w:eastAsia="Times New Roman" w:hAnsi="Times New Roman" w:cs="Times New Roman"/>
      <w:b/>
      <w:color w:val="000000"/>
      <w:sz w:val="24"/>
      <w:szCs w:val="24"/>
      <w:lang w:val="en-US"/>
    </w:rPr>
  </w:style>
  <w:style w:type="paragraph" w:customStyle="1" w:styleId="Figure">
    <w:name w:val="Figure"/>
    <w:next w:val="Paragraph"/>
    <w:uiPriority w:val="17"/>
    <w:rsid w:val="003B7CFF"/>
    <w:pPr>
      <w:spacing w:after="240" w:line="240" w:lineRule="auto"/>
      <w:jc w:val="center"/>
    </w:pPr>
    <w:rPr>
      <w:rFonts w:ascii="Times New Roman" w:eastAsia="Times New Roman" w:hAnsi="Times New Roman" w:cs="Times New Roman"/>
      <w:sz w:val="24"/>
      <w:szCs w:val="20"/>
      <w:lang w:val="en-GB"/>
    </w:rPr>
  </w:style>
  <w:style w:type="paragraph" w:customStyle="1" w:styleId="FigureEndofTextTitle">
    <w:name w:val="Figure End of Text Title"/>
    <w:next w:val="Figure"/>
    <w:uiPriority w:val="18"/>
    <w:rsid w:val="003B7CFF"/>
    <w:pPr>
      <w:spacing w:after="120" w:line="240" w:lineRule="auto"/>
    </w:pPr>
    <w:rPr>
      <w:rFonts w:ascii="Times New Roman" w:eastAsia="Times New Roman" w:hAnsi="Times New Roman" w:cs="Arial"/>
      <w:b/>
      <w:bCs/>
      <w:iCs/>
      <w:sz w:val="24"/>
      <w:szCs w:val="48"/>
      <w:lang w:val="en-GB"/>
    </w:rPr>
  </w:style>
  <w:style w:type="paragraph" w:customStyle="1" w:styleId="TableTitle">
    <w:name w:val="Table Title"/>
    <w:next w:val="Paragraph"/>
    <w:uiPriority w:val="10"/>
    <w:qFormat/>
    <w:rsid w:val="003B7CFF"/>
    <w:pPr>
      <w:keepNext/>
      <w:keepLines/>
      <w:tabs>
        <w:tab w:val="left" w:pos="1701"/>
      </w:tabs>
      <w:spacing w:after="120" w:line="240" w:lineRule="auto"/>
      <w:ind w:left="1701" w:hanging="1701"/>
    </w:pPr>
    <w:rPr>
      <w:rFonts w:ascii="Times New Roman" w:eastAsia="Times New Roman" w:hAnsi="Times New Roman" w:cs="Times New Roman"/>
      <w:b/>
      <w:color w:val="000000"/>
      <w:sz w:val="24"/>
      <w:szCs w:val="24"/>
      <w:lang w:val="en-GB"/>
    </w:rPr>
  </w:style>
  <w:style w:type="paragraph" w:customStyle="1" w:styleId="FigureTitle">
    <w:name w:val="Figure Title"/>
    <w:basedOn w:val="TableTitle"/>
    <w:next w:val="Figure"/>
    <w:uiPriority w:val="17"/>
    <w:qFormat/>
    <w:rsid w:val="003B7CFF"/>
  </w:style>
  <w:style w:type="paragraph" w:customStyle="1" w:styleId="FigureSummaryTitle">
    <w:name w:val="Figure Summary Title"/>
    <w:basedOn w:val="FigureTitle"/>
    <w:next w:val="Paragraph"/>
    <w:uiPriority w:val="99"/>
    <w:semiHidden/>
    <w:rsid w:val="003B7CFF"/>
  </w:style>
  <w:style w:type="character" w:styleId="FollowedHyperlink">
    <w:name w:val="FollowedHyperlink"/>
    <w:uiPriority w:val="99"/>
    <w:semiHidden/>
    <w:rsid w:val="003B7CFF"/>
    <w:rPr>
      <w:color w:val="800080"/>
      <w:u w:val="single"/>
    </w:rPr>
  </w:style>
  <w:style w:type="paragraph" w:styleId="Header">
    <w:name w:val="header"/>
    <w:link w:val="HeaderChar"/>
    <w:uiPriority w:val="29"/>
    <w:rsid w:val="003B7CFF"/>
    <w:pPr>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29"/>
    <w:rsid w:val="003B7CFF"/>
    <w:rPr>
      <w:rFonts w:ascii="Times New Roman" w:eastAsia="Times New Roman" w:hAnsi="Times New Roman" w:cs="Times New Roman"/>
      <w:sz w:val="20"/>
      <w:szCs w:val="20"/>
      <w:lang w:val="en-GB"/>
    </w:rPr>
  </w:style>
  <w:style w:type="paragraph" w:customStyle="1" w:styleId="Heading1NoTOC">
    <w:name w:val="Heading 1 No TOC"/>
    <w:basedOn w:val="Heading1"/>
    <w:next w:val="Paragraph"/>
    <w:uiPriority w:val="6"/>
    <w:qFormat/>
    <w:rsid w:val="003B7CFF"/>
    <w:pPr>
      <w:numPr>
        <w:numId w:val="0"/>
      </w:numPr>
      <w:outlineLvl w:val="9"/>
    </w:pPr>
    <w:rPr>
      <w:rFonts w:ascii="Times New Roman Bold" w:hAnsi="Times New Roman Bold"/>
      <w:bCs w:val="0"/>
      <w:szCs w:val="48"/>
    </w:rPr>
  </w:style>
  <w:style w:type="paragraph" w:customStyle="1" w:styleId="Heading1Unnumbered">
    <w:name w:val="Heading 1 Unnumbered"/>
    <w:basedOn w:val="Heading1"/>
    <w:next w:val="Paragraph"/>
    <w:uiPriority w:val="5"/>
    <w:qFormat/>
    <w:rsid w:val="00ED27EC"/>
    <w:pPr>
      <w:numPr>
        <w:numId w:val="0"/>
      </w:numPr>
      <w:tabs>
        <w:tab w:val="left" w:pos="0"/>
        <w:tab w:val="left" w:pos="1134"/>
      </w:tabs>
      <w:jc w:val="center"/>
      <w:outlineLvl w:val="4"/>
    </w:pPr>
    <w:rPr>
      <w:szCs w:val="48"/>
    </w:rPr>
  </w:style>
  <w:style w:type="paragraph" w:customStyle="1" w:styleId="Heading2NoTOC">
    <w:name w:val="Heading 2 No TOC"/>
    <w:basedOn w:val="Heading2"/>
    <w:next w:val="Paragraph"/>
    <w:uiPriority w:val="6"/>
    <w:qFormat/>
    <w:rsid w:val="003B7CFF"/>
    <w:pPr>
      <w:numPr>
        <w:ilvl w:val="0"/>
        <w:numId w:val="0"/>
      </w:numPr>
      <w:outlineLvl w:val="9"/>
    </w:pPr>
  </w:style>
  <w:style w:type="paragraph" w:customStyle="1" w:styleId="Heading2Unnumbered">
    <w:name w:val="Heading 2 Unnumbered"/>
    <w:basedOn w:val="Heading2"/>
    <w:next w:val="Paragraph"/>
    <w:uiPriority w:val="5"/>
    <w:qFormat/>
    <w:rsid w:val="003B7CFF"/>
    <w:pPr>
      <w:numPr>
        <w:ilvl w:val="0"/>
        <w:numId w:val="0"/>
      </w:numPr>
      <w:tabs>
        <w:tab w:val="left" w:pos="1134"/>
      </w:tabs>
      <w:outlineLvl w:val="5"/>
    </w:pPr>
  </w:style>
  <w:style w:type="paragraph" w:customStyle="1" w:styleId="Heading3NoTOC">
    <w:name w:val="Heading 3 No TOC"/>
    <w:basedOn w:val="Heading3"/>
    <w:next w:val="Paragraph"/>
    <w:uiPriority w:val="6"/>
    <w:qFormat/>
    <w:rsid w:val="003B7CFF"/>
    <w:pPr>
      <w:numPr>
        <w:ilvl w:val="0"/>
        <w:numId w:val="0"/>
      </w:numPr>
      <w:outlineLvl w:val="9"/>
    </w:pPr>
    <w:rPr>
      <w:sz w:val="24"/>
      <w:u w:val="single"/>
    </w:rPr>
  </w:style>
  <w:style w:type="paragraph" w:customStyle="1" w:styleId="Heading3Unnumbered">
    <w:name w:val="Heading 3 Unnumbered"/>
    <w:basedOn w:val="Heading3"/>
    <w:next w:val="Paragraph"/>
    <w:uiPriority w:val="5"/>
    <w:qFormat/>
    <w:rsid w:val="00EC60F8"/>
    <w:pPr>
      <w:numPr>
        <w:ilvl w:val="0"/>
        <w:numId w:val="0"/>
      </w:numPr>
      <w:tabs>
        <w:tab w:val="left" w:pos="1134"/>
      </w:tabs>
      <w:outlineLvl w:val="5"/>
    </w:pPr>
    <w:rPr>
      <w:sz w:val="24"/>
    </w:rPr>
  </w:style>
  <w:style w:type="paragraph" w:customStyle="1" w:styleId="Heading4NoTOC">
    <w:name w:val="Heading 4 No TOC"/>
    <w:basedOn w:val="Heading4"/>
    <w:next w:val="Paragraph"/>
    <w:uiPriority w:val="6"/>
    <w:qFormat/>
    <w:rsid w:val="003B7CFF"/>
    <w:pPr>
      <w:numPr>
        <w:ilvl w:val="0"/>
        <w:numId w:val="0"/>
      </w:numPr>
      <w:outlineLvl w:val="9"/>
    </w:pPr>
    <w:rPr>
      <w:b w:val="0"/>
      <w:u w:val="single"/>
    </w:rPr>
  </w:style>
  <w:style w:type="paragraph" w:customStyle="1" w:styleId="Heading4Unnumbered">
    <w:name w:val="Heading 4 Unnumbered"/>
    <w:basedOn w:val="Heading4"/>
    <w:next w:val="Paragraph"/>
    <w:uiPriority w:val="5"/>
    <w:qFormat/>
    <w:rsid w:val="003B7CFF"/>
    <w:pPr>
      <w:numPr>
        <w:ilvl w:val="0"/>
        <w:numId w:val="0"/>
      </w:numPr>
      <w:tabs>
        <w:tab w:val="left" w:pos="1134"/>
      </w:tabs>
      <w:outlineLvl w:val="6"/>
    </w:pPr>
    <w:rPr>
      <w:i/>
    </w:rPr>
  </w:style>
  <w:style w:type="paragraph" w:styleId="Bibliography">
    <w:name w:val="Bibliography"/>
    <w:basedOn w:val="Normal"/>
    <w:next w:val="Normal"/>
    <w:uiPriority w:val="37"/>
    <w:semiHidden/>
    <w:unhideWhenUsed/>
    <w:rsid w:val="003B7CFF"/>
  </w:style>
  <w:style w:type="paragraph" w:styleId="BlockText">
    <w:name w:val="Block Text"/>
    <w:basedOn w:val="Normal"/>
    <w:uiPriority w:val="99"/>
    <w:semiHidden/>
    <w:unhideWhenUsed/>
    <w:rsid w:val="003B7CF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Caption">
    <w:name w:val="caption"/>
    <w:basedOn w:val="TableTitle"/>
    <w:next w:val="Normal"/>
    <w:uiPriority w:val="49"/>
    <w:unhideWhenUsed/>
    <w:qFormat/>
    <w:rsid w:val="003B7CFF"/>
    <w:pPr>
      <w:spacing w:after="0"/>
    </w:pPr>
    <w:rPr>
      <w:rFonts w:ascii="Times New Roman Bold" w:hAnsi="Times New Roman Bold"/>
      <w:iCs/>
      <w:color w:val="auto"/>
      <w:szCs w:val="18"/>
    </w:rPr>
  </w:style>
  <w:style w:type="character" w:styleId="HTMLAcronym">
    <w:name w:val="HTML Acronym"/>
    <w:basedOn w:val="DefaultParagraphFont"/>
    <w:uiPriority w:val="99"/>
    <w:semiHidden/>
    <w:rsid w:val="003B7CFF"/>
  </w:style>
  <w:style w:type="paragraph" w:styleId="HTMLAddress">
    <w:name w:val="HTML Address"/>
    <w:basedOn w:val="Normal"/>
    <w:link w:val="HTMLAddressChar"/>
    <w:uiPriority w:val="99"/>
    <w:semiHidden/>
    <w:rsid w:val="003B7CFF"/>
    <w:rPr>
      <w:i/>
      <w:iCs/>
    </w:rPr>
  </w:style>
  <w:style w:type="character" w:customStyle="1" w:styleId="HTMLAddressChar">
    <w:name w:val="HTML Address Char"/>
    <w:basedOn w:val="DefaultParagraphFont"/>
    <w:link w:val="HTMLAddress"/>
    <w:uiPriority w:val="99"/>
    <w:semiHidden/>
    <w:rsid w:val="003B7CFF"/>
    <w:rPr>
      <w:rFonts w:ascii="Times New Roman" w:eastAsia="Times New Roman" w:hAnsi="Times New Roman" w:cs="Times New Roman"/>
      <w:i/>
      <w:iCs/>
      <w:sz w:val="24"/>
      <w:szCs w:val="24"/>
      <w:lang w:val="en-GB"/>
    </w:rPr>
  </w:style>
  <w:style w:type="character" w:styleId="HTMLCite">
    <w:name w:val="HTML Cite"/>
    <w:uiPriority w:val="99"/>
    <w:semiHidden/>
    <w:rsid w:val="003B7CFF"/>
    <w:rPr>
      <w:i/>
      <w:iCs/>
    </w:rPr>
  </w:style>
  <w:style w:type="character" w:styleId="HTMLCode">
    <w:name w:val="HTML Code"/>
    <w:uiPriority w:val="99"/>
    <w:semiHidden/>
    <w:rsid w:val="003B7CFF"/>
    <w:rPr>
      <w:rFonts w:ascii="Courier New" w:hAnsi="Courier New" w:cs="Courier New"/>
      <w:sz w:val="20"/>
      <w:szCs w:val="20"/>
    </w:rPr>
  </w:style>
  <w:style w:type="character" w:styleId="HTMLDefinition">
    <w:name w:val="HTML Definition"/>
    <w:uiPriority w:val="99"/>
    <w:semiHidden/>
    <w:rsid w:val="003B7CFF"/>
    <w:rPr>
      <w:i/>
      <w:iCs/>
    </w:rPr>
  </w:style>
  <w:style w:type="character" w:styleId="HTMLKeyboard">
    <w:name w:val="HTML Keyboard"/>
    <w:uiPriority w:val="99"/>
    <w:semiHidden/>
    <w:rsid w:val="003B7CFF"/>
    <w:rPr>
      <w:rFonts w:ascii="Courier New" w:hAnsi="Courier New" w:cs="Courier New"/>
      <w:sz w:val="20"/>
      <w:szCs w:val="20"/>
    </w:rPr>
  </w:style>
  <w:style w:type="paragraph" w:styleId="HTMLPreformatted">
    <w:name w:val="HTML Preformatted"/>
    <w:basedOn w:val="Normal"/>
    <w:link w:val="HTMLPreformattedChar"/>
    <w:uiPriority w:val="99"/>
    <w:semiHidden/>
    <w:rsid w:val="003B7CF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B7CFF"/>
    <w:rPr>
      <w:rFonts w:ascii="Courier New" w:eastAsia="Times New Roman" w:hAnsi="Courier New" w:cs="Courier New"/>
      <w:sz w:val="20"/>
      <w:szCs w:val="20"/>
      <w:lang w:val="en-GB"/>
    </w:rPr>
  </w:style>
  <w:style w:type="character" w:styleId="HTMLSample">
    <w:name w:val="HTML Sample"/>
    <w:uiPriority w:val="99"/>
    <w:semiHidden/>
    <w:rsid w:val="003B7CFF"/>
    <w:rPr>
      <w:rFonts w:ascii="Courier New" w:hAnsi="Courier New" w:cs="Courier New"/>
    </w:rPr>
  </w:style>
  <w:style w:type="character" w:styleId="HTMLTypewriter">
    <w:name w:val="HTML Typewriter"/>
    <w:uiPriority w:val="99"/>
    <w:semiHidden/>
    <w:rsid w:val="003B7CFF"/>
    <w:rPr>
      <w:rFonts w:ascii="Courier New" w:hAnsi="Courier New" w:cs="Courier New"/>
      <w:sz w:val="20"/>
      <w:szCs w:val="20"/>
    </w:rPr>
  </w:style>
  <w:style w:type="character" w:styleId="HTMLVariable">
    <w:name w:val="HTML Variable"/>
    <w:uiPriority w:val="99"/>
    <w:semiHidden/>
    <w:rsid w:val="003B7CFF"/>
    <w:rPr>
      <w:i/>
      <w:iCs/>
    </w:rPr>
  </w:style>
  <w:style w:type="paragraph" w:styleId="Index1">
    <w:name w:val="index 1"/>
    <w:basedOn w:val="Normal"/>
    <w:next w:val="Normal"/>
    <w:uiPriority w:val="99"/>
    <w:semiHidden/>
    <w:rsid w:val="003B7CFF"/>
    <w:pPr>
      <w:ind w:left="240" w:hanging="240"/>
    </w:pPr>
  </w:style>
  <w:style w:type="paragraph" w:styleId="Index2">
    <w:name w:val="index 2"/>
    <w:basedOn w:val="Normal"/>
    <w:next w:val="Normal"/>
    <w:uiPriority w:val="99"/>
    <w:semiHidden/>
    <w:rsid w:val="003B7CFF"/>
    <w:pPr>
      <w:ind w:left="480" w:hanging="240"/>
    </w:pPr>
  </w:style>
  <w:style w:type="paragraph" w:styleId="Index3">
    <w:name w:val="index 3"/>
    <w:basedOn w:val="Normal"/>
    <w:next w:val="Normal"/>
    <w:uiPriority w:val="99"/>
    <w:semiHidden/>
    <w:rsid w:val="003B7CFF"/>
    <w:pPr>
      <w:ind w:left="720" w:hanging="240"/>
    </w:pPr>
  </w:style>
  <w:style w:type="paragraph" w:styleId="Index4">
    <w:name w:val="index 4"/>
    <w:basedOn w:val="Normal"/>
    <w:next w:val="Normal"/>
    <w:uiPriority w:val="99"/>
    <w:semiHidden/>
    <w:rsid w:val="003B7CFF"/>
    <w:pPr>
      <w:ind w:left="960" w:hanging="240"/>
    </w:pPr>
  </w:style>
  <w:style w:type="paragraph" w:styleId="Index5">
    <w:name w:val="index 5"/>
    <w:basedOn w:val="Normal"/>
    <w:next w:val="Normal"/>
    <w:uiPriority w:val="99"/>
    <w:semiHidden/>
    <w:rsid w:val="003B7CFF"/>
    <w:pPr>
      <w:ind w:left="1200" w:hanging="240"/>
    </w:pPr>
  </w:style>
  <w:style w:type="paragraph" w:styleId="Index6">
    <w:name w:val="index 6"/>
    <w:basedOn w:val="Normal"/>
    <w:next w:val="Normal"/>
    <w:uiPriority w:val="99"/>
    <w:semiHidden/>
    <w:rsid w:val="003B7CFF"/>
    <w:pPr>
      <w:ind w:left="1440" w:hanging="240"/>
    </w:pPr>
  </w:style>
  <w:style w:type="paragraph" w:styleId="Index7">
    <w:name w:val="index 7"/>
    <w:basedOn w:val="Normal"/>
    <w:next w:val="Normal"/>
    <w:uiPriority w:val="99"/>
    <w:semiHidden/>
    <w:rsid w:val="003B7CFF"/>
    <w:pPr>
      <w:ind w:left="1680" w:hanging="240"/>
    </w:pPr>
  </w:style>
  <w:style w:type="paragraph" w:styleId="Index8">
    <w:name w:val="index 8"/>
    <w:basedOn w:val="Normal"/>
    <w:next w:val="Normal"/>
    <w:uiPriority w:val="99"/>
    <w:semiHidden/>
    <w:rsid w:val="003B7CFF"/>
    <w:pPr>
      <w:ind w:left="1920" w:hanging="240"/>
    </w:pPr>
  </w:style>
  <w:style w:type="paragraph" w:styleId="Index9">
    <w:name w:val="index 9"/>
    <w:basedOn w:val="Normal"/>
    <w:next w:val="Normal"/>
    <w:uiPriority w:val="99"/>
    <w:semiHidden/>
    <w:rsid w:val="003B7CFF"/>
    <w:pPr>
      <w:ind w:left="2160" w:hanging="240"/>
    </w:pPr>
  </w:style>
  <w:style w:type="paragraph" w:styleId="IndexHeading">
    <w:name w:val="index heading"/>
    <w:basedOn w:val="Normal"/>
    <w:next w:val="Index1"/>
    <w:uiPriority w:val="99"/>
    <w:semiHidden/>
    <w:rsid w:val="003B7CFF"/>
    <w:rPr>
      <w:rFonts w:ascii="Arial" w:hAnsi="Arial" w:cs="Arial"/>
      <w:b/>
      <w:bCs/>
    </w:rPr>
  </w:style>
  <w:style w:type="character" w:customStyle="1" w:styleId="Instructions">
    <w:name w:val="Instructions"/>
    <w:uiPriority w:val="22"/>
    <w:qFormat/>
    <w:rsid w:val="003B7CFF"/>
    <w:rPr>
      <w:i/>
      <w:vanish/>
      <w:color w:val="008080"/>
    </w:rPr>
  </w:style>
  <w:style w:type="character" w:styleId="LineNumber">
    <w:name w:val="line number"/>
    <w:basedOn w:val="DefaultParagraphFont"/>
    <w:uiPriority w:val="99"/>
    <w:semiHidden/>
    <w:rsid w:val="003B7CFF"/>
  </w:style>
  <w:style w:type="paragraph" w:styleId="List">
    <w:name w:val="List"/>
    <w:basedOn w:val="Normal"/>
    <w:uiPriority w:val="99"/>
    <w:semiHidden/>
    <w:rsid w:val="003B7CFF"/>
    <w:pPr>
      <w:ind w:left="360" w:hanging="360"/>
    </w:pPr>
  </w:style>
  <w:style w:type="paragraph" w:styleId="List2">
    <w:name w:val="List 2"/>
    <w:basedOn w:val="Normal"/>
    <w:uiPriority w:val="99"/>
    <w:semiHidden/>
    <w:rsid w:val="003B7CFF"/>
    <w:pPr>
      <w:ind w:left="720" w:hanging="360"/>
    </w:pPr>
  </w:style>
  <w:style w:type="paragraph" w:styleId="List3">
    <w:name w:val="List 3"/>
    <w:basedOn w:val="Normal"/>
    <w:uiPriority w:val="99"/>
    <w:semiHidden/>
    <w:rsid w:val="003B7CFF"/>
    <w:pPr>
      <w:ind w:left="1080" w:hanging="360"/>
    </w:pPr>
  </w:style>
  <w:style w:type="paragraph" w:styleId="List4">
    <w:name w:val="List 4"/>
    <w:basedOn w:val="Normal"/>
    <w:uiPriority w:val="99"/>
    <w:semiHidden/>
    <w:rsid w:val="003B7CFF"/>
    <w:pPr>
      <w:ind w:left="1440" w:hanging="360"/>
    </w:pPr>
  </w:style>
  <w:style w:type="paragraph" w:styleId="List5">
    <w:name w:val="List 5"/>
    <w:basedOn w:val="Normal"/>
    <w:uiPriority w:val="99"/>
    <w:semiHidden/>
    <w:rsid w:val="003B7CFF"/>
    <w:pPr>
      <w:ind w:left="1800" w:hanging="360"/>
    </w:pPr>
  </w:style>
  <w:style w:type="paragraph" w:styleId="ListBullet2">
    <w:name w:val="List Bullet 2"/>
    <w:basedOn w:val="Normal"/>
    <w:uiPriority w:val="9"/>
    <w:qFormat/>
    <w:rsid w:val="003B7CFF"/>
    <w:pPr>
      <w:numPr>
        <w:ilvl w:val="1"/>
        <w:numId w:val="6"/>
      </w:numPr>
      <w:spacing w:before="60" w:after="60"/>
    </w:pPr>
  </w:style>
  <w:style w:type="paragraph" w:styleId="ListBullet3">
    <w:name w:val="List Bullet 3"/>
    <w:basedOn w:val="Normal"/>
    <w:uiPriority w:val="9"/>
    <w:qFormat/>
    <w:rsid w:val="003B7CFF"/>
    <w:pPr>
      <w:numPr>
        <w:ilvl w:val="2"/>
        <w:numId w:val="6"/>
      </w:numPr>
      <w:spacing w:before="60" w:after="60"/>
    </w:pPr>
  </w:style>
  <w:style w:type="paragraph" w:styleId="ListBullet4">
    <w:name w:val="List Bullet 4"/>
    <w:basedOn w:val="Normal"/>
    <w:uiPriority w:val="99"/>
    <w:semiHidden/>
    <w:rsid w:val="003B7CFF"/>
    <w:pPr>
      <w:numPr>
        <w:ilvl w:val="3"/>
        <w:numId w:val="6"/>
      </w:numPr>
      <w:spacing w:before="60" w:after="60"/>
    </w:pPr>
  </w:style>
  <w:style w:type="paragraph" w:styleId="ListBullet5">
    <w:name w:val="List Bullet 5"/>
    <w:basedOn w:val="Normal"/>
    <w:uiPriority w:val="99"/>
    <w:semiHidden/>
    <w:rsid w:val="003B7CFF"/>
    <w:pPr>
      <w:tabs>
        <w:tab w:val="num" w:pos="1800"/>
      </w:tabs>
      <w:spacing w:after="60"/>
      <w:ind w:left="1797" w:hanging="357"/>
    </w:pPr>
  </w:style>
  <w:style w:type="paragraph" w:customStyle="1" w:styleId="ListBulletSmall">
    <w:name w:val="List Bullet Small"/>
    <w:basedOn w:val="ListBullet"/>
    <w:uiPriority w:val="9"/>
    <w:qFormat/>
    <w:rsid w:val="003B7CFF"/>
    <w:pPr>
      <w:numPr>
        <w:numId w:val="7"/>
      </w:numPr>
      <w:spacing w:before="40" w:after="40"/>
    </w:pPr>
    <w:rPr>
      <w:sz w:val="20"/>
      <w:szCs w:val="48"/>
    </w:rPr>
  </w:style>
  <w:style w:type="paragraph" w:customStyle="1" w:styleId="ListBulletSmall2">
    <w:name w:val="List Bullet Small 2"/>
    <w:basedOn w:val="ListBullet2"/>
    <w:uiPriority w:val="9"/>
    <w:qFormat/>
    <w:rsid w:val="003B7CFF"/>
    <w:pPr>
      <w:numPr>
        <w:numId w:val="7"/>
      </w:numPr>
      <w:spacing w:before="40" w:after="40"/>
    </w:pPr>
    <w:rPr>
      <w:sz w:val="20"/>
      <w:szCs w:val="48"/>
    </w:rPr>
  </w:style>
  <w:style w:type="paragraph" w:styleId="ListContinue">
    <w:name w:val="List Continue"/>
    <w:basedOn w:val="Normal"/>
    <w:uiPriority w:val="99"/>
    <w:semiHidden/>
    <w:rsid w:val="003B7CFF"/>
    <w:pPr>
      <w:spacing w:after="120"/>
      <w:ind w:left="360"/>
    </w:pPr>
  </w:style>
  <w:style w:type="paragraph" w:styleId="ListContinue2">
    <w:name w:val="List Continue 2"/>
    <w:basedOn w:val="Normal"/>
    <w:uiPriority w:val="99"/>
    <w:semiHidden/>
    <w:rsid w:val="003B7CFF"/>
    <w:pPr>
      <w:spacing w:after="120"/>
      <w:ind w:left="720"/>
    </w:pPr>
  </w:style>
  <w:style w:type="paragraph" w:styleId="ListContinue3">
    <w:name w:val="List Continue 3"/>
    <w:basedOn w:val="Normal"/>
    <w:uiPriority w:val="99"/>
    <w:semiHidden/>
    <w:rsid w:val="003B7CFF"/>
    <w:pPr>
      <w:spacing w:after="120"/>
      <w:ind w:left="1080"/>
    </w:pPr>
  </w:style>
  <w:style w:type="paragraph" w:styleId="ListContinue4">
    <w:name w:val="List Continue 4"/>
    <w:basedOn w:val="Normal"/>
    <w:uiPriority w:val="99"/>
    <w:semiHidden/>
    <w:rsid w:val="003B7CFF"/>
    <w:pPr>
      <w:spacing w:after="120"/>
      <w:ind w:left="1440"/>
    </w:pPr>
  </w:style>
  <w:style w:type="paragraph" w:styleId="ListContinue5">
    <w:name w:val="List Continue 5"/>
    <w:basedOn w:val="Normal"/>
    <w:uiPriority w:val="99"/>
    <w:semiHidden/>
    <w:rsid w:val="003B7CFF"/>
    <w:pPr>
      <w:spacing w:after="120"/>
      <w:ind w:left="1800"/>
    </w:pPr>
  </w:style>
  <w:style w:type="paragraph" w:customStyle="1" w:styleId="ListEnd">
    <w:name w:val="List End"/>
    <w:next w:val="Paragraph"/>
    <w:uiPriority w:val="10"/>
    <w:qFormat/>
    <w:rsid w:val="003B7CFF"/>
    <w:pPr>
      <w:spacing w:after="0" w:line="240" w:lineRule="auto"/>
    </w:pPr>
    <w:rPr>
      <w:rFonts w:ascii="Times New Roman" w:eastAsia="Times New Roman" w:hAnsi="Times New Roman" w:cs="Times New Roman"/>
      <w:sz w:val="24"/>
      <w:szCs w:val="20"/>
      <w:lang w:val="en-GB"/>
    </w:rPr>
  </w:style>
  <w:style w:type="paragraph" w:customStyle="1" w:styleId="ListHyphen">
    <w:name w:val="List Hyphen"/>
    <w:uiPriority w:val="99"/>
    <w:semiHidden/>
    <w:rsid w:val="003B7CFF"/>
    <w:pPr>
      <w:numPr>
        <w:numId w:val="4"/>
      </w:numPr>
      <w:spacing w:after="0" w:line="240" w:lineRule="auto"/>
    </w:pPr>
    <w:rPr>
      <w:rFonts w:ascii="Times New Roman" w:eastAsia="Times New Roman" w:hAnsi="Times New Roman" w:cs="Times New Roman"/>
      <w:sz w:val="24"/>
      <w:szCs w:val="20"/>
      <w:lang w:val="en-US"/>
    </w:rPr>
  </w:style>
  <w:style w:type="paragraph" w:styleId="ListNumber">
    <w:name w:val="List Number"/>
    <w:basedOn w:val="Normal"/>
    <w:uiPriority w:val="9"/>
    <w:qFormat/>
    <w:rsid w:val="003B7CFF"/>
    <w:pPr>
      <w:numPr>
        <w:numId w:val="11"/>
      </w:numPr>
      <w:spacing w:before="60" w:after="60"/>
    </w:pPr>
  </w:style>
  <w:style w:type="paragraph" w:styleId="ListNumber2">
    <w:name w:val="List Number 2"/>
    <w:basedOn w:val="ListNumber"/>
    <w:uiPriority w:val="9"/>
    <w:qFormat/>
    <w:rsid w:val="003B7CFF"/>
    <w:pPr>
      <w:numPr>
        <w:ilvl w:val="1"/>
      </w:numPr>
    </w:pPr>
  </w:style>
  <w:style w:type="paragraph" w:styleId="ListNumber3">
    <w:name w:val="List Number 3"/>
    <w:basedOn w:val="ListNumber"/>
    <w:uiPriority w:val="9"/>
    <w:qFormat/>
    <w:rsid w:val="003B7CFF"/>
    <w:pPr>
      <w:numPr>
        <w:ilvl w:val="2"/>
      </w:numPr>
    </w:pPr>
  </w:style>
  <w:style w:type="paragraph" w:styleId="ListNumber4">
    <w:name w:val="List Number 4"/>
    <w:basedOn w:val="Normal"/>
    <w:uiPriority w:val="99"/>
    <w:semiHidden/>
    <w:rsid w:val="003B7CFF"/>
    <w:pPr>
      <w:tabs>
        <w:tab w:val="num" w:pos="1440"/>
      </w:tabs>
      <w:spacing w:after="60"/>
      <w:ind w:left="1434" w:hanging="357"/>
    </w:pPr>
  </w:style>
  <w:style w:type="paragraph" w:styleId="ListNumber5">
    <w:name w:val="List Number 5"/>
    <w:basedOn w:val="Normal"/>
    <w:uiPriority w:val="99"/>
    <w:semiHidden/>
    <w:rsid w:val="003B7CFF"/>
    <w:pPr>
      <w:tabs>
        <w:tab w:val="num" w:pos="1800"/>
      </w:tabs>
      <w:spacing w:after="60"/>
      <w:ind w:left="1797" w:hanging="357"/>
    </w:pPr>
  </w:style>
  <w:style w:type="paragraph" w:styleId="MacroText">
    <w:name w:val="macro"/>
    <w:link w:val="MacroTextChar"/>
    <w:uiPriority w:val="99"/>
    <w:semiHidden/>
    <w:rsid w:val="003B7C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uiPriority w:val="99"/>
    <w:semiHidden/>
    <w:rsid w:val="003B7CFF"/>
    <w:rPr>
      <w:rFonts w:ascii="Courier New" w:eastAsia="Times New Roman" w:hAnsi="Courier New" w:cs="Courier New"/>
      <w:sz w:val="20"/>
      <w:szCs w:val="20"/>
      <w:lang w:val="en-US"/>
    </w:rPr>
  </w:style>
  <w:style w:type="paragraph" w:styleId="MessageHeader">
    <w:name w:val="Message Header"/>
    <w:basedOn w:val="Normal"/>
    <w:link w:val="MessageHeaderChar"/>
    <w:uiPriority w:val="99"/>
    <w:semiHidden/>
    <w:rsid w:val="003B7CF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3B7CFF"/>
    <w:rPr>
      <w:rFonts w:ascii="Arial" w:eastAsia="Times New Roman" w:hAnsi="Arial" w:cs="Arial"/>
      <w:sz w:val="24"/>
      <w:szCs w:val="24"/>
      <w:shd w:val="pct20" w:color="auto" w:fill="auto"/>
      <w:lang w:val="en-GB"/>
    </w:rPr>
  </w:style>
  <w:style w:type="paragraph" w:styleId="NormalWeb">
    <w:name w:val="Normal (Web)"/>
    <w:basedOn w:val="Normal"/>
    <w:uiPriority w:val="99"/>
    <w:semiHidden/>
    <w:rsid w:val="003B7CFF"/>
  </w:style>
  <w:style w:type="paragraph" w:styleId="NormalIndent">
    <w:name w:val="Normal Indent"/>
    <w:basedOn w:val="Normal"/>
    <w:uiPriority w:val="99"/>
    <w:semiHidden/>
    <w:rsid w:val="003B7CFF"/>
    <w:pPr>
      <w:ind w:left="720"/>
    </w:pPr>
  </w:style>
  <w:style w:type="paragraph" w:styleId="NoteHeading">
    <w:name w:val="Note Heading"/>
    <w:basedOn w:val="Normal"/>
    <w:next w:val="Normal"/>
    <w:link w:val="NoteHeadingChar"/>
    <w:uiPriority w:val="99"/>
    <w:semiHidden/>
    <w:rsid w:val="003B7CFF"/>
  </w:style>
  <w:style w:type="character" w:customStyle="1" w:styleId="NoteHeadingChar">
    <w:name w:val="Note Heading Char"/>
    <w:basedOn w:val="DefaultParagraphFont"/>
    <w:link w:val="NoteHeading"/>
    <w:uiPriority w:val="99"/>
    <w:semiHidden/>
    <w:rsid w:val="003B7CFF"/>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rsid w:val="003B7CFF"/>
  </w:style>
  <w:style w:type="character" w:styleId="PlaceholderText">
    <w:name w:val="Placeholder Text"/>
    <w:basedOn w:val="DefaultParagraphFont"/>
    <w:uiPriority w:val="99"/>
    <w:semiHidden/>
    <w:rsid w:val="003B7CFF"/>
    <w:rPr>
      <w:color w:val="808080"/>
    </w:rPr>
  </w:style>
  <w:style w:type="paragraph" w:styleId="PlainText">
    <w:name w:val="Plain Text"/>
    <w:basedOn w:val="Normal"/>
    <w:link w:val="PlainTextChar"/>
    <w:uiPriority w:val="49"/>
    <w:semiHidden/>
    <w:rsid w:val="003B7CFF"/>
    <w:rPr>
      <w:rFonts w:ascii="Courier New" w:hAnsi="Courier New" w:cs="Courier New"/>
      <w:sz w:val="20"/>
      <w:szCs w:val="20"/>
    </w:rPr>
  </w:style>
  <w:style w:type="character" w:customStyle="1" w:styleId="PlainTextChar">
    <w:name w:val="Plain Text Char"/>
    <w:basedOn w:val="DefaultParagraphFont"/>
    <w:link w:val="PlainText"/>
    <w:uiPriority w:val="49"/>
    <w:semiHidden/>
    <w:rsid w:val="003B7CFF"/>
    <w:rPr>
      <w:rFonts w:ascii="Courier New" w:eastAsia="Times New Roman" w:hAnsi="Courier New" w:cs="Courier New"/>
      <w:sz w:val="20"/>
      <w:szCs w:val="20"/>
      <w:lang w:val="en-GB"/>
    </w:rPr>
  </w:style>
  <w:style w:type="paragraph" w:customStyle="1" w:styleId="References">
    <w:name w:val="References"/>
    <w:uiPriority w:val="24"/>
    <w:rsid w:val="003B7CFF"/>
    <w:pPr>
      <w:numPr>
        <w:numId w:val="5"/>
      </w:numPr>
      <w:tabs>
        <w:tab w:val="clear" w:pos="360"/>
        <w:tab w:val="left" w:pos="425"/>
      </w:tabs>
      <w:spacing w:after="240" w:line="240" w:lineRule="auto"/>
      <w:ind w:left="425" w:hanging="425"/>
    </w:pPr>
    <w:rPr>
      <w:rFonts w:ascii="Times New Roman" w:eastAsia="Times New Roman" w:hAnsi="Times New Roman" w:cs="Arial"/>
      <w:bCs/>
      <w:kern w:val="32"/>
      <w:sz w:val="24"/>
      <w:szCs w:val="24"/>
      <w:lang w:val="en-GB"/>
    </w:rPr>
  </w:style>
  <w:style w:type="paragraph" w:styleId="Salutation">
    <w:name w:val="Salutation"/>
    <w:basedOn w:val="Normal"/>
    <w:next w:val="Normal"/>
    <w:link w:val="SalutationChar"/>
    <w:uiPriority w:val="49"/>
    <w:semiHidden/>
    <w:rsid w:val="003B7CFF"/>
  </w:style>
  <w:style w:type="character" w:customStyle="1" w:styleId="SalutationChar">
    <w:name w:val="Salutation Char"/>
    <w:basedOn w:val="DefaultParagraphFont"/>
    <w:link w:val="Salutation"/>
    <w:uiPriority w:val="49"/>
    <w:semiHidden/>
    <w:rsid w:val="003B7CFF"/>
    <w:rPr>
      <w:rFonts w:ascii="Times New Roman" w:eastAsia="Times New Roman" w:hAnsi="Times New Roman" w:cs="Times New Roman"/>
      <w:sz w:val="24"/>
      <w:szCs w:val="24"/>
      <w:lang w:val="en-GB"/>
    </w:rPr>
  </w:style>
  <w:style w:type="paragraph" w:customStyle="1" w:styleId="Sequence">
    <w:name w:val="Sequence"/>
    <w:basedOn w:val="Normal"/>
    <w:next w:val="Paragraph"/>
    <w:uiPriority w:val="24"/>
    <w:rsid w:val="003B7CFF"/>
    <w:pPr>
      <w:keepNext/>
      <w:spacing w:after="0" w:line="240" w:lineRule="auto"/>
    </w:pPr>
    <w:rPr>
      <w:rFonts w:ascii="Courier New" w:hAnsi="Courier New"/>
      <w:sz w:val="20"/>
    </w:rPr>
  </w:style>
  <w:style w:type="paragraph" w:styleId="Signature">
    <w:name w:val="Signature"/>
    <w:basedOn w:val="Normal"/>
    <w:link w:val="SignatureChar"/>
    <w:uiPriority w:val="49"/>
    <w:semiHidden/>
    <w:rsid w:val="003B7CFF"/>
    <w:pPr>
      <w:ind w:left="4320"/>
    </w:pPr>
  </w:style>
  <w:style w:type="character" w:customStyle="1" w:styleId="SignatureChar">
    <w:name w:val="Signature Char"/>
    <w:basedOn w:val="DefaultParagraphFont"/>
    <w:link w:val="Signature"/>
    <w:uiPriority w:val="49"/>
    <w:semiHidden/>
    <w:rsid w:val="003B7CFF"/>
    <w:rPr>
      <w:rFonts w:ascii="Times New Roman" w:eastAsia="Times New Roman" w:hAnsi="Times New Roman" w:cs="Times New Roman"/>
      <w:sz w:val="24"/>
      <w:szCs w:val="24"/>
      <w:lang w:val="en-GB"/>
    </w:rPr>
  </w:style>
  <w:style w:type="character" w:styleId="Strong">
    <w:name w:val="Strong"/>
    <w:uiPriority w:val="49"/>
    <w:qFormat/>
    <w:rsid w:val="003B7CFF"/>
    <w:rPr>
      <w:b/>
      <w:bCs/>
    </w:rPr>
  </w:style>
  <w:style w:type="paragraph" w:styleId="Subtitle">
    <w:name w:val="Subtitle"/>
    <w:basedOn w:val="Normal"/>
    <w:next w:val="Normal"/>
    <w:link w:val="SubtitleChar"/>
    <w:uiPriority w:val="99"/>
    <w:rsid w:val="003B7C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B7CFF"/>
    <w:rPr>
      <w:rFonts w:eastAsiaTheme="minorEastAsia"/>
      <w:color w:val="5A5A5A" w:themeColor="text1" w:themeTint="A5"/>
      <w:spacing w:val="15"/>
      <w:lang w:val="en-GB"/>
    </w:rPr>
  </w:style>
  <w:style w:type="table" w:styleId="TableGridLight">
    <w:name w:val="Grid Table Light"/>
    <w:basedOn w:val="TableNormal"/>
    <w:uiPriority w:val="40"/>
    <w:rsid w:val="00EE3A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unhideWhenUsed/>
    <w:rsid w:val="00EE3AC8"/>
    <w:pPr>
      <w:spacing w:before="120"/>
    </w:pPr>
    <w:rPr>
      <w:rFonts w:asciiTheme="majorHAnsi" w:eastAsiaTheme="majorEastAsia" w:hAnsiTheme="majorHAnsi" w:cstheme="majorBidi"/>
      <w:b/>
      <w:bCs/>
    </w:rPr>
  </w:style>
  <w:style w:type="character" w:styleId="UnresolvedMention">
    <w:name w:val="Unresolved Mention"/>
    <w:basedOn w:val="DefaultParagraphFont"/>
    <w:uiPriority w:val="99"/>
    <w:unhideWhenUsed/>
    <w:rsid w:val="00EE3AC8"/>
    <w:rPr>
      <w:color w:val="808080"/>
      <w:shd w:val="clear" w:color="auto" w:fill="E6E6E6"/>
    </w:rPr>
  </w:style>
  <w:style w:type="paragraph" w:customStyle="1" w:styleId="TableCenter">
    <w:name w:val="Table Center"/>
    <w:basedOn w:val="Normal"/>
    <w:uiPriority w:val="12"/>
    <w:qFormat/>
    <w:rsid w:val="00C85970"/>
    <w:pPr>
      <w:spacing w:before="40" w:after="40" w:line="240" w:lineRule="auto"/>
      <w:jc w:val="center"/>
    </w:pPr>
    <w:rPr>
      <w:sz w:val="20"/>
    </w:rPr>
  </w:style>
  <w:style w:type="paragraph" w:customStyle="1" w:styleId="TableEndofTextTitle">
    <w:name w:val="Table End of Text Title"/>
    <w:next w:val="Paragraph"/>
    <w:uiPriority w:val="11"/>
    <w:qFormat/>
    <w:rsid w:val="003B7CFF"/>
    <w:pPr>
      <w:spacing w:after="120" w:line="240" w:lineRule="auto"/>
    </w:pPr>
    <w:rPr>
      <w:rFonts w:ascii="Times New Roman" w:eastAsia="Times New Roman" w:hAnsi="Times New Roman" w:cs="Times New Roman"/>
      <w:b/>
      <w:sz w:val="24"/>
      <w:szCs w:val="24"/>
      <w:lang w:val="en-GB"/>
    </w:rPr>
  </w:style>
  <w:style w:type="paragraph" w:customStyle="1" w:styleId="TableFixedWidth">
    <w:name w:val="Table Fixed Width"/>
    <w:uiPriority w:val="15"/>
    <w:qFormat/>
    <w:rsid w:val="003B7CFF"/>
    <w:pPr>
      <w:spacing w:after="0" w:line="240" w:lineRule="auto"/>
    </w:pPr>
    <w:rPr>
      <w:rFonts w:ascii="Courier New" w:eastAsia="Times New Roman" w:hAnsi="Courier New" w:cs="Times New Roman"/>
      <w:sz w:val="20"/>
      <w:szCs w:val="20"/>
      <w:lang w:val="en-GB"/>
    </w:rPr>
  </w:style>
  <w:style w:type="paragraph" w:styleId="NoSpacing">
    <w:name w:val="No Spacing"/>
    <w:uiPriority w:val="1"/>
    <w:qFormat/>
    <w:rsid w:val="003B7CFF"/>
    <w:pPr>
      <w:spacing w:after="0" w:line="240" w:lineRule="auto"/>
    </w:pPr>
    <w:rPr>
      <w:rFonts w:ascii="Times New Roman" w:eastAsia="Times New Roman" w:hAnsi="Times New Roman" w:cs="Times New Roman"/>
      <w:sz w:val="24"/>
      <w:szCs w:val="24"/>
      <w:lang w:val="en-GB"/>
    </w:rPr>
  </w:style>
  <w:style w:type="paragraph" w:customStyle="1" w:styleId="TableFootnoteInfo">
    <w:name w:val="Table Footnote Info"/>
    <w:basedOn w:val="Normal"/>
    <w:uiPriority w:val="14"/>
    <w:qFormat/>
    <w:rsid w:val="00DF3302"/>
    <w:pPr>
      <w:keepLines/>
      <w:spacing w:before="40" w:after="40" w:line="240" w:lineRule="auto"/>
    </w:pPr>
    <w:rPr>
      <w:sz w:val="18"/>
      <w:szCs w:val="48"/>
    </w:rPr>
  </w:style>
  <w:style w:type="paragraph" w:customStyle="1" w:styleId="TableFootnoteLetter">
    <w:name w:val="Table Footnote Letter"/>
    <w:basedOn w:val="Normal"/>
    <w:uiPriority w:val="13"/>
    <w:rsid w:val="00DF3302"/>
    <w:pPr>
      <w:keepLines/>
      <w:numPr>
        <w:numId w:val="12"/>
      </w:numPr>
      <w:spacing w:before="40" w:after="40" w:line="240" w:lineRule="auto"/>
    </w:pPr>
    <w:rPr>
      <w:sz w:val="18"/>
      <w:szCs w:val="20"/>
    </w:rPr>
  </w:style>
  <w:style w:type="paragraph" w:styleId="IntenseQuote">
    <w:name w:val="Intense Quote"/>
    <w:basedOn w:val="Normal"/>
    <w:next w:val="Normal"/>
    <w:link w:val="IntenseQuoteChar"/>
    <w:uiPriority w:val="30"/>
    <w:qFormat/>
    <w:rsid w:val="003B7C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7CFF"/>
    <w:rPr>
      <w:rFonts w:ascii="Times New Roman" w:eastAsia="Times New Roman" w:hAnsi="Times New Roman" w:cs="Times New Roman"/>
      <w:i/>
      <w:iCs/>
      <w:color w:val="4F81BD" w:themeColor="accent1"/>
      <w:sz w:val="24"/>
      <w:szCs w:val="24"/>
      <w:lang w:val="en-GB"/>
    </w:rPr>
  </w:style>
  <w:style w:type="table" w:styleId="LightList">
    <w:name w:val="Light List"/>
    <w:basedOn w:val="TableNormal"/>
    <w:uiPriority w:val="61"/>
    <w:rsid w:val="003B7CFF"/>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Head">
    <w:name w:val="Table Head"/>
    <w:basedOn w:val="TableText"/>
    <w:uiPriority w:val="11"/>
    <w:qFormat/>
    <w:rsid w:val="003B7CFF"/>
    <w:rPr>
      <w:b/>
      <w:szCs w:val="48"/>
    </w:rPr>
  </w:style>
  <w:style w:type="paragraph" w:customStyle="1" w:styleId="TableLeft">
    <w:name w:val="Table Left"/>
    <w:uiPriority w:val="12"/>
    <w:qFormat/>
    <w:rsid w:val="00C85970"/>
    <w:pPr>
      <w:spacing w:before="40" w:after="40" w:line="240" w:lineRule="auto"/>
    </w:pPr>
    <w:rPr>
      <w:rFonts w:ascii="Times New Roman" w:eastAsia="Times New Roman" w:hAnsi="Times New Roman" w:cs="Arial"/>
      <w:bCs/>
      <w:kern w:val="32"/>
      <w:sz w:val="20"/>
      <w:szCs w:val="24"/>
      <w:lang w:val="en-GB"/>
    </w:rPr>
  </w:style>
  <w:style w:type="paragraph" w:styleId="TableofFigures">
    <w:name w:val="table of figures"/>
    <w:basedOn w:val="Normal"/>
    <w:next w:val="Paragraph"/>
    <w:uiPriority w:val="40"/>
    <w:rsid w:val="003B7CFF"/>
    <w:pPr>
      <w:tabs>
        <w:tab w:val="left" w:pos="1701"/>
        <w:tab w:val="right" w:leader="dot" w:pos="9000"/>
      </w:tabs>
      <w:spacing w:before="60" w:after="0"/>
      <w:ind w:left="1701" w:right="357" w:hanging="1701"/>
    </w:pPr>
  </w:style>
  <w:style w:type="table" w:styleId="TableGrid">
    <w:name w:val="Table Grid"/>
    <w:basedOn w:val="TableNormal"/>
    <w:uiPriority w:val="59"/>
    <w:rsid w:val="003B7CFF"/>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Continued">
    <w:name w:val="Table Title Continued"/>
    <w:basedOn w:val="Normal"/>
    <w:uiPriority w:val="10"/>
    <w:qFormat/>
    <w:rsid w:val="003B7CFF"/>
    <w:pPr>
      <w:spacing w:after="120"/>
    </w:pPr>
    <w:rPr>
      <w:b/>
    </w:rPr>
  </w:style>
  <w:style w:type="paragraph" w:styleId="Title">
    <w:name w:val="Title"/>
    <w:link w:val="TitleChar"/>
    <w:uiPriority w:val="25"/>
    <w:rsid w:val="003B7CFF"/>
    <w:pPr>
      <w:spacing w:before="240" w:after="240" w:line="240" w:lineRule="auto"/>
      <w:jc w:val="center"/>
    </w:pPr>
    <w:rPr>
      <w:rFonts w:ascii="Times New Roman" w:eastAsia="Times New Roman" w:hAnsi="Times New Roman" w:cs="Arial"/>
      <w:b/>
      <w:bCs/>
      <w:kern w:val="28"/>
      <w:sz w:val="32"/>
      <w:szCs w:val="32"/>
      <w:lang w:val="en-GB"/>
    </w:rPr>
  </w:style>
  <w:style w:type="character" w:customStyle="1" w:styleId="TitleChar">
    <w:name w:val="Title Char"/>
    <w:basedOn w:val="DefaultParagraphFont"/>
    <w:link w:val="Title"/>
    <w:uiPriority w:val="25"/>
    <w:rsid w:val="003B7CFF"/>
    <w:rPr>
      <w:rFonts w:ascii="Times New Roman" w:eastAsia="Times New Roman" w:hAnsi="Times New Roman" w:cs="Arial"/>
      <w:b/>
      <w:bCs/>
      <w:kern w:val="28"/>
      <w:sz w:val="32"/>
      <w:szCs w:val="32"/>
      <w:lang w:val="en-GB"/>
    </w:rPr>
  </w:style>
  <w:style w:type="paragraph" w:styleId="TOC1">
    <w:name w:val="toc 1"/>
    <w:next w:val="Paragraph"/>
    <w:uiPriority w:val="39"/>
    <w:rsid w:val="003B7CFF"/>
    <w:pPr>
      <w:tabs>
        <w:tab w:val="left" w:pos="1134"/>
        <w:tab w:val="right" w:leader="dot" w:pos="9000"/>
      </w:tabs>
      <w:spacing w:before="120" w:after="0" w:line="240" w:lineRule="auto"/>
      <w:ind w:left="1134" w:right="357" w:hanging="1134"/>
    </w:pPr>
    <w:rPr>
      <w:rFonts w:ascii="Times New Roman" w:eastAsia="Times New Roman" w:hAnsi="Times New Roman" w:cs="Times New Roman"/>
      <w:caps/>
      <w:sz w:val="24"/>
      <w:szCs w:val="20"/>
      <w:lang w:val="en-GB"/>
    </w:rPr>
  </w:style>
  <w:style w:type="paragraph" w:styleId="TOC2">
    <w:name w:val="toc 2"/>
    <w:basedOn w:val="TOC1"/>
    <w:next w:val="Paragraph"/>
    <w:uiPriority w:val="39"/>
    <w:rsid w:val="003B7CFF"/>
    <w:pPr>
      <w:spacing w:before="60"/>
    </w:pPr>
    <w:rPr>
      <w:caps w:val="0"/>
      <w:szCs w:val="24"/>
    </w:rPr>
  </w:style>
  <w:style w:type="paragraph" w:styleId="TOC3">
    <w:name w:val="toc 3"/>
    <w:basedOn w:val="TOC1"/>
    <w:next w:val="Paragraph"/>
    <w:uiPriority w:val="39"/>
    <w:rsid w:val="003B7CFF"/>
    <w:pPr>
      <w:spacing w:before="0"/>
    </w:pPr>
    <w:rPr>
      <w:caps w:val="0"/>
      <w:szCs w:val="24"/>
    </w:rPr>
  </w:style>
  <w:style w:type="paragraph" w:styleId="TOC4">
    <w:name w:val="toc 4"/>
    <w:basedOn w:val="Normal"/>
    <w:next w:val="Paragraph"/>
    <w:uiPriority w:val="39"/>
    <w:rsid w:val="003B7CFF"/>
    <w:pPr>
      <w:tabs>
        <w:tab w:val="left" w:pos="1134"/>
        <w:tab w:val="right" w:leader="dot" w:pos="9000"/>
      </w:tabs>
      <w:spacing w:after="0" w:line="240" w:lineRule="auto"/>
      <w:ind w:left="1134" w:right="357" w:hanging="1134"/>
    </w:pPr>
  </w:style>
  <w:style w:type="paragraph" w:styleId="TOC5">
    <w:name w:val="toc 5"/>
    <w:basedOn w:val="TOC1"/>
    <w:next w:val="Normal"/>
    <w:uiPriority w:val="39"/>
    <w:rsid w:val="003B7CFF"/>
    <w:pPr>
      <w:tabs>
        <w:tab w:val="clear" w:pos="1134"/>
      </w:tabs>
      <w:ind w:left="0" w:firstLine="0"/>
    </w:pPr>
    <w:rPr>
      <w:noProof/>
    </w:rPr>
  </w:style>
  <w:style w:type="paragraph" w:styleId="TOC6">
    <w:name w:val="toc 6"/>
    <w:basedOn w:val="TOC2"/>
    <w:next w:val="Normal"/>
    <w:uiPriority w:val="39"/>
    <w:rsid w:val="003B7CFF"/>
    <w:pPr>
      <w:tabs>
        <w:tab w:val="clear" w:pos="1134"/>
      </w:tabs>
      <w:ind w:left="0" w:firstLine="0"/>
    </w:pPr>
    <w:rPr>
      <w:noProof/>
    </w:rPr>
  </w:style>
  <w:style w:type="paragraph" w:styleId="TOC7">
    <w:name w:val="toc 7"/>
    <w:basedOn w:val="Normal"/>
    <w:next w:val="Normal"/>
    <w:uiPriority w:val="39"/>
    <w:rsid w:val="003B7CFF"/>
    <w:pPr>
      <w:tabs>
        <w:tab w:val="right" w:leader="dot" w:pos="9000"/>
      </w:tabs>
      <w:spacing w:after="0" w:line="240" w:lineRule="auto"/>
      <w:ind w:right="357"/>
    </w:pPr>
    <w:rPr>
      <w:noProof/>
    </w:rPr>
  </w:style>
  <w:style w:type="paragraph" w:styleId="TOC8">
    <w:name w:val="toc 8"/>
    <w:basedOn w:val="TOC7"/>
    <w:next w:val="Normal"/>
    <w:uiPriority w:val="39"/>
    <w:rsid w:val="003B7CFF"/>
    <w:rPr>
      <w:i/>
    </w:rPr>
  </w:style>
  <w:style w:type="paragraph" w:styleId="TOC9">
    <w:name w:val="toc 9"/>
    <w:basedOn w:val="Normal"/>
    <w:next w:val="Normal"/>
    <w:uiPriority w:val="39"/>
    <w:rsid w:val="003B7CFF"/>
    <w:pPr>
      <w:tabs>
        <w:tab w:val="left" w:pos="1134"/>
        <w:tab w:val="right" w:leader="dot" w:pos="9000"/>
      </w:tabs>
      <w:ind w:left="1134" w:right="360" w:hanging="1134"/>
    </w:pPr>
  </w:style>
  <w:style w:type="paragraph" w:styleId="TOCHeading">
    <w:name w:val="TOC Heading"/>
    <w:basedOn w:val="TOCTitle"/>
    <w:next w:val="Normal"/>
    <w:uiPriority w:val="39"/>
    <w:rsid w:val="003B7CFF"/>
    <w:pPr>
      <w:spacing w:after="0"/>
    </w:pPr>
    <w:rPr>
      <w:rFonts w:asciiTheme="majorHAnsi" w:eastAsiaTheme="majorEastAsia" w:hAnsiTheme="majorHAnsi" w:cstheme="majorBidi"/>
      <w:bCs w:val="0"/>
      <w:caps w:val="0"/>
      <w:kern w:val="0"/>
      <w:szCs w:val="32"/>
    </w:rPr>
  </w:style>
  <w:style w:type="paragraph" w:customStyle="1" w:styleId="TOCSection">
    <w:name w:val="TOC Section"/>
    <w:basedOn w:val="Heading1"/>
    <w:uiPriority w:val="25"/>
    <w:rsid w:val="003B7CFF"/>
    <w:pPr>
      <w:numPr>
        <w:numId w:val="0"/>
      </w:numPr>
      <w:tabs>
        <w:tab w:val="left" w:pos="0"/>
        <w:tab w:val="left" w:pos="480"/>
      </w:tabs>
      <w:spacing w:after="120"/>
      <w:outlineLvl w:val="9"/>
    </w:pPr>
  </w:style>
  <w:style w:type="paragraph" w:customStyle="1" w:styleId="TOCTitle">
    <w:name w:val="TOC Title"/>
    <w:basedOn w:val="Title"/>
    <w:next w:val="TOC1"/>
    <w:uiPriority w:val="25"/>
    <w:rsid w:val="003B7CFF"/>
    <w:pPr>
      <w:pageBreakBefore/>
      <w:jc w:val="left"/>
    </w:pPr>
    <w:rPr>
      <w:caps/>
      <w:sz w:val="28"/>
      <w:szCs w:val="28"/>
    </w:rPr>
  </w:style>
  <w:style w:type="character" w:customStyle="1" w:styleId="UserTips">
    <w:name w:val="User Tips"/>
    <w:uiPriority w:val="22"/>
    <w:rsid w:val="003B7CFF"/>
    <w:rPr>
      <w:i/>
      <w:vanish/>
      <w:color w:val="FF0000"/>
    </w:rPr>
  </w:style>
  <w:style w:type="paragraph" w:customStyle="1" w:styleId="AppendixAlphaSub1">
    <w:name w:val="Appendix Alpha Sub 1"/>
    <w:basedOn w:val="AppendixAlpha"/>
    <w:next w:val="Paragraph"/>
    <w:uiPriority w:val="21"/>
    <w:qFormat/>
    <w:rsid w:val="003B7CFF"/>
    <w:pPr>
      <w:pageBreakBefore w:val="0"/>
      <w:numPr>
        <w:ilvl w:val="1"/>
      </w:numPr>
      <w:spacing w:before="120"/>
    </w:pPr>
  </w:style>
  <w:style w:type="paragraph" w:styleId="Quote">
    <w:name w:val="Quote"/>
    <w:basedOn w:val="Normal"/>
    <w:next w:val="Normal"/>
    <w:link w:val="QuoteChar"/>
    <w:uiPriority w:val="29"/>
    <w:qFormat/>
    <w:rsid w:val="003B7C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7CFF"/>
    <w:rPr>
      <w:rFonts w:ascii="Times New Roman" w:eastAsia="Times New Roman" w:hAnsi="Times New Roman" w:cs="Times New Roman"/>
      <w:i/>
      <w:iCs/>
      <w:color w:val="404040" w:themeColor="text1" w:themeTint="BF"/>
      <w:sz w:val="24"/>
      <w:szCs w:val="24"/>
      <w:lang w:val="en-GB"/>
    </w:rPr>
  </w:style>
  <w:style w:type="paragraph" w:customStyle="1" w:styleId="AppendixAlphaSub2">
    <w:name w:val="Appendix Alpha Sub 2"/>
    <w:basedOn w:val="AppendixAlphaSub1"/>
    <w:next w:val="Paragraph"/>
    <w:uiPriority w:val="21"/>
    <w:unhideWhenUsed/>
    <w:qFormat/>
    <w:rsid w:val="003B7CFF"/>
    <w:pPr>
      <w:numPr>
        <w:ilvl w:val="2"/>
      </w:numPr>
    </w:pPr>
    <w:rPr>
      <w:sz w:val="26"/>
    </w:rPr>
  </w:style>
  <w:style w:type="paragraph" w:customStyle="1" w:styleId="AppendixAlphaSub3">
    <w:name w:val="Appendix Alpha Sub 3"/>
    <w:basedOn w:val="AppendixAlphaSub1"/>
    <w:next w:val="Paragraph"/>
    <w:uiPriority w:val="21"/>
    <w:unhideWhenUsed/>
    <w:qFormat/>
    <w:rsid w:val="003B7CFF"/>
    <w:pPr>
      <w:numPr>
        <w:ilvl w:val="3"/>
      </w:numPr>
    </w:pPr>
    <w:rPr>
      <w:sz w:val="24"/>
    </w:rPr>
  </w:style>
  <w:style w:type="paragraph" w:customStyle="1" w:styleId="AppendixAlphaSub4">
    <w:name w:val="Appendix Alpha Sub 4"/>
    <w:basedOn w:val="AppendixAlphaSub1"/>
    <w:next w:val="Paragraph"/>
    <w:uiPriority w:val="21"/>
    <w:unhideWhenUsed/>
    <w:qFormat/>
    <w:rsid w:val="003B7CFF"/>
    <w:pPr>
      <w:numPr>
        <w:ilvl w:val="4"/>
      </w:numPr>
      <w:spacing w:after="60"/>
    </w:pPr>
    <w:rPr>
      <w:i/>
      <w:sz w:val="24"/>
    </w:rPr>
  </w:style>
  <w:style w:type="paragraph" w:customStyle="1" w:styleId="ListNumberSmall">
    <w:name w:val="List Number Small"/>
    <w:basedOn w:val="ListBulletSmall"/>
    <w:uiPriority w:val="9"/>
    <w:qFormat/>
    <w:rsid w:val="003B7CFF"/>
    <w:pPr>
      <w:numPr>
        <w:numId w:val="13"/>
      </w:numPr>
      <w:tabs>
        <w:tab w:val="left" w:pos="425"/>
      </w:tabs>
    </w:pPr>
  </w:style>
  <w:style w:type="paragraph" w:customStyle="1" w:styleId="TableHidden">
    <w:name w:val="Table Hidden"/>
    <w:basedOn w:val="Paragraph"/>
    <w:uiPriority w:val="23"/>
    <w:qFormat/>
    <w:rsid w:val="003B7CFF"/>
    <w:rPr>
      <w:vanish/>
    </w:rPr>
  </w:style>
  <w:style w:type="paragraph" w:customStyle="1" w:styleId="FigureTitleContinued">
    <w:name w:val="Figure Title Continued"/>
    <w:basedOn w:val="FigureTitle"/>
    <w:uiPriority w:val="17"/>
    <w:qFormat/>
    <w:rsid w:val="003B7CFF"/>
    <w:rPr>
      <w:lang w:val="sv-SE"/>
    </w:rPr>
  </w:style>
  <w:style w:type="paragraph" w:customStyle="1" w:styleId="Z-LineL1">
    <w:name w:val="Z-Line L 1"/>
    <w:basedOn w:val="Normal"/>
    <w:uiPriority w:val="42"/>
    <w:rsid w:val="003B7CFF"/>
    <w:pPr>
      <w:spacing w:before="60" w:after="0" w:line="240" w:lineRule="auto"/>
    </w:pPr>
    <w:rPr>
      <w:sz w:val="20"/>
      <w:szCs w:val="20"/>
    </w:rPr>
  </w:style>
  <w:style w:type="paragraph" w:customStyle="1" w:styleId="Z-LineL2">
    <w:name w:val="Z-Line L 2"/>
    <w:basedOn w:val="Normal"/>
    <w:uiPriority w:val="42"/>
    <w:rsid w:val="003B7CFF"/>
    <w:pPr>
      <w:spacing w:before="60" w:after="0" w:line="240" w:lineRule="auto"/>
    </w:pPr>
    <w:rPr>
      <w:sz w:val="20"/>
      <w:szCs w:val="20"/>
    </w:rPr>
  </w:style>
  <w:style w:type="paragraph" w:customStyle="1" w:styleId="Z-LineL3">
    <w:name w:val="Z-Line L 3"/>
    <w:basedOn w:val="Normal"/>
    <w:uiPriority w:val="42"/>
    <w:rsid w:val="003B7CFF"/>
    <w:pPr>
      <w:spacing w:before="60" w:after="0" w:line="240" w:lineRule="auto"/>
    </w:pPr>
    <w:rPr>
      <w:sz w:val="20"/>
      <w:szCs w:val="20"/>
    </w:rPr>
  </w:style>
  <w:style w:type="paragraph" w:customStyle="1" w:styleId="Z-LineL4">
    <w:name w:val="Z-Line L 4"/>
    <w:basedOn w:val="Normal"/>
    <w:uiPriority w:val="42"/>
    <w:rsid w:val="003B7CFF"/>
    <w:pPr>
      <w:spacing w:before="60" w:after="0" w:line="240" w:lineRule="auto"/>
    </w:pPr>
    <w:rPr>
      <w:sz w:val="20"/>
      <w:szCs w:val="20"/>
    </w:rPr>
  </w:style>
  <w:style w:type="paragraph" w:customStyle="1" w:styleId="Z-LineR1">
    <w:name w:val="Z-Line R 1"/>
    <w:basedOn w:val="Normal"/>
    <w:uiPriority w:val="42"/>
    <w:rsid w:val="003B7CFF"/>
    <w:pPr>
      <w:spacing w:before="60" w:after="0" w:line="240" w:lineRule="auto"/>
    </w:pPr>
    <w:rPr>
      <w:sz w:val="20"/>
      <w:szCs w:val="20"/>
    </w:rPr>
  </w:style>
  <w:style w:type="paragraph" w:customStyle="1" w:styleId="Z-LineR2">
    <w:name w:val="Z-Line R 2"/>
    <w:basedOn w:val="Normal"/>
    <w:uiPriority w:val="42"/>
    <w:rsid w:val="003B7CFF"/>
    <w:pPr>
      <w:spacing w:before="60" w:after="0" w:line="240" w:lineRule="auto"/>
    </w:pPr>
    <w:rPr>
      <w:sz w:val="20"/>
      <w:szCs w:val="20"/>
    </w:rPr>
  </w:style>
  <w:style w:type="paragraph" w:customStyle="1" w:styleId="Z-LineR3">
    <w:name w:val="Z-Line R 3"/>
    <w:basedOn w:val="Normal"/>
    <w:uiPriority w:val="42"/>
    <w:rsid w:val="003B7CFF"/>
    <w:pPr>
      <w:spacing w:before="60" w:after="0" w:line="240" w:lineRule="auto"/>
    </w:pPr>
    <w:rPr>
      <w:sz w:val="20"/>
      <w:szCs w:val="20"/>
    </w:rPr>
  </w:style>
  <w:style w:type="paragraph" w:customStyle="1" w:styleId="Z-LineR4">
    <w:name w:val="Z-Line R 4"/>
    <w:basedOn w:val="Normal"/>
    <w:uiPriority w:val="42"/>
    <w:rsid w:val="003B7CFF"/>
    <w:pPr>
      <w:spacing w:after="60" w:line="240" w:lineRule="auto"/>
    </w:pPr>
    <w:rPr>
      <w:sz w:val="20"/>
      <w:szCs w:val="20"/>
    </w:rPr>
  </w:style>
  <w:style w:type="paragraph" w:customStyle="1" w:styleId="Z-DocumentName">
    <w:name w:val="Z-Document Name"/>
    <w:basedOn w:val="Z-LineL1"/>
    <w:uiPriority w:val="42"/>
    <w:qFormat/>
    <w:rsid w:val="003B7CFF"/>
    <w:rPr>
      <w:b/>
    </w:rPr>
  </w:style>
  <w:style w:type="character" w:styleId="BookTitle">
    <w:name w:val="Book Title"/>
    <w:basedOn w:val="DefaultParagraphFont"/>
    <w:uiPriority w:val="33"/>
    <w:qFormat/>
    <w:rsid w:val="00EE3AC8"/>
    <w:rPr>
      <w:b/>
      <w:bCs/>
      <w:i/>
      <w:iCs/>
      <w:spacing w:val="5"/>
    </w:rPr>
  </w:style>
  <w:style w:type="table" w:styleId="ColorfulGrid">
    <w:name w:val="Colorful Grid"/>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E3A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E3AC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E3AC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E3AC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E3AC8"/>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3AC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3AC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E3A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E3AC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E3AC8"/>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E3AC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E3AC8"/>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E3AC8"/>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E3AC8"/>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E3AC8"/>
    <w:rPr>
      <w:color w:val="2B579A"/>
      <w:shd w:val="clear" w:color="auto" w:fill="E6E6E6"/>
    </w:rPr>
  </w:style>
  <w:style w:type="character" w:styleId="IntenseEmphasis">
    <w:name w:val="Intense Emphasis"/>
    <w:basedOn w:val="DefaultParagraphFont"/>
    <w:uiPriority w:val="21"/>
    <w:qFormat/>
    <w:rsid w:val="00EE3AC8"/>
    <w:rPr>
      <w:i/>
      <w:iCs/>
      <w:color w:val="4F81BD" w:themeColor="accent1"/>
    </w:rPr>
  </w:style>
  <w:style w:type="character" w:styleId="IntenseReference">
    <w:name w:val="Intense Reference"/>
    <w:basedOn w:val="DefaultParagraphFont"/>
    <w:uiPriority w:val="32"/>
    <w:qFormat/>
    <w:rsid w:val="00EE3AC8"/>
    <w:rPr>
      <w:b/>
      <w:bCs/>
      <w:smallCaps/>
      <w:color w:val="4F81BD" w:themeColor="accent1"/>
      <w:spacing w:val="5"/>
    </w:rPr>
  </w:style>
  <w:style w:type="table" w:styleId="LightGrid-Accent1">
    <w:name w:val="Light Grid Accent 1"/>
    <w:basedOn w:val="TableNormal"/>
    <w:uiPriority w:val="62"/>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1">
    <w:name w:val="Light List Accent 1"/>
    <w:basedOn w:val="TableNormal"/>
    <w:uiPriority w:val="61"/>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E3A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E3AC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E3AC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E3AC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E3AC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E3AC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E3AC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E3A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E3AC8"/>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E3AC8"/>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E3AC8"/>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E3AC8"/>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E3AC8"/>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E3AC8"/>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E3A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E3AC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E3AC8"/>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E3AC8"/>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E3AC8"/>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E3AC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E3AC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E3A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E3AC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E3AC8"/>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E3AC8"/>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E3AC8"/>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E3AC8"/>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E3AC8"/>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E3A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E3AC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E3AC8"/>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E3AC8"/>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E3AC8"/>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E3AC8"/>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E3AC8"/>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EE3AC8"/>
    <w:rPr>
      <w:color w:val="2B579A"/>
      <w:shd w:val="clear" w:color="auto" w:fill="E6E6E6"/>
    </w:rPr>
  </w:style>
  <w:style w:type="table" w:styleId="PlainTable3">
    <w:name w:val="Plain Table 3"/>
    <w:basedOn w:val="TableNormal"/>
    <w:uiPriority w:val="43"/>
    <w:rsid w:val="00EE3A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E3A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E3A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EE3AC8"/>
    <w:rPr>
      <w:u w:val="dotted"/>
    </w:rPr>
  </w:style>
  <w:style w:type="character" w:styleId="SubtleEmphasis">
    <w:name w:val="Subtle Emphasis"/>
    <w:basedOn w:val="DefaultParagraphFont"/>
    <w:uiPriority w:val="19"/>
    <w:qFormat/>
    <w:rsid w:val="00EE3AC8"/>
    <w:rPr>
      <w:i/>
      <w:iCs/>
      <w:color w:val="404040" w:themeColor="text1" w:themeTint="BF"/>
    </w:rPr>
  </w:style>
  <w:style w:type="character" w:styleId="SubtleReference">
    <w:name w:val="Subtle Reference"/>
    <w:basedOn w:val="DefaultParagraphFont"/>
    <w:uiPriority w:val="31"/>
    <w:qFormat/>
    <w:rsid w:val="00EE3AC8"/>
    <w:rPr>
      <w:smallCaps/>
      <w:color w:val="5A5A5A" w:themeColor="text1" w:themeTint="A5"/>
    </w:rPr>
  </w:style>
  <w:style w:type="paragraph" w:customStyle="1" w:styleId="Paragraph">
    <w:name w:val="Paragraph"/>
    <w:link w:val="ParagraphChar"/>
    <w:qFormat/>
    <w:rsid w:val="00F913F9"/>
    <w:pPr>
      <w:spacing w:after="240" w:line="240" w:lineRule="auto"/>
    </w:pPr>
    <w:rPr>
      <w:rFonts w:ascii="Times New Roman" w:eastAsia="Times New Roman" w:hAnsi="Times New Roman" w:cs="Times New Roman"/>
      <w:sz w:val="24"/>
      <w:szCs w:val="24"/>
      <w:lang w:val="en-GB"/>
    </w:rPr>
  </w:style>
  <w:style w:type="character" w:customStyle="1" w:styleId="ParagraphChar">
    <w:name w:val="Paragraph Char"/>
    <w:basedOn w:val="DefaultParagraphFont"/>
    <w:link w:val="Paragraph"/>
    <w:rsid w:val="00F913F9"/>
    <w:rPr>
      <w:rFonts w:ascii="Times New Roman" w:eastAsia="Times New Roman" w:hAnsi="Times New Roman" w:cs="Times New Roman"/>
      <w:sz w:val="24"/>
      <w:szCs w:val="24"/>
      <w:lang w:val="en-GB"/>
    </w:rPr>
  </w:style>
  <w:style w:type="table" w:styleId="Table3Deffects1">
    <w:name w:val="Table 3D effects 1"/>
    <w:basedOn w:val="TableNormal"/>
    <w:semiHidden/>
    <w:rsid w:val="003B7CFF"/>
    <w:pPr>
      <w:spacing w:after="0" w:line="240" w:lineRule="auto"/>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7CFF"/>
    <w:pPr>
      <w:spacing w:after="0" w:line="240" w:lineRule="auto"/>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7CFF"/>
    <w:pPr>
      <w:spacing w:after="0" w:line="240" w:lineRule="auto"/>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Text">
    <w:name w:val="Table Text"/>
    <w:semiHidden/>
    <w:rsid w:val="003B7CFF"/>
    <w:pPr>
      <w:spacing w:before="40" w:after="40" w:line="240" w:lineRule="auto"/>
      <w:jc w:val="center"/>
    </w:pPr>
    <w:rPr>
      <w:rFonts w:ascii="Times New Roman" w:eastAsia="Times New Roman" w:hAnsi="Times New Roman" w:cs="Times New Roman"/>
      <w:sz w:val="20"/>
      <w:szCs w:val="20"/>
      <w:lang w:val="en-GB"/>
    </w:rPr>
  </w:style>
  <w:style w:type="table" w:styleId="TableGrid1">
    <w:name w:val="Table Grid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B7CFF"/>
    <w:pPr>
      <w:ind w:left="240" w:hanging="240"/>
    </w:pPr>
  </w:style>
  <w:style w:type="table" w:styleId="TableProfessional">
    <w:name w:val="Table Professional"/>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
    <w:name w:val="Table Row Head"/>
    <w:basedOn w:val="TableText"/>
    <w:semiHidden/>
    <w:rsid w:val="003B7CFF"/>
    <w:pPr>
      <w:tabs>
        <w:tab w:val="left" w:pos="360"/>
      </w:tabs>
      <w:jc w:val="left"/>
    </w:pPr>
  </w:style>
  <w:style w:type="table" w:styleId="TableSimple1">
    <w:name w:val="Table Simp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SummaryHead">
    <w:name w:val="Table Summary Head"/>
    <w:basedOn w:val="TableText"/>
    <w:semiHidden/>
    <w:rsid w:val="003B7CFF"/>
  </w:style>
  <w:style w:type="paragraph" w:customStyle="1" w:styleId="TableSummaryTitle">
    <w:name w:val="Table Summary Title"/>
    <w:basedOn w:val="TableTitle"/>
    <w:next w:val="TableHead"/>
    <w:semiHidden/>
    <w:rsid w:val="003B7CFF"/>
    <w:pPr>
      <w:pageBreakBefore/>
    </w:pPr>
  </w:style>
  <w:style w:type="table" w:styleId="TableTheme">
    <w:name w:val="Table Theme"/>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Paragraph">
    <w:name w:val="Table Paragraph"/>
    <w:basedOn w:val="Normal"/>
    <w:uiPriority w:val="1"/>
    <w:qFormat/>
    <w:rsid w:val="00F13B43"/>
    <w:pPr>
      <w:widowControl w:val="0"/>
      <w:autoSpaceDE w:val="0"/>
      <w:autoSpaceDN w:val="0"/>
      <w:spacing w:after="0" w:line="240" w:lineRule="auto"/>
      <w:ind w:left="107"/>
    </w:pPr>
    <w:rPr>
      <w:sz w:val="22"/>
      <w:szCs w:val="22"/>
      <w:lang w:val="en-US"/>
    </w:rPr>
  </w:style>
  <w:style w:type="paragraph" w:styleId="Revision">
    <w:name w:val="Revision"/>
    <w:hidden/>
    <w:uiPriority w:val="99"/>
    <w:semiHidden/>
    <w:rsid w:val="0086492B"/>
    <w:pPr>
      <w:spacing w:after="0"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7B7CE1"/>
  </w:style>
  <w:style w:type="character" w:customStyle="1" w:styleId="eop">
    <w:name w:val="eop"/>
    <w:basedOn w:val="DefaultParagraphFont"/>
    <w:rsid w:val="00E12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84549">
      <w:bodyDiv w:val="1"/>
      <w:marLeft w:val="0"/>
      <w:marRight w:val="0"/>
      <w:marTop w:val="0"/>
      <w:marBottom w:val="0"/>
      <w:divBdr>
        <w:top w:val="none" w:sz="0" w:space="0" w:color="auto"/>
        <w:left w:val="none" w:sz="0" w:space="0" w:color="auto"/>
        <w:bottom w:val="none" w:sz="0" w:space="0" w:color="auto"/>
        <w:right w:val="none" w:sz="0" w:space="0" w:color="auto"/>
      </w:divBdr>
    </w:div>
    <w:div w:id="997919764">
      <w:bodyDiv w:val="1"/>
      <w:marLeft w:val="0"/>
      <w:marRight w:val="0"/>
      <w:marTop w:val="0"/>
      <w:marBottom w:val="0"/>
      <w:divBdr>
        <w:top w:val="none" w:sz="0" w:space="0" w:color="auto"/>
        <w:left w:val="none" w:sz="0" w:space="0" w:color="auto"/>
        <w:bottom w:val="none" w:sz="0" w:space="0" w:color="auto"/>
        <w:right w:val="none" w:sz="0" w:space="0" w:color="auto"/>
      </w:divBdr>
    </w:div>
    <w:div w:id="1483815854">
      <w:bodyDiv w:val="1"/>
      <w:marLeft w:val="0"/>
      <w:marRight w:val="0"/>
      <w:marTop w:val="0"/>
      <w:marBottom w:val="0"/>
      <w:divBdr>
        <w:top w:val="none" w:sz="0" w:space="0" w:color="auto"/>
        <w:left w:val="none" w:sz="0" w:space="0" w:color="auto"/>
        <w:bottom w:val="none" w:sz="0" w:space="0" w:color="auto"/>
        <w:right w:val="none" w:sz="0" w:space="0" w:color="auto"/>
      </w:divBdr>
    </w:div>
    <w:div w:id="152725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tlt172\Desktop\pi-annotated-template-black-triangle%201709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B5A513F9F2304C8EE8A520918F4A3F" ma:contentTypeVersion="6" ma:contentTypeDescription="Create a new document." ma:contentTypeScope="" ma:versionID="8a9f538648411229a549266d0adcf36d">
  <xsd:schema xmlns:xsd="http://www.w3.org/2001/XMLSchema" xmlns:xs="http://www.w3.org/2001/XMLSchema" xmlns:p="http://schemas.microsoft.com/office/2006/metadata/properties" xmlns:ns2="843dea17-4a78-4ebd-ac38-b3fbbbf52d45" xmlns:ns3="2766358e-c5db-4527-af22-35354282ebc6" targetNamespace="http://schemas.microsoft.com/office/2006/metadata/properties" ma:root="true" ma:fieldsID="c3f881ebe35c9e0198c0389727ca9783" ns2:_="" ns3:_="">
    <xsd:import namespace="843dea17-4a78-4ebd-ac38-b3fbbbf52d45"/>
    <xsd:import namespace="2766358e-c5db-4527-af22-35354282eb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ea17-4a78-4ebd-ac38-b3fbbbf52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66358e-c5db-4527-af22-35354282eb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18E7F-07BA-4E8F-969B-237C7F801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ea17-4a78-4ebd-ac38-b3fbbbf52d45"/>
    <ds:schemaRef ds:uri="2766358e-c5db-4527-af22-35354282e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156FC-897D-4ED6-B796-EA0F6C4C46C7}">
  <ds:schemaRefs>
    <ds:schemaRef ds:uri="http://schemas.openxmlformats.org/officeDocument/2006/bibliography"/>
  </ds:schemaRefs>
</ds:datastoreItem>
</file>

<file path=customXml/itemProps3.xml><?xml version="1.0" encoding="utf-8"?>
<ds:datastoreItem xmlns:ds="http://schemas.openxmlformats.org/officeDocument/2006/customXml" ds:itemID="{810DCB4B-292E-49BC-A659-0C23E20DFF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19540C-06AF-4D39-A6B7-6B000B0B03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pi-annotated-template-black-triangle 17092020.dotx</Template>
  <TotalTime>2</TotalTime>
  <Pages>17</Pages>
  <Words>5558</Words>
  <Characters>30852</Characters>
  <Application>Microsoft Office Word</Application>
  <DocSecurity>0</DocSecurity>
  <Lines>560</Lines>
  <Paragraphs>236</Paragraphs>
  <ScaleCrop>false</ScaleCrop>
  <HeadingPairs>
    <vt:vector size="2" baseType="variant">
      <vt:variant>
        <vt:lpstr>Title</vt:lpstr>
      </vt:variant>
      <vt:variant>
        <vt:i4>1</vt:i4>
      </vt:variant>
    </vt:vector>
  </HeadingPairs>
  <TitlesOfParts>
    <vt:vector size="1" baseType="lpstr">
      <vt:lpstr/>
    </vt:vector>
  </TitlesOfParts>
  <Company>AstraZeneca Pty Ltd</Company>
  <LinksUpToDate>false</LinksUpToDate>
  <CharactersWithSpaces>36174</CharactersWithSpaces>
  <SharedDoc>false</SharedDoc>
  <HLinks>
    <vt:vector size="6" baseType="variant">
      <vt:variant>
        <vt:i4>8323088</vt:i4>
      </vt:variant>
      <vt:variant>
        <vt:i4>0</vt:i4>
      </vt:variant>
      <vt:variant>
        <vt:i4>0</vt:i4>
      </vt:variant>
      <vt:variant>
        <vt:i4>5</vt:i4>
      </vt:variant>
      <vt:variant>
        <vt:lpwstr>mailto:kczv427@astrazeneca.net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Andexxa</dc:title>
  <dc:subject>prescription medicines</dc:subject>
  <dc:creator>AstraZeneca Pty Ltd</dc:creator>
  <cp:keywords/>
  <cp:lastModifiedBy>LACK, Janet</cp:lastModifiedBy>
  <cp:revision>3</cp:revision>
  <cp:lastPrinted>2022-05-12T12:43:00Z</cp:lastPrinted>
  <dcterms:created xsi:type="dcterms:W3CDTF">2023-12-19T01:20:00Z</dcterms:created>
  <dcterms:modified xsi:type="dcterms:W3CDTF">2023-12-19T01:23:00Z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ingCaptions">
    <vt:lpwstr>No</vt:lpwstr>
  </property>
  <property fmtid="{D5CDD505-2E9C-101B-9397-08002B2CF9AE}" pid="3" name="Prefix">
    <vt:lpwstr/>
  </property>
  <property fmtid="{D5CDD505-2E9C-101B-9397-08002B2CF9AE}" pid="4" name="ANGEL_Document_ID">
    <vt:lpwstr>ANGEL_DocID</vt:lpwstr>
  </property>
  <property fmtid="{D5CDD505-2E9C-101B-9397-08002B2CF9AE}" pid="5" name="ANGEL_Document_Status">
    <vt:lpwstr>ANGEL_Status </vt:lpwstr>
  </property>
  <property fmtid="{D5CDD505-2E9C-101B-9397-08002B2CF9AE}" pid="6" name="ANGEL_PPN">
    <vt:lpwstr>ANGEL_PPN</vt:lpwstr>
  </property>
  <property fmtid="{D5CDD505-2E9C-101B-9397-08002B2CF9AE}" pid="7" name="ANGEL_Product">
    <vt:lpwstr>ProductName</vt:lpwstr>
  </property>
  <property fmtid="{D5CDD505-2E9C-101B-9397-08002B2CF9AE}" pid="8" name="ANGEL_Study_Code">
    <vt:lpwstr>StudyCode</vt:lpwstr>
  </property>
  <property fmtid="{D5CDD505-2E9C-101B-9397-08002B2CF9AE}" pid="9" name="ANGEL_DosageForm">
    <vt:lpwstr>DosageForm</vt:lpwstr>
  </property>
  <property fmtid="{D5CDD505-2E9C-101B-9397-08002B2CF9AE}" pid="10" name="ANGEL_Version">
    <vt:lpwstr>ANGEL_Version</vt:lpwstr>
  </property>
  <property fmtid="{D5CDD505-2E9C-101B-9397-08002B2CF9AE}" pid="11" name="ANGEL_DocumentName">
    <vt:lpwstr>ANGEL_DocumentName</vt:lpwstr>
  </property>
  <property fmtid="{D5CDD505-2E9C-101B-9397-08002B2CF9AE}" pid="12" name="ContentTypeId">
    <vt:lpwstr>0x01010073B5A513F9F2304C8EE8A520918F4A3F</vt:lpwstr>
  </property>
</Properties>
</file>