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7D4D265B" w14:textId="77777777" w:rsidTr="002B29B2">
        <w:tc>
          <w:tcPr>
            <w:tcW w:w="8720" w:type="dxa"/>
          </w:tcPr>
          <w:p w14:paraId="6C1BB073" w14:textId="3356B587" w:rsidR="00F02AEC" w:rsidRPr="00215D48" w:rsidRDefault="001A3695" w:rsidP="002B29B2">
            <w:pPr>
              <w:pStyle w:val="Title"/>
            </w:pPr>
            <w:r w:rsidRPr="001A3695">
              <w:t>Australian Public Assessment Report (AusPAR) guidance</w:t>
            </w:r>
          </w:p>
        </w:tc>
      </w:tr>
      <w:tr w:rsidR="00F02AEC" w:rsidRPr="00215D48" w14:paraId="19885E3A" w14:textId="77777777" w:rsidTr="002B29B2">
        <w:trPr>
          <w:trHeight w:val="1916"/>
        </w:trPr>
        <w:tc>
          <w:tcPr>
            <w:tcW w:w="8720" w:type="dxa"/>
          </w:tcPr>
          <w:p w14:paraId="13C5778F" w14:textId="0373B9D3" w:rsidR="00F02AEC" w:rsidRPr="00215D48" w:rsidRDefault="001A3695" w:rsidP="002B29B2">
            <w:pPr>
              <w:pStyle w:val="Subtitle"/>
              <w:ind w:left="0"/>
            </w:pPr>
            <w:r w:rsidRPr="001A3695">
              <w:t>For prescription medicines</w:t>
            </w:r>
          </w:p>
        </w:tc>
      </w:tr>
      <w:tr w:rsidR="00F02AEC" w:rsidRPr="00215D48" w14:paraId="7B0E84D4" w14:textId="77777777" w:rsidTr="002B29B2">
        <w:tc>
          <w:tcPr>
            <w:tcW w:w="8720" w:type="dxa"/>
          </w:tcPr>
          <w:p w14:paraId="1F93902B" w14:textId="2AF6B268" w:rsidR="00F02AEC" w:rsidRPr="00215D48" w:rsidRDefault="001A3695" w:rsidP="00F54CA9">
            <w:pPr>
              <w:pStyle w:val="Date"/>
            </w:pPr>
            <w:r w:rsidRPr="001A3695">
              <w:t xml:space="preserve">Version 3.0, </w:t>
            </w:r>
            <w:r w:rsidR="00EA52C4">
              <w:t>October</w:t>
            </w:r>
            <w:r w:rsidRPr="001A3695">
              <w:t xml:space="preserve"> 2023</w:t>
            </w:r>
          </w:p>
        </w:tc>
      </w:tr>
    </w:tbl>
    <w:p w14:paraId="770AB698" w14:textId="77777777" w:rsidR="00F02AEC" w:rsidRPr="00215D48" w:rsidRDefault="00F02AEC" w:rsidP="00B24FF5">
      <w:pPr>
        <w:pStyle w:val="ListBullet"/>
        <w:numPr>
          <w:ilvl w:val="0"/>
          <w:numId w:val="0"/>
        </w:numPr>
        <w:sectPr w:rsidR="00F02AEC" w:rsidRPr="00215D48" w:rsidSect="00CB055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10BCF8A" w14:textId="77777777" w:rsidR="00F02AEC" w:rsidRPr="00E1198B" w:rsidRDefault="00F02AEC" w:rsidP="00BA0DFC">
      <w:pPr>
        <w:pStyle w:val="LegalSubheading"/>
      </w:pPr>
      <w:r w:rsidRPr="00BA0DFC">
        <w:lastRenderedPageBreak/>
        <w:t>Copyright</w:t>
      </w:r>
    </w:p>
    <w:p w14:paraId="6D25D7BE" w14:textId="55235C0F" w:rsidR="00930D58" w:rsidRDefault="00F02AEC" w:rsidP="00FA49C3">
      <w:pPr>
        <w:pStyle w:val="LegalCopy"/>
        <w:rPr>
          <w:rFonts w:cs="Arial"/>
        </w:rPr>
      </w:pPr>
      <w:r w:rsidRPr="00215D48">
        <w:rPr>
          <w:rFonts w:cs="Arial"/>
        </w:rPr>
        <w:t>© Commonwealth of Australia 20</w:t>
      </w:r>
      <w:r>
        <w:rPr>
          <w:rFonts w:cs="Arial"/>
        </w:rPr>
        <w:t>2</w:t>
      </w:r>
      <w:r w:rsidR="001A3695">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215D48">
          <w:rPr>
            <w:rStyle w:val="Hyperlink"/>
            <w:rFonts w:cs="Arial"/>
          </w:rPr>
          <w:t>tga.copyright@tga.gov.au</w:t>
        </w:r>
      </w:hyperlink>
      <w:r w:rsidRPr="00215D48">
        <w:rPr>
          <w:rFonts w:cs="Arial"/>
        </w:rPr>
        <w:t>&gt;.</w:t>
      </w:r>
    </w:p>
    <w:p w14:paraId="5FD2828B"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29E6E557" w14:textId="77777777" w:rsidR="00F02AEC" w:rsidRPr="00215D48" w:rsidRDefault="00F02AEC" w:rsidP="00035110">
          <w:pPr>
            <w:pStyle w:val="NonTOCheading2"/>
          </w:pPr>
          <w:r w:rsidRPr="00215D48">
            <w:t>Contents</w:t>
          </w:r>
        </w:p>
        <w:p w14:paraId="3ABB1B01" w14:textId="3A9F24D2" w:rsidR="00EA52C4"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9638562" w:history="1">
            <w:r w:rsidR="00EA52C4" w:rsidRPr="00DC4B69">
              <w:rPr>
                <w:rStyle w:val="Hyperlink"/>
                <w:noProof/>
              </w:rPr>
              <w:t>About this guidance</w:t>
            </w:r>
            <w:r w:rsidR="00EA52C4">
              <w:rPr>
                <w:noProof/>
                <w:webHidden/>
              </w:rPr>
              <w:tab/>
            </w:r>
            <w:r w:rsidR="00EA52C4">
              <w:rPr>
                <w:noProof/>
                <w:webHidden/>
              </w:rPr>
              <w:fldChar w:fldCharType="begin"/>
            </w:r>
            <w:r w:rsidR="00EA52C4">
              <w:rPr>
                <w:noProof/>
                <w:webHidden/>
              </w:rPr>
              <w:instrText xml:space="preserve"> PAGEREF _Toc149638562 \h </w:instrText>
            </w:r>
            <w:r w:rsidR="00EA52C4">
              <w:rPr>
                <w:noProof/>
                <w:webHidden/>
              </w:rPr>
            </w:r>
            <w:r w:rsidR="00EA52C4">
              <w:rPr>
                <w:noProof/>
                <w:webHidden/>
              </w:rPr>
              <w:fldChar w:fldCharType="separate"/>
            </w:r>
            <w:r w:rsidR="00EA52C4">
              <w:rPr>
                <w:noProof/>
                <w:webHidden/>
              </w:rPr>
              <w:t>4</w:t>
            </w:r>
            <w:r w:rsidR="00EA52C4">
              <w:rPr>
                <w:noProof/>
                <w:webHidden/>
              </w:rPr>
              <w:fldChar w:fldCharType="end"/>
            </w:r>
          </w:hyperlink>
        </w:p>
        <w:p w14:paraId="3707DB31" w14:textId="7AD2C5F9"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63" w:history="1">
            <w:r w:rsidR="00EA52C4" w:rsidRPr="00DC4B69">
              <w:rPr>
                <w:rStyle w:val="Hyperlink"/>
                <w:noProof/>
              </w:rPr>
              <w:t>Australian Public Assessment Reports (AusPARs)</w:t>
            </w:r>
            <w:r w:rsidR="00EA52C4">
              <w:rPr>
                <w:noProof/>
                <w:webHidden/>
              </w:rPr>
              <w:tab/>
            </w:r>
            <w:r w:rsidR="00EA52C4">
              <w:rPr>
                <w:noProof/>
                <w:webHidden/>
              </w:rPr>
              <w:fldChar w:fldCharType="begin"/>
            </w:r>
            <w:r w:rsidR="00EA52C4">
              <w:rPr>
                <w:noProof/>
                <w:webHidden/>
              </w:rPr>
              <w:instrText xml:space="preserve"> PAGEREF _Toc149638563 \h </w:instrText>
            </w:r>
            <w:r w:rsidR="00EA52C4">
              <w:rPr>
                <w:noProof/>
                <w:webHidden/>
              </w:rPr>
            </w:r>
            <w:r w:rsidR="00EA52C4">
              <w:rPr>
                <w:noProof/>
                <w:webHidden/>
              </w:rPr>
              <w:fldChar w:fldCharType="separate"/>
            </w:r>
            <w:r w:rsidR="00EA52C4">
              <w:rPr>
                <w:noProof/>
                <w:webHidden/>
              </w:rPr>
              <w:t>4</w:t>
            </w:r>
            <w:r w:rsidR="00EA52C4">
              <w:rPr>
                <w:noProof/>
                <w:webHidden/>
              </w:rPr>
              <w:fldChar w:fldCharType="end"/>
            </w:r>
          </w:hyperlink>
        </w:p>
        <w:p w14:paraId="4370BADF" w14:textId="795A4136"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64" w:history="1">
            <w:r w:rsidR="00EA52C4" w:rsidRPr="00DC4B69">
              <w:rPr>
                <w:rStyle w:val="Hyperlink"/>
                <w:noProof/>
              </w:rPr>
              <w:t>When is an AusPAR required</w:t>
            </w:r>
            <w:r w:rsidR="00EA52C4">
              <w:rPr>
                <w:noProof/>
                <w:webHidden/>
              </w:rPr>
              <w:tab/>
            </w:r>
            <w:r w:rsidR="00EA52C4">
              <w:rPr>
                <w:noProof/>
                <w:webHidden/>
              </w:rPr>
              <w:fldChar w:fldCharType="begin"/>
            </w:r>
            <w:r w:rsidR="00EA52C4">
              <w:rPr>
                <w:noProof/>
                <w:webHidden/>
              </w:rPr>
              <w:instrText xml:space="preserve"> PAGEREF _Toc149638564 \h </w:instrText>
            </w:r>
            <w:r w:rsidR="00EA52C4">
              <w:rPr>
                <w:noProof/>
                <w:webHidden/>
              </w:rPr>
            </w:r>
            <w:r w:rsidR="00EA52C4">
              <w:rPr>
                <w:noProof/>
                <w:webHidden/>
              </w:rPr>
              <w:fldChar w:fldCharType="separate"/>
            </w:r>
            <w:r w:rsidR="00EA52C4">
              <w:rPr>
                <w:noProof/>
                <w:webHidden/>
              </w:rPr>
              <w:t>4</w:t>
            </w:r>
            <w:r w:rsidR="00EA52C4">
              <w:rPr>
                <w:noProof/>
                <w:webHidden/>
              </w:rPr>
              <w:fldChar w:fldCharType="end"/>
            </w:r>
          </w:hyperlink>
        </w:p>
        <w:p w14:paraId="56BDCF35" w14:textId="62B629D0"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65" w:history="1">
            <w:r w:rsidR="00EA52C4" w:rsidRPr="00DC4B69">
              <w:rPr>
                <w:rStyle w:val="Hyperlink"/>
                <w:noProof/>
              </w:rPr>
              <w:t>AusPARs by application type</w:t>
            </w:r>
            <w:r w:rsidR="00EA52C4">
              <w:rPr>
                <w:noProof/>
                <w:webHidden/>
              </w:rPr>
              <w:tab/>
            </w:r>
            <w:r w:rsidR="00EA52C4">
              <w:rPr>
                <w:noProof/>
                <w:webHidden/>
              </w:rPr>
              <w:fldChar w:fldCharType="begin"/>
            </w:r>
            <w:r w:rsidR="00EA52C4">
              <w:rPr>
                <w:noProof/>
                <w:webHidden/>
              </w:rPr>
              <w:instrText xml:space="preserve"> PAGEREF _Toc149638565 \h </w:instrText>
            </w:r>
            <w:r w:rsidR="00EA52C4">
              <w:rPr>
                <w:noProof/>
                <w:webHidden/>
              </w:rPr>
            </w:r>
            <w:r w:rsidR="00EA52C4">
              <w:rPr>
                <w:noProof/>
                <w:webHidden/>
              </w:rPr>
              <w:fldChar w:fldCharType="separate"/>
            </w:r>
            <w:r w:rsidR="00EA52C4">
              <w:rPr>
                <w:noProof/>
                <w:webHidden/>
              </w:rPr>
              <w:t>4</w:t>
            </w:r>
            <w:r w:rsidR="00EA52C4">
              <w:rPr>
                <w:noProof/>
                <w:webHidden/>
              </w:rPr>
              <w:fldChar w:fldCharType="end"/>
            </w:r>
          </w:hyperlink>
        </w:p>
        <w:p w14:paraId="4AC3080F" w14:textId="1EEE0472"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66" w:history="1">
            <w:r w:rsidR="00EA52C4" w:rsidRPr="00DC4B69">
              <w:rPr>
                <w:rStyle w:val="Hyperlink"/>
                <w:noProof/>
              </w:rPr>
              <w:t>AusPARs for approved, rejected and withdrawn submissions</w:t>
            </w:r>
            <w:r w:rsidR="00EA52C4">
              <w:rPr>
                <w:noProof/>
                <w:webHidden/>
              </w:rPr>
              <w:tab/>
            </w:r>
            <w:r w:rsidR="00EA52C4">
              <w:rPr>
                <w:noProof/>
                <w:webHidden/>
              </w:rPr>
              <w:fldChar w:fldCharType="begin"/>
            </w:r>
            <w:r w:rsidR="00EA52C4">
              <w:rPr>
                <w:noProof/>
                <w:webHidden/>
              </w:rPr>
              <w:instrText xml:space="preserve"> PAGEREF _Toc149638566 \h </w:instrText>
            </w:r>
            <w:r w:rsidR="00EA52C4">
              <w:rPr>
                <w:noProof/>
                <w:webHidden/>
              </w:rPr>
            </w:r>
            <w:r w:rsidR="00EA52C4">
              <w:rPr>
                <w:noProof/>
                <w:webHidden/>
              </w:rPr>
              <w:fldChar w:fldCharType="separate"/>
            </w:r>
            <w:r w:rsidR="00EA52C4">
              <w:rPr>
                <w:noProof/>
                <w:webHidden/>
              </w:rPr>
              <w:t>5</w:t>
            </w:r>
            <w:r w:rsidR="00EA52C4">
              <w:rPr>
                <w:noProof/>
                <w:webHidden/>
              </w:rPr>
              <w:fldChar w:fldCharType="end"/>
            </w:r>
          </w:hyperlink>
        </w:p>
        <w:p w14:paraId="3718FF31" w14:textId="6EE6697D"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67" w:history="1">
            <w:r w:rsidR="00EA52C4" w:rsidRPr="00DC4B69">
              <w:rPr>
                <w:rStyle w:val="Hyperlink"/>
                <w:noProof/>
              </w:rPr>
              <w:t>Approved submissions</w:t>
            </w:r>
            <w:r w:rsidR="00EA52C4">
              <w:rPr>
                <w:noProof/>
                <w:webHidden/>
              </w:rPr>
              <w:tab/>
            </w:r>
            <w:r w:rsidR="00EA52C4">
              <w:rPr>
                <w:noProof/>
                <w:webHidden/>
              </w:rPr>
              <w:fldChar w:fldCharType="begin"/>
            </w:r>
            <w:r w:rsidR="00EA52C4">
              <w:rPr>
                <w:noProof/>
                <w:webHidden/>
              </w:rPr>
              <w:instrText xml:space="preserve"> PAGEREF _Toc149638567 \h </w:instrText>
            </w:r>
            <w:r w:rsidR="00EA52C4">
              <w:rPr>
                <w:noProof/>
                <w:webHidden/>
              </w:rPr>
            </w:r>
            <w:r w:rsidR="00EA52C4">
              <w:rPr>
                <w:noProof/>
                <w:webHidden/>
              </w:rPr>
              <w:fldChar w:fldCharType="separate"/>
            </w:r>
            <w:r w:rsidR="00EA52C4">
              <w:rPr>
                <w:noProof/>
                <w:webHidden/>
              </w:rPr>
              <w:t>5</w:t>
            </w:r>
            <w:r w:rsidR="00EA52C4">
              <w:rPr>
                <w:noProof/>
                <w:webHidden/>
              </w:rPr>
              <w:fldChar w:fldCharType="end"/>
            </w:r>
          </w:hyperlink>
        </w:p>
        <w:p w14:paraId="5502C92D" w14:textId="7D971F26"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68" w:history="1">
            <w:r w:rsidR="00EA52C4" w:rsidRPr="00DC4B69">
              <w:rPr>
                <w:rStyle w:val="Hyperlink"/>
                <w:noProof/>
              </w:rPr>
              <w:t>Rejected submissions</w:t>
            </w:r>
            <w:r w:rsidR="00EA52C4">
              <w:rPr>
                <w:noProof/>
                <w:webHidden/>
              </w:rPr>
              <w:tab/>
            </w:r>
            <w:r w:rsidR="00EA52C4">
              <w:rPr>
                <w:noProof/>
                <w:webHidden/>
              </w:rPr>
              <w:fldChar w:fldCharType="begin"/>
            </w:r>
            <w:r w:rsidR="00EA52C4">
              <w:rPr>
                <w:noProof/>
                <w:webHidden/>
              </w:rPr>
              <w:instrText xml:space="preserve"> PAGEREF _Toc149638568 \h </w:instrText>
            </w:r>
            <w:r w:rsidR="00EA52C4">
              <w:rPr>
                <w:noProof/>
                <w:webHidden/>
              </w:rPr>
            </w:r>
            <w:r w:rsidR="00EA52C4">
              <w:rPr>
                <w:noProof/>
                <w:webHidden/>
              </w:rPr>
              <w:fldChar w:fldCharType="separate"/>
            </w:r>
            <w:r w:rsidR="00EA52C4">
              <w:rPr>
                <w:noProof/>
                <w:webHidden/>
              </w:rPr>
              <w:t>5</w:t>
            </w:r>
            <w:r w:rsidR="00EA52C4">
              <w:rPr>
                <w:noProof/>
                <w:webHidden/>
              </w:rPr>
              <w:fldChar w:fldCharType="end"/>
            </w:r>
          </w:hyperlink>
        </w:p>
        <w:p w14:paraId="66EC9D09" w14:textId="7EF33E57"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69" w:history="1">
            <w:r w:rsidR="00EA52C4" w:rsidRPr="00DC4B69">
              <w:rPr>
                <w:rStyle w:val="Hyperlink"/>
                <w:noProof/>
              </w:rPr>
              <w:t>Withdrawn submissions</w:t>
            </w:r>
            <w:r w:rsidR="00EA52C4">
              <w:rPr>
                <w:noProof/>
                <w:webHidden/>
              </w:rPr>
              <w:tab/>
            </w:r>
            <w:r w:rsidR="00EA52C4">
              <w:rPr>
                <w:noProof/>
                <w:webHidden/>
              </w:rPr>
              <w:fldChar w:fldCharType="begin"/>
            </w:r>
            <w:r w:rsidR="00EA52C4">
              <w:rPr>
                <w:noProof/>
                <w:webHidden/>
              </w:rPr>
              <w:instrText xml:space="preserve"> PAGEREF _Toc149638569 \h </w:instrText>
            </w:r>
            <w:r w:rsidR="00EA52C4">
              <w:rPr>
                <w:noProof/>
                <w:webHidden/>
              </w:rPr>
            </w:r>
            <w:r w:rsidR="00EA52C4">
              <w:rPr>
                <w:noProof/>
                <w:webHidden/>
              </w:rPr>
              <w:fldChar w:fldCharType="separate"/>
            </w:r>
            <w:r w:rsidR="00EA52C4">
              <w:rPr>
                <w:noProof/>
                <w:webHidden/>
              </w:rPr>
              <w:t>6</w:t>
            </w:r>
            <w:r w:rsidR="00EA52C4">
              <w:rPr>
                <w:noProof/>
                <w:webHidden/>
              </w:rPr>
              <w:fldChar w:fldCharType="end"/>
            </w:r>
          </w:hyperlink>
        </w:p>
        <w:p w14:paraId="1E514C5F" w14:textId="53F5F166"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70" w:history="1">
            <w:r w:rsidR="00EA52C4" w:rsidRPr="00DC4B69">
              <w:rPr>
                <w:rStyle w:val="Hyperlink"/>
                <w:noProof/>
              </w:rPr>
              <w:t>Review by the Administrative Appeals Tribunal (AAT)</w:t>
            </w:r>
            <w:r w:rsidR="00EA52C4">
              <w:rPr>
                <w:noProof/>
                <w:webHidden/>
              </w:rPr>
              <w:tab/>
            </w:r>
            <w:r w:rsidR="00EA52C4">
              <w:rPr>
                <w:noProof/>
                <w:webHidden/>
              </w:rPr>
              <w:fldChar w:fldCharType="begin"/>
            </w:r>
            <w:r w:rsidR="00EA52C4">
              <w:rPr>
                <w:noProof/>
                <w:webHidden/>
              </w:rPr>
              <w:instrText xml:space="preserve"> PAGEREF _Toc149638570 \h </w:instrText>
            </w:r>
            <w:r w:rsidR="00EA52C4">
              <w:rPr>
                <w:noProof/>
                <w:webHidden/>
              </w:rPr>
            </w:r>
            <w:r w:rsidR="00EA52C4">
              <w:rPr>
                <w:noProof/>
                <w:webHidden/>
              </w:rPr>
              <w:fldChar w:fldCharType="separate"/>
            </w:r>
            <w:r w:rsidR="00EA52C4">
              <w:rPr>
                <w:noProof/>
                <w:webHidden/>
              </w:rPr>
              <w:t>6</w:t>
            </w:r>
            <w:r w:rsidR="00EA52C4">
              <w:rPr>
                <w:noProof/>
                <w:webHidden/>
              </w:rPr>
              <w:fldChar w:fldCharType="end"/>
            </w:r>
          </w:hyperlink>
        </w:p>
        <w:p w14:paraId="2FEB93C8" w14:textId="6EE1C446"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71" w:history="1">
            <w:r w:rsidR="00EA52C4" w:rsidRPr="00DC4B69">
              <w:rPr>
                <w:rStyle w:val="Hyperlink"/>
                <w:noProof/>
              </w:rPr>
              <w:t>Typical components</w:t>
            </w:r>
            <w:r w:rsidR="00EA52C4">
              <w:rPr>
                <w:noProof/>
                <w:webHidden/>
              </w:rPr>
              <w:tab/>
            </w:r>
            <w:r w:rsidR="00EA52C4">
              <w:rPr>
                <w:noProof/>
                <w:webHidden/>
              </w:rPr>
              <w:fldChar w:fldCharType="begin"/>
            </w:r>
            <w:r w:rsidR="00EA52C4">
              <w:rPr>
                <w:noProof/>
                <w:webHidden/>
              </w:rPr>
              <w:instrText xml:space="preserve"> PAGEREF _Toc149638571 \h </w:instrText>
            </w:r>
            <w:r w:rsidR="00EA52C4">
              <w:rPr>
                <w:noProof/>
                <w:webHidden/>
              </w:rPr>
            </w:r>
            <w:r w:rsidR="00EA52C4">
              <w:rPr>
                <w:noProof/>
                <w:webHidden/>
              </w:rPr>
              <w:fldChar w:fldCharType="separate"/>
            </w:r>
            <w:r w:rsidR="00EA52C4">
              <w:rPr>
                <w:noProof/>
                <w:webHidden/>
              </w:rPr>
              <w:t>6</w:t>
            </w:r>
            <w:r w:rsidR="00EA52C4">
              <w:rPr>
                <w:noProof/>
                <w:webHidden/>
              </w:rPr>
              <w:fldChar w:fldCharType="end"/>
            </w:r>
          </w:hyperlink>
        </w:p>
        <w:p w14:paraId="7B912D21" w14:textId="12B775BD"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72" w:history="1">
            <w:r w:rsidR="00EA52C4" w:rsidRPr="00DC4B69">
              <w:rPr>
                <w:rStyle w:val="Hyperlink"/>
                <w:noProof/>
              </w:rPr>
              <w:t>Product submission</w:t>
            </w:r>
            <w:r w:rsidR="00EA52C4">
              <w:rPr>
                <w:noProof/>
                <w:webHidden/>
              </w:rPr>
              <w:tab/>
            </w:r>
            <w:r w:rsidR="00EA52C4">
              <w:rPr>
                <w:noProof/>
                <w:webHidden/>
              </w:rPr>
              <w:fldChar w:fldCharType="begin"/>
            </w:r>
            <w:r w:rsidR="00EA52C4">
              <w:rPr>
                <w:noProof/>
                <w:webHidden/>
              </w:rPr>
              <w:instrText xml:space="preserve"> PAGEREF _Toc149638572 \h </w:instrText>
            </w:r>
            <w:r w:rsidR="00EA52C4">
              <w:rPr>
                <w:noProof/>
                <w:webHidden/>
              </w:rPr>
            </w:r>
            <w:r w:rsidR="00EA52C4">
              <w:rPr>
                <w:noProof/>
                <w:webHidden/>
              </w:rPr>
              <w:fldChar w:fldCharType="separate"/>
            </w:r>
            <w:r w:rsidR="00EA52C4">
              <w:rPr>
                <w:noProof/>
                <w:webHidden/>
              </w:rPr>
              <w:t>7</w:t>
            </w:r>
            <w:r w:rsidR="00EA52C4">
              <w:rPr>
                <w:noProof/>
                <w:webHidden/>
              </w:rPr>
              <w:fldChar w:fldCharType="end"/>
            </w:r>
          </w:hyperlink>
        </w:p>
        <w:p w14:paraId="0B7D4427" w14:textId="4B6F5B65"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73" w:history="1">
            <w:r w:rsidR="00EA52C4" w:rsidRPr="00DC4B69">
              <w:rPr>
                <w:rStyle w:val="Hyperlink"/>
                <w:noProof/>
              </w:rPr>
              <w:t>Registration timeline</w:t>
            </w:r>
            <w:r w:rsidR="00EA52C4">
              <w:rPr>
                <w:noProof/>
                <w:webHidden/>
              </w:rPr>
              <w:tab/>
            </w:r>
            <w:r w:rsidR="00EA52C4">
              <w:rPr>
                <w:noProof/>
                <w:webHidden/>
              </w:rPr>
              <w:fldChar w:fldCharType="begin"/>
            </w:r>
            <w:r w:rsidR="00EA52C4">
              <w:rPr>
                <w:noProof/>
                <w:webHidden/>
              </w:rPr>
              <w:instrText xml:space="preserve"> PAGEREF _Toc149638573 \h </w:instrText>
            </w:r>
            <w:r w:rsidR="00EA52C4">
              <w:rPr>
                <w:noProof/>
                <w:webHidden/>
              </w:rPr>
            </w:r>
            <w:r w:rsidR="00EA52C4">
              <w:rPr>
                <w:noProof/>
                <w:webHidden/>
              </w:rPr>
              <w:fldChar w:fldCharType="separate"/>
            </w:r>
            <w:r w:rsidR="00EA52C4">
              <w:rPr>
                <w:noProof/>
                <w:webHidden/>
              </w:rPr>
              <w:t>7</w:t>
            </w:r>
            <w:r w:rsidR="00EA52C4">
              <w:rPr>
                <w:noProof/>
                <w:webHidden/>
              </w:rPr>
              <w:fldChar w:fldCharType="end"/>
            </w:r>
          </w:hyperlink>
        </w:p>
        <w:p w14:paraId="5FAC34B4" w14:textId="433772F9"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74" w:history="1">
            <w:r w:rsidR="00EA52C4" w:rsidRPr="00DC4B69">
              <w:rPr>
                <w:rStyle w:val="Hyperlink"/>
                <w:noProof/>
              </w:rPr>
              <w:t>Submission overview and risk/benefit assessment</w:t>
            </w:r>
            <w:r w:rsidR="00EA52C4">
              <w:rPr>
                <w:noProof/>
                <w:webHidden/>
              </w:rPr>
              <w:tab/>
            </w:r>
            <w:r w:rsidR="00EA52C4">
              <w:rPr>
                <w:noProof/>
                <w:webHidden/>
              </w:rPr>
              <w:fldChar w:fldCharType="begin"/>
            </w:r>
            <w:r w:rsidR="00EA52C4">
              <w:rPr>
                <w:noProof/>
                <w:webHidden/>
              </w:rPr>
              <w:instrText xml:space="preserve"> PAGEREF _Toc149638574 \h </w:instrText>
            </w:r>
            <w:r w:rsidR="00EA52C4">
              <w:rPr>
                <w:noProof/>
                <w:webHidden/>
              </w:rPr>
            </w:r>
            <w:r w:rsidR="00EA52C4">
              <w:rPr>
                <w:noProof/>
                <w:webHidden/>
              </w:rPr>
              <w:fldChar w:fldCharType="separate"/>
            </w:r>
            <w:r w:rsidR="00EA52C4">
              <w:rPr>
                <w:noProof/>
                <w:webHidden/>
              </w:rPr>
              <w:t>7</w:t>
            </w:r>
            <w:r w:rsidR="00EA52C4">
              <w:rPr>
                <w:noProof/>
                <w:webHidden/>
              </w:rPr>
              <w:fldChar w:fldCharType="end"/>
            </w:r>
          </w:hyperlink>
        </w:p>
        <w:p w14:paraId="6C6EC17E" w14:textId="37D7EC54" w:rsidR="00EA52C4" w:rsidRDefault="00B31E8D">
          <w:pPr>
            <w:pStyle w:val="TOC3"/>
            <w:rPr>
              <w:rFonts w:asciiTheme="minorHAnsi" w:eastAsiaTheme="minorEastAsia" w:hAnsiTheme="minorHAnsi" w:cstheme="minorBidi"/>
              <w:b w:val="0"/>
              <w:noProof/>
              <w:color w:val="auto"/>
              <w:sz w:val="22"/>
              <w:szCs w:val="22"/>
              <w:lang w:eastAsia="en-AU"/>
            </w:rPr>
          </w:pPr>
          <w:hyperlink w:anchor="_Toc149638575" w:history="1">
            <w:r w:rsidR="00EA52C4" w:rsidRPr="00DC4B69">
              <w:rPr>
                <w:rStyle w:val="Hyperlink"/>
                <w:noProof/>
              </w:rPr>
              <w:t>Outcome</w:t>
            </w:r>
            <w:r w:rsidR="00EA52C4">
              <w:rPr>
                <w:noProof/>
                <w:webHidden/>
              </w:rPr>
              <w:tab/>
            </w:r>
            <w:r w:rsidR="00EA52C4">
              <w:rPr>
                <w:noProof/>
                <w:webHidden/>
              </w:rPr>
              <w:fldChar w:fldCharType="begin"/>
            </w:r>
            <w:r w:rsidR="00EA52C4">
              <w:rPr>
                <w:noProof/>
                <w:webHidden/>
              </w:rPr>
              <w:instrText xml:space="preserve"> PAGEREF _Toc149638575 \h </w:instrText>
            </w:r>
            <w:r w:rsidR="00EA52C4">
              <w:rPr>
                <w:noProof/>
                <w:webHidden/>
              </w:rPr>
            </w:r>
            <w:r w:rsidR="00EA52C4">
              <w:rPr>
                <w:noProof/>
                <w:webHidden/>
              </w:rPr>
              <w:fldChar w:fldCharType="separate"/>
            </w:r>
            <w:r w:rsidR="00EA52C4">
              <w:rPr>
                <w:noProof/>
                <w:webHidden/>
              </w:rPr>
              <w:t>8</w:t>
            </w:r>
            <w:r w:rsidR="00EA52C4">
              <w:rPr>
                <w:noProof/>
                <w:webHidden/>
              </w:rPr>
              <w:fldChar w:fldCharType="end"/>
            </w:r>
          </w:hyperlink>
        </w:p>
        <w:p w14:paraId="7001F263" w14:textId="555B9540"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76" w:history="1">
            <w:r w:rsidR="00EA52C4" w:rsidRPr="00DC4B69">
              <w:rPr>
                <w:rStyle w:val="Hyperlink"/>
                <w:noProof/>
              </w:rPr>
              <w:t>Information sources</w:t>
            </w:r>
            <w:r w:rsidR="00EA52C4">
              <w:rPr>
                <w:noProof/>
                <w:webHidden/>
              </w:rPr>
              <w:tab/>
            </w:r>
            <w:r w:rsidR="00EA52C4">
              <w:rPr>
                <w:noProof/>
                <w:webHidden/>
              </w:rPr>
              <w:fldChar w:fldCharType="begin"/>
            </w:r>
            <w:r w:rsidR="00EA52C4">
              <w:rPr>
                <w:noProof/>
                <w:webHidden/>
              </w:rPr>
              <w:instrText xml:space="preserve"> PAGEREF _Toc149638576 \h </w:instrText>
            </w:r>
            <w:r w:rsidR="00EA52C4">
              <w:rPr>
                <w:noProof/>
                <w:webHidden/>
              </w:rPr>
            </w:r>
            <w:r w:rsidR="00EA52C4">
              <w:rPr>
                <w:noProof/>
                <w:webHidden/>
              </w:rPr>
              <w:fldChar w:fldCharType="separate"/>
            </w:r>
            <w:r w:rsidR="00EA52C4">
              <w:rPr>
                <w:noProof/>
                <w:webHidden/>
              </w:rPr>
              <w:t>8</w:t>
            </w:r>
            <w:r w:rsidR="00EA52C4">
              <w:rPr>
                <w:noProof/>
                <w:webHidden/>
              </w:rPr>
              <w:fldChar w:fldCharType="end"/>
            </w:r>
          </w:hyperlink>
        </w:p>
        <w:p w14:paraId="15BCA44C" w14:textId="1C7C4406"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77" w:history="1">
            <w:r w:rsidR="00EA52C4" w:rsidRPr="00DC4B69">
              <w:rPr>
                <w:rStyle w:val="Hyperlink"/>
                <w:noProof/>
              </w:rPr>
              <w:t>Commercially confidential information and personal information</w:t>
            </w:r>
            <w:r w:rsidR="00EA52C4">
              <w:rPr>
                <w:noProof/>
                <w:webHidden/>
              </w:rPr>
              <w:tab/>
            </w:r>
            <w:r w:rsidR="00EA52C4">
              <w:rPr>
                <w:noProof/>
                <w:webHidden/>
              </w:rPr>
              <w:fldChar w:fldCharType="begin"/>
            </w:r>
            <w:r w:rsidR="00EA52C4">
              <w:rPr>
                <w:noProof/>
                <w:webHidden/>
              </w:rPr>
              <w:instrText xml:space="preserve"> PAGEREF _Toc149638577 \h </w:instrText>
            </w:r>
            <w:r w:rsidR="00EA52C4">
              <w:rPr>
                <w:noProof/>
                <w:webHidden/>
              </w:rPr>
            </w:r>
            <w:r w:rsidR="00EA52C4">
              <w:rPr>
                <w:noProof/>
                <w:webHidden/>
              </w:rPr>
              <w:fldChar w:fldCharType="separate"/>
            </w:r>
            <w:r w:rsidR="00EA52C4">
              <w:rPr>
                <w:noProof/>
                <w:webHidden/>
              </w:rPr>
              <w:t>8</w:t>
            </w:r>
            <w:r w:rsidR="00EA52C4">
              <w:rPr>
                <w:noProof/>
                <w:webHidden/>
              </w:rPr>
              <w:fldChar w:fldCharType="end"/>
            </w:r>
          </w:hyperlink>
        </w:p>
        <w:p w14:paraId="00F7B37B" w14:textId="4F7F0920"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78" w:history="1">
            <w:r w:rsidR="00EA52C4" w:rsidRPr="00DC4B69">
              <w:rPr>
                <w:rStyle w:val="Hyperlink"/>
                <w:noProof/>
              </w:rPr>
              <w:t>How we identify and treat CCI and personal information</w:t>
            </w:r>
            <w:r w:rsidR="00EA52C4">
              <w:rPr>
                <w:noProof/>
                <w:webHidden/>
              </w:rPr>
              <w:tab/>
            </w:r>
            <w:r w:rsidR="00EA52C4">
              <w:rPr>
                <w:noProof/>
                <w:webHidden/>
              </w:rPr>
              <w:fldChar w:fldCharType="begin"/>
            </w:r>
            <w:r w:rsidR="00EA52C4">
              <w:rPr>
                <w:noProof/>
                <w:webHidden/>
              </w:rPr>
              <w:instrText xml:space="preserve"> PAGEREF _Toc149638578 \h </w:instrText>
            </w:r>
            <w:r w:rsidR="00EA52C4">
              <w:rPr>
                <w:noProof/>
                <w:webHidden/>
              </w:rPr>
            </w:r>
            <w:r w:rsidR="00EA52C4">
              <w:rPr>
                <w:noProof/>
                <w:webHidden/>
              </w:rPr>
              <w:fldChar w:fldCharType="separate"/>
            </w:r>
            <w:r w:rsidR="00EA52C4">
              <w:rPr>
                <w:noProof/>
                <w:webHidden/>
              </w:rPr>
              <w:t>8</w:t>
            </w:r>
            <w:r w:rsidR="00EA52C4">
              <w:rPr>
                <w:noProof/>
                <w:webHidden/>
              </w:rPr>
              <w:fldChar w:fldCharType="end"/>
            </w:r>
          </w:hyperlink>
        </w:p>
        <w:p w14:paraId="39AD2E2E" w14:textId="43C2CAFA"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79" w:history="1">
            <w:r w:rsidR="00EA52C4" w:rsidRPr="00DC4B69">
              <w:rPr>
                <w:rStyle w:val="Hyperlink"/>
                <w:noProof/>
              </w:rPr>
              <w:t>Literature based submissions</w:t>
            </w:r>
            <w:r w:rsidR="00EA52C4">
              <w:rPr>
                <w:noProof/>
                <w:webHidden/>
              </w:rPr>
              <w:tab/>
            </w:r>
            <w:r w:rsidR="00EA52C4">
              <w:rPr>
                <w:noProof/>
                <w:webHidden/>
              </w:rPr>
              <w:fldChar w:fldCharType="begin"/>
            </w:r>
            <w:r w:rsidR="00EA52C4">
              <w:rPr>
                <w:noProof/>
                <w:webHidden/>
              </w:rPr>
              <w:instrText xml:space="preserve"> PAGEREF _Toc149638579 \h </w:instrText>
            </w:r>
            <w:r w:rsidR="00EA52C4">
              <w:rPr>
                <w:noProof/>
                <w:webHidden/>
              </w:rPr>
            </w:r>
            <w:r w:rsidR="00EA52C4">
              <w:rPr>
                <w:noProof/>
                <w:webHidden/>
              </w:rPr>
              <w:fldChar w:fldCharType="separate"/>
            </w:r>
            <w:r w:rsidR="00EA52C4">
              <w:rPr>
                <w:noProof/>
                <w:webHidden/>
              </w:rPr>
              <w:t>8</w:t>
            </w:r>
            <w:r w:rsidR="00EA52C4">
              <w:rPr>
                <w:noProof/>
                <w:webHidden/>
              </w:rPr>
              <w:fldChar w:fldCharType="end"/>
            </w:r>
          </w:hyperlink>
        </w:p>
        <w:p w14:paraId="43D172E7" w14:textId="5DE0BDDE"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80" w:history="1">
            <w:r w:rsidR="00EA52C4" w:rsidRPr="00DC4B69">
              <w:rPr>
                <w:rStyle w:val="Hyperlink"/>
                <w:noProof/>
              </w:rPr>
              <w:t>Sponsor review</w:t>
            </w:r>
            <w:r w:rsidR="00EA52C4">
              <w:rPr>
                <w:noProof/>
                <w:webHidden/>
              </w:rPr>
              <w:tab/>
            </w:r>
            <w:r w:rsidR="00EA52C4">
              <w:rPr>
                <w:noProof/>
                <w:webHidden/>
              </w:rPr>
              <w:fldChar w:fldCharType="begin"/>
            </w:r>
            <w:r w:rsidR="00EA52C4">
              <w:rPr>
                <w:noProof/>
                <w:webHidden/>
              </w:rPr>
              <w:instrText xml:space="preserve"> PAGEREF _Toc149638580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5531E534" w14:textId="43226C89"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81" w:history="1">
            <w:r w:rsidR="00EA52C4" w:rsidRPr="00DC4B69">
              <w:rPr>
                <w:rStyle w:val="Hyperlink"/>
                <w:noProof/>
              </w:rPr>
              <w:t>Outcome of sponsor review of a draft AusPAR</w:t>
            </w:r>
            <w:r w:rsidR="00EA52C4">
              <w:rPr>
                <w:noProof/>
                <w:webHidden/>
              </w:rPr>
              <w:tab/>
            </w:r>
            <w:r w:rsidR="00EA52C4">
              <w:rPr>
                <w:noProof/>
                <w:webHidden/>
              </w:rPr>
              <w:fldChar w:fldCharType="begin"/>
            </w:r>
            <w:r w:rsidR="00EA52C4">
              <w:rPr>
                <w:noProof/>
                <w:webHidden/>
              </w:rPr>
              <w:instrText xml:space="preserve"> PAGEREF _Toc149638581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7632DB32" w14:textId="45D7FAAC"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82" w:history="1">
            <w:r w:rsidR="00EA52C4" w:rsidRPr="00DC4B69">
              <w:rPr>
                <w:rStyle w:val="Hyperlink"/>
                <w:noProof/>
              </w:rPr>
              <w:t>Failure to respond within AusPAR review period</w:t>
            </w:r>
            <w:r w:rsidR="00EA52C4">
              <w:rPr>
                <w:noProof/>
                <w:webHidden/>
              </w:rPr>
              <w:tab/>
            </w:r>
            <w:r w:rsidR="00EA52C4">
              <w:rPr>
                <w:noProof/>
                <w:webHidden/>
              </w:rPr>
              <w:fldChar w:fldCharType="begin"/>
            </w:r>
            <w:r w:rsidR="00EA52C4">
              <w:rPr>
                <w:noProof/>
                <w:webHidden/>
              </w:rPr>
              <w:instrText xml:space="preserve"> PAGEREF _Toc149638582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18100F2B" w14:textId="49DC0590"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83" w:history="1">
            <w:r w:rsidR="00EA52C4" w:rsidRPr="00DC4B69">
              <w:rPr>
                <w:rStyle w:val="Hyperlink"/>
                <w:noProof/>
              </w:rPr>
              <w:t>AusPAR quality assurance process</w:t>
            </w:r>
            <w:r w:rsidR="00EA52C4">
              <w:rPr>
                <w:noProof/>
                <w:webHidden/>
              </w:rPr>
              <w:tab/>
            </w:r>
            <w:r w:rsidR="00EA52C4">
              <w:rPr>
                <w:noProof/>
                <w:webHidden/>
              </w:rPr>
              <w:fldChar w:fldCharType="begin"/>
            </w:r>
            <w:r w:rsidR="00EA52C4">
              <w:rPr>
                <w:noProof/>
                <w:webHidden/>
              </w:rPr>
              <w:instrText xml:space="preserve"> PAGEREF _Toc149638583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3B229DCB" w14:textId="4A6E3105" w:rsidR="00EA52C4" w:rsidRDefault="00B31E8D">
          <w:pPr>
            <w:pStyle w:val="TOC1"/>
            <w:rPr>
              <w:rFonts w:asciiTheme="minorHAnsi" w:eastAsiaTheme="minorEastAsia" w:hAnsiTheme="minorHAnsi" w:cstheme="minorBidi"/>
              <w:b w:val="0"/>
              <w:noProof/>
              <w:color w:val="auto"/>
              <w:sz w:val="22"/>
              <w:szCs w:val="22"/>
              <w:lang w:eastAsia="en-AU"/>
            </w:rPr>
          </w:pPr>
          <w:hyperlink w:anchor="_Toc149638584" w:history="1">
            <w:r w:rsidR="00EA52C4" w:rsidRPr="00DC4B69">
              <w:rPr>
                <w:rStyle w:val="Hyperlink"/>
                <w:noProof/>
              </w:rPr>
              <w:t>How to access AusPARs and other relevant information</w:t>
            </w:r>
            <w:r w:rsidR="00EA52C4">
              <w:rPr>
                <w:noProof/>
                <w:webHidden/>
              </w:rPr>
              <w:tab/>
            </w:r>
            <w:r w:rsidR="00EA52C4">
              <w:rPr>
                <w:noProof/>
                <w:webHidden/>
              </w:rPr>
              <w:fldChar w:fldCharType="begin"/>
            </w:r>
            <w:r w:rsidR="00EA52C4">
              <w:rPr>
                <w:noProof/>
                <w:webHidden/>
              </w:rPr>
              <w:instrText xml:space="preserve"> PAGEREF _Toc149638584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3A0C3EED" w14:textId="7575F365"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85" w:history="1">
            <w:r w:rsidR="00EA52C4" w:rsidRPr="00DC4B69">
              <w:rPr>
                <w:rStyle w:val="Hyperlink"/>
                <w:noProof/>
              </w:rPr>
              <w:t>Searching AusPARs</w:t>
            </w:r>
            <w:r w:rsidR="00EA52C4">
              <w:rPr>
                <w:noProof/>
                <w:webHidden/>
              </w:rPr>
              <w:tab/>
            </w:r>
            <w:r w:rsidR="00EA52C4">
              <w:rPr>
                <w:noProof/>
                <w:webHidden/>
              </w:rPr>
              <w:fldChar w:fldCharType="begin"/>
            </w:r>
            <w:r w:rsidR="00EA52C4">
              <w:rPr>
                <w:noProof/>
                <w:webHidden/>
              </w:rPr>
              <w:instrText xml:space="preserve"> PAGEREF _Toc149638585 \h </w:instrText>
            </w:r>
            <w:r w:rsidR="00EA52C4">
              <w:rPr>
                <w:noProof/>
                <w:webHidden/>
              </w:rPr>
            </w:r>
            <w:r w:rsidR="00EA52C4">
              <w:rPr>
                <w:noProof/>
                <w:webHidden/>
              </w:rPr>
              <w:fldChar w:fldCharType="separate"/>
            </w:r>
            <w:r w:rsidR="00EA52C4">
              <w:rPr>
                <w:noProof/>
                <w:webHidden/>
              </w:rPr>
              <w:t>9</w:t>
            </w:r>
            <w:r w:rsidR="00EA52C4">
              <w:rPr>
                <w:noProof/>
                <w:webHidden/>
              </w:rPr>
              <w:fldChar w:fldCharType="end"/>
            </w:r>
          </w:hyperlink>
        </w:p>
        <w:p w14:paraId="02D6DD32" w14:textId="6BE33789"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86" w:history="1">
            <w:r w:rsidR="00EA52C4" w:rsidRPr="00DC4B69">
              <w:rPr>
                <w:rStyle w:val="Hyperlink"/>
                <w:noProof/>
              </w:rPr>
              <w:t>Product Information (PI)</w:t>
            </w:r>
            <w:r w:rsidR="00EA52C4">
              <w:rPr>
                <w:noProof/>
                <w:webHidden/>
              </w:rPr>
              <w:tab/>
            </w:r>
            <w:r w:rsidR="00EA52C4">
              <w:rPr>
                <w:noProof/>
                <w:webHidden/>
              </w:rPr>
              <w:fldChar w:fldCharType="begin"/>
            </w:r>
            <w:r w:rsidR="00EA52C4">
              <w:rPr>
                <w:noProof/>
                <w:webHidden/>
              </w:rPr>
              <w:instrText xml:space="preserve"> PAGEREF _Toc149638586 \h </w:instrText>
            </w:r>
            <w:r w:rsidR="00EA52C4">
              <w:rPr>
                <w:noProof/>
                <w:webHidden/>
              </w:rPr>
            </w:r>
            <w:r w:rsidR="00EA52C4">
              <w:rPr>
                <w:noProof/>
                <w:webHidden/>
              </w:rPr>
              <w:fldChar w:fldCharType="separate"/>
            </w:r>
            <w:r w:rsidR="00EA52C4">
              <w:rPr>
                <w:noProof/>
                <w:webHidden/>
              </w:rPr>
              <w:t>10</w:t>
            </w:r>
            <w:r w:rsidR="00EA52C4">
              <w:rPr>
                <w:noProof/>
                <w:webHidden/>
              </w:rPr>
              <w:fldChar w:fldCharType="end"/>
            </w:r>
          </w:hyperlink>
        </w:p>
        <w:p w14:paraId="07F08B81" w14:textId="4394B336" w:rsidR="00EA52C4" w:rsidRDefault="00B31E8D">
          <w:pPr>
            <w:pStyle w:val="TOC2"/>
            <w:rPr>
              <w:rFonts w:asciiTheme="minorHAnsi" w:eastAsiaTheme="minorEastAsia" w:hAnsiTheme="minorHAnsi" w:cstheme="minorBidi"/>
              <w:b w:val="0"/>
              <w:noProof/>
              <w:color w:val="auto"/>
              <w:sz w:val="22"/>
              <w:szCs w:val="22"/>
              <w:lang w:eastAsia="en-AU"/>
            </w:rPr>
          </w:pPr>
          <w:hyperlink w:anchor="_Toc149638587" w:history="1">
            <w:r w:rsidR="00EA52C4" w:rsidRPr="00DC4B69">
              <w:rPr>
                <w:rStyle w:val="Hyperlink"/>
                <w:noProof/>
              </w:rPr>
              <w:t>Release of AusPAR to Therapeutic Guidelines Ltd</w:t>
            </w:r>
            <w:r w:rsidR="00EA52C4">
              <w:rPr>
                <w:noProof/>
                <w:webHidden/>
              </w:rPr>
              <w:tab/>
            </w:r>
            <w:r w:rsidR="00EA52C4">
              <w:rPr>
                <w:noProof/>
                <w:webHidden/>
              </w:rPr>
              <w:fldChar w:fldCharType="begin"/>
            </w:r>
            <w:r w:rsidR="00EA52C4">
              <w:rPr>
                <w:noProof/>
                <w:webHidden/>
              </w:rPr>
              <w:instrText xml:space="preserve"> PAGEREF _Toc149638587 \h </w:instrText>
            </w:r>
            <w:r w:rsidR="00EA52C4">
              <w:rPr>
                <w:noProof/>
                <w:webHidden/>
              </w:rPr>
            </w:r>
            <w:r w:rsidR="00EA52C4">
              <w:rPr>
                <w:noProof/>
                <w:webHidden/>
              </w:rPr>
              <w:fldChar w:fldCharType="separate"/>
            </w:r>
            <w:r w:rsidR="00EA52C4">
              <w:rPr>
                <w:noProof/>
                <w:webHidden/>
              </w:rPr>
              <w:t>10</w:t>
            </w:r>
            <w:r w:rsidR="00EA52C4">
              <w:rPr>
                <w:noProof/>
                <w:webHidden/>
              </w:rPr>
              <w:fldChar w:fldCharType="end"/>
            </w:r>
          </w:hyperlink>
        </w:p>
        <w:p w14:paraId="634ECEA6" w14:textId="32247A28" w:rsidR="00F02AEC" w:rsidRPr="00215D48" w:rsidRDefault="00F02AEC" w:rsidP="00F401EF">
          <w:r w:rsidRPr="00215D48">
            <w:fldChar w:fldCharType="end"/>
          </w:r>
        </w:p>
      </w:sdtContent>
    </w:sdt>
    <w:p w14:paraId="615AAFB0" w14:textId="77777777" w:rsidR="00F02AEC" w:rsidRPr="00215D48" w:rsidRDefault="00F02AEC" w:rsidP="0055653F">
      <w:r w:rsidRPr="00215D48">
        <w:br w:type="page"/>
      </w:r>
    </w:p>
    <w:p w14:paraId="640DC07D" w14:textId="77777777" w:rsidR="001A3695" w:rsidRPr="003E1A44" w:rsidRDefault="001A3695" w:rsidP="001A3695">
      <w:pPr>
        <w:pStyle w:val="Heading2"/>
      </w:pPr>
      <w:bookmarkStart w:id="0" w:name="_Toc70689841"/>
      <w:bookmarkStart w:id="1" w:name="_Toc141364428"/>
      <w:bookmarkStart w:id="2" w:name="_Toc149638562"/>
      <w:bookmarkStart w:id="3" w:name="_Toc362510444"/>
      <w:bookmarkStart w:id="4" w:name="_Toc409764871"/>
      <w:r>
        <w:lastRenderedPageBreak/>
        <w:t>About this guidance</w:t>
      </w:r>
      <w:bookmarkEnd w:id="0"/>
      <w:bookmarkEnd w:id="1"/>
      <w:bookmarkEnd w:id="2"/>
    </w:p>
    <w:p w14:paraId="7E9E6967" w14:textId="77777777" w:rsidR="001A3695" w:rsidRDefault="001A3695" w:rsidP="001A3695">
      <w:r>
        <w:t>This guidance describes the information included in an Australian Public Assessment Report (AusPAR) and the circumstances under which the Therapeutic Goods Administration (TGA) publishes them.</w:t>
      </w:r>
    </w:p>
    <w:p w14:paraId="1E3E8723" w14:textId="77777777" w:rsidR="001A3695" w:rsidRDefault="001A3695" w:rsidP="001A3695">
      <w:pPr>
        <w:pStyle w:val="Heading2"/>
      </w:pPr>
      <w:bookmarkStart w:id="5" w:name="_Toc70689842"/>
      <w:bookmarkStart w:id="6" w:name="_Toc141364429"/>
      <w:bookmarkStart w:id="7" w:name="_Toc149638563"/>
      <w:r>
        <w:t>Australian Public Assessment Reports (AusPARs)</w:t>
      </w:r>
      <w:bookmarkEnd w:id="5"/>
      <w:bookmarkEnd w:id="6"/>
      <w:bookmarkEnd w:id="7"/>
    </w:p>
    <w:p w14:paraId="5FD300C9" w14:textId="75A6A1F6" w:rsidR="001A3695" w:rsidRDefault="001A3695" w:rsidP="001A3695">
      <w:r w:rsidRPr="00F24396">
        <w:t xml:space="preserve">The TGA evaluates </w:t>
      </w:r>
      <w:r>
        <w:t>submissions</w:t>
      </w:r>
      <w:r w:rsidRPr="00F24396">
        <w:t xml:space="preserve"> for the registration of </w:t>
      </w:r>
      <w:r>
        <w:t>therapeutic goods on</w:t>
      </w:r>
      <w:r w:rsidRPr="00F24396">
        <w:t xml:space="preserve"> the </w:t>
      </w:r>
      <w:hyperlink r:id="rId12" w:history="1">
        <w:r w:rsidRPr="00136E9A">
          <w:rPr>
            <w:rStyle w:val="Hyperlink"/>
          </w:rPr>
          <w:t>Australian Register of Therapeutic Goods (ARTG)</w:t>
        </w:r>
      </w:hyperlink>
      <w:r>
        <w:t>. An AusPAR provides information on the steps undertaken in the submission evaluation, the outcomes of each major evaluation and the reasons for any decisions.</w:t>
      </w:r>
    </w:p>
    <w:p w14:paraId="3CD20C44" w14:textId="63EDE52B" w:rsidR="001A3695" w:rsidRDefault="001A3695" w:rsidP="001A3695">
      <w:r>
        <w:t>AusPARs are prepared by the TGA and published on the TGA website (under s</w:t>
      </w:r>
      <w:r w:rsidRPr="00EE2427">
        <w:t>ection 61</w:t>
      </w:r>
      <w:r w:rsidRPr="009B48BF">
        <w:t xml:space="preserve"> of the </w:t>
      </w:r>
      <w:hyperlink r:id="rId13" w:history="1">
        <w:r w:rsidRPr="009B48BF">
          <w:rPr>
            <w:rStyle w:val="Hyperlink"/>
            <w:i/>
          </w:rPr>
          <w:t>Therapeutic Goods Act 1989</w:t>
        </w:r>
      </w:hyperlink>
      <w:r>
        <w:t xml:space="preserve"> (the Act)). The publication of an AusPAR is an important part of the TGA’s commitment to transparency of the decision-making process.</w:t>
      </w:r>
    </w:p>
    <w:p w14:paraId="612D6019" w14:textId="5D4B6CA7" w:rsidR="001A3695" w:rsidRDefault="001A3695" w:rsidP="001A3695">
      <w:r>
        <w:t xml:space="preserve">Each </w:t>
      </w:r>
      <w:r w:rsidRPr="00932AF5">
        <w:t xml:space="preserve">AusPAR is </w:t>
      </w:r>
      <w:r>
        <w:t xml:space="preserve">generally </w:t>
      </w:r>
      <w:r w:rsidRPr="00932AF5">
        <w:t>a static document</w:t>
      </w:r>
      <w:r>
        <w:t xml:space="preserve"> that </w:t>
      </w:r>
      <w:r w:rsidRPr="00932AF5">
        <w:t>provide</w:t>
      </w:r>
      <w:r>
        <w:t>s</w:t>
      </w:r>
      <w:r w:rsidRPr="00932AF5">
        <w:t xml:space="preserve"> </w:t>
      </w:r>
      <w:r>
        <w:t xml:space="preserve">evaluation information related to a submission at a particular point in time. The AusPAR will not be updated to reflect variations to a prescription medicine after it has been registered by the TGA, except </w:t>
      </w:r>
      <w:r w:rsidRPr="00FD6DB6">
        <w:t xml:space="preserve">for relevant </w:t>
      </w:r>
      <w:r>
        <w:t xml:space="preserve">submissions </w:t>
      </w:r>
      <w:r w:rsidRPr="00FD6DB6">
        <w:t xml:space="preserve">where a reconsideration of the initial decision is requested, through a </w:t>
      </w:r>
      <w:hyperlink r:id="rId14" w:history="1">
        <w:r w:rsidRPr="00A1081B">
          <w:rPr>
            <w:rStyle w:val="Hyperlink"/>
          </w:rPr>
          <w:t>section 60 review</w:t>
        </w:r>
      </w:hyperlink>
      <w:r>
        <w:rPr>
          <w:rStyle w:val="Hyperlink"/>
        </w:rPr>
        <w:t xml:space="preserve"> </w:t>
      </w:r>
      <w:r w:rsidRPr="00FD6DB6">
        <w:t xml:space="preserve">or appeal to the </w:t>
      </w:r>
      <w:hyperlink r:id="rId15" w:history="1">
        <w:r w:rsidRPr="00FD6DB6">
          <w:rPr>
            <w:rStyle w:val="Hyperlink"/>
          </w:rPr>
          <w:t>Australian Appeals Tribunal (AAT)</w:t>
        </w:r>
      </w:hyperlink>
      <w:r w:rsidRPr="00FD6DB6">
        <w:t>.</w:t>
      </w:r>
      <w:r>
        <w:t xml:space="preserve"> </w:t>
      </w:r>
      <w:r w:rsidRPr="003C1DF6">
        <w:t xml:space="preserve">A new AusPAR will be published for </w:t>
      </w:r>
      <w:r w:rsidRPr="00703643">
        <w:t xml:space="preserve">certain </w:t>
      </w:r>
      <w:r w:rsidRPr="003C1DF6">
        <w:t>subsequent applications.</w:t>
      </w:r>
    </w:p>
    <w:p w14:paraId="24CC7F4B" w14:textId="77777777" w:rsidR="001A3695" w:rsidRDefault="001A3695" w:rsidP="001A3695">
      <w:r>
        <w:t>The first AusPAR was published in November 2009.</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A3695" w:rsidRPr="00330764" w14:paraId="263B573B" w14:textId="77777777" w:rsidTr="00A155DF">
        <w:tc>
          <w:tcPr>
            <w:tcW w:w="1276" w:type="dxa"/>
            <w:vAlign w:val="center"/>
          </w:tcPr>
          <w:p w14:paraId="543C1C6A" w14:textId="77777777" w:rsidR="001A3695" w:rsidRPr="009B48BF" w:rsidRDefault="001A3695" w:rsidP="00A155DF">
            <w:r w:rsidRPr="009B48BF">
              <w:rPr>
                <w:noProof/>
                <w:lang w:eastAsia="en-AU"/>
              </w:rPr>
              <w:drawing>
                <wp:inline distT="0" distB="0" distL="0" distR="0" wp14:anchorId="496A65B3" wp14:editId="11CC7014">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11AE2E1" w14:textId="77777777" w:rsidR="001A3695" w:rsidRPr="00554CD4" w:rsidRDefault="001A3695" w:rsidP="00A155DF">
            <w:pPr>
              <w:rPr>
                <w:rFonts w:ascii="Arial" w:hAnsi="Arial" w:cs="Arial"/>
              </w:rPr>
            </w:pPr>
            <w:r w:rsidRPr="00554CD4">
              <w:rPr>
                <w:rFonts w:ascii="Arial" w:hAnsi="Arial" w:cs="Arial"/>
              </w:rPr>
              <w:t>Under section 61 of the Act, the TGA can publish information about therapeutic goods. The following provisions are relevant:</w:t>
            </w:r>
          </w:p>
          <w:p w14:paraId="1F7E9972" w14:textId="77777777" w:rsidR="001A3695" w:rsidRPr="00EE2427" w:rsidRDefault="001A3695" w:rsidP="001A3695">
            <w:pPr>
              <w:pStyle w:val="ListBullet"/>
              <w:ind w:left="425" w:hanging="425"/>
            </w:pPr>
            <w:r>
              <w:t>s</w:t>
            </w:r>
            <w:r w:rsidRPr="00EE2427">
              <w:t>ubsection 61(5A)</w:t>
            </w:r>
            <w:r>
              <w:t>,</w:t>
            </w:r>
            <w:r w:rsidRPr="009B48BF">
              <w:t xml:space="preserve"> which provides that the Secretary of the Department of Health </w:t>
            </w:r>
            <w:r w:rsidRPr="004461B9">
              <w:t>and Aged Care</w:t>
            </w:r>
            <w:r>
              <w:t xml:space="preserve"> </w:t>
            </w:r>
            <w:r w:rsidRPr="009B48BF">
              <w:t xml:space="preserve">can release to the public ‘therapeutic goods information’ relating to any decision or action taken under the Act or the regulations made under the </w:t>
            </w:r>
            <w:r>
              <w:t>Act.</w:t>
            </w:r>
          </w:p>
          <w:p w14:paraId="56D17DBC" w14:textId="77777777" w:rsidR="001A3695" w:rsidRPr="00EE2427" w:rsidRDefault="001A3695" w:rsidP="001A3695">
            <w:pPr>
              <w:pStyle w:val="ListBullet"/>
              <w:ind w:left="425" w:hanging="425"/>
            </w:pPr>
            <w:r>
              <w:t>s</w:t>
            </w:r>
            <w:r w:rsidRPr="00EE2427">
              <w:t>ubsection 61(5C</w:t>
            </w:r>
            <w:r w:rsidRPr="009B48BF">
              <w:t>)</w:t>
            </w:r>
            <w:r>
              <w:t>,</w:t>
            </w:r>
            <w:r w:rsidRPr="009B48BF">
              <w:t xml:space="preserve"> which provides that the Secretary can release to the public ‘therapeutic goods information’ of a kind specified under </w:t>
            </w:r>
            <w:r>
              <w:t>S</w:t>
            </w:r>
            <w:r w:rsidRPr="009B48BF">
              <w:t>ubsection 61(5D)</w:t>
            </w:r>
            <w:r>
              <w:t>.</w:t>
            </w:r>
          </w:p>
          <w:p w14:paraId="3DD16E89" w14:textId="77777777" w:rsidR="001A3695" w:rsidRDefault="001A3695" w:rsidP="001A3695">
            <w:pPr>
              <w:pStyle w:val="ListBullet"/>
              <w:ind w:left="425" w:hanging="425"/>
            </w:pPr>
            <w:r>
              <w:t>s</w:t>
            </w:r>
            <w:r w:rsidRPr="00EE2427">
              <w:t>ubsection 61(5D</w:t>
            </w:r>
            <w:r w:rsidRPr="009B48BF">
              <w:t>)</w:t>
            </w:r>
            <w:r>
              <w:t>,</w:t>
            </w:r>
            <w:r w:rsidRPr="009B48BF">
              <w:t xml:space="preserve"> which provides that the Minister for Health</w:t>
            </w:r>
            <w:r>
              <w:t xml:space="preserve"> </w:t>
            </w:r>
            <w:r w:rsidRPr="004461B9">
              <w:t>and Aged Care</w:t>
            </w:r>
            <w:r w:rsidRPr="009B48BF">
              <w:t xml:space="preserve"> can, by legislative instrument, specify kinds of therapeutic goods information for the purpose of </w:t>
            </w:r>
            <w:r>
              <w:t>s</w:t>
            </w:r>
            <w:r w:rsidRPr="009B48BF">
              <w:t>ubsection 61(5C).</w:t>
            </w:r>
          </w:p>
          <w:p w14:paraId="268A646C" w14:textId="19AC1DB0" w:rsidR="001A3695" w:rsidRPr="00330764" w:rsidRDefault="001A3695" w:rsidP="00A155DF">
            <w:pPr>
              <w:pStyle w:val="ListBullet"/>
              <w:numPr>
                <w:ilvl w:val="0"/>
                <w:numId w:val="0"/>
              </w:numPr>
            </w:pPr>
            <w:r>
              <w:t>See</w:t>
            </w:r>
            <w:r w:rsidRPr="00FD6DB6">
              <w:t xml:space="preserve"> </w:t>
            </w:r>
            <w:hyperlink r:id="rId17" w:history="1">
              <w:r w:rsidRPr="00FD6DB6">
                <w:rPr>
                  <w:rStyle w:val="Hyperlink"/>
                </w:rPr>
                <w:t>Specification Therapeutic Goods Information Specification 2017</w:t>
              </w:r>
            </w:hyperlink>
            <w:r>
              <w:t xml:space="preserve"> for more information.</w:t>
            </w:r>
          </w:p>
        </w:tc>
      </w:tr>
    </w:tbl>
    <w:p w14:paraId="4D8E3DA9" w14:textId="7059B41A" w:rsidR="001A3695" w:rsidRPr="00D26D9C" w:rsidRDefault="00FF65BD" w:rsidP="001A3695">
      <w:pPr>
        <w:pStyle w:val="Heading2"/>
      </w:pPr>
      <w:bookmarkStart w:id="8" w:name="_Toc149638564"/>
      <w:r>
        <w:t>When is an AusPAR required</w:t>
      </w:r>
      <w:bookmarkEnd w:id="8"/>
    </w:p>
    <w:p w14:paraId="64E06451" w14:textId="19C53EC9" w:rsidR="001A3695" w:rsidRDefault="001A3695" w:rsidP="001A3695">
      <w:r>
        <w:t xml:space="preserve">AusPARs are published for </w:t>
      </w:r>
      <w:r w:rsidR="00603941">
        <w:t xml:space="preserve">submissions </w:t>
      </w:r>
      <w:r>
        <w:t xml:space="preserve">where the significance to the public </w:t>
      </w:r>
      <w:proofErr w:type="gramStart"/>
      <w:r>
        <w:t>is considered to be</w:t>
      </w:r>
      <w:proofErr w:type="gramEnd"/>
      <w:r>
        <w:t xml:space="preserve"> high. An AusPAR is not published for every prescription medicine </w:t>
      </w:r>
      <w:r w:rsidR="00603941">
        <w:t>submission</w:t>
      </w:r>
      <w:r>
        <w:t>.</w:t>
      </w:r>
    </w:p>
    <w:p w14:paraId="0F757529" w14:textId="77777777" w:rsidR="001A3695" w:rsidRPr="00F732FF" w:rsidRDefault="001A3695" w:rsidP="001A3695">
      <w:pPr>
        <w:pStyle w:val="Heading3"/>
        <w:rPr>
          <w:rStyle w:val="Heading3Char"/>
          <w:rFonts w:eastAsia="Cambria"/>
          <w:b/>
          <w:bCs/>
        </w:rPr>
      </w:pPr>
      <w:bookmarkStart w:id="9" w:name="_AusPARs_by_application_1"/>
      <w:bookmarkStart w:id="10" w:name="_Toc70689844"/>
      <w:bookmarkStart w:id="11" w:name="_Toc141364431"/>
      <w:bookmarkStart w:id="12" w:name="_Toc149638565"/>
      <w:bookmarkEnd w:id="9"/>
      <w:r w:rsidRPr="00F732FF">
        <w:rPr>
          <w:rStyle w:val="Heading3Char"/>
          <w:rFonts w:eastAsia="Cambria"/>
          <w:b/>
          <w:bCs/>
        </w:rPr>
        <w:t>AusPARs by application type</w:t>
      </w:r>
      <w:bookmarkEnd w:id="10"/>
      <w:bookmarkEnd w:id="11"/>
      <w:bookmarkEnd w:id="12"/>
    </w:p>
    <w:p w14:paraId="281C516E" w14:textId="47957481" w:rsidR="001A3695" w:rsidRDefault="001A3695" w:rsidP="001A3695">
      <w:r>
        <w:t xml:space="preserve">The following table sets out the business </w:t>
      </w:r>
      <w:r w:rsidRPr="00E66621">
        <w:t xml:space="preserve">rules we apply when deciding </w:t>
      </w:r>
      <w:r>
        <w:t>which</w:t>
      </w:r>
      <w:r w:rsidRPr="00E66621">
        <w:t xml:space="preserve"> </w:t>
      </w:r>
      <w:r w:rsidR="00603941">
        <w:t>submissions</w:t>
      </w:r>
      <w:r w:rsidR="00603941" w:rsidRPr="00E66621">
        <w:t xml:space="preserve"> </w:t>
      </w:r>
      <w:r w:rsidRPr="00E66621">
        <w:t xml:space="preserve">will receive an AusPAR by </w:t>
      </w:r>
      <w:r w:rsidR="00C507F8">
        <w:t xml:space="preserve">major </w:t>
      </w:r>
      <w:r w:rsidRPr="00E66621">
        <w:t>application type.</w:t>
      </w:r>
      <w:r w:rsidR="00C507F8">
        <w:t xml:space="preserve"> However, as highlighted above an AusPAR can be published for any submission (regardless of application type) for which the significance to the public </w:t>
      </w:r>
      <w:proofErr w:type="gramStart"/>
      <w:r w:rsidR="00C507F8">
        <w:t>is considered to be</w:t>
      </w:r>
      <w:proofErr w:type="gramEnd"/>
      <w:r w:rsidR="00C507F8">
        <w:t xml:space="preserve"> high.</w:t>
      </w:r>
    </w:p>
    <w:p w14:paraId="616CB0E4" w14:textId="740105B0" w:rsidR="001A3695" w:rsidRDefault="001A3695" w:rsidP="001A3695">
      <w:r>
        <w:lastRenderedPageBreak/>
        <w:t xml:space="preserve">Other than in relation to </w:t>
      </w:r>
      <w:r w:rsidR="001C5231">
        <w:t xml:space="preserve">Category 1 </w:t>
      </w:r>
      <w:r>
        <w:t xml:space="preserve">Type A and Type B applications, the TGA will exercise discretion as to whether an AusPAR </w:t>
      </w:r>
      <w:r w:rsidRPr="000D0841">
        <w:t xml:space="preserve">is </w:t>
      </w:r>
      <w:r>
        <w:t xml:space="preserve">published. For example, submissions that are considered by the </w:t>
      </w:r>
      <w:hyperlink r:id="rId18" w:history="1">
        <w:r w:rsidRPr="003C1DF6">
          <w:rPr>
            <w:rStyle w:val="Hyperlink"/>
          </w:rPr>
          <w:t>Advisory Committee on Medicines (ACM)</w:t>
        </w:r>
      </w:hyperlink>
      <w:r>
        <w:t xml:space="preserve"> or </w:t>
      </w:r>
      <w:hyperlink r:id="rId19" w:history="1">
        <w:r w:rsidRPr="003C1DF6">
          <w:rPr>
            <w:rStyle w:val="Hyperlink"/>
          </w:rPr>
          <w:t>Advisory Committee on Vaccines (ACV)</w:t>
        </w:r>
      </w:hyperlink>
      <w:r>
        <w:t xml:space="preserve"> are likely to get an AusPAR.</w:t>
      </w:r>
    </w:p>
    <w:p w14:paraId="21CB030E" w14:textId="77777777" w:rsidR="001A3695" w:rsidRPr="008E40EF" w:rsidRDefault="001A3695" w:rsidP="001A3695">
      <w:pPr>
        <w:pStyle w:val="Tabletitle"/>
        <w:rPr>
          <w:color w:val="000000" w:themeColor="text1"/>
        </w:rPr>
      </w:pPr>
      <w:bookmarkStart w:id="13" w:name="_Toc70689845"/>
      <w:r w:rsidRPr="008E40EF">
        <w:rPr>
          <w:color w:val="000000" w:themeColor="text1"/>
        </w:rPr>
        <w:t>Summary of AusPAR requirements by application types</w:t>
      </w:r>
    </w:p>
    <w:tbl>
      <w:tblPr>
        <w:tblStyle w:val="TableTGAblue2023"/>
        <w:tblW w:w="5000" w:type="pct"/>
        <w:tblLook w:val="01E0" w:firstRow="1" w:lastRow="1" w:firstColumn="1" w:lastColumn="1" w:noHBand="0" w:noVBand="0"/>
      </w:tblPr>
      <w:tblGrid>
        <w:gridCol w:w="1339"/>
        <w:gridCol w:w="5936"/>
        <w:gridCol w:w="1785"/>
      </w:tblGrid>
      <w:tr w:rsidR="001A3695" w:rsidRPr="008013AB" w14:paraId="3476C1DF" w14:textId="77777777" w:rsidTr="001A3695">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4015" w:type="pct"/>
            <w:gridSpan w:val="2"/>
          </w:tcPr>
          <w:p w14:paraId="0440FCF7" w14:textId="79D27AE3" w:rsidR="001A3695" w:rsidRPr="001A3695" w:rsidRDefault="001A3695" w:rsidP="00A155DF">
            <w:pPr>
              <w:rPr>
                <w:b w:val="0"/>
                <w:color w:val="000000" w:themeColor="text1"/>
                <w:sz w:val="20"/>
              </w:rPr>
            </w:pPr>
            <w:r w:rsidRPr="001A3695">
              <w:rPr>
                <w:color w:val="000000" w:themeColor="text1"/>
                <w:sz w:val="20"/>
              </w:rPr>
              <w:t>Application types</w:t>
            </w:r>
          </w:p>
        </w:tc>
        <w:tc>
          <w:tcPr>
            <w:tcW w:w="985" w:type="pct"/>
          </w:tcPr>
          <w:p w14:paraId="4C355124" w14:textId="77777777" w:rsidR="001A3695" w:rsidRPr="001A3695" w:rsidRDefault="001A3695" w:rsidP="00A155DF">
            <w:pP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1A3695">
              <w:rPr>
                <w:color w:val="000000" w:themeColor="text1"/>
                <w:sz w:val="20"/>
              </w:rPr>
              <w:t>AusPAR published?</w:t>
            </w:r>
          </w:p>
        </w:tc>
      </w:tr>
      <w:tr w:rsidR="001A3695" w:rsidRPr="008013AB" w14:paraId="4558B5AB"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4AF86226" w14:textId="77777777" w:rsidR="001A3695" w:rsidRPr="008E40EF" w:rsidRDefault="001A3695" w:rsidP="00A155DF">
            <w:pPr>
              <w:rPr>
                <w:szCs w:val="20"/>
              </w:rPr>
            </w:pPr>
            <w:r w:rsidRPr="008E40EF">
              <w:rPr>
                <w:szCs w:val="20"/>
              </w:rPr>
              <w:t>Type A</w:t>
            </w:r>
          </w:p>
        </w:tc>
        <w:tc>
          <w:tcPr>
            <w:tcW w:w="3276" w:type="pct"/>
          </w:tcPr>
          <w:p w14:paraId="35DA395A"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New chemical/biological entity, new salt/ester/isomer/complex/derivative of an existing active ingredient, a similar biological medicinal product</w:t>
            </w:r>
          </w:p>
        </w:tc>
        <w:tc>
          <w:tcPr>
            <w:tcW w:w="985" w:type="pct"/>
          </w:tcPr>
          <w:p w14:paraId="0FD6FA9B"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Yes</w:t>
            </w:r>
          </w:p>
        </w:tc>
      </w:tr>
      <w:tr w:rsidR="001A3695" w:rsidRPr="008013AB" w14:paraId="29C6EDB9"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773E4526" w14:textId="77777777" w:rsidR="001A3695" w:rsidRPr="008E40EF" w:rsidRDefault="001A3695" w:rsidP="00A155DF">
            <w:pPr>
              <w:rPr>
                <w:szCs w:val="20"/>
              </w:rPr>
            </w:pPr>
            <w:r w:rsidRPr="008E40EF">
              <w:rPr>
                <w:szCs w:val="20"/>
              </w:rPr>
              <w:t>Type B</w:t>
            </w:r>
          </w:p>
        </w:tc>
        <w:tc>
          <w:tcPr>
            <w:tcW w:w="3276" w:type="pct"/>
          </w:tcPr>
          <w:p w14:paraId="2AEFAF74"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New fixed combination medicine</w:t>
            </w:r>
          </w:p>
        </w:tc>
        <w:tc>
          <w:tcPr>
            <w:tcW w:w="985" w:type="pct"/>
          </w:tcPr>
          <w:p w14:paraId="482AB74D"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Yes</w:t>
            </w:r>
          </w:p>
        </w:tc>
      </w:tr>
      <w:tr w:rsidR="001A3695" w:rsidRPr="008013AB" w14:paraId="285D5104"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4F9AA97F" w14:textId="77777777" w:rsidR="001A3695" w:rsidRPr="008E40EF" w:rsidRDefault="001A3695" w:rsidP="00A155DF">
            <w:pPr>
              <w:rPr>
                <w:szCs w:val="20"/>
              </w:rPr>
            </w:pPr>
            <w:r w:rsidRPr="008E40EF">
              <w:rPr>
                <w:szCs w:val="20"/>
              </w:rPr>
              <w:t>Type C</w:t>
            </w:r>
          </w:p>
        </w:tc>
        <w:tc>
          <w:tcPr>
            <w:tcW w:w="3276" w:type="pct"/>
          </w:tcPr>
          <w:p w14:paraId="7B655E6D"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Extension of indications</w:t>
            </w:r>
          </w:p>
        </w:tc>
        <w:tc>
          <w:tcPr>
            <w:tcW w:w="985" w:type="pct"/>
          </w:tcPr>
          <w:p w14:paraId="7AE46E03"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r w:rsidR="001A3695" w:rsidRPr="008013AB" w14:paraId="20902EA7"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1EF9DDE6" w14:textId="77777777" w:rsidR="001A3695" w:rsidRPr="008E40EF" w:rsidRDefault="001A3695" w:rsidP="00A155DF">
            <w:pPr>
              <w:rPr>
                <w:szCs w:val="20"/>
              </w:rPr>
            </w:pPr>
            <w:r w:rsidRPr="008E40EF">
              <w:rPr>
                <w:szCs w:val="20"/>
              </w:rPr>
              <w:t>Type D</w:t>
            </w:r>
          </w:p>
        </w:tc>
        <w:tc>
          <w:tcPr>
            <w:tcW w:w="3276" w:type="pct"/>
          </w:tcPr>
          <w:p w14:paraId="72C2730E"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Generic medicine</w:t>
            </w:r>
          </w:p>
        </w:tc>
        <w:tc>
          <w:tcPr>
            <w:tcW w:w="985" w:type="pct"/>
          </w:tcPr>
          <w:p w14:paraId="28C4CA43"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r w:rsidR="001A3695" w:rsidRPr="008013AB" w14:paraId="4DD1F28A"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565A8CFD" w14:textId="77777777" w:rsidR="001A3695" w:rsidRPr="008E40EF" w:rsidRDefault="001A3695" w:rsidP="00A155DF">
            <w:pPr>
              <w:rPr>
                <w:szCs w:val="20"/>
              </w:rPr>
            </w:pPr>
            <w:r w:rsidRPr="008E40EF">
              <w:rPr>
                <w:szCs w:val="20"/>
              </w:rPr>
              <w:t>Type F</w:t>
            </w:r>
          </w:p>
        </w:tc>
        <w:tc>
          <w:tcPr>
            <w:tcW w:w="3276" w:type="pct"/>
          </w:tcPr>
          <w:p w14:paraId="6ADFBB52"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Major variation (new dosage form, change/increase in patient group, change in dosage, new strength, new route of administration)</w:t>
            </w:r>
          </w:p>
        </w:tc>
        <w:tc>
          <w:tcPr>
            <w:tcW w:w="985" w:type="pct"/>
          </w:tcPr>
          <w:p w14:paraId="24222AD5"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r w:rsidR="001A3695" w:rsidRPr="008013AB" w14:paraId="474B8993"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0A5264B7" w14:textId="77777777" w:rsidR="001A3695" w:rsidRPr="008E40EF" w:rsidRDefault="001A3695" w:rsidP="00A155DF">
            <w:pPr>
              <w:rPr>
                <w:szCs w:val="20"/>
              </w:rPr>
            </w:pPr>
            <w:r w:rsidRPr="008E40EF">
              <w:rPr>
                <w:szCs w:val="20"/>
              </w:rPr>
              <w:t>Type J</w:t>
            </w:r>
          </w:p>
        </w:tc>
        <w:tc>
          <w:tcPr>
            <w:tcW w:w="3276" w:type="pct"/>
          </w:tcPr>
          <w:p w14:paraId="15EE6606"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Variation to Register entry resulting in a change of product information requiring evaluation of clinical, nonclinical, or bioequivalence data</w:t>
            </w:r>
          </w:p>
        </w:tc>
        <w:tc>
          <w:tcPr>
            <w:tcW w:w="985" w:type="pct"/>
          </w:tcPr>
          <w:p w14:paraId="75CCA7BA"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r w:rsidR="001A3695" w:rsidRPr="008013AB" w14:paraId="1ED51EA6"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37E9A1BF" w14:textId="77777777" w:rsidR="001A3695" w:rsidRPr="008E40EF" w:rsidRDefault="001A3695" w:rsidP="00A155DF">
            <w:pPr>
              <w:rPr>
                <w:szCs w:val="20"/>
              </w:rPr>
            </w:pPr>
            <w:r w:rsidRPr="008E40EF">
              <w:rPr>
                <w:szCs w:val="20"/>
              </w:rPr>
              <w:t>Type S</w:t>
            </w:r>
          </w:p>
        </w:tc>
        <w:tc>
          <w:tcPr>
            <w:tcW w:w="3276" w:type="pct"/>
          </w:tcPr>
          <w:p w14:paraId="18EEF1F5"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Transition from provisional to full registration</w:t>
            </w:r>
          </w:p>
        </w:tc>
        <w:tc>
          <w:tcPr>
            <w:tcW w:w="985" w:type="pct"/>
          </w:tcPr>
          <w:p w14:paraId="21C5081E"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r w:rsidR="001A3695" w:rsidRPr="008013AB" w14:paraId="7FC12AEB" w14:textId="77777777" w:rsidTr="001A3695">
        <w:trPr>
          <w:trHeight w:val="340"/>
        </w:trPr>
        <w:tc>
          <w:tcPr>
            <w:cnfStyle w:val="001000000000" w:firstRow="0" w:lastRow="0" w:firstColumn="1" w:lastColumn="0" w:oddVBand="0" w:evenVBand="0" w:oddHBand="0" w:evenHBand="0" w:firstRowFirstColumn="0" w:firstRowLastColumn="0" w:lastRowFirstColumn="0" w:lastRowLastColumn="0"/>
            <w:tcW w:w="739" w:type="pct"/>
          </w:tcPr>
          <w:p w14:paraId="71057F2C" w14:textId="77777777" w:rsidR="001A3695" w:rsidRPr="008E40EF" w:rsidRDefault="001A3695" w:rsidP="00A155DF">
            <w:pPr>
              <w:rPr>
                <w:szCs w:val="20"/>
              </w:rPr>
            </w:pPr>
            <w:r w:rsidRPr="008E40EF">
              <w:rPr>
                <w:szCs w:val="20"/>
              </w:rPr>
              <w:t>Type T</w:t>
            </w:r>
          </w:p>
        </w:tc>
        <w:tc>
          <w:tcPr>
            <w:tcW w:w="3276" w:type="pct"/>
          </w:tcPr>
          <w:p w14:paraId="7AECB603"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Extension of provisional registration</w:t>
            </w:r>
          </w:p>
        </w:tc>
        <w:tc>
          <w:tcPr>
            <w:tcW w:w="985" w:type="pct"/>
          </w:tcPr>
          <w:p w14:paraId="660F9B2E" w14:textId="77777777" w:rsidR="001A3695" w:rsidRPr="008E40EF" w:rsidRDefault="001A3695" w:rsidP="00A155DF">
            <w:pPr>
              <w:cnfStyle w:val="000000000000" w:firstRow="0" w:lastRow="0" w:firstColumn="0" w:lastColumn="0" w:oddVBand="0" w:evenVBand="0" w:oddHBand="0" w:evenHBand="0" w:firstRowFirstColumn="0" w:firstRowLastColumn="0" w:lastRowFirstColumn="0" w:lastRowLastColumn="0"/>
              <w:rPr>
                <w:szCs w:val="20"/>
              </w:rPr>
            </w:pPr>
            <w:r w:rsidRPr="008E40EF">
              <w:rPr>
                <w:szCs w:val="20"/>
              </w:rPr>
              <w:t>TGA discretion</w:t>
            </w:r>
          </w:p>
        </w:tc>
      </w:tr>
    </w:tbl>
    <w:p w14:paraId="30987933" w14:textId="77777777" w:rsidR="001A3695" w:rsidRDefault="001A3695" w:rsidP="001A3695">
      <w:pPr>
        <w:pStyle w:val="Heading3"/>
      </w:pPr>
      <w:bookmarkStart w:id="14" w:name="_AusPARs_for_approved,_1"/>
      <w:bookmarkStart w:id="15" w:name="_Toc70689846"/>
      <w:bookmarkStart w:id="16" w:name="_Toc141364432"/>
      <w:bookmarkStart w:id="17" w:name="_Toc149638566"/>
      <w:bookmarkEnd w:id="13"/>
      <w:bookmarkEnd w:id="14"/>
      <w:r w:rsidRPr="00600929">
        <w:t xml:space="preserve">AusPARs for approved, rejected and withdrawn </w:t>
      </w:r>
      <w:proofErr w:type="gramStart"/>
      <w:r w:rsidRPr="00600929">
        <w:t>submissions</w:t>
      </w:r>
      <w:bookmarkEnd w:id="15"/>
      <w:bookmarkEnd w:id="16"/>
      <w:bookmarkEnd w:id="17"/>
      <w:proofErr w:type="gramEnd"/>
    </w:p>
    <w:p w14:paraId="646E6EDE" w14:textId="70E35024" w:rsidR="001A3695" w:rsidRPr="00333710" w:rsidRDefault="001A3695" w:rsidP="001A3695">
      <w:r>
        <w:t xml:space="preserve">For the relevant </w:t>
      </w:r>
      <w:hyperlink w:anchor="_AusPARs_by_application_1" w:history="1">
        <w:r w:rsidRPr="00D501AB">
          <w:rPr>
            <w:rStyle w:val="Hyperlink"/>
          </w:rPr>
          <w:t>application types</w:t>
        </w:r>
      </w:hyperlink>
      <w:r>
        <w:t xml:space="preserve">, an AusPAR will be published </w:t>
      </w:r>
      <w:r w:rsidRPr="007C76A3">
        <w:t>whether the submission is approved</w:t>
      </w:r>
      <w:r>
        <w:t xml:space="preserve">, </w:t>
      </w:r>
      <w:proofErr w:type="gramStart"/>
      <w:r>
        <w:t>rejected</w:t>
      </w:r>
      <w:proofErr w:type="gramEnd"/>
      <w:r>
        <w:t xml:space="preserve"> or withdrawn after a specific stage in the registration process. An AusPAR will also be published for relevant application types where a </w:t>
      </w:r>
      <w:hyperlink r:id="rId20" w:history="1">
        <w:r w:rsidRPr="001E5CBE">
          <w:rPr>
            <w:rStyle w:val="Hyperlink"/>
          </w:rPr>
          <w:t>reconsideration of the initial decision</w:t>
        </w:r>
      </w:hyperlink>
      <w:r>
        <w:t xml:space="preserve"> is requested, through a </w:t>
      </w:r>
      <w:hyperlink r:id="rId21" w:history="1">
        <w:r w:rsidRPr="00A1081B">
          <w:rPr>
            <w:rStyle w:val="Hyperlink"/>
          </w:rPr>
          <w:t>section 60 review</w:t>
        </w:r>
      </w:hyperlink>
      <w:r>
        <w:t xml:space="preserve"> or appeal to the </w:t>
      </w:r>
      <w:hyperlink r:id="rId22" w:history="1">
        <w:r w:rsidRPr="00FD6DB6">
          <w:rPr>
            <w:rStyle w:val="Hyperlink"/>
          </w:rPr>
          <w:t>Australian Appeals Tribunal (AAT)</w:t>
        </w:r>
      </w:hyperlink>
      <w:r>
        <w:t>.</w:t>
      </w:r>
    </w:p>
    <w:p w14:paraId="7BA03694" w14:textId="77777777" w:rsidR="001A3695" w:rsidRPr="002D124A" w:rsidRDefault="001A3695" w:rsidP="001A3695">
      <w:pPr>
        <w:pStyle w:val="Heading4"/>
      </w:pPr>
      <w:bookmarkStart w:id="18" w:name="_Toc70689847"/>
      <w:bookmarkStart w:id="19" w:name="_Toc141364433"/>
      <w:bookmarkStart w:id="20" w:name="_Toc149638567"/>
      <w:r>
        <w:t>Approved submissions</w:t>
      </w:r>
      <w:bookmarkEnd w:id="18"/>
      <w:bookmarkEnd w:id="19"/>
      <w:bookmarkEnd w:id="20"/>
    </w:p>
    <w:p w14:paraId="4C5AB63D" w14:textId="4EB02F86" w:rsidR="001A3695" w:rsidRPr="00137030" w:rsidRDefault="001A3695" w:rsidP="001A3695">
      <w:r w:rsidRPr="00137030">
        <w:t xml:space="preserve">Where approval is granted for a prescription medicine to be supplied in Australia, we will aim to publish the AusPAR </w:t>
      </w:r>
      <w:r w:rsidRPr="00137030">
        <w:rPr>
          <w:b/>
        </w:rPr>
        <w:t>within 12 weeks</w:t>
      </w:r>
      <w:r w:rsidRPr="00137030">
        <w:t xml:space="preserve"> from the date the approved product is included in the ARTG. This period includes the </w:t>
      </w:r>
      <w:hyperlink w:anchor="_AusPARs_for_approved," w:history="1">
        <w:r w:rsidRPr="00137030">
          <w:rPr>
            <w:rStyle w:val="Hyperlink"/>
          </w:rPr>
          <w:t xml:space="preserve">period for </w:t>
        </w:r>
        <w:r>
          <w:rPr>
            <w:rStyle w:val="Hyperlink"/>
          </w:rPr>
          <w:t xml:space="preserve">the </w:t>
        </w:r>
        <w:r w:rsidRPr="00137030">
          <w:rPr>
            <w:rStyle w:val="Hyperlink"/>
          </w:rPr>
          <w:t>sponsor to review the draft AusPAR</w:t>
        </w:r>
      </w:hyperlink>
      <w:r w:rsidRPr="00137030">
        <w:t xml:space="preserve">. </w:t>
      </w:r>
      <w:r>
        <w:t xml:space="preserve">An </w:t>
      </w:r>
      <w:r w:rsidRPr="00137030">
        <w:t xml:space="preserve">AusPAR will be published </w:t>
      </w:r>
      <w:proofErr w:type="gramStart"/>
      <w:r w:rsidRPr="00137030">
        <w:t>whether or not</w:t>
      </w:r>
      <w:proofErr w:type="gramEnd"/>
      <w:r w:rsidRPr="00137030">
        <w:t xml:space="preserve"> all proposals made by the sponsor in a submission are approved by the TGA.</w:t>
      </w:r>
    </w:p>
    <w:p w14:paraId="4F0E2058" w14:textId="77777777" w:rsidR="001A3695" w:rsidRPr="00B0396D" w:rsidRDefault="001A3695" w:rsidP="001A3695">
      <w:r w:rsidRPr="00137030">
        <w:t xml:space="preserve">Where a request for a section 60 review of the TGA decision to approve or partially approve an application is made by a sponsor, the AusPAR will </w:t>
      </w:r>
      <w:r w:rsidRPr="00137030">
        <w:rPr>
          <w:b/>
        </w:rPr>
        <w:t>not</w:t>
      </w:r>
      <w:r w:rsidRPr="00137030">
        <w:t xml:space="preserve"> be withheld from publication pending the outcome. At the conclusion of the section 60 review the published AusPAR will be updated to include information about the outcome.</w:t>
      </w:r>
    </w:p>
    <w:p w14:paraId="6BFBB62B" w14:textId="77777777" w:rsidR="001A3695" w:rsidRPr="008350F9" w:rsidRDefault="001A3695" w:rsidP="001A3695">
      <w:pPr>
        <w:pStyle w:val="Heading4"/>
      </w:pPr>
      <w:bookmarkStart w:id="21" w:name="_Toc70689848"/>
      <w:bookmarkStart w:id="22" w:name="_Toc141364434"/>
      <w:bookmarkStart w:id="23" w:name="_Toc149638568"/>
      <w:r w:rsidRPr="008350F9">
        <w:t xml:space="preserve">Rejected </w:t>
      </w:r>
      <w:proofErr w:type="gramStart"/>
      <w:r w:rsidRPr="008350F9">
        <w:t>submissions</w:t>
      </w:r>
      <w:bookmarkEnd w:id="21"/>
      <w:bookmarkEnd w:id="22"/>
      <w:bookmarkEnd w:id="23"/>
      <w:proofErr w:type="gramEnd"/>
    </w:p>
    <w:p w14:paraId="32888689" w14:textId="01449CD3" w:rsidR="001A3695" w:rsidRDefault="001A3695" w:rsidP="001A3695">
      <w:r w:rsidRPr="00B0396D">
        <w:t xml:space="preserve">An AusPAR will be published for a submission that has been wholly rejected by the TGA. </w:t>
      </w:r>
      <w:r>
        <w:t xml:space="preserve">It </w:t>
      </w:r>
      <w:r w:rsidRPr="00B0396D">
        <w:t xml:space="preserve">will </w:t>
      </w:r>
      <w:r>
        <w:t xml:space="preserve">have </w:t>
      </w:r>
      <w:r w:rsidRPr="00B0396D">
        <w:t xml:space="preserve">a similar format </w:t>
      </w:r>
      <w:r>
        <w:t xml:space="preserve">to that of an approved application of the same </w:t>
      </w:r>
      <w:r w:rsidR="0062729D">
        <w:t xml:space="preserve">application </w:t>
      </w:r>
      <w:r>
        <w:t>type.</w:t>
      </w:r>
    </w:p>
    <w:p w14:paraId="3A9DF370" w14:textId="77777777" w:rsidR="001A3695" w:rsidRDefault="001A3695" w:rsidP="001A3695">
      <w:r>
        <w:t>However,</w:t>
      </w:r>
      <w:r w:rsidRPr="00B0396D">
        <w:t xml:space="preserve"> publication of the AusPAR will be withheld </w:t>
      </w:r>
      <w:r>
        <w:t>until the end</w:t>
      </w:r>
      <w:r w:rsidRPr="00B0396D">
        <w:t xml:space="preserve"> of the 90-day appeal period </w:t>
      </w:r>
      <w:r>
        <w:t xml:space="preserve">for a </w:t>
      </w:r>
      <w:r w:rsidRPr="00B2099E">
        <w:t>section 60 review of the TGA decision</w:t>
      </w:r>
      <w:r>
        <w:t xml:space="preserve"> </w:t>
      </w:r>
      <w:r w:rsidRPr="00B0396D">
        <w:t xml:space="preserve">and finalisation of any </w:t>
      </w:r>
      <w:r>
        <w:t>such review</w:t>
      </w:r>
      <w:r w:rsidRPr="00B0396D">
        <w:t>.</w:t>
      </w:r>
    </w:p>
    <w:p w14:paraId="5890D5F8" w14:textId="77777777" w:rsidR="001A3695" w:rsidRDefault="001A3695" w:rsidP="001A3695">
      <w:r w:rsidRPr="00B0396D">
        <w:t xml:space="preserve">If </w:t>
      </w:r>
      <w:r>
        <w:t xml:space="preserve">no request for section 60 review is made within the 90 days, </w:t>
      </w:r>
      <w:r w:rsidRPr="00B0396D">
        <w:t xml:space="preserve">the AusPAR </w:t>
      </w:r>
      <w:r>
        <w:t xml:space="preserve">will be sent out for sponsor review and </w:t>
      </w:r>
      <w:r w:rsidRPr="00B0396D">
        <w:t xml:space="preserve">published as soon as </w:t>
      </w:r>
      <w:r>
        <w:t xml:space="preserve">is </w:t>
      </w:r>
      <w:r w:rsidRPr="00B0396D">
        <w:t>practicable</w:t>
      </w:r>
      <w:r w:rsidRPr="00421E2A">
        <w:t>.</w:t>
      </w:r>
    </w:p>
    <w:p w14:paraId="476D7378" w14:textId="491F12B3" w:rsidR="001A3695" w:rsidRPr="00A64859" w:rsidRDefault="001A3695" w:rsidP="001A3695">
      <w:pPr>
        <w:pStyle w:val="ListBullet"/>
        <w:numPr>
          <w:ilvl w:val="0"/>
          <w:numId w:val="0"/>
        </w:numPr>
        <w:rPr>
          <w:rFonts w:asciiTheme="minorHAnsi" w:hAnsiTheme="minorHAnsi"/>
          <w:color w:val="auto"/>
        </w:rPr>
      </w:pPr>
      <w:r w:rsidRPr="00A64859">
        <w:rPr>
          <w:rFonts w:asciiTheme="minorHAnsi" w:hAnsiTheme="minorHAnsi"/>
          <w:color w:val="auto"/>
        </w:rPr>
        <w:lastRenderedPageBreak/>
        <w:t>Where a section 60 review is undertaken, a summary of the outcomes will be included in the AusPAR before it is forwarded to the sponsor in accordance with the</w:t>
      </w:r>
      <w:r w:rsidRPr="002F2A01">
        <w:rPr>
          <w:rFonts w:asciiTheme="minorHAnsi" w:hAnsiTheme="minorHAnsi"/>
        </w:rPr>
        <w:t xml:space="preserve"> </w:t>
      </w:r>
      <w:hyperlink w:anchor="_AusPARs_for_approved," w:history="1">
        <w:r w:rsidRPr="00150CE4">
          <w:rPr>
            <w:rStyle w:val="Hyperlink"/>
          </w:rPr>
          <w:t>sponsor review</w:t>
        </w:r>
      </w:hyperlink>
      <w:r>
        <w:t xml:space="preserve"> </w:t>
      </w:r>
      <w:r w:rsidRPr="00A64859">
        <w:rPr>
          <w:rFonts w:asciiTheme="minorHAnsi" w:hAnsiTheme="minorHAnsi"/>
          <w:color w:val="auto"/>
        </w:rPr>
        <w:t>process. For this purpose, publication of the AusPAR will follow the same process as for an approved submission.</w:t>
      </w:r>
    </w:p>
    <w:p w14:paraId="4CF39D68" w14:textId="77777777" w:rsidR="001A3695" w:rsidRPr="007A1C71" w:rsidRDefault="001A3695" w:rsidP="001A3695">
      <w:pPr>
        <w:pStyle w:val="Heading4"/>
      </w:pPr>
      <w:bookmarkStart w:id="24" w:name="_Toc70689849"/>
      <w:bookmarkStart w:id="25" w:name="_Toc141364435"/>
      <w:bookmarkStart w:id="26" w:name="_Toc149638569"/>
      <w:r w:rsidRPr="007A1C71">
        <w:t xml:space="preserve">Withdrawn </w:t>
      </w:r>
      <w:proofErr w:type="gramStart"/>
      <w:r w:rsidRPr="007A1C71">
        <w:t>submissions</w:t>
      </w:r>
      <w:bookmarkEnd w:id="24"/>
      <w:bookmarkEnd w:id="25"/>
      <w:bookmarkEnd w:id="26"/>
      <w:proofErr w:type="gramEnd"/>
    </w:p>
    <w:p w14:paraId="38EA7E51" w14:textId="77777777" w:rsidR="001A3695" w:rsidRDefault="001A3695" w:rsidP="001A3695">
      <w:r w:rsidRPr="007A1DF7">
        <w:t xml:space="preserve">Applicants can withdraw their submission for registration of a therapeutic good at any time before a decision is made by the TGA. We will publish an AusPAR for the withdrawn submission depending on when the withdrawal letter is received from the </w:t>
      </w:r>
      <w:r>
        <w:t xml:space="preserve">applicant </w:t>
      </w:r>
      <w:r w:rsidRPr="007A1DF7">
        <w:t>sponsor, as outlined in the table below.</w:t>
      </w:r>
    </w:p>
    <w:p w14:paraId="16FCB39C" w14:textId="77777777" w:rsidR="001A3695" w:rsidRPr="008E40EF" w:rsidRDefault="001A3695" w:rsidP="001A3695">
      <w:pPr>
        <w:pStyle w:val="Tabletitle"/>
        <w:rPr>
          <w:color w:val="000000" w:themeColor="text1"/>
        </w:rPr>
      </w:pPr>
      <w:r w:rsidRPr="008E40EF">
        <w:rPr>
          <w:color w:val="000000" w:themeColor="text1"/>
        </w:rPr>
        <w:t xml:space="preserve">AusPAR publication indicators where a submission is </w:t>
      </w:r>
      <w:proofErr w:type="gramStart"/>
      <w:r w:rsidRPr="008E40EF">
        <w:rPr>
          <w:color w:val="000000" w:themeColor="text1"/>
        </w:rPr>
        <w:t>withdrawn</w:t>
      </w:r>
      <w:proofErr w:type="gramEnd"/>
    </w:p>
    <w:tbl>
      <w:tblPr>
        <w:tblStyle w:val="TableTGAblue2023"/>
        <w:tblW w:w="8726" w:type="dxa"/>
        <w:tblLayout w:type="fixed"/>
        <w:tblLook w:val="01E0" w:firstRow="1" w:lastRow="1" w:firstColumn="1" w:lastColumn="1" w:noHBand="0" w:noVBand="0"/>
      </w:tblPr>
      <w:tblGrid>
        <w:gridCol w:w="7083"/>
        <w:gridCol w:w="1643"/>
      </w:tblGrid>
      <w:tr w:rsidR="001A3695" w:rsidRPr="000A7723" w14:paraId="3168B18D" w14:textId="77777777" w:rsidTr="001A3695">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7083" w:type="dxa"/>
          </w:tcPr>
          <w:p w14:paraId="77831467" w14:textId="77777777" w:rsidR="001A3695" w:rsidRPr="008E40EF" w:rsidRDefault="001A3695" w:rsidP="00A155DF">
            <w:pPr>
              <w:rPr>
                <w:b w:val="0"/>
                <w:color w:val="000000" w:themeColor="text1"/>
                <w:sz w:val="20"/>
                <w:szCs w:val="20"/>
              </w:rPr>
            </w:pPr>
            <w:r w:rsidRPr="008E40EF">
              <w:rPr>
                <w:color w:val="000000" w:themeColor="text1"/>
                <w:sz w:val="20"/>
                <w:szCs w:val="20"/>
              </w:rPr>
              <w:t>Time of withdrawal</w:t>
            </w:r>
          </w:p>
        </w:tc>
        <w:tc>
          <w:tcPr>
            <w:tcW w:w="1643" w:type="dxa"/>
          </w:tcPr>
          <w:p w14:paraId="7AB29E1D" w14:textId="77777777" w:rsidR="001A3695" w:rsidRPr="008E40EF" w:rsidRDefault="001A3695" w:rsidP="00A155DF">
            <w:pPr>
              <w:cnfStyle w:val="100000000000" w:firstRow="1" w:lastRow="0" w:firstColumn="0" w:lastColumn="0" w:oddVBand="0" w:evenVBand="0" w:oddHBand="0" w:evenHBand="0" w:firstRowFirstColumn="0" w:firstRowLastColumn="0" w:lastRowFirstColumn="0" w:lastRowLastColumn="0"/>
              <w:rPr>
                <w:b w:val="0"/>
                <w:color w:val="000000" w:themeColor="text1"/>
                <w:sz w:val="20"/>
                <w:szCs w:val="20"/>
              </w:rPr>
            </w:pPr>
            <w:r w:rsidRPr="008E40EF">
              <w:rPr>
                <w:color w:val="000000" w:themeColor="text1"/>
                <w:sz w:val="20"/>
                <w:szCs w:val="20"/>
              </w:rPr>
              <w:t>AusPAR required?</w:t>
            </w:r>
          </w:p>
        </w:tc>
      </w:tr>
      <w:tr w:rsidR="001A3695" w:rsidRPr="000A7723" w14:paraId="5DD2E37E" w14:textId="77777777" w:rsidTr="001A3695">
        <w:trPr>
          <w:trHeight w:val="296"/>
        </w:trPr>
        <w:tc>
          <w:tcPr>
            <w:cnfStyle w:val="001000000000" w:firstRow="0" w:lastRow="0" w:firstColumn="1" w:lastColumn="0" w:oddVBand="0" w:evenVBand="0" w:oddHBand="0" w:evenHBand="0" w:firstRowFirstColumn="0" w:firstRowLastColumn="0" w:lastRowFirstColumn="0" w:lastRowLastColumn="0"/>
            <w:tcW w:w="7083" w:type="dxa"/>
          </w:tcPr>
          <w:p w14:paraId="1870412C" w14:textId="77777777" w:rsidR="001A3695" w:rsidRPr="000A7723" w:rsidRDefault="001A3695" w:rsidP="00A155DF">
            <w:pPr>
              <w:spacing w:after="0"/>
              <w:rPr>
                <w:szCs w:val="22"/>
              </w:rPr>
            </w:pPr>
            <w:r w:rsidRPr="000A7723">
              <w:rPr>
                <w:szCs w:val="22"/>
              </w:rPr>
              <w:t xml:space="preserve">Submission withdrawn before </w:t>
            </w:r>
            <w:r w:rsidRPr="007A1DF7">
              <w:rPr>
                <w:szCs w:val="22"/>
              </w:rPr>
              <w:t>acceptance</w:t>
            </w:r>
            <w:r w:rsidRPr="000A7723">
              <w:rPr>
                <w:szCs w:val="22"/>
              </w:rPr>
              <w:t xml:space="preserve"> of the submission by the TGA</w:t>
            </w:r>
          </w:p>
        </w:tc>
        <w:tc>
          <w:tcPr>
            <w:tcW w:w="1643" w:type="dxa"/>
          </w:tcPr>
          <w:p w14:paraId="2580EB62" w14:textId="77777777" w:rsidR="001A3695" w:rsidRPr="000A7723" w:rsidRDefault="001A3695" w:rsidP="00A155DF">
            <w:pPr>
              <w:spacing w:after="0"/>
              <w:jc w:val="center"/>
              <w:cnfStyle w:val="000000000000" w:firstRow="0" w:lastRow="0" w:firstColumn="0" w:lastColumn="0" w:oddVBand="0" w:evenVBand="0" w:oddHBand="0" w:evenHBand="0" w:firstRowFirstColumn="0" w:firstRowLastColumn="0" w:lastRowFirstColumn="0" w:lastRowLastColumn="0"/>
              <w:rPr>
                <w:szCs w:val="22"/>
              </w:rPr>
            </w:pPr>
            <w:r>
              <w:rPr>
                <w:szCs w:val="22"/>
              </w:rPr>
              <w:t>No</w:t>
            </w:r>
          </w:p>
        </w:tc>
      </w:tr>
      <w:tr w:rsidR="001A3695" w:rsidRPr="000A7723" w14:paraId="0E074BD6" w14:textId="77777777" w:rsidTr="001A3695">
        <w:trPr>
          <w:trHeight w:val="296"/>
        </w:trPr>
        <w:tc>
          <w:tcPr>
            <w:cnfStyle w:val="001000000000" w:firstRow="0" w:lastRow="0" w:firstColumn="1" w:lastColumn="0" w:oddVBand="0" w:evenVBand="0" w:oddHBand="0" w:evenHBand="0" w:firstRowFirstColumn="0" w:firstRowLastColumn="0" w:lastRowFirstColumn="0" w:lastRowLastColumn="0"/>
            <w:tcW w:w="7083" w:type="dxa"/>
          </w:tcPr>
          <w:p w14:paraId="7E6E5141" w14:textId="77777777" w:rsidR="001A3695" w:rsidRPr="00137030" w:rsidRDefault="001A3695" w:rsidP="00A155DF">
            <w:pPr>
              <w:spacing w:after="0"/>
              <w:rPr>
                <w:szCs w:val="22"/>
              </w:rPr>
            </w:pPr>
            <w:r w:rsidRPr="00137030">
              <w:rPr>
                <w:szCs w:val="22"/>
              </w:rPr>
              <w:t>Withdrawal letter is received by the TGA after acceptance but:</w:t>
            </w:r>
          </w:p>
          <w:p w14:paraId="69302DCF" w14:textId="748A498B" w:rsidR="001A3695" w:rsidRPr="00A64859" w:rsidRDefault="001A3695" w:rsidP="00A155DF">
            <w:pPr>
              <w:pStyle w:val="ListBullet"/>
              <w:rPr>
                <w:color w:val="auto"/>
              </w:rPr>
            </w:pPr>
            <w:r w:rsidRPr="00A64859">
              <w:rPr>
                <w:color w:val="auto"/>
              </w:rPr>
              <w:t>where any part of the submission is reviewed by the Advisory Committee</w:t>
            </w:r>
            <w:r w:rsidRPr="00A64859">
              <w:rPr>
                <w:color w:val="auto"/>
                <w:vertAlign w:val="superscript"/>
              </w:rPr>
              <w:t>*</w:t>
            </w:r>
            <w:r w:rsidRPr="00A64859">
              <w:rPr>
                <w:color w:val="auto"/>
              </w:rPr>
              <w:t xml:space="preserve"> - before any response (or the due date) to the Request for Advisory Committee advice is received by the TGA from the applicant</w:t>
            </w:r>
          </w:p>
          <w:p w14:paraId="785A607F" w14:textId="074D5294" w:rsidR="001A3695" w:rsidRPr="004B5BA4" w:rsidRDefault="001A3695" w:rsidP="00A155DF">
            <w:pPr>
              <w:pStyle w:val="ListBullet"/>
            </w:pPr>
            <w:r w:rsidRPr="00A64859">
              <w:rPr>
                <w:color w:val="auto"/>
              </w:rPr>
              <w:t xml:space="preserve">where the submission is not reviewed by the Advisory Committee - before the end of the </w:t>
            </w:r>
            <w:r w:rsidR="003D6660" w:rsidRPr="00A64859">
              <w:rPr>
                <w:color w:val="auto"/>
              </w:rPr>
              <w:t>14-day</w:t>
            </w:r>
            <w:r w:rsidRPr="00A64859">
              <w:rPr>
                <w:color w:val="auto"/>
              </w:rPr>
              <w:t xml:space="preserve"> period for evaluation report review by the applicant, typically referred to as the review of the round 2 evaluation reports</w:t>
            </w:r>
          </w:p>
        </w:tc>
        <w:tc>
          <w:tcPr>
            <w:tcW w:w="1643" w:type="dxa"/>
          </w:tcPr>
          <w:p w14:paraId="3E34E378" w14:textId="77777777" w:rsidR="001A3695" w:rsidRPr="000A7723" w:rsidRDefault="001A3695" w:rsidP="00A155DF">
            <w:pPr>
              <w:spacing w:after="0"/>
              <w:jc w:val="center"/>
              <w:cnfStyle w:val="000000000000" w:firstRow="0" w:lastRow="0" w:firstColumn="0" w:lastColumn="0" w:oddVBand="0" w:evenVBand="0" w:oddHBand="0" w:evenHBand="0" w:firstRowFirstColumn="0" w:firstRowLastColumn="0" w:lastRowFirstColumn="0" w:lastRowLastColumn="0"/>
              <w:rPr>
                <w:szCs w:val="22"/>
              </w:rPr>
            </w:pPr>
            <w:r>
              <w:rPr>
                <w:szCs w:val="22"/>
              </w:rPr>
              <w:t>No</w:t>
            </w:r>
          </w:p>
        </w:tc>
      </w:tr>
      <w:tr w:rsidR="001A3695" w:rsidRPr="000A7723" w14:paraId="157F2485" w14:textId="77777777" w:rsidTr="001A3695">
        <w:trPr>
          <w:trHeight w:val="296"/>
        </w:trPr>
        <w:tc>
          <w:tcPr>
            <w:cnfStyle w:val="001000000000" w:firstRow="0" w:lastRow="0" w:firstColumn="1" w:lastColumn="0" w:oddVBand="0" w:evenVBand="0" w:oddHBand="0" w:evenHBand="0" w:firstRowFirstColumn="0" w:firstRowLastColumn="0" w:lastRowFirstColumn="0" w:lastRowLastColumn="0"/>
            <w:tcW w:w="7083" w:type="dxa"/>
          </w:tcPr>
          <w:p w14:paraId="48F51108" w14:textId="77777777" w:rsidR="001A3695" w:rsidRPr="00137030" w:rsidRDefault="001A3695" w:rsidP="00A155DF">
            <w:pPr>
              <w:spacing w:after="0"/>
              <w:rPr>
                <w:szCs w:val="22"/>
              </w:rPr>
            </w:pPr>
            <w:r w:rsidRPr="00137030">
              <w:rPr>
                <w:szCs w:val="22"/>
              </w:rPr>
              <w:t>Withdrawal letter is received by the TGA at any time after:</w:t>
            </w:r>
          </w:p>
          <w:p w14:paraId="7C9B33E6" w14:textId="0A39E706" w:rsidR="001A3695" w:rsidRPr="00A64859" w:rsidRDefault="001A3695" w:rsidP="00A155DF">
            <w:pPr>
              <w:pStyle w:val="ListBullet"/>
              <w:rPr>
                <w:color w:val="auto"/>
              </w:rPr>
            </w:pPr>
            <w:r w:rsidRPr="00A64859">
              <w:rPr>
                <w:color w:val="auto"/>
              </w:rPr>
              <w:t>where any part of the submission is reviewed by the Advisory Committee</w:t>
            </w:r>
            <w:r w:rsidRPr="00A64859">
              <w:rPr>
                <w:color w:val="auto"/>
                <w:vertAlign w:val="superscript"/>
              </w:rPr>
              <w:t>*</w:t>
            </w:r>
            <w:r w:rsidRPr="00A64859">
              <w:rPr>
                <w:color w:val="auto"/>
              </w:rPr>
              <w:t xml:space="preserve"> - after the applicant's Pre-Advisory Committee response to the Request for the Advisory Committee review is received by the TGA or if the due date for this request passes</w:t>
            </w:r>
          </w:p>
          <w:p w14:paraId="6922F025" w14:textId="23CBD6AC" w:rsidR="001A3695" w:rsidRPr="00137030" w:rsidRDefault="001A3695" w:rsidP="00A155DF">
            <w:pPr>
              <w:pStyle w:val="ListBullet"/>
            </w:pPr>
            <w:r w:rsidRPr="00A64859">
              <w:rPr>
                <w:color w:val="auto"/>
              </w:rPr>
              <w:t xml:space="preserve">where the submission is not reviewed by the Advisory Committee - the end of the </w:t>
            </w:r>
            <w:r w:rsidR="003D6660" w:rsidRPr="00A64859">
              <w:rPr>
                <w:color w:val="auto"/>
              </w:rPr>
              <w:t>14-day</w:t>
            </w:r>
            <w:r w:rsidRPr="00A64859">
              <w:rPr>
                <w:color w:val="auto"/>
              </w:rPr>
              <w:t xml:space="preserve"> period for evaluation report review by the applicant sponsor</w:t>
            </w:r>
          </w:p>
        </w:tc>
        <w:tc>
          <w:tcPr>
            <w:tcW w:w="1643" w:type="dxa"/>
          </w:tcPr>
          <w:p w14:paraId="7C63A35D" w14:textId="77777777" w:rsidR="001A3695" w:rsidRPr="000A7723" w:rsidRDefault="001A3695" w:rsidP="00A155DF">
            <w:pPr>
              <w:spacing w:after="0"/>
              <w:jc w:val="center"/>
              <w:cnfStyle w:val="000000000000" w:firstRow="0" w:lastRow="0" w:firstColumn="0" w:lastColumn="0" w:oddVBand="0" w:evenVBand="0" w:oddHBand="0" w:evenHBand="0" w:firstRowFirstColumn="0" w:firstRowLastColumn="0" w:lastRowFirstColumn="0" w:lastRowLastColumn="0"/>
              <w:rPr>
                <w:szCs w:val="22"/>
              </w:rPr>
            </w:pPr>
            <w:r>
              <w:rPr>
                <w:szCs w:val="22"/>
              </w:rPr>
              <w:t>Yes</w:t>
            </w:r>
          </w:p>
        </w:tc>
      </w:tr>
    </w:tbl>
    <w:p w14:paraId="49A8AE00" w14:textId="486C7F8A" w:rsidR="001A3695" w:rsidRPr="008E40EF" w:rsidRDefault="001A3695" w:rsidP="001A3695">
      <w:pPr>
        <w:pStyle w:val="Tabledescription"/>
        <w:rPr>
          <w:color w:val="000000" w:themeColor="text1"/>
        </w:rPr>
      </w:pPr>
      <w:r w:rsidRPr="008E40EF">
        <w:rPr>
          <w:color w:val="000000" w:themeColor="text1"/>
        </w:rPr>
        <w:t xml:space="preserve">* The ‘Advisory Committee’ refers to either the </w:t>
      </w:r>
      <w:hyperlink r:id="rId23" w:history="1">
        <w:r w:rsidRPr="008E40EF">
          <w:rPr>
            <w:rStyle w:val="Hyperlink"/>
            <w:color w:val="000000" w:themeColor="text1"/>
          </w:rPr>
          <w:t>Advisory Committee on Medicines (ACM)</w:t>
        </w:r>
      </w:hyperlink>
      <w:r w:rsidRPr="008E40EF">
        <w:rPr>
          <w:color w:val="000000" w:themeColor="text1"/>
        </w:rPr>
        <w:t xml:space="preserve"> or the </w:t>
      </w:r>
      <w:hyperlink r:id="rId24" w:history="1">
        <w:r w:rsidRPr="008E40EF">
          <w:rPr>
            <w:rStyle w:val="Hyperlink"/>
            <w:color w:val="000000" w:themeColor="text1"/>
          </w:rPr>
          <w:t>Advisory Committee on Vaccines (ACV)</w:t>
        </w:r>
      </w:hyperlink>
      <w:r w:rsidRPr="008E40EF">
        <w:rPr>
          <w:color w:val="000000" w:themeColor="text1"/>
        </w:rPr>
        <w:t>, depending on the nature of the medicine.</w:t>
      </w:r>
    </w:p>
    <w:p w14:paraId="67280BDE" w14:textId="77777777" w:rsidR="001A3695" w:rsidRDefault="001A3695" w:rsidP="001A3695">
      <w:pPr>
        <w:pStyle w:val="Heading4"/>
      </w:pPr>
      <w:bookmarkStart w:id="27" w:name="_Toc70689850"/>
      <w:bookmarkStart w:id="28" w:name="_Toc141364436"/>
      <w:bookmarkStart w:id="29" w:name="_Toc149638570"/>
      <w:r>
        <w:t>Review by the Administrative Appeals Tribunal (AAT)</w:t>
      </w:r>
      <w:bookmarkEnd w:id="27"/>
      <w:bookmarkEnd w:id="28"/>
      <w:bookmarkEnd w:id="29"/>
    </w:p>
    <w:p w14:paraId="065C23A3" w14:textId="77777777" w:rsidR="001A3695" w:rsidRDefault="001A3695" w:rsidP="001A3695">
      <w:pPr>
        <w:rPr>
          <w:color w:val="000000"/>
        </w:rPr>
      </w:pPr>
      <w:r>
        <w:t xml:space="preserve">If following a section 60 review of a TGA decision, the sponsor subsequently seeks a review by the </w:t>
      </w:r>
      <w:r w:rsidRPr="00FD6DB6">
        <w:t>Administrative Appeals Tribunal</w:t>
      </w:r>
      <w:r>
        <w:t xml:space="preserve"> of the decision of the </w:t>
      </w:r>
      <w:r w:rsidRPr="004461B9">
        <w:t>Minister (or the Minister’s delegate)</w:t>
      </w:r>
      <w:r>
        <w:t xml:space="preserve">, the </w:t>
      </w:r>
      <w:r w:rsidRPr="00B0396D">
        <w:t xml:space="preserve">AusPAR will </w:t>
      </w:r>
      <w:r w:rsidRPr="007C76A3">
        <w:rPr>
          <w:b/>
        </w:rPr>
        <w:t>not</w:t>
      </w:r>
      <w:r w:rsidRPr="00B0396D">
        <w:t xml:space="preserve"> normally be withheld from publication</w:t>
      </w:r>
      <w:r>
        <w:rPr>
          <w:color w:val="000000"/>
        </w:rPr>
        <w:t>.</w:t>
      </w:r>
    </w:p>
    <w:p w14:paraId="17CFCB7B" w14:textId="77777777" w:rsidR="001A3695" w:rsidRDefault="001A3695" w:rsidP="001A3695">
      <w:r>
        <w:rPr>
          <w:color w:val="000000"/>
        </w:rPr>
        <w:t xml:space="preserve">However, </w:t>
      </w:r>
      <w:r w:rsidRPr="00B0396D">
        <w:rPr>
          <w:color w:val="000000"/>
        </w:rPr>
        <w:t xml:space="preserve">an </w:t>
      </w:r>
      <w:r w:rsidRPr="00B0396D">
        <w:t xml:space="preserve">appropriate notation will be made </w:t>
      </w:r>
      <w:r>
        <w:t>in</w:t>
      </w:r>
      <w:r w:rsidRPr="00B0396D">
        <w:t xml:space="preserve"> the AusPAR indicating that the </w:t>
      </w:r>
      <w:r>
        <w:rPr>
          <w:color w:val="000000"/>
        </w:rPr>
        <w:t>section 60 appeal decision</w:t>
      </w:r>
      <w:r w:rsidRPr="00B0396D">
        <w:t xml:space="preserve"> is und</w:t>
      </w:r>
      <w:r>
        <w:t>er AAT review.</w:t>
      </w:r>
    </w:p>
    <w:p w14:paraId="19BDE80E" w14:textId="293A3A2C" w:rsidR="001A3695" w:rsidRPr="00BF2DE8" w:rsidRDefault="001A3695" w:rsidP="001A3695">
      <w:r w:rsidRPr="00B0396D">
        <w:t>Following the outcome of the AAT review, the AusPAR will be up</w:t>
      </w:r>
      <w:r>
        <w:t>dated to indicate the outcome only. T</w:t>
      </w:r>
      <w:r w:rsidRPr="00B0396D">
        <w:t>he AusPAR will not include an explana</w:t>
      </w:r>
      <w:r>
        <w:t xml:space="preserve">tion of, or reasons for </w:t>
      </w:r>
      <w:hyperlink r:id="rId25" w:history="1">
        <w:r w:rsidRPr="00813CF8">
          <w:rPr>
            <w:rStyle w:val="Hyperlink"/>
          </w:rPr>
          <w:t>AAT decisions</w:t>
        </w:r>
      </w:hyperlink>
      <w:r>
        <w:t xml:space="preserve"> as these decisions are not made under the Act.</w:t>
      </w:r>
    </w:p>
    <w:p w14:paraId="257C27AC" w14:textId="77777777" w:rsidR="001A3695" w:rsidRPr="00866F31" w:rsidRDefault="001A3695" w:rsidP="001A3695">
      <w:pPr>
        <w:pStyle w:val="Heading2"/>
      </w:pPr>
      <w:bookmarkStart w:id="30" w:name="_Structure_and_content"/>
      <w:bookmarkStart w:id="31" w:name="_Typical_components"/>
      <w:bookmarkStart w:id="32" w:name="_Toc362510448"/>
      <w:bookmarkStart w:id="33" w:name="_Toc409764874"/>
      <w:bookmarkStart w:id="34" w:name="_Toc70689851"/>
      <w:bookmarkStart w:id="35" w:name="_Toc141364437"/>
      <w:bookmarkStart w:id="36" w:name="_Toc149638571"/>
      <w:bookmarkEnd w:id="3"/>
      <w:bookmarkEnd w:id="4"/>
      <w:bookmarkEnd w:id="30"/>
      <w:bookmarkEnd w:id="31"/>
      <w:r>
        <w:t xml:space="preserve">Typical </w:t>
      </w:r>
      <w:bookmarkEnd w:id="32"/>
      <w:bookmarkEnd w:id="33"/>
      <w:r>
        <w:t>components</w:t>
      </w:r>
      <w:bookmarkEnd w:id="34"/>
      <w:bookmarkEnd w:id="35"/>
      <w:bookmarkEnd w:id="36"/>
    </w:p>
    <w:p w14:paraId="270AA902" w14:textId="77777777" w:rsidR="001A3695" w:rsidRDefault="001A3695" w:rsidP="001A3695">
      <w:r>
        <w:t>An AusPAR is divided into 5 sections:</w:t>
      </w:r>
    </w:p>
    <w:p w14:paraId="5F027C0E" w14:textId="77777777" w:rsidR="001A3695" w:rsidRPr="00A64859" w:rsidRDefault="001A3695" w:rsidP="001A3695">
      <w:pPr>
        <w:pStyle w:val="Numberbullet0"/>
        <w:ind w:left="425" w:hanging="425"/>
        <w:rPr>
          <w:rFonts w:asciiTheme="minorHAnsi" w:hAnsiTheme="minorHAnsi" w:cstheme="minorHAnsi"/>
          <w:color w:val="auto"/>
        </w:rPr>
      </w:pPr>
      <w:r w:rsidRPr="00A64859">
        <w:rPr>
          <w:rFonts w:asciiTheme="minorHAnsi" w:hAnsiTheme="minorHAnsi" w:cstheme="minorHAnsi"/>
          <w:color w:val="auto"/>
        </w:rPr>
        <w:t>List of abbreviations</w:t>
      </w:r>
    </w:p>
    <w:p w14:paraId="7D5E061D" w14:textId="39D97513" w:rsidR="001A3695" w:rsidRPr="00A64859" w:rsidRDefault="001A3695" w:rsidP="001A3695">
      <w:pPr>
        <w:pStyle w:val="ListBullet2"/>
        <w:rPr>
          <w:rFonts w:asciiTheme="minorHAnsi" w:hAnsiTheme="minorHAnsi" w:cstheme="minorHAnsi"/>
          <w:color w:val="auto"/>
        </w:rPr>
      </w:pPr>
      <w:r w:rsidRPr="00A64859">
        <w:rPr>
          <w:rFonts w:asciiTheme="minorHAnsi" w:hAnsiTheme="minorHAnsi" w:cstheme="minorHAnsi"/>
          <w:color w:val="auto"/>
        </w:rPr>
        <w:t xml:space="preserve">lists abbreviations </w:t>
      </w:r>
      <w:r w:rsidR="00021DED" w:rsidRPr="00A64859">
        <w:rPr>
          <w:rFonts w:asciiTheme="minorHAnsi" w:hAnsiTheme="minorHAnsi" w:cstheme="minorHAnsi"/>
          <w:color w:val="auto"/>
        </w:rPr>
        <w:t xml:space="preserve">used </w:t>
      </w:r>
      <w:r w:rsidRPr="00A64859">
        <w:rPr>
          <w:rFonts w:asciiTheme="minorHAnsi" w:hAnsiTheme="minorHAnsi" w:cstheme="minorHAnsi"/>
          <w:color w:val="auto"/>
        </w:rPr>
        <w:t xml:space="preserve">in body text of the </w:t>
      </w:r>
      <w:proofErr w:type="gramStart"/>
      <w:r w:rsidRPr="00A64859">
        <w:rPr>
          <w:rFonts w:asciiTheme="minorHAnsi" w:hAnsiTheme="minorHAnsi" w:cstheme="minorHAnsi"/>
          <w:color w:val="auto"/>
        </w:rPr>
        <w:t>AusPAR</w:t>
      </w:r>
      <w:proofErr w:type="gramEnd"/>
    </w:p>
    <w:p w14:paraId="1B1D8F5B" w14:textId="77777777" w:rsidR="001A3695" w:rsidRPr="00A64859" w:rsidRDefault="001A3695" w:rsidP="001A3695">
      <w:pPr>
        <w:pStyle w:val="Numberbullet0"/>
        <w:ind w:left="425" w:hanging="425"/>
        <w:rPr>
          <w:rFonts w:asciiTheme="minorHAnsi" w:hAnsiTheme="minorHAnsi" w:cstheme="minorHAnsi"/>
          <w:color w:val="auto"/>
        </w:rPr>
      </w:pPr>
      <w:r w:rsidRPr="00A64859">
        <w:rPr>
          <w:rFonts w:asciiTheme="minorHAnsi" w:hAnsiTheme="minorHAnsi" w:cstheme="minorHAnsi"/>
          <w:color w:val="auto"/>
        </w:rPr>
        <w:lastRenderedPageBreak/>
        <w:t>Product submission</w:t>
      </w:r>
    </w:p>
    <w:p w14:paraId="5811639C" w14:textId="77777777" w:rsidR="001A3695" w:rsidRPr="00A64859" w:rsidRDefault="001A3695" w:rsidP="001A3695">
      <w:pPr>
        <w:pStyle w:val="ListBullet2"/>
        <w:rPr>
          <w:rFonts w:asciiTheme="minorHAnsi" w:hAnsiTheme="minorHAnsi" w:cstheme="minorHAnsi"/>
          <w:color w:val="auto"/>
        </w:rPr>
      </w:pPr>
      <w:r w:rsidRPr="00A64859">
        <w:rPr>
          <w:rFonts w:asciiTheme="minorHAnsi" w:hAnsiTheme="minorHAnsi" w:cstheme="minorHAnsi"/>
          <w:color w:val="auto"/>
        </w:rPr>
        <w:t xml:space="preserve">includes submission details, product background and regulatory </w:t>
      </w:r>
      <w:proofErr w:type="gramStart"/>
      <w:r w:rsidRPr="00A64859">
        <w:rPr>
          <w:rFonts w:asciiTheme="minorHAnsi" w:hAnsiTheme="minorHAnsi" w:cstheme="minorHAnsi"/>
          <w:color w:val="auto"/>
        </w:rPr>
        <w:t>status</w:t>
      </w:r>
      <w:proofErr w:type="gramEnd"/>
    </w:p>
    <w:p w14:paraId="2E273170" w14:textId="77777777" w:rsidR="001A3695" w:rsidRPr="00A64859" w:rsidRDefault="001A3695" w:rsidP="001A3695">
      <w:pPr>
        <w:pStyle w:val="Numberbullet0"/>
        <w:ind w:left="425" w:hanging="425"/>
        <w:rPr>
          <w:rFonts w:asciiTheme="minorHAnsi" w:hAnsiTheme="minorHAnsi" w:cstheme="minorHAnsi"/>
          <w:color w:val="auto"/>
        </w:rPr>
      </w:pPr>
      <w:r w:rsidRPr="00A64859">
        <w:rPr>
          <w:rFonts w:asciiTheme="minorHAnsi" w:hAnsiTheme="minorHAnsi" w:cstheme="minorHAnsi"/>
          <w:color w:val="auto"/>
        </w:rPr>
        <w:t>Registration timeline</w:t>
      </w:r>
    </w:p>
    <w:p w14:paraId="30A06064" w14:textId="0DBC7654" w:rsidR="001A3695" w:rsidRPr="00A64859" w:rsidRDefault="001A3695" w:rsidP="001A3695">
      <w:pPr>
        <w:pStyle w:val="ListBullet2"/>
        <w:rPr>
          <w:rFonts w:asciiTheme="minorHAnsi" w:hAnsiTheme="minorHAnsi" w:cstheme="minorHAnsi"/>
          <w:color w:val="auto"/>
        </w:rPr>
      </w:pPr>
      <w:r w:rsidRPr="00A64859">
        <w:rPr>
          <w:rFonts w:asciiTheme="minorHAnsi" w:hAnsiTheme="minorHAnsi" w:cstheme="minorHAnsi"/>
          <w:color w:val="auto"/>
        </w:rPr>
        <w:t>details the major milestone</w:t>
      </w:r>
      <w:r w:rsidR="008576F1" w:rsidRPr="00A64859">
        <w:rPr>
          <w:rFonts w:asciiTheme="minorHAnsi" w:hAnsiTheme="minorHAnsi" w:cstheme="minorHAnsi"/>
          <w:color w:val="auto"/>
        </w:rPr>
        <w:t xml:space="preserve"> date</w:t>
      </w:r>
      <w:r w:rsidRPr="00A64859">
        <w:rPr>
          <w:rFonts w:asciiTheme="minorHAnsi" w:hAnsiTheme="minorHAnsi" w:cstheme="minorHAnsi"/>
          <w:color w:val="auto"/>
        </w:rPr>
        <w:t xml:space="preserve">s </w:t>
      </w:r>
      <w:r w:rsidR="008576F1" w:rsidRPr="00A64859">
        <w:rPr>
          <w:rFonts w:asciiTheme="minorHAnsi" w:hAnsiTheme="minorHAnsi" w:cstheme="minorHAnsi"/>
          <w:color w:val="auto"/>
        </w:rPr>
        <w:t xml:space="preserve">reached </w:t>
      </w:r>
      <w:r w:rsidRPr="00A64859">
        <w:rPr>
          <w:rFonts w:asciiTheme="minorHAnsi" w:hAnsiTheme="minorHAnsi" w:cstheme="minorHAnsi"/>
          <w:color w:val="auto"/>
        </w:rPr>
        <w:t xml:space="preserve">in the application and decision </w:t>
      </w:r>
      <w:proofErr w:type="gramStart"/>
      <w:r w:rsidRPr="00A64859">
        <w:rPr>
          <w:rFonts w:asciiTheme="minorHAnsi" w:hAnsiTheme="minorHAnsi" w:cstheme="minorHAnsi"/>
          <w:color w:val="auto"/>
        </w:rPr>
        <w:t>process</w:t>
      </w:r>
      <w:proofErr w:type="gramEnd"/>
    </w:p>
    <w:p w14:paraId="139EB9D7" w14:textId="77777777" w:rsidR="001A3695" w:rsidRPr="00A64859" w:rsidRDefault="001A3695" w:rsidP="001A3695">
      <w:pPr>
        <w:pStyle w:val="Numberbullet0"/>
        <w:ind w:left="425" w:hanging="425"/>
        <w:rPr>
          <w:rFonts w:asciiTheme="minorHAnsi" w:hAnsiTheme="minorHAnsi" w:cstheme="minorHAnsi"/>
          <w:color w:val="auto"/>
        </w:rPr>
      </w:pPr>
      <w:r w:rsidRPr="00A64859">
        <w:rPr>
          <w:rFonts w:asciiTheme="minorHAnsi" w:hAnsiTheme="minorHAnsi" w:cstheme="minorHAnsi"/>
          <w:color w:val="auto"/>
        </w:rPr>
        <w:t>Submission overview and risk/benefit assessment</w:t>
      </w:r>
    </w:p>
    <w:p w14:paraId="4B4C3AF5" w14:textId="07C27FE9" w:rsidR="001A3695" w:rsidRPr="00A64859" w:rsidRDefault="008576F1" w:rsidP="001A3695">
      <w:pPr>
        <w:pStyle w:val="ListBullet2"/>
        <w:rPr>
          <w:rFonts w:asciiTheme="minorHAnsi" w:hAnsiTheme="minorHAnsi" w:cstheme="minorHAnsi"/>
          <w:color w:val="auto"/>
        </w:rPr>
      </w:pPr>
      <w:r w:rsidRPr="00A64859">
        <w:rPr>
          <w:rFonts w:asciiTheme="minorHAnsi" w:hAnsiTheme="minorHAnsi" w:cstheme="minorHAnsi"/>
          <w:color w:val="auto"/>
        </w:rPr>
        <w:t xml:space="preserve">The decision makers overview of any </w:t>
      </w:r>
      <w:r w:rsidR="001A3695" w:rsidRPr="00A64859">
        <w:rPr>
          <w:rFonts w:asciiTheme="minorHAnsi" w:hAnsiTheme="minorHAnsi" w:cstheme="minorHAnsi"/>
          <w:color w:val="auto"/>
        </w:rPr>
        <w:t>quality, nonclinical, clinical findings, risk management plan</w:t>
      </w:r>
      <w:r w:rsidRPr="00A64859">
        <w:rPr>
          <w:rFonts w:asciiTheme="minorHAnsi" w:hAnsiTheme="minorHAnsi" w:cstheme="minorHAnsi"/>
          <w:color w:val="auto"/>
        </w:rPr>
        <w:t xml:space="preserve"> and</w:t>
      </w:r>
      <w:r w:rsidR="001A3695" w:rsidRPr="00A64859">
        <w:rPr>
          <w:rFonts w:asciiTheme="minorHAnsi" w:hAnsiTheme="minorHAnsi" w:cstheme="minorHAnsi"/>
          <w:color w:val="auto"/>
        </w:rPr>
        <w:t xml:space="preserve"> </w:t>
      </w:r>
      <w:r w:rsidR="00021DED" w:rsidRPr="00A64859">
        <w:rPr>
          <w:rFonts w:asciiTheme="minorHAnsi" w:hAnsiTheme="minorHAnsi" w:cstheme="minorHAnsi"/>
          <w:color w:val="auto"/>
        </w:rPr>
        <w:t xml:space="preserve">a </w:t>
      </w:r>
      <w:r w:rsidR="001A3695" w:rsidRPr="00A64859">
        <w:rPr>
          <w:rFonts w:asciiTheme="minorHAnsi" w:hAnsiTheme="minorHAnsi" w:cstheme="minorHAnsi"/>
          <w:color w:val="auto"/>
        </w:rPr>
        <w:t>risk-benefit analysis</w:t>
      </w:r>
    </w:p>
    <w:p w14:paraId="467E9847" w14:textId="77777777" w:rsidR="001A3695" w:rsidRPr="00A64859" w:rsidRDefault="001A3695" w:rsidP="001A3695">
      <w:pPr>
        <w:pStyle w:val="Numberbullet0"/>
        <w:ind w:left="425" w:hanging="425"/>
        <w:rPr>
          <w:rFonts w:asciiTheme="minorHAnsi" w:hAnsiTheme="minorHAnsi" w:cstheme="minorHAnsi"/>
          <w:color w:val="auto"/>
        </w:rPr>
      </w:pPr>
      <w:r w:rsidRPr="00A64859">
        <w:rPr>
          <w:rFonts w:asciiTheme="minorHAnsi" w:hAnsiTheme="minorHAnsi" w:cstheme="minorHAnsi"/>
          <w:color w:val="auto"/>
        </w:rPr>
        <w:t>Outcome</w:t>
      </w:r>
    </w:p>
    <w:p w14:paraId="01A4BC61" w14:textId="732CB7FB" w:rsidR="001A3695" w:rsidRPr="00A64859" w:rsidRDefault="008576F1" w:rsidP="001A3695">
      <w:pPr>
        <w:pStyle w:val="ListBullet2"/>
        <w:rPr>
          <w:rFonts w:asciiTheme="minorHAnsi" w:hAnsiTheme="minorHAnsi" w:cstheme="minorHAnsi"/>
          <w:color w:val="auto"/>
        </w:rPr>
      </w:pPr>
      <w:r w:rsidRPr="00A64859">
        <w:rPr>
          <w:rFonts w:asciiTheme="minorHAnsi" w:hAnsiTheme="minorHAnsi" w:cstheme="minorHAnsi"/>
          <w:color w:val="auto"/>
        </w:rPr>
        <w:t>The TGA’s decision</w:t>
      </w:r>
      <w:r w:rsidR="00021DED" w:rsidRPr="00A64859">
        <w:rPr>
          <w:rFonts w:asciiTheme="minorHAnsi" w:hAnsiTheme="minorHAnsi" w:cstheme="minorHAnsi"/>
          <w:color w:val="auto"/>
        </w:rPr>
        <w:t xml:space="preserve"> and any </w:t>
      </w:r>
      <w:r w:rsidR="001A3695" w:rsidRPr="00A64859">
        <w:rPr>
          <w:rFonts w:asciiTheme="minorHAnsi" w:hAnsiTheme="minorHAnsi" w:cstheme="minorHAnsi"/>
          <w:color w:val="auto"/>
        </w:rPr>
        <w:t>specific conditions of registration applying to these goods a</w:t>
      </w:r>
      <w:r w:rsidR="00021DED" w:rsidRPr="00A64859">
        <w:rPr>
          <w:rFonts w:asciiTheme="minorHAnsi" w:hAnsiTheme="minorHAnsi" w:cstheme="minorHAnsi"/>
          <w:color w:val="auto"/>
        </w:rPr>
        <w:t>s well as</w:t>
      </w:r>
      <w:r w:rsidR="001A3695" w:rsidRPr="00A64859">
        <w:rPr>
          <w:rFonts w:asciiTheme="minorHAnsi" w:hAnsiTheme="minorHAnsi" w:cstheme="minorHAnsi"/>
          <w:color w:val="auto"/>
        </w:rPr>
        <w:t xml:space="preserve"> </w:t>
      </w:r>
      <w:r w:rsidR="00021DED" w:rsidRPr="00A64859">
        <w:rPr>
          <w:rFonts w:asciiTheme="minorHAnsi" w:hAnsiTheme="minorHAnsi" w:cstheme="minorHAnsi"/>
          <w:color w:val="auto"/>
        </w:rPr>
        <w:t xml:space="preserve">the AAT </w:t>
      </w:r>
      <w:r w:rsidR="001A3695" w:rsidRPr="00A64859">
        <w:rPr>
          <w:rFonts w:asciiTheme="minorHAnsi" w:hAnsiTheme="minorHAnsi" w:cstheme="minorHAnsi"/>
          <w:color w:val="auto"/>
        </w:rPr>
        <w:t>outcome</w:t>
      </w:r>
      <w:r w:rsidR="00021DED" w:rsidRPr="00A64859">
        <w:rPr>
          <w:rFonts w:asciiTheme="minorHAnsi" w:hAnsiTheme="minorHAnsi" w:cstheme="minorHAnsi"/>
          <w:color w:val="auto"/>
        </w:rPr>
        <w:t xml:space="preserve"> where </w:t>
      </w:r>
      <w:proofErr w:type="gramStart"/>
      <w:r w:rsidR="00021DED" w:rsidRPr="00A64859">
        <w:rPr>
          <w:rFonts w:asciiTheme="minorHAnsi" w:hAnsiTheme="minorHAnsi" w:cstheme="minorHAnsi"/>
          <w:color w:val="auto"/>
        </w:rPr>
        <w:t>applicable</w:t>
      </w:r>
      <w:proofErr w:type="gramEnd"/>
    </w:p>
    <w:p w14:paraId="27DB8DE3" w14:textId="77777777" w:rsidR="001A3695" w:rsidRPr="00A64859" w:rsidRDefault="001A3695" w:rsidP="001A3695">
      <w:pPr>
        <w:pStyle w:val="ListBullet"/>
        <w:numPr>
          <w:ilvl w:val="0"/>
          <w:numId w:val="0"/>
        </w:numPr>
        <w:rPr>
          <w:rFonts w:asciiTheme="minorHAnsi" w:hAnsiTheme="minorHAnsi" w:cstheme="minorHAnsi"/>
          <w:color w:val="auto"/>
        </w:rPr>
      </w:pPr>
      <w:r w:rsidRPr="00A64859">
        <w:rPr>
          <w:rFonts w:asciiTheme="minorHAnsi" w:hAnsiTheme="minorHAnsi" w:cstheme="minorHAnsi"/>
          <w:color w:val="auto"/>
        </w:rPr>
        <w:t>AusPARs for approved submissions also have one or more attachments:</w:t>
      </w:r>
    </w:p>
    <w:p w14:paraId="2CDEFD3B" w14:textId="77777777" w:rsidR="001A3695" w:rsidRPr="00A64859" w:rsidRDefault="001A3695" w:rsidP="001A3695">
      <w:pPr>
        <w:pStyle w:val="ListBullet"/>
        <w:ind w:left="425" w:hanging="425"/>
        <w:rPr>
          <w:rFonts w:asciiTheme="minorHAnsi" w:hAnsiTheme="minorHAnsi" w:cstheme="minorHAnsi"/>
          <w:color w:val="auto"/>
        </w:rPr>
      </w:pPr>
      <w:r w:rsidRPr="00A64859">
        <w:rPr>
          <w:rFonts w:asciiTheme="minorHAnsi" w:hAnsiTheme="minorHAnsi" w:cstheme="minorHAnsi"/>
          <w:color w:val="auto"/>
        </w:rPr>
        <w:t>the Product Information (PI) document/s approved with the submission described in the AusPAR.</w:t>
      </w:r>
    </w:p>
    <w:p w14:paraId="01A59585" w14:textId="77777777" w:rsidR="001A3695" w:rsidRDefault="001A3695" w:rsidP="001A3695">
      <w:pPr>
        <w:pStyle w:val="Heading4"/>
      </w:pPr>
      <w:bookmarkStart w:id="37" w:name="_Toc141364438"/>
      <w:bookmarkStart w:id="38" w:name="_Toc149638572"/>
      <w:r>
        <w:t>Product submission</w:t>
      </w:r>
      <w:bookmarkEnd w:id="37"/>
      <w:bookmarkEnd w:id="38"/>
    </w:p>
    <w:p w14:paraId="4865B950" w14:textId="77777777" w:rsidR="001A3695" w:rsidRDefault="001A3695" w:rsidP="001A3695">
      <w:pPr>
        <w:pStyle w:val="Heading5"/>
      </w:pPr>
      <w:r>
        <w:t>Submission details</w:t>
      </w:r>
    </w:p>
    <w:p w14:paraId="018317C8" w14:textId="77777777" w:rsidR="001A3695" w:rsidRPr="006616E4" w:rsidRDefault="001A3695" w:rsidP="001A3695">
      <w:r>
        <w:t>Submission details provides an overview of the product.</w:t>
      </w:r>
    </w:p>
    <w:p w14:paraId="1D341598" w14:textId="48A23644" w:rsidR="001A3695" w:rsidRPr="00BF1A22" w:rsidRDefault="001A3695" w:rsidP="001A3695">
      <w:r>
        <w:t xml:space="preserve">This section includes </w:t>
      </w:r>
      <w:r w:rsidR="0062729D">
        <w:t>application type</w:t>
      </w:r>
      <w:r>
        <w:t xml:space="preserve">, </w:t>
      </w:r>
      <w:r w:rsidRPr="00BF1A22">
        <w:t>product name(s)</w:t>
      </w:r>
      <w:r>
        <w:t xml:space="preserve">, </w:t>
      </w:r>
      <w:r w:rsidRPr="00BF1A22">
        <w:t>active ingredient(s)</w:t>
      </w:r>
      <w:r>
        <w:t xml:space="preserve">, </w:t>
      </w:r>
      <w:r w:rsidRPr="00BF1A22">
        <w:t>decision</w:t>
      </w:r>
      <w:r>
        <w:t xml:space="preserve">, </w:t>
      </w:r>
      <w:r w:rsidRPr="00BF1A22">
        <w:t>date of decision</w:t>
      </w:r>
      <w:r>
        <w:t xml:space="preserve">, </w:t>
      </w:r>
      <w:r w:rsidRPr="00BF1A22">
        <w:t>date o</w:t>
      </w:r>
      <w:r w:rsidRPr="00A31D5A">
        <w:t>f entry onto ARTG if relevant</w:t>
      </w:r>
      <w:r>
        <w:t xml:space="preserve">, </w:t>
      </w:r>
      <w:r w:rsidRPr="00BF1A22">
        <w:t>ARTG number(s)</w:t>
      </w:r>
      <w:r w:rsidRPr="00A31D5A">
        <w:t xml:space="preserve"> if relevant</w:t>
      </w:r>
      <w:r>
        <w:t xml:space="preserve">, </w:t>
      </w:r>
      <w:r w:rsidRPr="00BF1A22">
        <w:t>black triangle scheme</w:t>
      </w:r>
      <w:r w:rsidRPr="009E58E8">
        <w:t xml:space="preserve"> status</w:t>
      </w:r>
      <w:r w:rsidRPr="00BF1A22">
        <w:t xml:space="preserve"> for the current submission</w:t>
      </w:r>
      <w:r>
        <w:t xml:space="preserve">, </w:t>
      </w:r>
      <w:r w:rsidRPr="00BF1A22">
        <w:t>sponsor’s name and address</w:t>
      </w:r>
      <w:r>
        <w:t xml:space="preserve">, </w:t>
      </w:r>
      <w:r w:rsidRPr="00BF1A22">
        <w:t>dose form(s)</w:t>
      </w:r>
      <w:r>
        <w:t xml:space="preserve">, </w:t>
      </w:r>
      <w:r w:rsidRPr="00BF1A22">
        <w:t>strength(s)</w:t>
      </w:r>
      <w:r>
        <w:t xml:space="preserve">, </w:t>
      </w:r>
      <w:r w:rsidRPr="00BF1A22">
        <w:t>container(s)</w:t>
      </w:r>
      <w:r>
        <w:t xml:space="preserve">, </w:t>
      </w:r>
      <w:r w:rsidRPr="00BF1A22">
        <w:t>pack size(s)</w:t>
      </w:r>
      <w:r>
        <w:t xml:space="preserve">, </w:t>
      </w:r>
      <w:r w:rsidRPr="00BF1A22">
        <w:t>approved therapeutic use</w:t>
      </w:r>
      <w:r w:rsidRPr="00A31D5A">
        <w:t xml:space="preserve"> for the current submission</w:t>
      </w:r>
      <w:r>
        <w:t xml:space="preserve">, </w:t>
      </w:r>
      <w:r w:rsidRPr="00BF1A22">
        <w:t>route(s) of administration</w:t>
      </w:r>
      <w:r>
        <w:t xml:space="preserve">, </w:t>
      </w:r>
      <w:r w:rsidRPr="00BF1A22">
        <w:t>dosage</w:t>
      </w:r>
      <w:r>
        <w:t xml:space="preserve">, and </w:t>
      </w:r>
      <w:r w:rsidRPr="00BF1A22">
        <w:t>pregnancy category</w:t>
      </w:r>
      <w:r>
        <w:t>.</w:t>
      </w:r>
    </w:p>
    <w:p w14:paraId="722D3C10" w14:textId="77777777" w:rsidR="001A3695" w:rsidRDefault="001A3695" w:rsidP="001A3695">
      <w:pPr>
        <w:pStyle w:val="Heading5"/>
      </w:pPr>
      <w:r>
        <w:t>Product background</w:t>
      </w:r>
    </w:p>
    <w:p w14:paraId="4C6620F8" w14:textId="33CAF8EF" w:rsidR="001A3695" w:rsidRDefault="001A3695" w:rsidP="001A3695">
      <w:r>
        <w:t xml:space="preserve">Product background typically include a description of the disease and its prevalence in Australia, therapies currently approved for use in Australia, clinical </w:t>
      </w:r>
      <w:r w:rsidR="003D6660">
        <w:t>need,</w:t>
      </w:r>
      <w:r>
        <w:t xml:space="preserve"> and the product’s mechanism of action.</w:t>
      </w:r>
    </w:p>
    <w:p w14:paraId="050BA297" w14:textId="1C410DEA" w:rsidR="001A3695" w:rsidRDefault="001A3695" w:rsidP="001A3695">
      <w:r>
        <w:t xml:space="preserve">For any </w:t>
      </w:r>
      <w:hyperlink r:id="rId26" w:history="1">
        <w:r w:rsidRPr="006C198F">
          <w:rPr>
            <w:rStyle w:val="Hyperlink"/>
          </w:rPr>
          <w:t>Australia-Canada-Singapore-Switzerland-United Kingdom (ACCESS) workshare</w:t>
        </w:r>
      </w:hyperlink>
      <w:r>
        <w:t xml:space="preserve">, </w:t>
      </w:r>
      <w:hyperlink r:id="rId27" w:history="1">
        <w:r w:rsidRPr="006C198F">
          <w:rPr>
            <w:rStyle w:val="Hyperlink"/>
          </w:rPr>
          <w:t>Project Orbis</w:t>
        </w:r>
      </w:hyperlink>
      <w:r>
        <w:t xml:space="preserve"> or </w:t>
      </w:r>
      <w:hyperlink r:id="rId28" w:history="1">
        <w:r w:rsidRPr="006C198F">
          <w:rPr>
            <w:rStyle w:val="Hyperlink"/>
          </w:rPr>
          <w:t>Comparable Overseas Regulator (COR)</w:t>
        </w:r>
      </w:hyperlink>
      <w:r w:rsidRPr="0065707A">
        <w:t xml:space="preserve"> submissions</w:t>
      </w:r>
      <w:r>
        <w:t xml:space="preserve">, the product background will also include names of foreign </w:t>
      </w:r>
      <w:r w:rsidRPr="0065707A">
        <w:t>Regulatory Agenc</w:t>
      </w:r>
      <w:r>
        <w:t xml:space="preserve">ies that </w:t>
      </w:r>
      <w:r w:rsidRPr="0065707A">
        <w:t>collaboratively reviewed the submission</w:t>
      </w:r>
      <w:r>
        <w:t xml:space="preserve"> with the TGA or whom the TGA received</w:t>
      </w:r>
      <w:r w:rsidRPr="0065707A">
        <w:t xml:space="preserve"> evaluation reports from</w:t>
      </w:r>
      <w:r>
        <w:t>.</w:t>
      </w:r>
    </w:p>
    <w:p w14:paraId="2A691BD3" w14:textId="77777777" w:rsidR="001A3695" w:rsidRDefault="001A3695" w:rsidP="001A3695">
      <w:pPr>
        <w:pStyle w:val="Heading5"/>
      </w:pPr>
      <w:r>
        <w:t>Regulatory status</w:t>
      </w:r>
    </w:p>
    <w:p w14:paraId="46F32E9C" w14:textId="77777777" w:rsidR="00B76D4A" w:rsidRDefault="00B76D4A" w:rsidP="00B76D4A">
      <w:r>
        <w:t>Regulatory status describes the regulatory status of the product internationally.</w:t>
      </w:r>
    </w:p>
    <w:p w14:paraId="30796FE3" w14:textId="73193EFC" w:rsidR="00021DED" w:rsidRDefault="00021DED" w:rsidP="00021DED">
      <w:r>
        <w:t>For a</w:t>
      </w:r>
      <w:r w:rsidRPr="009E58E8">
        <w:t xml:space="preserve"> product </w:t>
      </w:r>
      <w:r>
        <w:t xml:space="preserve">that </w:t>
      </w:r>
      <w:r w:rsidRPr="009E58E8">
        <w:t>is</w:t>
      </w:r>
      <w:r>
        <w:t xml:space="preserve"> not</w:t>
      </w:r>
      <w:r w:rsidRPr="009E58E8">
        <w:t xml:space="preserve"> considered a new chemical entity</w:t>
      </w:r>
      <w:r>
        <w:t xml:space="preserve"> or a </w:t>
      </w:r>
      <w:r w:rsidRPr="009E58E8">
        <w:t>new biological entity</w:t>
      </w:r>
      <w:r>
        <w:t xml:space="preserve">, the </w:t>
      </w:r>
      <w:r w:rsidRPr="009E58E8">
        <w:t xml:space="preserve">Regulatory status </w:t>
      </w:r>
      <w:r>
        <w:t xml:space="preserve">may also include a summary of previous approvals of the product in </w:t>
      </w:r>
      <w:r w:rsidRPr="009E58E8">
        <w:t>Australia.</w:t>
      </w:r>
    </w:p>
    <w:p w14:paraId="53DB292D" w14:textId="77777777" w:rsidR="001A3695" w:rsidRDefault="001A3695" w:rsidP="001A3695">
      <w:r>
        <w:t>Indications of the product that</w:t>
      </w:r>
      <w:r w:rsidRPr="009E58E8">
        <w:t xml:space="preserve"> received orphan drug designation</w:t>
      </w:r>
      <w:r>
        <w:t xml:space="preserve"> will also be included if relevant.</w:t>
      </w:r>
    </w:p>
    <w:p w14:paraId="19C788F4" w14:textId="77777777" w:rsidR="001A3695" w:rsidRDefault="001A3695" w:rsidP="001A3695">
      <w:pPr>
        <w:pStyle w:val="Heading4"/>
      </w:pPr>
      <w:bookmarkStart w:id="39" w:name="_Toc86746276"/>
      <w:bookmarkStart w:id="40" w:name="_Toc141364439"/>
      <w:bookmarkStart w:id="41" w:name="_Toc149638573"/>
      <w:r>
        <w:t>Registration timeline</w:t>
      </w:r>
      <w:bookmarkEnd w:id="39"/>
      <w:bookmarkEnd w:id="40"/>
      <w:bookmarkEnd w:id="41"/>
    </w:p>
    <w:p w14:paraId="16DDB7CF" w14:textId="2CF03E8B" w:rsidR="001A3695" w:rsidRPr="000108A8" w:rsidRDefault="001A3695" w:rsidP="001A3695">
      <w:r>
        <w:t xml:space="preserve">The registration timeline captures the key steps and milestone dates for the </w:t>
      </w:r>
      <w:r w:rsidR="00B76D4A">
        <w:t>submission</w:t>
      </w:r>
      <w:r>
        <w:t>.</w:t>
      </w:r>
    </w:p>
    <w:p w14:paraId="52E13865" w14:textId="77777777" w:rsidR="001A3695" w:rsidRDefault="001A3695" w:rsidP="001A3695">
      <w:pPr>
        <w:pStyle w:val="Heading4"/>
      </w:pPr>
      <w:bookmarkStart w:id="42" w:name="_Toc86746277"/>
      <w:bookmarkStart w:id="43" w:name="_Toc141364440"/>
      <w:bookmarkStart w:id="44" w:name="_Toc149638574"/>
      <w:r>
        <w:t>Submission overview</w:t>
      </w:r>
      <w:bookmarkEnd w:id="42"/>
      <w:r>
        <w:t xml:space="preserve"> </w:t>
      </w:r>
      <w:r w:rsidRPr="00DB5C68">
        <w:t xml:space="preserve">and </w:t>
      </w:r>
      <w:bookmarkStart w:id="45" w:name="_Hlk139467865"/>
      <w:r w:rsidRPr="00DB5C68">
        <w:t>risk/benefit assessment</w:t>
      </w:r>
      <w:bookmarkEnd w:id="43"/>
      <w:bookmarkEnd w:id="44"/>
      <w:bookmarkEnd w:id="45"/>
    </w:p>
    <w:p w14:paraId="253D5D60" w14:textId="08B2E671" w:rsidR="001A3695" w:rsidRDefault="001A3695" w:rsidP="001A3695">
      <w:r>
        <w:t>The s</w:t>
      </w:r>
      <w:r w:rsidRPr="00BF1A22">
        <w:t xml:space="preserve">ubmission overview </w:t>
      </w:r>
      <w:r w:rsidR="00B76D4A">
        <w:t>provides a</w:t>
      </w:r>
      <w:r>
        <w:t xml:space="preserve"> c</w:t>
      </w:r>
      <w:r w:rsidRPr="00BF1A22">
        <w:t xml:space="preserve">ritical appraisal and summation of the </w:t>
      </w:r>
      <w:r>
        <w:t xml:space="preserve">quality, nonclinical and clinical data relevant to the submission, and any recommendations made by the evaluation areas. It also summarises the </w:t>
      </w:r>
      <w:r w:rsidRPr="00BF1A22">
        <w:t>safety concerns and associated risk monitoring and mitigation strategies</w:t>
      </w:r>
      <w:r>
        <w:t xml:space="preserve"> as part of the</w:t>
      </w:r>
      <w:r w:rsidRPr="00BF1A22">
        <w:t xml:space="preserve"> risk management plan</w:t>
      </w:r>
      <w:r>
        <w:t>.</w:t>
      </w:r>
    </w:p>
    <w:p w14:paraId="3E33E7D1" w14:textId="0E3BD9CB" w:rsidR="001A3695" w:rsidRDefault="001A3695" w:rsidP="001A3695">
      <w:r>
        <w:lastRenderedPageBreak/>
        <w:t>Risk-benefit analysis summarises the consideration</w:t>
      </w:r>
      <w:r w:rsidR="005F1074">
        <w:t>s</w:t>
      </w:r>
      <w:r>
        <w:t xml:space="preserve"> </w:t>
      </w:r>
      <w:r w:rsidR="005F1074">
        <w:t xml:space="preserve">of </w:t>
      </w:r>
      <w:r>
        <w:t xml:space="preserve">the </w:t>
      </w:r>
      <w:r w:rsidRPr="004461B9">
        <w:t>Delegate of the Secretary</w:t>
      </w:r>
      <w:r>
        <w:t xml:space="preserve"> of </w:t>
      </w:r>
      <w:r w:rsidRPr="004461B9">
        <w:t>Department of Health and Aged Care</w:t>
      </w:r>
      <w:r>
        <w:t xml:space="preserve"> (the Delegate) </w:t>
      </w:r>
      <w:r w:rsidR="005F1074">
        <w:t xml:space="preserve">when </w:t>
      </w:r>
      <w:r>
        <w:t>making the final decision</w:t>
      </w:r>
      <w:r w:rsidR="005F1074">
        <w:t>. It also includes the</w:t>
      </w:r>
      <w:r>
        <w:t xml:space="preserve"> action (approval or rejection) proposed by the Delegate, questions for the sponsor to address as well as any advice sought by the Delegate from </w:t>
      </w:r>
      <w:r w:rsidR="005F1074">
        <w:t xml:space="preserve">an </w:t>
      </w:r>
      <w:r>
        <w:t>Advisory committee or independent experts.</w:t>
      </w:r>
    </w:p>
    <w:p w14:paraId="685122C0" w14:textId="77777777" w:rsidR="001A3695" w:rsidRDefault="001A3695" w:rsidP="001A3695">
      <w:pPr>
        <w:pStyle w:val="Heading4"/>
      </w:pPr>
      <w:bookmarkStart w:id="46" w:name="_Toc86746279"/>
      <w:bookmarkStart w:id="47" w:name="_Toc141364441"/>
      <w:bookmarkStart w:id="48" w:name="_Toc149638575"/>
      <w:r>
        <w:t>Outcome</w:t>
      </w:r>
      <w:bookmarkEnd w:id="46"/>
      <w:bookmarkEnd w:id="47"/>
      <w:bookmarkEnd w:id="48"/>
    </w:p>
    <w:p w14:paraId="0BAF1A30" w14:textId="77777777" w:rsidR="001A3695" w:rsidRDefault="001A3695" w:rsidP="001A3695">
      <w:r>
        <w:t>For approved submissions, the outcome section summarises the details of the approved product, the approved indication(s) and the s</w:t>
      </w:r>
      <w:r w:rsidRPr="00D23139">
        <w:t xml:space="preserve">pecific conditions of registration </w:t>
      </w:r>
      <w:r>
        <w:t>that apply to the product.</w:t>
      </w:r>
    </w:p>
    <w:p w14:paraId="578C4F45" w14:textId="77777777" w:rsidR="001A3695" w:rsidRDefault="001A3695" w:rsidP="001A3695">
      <w:r>
        <w:t xml:space="preserve">For withdrawn submissions, the outcome section includes the date that the sponsor </w:t>
      </w:r>
      <w:r w:rsidRPr="00BF1A22">
        <w:t>withdrew their submission</w:t>
      </w:r>
      <w:r>
        <w:t>.</w:t>
      </w:r>
    </w:p>
    <w:p w14:paraId="3CC9EDDF" w14:textId="77777777" w:rsidR="001A3695" w:rsidRDefault="001A3695" w:rsidP="001A3695">
      <w:r>
        <w:t>For rejected submissions which were</w:t>
      </w:r>
      <w:r w:rsidRPr="00BF1A22">
        <w:t xml:space="preserve"> reviewed under </w:t>
      </w:r>
      <w:r>
        <w:t>s</w:t>
      </w:r>
      <w:r w:rsidRPr="00BF1A22">
        <w:t>ection 60</w:t>
      </w:r>
      <w:r>
        <w:t xml:space="preserve"> </w:t>
      </w:r>
      <w:r w:rsidRPr="00BF1A22">
        <w:t xml:space="preserve">of the </w:t>
      </w:r>
      <w:r w:rsidRPr="00B2099E">
        <w:rPr>
          <w:i/>
          <w:iCs/>
        </w:rPr>
        <w:t>Therapeutics Goods Act 1989</w:t>
      </w:r>
      <w:r>
        <w:t xml:space="preserve">, </w:t>
      </w:r>
      <w:r w:rsidRPr="00BF1A22">
        <w:t>an excerpt from the s</w:t>
      </w:r>
      <w:r>
        <w:t xml:space="preserve">ection </w:t>
      </w:r>
      <w:r w:rsidRPr="00BF1A22">
        <w:t>60 Delegate’s decision letter is included</w:t>
      </w:r>
      <w:r>
        <w:t xml:space="preserve">. If the </w:t>
      </w:r>
      <w:r w:rsidRPr="00BF1A22">
        <w:t xml:space="preserve">sponsor has at this stage made an application to the AAT for a review </w:t>
      </w:r>
      <w:r>
        <w:t>of the decision this will also be indicated in this section. T</w:t>
      </w:r>
      <w:r w:rsidRPr="00BF1A22">
        <w:t>he outcome of AAT appeal</w:t>
      </w:r>
      <w:r>
        <w:t xml:space="preserve"> will be added to the published AusPAR when known.</w:t>
      </w:r>
    </w:p>
    <w:p w14:paraId="29B75BC1" w14:textId="77777777" w:rsidR="001A3695" w:rsidRDefault="001A3695" w:rsidP="001A3695">
      <w:pPr>
        <w:pStyle w:val="Heading2"/>
      </w:pPr>
      <w:bookmarkStart w:id="49" w:name="_Toc70689852"/>
      <w:bookmarkStart w:id="50" w:name="_Toc141364442"/>
      <w:bookmarkStart w:id="51" w:name="_Toc149638576"/>
      <w:r>
        <w:t>Information sources</w:t>
      </w:r>
      <w:bookmarkEnd w:id="49"/>
      <w:bookmarkEnd w:id="50"/>
      <w:bookmarkEnd w:id="51"/>
    </w:p>
    <w:p w14:paraId="7A47C97C" w14:textId="7DF429EA" w:rsidR="001A3695" w:rsidRPr="008F4D6A" w:rsidRDefault="001A3695" w:rsidP="001A3695">
      <w:r w:rsidRPr="006277D1">
        <w:t xml:space="preserve">The </w:t>
      </w:r>
      <w:r>
        <w:t xml:space="preserve">information </w:t>
      </w:r>
      <w:r w:rsidRPr="006277D1">
        <w:t xml:space="preserve">sources </w:t>
      </w:r>
      <w:r>
        <w:t xml:space="preserve">used in an </w:t>
      </w:r>
      <w:r w:rsidRPr="006277D1">
        <w:t xml:space="preserve">AusPAR </w:t>
      </w:r>
      <w:r>
        <w:t>include</w:t>
      </w:r>
      <w:r w:rsidRPr="006277D1">
        <w:t xml:space="preserve"> the approved </w:t>
      </w:r>
      <w:hyperlink r:id="rId29" w:history="1">
        <w:r w:rsidRPr="002476CC">
          <w:rPr>
            <w:rStyle w:val="Hyperlink"/>
          </w:rPr>
          <w:t>Product Information (PI)</w:t>
        </w:r>
      </w:hyperlink>
      <w:r w:rsidRPr="006277D1">
        <w:t xml:space="preserve">, ARTG entry, </w:t>
      </w:r>
      <w:r>
        <w:t xml:space="preserve">evaluation reports, </w:t>
      </w:r>
      <w:r w:rsidRPr="006277D1">
        <w:t>Delegate’s Overview</w:t>
      </w:r>
      <w:r>
        <w:t xml:space="preserve">, </w:t>
      </w:r>
      <w:hyperlink r:id="rId30" w:history="1">
        <w:r w:rsidRPr="009B48BF">
          <w:t>Advisory Committee advice</w:t>
        </w:r>
      </w:hyperlink>
      <w:r>
        <w:t>, independent expert advice</w:t>
      </w:r>
      <w:r w:rsidR="00767648">
        <w:t>,</w:t>
      </w:r>
      <w:r>
        <w:t xml:space="preserve"> sponsor submitted </w:t>
      </w:r>
      <w:r w:rsidRPr="008E1A33">
        <w:t>application details</w:t>
      </w:r>
      <w:r w:rsidR="00767648">
        <w:t xml:space="preserve"> and sponsor’s response to Delegate’s question</w:t>
      </w:r>
      <w:r w:rsidR="007E1970">
        <w:t>s</w:t>
      </w:r>
      <w:r>
        <w:t>.</w:t>
      </w:r>
    </w:p>
    <w:p w14:paraId="2F099A1A" w14:textId="77777777" w:rsidR="001A3695" w:rsidRPr="00D336DF" w:rsidRDefault="001A3695" w:rsidP="001A3695">
      <w:pPr>
        <w:pStyle w:val="Heading2"/>
      </w:pPr>
      <w:bookmarkStart w:id="52" w:name="_Commercially_confidential_informati"/>
      <w:bookmarkStart w:id="53" w:name="_Toc409764876"/>
      <w:bookmarkStart w:id="54" w:name="_Toc362510450"/>
      <w:bookmarkStart w:id="55" w:name="_Ref18328273"/>
      <w:bookmarkStart w:id="56" w:name="_Ref18328283"/>
      <w:bookmarkStart w:id="57" w:name="_Ref18328287"/>
      <w:bookmarkStart w:id="58" w:name="_Ref18328290"/>
      <w:bookmarkStart w:id="59" w:name="_Ref18328318"/>
      <w:bookmarkStart w:id="60" w:name="_Ref18328357"/>
      <w:bookmarkStart w:id="61" w:name="_Ref18328705"/>
      <w:bookmarkStart w:id="62" w:name="_Toc70689853"/>
      <w:bookmarkStart w:id="63" w:name="_Toc141364443"/>
      <w:bookmarkStart w:id="64" w:name="_Toc149638577"/>
      <w:bookmarkEnd w:id="52"/>
      <w:r w:rsidRPr="00D336DF">
        <w:t>Commercially confidential information and personal information</w:t>
      </w:r>
      <w:bookmarkEnd w:id="53"/>
      <w:bookmarkEnd w:id="54"/>
      <w:bookmarkEnd w:id="55"/>
      <w:bookmarkEnd w:id="56"/>
      <w:bookmarkEnd w:id="57"/>
      <w:bookmarkEnd w:id="58"/>
      <w:bookmarkEnd w:id="59"/>
      <w:bookmarkEnd w:id="60"/>
      <w:bookmarkEnd w:id="61"/>
      <w:bookmarkEnd w:id="62"/>
      <w:bookmarkEnd w:id="63"/>
      <w:bookmarkEnd w:id="64"/>
    </w:p>
    <w:p w14:paraId="1E699B42" w14:textId="77777777" w:rsidR="001A3695" w:rsidRDefault="001A3695" w:rsidP="001A3695">
      <w:r>
        <w:t>As</w:t>
      </w:r>
      <w:r w:rsidRPr="00B0396D">
        <w:t xml:space="preserve"> the AusPAR </w:t>
      </w:r>
      <w:r>
        <w:t xml:space="preserve">is a </w:t>
      </w:r>
      <w:r w:rsidRPr="00B0396D">
        <w:t>publicly available</w:t>
      </w:r>
      <w:r>
        <w:t xml:space="preserve"> document</w:t>
      </w:r>
      <w:r w:rsidRPr="00B0396D">
        <w:t xml:space="preserve">, it is essential that any </w:t>
      </w:r>
      <w:r>
        <w:t>commercially confidential information (CCI) and personal information be</w:t>
      </w:r>
      <w:r w:rsidRPr="00B0396D">
        <w:t xml:space="preserve"> identified and</w:t>
      </w:r>
      <w:r>
        <w:t xml:space="preserve"> where appropriate</w:t>
      </w:r>
      <w:r w:rsidRPr="00B0396D">
        <w:t xml:space="preserve"> remov</w:t>
      </w:r>
      <w:r>
        <w:t>ed prior to publication.</w:t>
      </w:r>
    </w:p>
    <w:p w14:paraId="5475F536" w14:textId="77777777" w:rsidR="001A3695" w:rsidRDefault="001A3695" w:rsidP="001A3695">
      <w:pPr>
        <w:pStyle w:val="Heading3"/>
      </w:pPr>
      <w:bookmarkStart w:id="65" w:name="_Toc70689854"/>
      <w:bookmarkStart w:id="66" w:name="_Toc141364444"/>
      <w:bookmarkStart w:id="67" w:name="_Toc149638578"/>
      <w:r>
        <w:t>How we identify and treat CCI and personal information</w:t>
      </w:r>
      <w:bookmarkEnd w:id="65"/>
      <w:bookmarkEnd w:id="66"/>
      <w:bookmarkEnd w:id="67"/>
    </w:p>
    <w:p w14:paraId="4C4D0856" w14:textId="5CCADEC6" w:rsidR="001A3695" w:rsidRDefault="001A3695" w:rsidP="001A3695">
      <w:r>
        <w:t xml:space="preserve">Information on how we identify and treat CCI and personal information when drafting an AusPAR is available at </w:t>
      </w:r>
      <w:hyperlink r:id="rId31" w:history="1">
        <w:r w:rsidRPr="008E1A33">
          <w:rPr>
            <w:rStyle w:val="Hyperlink"/>
          </w:rPr>
          <w:t>Guidance for the deletion of commercially confidential and personal information in an AusPAR</w:t>
        </w:r>
      </w:hyperlink>
      <w:r w:rsidRPr="00AD4F45">
        <w:t>.</w:t>
      </w:r>
    </w:p>
    <w:p w14:paraId="42459E6A" w14:textId="77777777" w:rsidR="001A3695" w:rsidRPr="00B0400D" w:rsidRDefault="001A3695" w:rsidP="001A3695">
      <w:pPr>
        <w:pStyle w:val="Heading3"/>
      </w:pPr>
      <w:bookmarkStart w:id="68" w:name="_AusPARs_by_application"/>
      <w:bookmarkStart w:id="69" w:name="_TGA_business_rules"/>
      <w:bookmarkStart w:id="70" w:name="_Toc70689856"/>
      <w:bookmarkStart w:id="71" w:name="_Toc141364446"/>
      <w:bookmarkStart w:id="72" w:name="_Toc149638579"/>
      <w:bookmarkStart w:id="73" w:name="_Ref353366957"/>
      <w:bookmarkStart w:id="74" w:name="_Toc362510453"/>
      <w:bookmarkStart w:id="75" w:name="_Toc409764879"/>
      <w:bookmarkEnd w:id="68"/>
      <w:bookmarkEnd w:id="69"/>
      <w:r>
        <w:t>L</w:t>
      </w:r>
      <w:r w:rsidRPr="00B0400D">
        <w:t xml:space="preserve">iterature based </w:t>
      </w:r>
      <w:proofErr w:type="gramStart"/>
      <w:r w:rsidRPr="00B0400D">
        <w:t>submissions</w:t>
      </w:r>
      <w:bookmarkEnd w:id="70"/>
      <w:bookmarkEnd w:id="71"/>
      <w:bookmarkEnd w:id="72"/>
      <w:proofErr w:type="gramEnd"/>
    </w:p>
    <w:p w14:paraId="03DB13D1" w14:textId="0D6C0C06" w:rsidR="001A3695" w:rsidRDefault="001A3695" w:rsidP="001A3695">
      <w:pPr>
        <w:rPr>
          <w:lang w:eastAsia="en-AU"/>
        </w:rPr>
      </w:pPr>
      <w:r w:rsidRPr="00A40BDD">
        <w:t xml:space="preserve">Applications to register a prescription medicine can under some circumstances be </w:t>
      </w:r>
      <w:hyperlink r:id="rId32" w:history="1">
        <w:r w:rsidRPr="00924682">
          <w:rPr>
            <w:rStyle w:val="Hyperlink"/>
            <w:lang w:eastAsia="en-AU"/>
          </w:rPr>
          <w:t>literature-based submissions</w:t>
        </w:r>
      </w:hyperlink>
      <w:r w:rsidRPr="00B0396D">
        <w:rPr>
          <w:lang w:eastAsia="en-AU"/>
        </w:rPr>
        <w:t xml:space="preserve"> or partially literature-based (</w:t>
      </w:r>
      <w:r>
        <w:rPr>
          <w:lang w:eastAsia="en-AU"/>
        </w:rPr>
        <w:t>‘</w:t>
      </w:r>
      <w:r w:rsidRPr="00B0396D">
        <w:rPr>
          <w:lang w:eastAsia="en-AU"/>
        </w:rPr>
        <w:t>hybrid</w:t>
      </w:r>
      <w:r>
        <w:rPr>
          <w:lang w:eastAsia="en-AU"/>
        </w:rPr>
        <w:t>’</w:t>
      </w:r>
      <w:r w:rsidRPr="00B0396D">
        <w:rPr>
          <w:lang w:eastAsia="en-AU"/>
        </w:rPr>
        <w:t xml:space="preserve"> applications).</w:t>
      </w:r>
    </w:p>
    <w:p w14:paraId="0693DB19" w14:textId="77777777" w:rsidR="001A3695" w:rsidRPr="00B0396D" w:rsidRDefault="001A3695" w:rsidP="001A3695">
      <w:r>
        <w:rPr>
          <w:lang w:eastAsia="en-AU"/>
        </w:rPr>
        <w:t xml:space="preserve">AusPARs for literature-based submissions may contain details of </w:t>
      </w:r>
      <w:r w:rsidRPr="00B0396D">
        <w:rPr>
          <w:lang w:eastAsia="en-AU"/>
        </w:rPr>
        <w:t xml:space="preserve">published literature references submitted </w:t>
      </w:r>
      <w:r>
        <w:rPr>
          <w:lang w:eastAsia="en-AU"/>
        </w:rPr>
        <w:t xml:space="preserve">by the sponsor. As published literature is already in the public domain, they </w:t>
      </w:r>
      <w:r w:rsidRPr="00B0396D">
        <w:rPr>
          <w:lang w:eastAsia="en-AU"/>
        </w:rPr>
        <w:t xml:space="preserve">are not considered to be </w:t>
      </w:r>
      <w:r>
        <w:rPr>
          <w:lang w:eastAsia="en-AU"/>
        </w:rPr>
        <w:t>CCI. T</w:t>
      </w:r>
      <w:r w:rsidRPr="00B0396D">
        <w:rPr>
          <w:lang w:eastAsia="en-AU"/>
        </w:rPr>
        <w:t xml:space="preserve">he </w:t>
      </w:r>
      <w:r>
        <w:rPr>
          <w:lang w:eastAsia="en-AU"/>
        </w:rPr>
        <w:t xml:space="preserve">published </w:t>
      </w:r>
      <w:r w:rsidRPr="00B0396D">
        <w:rPr>
          <w:lang w:eastAsia="en-AU"/>
        </w:rPr>
        <w:t xml:space="preserve">information is considered to form part of </w:t>
      </w:r>
      <w:r>
        <w:rPr>
          <w:lang w:eastAsia="en-AU"/>
        </w:rPr>
        <w:t xml:space="preserve">the </w:t>
      </w:r>
      <w:r w:rsidRPr="00B0396D">
        <w:rPr>
          <w:lang w:eastAsia="en-AU"/>
        </w:rPr>
        <w:t xml:space="preserve">drug development </w:t>
      </w:r>
      <w:r>
        <w:rPr>
          <w:lang w:eastAsia="en-AU"/>
        </w:rPr>
        <w:t xml:space="preserve">process </w:t>
      </w:r>
      <w:r w:rsidRPr="00B0396D">
        <w:rPr>
          <w:lang w:eastAsia="en-AU"/>
        </w:rPr>
        <w:t>and</w:t>
      </w:r>
      <w:r>
        <w:rPr>
          <w:lang w:eastAsia="en-AU"/>
        </w:rPr>
        <w:t xml:space="preserve"> informs</w:t>
      </w:r>
      <w:r w:rsidRPr="00B0396D">
        <w:rPr>
          <w:lang w:eastAsia="en-AU"/>
        </w:rPr>
        <w:t xml:space="preserve"> the </w:t>
      </w:r>
      <w:r>
        <w:rPr>
          <w:lang w:eastAsia="en-AU"/>
        </w:rPr>
        <w:t>TGA</w:t>
      </w:r>
      <w:r w:rsidRPr="00B0396D">
        <w:rPr>
          <w:lang w:eastAsia="en-AU"/>
        </w:rPr>
        <w:t>’s decision</w:t>
      </w:r>
      <w:r>
        <w:rPr>
          <w:lang w:eastAsia="en-AU"/>
        </w:rPr>
        <w:t>,</w:t>
      </w:r>
      <w:r w:rsidRPr="00B0396D">
        <w:rPr>
          <w:lang w:eastAsia="en-AU"/>
        </w:rPr>
        <w:t xml:space="preserve"> and there </w:t>
      </w:r>
      <w:r w:rsidRPr="00B0396D">
        <w:t>is a public interest in mak</w:t>
      </w:r>
      <w:r>
        <w:t>ing this information available.</w:t>
      </w:r>
    </w:p>
    <w:p w14:paraId="7148FAF6" w14:textId="77777777" w:rsidR="001A3695" w:rsidRDefault="001A3695" w:rsidP="001A3695">
      <w:pPr>
        <w:rPr>
          <w:lang w:eastAsia="en-AU"/>
        </w:rPr>
      </w:pPr>
      <w:r w:rsidRPr="00B0396D">
        <w:rPr>
          <w:lang w:eastAsia="en-AU"/>
        </w:rPr>
        <w:t xml:space="preserve">Details </w:t>
      </w:r>
      <w:r>
        <w:rPr>
          <w:lang w:eastAsia="en-AU"/>
        </w:rPr>
        <w:t>relating to the</w:t>
      </w:r>
      <w:r w:rsidRPr="00B0396D">
        <w:rPr>
          <w:lang w:eastAsia="en-AU"/>
        </w:rPr>
        <w:t xml:space="preserve"> literature search strategy</w:t>
      </w:r>
      <w:r>
        <w:rPr>
          <w:lang w:eastAsia="en-AU"/>
        </w:rPr>
        <w:t xml:space="preserve"> and</w:t>
      </w:r>
      <w:r w:rsidRPr="00B0396D">
        <w:rPr>
          <w:lang w:eastAsia="en-AU"/>
        </w:rPr>
        <w:t xml:space="preserve"> analysis </w:t>
      </w:r>
      <w:r>
        <w:rPr>
          <w:lang w:eastAsia="en-AU"/>
        </w:rPr>
        <w:t>are not</w:t>
      </w:r>
      <w:r w:rsidRPr="00B0396D">
        <w:rPr>
          <w:lang w:eastAsia="en-AU"/>
        </w:rPr>
        <w:t xml:space="preserve"> published in AusPAR</w:t>
      </w:r>
      <w:r>
        <w:rPr>
          <w:lang w:eastAsia="en-AU"/>
        </w:rPr>
        <w:t>s</w:t>
      </w:r>
      <w:r w:rsidRPr="00B0396D">
        <w:rPr>
          <w:lang w:eastAsia="en-AU"/>
        </w:rPr>
        <w:t xml:space="preserve"> as these could be considered confidential intellectual property.</w:t>
      </w:r>
    </w:p>
    <w:p w14:paraId="17D0A801" w14:textId="77777777" w:rsidR="001A3695" w:rsidRDefault="001A3695" w:rsidP="001A3695">
      <w:pPr>
        <w:pStyle w:val="Heading2"/>
      </w:pPr>
      <w:bookmarkStart w:id="76" w:name="_AusPARs_for_approved,"/>
      <w:bookmarkStart w:id="77" w:name="_Approved_submissions"/>
      <w:bookmarkStart w:id="78" w:name="_Rejected_submissions"/>
      <w:bookmarkStart w:id="79" w:name="_Withdrawn_submissions"/>
      <w:bookmarkStart w:id="80" w:name="_Section_60_"/>
      <w:bookmarkStart w:id="81" w:name="_Section_60_review"/>
      <w:bookmarkStart w:id="82" w:name="_Sponsor_consultation"/>
      <w:bookmarkStart w:id="83" w:name="_Sponsor_review"/>
      <w:bookmarkStart w:id="84" w:name="_Toc362510463"/>
      <w:bookmarkStart w:id="85" w:name="_Toc409764889"/>
      <w:bookmarkStart w:id="86" w:name="_Ref18328374"/>
      <w:bookmarkStart w:id="87" w:name="_Ref18328378"/>
      <w:bookmarkStart w:id="88" w:name="_Ref18328734"/>
      <w:bookmarkStart w:id="89" w:name="_Ref18334045"/>
      <w:bookmarkStart w:id="90" w:name="_Ref18334163"/>
      <w:bookmarkStart w:id="91" w:name="_Ref18334189"/>
      <w:bookmarkStart w:id="92" w:name="_Toc70689857"/>
      <w:bookmarkStart w:id="93" w:name="_Toc141364447"/>
      <w:bookmarkStart w:id="94" w:name="_Toc149638580"/>
      <w:bookmarkEnd w:id="73"/>
      <w:bookmarkEnd w:id="74"/>
      <w:bookmarkEnd w:id="75"/>
      <w:bookmarkEnd w:id="76"/>
      <w:bookmarkEnd w:id="77"/>
      <w:bookmarkEnd w:id="78"/>
      <w:bookmarkEnd w:id="79"/>
      <w:bookmarkEnd w:id="80"/>
      <w:bookmarkEnd w:id="81"/>
      <w:bookmarkEnd w:id="82"/>
      <w:bookmarkEnd w:id="83"/>
      <w:r w:rsidRPr="00E53F4E">
        <w:lastRenderedPageBreak/>
        <w:t xml:space="preserve">Sponsor </w:t>
      </w:r>
      <w:bookmarkEnd w:id="84"/>
      <w:bookmarkEnd w:id="85"/>
      <w:bookmarkEnd w:id="86"/>
      <w:bookmarkEnd w:id="87"/>
      <w:bookmarkEnd w:id="88"/>
      <w:bookmarkEnd w:id="89"/>
      <w:bookmarkEnd w:id="90"/>
      <w:bookmarkEnd w:id="91"/>
      <w:r>
        <w:t>review</w:t>
      </w:r>
      <w:bookmarkEnd w:id="92"/>
      <w:bookmarkEnd w:id="93"/>
      <w:bookmarkEnd w:id="94"/>
    </w:p>
    <w:p w14:paraId="3AC9F2EC" w14:textId="39639E56" w:rsidR="001A3695" w:rsidRPr="00C93A23" w:rsidRDefault="001A3695" w:rsidP="001A3695">
      <w:r>
        <w:t>Sponsors have 7 calendar days to undertake an initial review of the draft AusPAR and</w:t>
      </w:r>
      <w:r w:rsidRPr="00B0396D">
        <w:t xml:space="preserve"> identify any information </w:t>
      </w:r>
      <w:r>
        <w:t>considered to be</w:t>
      </w:r>
      <w:r w:rsidRPr="00B0396D">
        <w:t xml:space="preserve"> </w:t>
      </w:r>
      <w:hyperlink w:anchor="_Commercially_confidential_informati" w:history="1">
        <w:r w:rsidRPr="001C3604">
          <w:rPr>
            <w:rStyle w:val="Hyperlink"/>
          </w:rPr>
          <w:t>CCI or personal information</w:t>
        </w:r>
      </w:hyperlink>
      <w:r>
        <w:t xml:space="preserve">. </w:t>
      </w:r>
      <w:r w:rsidRPr="00B0396D">
        <w:t xml:space="preserve">If the review identifies significant issues </w:t>
      </w:r>
      <w:r>
        <w:t>that</w:t>
      </w:r>
      <w:r w:rsidRPr="00B0396D">
        <w:t xml:space="preserve"> require resolution, the TGA will provide the sponsor with </w:t>
      </w:r>
      <w:r w:rsidRPr="00D96419">
        <w:t>additional</w:t>
      </w:r>
      <w:r>
        <w:t xml:space="preserve"> time (2 to </w:t>
      </w:r>
      <w:r w:rsidRPr="00D96419">
        <w:t>7</w:t>
      </w:r>
      <w:r w:rsidRPr="00B0396D">
        <w:t xml:space="preserve"> calendar days</w:t>
      </w:r>
      <w:r>
        <w:t>)</w:t>
      </w:r>
      <w:r w:rsidRPr="00B0396D">
        <w:t xml:space="preserve"> to review the TGA</w:t>
      </w:r>
      <w:r>
        <w:t>’s</w:t>
      </w:r>
      <w:r w:rsidRPr="00B0396D">
        <w:t xml:space="preserve"> response.</w:t>
      </w:r>
      <w:bookmarkStart w:id="95" w:name="_Sponsor_review_of"/>
      <w:bookmarkEnd w:id="95"/>
    </w:p>
    <w:p w14:paraId="7079294A" w14:textId="77777777" w:rsidR="001A3695" w:rsidRDefault="001A3695" w:rsidP="001A3695">
      <w:r>
        <w:t>S</w:t>
      </w:r>
      <w:r w:rsidRPr="00B0396D">
        <w:t>ponsor</w:t>
      </w:r>
      <w:r>
        <w:t>s</w:t>
      </w:r>
      <w:r w:rsidRPr="00B0396D">
        <w:t xml:space="preserve"> </w:t>
      </w:r>
      <w:r>
        <w:t xml:space="preserve">must justify any claims that information is CCI </w:t>
      </w:r>
      <w:r w:rsidRPr="008A23E5">
        <w:t xml:space="preserve">or </w:t>
      </w:r>
      <w:r>
        <w:t xml:space="preserve">personal information which they seek to be excluded from an AusPAR. </w:t>
      </w:r>
      <w:r w:rsidRPr="008A23E5">
        <w:t>Sponsors are required</w:t>
      </w:r>
      <w:r>
        <w:t xml:space="preserve"> to carefully consider the definitions of CCI and personal information in crafting their justification.</w:t>
      </w:r>
    </w:p>
    <w:p w14:paraId="7331E8C0" w14:textId="77777777" w:rsidR="001A3695" w:rsidRDefault="001A3695" w:rsidP="001A3695">
      <w:r w:rsidRPr="00B0396D">
        <w:t>It is not possible however, for the comments</w:t>
      </w:r>
      <w:r>
        <w:t xml:space="preserve"> and conclusions</w:t>
      </w:r>
      <w:r w:rsidRPr="00B0396D">
        <w:t xml:space="preserve"> of evaluators, the </w:t>
      </w:r>
      <w:r>
        <w:t>D</w:t>
      </w:r>
      <w:r w:rsidRPr="00B0396D">
        <w:t xml:space="preserve">elegate or the </w:t>
      </w:r>
      <w:r>
        <w:t>A</w:t>
      </w:r>
      <w:r w:rsidRPr="00B0396D">
        <w:t xml:space="preserve">dvisory </w:t>
      </w:r>
      <w:r>
        <w:t>C</w:t>
      </w:r>
      <w:r w:rsidRPr="00B0396D">
        <w:t>ommittee</w:t>
      </w:r>
      <w:r>
        <w:t xml:space="preserve">s and the </w:t>
      </w:r>
      <w:proofErr w:type="gramStart"/>
      <w:r>
        <w:t>f</w:t>
      </w:r>
      <w:r w:rsidRPr="008E1A33">
        <w:t>inal outcome</w:t>
      </w:r>
      <w:proofErr w:type="gramEnd"/>
      <w:r w:rsidRPr="00B0396D">
        <w:t xml:space="preserve"> </w:t>
      </w:r>
      <w:r>
        <w:t xml:space="preserve">of the submission </w:t>
      </w:r>
      <w:r w:rsidRPr="00B0396D">
        <w:t xml:space="preserve">to be edited </w:t>
      </w:r>
      <w:r>
        <w:t>as</w:t>
      </w:r>
      <w:r w:rsidRPr="00B0396D">
        <w:t xml:space="preserve"> they are an integral part of the </w:t>
      </w:r>
      <w:r>
        <w:t>decision process, except for correction of errors and removal of CCI or personal information.</w:t>
      </w:r>
    </w:p>
    <w:p w14:paraId="5CBB0B1B" w14:textId="77777777" w:rsidR="001A3695" w:rsidRPr="00C93A23" w:rsidRDefault="001A3695" w:rsidP="001A3695">
      <w:pPr>
        <w:pStyle w:val="Heading3"/>
      </w:pPr>
      <w:bookmarkStart w:id="96" w:name="_Toc70689859"/>
      <w:bookmarkStart w:id="97" w:name="_Toc141364448"/>
      <w:bookmarkStart w:id="98" w:name="_Toc149638581"/>
      <w:r w:rsidRPr="00C93A23">
        <w:t xml:space="preserve">Outcome of </w:t>
      </w:r>
      <w:r>
        <w:t xml:space="preserve">sponsor </w:t>
      </w:r>
      <w:r w:rsidRPr="00C93A23">
        <w:t xml:space="preserve">review of </w:t>
      </w:r>
      <w:r>
        <w:t xml:space="preserve">a </w:t>
      </w:r>
      <w:r w:rsidRPr="00C93A23">
        <w:t>draft AusPAR</w:t>
      </w:r>
      <w:bookmarkEnd w:id="96"/>
      <w:bookmarkEnd w:id="97"/>
      <w:bookmarkEnd w:id="98"/>
    </w:p>
    <w:p w14:paraId="0EA5E04E" w14:textId="77777777" w:rsidR="001A3695" w:rsidRDefault="001A3695" w:rsidP="001A3695">
      <w:r w:rsidRPr="00B0396D">
        <w:t xml:space="preserve">Following a sponsor’s review of a draft AusPAR, the TGA will review any proposed changes relating to the removal of </w:t>
      </w:r>
      <w:r>
        <w:t xml:space="preserve">CCI </w:t>
      </w:r>
      <w:r w:rsidRPr="00B0396D">
        <w:t>by a sponsor.</w:t>
      </w:r>
    </w:p>
    <w:p w14:paraId="0C9ACD7B" w14:textId="77777777" w:rsidR="001A3695" w:rsidRDefault="001A3695" w:rsidP="001A3695">
      <w:r>
        <w:t xml:space="preserve">Where there are </w:t>
      </w:r>
      <w:r w:rsidRPr="00C55815">
        <w:t>significant</w:t>
      </w:r>
      <w:r>
        <w:t xml:space="preserve"> </w:t>
      </w:r>
      <w:r w:rsidRPr="00B0396D">
        <w:t>disagreement</w:t>
      </w:r>
      <w:r>
        <w:t>s</w:t>
      </w:r>
      <w:r w:rsidRPr="00B0396D">
        <w:t xml:space="preserve"> about the proposed removal of </w:t>
      </w:r>
      <w:r>
        <w:t xml:space="preserve">CCI </w:t>
      </w:r>
      <w:r w:rsidRPr="00B0396D">
        <w:t xml:space="preserve">content, </w:t>
      </w:r>
      <w:r>
        <w:t>we will apply an</w:t>
      </w:r>
      <w:r w:rsidRPr="00B0396D">
        <w:t xml:space="preserve"> internal review process. The sponsor will be asked to provide a request</w:t>
      </w:r>
      <w:r>
        <w:t>/</w:t>
      </w:r>
      <w:r w:rsidRPr="00B0396D">
        <w:t xml:space="preserve">justification in writing for the removal of the content which will be referred </w:t>
      </w:r>
      <w:r>
        <w:t xml:space="preserve">internally </w:t>
      </w:r>
      <w:r w:rsidRPr="00B0396D">
        <w:t>for advice (as needed) prior t</w:t>
      </w:r>
      <w:r>
        <w:t>o a final decision being made.</w:t>
      </w:r>
    </w:p>
    <w:p w14:paraId="29C9A38E" w14:textId="77777777" w:rsidR="001A3695" w:rsidRDefault="001A3695" w:rsidP="001A3695">
      <w:r w:rsidRPr="00B0396D">
        <w:t xml:space="preserve">The internal review process is undertaken with the aim of publishing the completed AusPAR </w:t>
      </w:r>
      <w:r w:rsidRPr="00B0396D">
        <w:rPr>
          <w:b/>
        </w:rPr>
        <w:t xml:space="preserve">within </w:t>
      </w:r>
      <w:r>
        <w:rPr>
          <w:b/>
        </w:rPr>
        <w:t>12</w:t>
      </w:r>
      <w:r w:rsidRPr="00B0396D">
        <w:rPr>
          <w:b/>
        </w:rPr>
        <w:t xml:space="preserve"> weeks</w:t>
      </w:r>
      <w:r w:rsidRPr="00B0396D">
        <w:t xml:space="preserve"> from the date the product is included on the ARTG</w:t>
      </w:r>
      <w:r>
        <w:t xml:space="preserve"> (for approved submissions)</w:t>
      </w:r>
      <w:r w:rsidRPr="00B0396D">
        <w:t>.</w:t>
      </w:r>
    </w:p>
    <w:p w14:paraId="37943715" w14:textId="43E71C32" w:rsidR="001A3695" w:rsidRDefault="001A3695" w:rsidP="001A3695">
      <w:r w:rsidRPr="007C76A3">
        <w:t xml:space="preserve">For more information on publishing timeframes see </w:t>
      </w:r>
      <w:hyperlink w:anchor="_AusPARs_for_approved,_1" w:history="1">
        <w:r w:rsidRPr="007C76A3">
          <w:rPr>
            <w:rStyle w:val="Hyperlink"/>
          </w:rPr>
          <w:t xml:space="preserve">AusPARs for approved, </w:t>
        </w:r>
        <w:proofErr w:type="gramStart"/>
        <w:r w:rsidRPr="007C76A3">
          <w:rPr>
            <w:rStyle w:val="Hyperlink"/>
          </w:rPr>
          <w:t>rejected</w:t>
        </w:r>
        <w:proofErr w:type="gramEnd"/>
        <w:r w:rsidRPr="007C76A3">
          <w:rPr>
            <w:rStyle w:val="Hyperlink"/>
          </w:rPr>
          <w:t xml:space="preserve"> and withdrawn submissions</w:t>
        </w:r>
      </w:hyperlink>
      <w:r w:rsidRPr="007C76A3">
        <w:t>.</w:t>
      </w:r>
    </w:p>
    <w:p w14:paraId="4C11F8D2" w14:textId="77777777" w:rsidR="001A3695" w:rsidRDefault="001A3695" w:rsidP="001A3695">
      <w:pPr>
        <w:pStyle w:val="Heading3"/>
      </w:pPr>
      <w:bookmarkStart w:id="99" w:name="_Toc70689860"/>
      <w:bookmarkStart w:id="100" w:name="_Toc141364449"/>
      <w:bookmarkStart w:id="101" w:name="_Toc149638582"/>
      <w:r w:rsidRPr="00491C14">
        <w:t>Failure to respon</w:t>
      </w:r>
      <w:r>
        <w:t>d</w:t>
      </w:r>
      <w:r w:rsidRPr="00491C14">
        <w:t xml:space="preserve"> within AusPAR review </w:t>
      </w:r>
      <w:proofErr w:type="gramStart"/>
      <w:r w:rsidRPr="00491C14">
        <w:t>period</w:t>
      </w:r>
      <w:bookmarkEnd w:id="99"/>
      <w:bookmarkEnd w:id="100"/>
      <w:bookmarkEnd w:id="101"/>
      <w:proofErr w:type="gramEnd"/>
    </w:p>
    <w:p w14:paraId="6883621C" w14:textId="77777777" w:rsidR="001A3695" w:rsidRDefault="001A3695" w:rsidP="001A3695">
      <w:r w:rsidRPr="00137030">
        <w:t>If there is no response from a sponsor to a TGA request to review a draft AusPAR, the TGA reserves the right to publish the finalised AusPAR without further</w:t>
      </w:r>
      <w:r>
        <w:t xml:space="preserve"> reference to </w:t>
      </w:r>
      <w:r w:rsidRPr="00137030">
        <w:t>the sponsor</w:t>
      </w:r>
      <w:r>
        <w:t>.</w:t>
      </w:r>
    </w:p>
    <w:p w14:paraId="1357B380" w14:textId="77777777" w:rsidR="001A3695" w:rsidRDefault="001A3695" w:rsidP="001A3695">
      <w:pPr>
        <w:pStyle w:val="Heading2"/>
      </w:pPr>
      <w:bookmarkStart w:id="102" w:name="_Toc141364450"/>
      <w:bookmarkStart w:id="103" w:name="_Toc149638583"/>
      <w:r>
        <w:t>AusPAR quality assurance process</w:t>
      </w:r>
      <w:bookmarkEnd w:id="102"/>
      <w:bookmarkEnd w:id="103"/>
    </w:p>
    <w:p w14:paraId="268DFB7C" w14:textId="29E77595" w:rsidR="001A3695" w:rsidRDefault="001A3695" w:rsidP="001A3695">
      <w:r>
        <w:t>Following sponsor review, and prior to publication, the AusPAR undergoes a q</w:t>
      </w:r>
      <w:r w:rsidRPr="0063601B">
        <w:t xml:space="preserve">uality </w:t>
      </w:r>
      <w:r>
        <w:t>a</w:t>
      </w:r>
      <w:r w:rsidRPr="0063601B">
        <w:t xml:space="preserve">ssurance </w:t>
      </w:r>
      <w:r>
        <w:t xml:space="preserve">(QA) process </w:t>
      </w:r>
      <w:r w:rsidR="00554CD4" w:rsidRPr="0063601B">
        <w:t>to</w:t>
      </w:r>
      <w:r w:rsidR="00554CD4">
        <w:t xml:space="preserve"> conduct</w:t>
      </w:r>
      <w:r>
        <w:t xml:space="preserve"> </w:t>
      </w:r>
      <w:r w:rsidRPr="00A1081B">
        <w:t xml:space="preserve">final checks for accessibility and compliance with </w:t>
      </w:r>
      <w:r w:rsidR="008175B4">
        <w:t>G</w:t>
      </w:r>
      <w:r w:rsidRPr="00A1081B">
        <w:t>overnment requirements</w:t>
      </w:r>
      <w:r>
        <w:t xml:space="preserve">. </w:t>
      </w:r>
      <w:r w:rsidRPr="0063601B">
        <w:t>This process has been in place since 2009</w:t>
      </w:r>
      <w:r>
        <w:t xml:space="preserve"> when AusPAR production began.</w:t>
      </w:r>
      <w:r w:rsidRPr="0063601B">
        <w:t xml:space="preserve"> Any major changes to the AusPAR that occur during the QA</w:t>
      </w:r>
      <w:r>
        <w:t xml:space="preserve"> process are communicated to the sponsor</w:t>
      </w:r>
      <w:r w:rsidRPr="0063601B">
        <w:t xml:space="preserve"> via email prior to publication.</w:t>
      </w:r>
      <w:r>
        <w:t xml:space="preserve"> Minor changes will not be communicated to the sponsor prior to publication.</w:t>
      </w:r>
      <w:bookmarkStart w:id="104" w:name="_Section_60_review_1"/>
      <w:bookmarkEnd w:id="104"/>
    </w:p>
    <w:p w14:paraId="2FF5908D" w14:textId="253D32B5" w:rsidR="001A3695" w:rsidRPr="00EE47A0" w:rsidRDefault="00BC0A52" w:rsidP="001A3695">
      <w:pPr>
        <w:pStyle w:val="Heading2"/>
      </w:pPr>
      <w:bookmarkStart w:id="105" w:name="_Toc149638584"/>
      <w:r>
        <w:t>How to access AusPARs and other relevant information</w:t>
      </w:r>
      <w:bookmarkEnd w:id="105"/>
    </w:p>
    <w:p w14:paraId="7AB73627" w14:textId="77777777" w:rsidR="001A3695" w:rsidRDefault="001A3695" w:rsidP="001A3695">
      <w:pPr>
        <w:pStyle w:val="Heading3"/>
      </w:pPr>
      <w:bookmarkStart w:id="106" w:name="_Toc70689863"/>
      <w:bookmarkStart w:id="107" w:name="_Toc141364452"/>
      <w:bookmarkStart w:id="108" w:name="_Toc149638585"/>
      <w:r>
        <w:t>Searching AusPARs</w:t>
      </w:r>
      <w:bookmarkEnd w:id="106"/>
      <w:bookmarkEnd w:id="107"/>
      <w:bookmarkEnd w:id="108"/>
    </w:p>
    <w:p w14:paraId="61A57A91" w14:textId="4A572F66" w:rsidR="001A3695" w:rsidRDefault="001A3695" w:rsidP="001A3695">
      <w:pPr>
        <w:spacing w:after="60"/>
      </w:pPr>
      <w:r>
        <w:t xml:space="preserve">AusPARs are published on the </w:t>
      </w:r>
      <w:hyperlink r:id="rId33" w:history="1">
        <w:r w:rsidRPr="0077574D">
          <w:rPr>
            <w:rStyle w:val="Hyperlink"/>
          </w:rPr>
          <w:t>TGA website</w:t>
        </w:r>
      </w:hyperlink>
      <w:r>
        <w:t>.</w:t>
      </w:r>
    </w:p>
    <w:p w14:paraId="245BE505" w14:textId="77777777" w:rsidR="001A3695" w:rsidRDefault="001A3695" w:rsidP="001A3695">
      <w:pPr>
        <w:pStyle w:val="Heading3"/>
      </w:pPr>
      <w:bookmarkStart w:id="109" w:name="_Toc362510470"/>
      <w:bookmarkStart w:id="110" w:name="_Toc409764896"/>
      <w:bookmarkStart w:id="111" w:name="_Toc70689864"/>
      <w:bookmarkStart w:id="112" w:name="_Toc141364453"/>
      <w:bookmarkStart w:id="113" w:name="_Toc149638586"/>
      <w:r w:rsidRPr="00491C14">
        <w:lastRenderedPageBreak/>
        <w:t>Product Information</w:t>
      </w:r>
      <w:bookmarkEnd w:id="109"/>
      <w:bookmarkEnd w:id="110"/>
      <w:r>
        <w:t xml:space="preserve"> (PI)</w:t>
      </w:r>
      <w:bookmarkEnd w:id="111"/>
      <w:bookmarkEnd w:id="112"/>
      <w:bookmarkEnd w:id="113"/>
    </w:p>
    <w:p w14:paraId="746DAA35" w14:textId="6D587258" w:rsidR="001A3695" w:rsidRPr="00B0396D" w:rsidRDefault="001A3695" w:rsidP="001A3695">
      <w:r>
        <w:t>A</w:t>
      </w:r>
      <w:r w:rsidRPr="00B0396D">
        <w:t xml:space="preserve"> copy of the PI </w:t>
      </w:r>
      <w:r>
        <w:t xml:space="preserve">approved with the submission is </w:t>
      </w:r>
      <w:r w:rsidRPr="00B0396D">
        <w:t xml:space="preserve">included </w:t>
      </w:r>
      <w:r>
        <w:t>as an attachment to</w:t>
      </w:r>
      <w:r w:rsidRPr="00B0396D">
        <w:t xml:space="preserve"> the AusPAR document when it is published by the TGA. This version of the PI will remain static (</w:t>
      </w:r>
      <w:proofErr w:type="gramStart"/>
      <w:r w:rsidRPr="00B0396D">
        <w:t>similar to</w:t>
      </w:r>
      <w:proofErr w:type="gramEnd"/>
      <w:r w:rsidRPr="00B0396D">
        <w:t xml:space="preserve"> the AusPAR) and will be ‘watermarked’ to ensure that this is clear to the reader that any later version of the approved PI is available via the </w:t>
      </w:r>
      <w:hyperlink r:id="rId34" w:history="1">
        <w:r w:rsidRPr="00AF42E9">
          <w:rPr>
            <w:rStyle w:val="Hyperlink"/>
          </w:rPr>
          <w:t>TGA eBusiness Services system</w:t>
        </w:r>
      </w:hyperlink>
      <w:r w:rsidRPr="00B0396D">
        <w:t>.</w:t>
      </w:r>
    </w:p>
    <w:p w14:paraId="2E27B8B4" w14:textId="0B6F1A71" w:rsidR="001A3695" w:rsidRDefault="001A3695" w:rsidP="001A3695">
      <w:r w:rsidRPr="00B0396D">
        <w:t xml:space="preserve">Publishing the approved PI with the AusPAR does not replace the requirement for the sponsor to load their PI, and </w:t>
      </w:r>
      <w:hyperlink r:id="rId35" w:history="1">
        <w:r w:rsidRPr="00256DA2">
          <w:rPr>
            <w:rStyle w:val="Hyperlink"/>
          </w:rPr>
          <w:t>Consumer Medicine Information</w:t>
        </w:r>
      </w:hyperlink>
      <w:r>
        <w:t xml:space="preserve"> </w:t>
      </w:r>
      <w:r w:rsidRPr="00B0396D">
        <w:t>(CMI) documents onto the TGA eBusiness Services system.</w:t>
      </w:r>
    </w:p>
    <w:p w14:paraId="44E59833" w14:textId="1A5622B4" w:rsidR="001A3695" w:rsidRPr="000B38A6" w:rsidRDefault="001A3695" w:rsidP="001A3695">
      <w:pPr>
        <w:pStyle w:val="Heading3"/>
      </w:pPr>
      <w:bookmarkStart w:id="114" w:name="_Toc409764897"/>
      <w:bookmarkStart w:id="115" w:name="_Toc70689865"/>
      <w:bookmarkStart w:id="116" w:name="_Toc141364454"/>
      <w:bookmarkStart w:id="117" w:name="_Toc149638587"/>
      <w:r w:rsidRPr="000B38A6">
        <w:t xml:space="preserve">Release of AusPAR to </w:t>
      </w:r>
      <w:r w:rsidRPr="005A40FF">
        <w:t>Therapeutic Guidelines Ltd</w:t>
      </w:r>
      <w:bookmarkEnd w:id="114"/>
      <w:bookmarkEnd w:id="115"/>
      <w:bookmarkEnd w:id="116"/>
      <w:bookmarkEnd w:id="117"/>
    </w:p>
    <w:p w14:paraId="370CA8F4" w14:textId="0EC3EAAA" w:rsidR="001A3695" w:rsidRPr="000B38A6" w:rsidRDefault="001A3695" w:rsidP="001A3695">
      <w:r w:rsidRPr="000B38A6">
        <w:t xml:space="preserve">The </w:t>
      </w:r>
      <w:hyperlink r:id="rId36" w:history="1">
        <w:r w:rsidRPr="006C198F">
          <w:rPr>
            <w:rStyle w:val="Hyperlink"/>
          </w:rPr>
          <w:t>Therapeutic Goods (Prescription Medicines—Sharing of AusPARs) (Information) Specification 2023</w:t>
        </w:r>
      </w:hyperlink>
      <w:r w:rsidRPr="000B38A6">
        <w:t xml:space="preserve"> allows the TGA to provide information from an AusPAR to </w:t>
      </w:r>
      <w:hyperlink r:id="rId37" w:history="1">
        <w:r w:rsidRPr="000B38A6">
          <w:rPr>
            <w:rStyle w:val="Hyperlink"/>
          </w:rPr>
          <w:t>Therapeutic Guidelines Ltd</w:t>
        </w:r>
      </w:hyperlink>
      <w:r w:rsidRPr="000B38A6">
        <w:t xml:space="preserve"> </w:t>
      </w:r>
      <w:r>
        <w:t xml:space="preserve">(TG Ltd) </w:t>
      </w:r>
      <w:r w:rsidRPr="000B38A6">
        <w:t xml:space="preserve">prior to its publication on the TGA website. This is to assist with the preparation of comments on newly registered medicines for publication in the </w:t>
      </w:r>
      <w:hyperlink r:id="rId38" w:history="1">
        <w:r w:rsidRPr="00A1081B">
          <w:rPr>
            <w:rStyle w:val="Hyperlink"/>
          </w:rPr>
          <w:t>Australian Prescriber</w:t>
        </w:r>
      </w:hyperlink>
      <w:r w:rsidRPr="000B38A6">
        <w:t>.</w:t>
      </w:r>
    </w:p>
    <w:p w14:paraId="7BBA7CF7" w14:textId="77777777" w:rsidR="001A3695" w:rsidRPr="000B38A6" w:rsidRDefault="001A3695" w:rsidP="001A3695">
      <w:r w:rsidRPr="000B38A6">
        <w:t xml:space="preserve">We will only provide this information </w:t>
      </w:r>
      <w:r>
        <w:t xml:space="preserve">to TG Ltd </w:t>
      </w:r>
      <w:r w:rsidRPr="000B38A6">
        <w:t>after the review process with the sponsor has been completed.</w:t>
      </w:r>
    </w:p>
    <w:p w14:paraId="3C591840" w14:textId="77777777" w:rsidR="001A3695" w:rsidRDefault="001A3695" w:rsidP="001A3695">
      <w:r w:rsidRPr="000B38A6">
        <w:t>Extracts from the AusPAR will not be published in Australian Prescriber before the AusPAR is published on the TGA website.</w:t>
      </w:r>
    </w:p>
    <w:p w14:paraId="4104274A" w14:textId="77777777" w:rsidR="001A3695" w:rsidRDefault="001A3695" w:rsidP="001A3695">
      <w:pPr>
        <w:spacing w:after="0" w:line="240" w:lineRule="auto"/>
        <w:rPr>
          <w:sz w:val="18"/>
        </w:rPr>
      </w:pPr>
      <w:r>
        <w:br w:type="page"/>
      </w:r>
    </w:p>
    <w:p w14:paraId="57642C21" w14:textId="77777777" w:rsidR="001A3695" w:rsidRPr="00215D48" w:rsidRDefault="001A3695" w:rsidP="001A3695">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695" w14:paraId="09A197A9" w14:textId="77777777" w:rsidTr="00A155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8FDDD8F" w14:textId="77777777" w:rsidR="001A3695" w:rsidRDefault="001A3695" w:rsidP="00A155DF">
            <w:r>
              <w:t>Version</w:t>
            </w:r>
          </w:p>
        </w:tc>
        <w:tc>
          <w:tcPr>
            <w:tcW w:w="3242" w:type="dxa"/>
          </w:tcPr>
          <w:p w14:paraId="7E297C2E" w14:textId="77777777" w:rsidR="001A3695" w:rsidRDefault="001A3695" w:rsidP="00A155DF">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14:paraId="188DEA9F" w14:textId="77777777" w:rsidR="001A3695" w:rsidRDefault="001A3695" w:rsidP="00A155DF">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14:paraId="176E9D9F" w14:textId="77777777" w:rsidR="001A3695" w:rsidRDefault="001A3695" w:rsidP="00A155DF">
            <w:pPr>
              <w:cnfStyle w:val="100000000000" w:firstRow="1" w:lastRow="0" w:firstColumn="0" w:lastColumn="0" w:oddVBand="0" w:evenVBand="0" w:oddHBand="0" w:evenHBand="0" w:firstRowFirstColumn="0" w:firstRowLastColumn="0" w:lastRowFirstColumn="0" w:lastRowLastColumn="0"/>
            </w:pPr>
            <w:r>
              <w:t>Effective date</w:t>
            </w:r>
          </w:p>
        </w:tc>
      </w:tr>
      <w:tr w:rsidR="001A3695" w14:paraId="73DD2936" w14:textId="77777777" w:rsidTr="00A155DF">
        <w:trPr>
          <w:trHeight w:val="785"/>
        </w:trPr>
        <w:tc>
          <w:tcPr>
            <w:cnfStyle w:val="001000000000" w:firstRow="0" w:lastRow="0" w:firstColumn="1" w:lastColumn="0" w:oddVBand="0" w:evenVBand="0" w:oddHBand="0" w:evenHBand="0" w:firstRowFirstColumn="0" w:firstRowLastColumn="0" w:lastRowFirstColumn="0" w:lastRowLastColumn="0"/>
            <w:tcW w:w="1276" w:type="dxa"/>
          </w:tcPr>
          <w:p w14:paraId="1743D908" w14:textId="77777777" w:rsidR="001A3695" w:rsidRPr="00B0396D" w:rsidRDefault="001A3695" w:rsidP="00A155DF">
            <w:r w:rsidRPr="00B0396D">
              <w:t>V</w:t>
            </w:r>
            <w:r>
              <w:t>1.0</w:t>
            </w:r>
          </w:p>
        </w:tc>
        <w:tc>
          <w:tcPr>
            <w:tcW w:w="3242" w:type="dxa"/>
          </w:tcPr>
          <w:p w14:paraId="20E9C8F2" w14:textId="77777777" w:rsidR="001A3695" w:rsidRPr="00B0396D" w:rsidRDefault="001A3695" w:rsidP="00A155DF">
            <w:pPr>
              <w:cnfStyle w:val="000000000000" w:firstRow="0" w:lastRow="0" w:firstColumn="0" w:lastColumn="0" w:oddVBand="0" w:evenVBand="0" w:oddHBand="0" w:evenHBand="0" w:firstRowFirstColumn="0" w:firstRowLastColumn="0" w:lastRowFirstColumn="0" w:lastRowLastColumn="0"/>
            </w:pPr>
            <w:r>
              <w:t xml:space="preserve">Approved for TGA web publishing </w:t>
            </w:r>
          </w:p>
        </w:tc>
        <w:tc>
          <w:tcPr>
            <w:tcW w:w="2712" w:type="dxa"/>
          </w:tcPr>
          <w:p w14:paraId="43CEB8DE" w14:textId="77777777" w:rsidR="001A3695" w:rsidRPr="00B0396D" w:rsidRDefault="001A3695" w:rsidP="00A155DF">
            <w:pPr>
              <w:cnfStyle w:val="000000000000" w:firstRow="0" w:lastRow="0" w:firstColumn="0" w:lastColumn="0" w:oddVBand="0" w:evenVBand="0" w:oddHBand="0" w:evenHBand="0" w:firstRowFirstColumn="0" w:firstRowLastColumn="0" w:lastRowFirstColumn="0" w:lastRowLastColumn="0"/>
            </w:pPr>
            <w:r>
              <w:t>BPR Project</w:t>
            </w:r>
          </w:p>
        </w:tc>
        <w:tc>
          <w:tcPr>
            <w:tcW w:w="1808" w:type="dxa"/>
          </w:tcPr>
          <w:p w14:paraId="6C96E507" w14:textId="77777777" w:rsidR="001A3695" w:rsidRPr="00B0396D" w:rsidRDefault="001A3695" w:rsidP="00A155DF">
            <w:pPr>
              <w:cnfStyle w:val="000000000000" w:firstRow="0" w:lastRow="0" w:firstColumn="0" w:lastColumn="0" w:oddVBand="0" w:evenVBand="0" w:oddHBand="0" w:evenHBand="0" w:firstRowFirstColumn="0" w:firstRowLastColumn="0" w:lastRowFirstColumn="0" w:lastRowLastColumn="0"/>
            </w:pPr>
            <w:r>
              <w:t>October 2010</w:t>
            </w:r>
          </w:p>
        </w:tc>
      </w:tr>
      <w:tr w:rsidR="001A3695" w14:paraId="1DD1EE0A" w14:textId="77777777" w:rsidTr="00A155DF">
        <w:trPr>
          <w:trHeight w:val="918"/>
        </w:trPr>
        <w:tc>
          <w:tcPr>
            <w:cnfStyle w:val="001000000000" w:firstRow="0" w:lastRow="0" w:firstColumn="1" w:lastColumn="0" w:oddVBand="0" w:evenVBand="0" w:oddHBand="0" w:evenHBand="0" w:firstRowFirstColumn="0" w:firstRowLastColumn="0" w:lastRowFirstColumn="0" w:lastRowLastColumn="0"/>
            <w:tcW w:w="1276" w:type="dxa"/>
          </w:tcPr>
          <w:p w14:paraId="0682FD93" w14:textId="77777777" w:rsidR="001A3695" w:rsidRPr="00B0396D" w:rsidRDefault="001A3695" w:rsidP="00A155DF">
            <w:r w:rsidRPr="00B0396D">
              <w:t>V1.</w:t>
            </w:r>
            <w:r>
              <w:t>1</w:t>
            </w:r>
          </w:p>
        </w:tc>
        <w:tc>
          <w:tcPr>
            <w:tcW w:w="3242" w:type="dxa"/>
          </w:tcPr>
          <w:p w14:paraId="6A4694BE" w14:textId="77777777" w:rsidR="001A3695" w:rsidRPr="00B0396D" w:rsidRDefault="001A3695" w:rsidP="00A155DF">
            <w:pPr>
              <w:cnfStyle w:val="000000000000" w:firstRow="0" w:lastRow="0" w:firstColumn="0" w:lastColumn="0" w:oddVBand="0" w:evenVBand="0" w:oddHBand="0" w:evenHBand="0" w:firstRowFirstColumn="0" w:firstRowLastColumn="0" w:lastRowFirstColumn="0" w:lastRowLastColumn="0"/>
            </w:pPr>
            <w:r>
              <w:t>Approved for TGA web publishing</w:t>
            </w:r>
          </w:p>
        </w:tc>
        <w:tc>
          <w:tcPr>
            <w:tcW w:w="2712" w:type="dxa"/>
          </w:tcPr>
          <w:p w14:paraId="30C51A89" w14:textId="77777777" w:rsidR="001A3695" w:rsidRPr="00BD180F" w:rsidRDefault="001A3695" w:rsidP="00A155DF">
            <w:pPr>
              <w:cnfStyle w:val="000000000000" w:firstRow="0" w:lastRow="0" w:firstColumn="0" w:lastColumn="0" w:oddVBand="0" w:evenVBand="0" w:oddHBand="0" w:evenHBand="0" w:firstRowFirstColumn="0" w:firstRowLastColumn="0" w:lastRowFirstColumn="0" w:lastRowLastColumn="0"/>
            </w:pPr>
            <w:r w:rsidRPr="00BD180F">
              <w:t>Medicines Authorisation Branch</w:t>
            </w:r>
          </w:p>
        </w:tc>
        <w:tc>
          <w:tcPr>
            <w:tcW w:w="1808" w:type="dxa"/>
          </w:tcPr>
          <w:p w14:paraId="1497C79F" w14:textId="77777777" w:rsidR="001A3695" w:rsidRPr="00BD180F" w:rsidRDefault="001A3695" w:rsidP="00A155DF">
            <w:pPr>
              <w:cnfStyle w:val="000000000000" w:firstRow="0" w:lastRow="0" w:firstColumn="0" w:lastColumn="0" w:oddVBand="0" w:evenVBand="0" w:oddHBand="0" w:evenHBand="0" w:firstRowFirstColumn="0" w:firstRowLastColumn="0" w:lastRowFirstColumn="0" w:lastRowLastColumn="0"/>
            </w:pPr>
            <w:r w:rsidRPr="00BD180F">
              <w:t>February 2015</w:t>
            </w:r>
          </w:p>
        </w:tc>
      </w:tr>
      <w:tr w:rsidR="001A3695" w14:paraId="5DA959C4" w14:textId="77777777" w:rsidTr="00A155DF">
        <w:trPr>
          <w:trHeight w:val="480"/>
        </w:trPr>
        <w:tc>
          <w:tcPr>
            <w:cnfStyle w:val="001000000000" w:firstRow="0" w:lastRow="0" w:firstColumn="1" w:lastColumn="0" w:oddVBand="0" w:evenVBand="0" w:oddHBand="0" w:evenHBand="0" w:firstRowFirstColumn="0" w:firstRowLastColumn="0" w:lastRowFirstColumn="0" w:lastRowLastColumn="0"/>
            <w:tcW w:w="1276" w:type="dxa"/>
          </w:tcPr>
          <w:p w14:paraId="19A5AFDB" w14:textId="77777777" w:rsidR="001A3695" w:rsidRDefault="001A3695" w:rsidP="00A155DF">
            <w:r>
              <w:t>V1.2</w:t>
            </w:r>
          </w:p>
        </w:tc>
        <w:tc>
          <w:tcPr>
            <w:tcW w:w="3242" w:type="dxa"/>
          </w:tcPr>
          <w:p w14:paraId="04581D35" w14:textId="77777777" w:rsidR="001A3695" w:rsidRDefault="001A3695" w:rsidP="00A155DF">
            <w:pPr>
              <w:cnfStyle w:val="000000000000" w:firstRow="0" w:lastRow="0" w:firstColumn="0" w:lastColumn="0" w:oddVBand="0" w:evenVBand="0" w:oddHBand="0" w:evenHBand="0" w:firstRowFirstColumn="0" w:firstRowLastColumn="0" w:lastRowFirstColumn="0" w:lastRowLastColumn="0"/>
            </w:pPr>
            <w:r>
              <w:t>Formatting for web publishing</w:t>
            </w:r>
          </w:p>
        </w:tc>
        <w:tc>
          <w:tcPr>
            <w:tcW w:w="2712" w:type="dxa"/>
          </w:tcPr>
          <w:p w14:paraId="43653A05" w14:textId="77777777" w:rsidR="001A3695" w:rsidRPr="001026B0" w:rsidRDefault="001A3695" w:rsidP="00A155DF">
            <w:pPr>
              <w:cnfStyle w:val="000000000000" w:firstRow="0" w:lastRow="0" w:firstColumn="0" w:lastColumn="0" w:oddVBand="0" w:evenVBand="0" w:oddHBand="0" w:evenHBand="0" w:firstRowFirstColumn="0" w:firstRowLastColumn="0" w:lastRowFirstColumn="0" w:lastRowLastColumn="0"/>
            </w:pPr>
            <w:r w:rsidRPr="00BD180F">
              <w:t>Medicines Authorisation Branch</w:t>
            </w:r>
          </w:p>
        </w:tc>
        <w:tc>
          <w:tcPr>
            <w:tcW w:w="1808" w:type="dxa"/>
          </w:tcPr>
          <w:p w14:paraId="1D6F9B66" w14:textId="77777777" w:rsidR="001A3695" w:rsidRPr="001026B0" w:rsidRDefault="001A3695" w:rsidP="00A155DF">
            <w:pPr>
              <w:cnfStyle w:val="000000000000" w:firstRow="0" w:lastRow="0" w:firstColumn="0" w:lastColumn="0" w:oddVBand="0" w:evenVBand="0" w:oddHBand="0" w:evenHBand="0" w:firstRowFirstColumn="0" w:firstRowLastColumn="0" w:lastRowFirstColumn="0" w:lastRowLastColumn="0"/>
            </w:pPr>
            <w:r>
              <w:t>March 2015</w:t>
            </w:r>
          </w:p>
        </w:tc>
      </w:tr>
      <w:tr w:rsidR="001A3695" w14:paraId="00E46A24" w14:textId="77777777" w:rsidTr="00A155DF">
        <w:trPr>
          <w:trHeight w:val="480"/>
        </w:trPr>
        <w:tc>
          <w:tcPr>
            <w:cnfStyle w:val="001000000000" w:firstRow="0" w:lastRow="0" w:firstColumn="1" w:lastColumn="0" w:oddVBand="0" w:evenVBand="0" w:oddHBand="0" w:evenHBand="0" w:firstRowFirstColumn="0" w:firstRowLastColumn="0" w:lastRowFirstColumn="0" w:lastRowLastColumn="0"/>
            <w:tcW w:w="1276" w:type="dxa"/>
          </w:tcPr>
          <w:p w14:paraId="44E59982" w14:textId="77777777" w:rsidR="001A3695" w:rsidRDefault="001A3695" w:rsidP="00A155DF">
            <w:r>
              <w:t>V2.0</w:t>
            </w:r>
          </w:p>
        </w:tc>
        <w:tc>
          <w:tcPr>
            <w:tcW w:w="3242" w:type="dxa"/>
          </w:tcPr>
          <w:p w14:paraId="373ED9E2" w14:textId="77777777" w:rsidR="001A3695" w:rsidRDefault="001A3695" w:rsidP="00A155DF">
            <w:pPr>
              <w:cnfStyle w:val="000000000000" w:firstRow="0" w:lastRow="0" w:firstColumn="0" w:lastColumn="0" w:oddVBand="0" w:evenVBand="0" w:oddHBand="0" w:evenHBand="0" w:firstRowFirstColumn="0" w:firstRowLastColumn="0" w:lastRowFirstColumn="0" w:lastRowLastColumn="0"/>
            </w:pPr>
            <w:r>
              <w:t xml:space="preserve">Updates to reflect streamlined AusPAR format specifically the 7-day sponsor review timeframes, </w:t>
            </w:r>
            <w:r w:rsidRPr="00C55815">
              <w:t xml:space="preserve">minor </w:t>
            </w:r>
            <w:proofErr w:type="gramStart"/>
            <w:r w:rsidRPr="00C55815">
              <w:t>edits</w:t>
            </w:r>
            <w:proofErr w:type="gramEnd"/>
            <w:r w:rsidRPr="00C55815">
              <w:t xml:space="preserve"> </w:t>
            </w:r>
            <w:r>
              <w:t xml:space="preserve">and formatting changes </w:t>
            </w:r>
            <w:r w:rsidRPr="00C55815">
              <w:t>to increase readability</w:t>
            </w:r>
            <w:r>
              <w:t xml:space="preserve"> and removal of the Appendices. </w:t>
            </w:r>
          </w:p>
        </w:tc>
        <w:tc>
          <w:tcPr>
            <w:tcW w:w="2712" w:type="dxa"/>
          </w:tcPr>
          <w:p w14:paraId="01397BC9" w14:textId="77777777" w:rsidR="001A3695" w:rsidRDefault="001A3695" w:rsidP="00A155DF">
            <w:pPr>
              <w:cnfStyle w:val="000000000000" w:firstRow="0" w:lastRow="0" w:firstColumn="0" w:lastColumn="0" w:oddVBand="0" w:evenVBand="0" w:oddHBand="0" w:evenHBand="0" w:firstRowFirstColumn="0" w:firstRowLastColumn="0" w:lastRowFirstColumn="0" w:lastRowLastColumn="0"/>
            </w:pPr>
            <w:r>
              <w:t>Prescription Medicines Authorisation Branch</w:t>
            </w:r>
          </w:p>
        </w:tc>
        <w:tc>
          <w:tcPr>
            <w:tcW w:w="1808" w:type="dxa"/>
          </w:tcPr>
          <w:p w14:paraId="154E88D7" w14:textId="77777777" w:rsidR="001A3695" w:rsidRDefault="001A3695" w:rsidP="00A155DF">
            <w:pPr>
              <w:cnfStyle w:val="000000000000" w:firstRow="0" w:lastRow="0" w:firstColumn="0" w:lastColumn="0" w:oddVBand="0" w:evenVBand="0" w:oddHBand="0" w:evenHBand="0" w:firstRowFirstColumn="0" w:firstRowLastColumn="0" w:lastRowFirstColumn="0" w:lastRowLastColumn="0"/>
            </w:pPr>
            <w:r>
              <w:t>July 2021</w:t>
            </w:r>
          </w:p>
        </w:tc>
      </w:tr>
      <w:tr w:rsidR="001A3695" w14:paraId="3B4B0E25" w14:textId="77777777" w:rsidTr="00A155DF">
        <w:trPr>
          <w:trHeight w:val="480"/>
        </w:trPr>
        <w:tc>
          <w:tcPr>
            <w:cnfStyle w:val="001000000000" w:firstRow="0" w:lastRow="0" w:firstColumn="1" w:lastColumn="0" w:oddVBand="0" w:evenVBand="0" w:oddHBand="0" w:evenHBand="0" w:firstRowFirstColumn="0" w:firstRowLastColumn="0" w:lastRowFirstColumn="0" w:lastRowLastColumn="0"/>
            <w:tcW w:w="1276" w:type="dxa"/>
          </w:tcPr>
          <w:p w14:paraId="55C89160" w14:textId="77777777" w:rsidR="001A3695" w:rsidRPr="007C76A3" w:rsidRDefault="001A3695" w:rsidP="00A155DF">
            <w:r w:rsidRPr="007C76A3">
              <w:t>V3.0</w:t>
            </w:r>
          </w:p>
        </w:tc>
        <w:tc>
          <w:tcPr>
            <w:tcW w:w="3242" w:type="dxa"/>
          </w:tcPr>
          <w:p w14:paraId="0A7DEB1B" w14:textId="77777777" w:rsidR="001A3695" w:rsidRPr="007C76A3" w:rsidRDefault="001A3695" w:rsidP="00A155DF">
            <w:pPr>
              <w:cnfStyle w:val="000000000000" w:firstRow="0" w:lastRow="0" w:firstColumn="0" w:lastColumn="0" w:oddVBand="0" w:evenVBand="0" w:oddHBand="0" w:evenHBand="0" w:firstRowFirstColumn="0" w:firstRowLastColumn="0" w:lastRowFirstColumn="0" w:lastRowLastColumn="0"/>
            </w:pPr>
            <w:r w:rsidRPr="007C76A3">
              <w:t xml:space="preserve">Updates </w:t>
            </w:r>
            <w:r>
              <w:t xml:space="preserve">include detailed </w:t>
            </w:r>
            <w:r w:rsidRPr="00066114">
              <w:t>components</w:t>
            </w:r>
            <w:r>
              <w:t xml:space="preserve"> of the AusPAR, </w:t>
            </w:r>
            <w:r w:rsidRPr="007C76A3">
              <w:t>the release of AusPAR</w:t>
            </w:r>
            <w:r>
              <w:t>s</w:t>
            </w:r>
            <w:r w:rsidRPr="007C76A3">
              <w:t xml:space="preserve"> to </w:t>
            </w:r>
            <w:r w:rsidRPr="000B38A6">
              <w:t xml:space="preserve">Therapeutic Guidelines Ltd </w:t>
            </w:r>
            <w:r w:rsidRPr="007C76A3">
              <w:t xml:space="preserve">instead of NPS MedicineWise, </w:t>
            </w:r>
            <w:r>
              <w:t xml:space="preserve">as well as the types of applications that receive </w:t>
            </w:r>
            <w:r w:rsidRPr="007C76A3">
              <w:t>AusPAR</w:t>
            </w:r>
            <w:r>
              <w:t>s.</w:t>
            </w:r>
          </w:p>
        </w:tc>
        <w:tc>
          <w:tcPr>
            <w:tcW w:w="2712" w:type="dxa"/>
          </w:tcPr>
          <w:p w14:paraId="1BB11C44" w14:textId="77777777" w:rsidR="001A3695" w:rsidRPr="007C76A3" w:rsidRDefault="001A3695" w:rsidP="00A155DF">
            <w:pPr>
              <w:cnfStyle w:val="000000000000" w:firstRow="0" w:lastRow="0" w:firstColumn="0" w:lastColumn="0" w:oddVBand="0" w:evenVBand="0" w:oddHBand="0" w:evenHBand="0" w:firstRowFirstColumn="0" w:firstRowLastColumn="0" w:lastRowFirstColumn="0" w:lastRowLastColumn="0"/>
            </w:pPr>
            <w:r w:rsidRPr="007C76A3">
              <w:t>Prescription Medicines Authorisation Branch</w:t>
            </w:r>
          </w:p>
        </w:tc>
        <w:tc>
          <w:tcPr>
            <w:tcW w:w="1808" w:type="dxa"/>
          </w:tcPr>
          <w:p w14:paraId="74960BAE" w14:textId="5EA72E8B" w:rsidR="001A3695" w:rsidRPr="007C76A3" w:rsidRDefault="00EA52C4" w:rsidP="00A155DF">
            <w:pPr>
              <w:cnfStyle w:val="000000000000" w:firstRow="0" w:lastRow="0" w:firstColumn="0" w:lastColumn="0" w:oddVBand="0" w:evenVBand="0" w:oddHBand="0" w:evenHBand="0" w:firstRowFirstColumn="0" w:firstRowLastColumn="0" w:lastRowFirstColumn="0" w:lastRowLastColumn="0"/>
            </w:pPr>
            <w:r>
              <w:t>October</w:t>
            </w:r>
            <w:r w:rsidR="00603941" w:rsidRPr="00B2099E">
              <w:t xml:space="preserve"> </w:t>
            </w:r>
            <w:r w:rsidR="001A3695" w:rsidRPr="00B2099E">
              <w:t>2023</w:t>
            </w:r>
          </w:p>
        </w:tc>
      </w:tr>
    </w:tbl>
    <w:p w14:paraId="24D59F9B" w14:textId="73FFA122" w:rsidR="001A3695" w:rsidRPr="00215D48" w:rsidRDefault="001A3695" w:rsidP="00706634">
      <w:pPr>
        <w:spacing w:after="0" w:line="240" w:lineRule="auto"/>
        <w:sectPr w:rsidR="001A3695" w:rsidRPr="00215D48" w:rsidSect="00AE7C6A">
          <w:headerReference w:type="default" r:id="rId39"/>
          <w:footerReference w:type="default" r:id="rId4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112C4D8E" w14:textId="77777777" w:rsidTr="00564BBE">
        <w:trPr>
          <w:trHeight w:hRule="exact" w:val="565"/>
          <w:jc w:val="center"/>
        </w:trPr>
        <w:tc>
          <w:tcPr>
            <w:tcW w:w="9145" w:type="dxa"/>
          </w:tcPr>
          <w:p w14:paraId="3258BBE0" w14:textId="77777777" w:rsidR="00F02AEC" w:rsidRPr="00215D48" w:rsidRDefault="00F02AEC" w:rsidP="00564BBE">
            <w:pPr>
              <w:pStyle w:val="TGASignoff"/>
            </w:pPr>
            <w:r w:rsidRPr="00215D48">
              <w:lastRenderedPageBreak/>
              <w:t>Therapeutic Goods Administration</w:t>
            </w:r>
          </w:p>
        </w:tc>
      </w:tr>
      <w:tr w:rsidR="00F02AEC" w:rsidRPr="00215D48" w14:paraId="2807E93E" w14:textId="77777777" w:rsidTr="00564BBE">
        <w:trPr>
          <w:trHeight w:val="963"/>
          <w:jc w:val="center"/>
        </w:trPr>
        <w:tc>
          <w:tcPr>
            <w:tcW w:w="9145" w:type="dxa"/>
            <w:tcMar>
              <w:top w:w="28" w:type="dxa"/>
            </w:tcMar>
          </w:tcPr>
          <w:p w14:paraId="6BA7F782" w14:textId="77777777" w:rsidR="00F02AEC" w:rsidRPr="00215D48" w:rsidRDefault="00F02AEC" w:rsidP="00EB5622">
            <w:pPr>
              <w:pStyle w:val="Address"/>
              <w:jc w:val="center"/>
            </w:pPr>
            <w:r w:rsidRPr="00215D48">
              <w:t>PO Box 100 Woden ACT 2606 Australia</w:t>
            </w:r>
          </w:p>
          <w:p w14:paraId="25CF158A" w14:textId="75D1EFF9" w:rsidR="00F02AEC" w:rsidRDefault="00F02AEC">
            <w:pPr>
              <w:pStyle w:val="Address"/>
              <w:jc w:val="center"/>
              <w:rPr>
                <w:sz w:val="22"/>
                <w:szCs w:val="22"/>
              </w:rPr>
            </w:pPr>
            <w:r w:rsidRPr="00215D48">
              <w:t xml:space="preserve">Email: </w:t>
            </w:r>
            <w:hyperlink r:id="rId4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147A0469" w14:textId="426FD4C5" w:rsidR="00F02AEC" w:rsidRPr="00215D48" w:rsidRDefault="00B31E8D">
            <w:pPr>
              <w:pStyle w:val="Address"/>
              <w:jc w:val="center"/>
              <w:rPr>
                <w:rStyle w:val="Hyperlink"/>
                <w:b/>
                <w:color w:val="auto"/>
                <w:sz w:val="22"/>
              </w:rPr>
            </w:pPr>
            <w:hyperlink r:id="rId42" w:history="1">
              <w:r w:rsidR="00F02AEC" w:rsidRPr="00C4721A">
                <w:rPr>
                  <w:rStyle w:val="Hyperlink"/>
                  <w:b/>
                </w:rPr>
                <w:t>https://www.tga.gov.au</w:t>
              </w:r>
            </w:hyperlink>
          </w:p>
        </w:tc>
      </w:tr>
      <w:tr w:rsidR="00F02AEC" w:rsidRPr="00215D48" w14:paraId="5454AD83" w14:textId="77777777" w:rsidTr="00564BBE">
        <w:trPr>
          <w:trHeight w:val="251"/>
          <w:jc w:val="center"/>
        </w:trPr>
        <w:tc>
          <w:tcPr>
            <w:tcW w:w="9145" w:type="dxa"/>
            <w:tcMar>
              <w:top w:w="28" w:type="dxa"/>
            </w:tcMar>
          </w:tcPr>
          <w:p w14:paraId="528BB2BC" w14:textId="77777777" w:rsidR="00F02AEC" w:rsidRPr="00215D48" w:rsidRDefault="00F02AEC" w:rsidP="00EB5622">
            <w:pPr>
              <w:pStyle w:val="Address"/>
              <w:jc w:val="center"/>
            </w:pPr>
            <w:r w:rsidRPr="00215D48">
              <w:t>Reference/Publication #</w:t>
            </w:r>
          </w:p>
        </w:tc>
      </w:tr>
    </w:tbl>
    <w:p w14:paraId="17D9352F" w14:textId="77777777" w:rsidR="002216A7" w:rsidRDefault="00B31E8D"/>
    <w:sectPr w:rsidR="002216A7" w:rsidSect="00AE7C6A">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1B94" w14:textId="77777777" w:rsidR="00226BB6" w:rsidRDefault="00226BB6" w:rsidP="00F02AEC">
      <w:pPr>
        <w:spacing w:after="0" w:line="240" w:lineRule="auto"/>
      </w:pPr>
      <w:r>
        <w:separator/>
      </w:r>
    </w:p>
  </w:endnote>
  <w:endnote w:type="continuationSeparator" w:id="0">
    <w:p w14:paraId="414F1BF1" w14:textId="77777777" w:rsidR="00226BB6" w:rsidRDefault="00226BB6"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7021381B" w14:textId="77777777" w:rsidTr="000B30E5">
      <w:trPr>
        <w:trHeight w:val="423"/>
      </w:trPr>
      <w:tc>
        <w:tcPr>
          <w:tcW w:w="4360" w:type="dxa"/>
          <w:tcBorders>
            <w:top w:val="single" w:sz="4" w:space="0" w:color="auto"/>
          </w:tcBorders>
        </w:tcPr>
        <w:p w14:paraId="28C13CA2" w14:textId="77777777" w:rsidR="00F02AEC" w:rsidRDefault="00F02AEC" w:rsidP="000B30E5">
          <w:pPr>
            <w:pStyle w:val="Footer"/>
          </w:pPr>
        </w:p>
        <w:p w14:paraId="183FE8A6"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6CCDAF4" w14:textId="77777777" w:rsidR="00F02AEC" w:rsidRDefault="00F02AEC" w:rsidP="000B30E5">
              <w:pPr>
                <w:pStyle w:val="Footer"/>
                <w:jc w:val="right"/>
              </w:pPr>
            </w:p>
            <w:p w14:paraId="5BF8BAC0"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31E8D">
                <w:fldChar w:fldCharType="begin"/>
              </w:r>
              <w:r w:rsidR="00B31E8D">
                <w:instrText xml:space="preserve"> NUMPAGES  </w:instrText>
              </w:r>
              <w:r w:rsidR="00B31E8D">
                <w:fldChar w:fldCharType="separate"/>
              </w:r>
              <w:r>
                <w:rPr>
                  <w:noProof/>
                </w:rPr>
                <w:t>2</w:t>
              </w:r>
              <w:r w:rsidR="00B31E8D">
                <w:rPr>
                  <w:noProof/>
                </w:rPr>
                <w:fldChar w:fldCharType="end"/>
              </w:r>
            </w:p>
          </w:sdtContent>
        </w:sdt>
      </w:tc>
    </w:tr>
    <w:tr w:rsidR="00F02AEC" w:rsidRPr="00257138" w14:paraId="07F84D11" w14:textId="77777777" w:rsidTr="000B30E5">
      <w:trPr>
        <w:trHeight w:val="263"/>
      </w:trPr>
      <w:tc>
        <w:tcPr>
          <w:tcW w:w="4360" w:type="dxa"/>
        </w:tcPr>
        <w:p w14:paraId="45725447"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4E17F3FF" w14:textId="77777777" w:rsidR="00F02AEC" w:rsidRPr="00257138" w:rsidRDefault="00F02AEC" w:rsidP="000B30E5">
          <w:pPr>
            <w:pStyle w:val="Footer"/>
            <w:jc w:val="right"/>
          </w:pPr>
        </w:p>
      </w:tc>
    </w:tr>
  </w:tbl>
  <w:p w14:paraId="5BB126F8"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1C1B"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3CFD0217" w14:textId="77777777" w:rsidTr="00030D34">
      <w:trPr>
        <w:trHeight w:val="423"/>
      </w:trPr>
      <w:tc>
        <w:tcPr>
          <w:tcW w:w="7338" w:type="dxa"/>
          <w:tcBorders>
            <w:top w:val="single" w:sz="4" w:space="0" w:color="auto"/>
          </w:tcBorders>
        </w:tcPr>
        <w:p w14:paraId="172D6565" w14:textId="1BADB97B" w:rsidR="001A3695" w:rsidRDefault="001A3695" w:rsidP="001A3695">
          <w:pPr>
            <w:pStyle w:val="Footer"/>
          </w:pPr>
          <w:r>
            <w:t xml:space="preserve">Australian Public Assessment Report (AusPAR) </w:t>
          </w:r>
          <w:r w:rsidR="00BB7B69">
            <w:t>g</w:t>
          </w:r>
          <w:r>
            <w:t xml:space="preserve">uidance </w:t>
          </w:r>
          <w:r w:rsidR="00EA52C4">
            <w:t>d</w:t>
          </w:r>
          <w:r>
            <w:t>ocument</w:t>
          </w:r>
        </w:p>
        <w:p w14:paraId="11EEDEC2" w14:textId="559CBFEC" w:rsidR="00F02AEC" w:rsidRPr="004A3084" w:rsidRDefault="001A3695" w:rsidP="001A3695">
          <w:pPr>
            <w:pStyle w:val="Footer"/>
          </w:pPr>
          <w:r>
            <w:t xml:space="preserve">V3.0 </w:t>
          </w:r>
          <w:r w:rsidR="00EA52C4">
            <w:t>October</w:t>
          </w:r>
          <w:r>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13E46B81"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B31E8D">
                <w:fldChar w:fldCharType="begin"/>
              </w:r>
              <w:r w:rsidR="00B31E8D">
                <w:instrText xml:space="preserve"> NUMPAGES  </w:instrText>
              </w:r>
              <w:r w:rsidR="00B31E8D">
                <w:fldChar w:fldCharType="separate"/>
              </w:r>
              <w:r>
                <w:rPr>
                  <w:noProof/>
                </w:rPr>
                <w:t>7</w:t>
              </w:r>
              <w:r w:rsidR="00B31E8D">
                <w:rPr>
                  <w:noProof/>
                </w:rPr>
                <w:fldChar w:fldCharType="end"/>
              </w:r>
            </w:p>
          </w:sdtContent>
        </w:sdt>
      </w:tc>
    </w:tr>
  </w:tbl>
  <w:p w14:paraId="5145F81B"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5225" w14:textId="77777777" w:rsidR="00A77452" w:rsidRPr="008E3C43" w:rsidRDefault="00B31E8D"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695B" w14:textId="77777777" w:rsidR="00226BB6" w:rsidRDefault="00226BB6" w:rsidP="00F02AEC">
      <w:pPr>
        <w:spacing w:after="0" w:line="240" w:lineRule="auto"/>
      </w:pPr>
      <w:r>
        <w:separator/>
      </w:r>
    </w:p>
  </w:footnote>
  <w:footnote w:type="continuationSeparator" w:id="0">
    <w:p w14:paraId="2047C217" w14:textId="77777777" w:rsidR="00226BB6" w:rsidRDefault="00226BB6"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BA58"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030DF03" w14:textId="77777777" w:rsidTr="00F71E1E">
      <w:trPr>
        <w:trHeight w:hRule="exact" w:val="8845"/>
      </w:trPr>
      <w:tc>
        <w:tcPr>
          <w:tcW w:w="11964" w:type="dxa"/>
          <w:vAlign w:val="center"/>
        </w:tcPr>
        <w:p w14:paraId="097CB4CD" w14:textId="77777777" w:rsidR="00F02AEC" w:rsidRPr="002B29B2" w:rsidRDefault="00B31E8D" w:rsidP="006A2426">
          <w:pPr>
            <w:ind w:left="-57"/>
            <w:rPr>
              <w:noProof/>
            </w:rPr>
          </w:pPr>
          <w:sdt>
            <w:sdtPr>
              <w:rPr>
                <w:noProof/>
              </w:rPr>
              <w:id w:val="1926993388"/>
              <w:showingPlcHdr/>
              <w:picture/>
            </w:sdtPr>
            <w:sdtEndPr/>
            <w:sdtContent>
              <w:r w:rsidR="00F02AEC" w:rsidRPr="00F71E1E">
                <w:rPr>
                  <w:noProof/>
                </w:rPr>
                <w:drawing>
                  <wp:inline distT="0" distB="0" distL="0" distR="0" wp14:anchorId="1C151FF7" wp14:editId="0CA5FEEB">
                    <wp:extent cx="7631430" cy="5523865"/>
                    <wp:effectExtent l="0" t="0" r="7620" b="63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DE834F5" w14:textId="77777777" w:rsidR="00F02AEC" w:rsidRDefault="00CB0550" w:rsidP="006D03E5">
    <w:pPr>
      <w:rPr>
        <w:noProof/>
      </w:rPr>
    </w:pPr>
    <w:r>
      <w:rPr>
        <w:noProof/>
        <w:lang w:eastAsia="en-AU"/>
      </w:rPr>
      <w:drawing>
        <wp:inline distT="0" distB="0" distL="0" distR="0" wp14:anchorId="2738E1B7" wp14:editId="1AEC6F8A">
          <wp:extent cx="2676525" cy="621665"/>
          <wp:effectExtent l="0" t="0" r="9525" b="6985"/>
          <wp:docPr id="4"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18BF56AD" wp14:editId="573137BD">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752B"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90AF" w14:textId="77777777" w:rsidR="00A77452" w:rsidRPr="00FE501F" w:rsidRDefault="00B31E8D"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7188349">
    <w:abstractNumId w:val="2"/>
  </w:num>
  <w:num w:numId="2" w16cid:durableId="236864103">
    <w:abstractNumId w:val="0"/>
  </w:num>
  <w:num w:numId="3" w16cid:durableId="1501845570">
    <w:abstractNumId w:val="1"/>
  </w:num>
  <w:num w:numId="4" w16cid:durableId="1307130205">
    <w:abstractNumId w:val="5"/>
  </w:num>
  <w:num w:numId="5" w16cid:durableId="480734413">
    <w:abstractNumId w:val="3"/>
  </w:num>
  <w:num w:numId="6" w16cid:durableId="1563446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0"/>
    <w:rsid w:val="00021DED"/>
    <w:rsid w:val="00094B81"/>
    <w:rsid w:val="0012473C"/>
    <w:rsid w:val="00150CE4"/>
    <w:rsid w:val="00175CD8"/>
    <w:rsid w:val="00176D4C"/>
    <w:rsid w:val="001825E4"/>
    <w:rsid w:val="001A3695"/>
    <w:rsid w:val="001C5231"/>
    <w:rsid w:val="002260A0"/>
    <w:rsid w:val="00226BB6"/>
    <w:rsid w:val="00245E9D"/>
    <w:rsid w:val="003008D8"/>
    <w:rsid w:val="0035444D"/>
    <w:rsid w:val="003D6660"/>
    <w:rsid w:val="004246B8"/>
    <w:rsid w:val="004514A0"/>
    <w:rsid w:val="004B03FC"/>
    <w:rsid w:val="004F3FC6"/>
    <w:rsid w:val="00554CD4"/>
    <w:rsid w:val="0058575E"/>
    <w:rsid w:val="005F1074"/>
    <w:rsid w:val="00603941"/>
    <w:rsid w:val="0061373A"/>
    <w:rsid w:val="0062729D"/>
    <w:rsid w:val="006606F3"/>
    <w:rsid w:val="00673AE0"/>
    <w:rsid w:val="006A1F0B"/>
    <w:rsid w:val="006A3443"/>
    <w:rsid w:val="00746990"/>
    <w:rsid w:val="00767648"/>
    <w:rsid w:val="007E1970"/>
    <w:rsid w:val="007F0A77"/>
    <w:rsid w:val="008175B4"/>
    <w:rsid w:val="008329DB"/>
    <w:rsid w:val="00843BFE"/>
    <w:rsid w:val="008576F1"/>
    <w:rsid w:val="008E40EF"/>
    <w:rsid w:val="00930D58"/>
    <w:rsid w:val="00A64859"/>
    <w:rsid w:val="00AB7CBF"/>
    <w:rsid w:val="00AC0273"/>
    <w:rsid w:val="00B31E8D"/>
    <w:rsid w:val="00B461F6"/>
    <w:rsid w:val="00B46BC0"/>
    <w:rsid w:val="00B76D4A"/>
    <w:rsid w:val="00BB7B69"/>
    <w:rsid w:val="00BC0A52"/>
    <w:rsid w:val="00C05321"/>
    <w:rsid w:val="00C1093C"/>
    <w:rsid w:val="00C507F8"/>
    <w:rsid w:val="00CA6B37"/>
    <w:rsid w:val="00CB0550"/>
    <w:rsid w:val="00D078BE"/>
    <w:rsid w:val="00D13F8A"/>
    <w:rsid w:val="00D6662F"/>
    <w:rsid w:val="00D918D5"/>
    <w:rsid w:val="00E269B1"/>
    <w:rsid w:val="00E53D3F"/>
    <w:rsid w:val="00EA52C4"/>
    <w:rsid w:val="00F02AEC"/>
    <w:rsid w:val="00F4758F"/>
    <w:rsid w:val="00F50F3F"/>
    <w:rsid w:val="00FA49C3"/>
    <w:rsid w:val="00FD1340"/>
    <w:rsid w:val="00FF65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D002"/>
  <w15:chartTrackingRefBased/>
  <w15:docId w15:val="{2C1EE1C4-3289-476E-935C-68C1EFE8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table" w:customStyle="1" w:styleId="TableTGAblack">
    <w:name w:val="Table TGA black"/>
    <w:basedOn w:val="TableNormal"/>
    <w:uiPriority w:val="99"/>
    <w:rsid w:val="001A3695"/>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character" w:styleId="CommentReference">
    <w:name w:val="annotation reference"/>
    <w:basedOn w:val="DefaultParagraphFont"/>
    <w:uiPriority w:val="99"/>
    <w:semiHidden/>
    <w:unhideWhenUsed/>
    <w:rsid w:val="001A3695"/>
    <w:rPr>
      <w:sz w:val="16"/>
      <w:szCs w:val="16"/>
    </w:rPr>
  </w:style>
  <w:style w:type="paragraph" w:styleId="CommentText">
    <w:name w:val="annotation text"/>
    <w:basedOn w:val="Normal"/>
    <w:link w:val="CommentTextChar"/>
    <w:uiPriority w:val="99"/>
    <w:unhideWhenUsed/>
    <w:rsid w:val="001A3695"/>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1A3695"/>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1825E4"/>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25E4"/>
    <w:rPr>
      <w:rFonts w:ascii="Cambria" w:eastAsia="Cambria" w:hAnsi="Cambria" w:cs="Times New Roman"/>
      <w:b/>
      <w:bCs/>
    </w:rPr>
  </w:style>
  <w:style w:type="character" w:styleId="UnresolvedMention">
    <w:name w:val="Unresolved Mention"/>
    <w:basedOn w:val="DefaultParagraphFont"/>
    <w:uiPriority w:val="99"/>
    <w:semiHidden/>
    <w:unhideWhenUsed/>
    <w:rsid w:val="001825E4"/>
    <w:rPr>
      <w:color w:val="605E5C"/>
      <w:shd w:val="clear" w:color="auto" w:fill="E1DFDD"/>
    </w:rPr>
  </w:style>
  <w:style w:type="paragraph" w:styleId="Revision">
    <w:name w:val="Revision"/>
    <w:hidden/>
    <w:uiPriority w:val="99"/>
    <w:semiHidden/>
    <w:rsid w:val="00857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Series/C2004A03952" TargetMode="External"/><Relationship Id="rId18" Type="http://schemas.openxmlformats.org/officeDocument/2006/relationships/hyperlink" Target="https://www.tga.gov.au/committee/advisory-committee-medicines-acm" TargetMode="External"/><Relationship Id="rId26" Type="http://schemas.openxmlformats.org/officeDocument/2006/relationships/hyperlink" Target="https://www.tga.gov.au/international-activities/australia-canada-singapore-switzerland-united-kingdom-access-consortium"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ga.gov.au/resources/resource/guidance/guidance-requesting-reconsideration-initial-decision" TargetMode="External"/><Relationship Id="rId34" Type="http://schemas.openxmlformats.org/officeDocument/2006/relationships/hyperlink" Target="https://www.ebs.tga.gov.au/" TargetMode="External"/><Relationship Id="rId42" Type="http://schemas.openxmlformats.org/officeDocument/2006/relationships/hyperlink" Target="https://www.tga.gov.au" TargetMode="External"/><Relationship Id="rId7" Type="http://schemas.openxmlformats.org/officeDocument/2006/relationships/header" Target="header1.xml"/><Relationship Id="rId12" Type="http://schemas.openxmlformats.org/officeDocument/2006/relationships/hyperlink" Target="https://www.tga.gov.au/australian-register-therapeutic-goods" TargetMode="External"/><Relationship Id="rId17" Type="http://schemas.openxmlformats.org/officeDocument/2006/relationships/hyperlink" Target="https://www.legislation.gov.au/Details/F2017L00638/Explanatory%20Statement/Text" TargetMode="External"/><Relationship Id="rId25" Type="http://schemas.openxmlformats.org/officeDocument/2006/relationships/hyperlink" Target="http://www6.austlii.edu.au/cgi-bin/viewdb/au/cases/cth/AATA/" TargetMode="External"/><Relationship Id="rId33" Type="http://schemas.openxmlformats.org/officeDocument/2006/relationships/hyperlink" Target="https://www.tga.gov.au/australian-public-assessment-reports-prescription-medicines-auspars" TargetMode="External"/><Relationship Id="rId38" Type="http://schemas.openxmlformats.org/officeDocument/2006/relationships/hyperlink" Target="https://australianprescriber.tg.org.a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tga.gov.au/publication/guidance-requesting-reconsideration-initial-decision" TargetMode="External"/><Relationship Id="rId29" Type="http://schemas.openxmlformats.org/officeDocument/2006/relationships/hyperlink" Target="https://www.tga.gov.au/acronyms-glossary" TargetMode="External"/><Relationship Id="rId41" Type="http://schemas.openxmlformats.org/officeDocument/2006/relationships/hyperlink" Target="mailto:info@tg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a.copyright@tga.gov.au" TargetMode="External"/><Relationship Id="rId24" Type="http://schemas.openxmlformats.org/officeDocument/2006/relationships/hyperlink" Target="https://www.tga.gov.au/committee/advisory-committee-vaccines-acv" TargetMode="External"/><Relationship Id="rId32" Type="http://schemas.openxmlformats.org/officeDocument/2006/relationships/hyperlink" Target="https://www.tga.gov.au/publication/literature-based-submissions" TargetMode="External"/><Relationship Id="rId37" Type="http://schemas.openxmlformats.org/officeDocument/2006/relationships/hyperlink" Target="https://www.tg.org.au/"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at.gov.au/" TargetMode="External"/><Relationship Id="rId23" Type="http://schemas.openxmlformats.org/officeDocument/2006/relationships/hyperlink" Target="https://www.tga.gov.au/committee/advisory-committee-medicines-acm" TargetMode="External"/><Relationship Id="rId28" Type="http://schemas.openxmlformats.org/officeDocument/2006/relationships/hyperlink" Target="https://www.tga.gov.au/resources/resource/guidance/comparable-overseas-regulators-cors-prescription-medicines" TargetMode="External"/><Relationship Id="rId36" Type="http://schemas.openxmlformats.org/officeDocument/2006/relationships/hyperlink" Target="https://www.legislation.gov.au/Details/F2023L01025" TargetMode="External"/><Relationship Id="rId10" Type="http://schemas.openxmlformats.org/officeDocument/2006/relationships/footer" Target="footer2.xml"/><Relationship Id="rId19" Type="http://schemas.openxmlformats.org/officeDocument/2006/relationships/hyperlink" Target="https://www.tga.gov.au/committee/advisory-committee-vaccines-acv" TargetMode="External"/><Relationship Id="rId31" Type="http://schemas.openxmlformats.org/officeDocument/2006/relationships/hyperlink" Target="https://www.tga.gov.au/resources/resource/guidance/guidance-deletion-commercially-confidential-and-personal-information-auspar"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ga.gov.au/resources/resource/guidance/guidance-requesting-reconsideration-initial-decision" TargetMode="External"/><Relationship Id="rId22" Type="http://schemas.openxmlformats.org/officeDocument/2006/relationships/hyperlink" Target="https://www.aat.gov.au/" TargetMode="External"/><Relationship Id="rId27" Type="http://schemas.openxmlformats.org/officeDocument/2006/relationships/hyperlink" Target="https://www.tga.gov.au/how-we-regulate/supply-therapeutic-good-0/supply-prescription-medicine/application-process/comparable-overseas-regulators/project-orbis" TargetMode="External"/><Relationship Id="rId30" Type="http://schemas.openxmlformats.org/officeDocument/2006/relationships/hyperlink" Target="https://www.tga.gov.au/committee/advisory-committee-medicines-acm" TargetMode="External"/><Relationship Id="rId35" Type="http://schemas.openxmlformats.org/officeDocument/2006/relationships/hyperlink" Target="https://www.tga.gov.au/acronyms-glossary" TargetMode="External"/><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1</TotalTime>
  <Pages>12</Pages>
  <Words>3648</Words>
  <Characters>20799</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Australian Public Assessment Report (AusPAR) guidance For prescription medicines - Version 3.0, October 2023</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(AusPAR) guidance For prescription medicines - Version 3.0, October 2023</dc:title>
  <dc:subject>Prescription medicines</dc:subject>
  <dc:creator>Therapeutic Goods Administration</dc:creator>
  <cp:keywords/>
  <dc:description/>
  <cp:revision>2</cp:revision>
  <dcterms:created xsi:type="dcterms:W3CDTF">2023-11-01T06:25:00Z</dcterms:created>
  <dcterms:modified xsi:type="dcterms:W3CDTF">2023-11-01T06:25:00Z</dcterms:modified>
</cp:coreProperties>
</file>