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639FA" w14:textId="77777777" w:rsidR="005A5921" w:rsidRDefault="005A5921"/>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9936949" w:rsidR="00F02AEC" w:rsidRPr="00215D48" w:rsidRDefault="00346EC2" w:rsidP="007452E8">
            <w:pPr>
              <w:pStyle w:val="Title"/>
            </w:pPr>
            <w:r w:rsidRPr="00346EC2">
              <w:t>Australian Public Assessment Report for</w:t>
            </w:r>
            <w:r w:rsidR="006D52DC">
              <w:t xml:space="preserve"> Mounjaro</w:t>
            </w:r>
          </w:p>
        </w:tc>
      </w:tr>
      <w:tr w:rsidR="00F02AEC" w:rsidRPr="00215D48" w14:paraId="318A40A3" w14:textId="77777777" w:rsidTr="00346EC2">
        <w:trPr>
          <w:trHeight w:val="995"/>
        </w:trPr>
        <w:tc>
          <w:tcPr>
            <w:tcW w:w="8720" w:type="dxa"/>
          </w:tcPr>
          <w:p w14:paraId="1AA7C701" w14:textId="0751B2D0" w:rsidR="00F02AEC" w:rsidRPr="00215D48" w:rsidRDefault="00346EC2" w:rsidP="007452E8">
            <w:pPr>
              <w:pStyle w:val="Subtitle"/>
              <w:ind w:left="0"/>
            </w:pPr>
            <w:r w:rsidRPr="00346EC2">
              <w:t xml:space="preserve">Active ingredient: </w:t>
            </w:r>
            <w:r w:rsidR="006D52DC">
              <w:t>Tirzepatide</w:t>
            </w:r>
          </w:p>
        </w:tc>
      </w:tr>
      <w:tr w:rsidR="00346EC2" w:rsidRPr="00215D48" w14:paraId="362CCAE4" w14:textId="77777777" w:rsidTr="007452E8">
        <w:trPr>
          <w:trHeight w:val="1916"/>
        </w:trPr>
        <w:tc>
          <w:tcPr>
            <w:tcW w:w="8720" w:type="dxa"/>
          </w:tcPr>
          <w:p w14:paraId="709C45C0" w14:textId="721832C1" w:rsidR="00346EC2" w:rsidRPr="00215D48" w:rsidRDefault="00346EC2" w:rsidP="007452E8">
            <w:pPr>
              <w:pStyle w:val="Subtitle"/>
              <w:ind w:left="0"/>
            </w:pPr>
            <w:r w:rsidRPr="00346EC2">
              <w:t xml:space="preserve">Sponsor: </w:t>
            </w:r>
            <w:r w:rsidR="006D52DC">
              <w:t>Eli Lilly Australia Pty Ltd</w:t>
            </w:r>
          </w:p>
        </w:tc>
      </w:tr>
      <w:tr w:rsidR="00F02AEC" w:rsidRPr="00215D48" w14:paraId="37F2AA1F" w14:textId="77777777" w:rsidTr="007452E8">
        <w:tc>
          <w:tcPr>
            <w:tcW w:w="8720" w:type="dxa"/>
          </w:tcPr>
          <w:p w14:paraId="1FDE8DCD" w14:textId="4F4A9197" w:rsidR="00F02AEC" w:rsidRPr="00215D48" w:rsidRDefault="00175FBF" w:rsidP="007452E8">
            <w:pPr>
              <w:pStyle w:val="Date"/>
            </w:pPr>
            <w:r>
              <w:t>November</w:t>
            </w:r>
            <w:r w:rsidR="006D52DC">
              <w:t xml:space="preserv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0B507784"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2F222F51" w:rsidR="00346EC2" w:rsidRPr="003C6D1F" w:rsidRDefault="00346EC2" w:rsidP="00346EC2">
      <w:pPr>
        <w:pStyle w:val="ListBullet"/>
      </w:pPr>
      <w:r w:rsidRPr="003C6D1F">
        <w:t>The work of the TGA is based on applying scientific and clinical expertise to decision</w:t>
      </w:r>
      <w:r w:rsidR="005E279A">
        <w:noBreakHyphen/>
      </w:r>
      <w:r w:rsidRPr="003C6D1F">
        <w:t xml:space="preserve">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4584C05" w:rsidR="00346EC2" w:rsidRDefault="00346EC2" w:rsidP="00346EC2">
      <w:pPr>
        <w:pStyle w:val="ListBullet"/>
      </w:pPr>
      <w:r w:rsidRPr="003C6D1F">
        <w:t xml:space="preserve">To report a problem with a </w:t>
      </w:r>
      <w:r>
        <w:t>therapeutic good</w:t>
      </w:r>
      <w:r w:rsidRPr="003C6D1F">
        <w:t>, please see the information on the</w:t>
      </w:r>
      <w:r w:rsidR="00695282">
        <w:t xml:space="preserve"> </w:t>
      </w:r>
      <w:hyperlink r:id="rId15" w:history="1">
        <w:r w:rsidR="00695282">
          <w:rPr>
            <w:rStyle w:val="Hyperlink"/>
          </w:rPr>
          <w:t>Therapeutic Goods Administration (TGA)</w:t>
        </w:r>
      </w:hyperlink>
      <w:r w:rsidR="00695282">
        <w:t xml:space="preserve"> website.</w:t>
      </w:r>
    </w:p>
    <w:p w14:paraId="737B7A99" w14:textId="2905CA49" w:rsidR="00346EC2" w:rsidRDefault="00346EC2" w:rsidP="00346EC2">
      <w:pPr>
        <w:pStyle w:val="NonTOCHeading20"/>
      </w:pPr>
      <w:r>
        <w:t>About AusPARs</w:t>
      </w:r>
    </w:p>
    <w:p w14:paraId="631B2209" w14:textId="4EBBC3ED"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00695282">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4D7DFB82"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w:t>
      </w:r>
      <w:r w:rsidR="005E279A">
        <w:noBreakHyphen/>
      </w:r>
      <w:r>
        <w:t>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D568CAB" w:rsidR="00F02AEC" w:rsidRPr="00E1198B" w:rsidRDefault="00F02AEC" w:rsidP="00961B2D">
      <w:pPr>
        <w:pStyle w:val="LegalSubheading"/>
        <w:spacing w:before="3480"/>
      </w:pPr>
      <w:r w:rsidRPr="00BA0DFC">
        <w:t>Copyright</w:t>
      </w:r>
      <w:r w:rsidR="002B0E47">
        <w:fldChar w:fldCharType="begin"/>
      </w:r>
      <w:r w:rsidR="002B0E47">
        <w:instrText xml:space="preserve"> DOCVARIABLE vault_nd_3e6937bb-1acf-45f0-ac18-6d258e55de6a \* MERGEFORMAT </w:instrText>
      </w:r>
      <w:r w:rsidR="002B0E47">
        <w:fldChar w:fldCharType="separate"/>
      </w:r>
      <w:r w:rsidR="008465DD">
        <w:t xml:space="preserve"> </w:t>
      </w:r>
      <w:r w:rsidR="002B0E47">
        <w:fldChar w:fldCharType="end"/>
      </w:r>
    </w:p>
    <w:p w14:paraId="170A8A5D" w14:textId="30AF6BB5"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AC022AC" w:rsidR="00F02AEC" w:rsidRPr="00215D48" w:rsidRDefault="00F02AEC" w:rsidP="007452E8">
          <w:pPr>
            <w:pStyle w:val="NonTOCheading2"/>
          </w:pPr>
          <w:r w:rsidRPr="00215D48">
            <w:t>Contents</w:t>
          </w:r>
        </w:p>
        <w:p w14:paraId="7EF145CC" w14:textId="703B0E11" w:rsidR="003E175C"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8961932" w:history="1">
            <w:r w:rsidR="003E175C" w:rsidRPr="00807C64">
              <w:rPr>
                <w:rStyle w:val="Hyperlink"/>
                <w:noProof/>
              </w:rPr>
              <w:t>List of abbreviations</w:t>
            </w:r>
            <w:r w:rsidR="003E175C">
              <w:rPr>
                <w:noProof/>
                <w:webHidden/>
              </w:rPr>
              <w:tab/>
            </w:r>
            <w:r w:rsidR="003E175C">
              <w:rPr>
                <w:noProof/>
                <w:webHidden/>
              </w:rPr>
              <w:fldChar w:fldCharType="begin"/>
            </w:r>
            <w:r w:rsidR="003E175C">
              <w:rPr>
                <w:noProof/>
                <w:webHidden/>
              </w:rPr>
              <w:instrText xml:space="preserve"> PAGEREF _Toc148961932 \h </w:instrText>
            </w:r>
            <w:r w:rsidR="003E175C">
              <w:rPr>
                <w:noProof/>
                <w:webHidden/>
              </w:rPr>
            </w:r>
            <w:r w:rsidR="003E175C">
              <w:rPr>
                <w:noProof/>
                <w:webHidden/>
              </w:rPr>
              <w:fldChar w:fldCharType="separate"/>
            </w:r>
            <w:r w:rsidR="008465DD">
              <w:rPr>
                <w:noProof/>
                <w:webHidden/>
              </w:rPr>
              <w:t>4</w:t>
            </w:r>
            <w:r w:rsidR="003E175C">
              <w:rPr>
                <w:noProof/>
                <w:webHidden/>
              </w:rPr>
              <w:fldChar w:fldCharType="end"/>
            </w:r>
          </w:hyperlink>
        </w:p>
        <w:p w14:paraId="090F8CD6" w14:textId="67573F54" w:rsidR="003E175C" w:rsidRDefault="002B0E47">
          <w:pPr>
            <w:pStyle w:val="TOC1"/>
            <w:rPr>
              <w:rFonts w:asciiTheme="minorHAnsi" w:eastAsiaTheme="minorEastAsia" w:hAnsiTheme="minorHAnsi" w:cstheme="minorBidi"/>
              <w:b w:val="0"/>
              <w:noProof/>
              <w:color w:val="auto"/>
              <w:sz w:val="22"/>
              <w:szCs w:val="22"/>
              <w:lang w:eastAsia="en-AU"/>
            </w:rPr>
          </w:pPr>
          <w:hyperlink w:anchor="_Toc148961933" w:history="1">
            <w:r w:rsidR="003E175C" w:rsidRPr="00807C64">
              <w:rPr>
                <w:rStyle w:val="Hyperlink"/>
                <w:noProof/>
              </w:rPr>
              <w:t>Product submission</w:t>
            </w:r>
            <w:r w:rsidR="003E175C">
              <w:rPr>
                <w:noProof/>
                <w:webHidden/>
              </w:rPr>
              <w:tab/>
            </w:r>
            <w:r w:rsidR="003E175C">
              <w:rPr>
                <w:noProof/>
                <w:webHidden/>
              </w:rPr>
              <w:fldChar w:fldCharType="begin"/>
            </w:r>
            <w:r w:rsidR="003E175C">
              <w:rPr>
                <w:noProof/>
                <w:webHidden/>
              </w:rPr>
              <w:instrText xml:space="preserve"> PAGEREF _Toc148961933 \h </w:instrText>
            </w:r>
            <w:r w:rsidR="003E175C">
              <w:rPr>
                <w:noProof/>
                <w:webHidden/>
              </w:rPr>
            </w:r>
            <w:r w:rsidR="003E175C">
              <w:rPr>
                <w:noProof/>
                <w:webHidden/>
              </w:rPr>
              <w:fldChar w:fldCharType="separate"/>
            </w:r>
            <w:r w:rsidR="008465DD">
              <w:rPr>
                <w:noProof/>
                <w:webHidden/>
              </w:rPr>
              <w:t>5</w:t>
            </w:r>
            <w:r w:rsidR="003E175C">
              <w:rPr>
                <w:noProof/>
                <w:webHidden/>
              </w:rPr>
              <w:fldChar w:fldCharType="end"/>
            </w:r>
          </w:hyperlink>
        </w:p>
        <w:p w14:paraId="349AAC9C" w14:textId="4C5F892A" w:rsidR="003E175C" w:rsidRDefault="002B0E47">
          <w:pPr>
            <w:pStyle w:val="TOC2"/>
            <w:rPr>
              <w:rFonts w:asciiTheme="minorHAnsi" w:eastAsiaTheme="minorEastAsia" w:hAnsiTheme="minorHAnsi" w:cstheme="minorBidi"/>
              <w:b w:val="0"/>
              <w:noProof/>
              <w:color w:val="auto"/>
              <w:sz w:val="22"/>
              <w:szCs w:val="22"/>
              <w:lang w:eastAsia="en-AU"/>
            </w:rPr>
          </w:pPr>
          <w:hyperlink w:anchor="_Toc148961934" w:history="1">
            <w:r w:rsidR="003E175C" w:rsidRPr="00807C64">
              <w:rPr>
                <w:rStyle w:val="Hyperlink"/>
                <w:noProof/>
                <w:lang w:eastAsia="en-AU"/>
              </w:rPr>
              <w:t>Submission details</w:t>
            </w:r>
            <w:r w:rsidR="003E175C">
              <w:rPr>
                <w:noProof/>
                <w:webHidden/>
              </w:rPr>
              <w:tab/>
            </w:r>
            <w:r w:rsidR="003E175C">
              <w:rPr>
                <w:noProof/>
                <w:webHidden/>
              </w:rPr>
              <w:fldChar w:fldCharType="begin"/>
            </w:r>
            <w:r w:rsidR="003E175C">
              <w:rPr>
                <w:noProof/>
                <w:webHidden/>
              </w:rPr>
              <w:instrText xml:space="preserve"> PAGEREF _Toc148961934 \h </w:instrText>
            </w:r>
            <w:r w:rsidR="003E175C">
              <w:rPr>
                <w:noProof/>
                <w:webHidden/>
              </w:rPr>
            </w:r>
            <w:r w:rsidR="003E175C">
              <w:rPr>
                <w:noProof/>
                <w:webHidden/>
              </w:rPr>
              <w:fldChar w:fldCharType="separate"/>
            </w:r>
            <w:r w:rsidR="008465DD">
              <w:rPr>
                <w:noProof/>
                <w:webHidden/>
              </w:rPr>
              <w:t>5</w:t>
            </w:r>
            <w:r w:rsidR="003E175C">
              <w:rPr>
                <w:noProof/>
                <w:webHidden/>
              </w:rPr>
              <w:fldChar w:fldCharType="end"/>
            </w:r>
          </w:hyperlink>
        </w:p>
        <w:p w14:paraId="2CDC9F5C" w14:textId="7E9673A8" w:rsidR="003E175C" w:rsidRDefault="002B0E47">
          <w:pPr>
            <w:pStyle w:val="TOC2"/>
            <w:rPr>
              <w:rFonts w:asciiTheme="minorHAnsi" w:eastAsiaTheme="minorEastAsia" w:hAnsiTheme="minorHAnsi" w:cstheme="minorBidi"/>
              <w:b w:val="0"/>
              <w:noProof/>
              <w:color w:val="auto"/>
              <w:sz w:val="22"/>
              <w:szCs w:val="22"/>
              <w:lang w:eastAsia="en-AU"/>
            </w:rPr>
          </w:pPr>
          <w:hyperlink w:anchor="_Toc148961935" w:history="1">
            <w:r w:rsidR="003E175C" w:rsidRPr="00807C64">
              <w:rPr>
                <w:rStyle w:val="Hyperlink"/>
                <w:noProof/>
              </w:rPr>
              <w:t>Product background</w:t>
            </w:r>
            <w:r w:rsidR="003E175C">
              <w:rPr>
                <w:noProof/>
                <w:webHidden/>
              </w:rPr>
              <w:tab/>
            </w:r>
            <w:r w:rsidR="003E175C">
              <w:rPr>
                <w:noProof/>
                <w:webHidden/>
              </w:rPr>
              <w:fldChar w:fldCharType="begin"/>
            </w:r>
            <w:r w:rsidR="003E175C">
              <w:rPr>
                <w:noProof/>
                <w:webHidden/>
              </w:rPr>
              <w:instrText xml:space="preserve"> PAGEREF _Toc148961935 \h </w:instrText>
            </w:r>
            <w:r w:rsidR="003E175C">
              <w:rPr>
                <w:noProof/>
                <w:webHidden/>
              </w:rPr>
            </w:r>
            <w:r w:rsidR="003E175C">
              <w:rPr>
                <w:noProof/>
                <w:webHidden/>
              </w:rPr>
              <w:fldChar w:fldCharType="separate"/>
            </w:r>
            <w:r w:rsidR="008465DD">
              <w:rPr>
                <w:noProof/>
                <w:webHidden/>
              </w:rPr>
              <w:t>6</w:t>
            </w:r>
            <w:r w:rsidR="003E175C">
              <w:rPr>
                <w:noProof/>
                <w:webHidden/>
              </w:rPr>
              <w:fldChar w:fldCharType="end"/>
            </w:r>
          </w:hyperlink>
        </w:p>
        <w:p w14:paraId="26DA593A" w14:textId="652B24D1" w:rsidR="003E175C" w:rsidRDefault="002B0E47">
          <w:pPr>
            <w:pStyle w:val="TOC2"/>
            <w:rPr>
              <w:rFonts w:asciiTheme="minorHAnsi" w:eastAsiaTheme="minorEastAsia" w:hAnsiTheme="minorHAnsi" w:cstheme="minorBidi"/>
              <w:b w:val="0"/>
              <w:noProof/>
              <w:color w:val="auto"/>
              <w:sz w:val="22"/>
              <w:szCs w:val="22"/>
              <w:lang w:eastAsia="en-AU"/>
            </w:rPr>
          </w:pPr>
          <w:hyperlink w:anchor="_Toc148961936" w:history="1">
            <w:r w:rsidR="003E175C" w:rsidRPr="00807C64">
              <w:rPr>
                <w:rStyle w:val="Hyperlink"/>
                <w:noProof/>
              </w:rPr>
              <w:t>Regulatory status</w:t>
            </w:r>
            <w:r w:rsidR="003E175C">
              <w:rPr>
                <w:noProof/>
                <w:webHidden/>
              </w:rPr>
              <w:tab/>
            </w:r>
            <w:r w:rsidR="003E175C">
              <w:rPr>
                <w:noProof/>
                <w:webHidden/>
              </w:rPr>
              <w:fldChar w:fldCharType="begin"/>
            </w:r>
            <w:r w:rsidR="003E175C">
              <w:rPr>
                <w:noProof/>
                <w:webHidden/>
              </w:rPr>
              <w:instrText xml:space="preserve"> PAGEREF _Toc148961936 \h </w:instrText>
            </w:r>
            <w:r w:rsidR="003E175C">
              <w:rPr>
                <w:noProof/>
                <w:webHidden/>
              </w:rPr>
            </w:r>
            <w:r w:rsidR="003E175C">
              <w:rPr>
                <w:noProof/>
                <w:webHidden/>
              </w:rPr>
              <w:fldChar w:fldCharType="separate"/>
            </w:r>
            <w:r w:rsidR="008465DD">
              <w:rPr>
                <w:noProof/>
                <w:webHidden/>
              </w:rPr>
              <w:t>7</w:t>
            </w:r>
            <w:r w:rsidR="003E175C">
              <w:rPr>
                <w:noProof/>
                <w:webHidden/>
              </w:rPr>
              <w:fldChar w:fldCharType="end"/>
            </w:r>
          </w:hyperlink>
        </w:p>
        <w:p w14:paraId="219DC084" w14:textId="30B9E975" w:rsidR="003E175C" w:rsidRDefault="002B0E47">
          <w:pPr>
            <w:pStyle w:val="TOC2"/>
            <w:rPr>
              <w:rFonts w:asciiTheme="minorHAnsi" w:eastAsiaTheme="minorEastAsia" w:hAnsiTheme="minorHAnsi" w:cstheme="minorBidi"/>
              <w:b w:val="0"/>
              <w:noProof/>
              <w:color w:val="auto"/>
              <w:sz w:val="22"/>
              <w:szCs w:val="22"/>
              <w:lang w:eastAsia="en-AU"/>
            </w:rPr>
          </w:pPr>
          <w:hyperlink w:anchor="_Toc148961937" w:history="1">
            <w:r w:rsidR="003E175C" w:rsidRPr="00807C64">
              <w:rPr>
                <w:rStyle w:val="Hyperlink"/>
                <w:noProof/>
              </w:rPr>
              <w:t>Product Information</w:t>
            </w:r>
            <w:r w:rsidR="003E175C">
              <w:rPr>
                <w:noProof/>
                <w:webHidden/>
              </w:rPr>
              <w:tab/>
            </w:r>
            <w:r w:rsidR="003E175C">
              <w:rPr>
                <w:noProof/>
                <w:webHidden/>
              </w:rPr>
              <w:fldChar w:fldCharType="begin"/>
            </w:r>
            <w:r w:rsidR="003E175C">
              <w:rPr>
                <w:noProof/>
                <w:webHidden/>
              </w:rPr>
              <w:instrText xml:space="preserve"> PAGEREF _Toc148961937 \h </w:instrText>
            </w:r>
            <w:r w:rsidR="003E175C">
              <w:rPr>
                <w:noProof/>
                <w:webHidden/>
              </w:rPr>
            </w:r>
            <w:r w:rsidR="003E175C">
              <w:rPr>
                <w:noProof/>
                <w:webHidden/>
              </w:rPr>
              <w:fldChar w:fldCharType="separate"/>
            </w:r>
            <w:r w:rsidR="008465DD">
              <w:rPr>
                <w:noProof/>
                <w:webHidden/>
              </w:rPr>
              <w:t>10</w:t>
            </w:r>
            <w:r w:rsidR="003E175C">
              <w:rPr>
                <w:noProof/>
                <w:webHidden/>
              </w:rPr>
              <w:fldChar w:fldCharType="end"/>
            </w:r>
          </w:hyperlink>
        </w:p>
        <w:p w14:paraId="3BEF5581" w14:textId="50425CEF" w:rsidR="003E175C" w:rsidRDefault="002B0E47">
          <w:pPr>
            <w:pStyle w:val="TOC1"/>
            <w:rPr>
              <w:rFonts w:asciiTheme="minorHAnsi" w:eastAsiaTheme="minorEastAsia" w:hAnsiTheme="minorHAnsi" w:cstheme="minorBidi"/>
              <w:b w:val="0"/>
              <w:noProof/>
              <w:color w:val="auto"/>
              <w:sz w:val="22"/>
              <w:szCs w:val="22"/>
              <w:lang w:eastAsia="en-AU"/>
            </w:rPr>
          </w:pPr>
          <w:hyperlink w:anchor="_Toc148961938" w:history="1">
            <w:r w:rsidR="003E175C" w:rsidRPr="00807C64">
              <w:rPr>
                <w:rStyle w:val="Hyperlink"/>
                <w:noProof/>
              </w:rPr>
              <w:t>Registration timeline</w:t>
            </w:r>
            <w:r w:rsidR="003E175C">
              <w:rPr>
                <w:noProof/>
                <w:webHidden/>
              </w:rPr>
              <w:tab/>
            </w:r>
            <w:r w:rsidR="003E175C">
              <w:rPr>
                <w:noProof/>
                <w:webHidden/>
              </w:rPr>
              <w:fldChar w:fldCharType="begin"/>
            </w:r>
            <w:r w:rsidR="003E175C">
              <w:rPr>
                <w:noProof/>
                <w:webHidden/>
              </w:rPr>
              <w:instrText xml:space="preserve"> PAGEREF _Toc148961938 \h </w:instrText>
            </w:r>
            <w:r w:rsidR="003E175C">
              <w:rPr>
                <w:noProof/>
                <w:webHidden/>
              </w:rPr>
            </w:r>
            <w:r w:rsidR="003E175C">
              <w:rPr>
                <w:noProof/>
                <w:webHidden/>
              </w:rPr>
              <w:fldChar w:fldCharType="separate"/>
            </w:r>
            <w:r w:rsidR="008465DD">
              <w:rPr>
                <w:noProof/>
                <w:webHidden/>
              </w:rPr>
              <w:t>10</w:t>
            </w:r>
            <w:r w:rsidR="003E175C">
              <w:rPr>
                <w:noProof/>
                <w:webHidden/>
              </w:rPr>
              <w:fldChar w:fldCharType="end"/>
            </w:r>
          </w:hyperlink>
        </w:p>
        <w:p w14:paraId="67B00FA0" w14:textId="5E18A6C5" w:rsidR="003E175C" w:rsidRDefault="002B0E47">
          <w:pPr>
            <w:pStyle w:val="TOC1"/>
            <w:rPr>
              <w:rFonts w:asciiTheme="minorHAnsi" w:eastAsiaTheme="minorEastAsia" w:hAnsiTheme="minorHAnsi" w:cstheme="minorBidi"/>
              <w:b w:val="0"/>
              <w:noProof/>
              <w:color w:val="auto"/>
              <w:sz w:val="22"/>
              <w:szCs w:val="22"/>
              <w:lang w:eastAsia="en-AU"/>
            </w:rPr>
          </w:pPr>
          <w:hyperlink w:anchor="_Toc148961939" w:history="1">
            <w:r w:rsidR="003E175C" w:rsidRPr="00807C64">
              <w:rPr>
                <w:rStyle w:val="Hyperlink"/>
                <w:noProof/>
              </w:rPr>
              <w:t>Submission overview and risk/benefit assessment</w:t>
            </w:r>
            <w:r w:rsidR="003E175C">
              <w:rPr>
                <w:noProof/>
                <w:webHidden/>
              </w:rPr>
              <w:tab/>
            </w:r>
            <w:r w:rsidR="003E175C">
              <w:rPr>
                <w:noProof/>
                <w:webHidden/>
              </w:rPr>
              <w:fldChar w:fldCharType="begin"/>
            </w:r>
            <w:r w:rsidR="003E175C">
              <w:rPr>
                <w:noProof/>
                <w:webHidden/>
              </w:rPr>
              <w:instrText xml:space="preserve"> PAGEREF _Toc148961939 \h </w:instrText>
            </w:r>
            <w:r w:rsidR="003E175C">
              <w:rPr>
                <w:noProof/>
                <w:webHidden/>
              </w:rPr>
            </w:r>
            <w:r w:rsidR="003E175C">
              <w:rPr>
                <w:noProof/>
                <w:webHidden/>
              </w:rPr>
              <w:fldChar w:fldCharType="separate"/>
            </w:r>
            <w:r w:rsidR="008465DD">
              <w:rPr>
                <w:noProof/>
                <w:webHidden/>
              </w:rPr>
              <w:t>10</w:t>
            </w:r>
            <w:r w:rsidR="003E175C">
              <w:rPr>
                <w:noProof/>
                <w:webHidden/>
              </w:rPr>
              <w:fldChar w:fldCharType="end"/>
            </w:r>
          </w:hyperlink>
        </w:p>
        <w:p w14:paraId="68545E31" w14:textId="32A87343" w:rsidR="003E175C" w:rsidRDefault="002B0E47">
          <w:pPr>
            <w:pStyle w:val="TOC2"/>
            <w:rPr>
              <w:rFonts w:asciiTheme="minorHAnsi" w:eastAsiaTheme="minorEastAsia" w:hAnsiTheme="minorHAnsi" w:cstheme="minorBidi"/>
              <w:b w:val="0"/>
              <w:noProof/>
              <w:color w:val="auto"/>
              <w:sz w:val="22"/>
              <w:szCs w:val="22"/>
              <w:lang w:eastAsia="en-AU"/>
            </w:rPr>
          </w:pPr>
          <w:hyperlink w:anchor="_Toc148961940" w:history="1">
            <w:r w:rsidR="003E175C" w:rsidRPr="00807C64">
              <w:rPr>
                <w:rStyle w:val="Hyperlink"/>
                <w:noProof/>
              </w:rPr>
              <w:t>Quality</w:t>
            </w:r>
            <w:r w:rsidR="003E175C">
              <w:rPr>
                <w:noProof/>
                <w:webHidden/>
              </w:rPr>
              <w:tab/>
            </w:r>
            <w:r w:rsidR="003E175C">
              <w:rPr>
                <w:noProof/>
                <w:webHidden/>
              </w:rPr>
              <w:fldChar w:fldCharType="begin"/>
            </w:r>
            <w:r w:rsidR="003E175C">
              <w:rPr>
                <w:noProof/>
                <w:webHidden/>
              </w:rPr>
              <w:instrText xml:space="preserve"> PAGEREF _Toc148961940 \h </w:instrText>
            </w:r>
            <w:r w:rsidR="003E175C">
              <w:rPr>
                <w:noProof/>
                <w:webHidden/>
              </w:rPr>
            </w:r>
            <w:r w:rsidR="003E175C">
              <w:rPr>
                <w:noProof/>
                <w:webHidden/>
              </w:rPr>
              <w:fldChar w:fldCharType="separate"/>
            </w:r>
            <w:r w:rsidR="008465DD">
              <w:rPr>
                <w:noProof/>
                <w:webHidden/>
              </w:rPr>
              <w:t>11</w:t>
            </w:r>
            <w:r w:rsidR="003E175C">
              <w:rPr>
                <w:noProof/>
                <w:webHidden/>
              </w:rPr>
              <w:fldChar w:fldCharType="end"/>
            </w:r>
          </w:hyperlink>
        </w:p>
        <w:p w14:paraId="07AE5B51" w14:textId="4893D350" w:rsidR="003E175C" w:rsidRDefault="002B0E47">
          <w:pPr>
            <w:pStyle w:val="TOC2"/>
            <w:rPr>
              <w:rFonts w:asciiTheme="minorHAnsi" w:eastAsiaTheme="minorEastAsia" w:hAnsiTheme="minorHAnsi" w:cstheme="minorBidi"/>
              <w:b w:val="0"/>
              <w:noProof/>
              <w:color w:val="auto"/>
              <w:sz w:val="22"/>
              <w:szCs w:val="22"/>
              <w:lang w:eastAsia="en-AU"/>
            </w:rPr>
          </w:pPr>
          <w:hyperlink w:anchor="_Toc148961941" w:history="1">
            <w:r w:rsidR="003E175C" w:rsidRPr="00807C64">
              <w:rPr>
                <w:rStyle w:val="Hyperlink"/>
                <w:noProof/>
              </w:rPr>
              <w:t>Nonclinical</w:t>
            </w:r>
            <w:r w:rsidR="003E175C">
              <w:rPr>
                <w:noProof/>
                <w:webHidden/>
              </w:rPr>
              <w:tab/>
            </w:r>
            <w:r w:rsidR="003E175C">
              <w:rPr>
                <w:noProof/>
                <w:webHidden/>
              </w:rPr>
              <w:fldChar w:fldCharType="begin"/>
            </w:r>
            <w:r w:rsidR="003E175C">
              <w:rPr>
                <w:noProof/>
                <w:webHidden/>
              </w:rPr>
              <w:instrText xml:space="preserve"> PAGEREF _Toc148961941 \h </w:instrText>
            </w:r>
            <w:r w:rsidR="003E175C">
              <w:rPr>
                <w:noProof/>
                <w:webHidden/>
              </w:rPr>
            </w:r>
            <w:r w:rsidR="003E175C">
              <w:rPr>
                <w:noProof/>
                <w:webHidden/>
              </w:rPr>
              <w:fldChar w:fldCharType="separate"/>
            </w:r>
            <w:r w:rsidR="008465DD">
              <w:rPr>
                <w:noProof/>
                <w:webHidden/>
              </w:rPr>
              <w:t>11</w:t>
            </w:r>
            <w:r w:rsidR="003E175C">
              <w:rPr>
                <w:noProof/>
                <w:webHidden/>
              </w:rPr>
              <w:fldChar w:fldCharType="end"/>
            </w:r>
          </w:hyperlink>
        </w:p>
        <w:p w14:paraId="46F1D9EA" w14:textId="2F8AA341" w:rsidR="003E175C" w:rsidRDefault="002B0E47">
          <w:pPr>
            <w:pStyle w:val="TOC3"/>
            <w:rPr>
              <w:rFonts w:asciiTheme="minorHAnsi" w:eastAsiaTheme="minorEastAsia" w:hAnsiTheme="minorHAnsi" w:cstheme="minorBidi"/>
              <w:b w:val="0"/>
              <w:noProof/>
              <w:color w:val="auto"/>
              <w:szCs w:val="22"/>
              <w:lang w:eastAsia="en-AU"/>
            </w:rPr>
          </w:pPr>
          <w:hyperlink w:anchor="_Toc148961942" w:history="1">
            <w:r w:rsidR="003E175C" w:rsidRPr="00807C64">
              <w:rPr>
                <w:rStyle w:val="Hyperlink"/>
                <w:noProof/>
              </w:rPr>
              <w:t>Adverse effects</w:t>
            </w:r>
            <w:r w:rsidR="003E175C">
              <w:rPr>
                <w:noProof/>
                <w:webHidden/>
              </w:rPr>
              <w:tab/>
            </w:r>
            <w:r w:rsidR="003E175C">
              <w:rPr>
                <w:noProof/>
                <w:webHidden/>
              </w:rPr>
              <w:fldChar w:fldCharType="begin"/>
            </w:r>
            <w:r w:rsidR="003E175C">
              <w:rPr>
                <w:noProof/>
                <w:webHidden/>
              </w:rPr>
              <w:instrText xml:space="preserve"> PAGEREF _Toc148961942 \h </w:instrText>
            </w:r>
            <w:r w:rsidR="003E175C">
              <w:rPr>
                <w:noProof/>
                <w:webHidden/>
              </w:rPr>
            </w:r>
            <w:r w:rsidR="003E175C">
              <w:rPr>
                <w:noProof/>
                <w:webHidden/>
              </w:rPr>
              <w:fldChar w:fldCharType="separate"/>
            </w:r>
            <w:r w:rsidR="008465DD">
              <w:rPr>
                <w:noProof/>
                <w:webHidden/>
              </w:rPr>
              <w:t>11</w:t>
            </w:r>
            <w:r w:rsidR="003E175C">
              <w:rPr>
                <w:noProof/>
                <w:webHidden/>
              </w:rPr>
              <w:fldChar w:fldCharType="end"/>
            </w:r>
          </w:hyperlink>
        </w:p>
        <w:p w14:paraId="4741B548" w14:textId="0F070729" w:rsidR="003E175C" w:rsidRDefault="002B0E47">
          <w:pPr>
            <w:pStyle w:val="TOC3"/>
            <w:rPr>
              <w:rFonts w:asciiTheme="minorHAnsi" w:eastAsiaTheme="minorEastAsia" w:hAnsiTheme="minorHAnsi" w:cstheme="minorBidi"/>
              <w:b w:val="0"/>
              <w:noProof/>
              <w:color w:val="auto"/>
              <w:szCs w:val="22"/>
              <w:lang w:eastAsia="en-AU"/>
            </w:rPr>
          </w:pPr>
          <w:hyperlink w:anchor="_Toc148961943" w:history="1">
            <w:r w:rsidR="003E175C" w:rsidRPr="00807C64">
              <w:rPr>
                <w:rStyle w:val="Hyperlink"/>
                <w:noProof/>
              </w:rPr>
              <w:t>Pregnancy category</w:t>
            </w:r>
            <w:r w:rsidR="003E175C">
              <w:rPr>
                <w:noProof/>
                <w:webHidden/>
              </w:rPr>
              <w:tab/>
            </w:r>
            <w:r w:rsidR="003E175C">
              <w:rPr>
                <w:noProof/>
                <w:webHidden/>
              </w:rPr>
              <w:fldChar w:fldCharType="begin"/>
            </w:r>
            <w:r w:rsidR="003E175C">
              <w:rPr>
                <w:noProof/>
                <w:webHidden/>
              </w:rPr>
              <w:instrText xml:space="preserve"> PAGEREF _Toc148961943 \h </w:instrText>
            </w:r>
            <w:r w:rsidR="003E175C">
              <w:rPr>
                <w:noProof/>
                <w:webHidden/>
              </w:rPr>
            </w:r>
            <w:r w:rsidR="003E175C">
              <w:rPr>
                <w:noProof/>
                <w:webHidden/>
              </w:rPr>
              <w:fldChar w:fldCharType="separate"/>
            </w:r>
            <w:r w:rsidR="008465DD">
              <w:rPr>
                <w:noProof/>
                <w:webHidden/>
              </w:rPr>
              <w:t>12</w:t>
            </w:r>
            <w:r w:rsidR="003E175C">
              <w:rPr>
                <w:noProof/>
                <w:webHidden/>
              </w:rPr>
              <w:fldChar w:fldCharType="end"/>
            </w:r>
          </w:hyperlink>
        </w:p>
        <w:p w14:paraId="3ED46BBD" w14:textId="72F52235" w:rsidR="003E175C" w:rsidRDefault="002B0E47">
          <w:pPr>
            <w:pStyle w:val="TOC3"/>
            <w:rPr>
              <w:rFonts w:asciiTheme="minorHAnsi" w:eastAsiaTheme="minorEastAsia" w:hAnsiTheme="minorHAnsi" w:cstheme="minorBidi"/>
              <w:b w:val="0"/>
              <w:noProof/>
              <w:color w:val="auto"/>
              <w:szCs w:val="22"/>
              <w:lang w:eastAsia="en-AU"/>
            </w:rPr>
          </w:pPr>
          <w:hyperlink w:anchor="_Toc148961944" w:history="1">
            <w:r w:rsidR="003E175C" w:rsidRPr="00807C64">
              <w:rPr>
                <w:rStyle w:val="Hyperlink"/>
                <w:noProof/>
              </w:rPr>
              <w:t>Conclusion</w:t>
            </w:r>
            <w:r w:rsidR="003E175C">
              <w:rPr>
                <w:noProof/>
                <w:webHidden/>
              </w:rPr>
              <w:tab/>
            </w:r>
            <w:r w:rsidR="003E175C">
              <w:rPr>
                <w:noProof/>
                <w:webHidden/>
              </w:rPr>
              <w:fldChar w:fldCharType="begin"/>
            </w:r>
            <w:r w:rsidR="003E175C">
              <w:rPr>
                <w:noProof/>
                <w:webHidden/>
              </w:rPr>
              <w:instrText xml:space="preserve"> PAGEREF _Toc148961944 \h </w:instrText>
            </w:r>
            <w:r w:rsidR="003E175C">
              <w:rPr>
                <w:noProof/>
                <w:webHidden/>
              </w:rPr>
            </w:r>
            <w:r w:rsidR="003E175C">
              <w:rPr>
                <w:noProof/>
                <w:webHidden/>
              </w:rPr>
              <w:fldChar w:fldCharType="separate"/>
            </w:r>
            <w:r w:rsidR="008465DD">
              <w:rPr>
                <w:noProof/>
                <w:webHidden/>
              </w:rPr>
              <w:t>12</w:t>
            </w:r>
            <w:r w:rsidR="003E175C">
              <w:rPr>
                <w:noProof/>
                <w:webHidden/>
              </w:rPr>
              <w:fldChar w:fldCharType="end"/>
            </w:r>
          </w:hyperlink>
        </w:p>
        <w:p w14:paraId="763610AB" w14:textId="254B991F" w:rsidR="003E175C" w:rsidRDefault="002B0E47">
          <w:pPr>
            <w:pStyle w:val="TOC2"/>
            <w:rPr>
              <w:rFonts w:asciiTheme="minorHAnsi" w:eastAsiaTheme="minorEastAsia" w:hAnsiTheme="minorHAnsi" w:cstheme="minorBidi"/>
              <w:b w:val="0"/>
              <w:noProof/>
              <w:color w:val="auto"/>
              <w:sz w:val="22"/>
              <w:szCs w:val="22"/>
              <w:lang w:eastAsia="en-AU"/>
            </w:rPr>
          </w:pPr>
          <w:hyperlink w:anchor="_Toc148961945" w:history="1">
            <w:r w:rsidR="003E175C" w:rsidRPr="00807C64">
              <w:rPr>
                <w:rStyle w:val="Hyperlink"/>
                <w:noProof/>
              </w:rPr>
              <w:t>Clinical</w:t>
            </w:r>
            <w:r w:rsidR="003E175C">
              <w:rPr>
                <w:noProof/>
                <w:webHidden/>
              </w:rPr>
              <w:tab/>
            </w:r>
            <w:r w:rsidR="003E175C">
              <w:rPr>
                <w:noProof/>
                <w:webHidden/>
              </w:rPr>
              <w:fldChar w:fldCharType="begin"/>
            </w:r>
            <w:r w:rsidR="003E175C">
              <w:rPr>
                <w:noProof/>
                <w:webHidden/>
              </w:rPr>
              <w:instrText xml:space="preserve"> PAGEREF _Toc148961945 \h </w:instrText>
            </w:r>
            <w:r w:rsidR="003E175C">
              <w:rPr>
                <w:noProof/>
                <w:webHidden/>
              </w:rPr>
            </w:r>
            <w:r w:rsidR="003E175C">
              <w:rPr>
                <w:noProof/>
                <w:webHidden/>
              </w:rPr>
              <w:fldChar w:fldCharType="separate"/>
            </w:r>
            <w:r w:rsidR="008465DD">
              <w:rPr>
                <w:noProof/>
                <w:webHidden/>
              </w:rPr>
              <w:t>12</w:t>
            </w:r>
            <w:r w:rsidR="003E175C">
              <w:rPr>
                <w:noProof/>
                <w:webHidden/>
              </w:rPr>
              <w:fldChar w:fldCharType="end"/>
            </w:r>
          </w:hyperlink>
        </w:p>
        <w:p w14:paraId="132A5640" w14:textId="45D5BACD" w:rsidR="003E175C" w:rsidRDefault="002B0E47">
          <w:pPr>
            <w:pStyle w:val="TOC3"/>
            <w:rPr>
              <w:rFonts w:asciiTheme="minorHAnsi" w:eastAsiaTheme="minorEastAsia" w:hAnsiTheme="minorHAnsi" w:cstheme="minorBidi"/>
              <w:b w:val="0"/>
              <w:noProof/>
              <w:color w:val="auto"/>
              <w:szCs w:val="22"/>
              <w:lang w:eastAsia="en-AU"/>
            </w:rPr>
          </w:pPr>
          <w:hyperlink w:anchor="_Toc148961946" w:history="1">
            <w:r w:rsidR="003E175C" w:rsidRPr="00807C64">
              <w:rPr>
                <w:rStyle w:val="Hyperlink"/>
                <w:noProof/>
              </w:rPr>
              <w:t>Summary of clinical studies</w:t>
            </w:r>
            <w:r w:rsidR="003E175C">
              <w:rPr>
                <w:noProof/>
                <w:webHidden/>
              </w:rPr>
              <w:tab/>
            </w:r>
            <w:r w:rsidR="003E175C">
              <w:rPr>
                <w:noProof/>
                <w:webHidden/>
              </w:rPr>
              <w:fldChar w:fldCharType="begin"/>
            </w:r>
            <w:r w:rsidR="003E175C">
              <w:rPr>
                <w:noProof/>
                <w:webHidden/>
              </w:rPr>
              <w:instrText xml:space="preserve"> PAGEREF _Toc148961946 \h </w:instrText>
            </w:r>
            <w:r w:rsidR="003E175C">
              <w:rPr>
                <w:noProof/>
                <w:webHidden/>
              </w:rPr>
            </w:r>
            <w:r w:rsidR="003E175C">
              <w:rPr>
                <w:noProof/>
                <w:webHidden/>
              </w:rPr>
              <w:fldChar w:fldCharType="separate"/>
            </w:r>
            <w:r w:rsidR="008465DD">
              <w:rPr>
                <w:noProof/>
                <w:webHidden/>
              </w:rPr>
              <w:t>12</w:t>
            </w:r>
            <w:r w:rsidR="003E175C">
              <w:rPr>
                <w:noProof/>
                <w:webHidden/>
              </w:rPr>
              <w:fldChar w:fldCharType="end"/>
            </w:r>
          </w:hyperlink>
        </w:p>
        <w:p w14:paraId="5A3B9EE7" w14:textId="587D2E6E" w:rsidR="003E175C" w:rsidRDefault="002B0E47">
          <w:pPr>
            <w:pStyle w:val="TOC3"/>
            <w:rPr>
              <w:rFonts w:asciiTheme="minorHAnsi" w:eastAsiaTheme="minorEastAsia" w:hAnsiTheme="minorHAnsi" w:cstheme="minorBidi"/>
              <w:b w:val="0"/>
              <w:noProof/>
              <w:color w:val="auto"/>
              <w:szCs w:val="22"/>
              <w:lang w:eastAsia="en-AU"/>
            </w:rPr>
          </w:pPr>
          <w:hyperlink w:anchor="_Toc148961947" w:history="1">
            <w:r w:rsidR="003E175C" w:rsidRPr="00807C64">
              <w:rPr>
                <w:rStyle w:val="Hyperlink"/>
                <w:noProof/>
              </w:rPr>
              <w:t>Pharmacology</w:t>
            </w:r>
            <w:r w:rsidR="003E175C">
              <w:rPr>
                <w:noProof/>
                <w:webHidden/>
              </w:rPr>
              <w:tab/>
            </w:r>
            <w:r w:rsidR="003E175C">
              <w:rPr>
                <w:noProof/>
                <w:webHidden/>
              </w:rPr>
              <w:fldChar w:fldCharType="begin"/>
            </w:r>
            <w:r w:rsidR="003E175C">
              <w:rPr>
                <w:noProof/>
                <w:webHidden/>
              </w:rPr>
              <w:instrText xml:space="preserve"> PAGEREF _Toc148961947 \h </w:instrText>
            </w:r>
            <w:r w:rsidR="003E175C">
              <w:rPr>
                <w:noProof/>
                <w:webHidden/>
              </w:rPr>
            </w:r>
            <w:r w:rsidR="003E175C">
              <w:rPr>
                <w:noProof/>
                <w:webHidden/>
              </w:rPr>
              <w:fldChar w:fldCharType="separate"/>
            </w:r>
            <w:r w:rsidR="008465DD">
              <w:rPr>
                <w:noProof/>
                <w:webHidden/>
              </w:rPr>
              <w:t>13</w:t>
            </w:r>
            <w:r w:rsidR="003E175C">
              <w:rPr>
                <w:noProof/>
                <w:webHidden/>
              </w:rPr>
              <w:fldChar w:fldCharType="end"/>
            </w:r>
          </w:hyperlink>
        </w:p>
        <w:p w14:paraId="3C4BF2F6" w14:textId="0765A100" w:rsidR="003E175C" w:rsidRDefault="002B0E47">
          <w:pPr>
            <w:pStyle w:val="TOC3"/>
            <w:rPr>
              <w:rFonts w:asciiTheme="minorHAnsi" w:eastAsiaTheme="minorEastAsia" w:hAnsiTheme="minorHAnsi" w:cstheme="minorBidi"/>
              <w:b w:val="0"/>
              <w:noProof/>
              <w:color w:val="auto"/>
              <w:szCs w:val="22"/>
              <w:lang w:eastAsia="en-AU"/>
            </w:rPr>
          </w:pPr>
          <w:hyperlink w:anchor="_Toc148961948" w:history="1">
            <w:r w:rsidR="003E175C" w:rsidRPr="00807C64">
              <w:rPr>
                <w:rStyle w:val="Hyperlink"/>
                <w:noProof/>
              </w:rPr>
              <w:t>Efficacy</w:t>
            </w:r>
            <w:r w:rsidR="003E175C">
              <w:rPr>
                <w:noProof/>
                <w:webHidden/>
              </w:rPr>
              <w:tab/>
            </w:r>
            <w:r w:rsidR="003E175C">
              <w:rPr>
                <w:noProof/>
                <w:webHidden/>
              </w:rPr>
              <w:fldChar w:fldCharType="begin"/>
            </w:r>
            <w:r w:rsidR="003E175C">
              <w:rPr>
                <w:noProof/>
                <w:webHidden/>
              </w:rPr>
              <w:instrText xml:space="preserve"> PAGEREF _Toc148961948 \h </w:instrText>
            </w:r>
            <w:r w:rsidR="003E175C">
              <w:rPr>
                <w:noProof/>
                <w:webHidden/>
              </w:rPr>
            </w:r>
            <w:r w:rsidR="003E175C">
              <w:rPr>
                <w:noProof/>
                <w:webHidden/>
              </w:rPr>
              <w:fldChar w:fldCharType="separate"/>
            </w:r>
            <w:r w:rsidR="008465DD">
              <w:rPr>
                <w:noProof/>
                <w:webHidden/>
              </w:rPr>
              <w:t>21</w:t>
            </w:r>
            <w:r w:rsidR="003E175C">
              <w:rPr>
                <w:noProof/>
                <w:webHidden/>
              </w:rPr>
              <w:fldChar w:fldCharType="end"/>
            </w:r>
          </w:hyperlink>
        </w:p>
        <w:p w14:paraId="48B4A88D" w14:textId="483B5B61" w:rsidR="003E175C" w:rsidRDefault="002B0E47">
          <w:pPr>
            <w:pStyle w:val="TOC3"/>
            <w:rPr>
              <w:rFonts w:asciiTheme="minorHAnsi" w:eastAsiaTheme="minorEastAsia" w:hAnsiTheme="minorHAnsi" w:cstheme="minorBidi"/>
              <w:b w:val="0"/>
              <w:noProof/>
              <w:color w:val="auto"/>
              <w:szCs w:val="22"/>
              <w:lang w:eastAsia="en-AU"/>
            </w:rPr>
          </w:pPr>
          <w:hyperlink w:anchor="_Toc148961949" w:history="1">
            <w:r w:rsidR="003E175C" w:rsidRPr="00807C64">
              <w:rPr>
                <w:rStyle w:val="Hyperlink"/>
                <w:noProof/>
              </w:rPr>
              <w:t>Safety</w:t>
            </w:r>
            <w:r w:rsidR="003E175C">
              <w:rPr>
                <w:noProof/>
                <w:webHidden/>
              </w:rPr>
              <w:tab/>
            </w:r>
            <w:r w:rsidR="003E175C">
              <w:rPr>
                <w:noProof/>
                <w:webHidden/>
              </w:rPr>
              <w:fldChar w:fldCharType="begin"/>
            </w:r>
            <w:r w:rsidR="003E175C">
              <w:rPr>
                <w:noProof/>
                <w:webHidden/>
              </w:rPr>
              <w:instrText xml:space="preserve"> PAGEREF _Toc148961949 \h </w:instrText>
            </w:r>
            <w:r w:rsidR="003E175C">
              <w:rPr>
                <w:noProof/>
                <w:webHidden/>
              </w:rPr>
            </w:r>
            <w:r w:rsidR="003E175C">
              <w:rPr>
                <w:noProof/>
                <w:webHidden/>
              </w:rPr>
              <w:fldChar w:fldCharType="separate"/>
            </w:r>
            <w:r w:rsidR="008465DD">
              <w:rPr>
                <w:noProof/>
                <w:webHidden/>
              </w:rPr>
              <w:t>35</w:t>
            </w:r>
            <w:r w:rsidR="003E175C">
              <w:rPr>
                <w:noProof/>
                <w:webHidden/>
              </w:rPr>
              <w:fldChar w:fldCharType="end"/>
            </w:r>
          </w:hyperlink>
        </w:p>
        <w:p w14:paraId="55B2F340" w14:textId="71A0E4E5" w:rsidR="003E175C" w:rsidRDefault="002B0E47">
          <w:pPr>
            <w:pStyle w:val="TOC3"/>
            <w:rPr>
              <w:rFonts w:asciiTheme="minorHAnsi" w:eastAsiaTheme="minorEastAsia" w:hAnsiTheme="minorHAnsi" w:cstheme="minorBidi"/>
              <w:b w:val="0"/>
              <w:noProof/>
              <w:color w:val="auto"/>
              <w:szCs w:val="22"/>
              <w:lang w:eastAsia="en-AU"/>
            </w:rPr>
          </w:pPr>
          <w:hyperlink w:anchor="_Toc148961950" w:history="1">
            <w:r w:rsidR="003E175C" w:rsidRPr="00807C64">
              <w:rPr>
                <w:rStyle w:val="Hyperlink"/>
                <w:noProof/>
              </w:rPr>
              <w:t>Immunogenicity and antidrug antibodies</w:t>
            </w:r>
            <w:r w:rsidR="003E175C">
              <w:rPr>
                <w:noProof/>
                <w:webHidden/>
              </w:rPr>
              <w:tab/>
            </w:r>
            <w:r w:rsidR="003E175C">
              <w:rPr>
                <w:noProof/>
                <w:webHidden/>
              </w:rPr>
              <w:fldChar w:fldCharType="begin"/>
            </w:r>
            <w:r w:rsidR="003E175C">
              <w:rPr>
                <w:noProof/>
                <w:webHidden/>
              </w:rPr>
              <w:instrText xml:space="preserve"> PAGEREF _Toc148961950 \h </w:instrText>
            </w:r>
            <w:r w:rsidR="003E175C">
              <w:rPr>
                <w:noProof/>
                <w:webHidden/>
              </w:rPr>
            </w:r>
            <w:r w:rsidR="003E175C">
              <w:rPr>
                <w:noProof/>
                <w:webHidden/>
              </w:rPr>
              <w:fldChar w:fldCharType="separate"/>
            </w:r>
            <w:r w:rsidR="008465DD">
              <w:rPr>
                <w:noProof/>
                <w:webHidden/>
              </w:rPr>
              <w:t>46</w:t>
            </w:r>
            <w:r w:rsidR="003E175C">
              <w:rPr>
                <w:noProof/>
                <w:webHidden/>
              </w:rPr>
              <w:fldChar w:fldCharType="end"/>
            </w:r>
          </w:hyperlink>
        </w:p>
        <w:p w14:paraId="4D2AC9C6" w14:textId="5CD1E4C3" w:rsidR="003E175C" w:rsidRDefault="002B0E47">
          <w:pPr>
            <w:pStyle w:val="TOC3"/>
            <w:rPr>
              <w:rFonts w:asciiTheme="minorHAnsi" w:eastAsiaTheme="minorEastAsia" w:hAnsiTheme="minorHAnsi" w:cstheme="minorBidi"/>
              <w:b w:val="0"/>
              <w:noProof/>
              <w:color w:val="auto"/>
              <w:szCs w:val="22"/>
              <w:lang w:eastAsia="en-AU"/>
            </w:rPr>
          </w:pPr>
          <w:hyperlink w:anchor="_Toc148961951" w:history="1">
            <w:r w:rsidR="003E175C" w:rsidRPr="00807C64">
              <w:rPr>
                <w:rStyle w:val="Hyperlink"/>
                <w:noProof/>
              </w:rPr>
              <w:t>Post</w:t>
            </w:r>
            <w:r w:rsidR="005E279A">
              <w:rPr>
                <w:rStyle w:val="Hyperlink"/>
                <w:noProof/>
              </w:rPr>
              <w:noBreakHyphen/>
            </w:r>
            <w:r w:rsidR="003E175C" w:rsidRPr="00807C64">
              <w:rPr>
                <w:rStyle w:val="Hyperlink"/>
                <w:noProof/>
              </w:rPr>
              <w:t>market experience</w:t>
            </w:r>
            <w:r w:rsidR="003E175C">
              <w:rPr>
                <w:noProof/>
                <w:webHidden/>
              </w:rPr>
              <w:tab/>
            </w:r>
            <w:r w:rsidR="003E175C">
              <w:rPr>
                <w:noProof/>
                <w:webHidden/>
              </w:rPr>
              <w:fldChar w:fldCharType="begin"/>
            </w:r>
            <w:r w:rsidR="003E175C">
              <w:rPr>
                <w:noProof/>
                <w:webHidden/>
              </w:rPr>
              <w:instrText xml:space="preserve"> PAGEREF _Toc148961951 \h </w:instrText>
            </w:r>
            <w:r w:rsidR="003E175C">
              <w:rPr>
                <w:noProof/>
                <w:webHidden/>
              </w:rPr>
            </w:r>
            <w:r w:rsidR="003E175C">
              <w:rPr>
                <w:noProof/>
                <w:webHidden/>
              </w:rPr>
              <w:fldChar w:fldCharType="separate"/>
            </w:r>
            <w:r w:rsidR="008465DD">
              <w:rPr>
                <w:noProof/>
                <w:webHidden/>
              </w:rPr>
              <w:t>46</w:t>
            </w:r>
            <w:r w:rsidR="003E175C">
              <w:rPr>
                <w:noProof/>
                <w:webHidden/>
              </w:rPr>
              <w:fldChar w:fldCharType="end"/>
            </w:r>
          </w:hyperlink>
        </w:p>
        <w:p w14:paraId="7D8B7D81" w14:textId="460B21B9" w:rsidR="003E175C" w:rsidRDefault="002B0E47">
          <w:pPr>
            <w:pStyle w:val="TOC2"/>
            <w:rPr>
              <w:rFonts w:asciiTheme="minorHAnsi" w:eastAsiaTheme="minorEastAsia" w:hAnsiTheme="minorHAnsi" w:cstheme="minorBidi"/>
              <w:b w:val="0"/>
              <w:noProof/>
              <w:color w:val="auto"/>
              <w:sz w:val="22"/>
              <w:szCs w:val="22"/>
              <w:lang w:eastAsia="en-AU"/>
            </w:rPr>
          </w:pPr>
          <w:hyperlink w:anchor="_Toc148961952" w:history="1">
            <w:r w:rsidR="003E175C" w:rsidRPr="00807C64">
              <w:rPr>
                <w:rStyle w:val="Hyperlink"/>
                <w:noProof/>
                <w:lang w:eastAsia="en-AU"/>
              </w:rPr>
              <w:t>Risk management plan</w:t>
            </w:r>
            <w:r w:rsidR="003E175C">
              <w:rPr>
                <w:noProof/>
                <w:webHidden/>
              </w:rPr>
              <w:tab/>
            </w:r>
            <w:r w:rsidR="003E175C">
              <w:rPr>
                <w:noProof/>
                <w:webHidden/>
              </w:rPr>
              <w:fldChar w:fldCharType="begin"/>
            </w:r>
            <w:r w:rsidR="003E175C">
              <w:rPr>
                <w:noProof/>
                <w:webHidden/>
              </w:rPr>
              <w:instrText xml:space="preserve"> PAGEREF _Toc148961952 \h </w:instrText>
            </w:r>
            <w:r w:rsidR="003E175C">
              <w:rPr>
                <w:noProof/>
                <w:webHidden/>
              </w:rPr>
            </w:r>
            <w:r w:rsidR="003E175C">
              <w:rPr>
                <w:noProof/>
                <w:webHidden/>
              </w:rPr>
              <w:fldChar w:fldCharType="separate"/>
            </w:r>
            <w:r w:rsidR="008465DD">
              <w:rPr>
                <w:noProof/>
                <w:webHidden/>
              </w:rPr>
              <w:t>46</w:t>
            </w:r>
            <w:r w:rsidR="003E175C">
              <w:rPr>
                <w:noProof/>
                <w:webHidden/>
              </w:rPr>
              <w:fldChar w:fldCharType="end"/>
            </w:r>
          </w:hyperlink>
        </w:p>
        <w:p w14:paraId="6B5AB020" w14:textId="5627B1F7" w:rsidR="003E175C" w:rsidRDefault="002B0E47">
          <w:pPr>
            <w:pStyle w:val="TOC3"/>
            <w:rPr>
              <w:rFonts w:asciiTheme="minorHAnsi" w:eastAsiaTheme="minorEastAsia" w:hAnsiTheme="minorHAnsi" w:cstheme="minorBidi"/>
              <w:b w:val="0"/>
              <w:noProof/>
              <w:color w:val="auto"/>
              <w:szCs w:val="22"/>
              <w:lang w:eastAsia="en-AU"/>
            </w:rPr>
          </w:pPr>
          <w:hyperlink w:anchor="_Toc148961953" w:history="1">
            <w:r w:rsidR="003E175C" w:rsidRPr="00807C64">
              <w:rPr>
                <w:rStyle w:val="Hyperlink"/>
                <w:noProof/>
              </w:rPr>
              <w:t>Product information</w:t>
            </w:r>
            <w:r w:rsidR="003E175C">
              <w:rPr>
                <w:noProof/>
                <w:webHidden/>
              </w:rPr>
              <w:tab/>
            </w:r>
            <w:r w:rsidR="003E175C">
              <w:rPr>
                <w:noProof/>
                <w:webHidden/>
              </w:rPr>
              <w:fldChar w:fldCharType="begin"/>
            </w:r>
            <w:r w:rsidR="003E175C">
              <w:rPr>
                <w:noProof/>
                <w:webHidden/>
              </w:rPr>
              <w:instrText xml:space="preserve"> PAGEREF _Toc148961953 \h </w:instrText>
            </w:r>
            <w:r w:rsidR="003E175C">
              <w:rPr>
                <w:noProof/>
                <w:webHidden/>
              </w:rPr>
            </w:r>
            <w:r w:rsidR="003E175C">
              <w:rPr>
                <w:noProof/>
                <w:webHidden/>
              </w:rPr>
              <w:fldChar w:fldCharType="separate"/>
            </w:r>
            <w:r w:rsidR="008465DD">
              <w:rPr>
                <w:noProof/>
                <w:webHidden/>
              </w:rPr>
              <w:t>48</w:t>
            </w:r>
            <w:r w:rsidR="003E175C">
              <w:rPr>
                <w:noProof/>
                <w:webHidden/>
              </w:rPr>
              <w:fldChar w:fldCharType="end"/>
            </w:r>
          </w:hyperlink>
        </w:p>
        <w:p w14:paraId="1123BBFB" w14:textId="7B41E900" w:rsidR="003E175C" w:rsidRDefault="002B0E47">
          <w:pPr>
            <w:pStyle w:val="TOC2"/>
            <w:rPr>
              <w:rFonts w:asciiTheme="minorHAnsi" w:eastAsiaTheme="minorEastAsia" w:hAnsiTheme="minorHAnsi" w:cstheme="minorBidi"/>
              <w:b w:val="0"/>
              <w:noProof/>
              <w:color w:val="auto"/>
              <w:sz w:val="22"/>
              <w:szCs w:val="22"/>
              <w:lang w:eastAsia="en-AU"/>
            </w:rPr>
          </w:pPr>
          <w:hyperlink w:anchor="_Toc148961954" w:history="1">
            <w:r w:rsidR="003E175C" w:rsidRPr="00807C64">
              <w:rPr>
                <w:rStyle w:val="Hyperlink"/>
                <w:noProof/>
              </w:rPr>
              <w:t>Risk</w:t>
            </w:r>
            <w:r w:rsidR="005E279A">
              <w:rPr>
                <w:rStyle w:val="Hyperlink"/>
                <w:noProof/>
              </w:rPr>
              <w:noBreakHyphen/>
            </w:r>
            <w:r w:rsidR="003E175C" w:rsidRPr="00807C64">
              <w:rPr>
                <w:rStyle w:val="Hyperlink"/>
                <w:noProof/>
              </w:rPr>
              <w:t>benefit analysis</w:t>
            </w:r>
            <w:r w:rsidR="003E175C">
              <w:rPr>
                <w:noProof/>
                <w:webHidden/>
              </w:rPr>
              <w:tab/>
            </w:r>
            <w:r w:rsidR="003E175C">
              <w:rPr>
                <w:noProof/>
                <w:webHidden/>
              </w:rPr>
              <w:fldChar w:fldCharType="begin"/>
            </w:r>
            <w:r w:rsidR="003E175C">
              <w:rPr>
                <w:noProof/>
                <w:webHidden/>
              </w:rPr>
              <w:instrText xml:space="preserve"> PAGEREF _Toc148961954 \h </w:instrText>
            </w:r>
            <w:r w:rsidR="003E175C">
              <w:rPr>
                <w:noProof/>
                <w:webHidden/>
              </w:rPr>
            </w:r>
            <w:r w:rsidR="003E175C">
              <w:rPr>
                <w:noProof/>
                <w:webHidden/>
              </w:rPr>
              <w:fldChar w:fldCharType="separate"/>
            </w:r>
            <w:r w:rsidR="008465DD">
              <w:rPr>
                <w:noProof/>
                <w:webHidden/>
              </w:rPr>
              <w:t>48</w:t>
            </w:r>
            <w:r w:rsidR="003E175C">
              <w:rPr>
                <w:noProof/>
                <w:webHidden/>
              </w:rPr>
              <w:fldChar w:fldCharType="end"/>
            </w:r>
          </w:hyperlink>
        </w:p>
        <w:p w14:paraId="22EF4581" w14:textId="31A5D6D0" w:rsidR="003E175C" w:rsidRDefault="002B0E47">
          <w:pPr>
            <w:pStyle w:val="TOC3"/>
            <w:rPr>
              <w:rFonts w:asciiTheme="minorHAnsi" w:eastAsiaTheme="minorEastAsia" w:hAnsiTheme="minorHAnsi" w:cstheme="minorBidi"/>
              <w:b w:val="0"/>
              <w:noProof/>
              <w:color w:val="auto"/>
              <w:szCs w:val="22"/>
              <w:lang w:eastAsia="en-AU"/>
            </w:rPr>
          </w:pPr>
          <w:hyperlink w:anchor="_Toc148961955" w:history="1">
            <w:r w:rsidR="003E175C" w:rsidRPr="00807C64">
              <w:rPr>
                <w:rStyle w:val="Hyperlink"/>
                <w:noProof/>
              </w:rPr>
              <w:t>Delegate’s considerations</w:t>
            </w:r>
            <w:r w:rsidR="003E175C">
              <w:rPr>
                <w:noProof/>
                <w:webHidden/>
              </w:rPr>
              <w:tab/>
            </w:r>
            <w:r w:rsidR="003E175C">
              <w:rPr>
                <w:noProof/>
                <w:webHidden/>
              </w:rPr>
              <w:fldChar w:fldCharType="begin"/>
            </w:r>
            <w:r w:rsidR="003E175C">
              <w:rPr>
                <w:noProof/>
                <w:webHidden/>
              </w:rPr>
              <w:instrText xml:space="preserve"> PAGEREF _Toc148961955 \h </w:instrText>
            </w:r>
            <w:r w:rsidR="003E175C">
              <w:rPr>
                <w:noProof/>
                <w:webHidden/>
              </w:rPr>
            </w:r>
            <w:r w:rsidR="003E175C">
              <w:rPr>
                <w:noProof/>
                <w:webHidden/>
              </w:rPr>
              <w:fldChar w:fldCharType="separate"/>
            </w:r>
            <w:r w:rsidR="008465DD">
              <w:rPr>
                <w:noProof/>
                <w:webHidden/>
              </w:rPr>
              <w:t>48</w:t>
            </w:r>
            <w:r w:rsidR="003E175C">
              <w:rPr>
                <w:noProof/>
                <w:webHidden/>
              </w:rPr>
              <w:fldChar w:fldCharType="end"/>
            </w:r>
          </w:hyperlink>
        </w:p>
        <w:p w14:paraId="504A3DFA" w14:textId="15C646B5" w:rsidR="003E175C" w:rsidRDefault="002B0E47">
          <w:pPr>
            <w:pStyle w:val="TOC3"/>
            <w:rPr>
              <w:rFonts w:asciiTheme="minorHAnsi" w:eastAsiaTheme="minorEastAsia" w:hAnsiTheme="minorHAnsi" w:cstheme="minorBidi"/>
              <w:b w:val="0"/>
              <w:noProof/>
              <w:color w:val="auto"/>
              <w:szCs w:val="22"/>
              <w:lang w:eastAsia="en-AU"/>
            </w:rPr>
          </w:pPr>
          <w:hyperlink w:anchor="_Toc148961956" w:history="1">
            <w:r w:rsidR="003E175C" w:rsidRPr="00807C64">
              <w:rPr>
                <w:rStyle w:val="Hyperlink"/>
                <w:noProof/>
              </w:rPr>
              <w:t>Proposed action</w:t>
            </w:r>
            <w:r w:rsidR="003E175C">
              <w:rPr>
                <w:noProof/>
                <w:webHidden/>
              </w:rPr>
              <w:tab/>
            </w:r>
            <w:r w:rsidR="003E175C">
              <w:rPr>
                <w:noProof/>
                <w:webHidden/>
              </w:rPr>
              <w:fldChar w:fldCharType="begin"/>
            </w:r>
            <w:r w:rsidR="003E175C">
              <w:rPr>
                <w:noProof/>
                <w:webHidden/>
              </w:rPr>
              <w:instrText xml:space="preserve"> PAGEREF _Toc148961956 \h </w:instrText>
            </w:r>
            <w:r w:rsidR="003E175C">
              <w:rPr>
                <w:noProof/>
                <w:webHidden/>
              </w:rPr>
            </w:r>
            <w:r w:rsidR="003E175C">
              <w:rPr>
                <w:noProof/>
                <w:webHidden/>
              </w:rPr>
              <w:fldChar w:fldCharType="separate"/>
            </w:r>
            <w:r w:rsidR="008465DD">
              <w:rPr>
                <w:noProof/>
                <w:webHidden/>
              </w:rPr>
              <w:t>51</w:t>
            </w:r>
            <w:r w:rsidR="003E175C">
              <w:rPr>
                <w:noProof/>
                <w:webHidden/>
              </w:rPr>
              <w:fldChar w:fldCharType="end"/>
            </w:r>
          </w:hyperlink>
        </w:p>
        <w:p w14:paraId="4B389109" w14:textId="16F51DB4" w:rsidR="003E175C" w:rsidRDefault="002B0E47">
          <w:pPr>
            <w:pStyle w:val="TOC3"/>
            <w:rPr>
              <w:rFonts w:asciiTheme="minorHAnsi" w:eastAsiaTheme="minorEastAsia" w:hAnsiTheme="minorHAnsi" w:cstheme="minorBidi"/>
              <w:b w:val="0"/>
              <w:noProof/>
              <w:color w:val="auto"/>
              <w:szCs w:val="22"/>
              <w:lang w:eastAsia="en-AU"/>
            </w:rPr>
          </w:pPr>
          <w:hyperlink w:anchor="_Toc148961957" w:history="1">
            <w:r w:rsidR="003E175C" w:rsidRPr="00807C64">
              <w:rPr>
                <w:rStyle w:val="Hyperlink"/>
                <w:noProof/>
              </w:rPr>
              <w:t>Advisory Committee considerations</w:t>
            </w:r>
            <w:r w:rsidR="003E175C">
              <w:rPr>
                <w:noProof/>
                <w:webHidden/>
              </w:rPr>
              <w:tab/>
            </w:r>
            <w:r w:rsidR="003E175C">
              <w:rPr>
                <w:noProof/>
                <w:webHidden/>
              </w:rPr>
              <w:fldChar w:fldCharType="begin"/>
            </w:r>
            <w:r w:rsidR="003E175C">
              <w:rPr>
                <w:noProof/>
                <w:webHidden/>
              </w:rPr>
              <w:instrText xml:space="preserve"> PAGEREF _Toc148961957 \h </w:instrText>
            </w:r>
            <w:r w:rsidR="003E175C">
              <w:rPr>
                <w:noProof/>
                <w:webHidden/>
              </w:rPr>
            </w:r>
            <w:r w:rsidR="003E175C">
              <w:rPr>
                <w:noProof/>
                <w:webHidden/>
              </w:rPr>
              <w:fldChar w:fldCharType="separate"/>
            </w:r>
            <w:r w:rsidR="008465DD">
              <w:rPr>
                <w:noProof/>
                <w:webHidden/>
              </w:rPr>
              <w:t>51</w:t>
            </w:r>
            <w:r w:rsidR="003E175C">
              <w:rPr>
                <w:noProof/>
                <w:webHidden/>
              </w:rPr>
              <w:fldChar w:fldCharType="end"/>
            </w:r>
          </w:hyperlink>
        </w:p>
        <w:p w14:paraId="5420F1B7" w14:textId="7C07D6CD" w:rsidR="003E175C" w:rsidRDefault="002B0E47">
          <w:pPr>
            <w:pStyle w:val="TOC1"/>
            <w:rPr>
              <w:rFonts w:asciiTheme="minorHAnsi" w:eastAsiaTheme="minorEastAsia" w:hAnsiTheme="minorHAnsi" w:cstheme="minorBidi"/>
              <w:b w:val="0"/>
              <w:noProof/>
              <w:color w:val="auto"/>
              <w:sz w:val="22"/>
              <w:szCs w:val="22"/>
              <w:lang w:eastAsia="en-AU"/>
            </w:rPr>
          </w:pPr>
          <w:hyperlink w:anchor="_Toc148961958" w:history="1">
            <w:r w:rsidR="003E175C" w:rsidRPr="00807C64">
              <w:rPr>
                <w:rStyle w:val="Hyperlink"/>
                <w:noProof/>
              </w:rPr>
              <w:t>Outcome</w:t>
            </w:r>
            <w:r w:rsidR="003E175C">
              <w:rPr>
                <w:noProof/>
                <w:webHidden/>
              </w:rPr>
              <w:tab/>
            </w:r>
            <w:r w:rsidR="003E175C">
              <w:rPr>
                <w:noProof/>
                <w:webHidden/>
              </w:rPr>
              <w:fldChar w:fldCharType="begin"/>
            </w:r>
            <w:r w:rsidR="003E175C">
              <w:rPr>
                <w:noProof/>
                <w:webHidden/>
              </w:rPr>
              <w:instrText xml:space="preserve"> PAGEREF _Toc148961958 \h </w:instrText>
            </w:r>
            <w:r w:rsidR="003E175C">
              <w:rPr>
                <w:noProof/>
                <w:webHidden/>
              </w:rPr>
            </w:r>
            <w:r w:rsidR="003E175C">
              <w:rPr>
                <w:noProof/>
                <w:webHidden/>
              </w:rPr>
              <w:fldChar w:fldCharType="separate"/>
            </w:r>
            <w:r w:rsidR="008465DD">
              <w:rPr>
                <w:noProof/>
                <w:webHidden/>
              </w:rPr>
              <w:t>53</w:t>
            </w:r>
            <w:r w:rsidR="003E175C">
              <w:rPr>
                <w:noProof/>
                <w:webHidden/>
              </w:rPr>
              <w:fldChar w:fldCharType="end"/>
            </w:r>
          </w:hyperlink>
        </w:p>
        <w:p w14:paraId="0EE5E575" w14:textId="49F3F9D2" w:rsidR="003E175C" w:rsidRDefault="002B0E47">
          <w:pPr>
            <w:pStyle w:val="TOC2"/>
            <w:rPr>
              <w:rFonts w:asciiTheme="minorHAnsi" w:eastAsiaTheme="minorEastAsia" w:hAnsiTheme="minorHAnsi" w:cstheme="minorBidi"/>
              <w:b w:val="0"/>
              <w:noProof/>
              <w:color w:val="auto"/>
              <w:sz w:val="22"/>
              <w:szCs w:val="22"/>
              <w:lang w:eastAsia="en-AU"/>
            </w:rPr>
          </w:pPr>
          <w:hyperlink w:anchor="_Toc148961959" w:history="1">
            <w:r w:rsidR="003E175C" w:rsidRPr="00807C64">
              <w:rPr>
                <w:rStyle w:val="Hyperlink"/>
                <w:noProof/>
              </w:rPr>
              <w:t>Specific conditions of registration applying to these goods</w:t>
            </w:r>
            <w:r w:rsidR="003E175C">
              <w:rPr>
                <w:noProof/>
                <w:webHidden/>
              </w:rPr>
              <w:tab/>
            </w:r>
            <w:r w:rsidR="003E175C">
              <w:rPr>
                <w:noProof/>
                <w:webHidden/>
              </w:rPr>
              <w:fldChar w:fldCharType="begin"/>
            </w:r>
            <w:r w:rsidR="003E175C">
              <w:rPr>
                <w:noProof/>
                <w:webHidden/>
              </w:rPr>
              <w:instrText xml:space="preserve"> PAGEREF _Toc148961959 \h </w:instrText>
            </w:r>
            <w:r w:rsidR="003E175C">
              <w:rPr>
                <w:noProof/>
                <w:webHidden/>
              </w:rPr>
            </w:r>
            <w:r w:rsidR="003E175C">
              <w:rPr>
                <w:noProof/>
                <w:webHidden/>
              </w:rPr>
              <w:fldChar w:fldCharType="separate"/>
            </w:r>
            <w:r w:rsidR="008465DD">
              <w:rPr>
                <w:noProof/>
                <w:webHidden/>
              </w:rPr>
              <w:t>53</w:t>
            </w:r>
            <w:r w:rsidR="003E175C">
              <w:rPr>
                <w:noProof/>
                <w:webHidden/>
              </w:rPr>
              <w:fldChar w:fldCharType="end"/>
            </w:r>
          </w:hyperlink>
        </w:p>
        <w:p w14:paraId="24A0632B" w14:textId="074D510C" w:rsidR="003E175C" w:rsidRDefault="002B0E47">
          <w:pPr>
            <w:pStyle w:val="TOC1"/>
            <w:rPr>
              <w:rFonts w:asciiTheme="minorHAnsi" w:eastAsiaTheme="minorEastAsia" w:hAnsiTheme="minorHAnsi" w:cstheme="minorBidi"/>
              <w:b w:val="0"/>
              <w:noProof/>
              <w:color w:val="auto"/>
              <w:sz w:val="22"/>
              <w:szCs w:val="22"/>
              <w:lang w:eastAsia="en-AU"/>
            </w:rPr>
          </w:pPr>
          <w:hyperlink w:anchor="_Toc148961960" w:history="1">
            <w:r w:rsidR="003E175C" w:rsidRPr="00807C64">
              <w:rPr>
                <w:rStyle w:val="Hyperlink"/>
                <w:noProof/>
              </w:rPr>
              <w:t>Attachment 1. Product Information</w:t>
            </w:r>
            <w:r w:rsidR="003E175C">
              <w:rPr>
                <w:noProof/>
                <w:webHidden/>
              </w:rPr>
              <w:tab/>
            </w:r>
            <w:r w:rsidR="003E175C">
              <w:rPr>
                <w:noProof/>
                <w:webHidden/>
              </w:rPr>
              <w:fldChar w:fldCharType="begin"/>
            </w:r>
            <w:r w:rsidR="003E175C">
              <w:rPr>
                <w:noProof/>
                <w:webHidden/>
              </w:rPr>
              <w:instrText xml:space="preserve"> PAGEREF _Toc148961960 \h </w:instrText>
            </w:r>
            <w:r w:rsidR="003E175C">
              <w:rPr>
                <w:noProof/>
                <w:webHidden/>
              </w:rPr>
            </w:r>
            <w:r w:rsidR="003E175C">
              <w:rPr>
                <w:noProof/>
                <w:webHidden/>
              </w:rPr>
              <w:fldChar w:fldCharType="separate"/>
            </w:r>
            <w:r w:rsidR="008465DD">
              <w:rPr>
                <w:noProof/>
                <w:webHidden/>
              </w:rPr>
              <w:t>53</w:t>
            </w:r>
            <w:r w:rsidR="003E175C">
              <w:rPr>
                <w:noProof/>
                <w:webHidden/>
              </w:rPr>
              <w:fldChar w:fldCharType="end"/>
            </w:r>
          </w:hyperlink>
        </w:p>
        <w:p w14:paraId="77659F2D" w14:textId="72072909"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34870688" w:rsidR="00324B33" w:rsidRDefault="00324B33" w:rsidP="00324B33">
      <w:pPr>
        <w:pStyle w:val="Heading2"/>
      </w:pPr>
      <w:bookmarkStart w:id="0" w:name="_Toc98931917"/>
      <w:bookmarkStart w:id="1" w:name="_Toc103679287"/>
      <w:bookmarkStart w:id="2" w:name="_Toc148961932"/>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3AF3890D" w:rsidR="00324B33" w:rsidRPr="00D01DDB" w:rsidRDefault="00B27F72" w:rsidP="00324B33">
            <w:pPr>
              <w:rPr>
                <w:szCs w:val="22"/>
              </w:rPr>
            </w:pPr>
            <w:r>
              <w:rPr>
                <w:szCs w:val="22"/>
              </w:rPr>
              <w:t>ADA</w:t>
            </w:r>
          </w:p>
        </w:tc>
        <w:tc>
          <w:tcPr>
            <w:tcW w:w="3800" w:type="pct"/>
          </w:tcPr>
          <w:p w14:paraId="5072E244" w14:textId="7CFE5606" w:rsidR="00324B33" w:rsidRPr="00D01DDB" w:rsidRDefault="00B27F7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Antidrug antibody</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49FC5D2E"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9675E4" w:rsidRPr="00D01DDB" w14:paraId="2E22E0F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54579F" w14:textId="55E98CEF" w:rsidR="009675E4" w:rsidRPr="00D01DDB" w:rsidRDefault="009675E4" w:rsidP="00324B33">
            <w:pPr>
              <w:rPr>
                <w:szCs w:val="22"/>
              </w:rPr>
            </w:pPr>
            <w:r>
              <w:rPr>
                <w:szCs w:val="22"/>
              </w:rPr>
              <w:t>AUC</w:t>
            </w:r>
          </w:p>
        </w:tc>
        <w:tc>
          <w:tcPr>
            <w:tcW w:w="3800" w:type="pct"/>
          </w:tcPr>
          <w:p w14:paraId="60B22ADA" w14:textId="0BFFD2E7" w:rsidR="009675E4" w:rsidRPr="00D01DDB" w:rsidRDefault="001E7BD9" w:rsidP="00324B33">
            <w:pPr>
              <w:cnfStyle w:val="000000000000" w:firstRow="0" w:lastRow="0" w:firstColumn="0" w:lastColumn="0" w:oddVBand="0" w:evenVBand="0" w:oddHBand="0" w:evenHBand="0" w:firstRowFirstColumn="0" w:firstRowLastColumn="0" w:lastRowFirstColumn="0" w:lastRowLastColumn="0"/>
              <w:rPr>
                <w:szCs w:val="22"/>
              </w:rPr>
            </w:pPr>
            <w:r>
              <w:t>Area under the concentration versus time curve</w:t>
            </w:r>
          </w:p>
        </w:tc>
      </w:tr>
      <w:tr w:rsidR="001E7BD9" w:rsidRPr="00D01DDB" w14:paraId="7E1650C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6CA863" w14:textId="342E80DA" w:rsidR="001E7BD9" w:rsidRDefault="001E7BD9" w:rsidP="00324B33">
            <w:pPr>
              <w:rPr>
                <w:szCs w:val="22"/>
              </w:rPr>
            </w:pPr>
            <w:r w:rsidRPr="004766C2">
              <w:t>AUC</w:t>
            </w:r>
            <w:r>
              <w:rPr>
                <w:vertAlign w:val="subscript"/>
              </w:rPr>
              <w:t>inf</w:t>
            </w:r>
          </w:p>
        </w:tc>
        <w:tc>
          <w:tcPr>
            <w:tcW w:w="3800" w:type="pct"/>
          </w:tcPr>
          <w:p w14:paraId="0084B4BC" w14:textId="215358E0" w:rsidR="001E7BD9" w:rsidRDefault="00BD5308" w:rsidP="00324B33">
            <w:pPr>
              <w:cnfStyle w:val="000000000000" w:firstRow="0" w:lastRow="0" w:firstColumn="0" w:lastColumn="0" w:oddVBand="0" w:evenVBand="0" w:oddHBand="0" w:evenHBand="0" w:firstRowFirstColumn="0" w:firstRowLastColumn="0" w:lastRowFirstColumn="0" w:lastRowLastColumn="0"/>
            </w:pPr>
            <w:r>
              <w:t>A</w:t>
            </w:r>
            <w:r w:rsidR="001E7BD9">
              <w:t>rea under the concentration versus time curve from time zero to infinity</w:t>
            </w:r>
          </w:p>
        </w:tc>
      </w:tr>
      <w:tr w:rsidR="00BD5308" w:rsidRPr="00D01DDB" w14:paraId="304668C0"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D288C2" w14:textId="75C2ED47" w:rsidR="00BD5308" w:rsidRDefault="00BD5308">
            <w:pPr>
              <w:rPr>
                <w:szCs w:val="22"/>
              </w:rPr>
            </w:pPr>
            <w:r w:rsidRPr="004766C2">
              <w:t>AUC</w:t>
            </w:r>
            <w:r w:rsidRPr="00BD5308">
              <w:rPr>
                <w:vertAlign w:val="subscript"/>
              </w:rPr>
              <w:t>last</w:t>
            </w:r>
          </w:p>
        </w:tc>
        <w:tc>
          <w:tcPr>
            <w:tcW w:w="3800" w:type="pct"/>
          </w:tcPr>
          <w:p w14:paraId="6DD57069" w14:textId="57B8D7B6" w:rsidR="00BD5308" w:rsidRDefault="00DC019E">
            <w:pPr>
              <w:cnfStyle w:val="000000000000" w:firstRow="0" w:lastRow="0" w:firstColumn="0" w:lastColumn="0" w:oddVBand="0" w:evenVBand="0" w:oddHBand="0" w:evenHBand="0" w:firstRowFirstColumn="0" w:firstRowLastColumn="0" w:lastRowFirstColumn="0" w:lastRowLastColumn="0"/>
            </w:pPr>
            <w:r>
              <w:t>A</w:t>
            </w:r>
            <w:r w:rsidR="00BD5308">
              <w:t>rea under the concentration versus time curve from time zero to the last measurable time point</w:t>
            </w:r>
          </w:p>
        </w:tc>
      </w:tr>
      <w:tr w:rsidR="00BD5308" w:rsidRPr="00D01DDB" w14:paraId="106B41D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022FEC" w14:textId="78CF1582" w:rsidR="00BD5308" w:rsidRPr="004766C2" w:rsidRDefault="00DC019E" w:rsidP="00324B33">
            <w:r>
              <w:t>BMI</w:t>
            </w:r>
          </w:p>
        </w:tc>
        <w:tc>
          <w:tcPr>
            <w:tcW w:w="3800" w:type="pct"/>
          </w:tcPr>
          <w:p w14:paraId="65F5592F" w14:textId="560359A0" w:rsidR="00BD5308" w:rsidRDefault="00DC019E" w:rsidP="00324B33">
            <w:pPr>
              <w:cnfStyle w:val="000000000000" w:firstRow="0" w:lastRow="0" w:firstColumn="0" w:lastColumn="0" w:oddVBand="0" w:evenVBand="0" w:oddHBand="0" w:evenHBand="0" w:firstRowFirstColumn="0" w:firstRowLastColumn="0" w:lastRowFirstColumn="0" w:lastRowLastColumn="0"/>
            </w:pPr>
            <w:r>
              <w:t>Body mass index</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9675E4" w:rsidRPr="00D01DDB" w14:paraId="6A57A1A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355180" w14:textId="377AFA16" w:rsidR="009675E4" w:rsidRPr="00D01DDB" w:rsidRDefault="009675E4" w:rsidP="00324B33">
            <w:pPr>
              <w:rPr>
                <w:szCs w:val="22"/>
              </w:rPr>
            </w:pPr>
            <w:r>
              <w:rPr>
                <w:szCs w:val="22"/>
              </w:rPr>
              <w:t>CNS</w:t>
            </w:r>
          </w:p>
        </w:tc>
        <w:tc>
          <w:tcPr>
            <w:tcW w:w="3800" w:type="pct"/>
          </w:tcPr>
          <w:p w14:paraId="4D845FAF" w14:textId="538D89BC" w:rsidR="009675E4" w:rsidRPr="00D01DDB" w:rsidRDefault="009675E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Central nervous system</w:t>
            </w:r>
          </w:p>
        </w:tc>
      </w:tr>
      <w:tr w:rsidR="003F2A18" w:rsidRPr="00D01DDB" w14:paraId="46B8838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3E0F62" w14:textId="032974FF" w:rsidR="003F2A18" w:rsidRPr="00D01DDB" w:rsidRDefault="00080255" w:rsidP="00324B33">
            <w:pPr>
              <w:rPr>
                <w:szCs w:val="22"/>
              </w:rPr>
            </w:pPr>
            <w:r>
              <w:rPr>
                <w:szCs w:val="22"/>
              </w:rPr>
              <w:t>D</w:t>
            </w:r>
            <w:r w:rsidR="007C64C2">
              <w:rPr>
                <w:szCs w:val="22"/>
              </w:rPr>
              <w:t>PP</w:t>
            </w:r>
            <w:r w:rsidR="005E279A">
              <w:rPr>
                <w:szCs w:val="22"/>
              </w:rPr>
              <w:noBreakHyphen/>
            </w:r>
            <w:r>
              <w:rPr>
                <w:szCs w:val="22"/>
              </w:rPr>
              <w:t>4</w:t>
            </w:r>
          </w:p>
        </w:tc>
        <w:tc>
          <w:tcPr>
            <w:tcW w:w="3800" w:type="pct"/>
          </w:tcPr>
          <w:p w14:paraId="2CE0CA2A" w14:textId="55048287" w:rsidR="003F2A18" w:rsidRPr="00D01DDB" w:rsidRDefault="00AB5ABC" w:rsidP="00324B33">
            <w:pPr>
              <w:cnfStyle w:val="000000000000" w:firstRow="0" w:lastRow="0" w:firstColumn="0" w:lastColumn="0" w:oddVBand="0" w:evenVBand="0" w:oddHBand="0" w:evenHBand="0" w:firstRowFirstColumn="0" w:firstRowLastColumn="0" w:lastRowFirstColumn="0" w:lastRowLastColumn="0"/>
              <w:rPr>
                <w:szCs w:val="22"/>
              </w:rPr>
            </w:pPr>
            <w:r>
              <w:t>D</w:t>
            </w:r>
            <w:r w:rsidR="004D61A8">
              <w:t>ipeptidyl peptidase 4</w:t>
            </w:r>
          </w:p>
        </w:tc>
      </w:tr>
      <w:tr w:rsidR="005825D6" w:rsidRPr="00D01DDB" w14:paraId="0A8EC32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869AA5" w14:textId="58154913" w:rsidR="005825D6" w:rsidRDefault="005825D6" w:rsidP="00324B33">
            <w:pPr>
              <w:rPr>
                <w:szCs w:val="22"/>
              </w:rPr>
            </w:pPr>
            <w:r>
              <w:rPr>
                <w:szCs w:val="22"/>
              </w:rPr>
              <w:t>EASD</w:t>
            </w:r>
          </w:p>
        </w:tc>
        <w:tc>
          <w:tcPr>
            <w:tcW w:w="3800" w:type="pct"/>
          </w:tcPr>
          <w:p w14:paraId="35E76EB4" w14:textId="4D25374F" w:rsidR="005825D6" w:rsidRDefault="005825D6" w:rsidP="00324B33">
            <w:pPr>
              <w:cnfStyle w:val="000000000000" w:firstRow="0" w:lastRow="0" w:firstColumn="0" w:lastColumn="0" w:oddVBand="0" w:evenVBand="0" w:oddHBand="0" w:evenHBand="0" w:firstRowFirstColumn="0" w:firstRowLastColumn="0" w:lastRowFirstColumn="0" w:lastRowLastColumn="0"/>
            </w:pPr>
            <w:r w:rsidRPr="005825D6">
              <w:t>European Association for the Study of Diabetes</w:t>
            </w:r>
          </w:p>
        </w:tc>
      </w:tr>
      <w:tr w:rsidR="00A82D0F" w:rsidRPr="00D01DDB" w14:paraId="789F29C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77567D" w14:textId="74D6DACE" w:rsidR="00A82D0F" w:rsidRDefault="00A82D0F" w:rsidP="00324B33">
            <w:pPr>
              <w:rPr>
                <w:szCs w:val="22"/>
              </w:rPr>
            </w:pPr>
            <w:r>
              <w:rPr>
                <w:szCs w:val="22"/>
              </w:rPr>
              <w:t>eGFR</w:t>
            </w:r>
          </w:p>
        </w:tc>
        <w:tc>
          <w:tcPr>
            <w:tcW w:w="3800" w:type="pct"/>
          </w:tcPr>
          <w:p w14:paraId="4C3DC443" w14:textId="3EA4F5C5" w:rsidR="00A82D0F" w:rsidRDefault="00A82D0F" w:rsidP="00324B33">
            <w:pPr>
              <w:cnfStyle w:val="000000000000" w:firstRow="0" w:lastRow="0" w:firstColumn="0" w:lastColumn="0" w:oddVBand="0" w:evenVBand="0" w:oddHBand="0" w:evenHBand="0" w:firstRowFirstColumn="0" w:firstRowLastColumn="0" w:lastRowFirstColumn="0" w:lastRowLastColumn="0"/>
            </w:pPr>
            <w:r>
              <w:t>Estimated glomerular filtration rate</w:t>
            </w:r>
          </w:p>
        </w:tc>
      </w:tr>
      <w:tr w:rsidR="00AB5ABC" w:rsidRPr="00D01DDB" w14:paraId="71FD312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7731E5" w14:textId="5F0B8E14" w:rsidR="00AB5ABC" w:rsidRDefault="00AB5ABC" w:rsidP="00324B33">
            <w:pPr>
              <w:rPr>
                <w:szCs w:val="22"/>
              </w:rPr>
            </w:pPr>
            <w:r>
              <w:rPr>
                <w:szCs w:val="22"/>
              </w:rPr>
              <w:t>GIP</w:t>
            </w:r>
          </w:p>
        </w:tc>
        <w:tc>
          <w:tcPr>
            <w:tcW w:w="3800" w:type="pct"/>
          </w:tcPr>
          <w:p w14:paraId="31C1C707" w14:textId="687A1F6B" w:rsidR="00AB5ABC" w:rsidRDefault="00AB5ABC" w:rsidP="00324B33">
            <w:pPr>
              <w:cnfStyle w:val="000000000000" w:firstRow="0" w:lastRow="0" w:firstColumn="0" w:lastColumn="0" w:oddVBand="0" w:evenVBand="0" w:oddHBand="0" w:evenHBand="0" w:firstRowFirstColumn="0" w:firstRowLastColumn="0" w:lastRowFirstColumn="0" w:lastRowLastColumn="0"/>
            </w:pPr>
            <w:r w:rsidRPr="00925272">
              <w:t>Glucose</w:t>
            </w:r>
            <w:r w:rsidR="005E279A">
              <w:noBreakHyphen/>
            </w:r>
            <w:r w:rsidRPr="00925272">
              <w:t xml:space="preserve">dependent insulinotropic polypeptide </w:t>
            </w:r>
          </w:p>
        </w:tc>
      </w:tr>
      <w:tr w:rsidR="009D670B" w:rsidRPr="00D01DDB" w14:paraId="121C8B7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EEEF88" w14:textId="30144256" w:rsidR="009D670B" w:rsidRPr="00D01DDB" w:rsidRDefault="009D670B" w:rsidP="00324B33">
            <w:pPr>
              <w:rPr>
                <w:szCs w:val="22"/>
              </w:rPr>
            </w:pPr>
            <w:r>
              <w:t>GLP</w:t>
            </w:r>
            <w:r w:rsidR="005E279A">
              <w:noBreakHyphen/>
            </w:r>
            <w:r>
              <w:t>1</w:t>
            </w:r>
          </w:p>
        </w:tc>
        <w:tc>
          <w:tcPr>
            <w:tcW w:w="3800" w:type="pct"/>
          </w:tcPr>
          <w:p w14:paraId="766815E3" w14:textId="36CC014E" w:rsidR="009D670B" w:rsidRPr="00D01DDB" w:rsidRDefault="00AB5ABC" w:rsidP="00324B33">
            <w:pPr>
              <w:cnfStyle w:val="000000000000" w:firstRow="0" w:lastRow="0" w:firstColumn="0" w:lastColumn="0" w:oddVBand="0" w:evenVBand="0" w:oddHBand="0" w:evenHBand="0" w:firstRowFirstColumn="0" w:firstRowLastColumn="0" w:lastRowFirstColumn="0" w:lastRowLastColumn="0"/>
              <w:rPr>
                <w:szCs w:val="22"/>
              </w:rPr>
            </w:pPr>
            <w:r w:rsidRPr="00925272">
              <w:t>Glucagon</w:t>
            </w:r>
            <w:r w:rsidR="005E279A">
              <w:noBreakHyphen/>
            </w:r>
            <w:r w:rsidRPr="00925272">
              <w:t>like</w:t>
            </w:r>
            <w:r>
              <w:t xml:space="preserve"> </w:t>
            </w:r>
            <w:r w:rsidRPr="00925272">
              <w:t>peptide</w:t>
            </w:r>
            <w:r w:rsidR="005E279A">
              <w:noBreakHyphen/>
            </w:r>
            <w:r w:rsidRPr="00925272">
              <w:t>1</w:t>
            </w:r>
          </w:p>
        </w:tc>
      </w:tr>
      <w:tr w:rsidR="00173E37" w:rsidRPr="004D61A8" w14:paraId="0899ACB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737CBA" w14:textId="40E93D39" w:rsidR="00173E37" w:rsidRPr="004D61A8" w:rsidRDefault="00173E37" w:rsidP="00324B33">
            <w:r>
              <w:t>HbA1c</w:t>
            </w:r>
          </w:p>
        </w:tc>
        <w:tc>
          <w:tcPr>
            <w:tcW w:w="3800" w:type="pct"/>
          </w:tcPr>
          <w:p w14:paraId="7C84AACE" w14:textId="1950FE6D" w:rsidR="00173E37" w:rsidRPr="004D61A8" w:rsidRDefault="00AB5ABC" w:rsidP="00324B33">
            <w:pPr>
              <w:cnfStyle w:val="000000000000" w:firstRow="0" w:lastRow="0" w:firstColumn="0" w:lastColumn="0" w:oddVBand="0" w:evenVBand="0" w:oddHBand="0" w:evenHBand="0" w:firstRowFirstColumn="0" w:firstRowLastColumn="0" w:lastRowFirstColumn="0" w:lastRowLastColumn="0"/>
              <w:rPr>
                <w:szCs w:val="22"/>
              </w:rPr>
            </w:pPr>
            <w:r>
              <w:t>H</w:t>
            </w:r>
            <w:r w:rsidR="00173E37" w:rsidRPr="00173E37">
              <w:t>aemoglobin A1c</w:t>
            </w:r>
          </w:p>
        </w:tc>
      </w:tr>
      <w:tr w:rsidR="00AA2F75" w:rsidRPr="004D61A8" w14:paraId="0B094B4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2194D8" w14:textId="14D96A22" w:rsidR="00AA2F75" w:rsidRDefault="00AA2F75" w:rsidP="00324B33">
            <w:r>
              <w:t>LSM</w:t>
            </w:r>
          </w:p>
        </w:tc>
        <w:tc>
          <w:tcPr>
            <w:tcW w:w="3800" w:type="pct"/>
          </w:tcPr>
          <w:p w14:paraId="61581422" w14:textId="4B5AD20B" w:rsidR="00AA2F75" w:rsidRDefault="00AA2F75" w:rsidP="00324B33">
            <w:pPr>
              <w:cnfStyle w:val="000000000000" w:firstRow="0" w:lastRow="0" w:firstColumn="0" w:lastColumn="0" w:oddVBand="0" w:evenVBand="0" w:oddHBand="0" w:evenHBand="0" w:firstRowFirstColumn="0" w:firstRowLastColumn="0" w:lastRowFirstColumn="0" w:lastRowLastColumn="0"/>
            </w:pPr>
            <w:r>
              <w:t>L</w:t>
            </w:r>
            <w:r w:rsidRPr="00BE1835">
              <w:t>east</w:t>
            </w:r>
            <w:r w:rsidR="005E279A">
              <w:noBreakHyphen/>
            </w:r>
            <w:r w:rsidRPr="00BE1835">
              <w:t>squares means</w:t>
            </w:r>
          </w:p>
        </w:tc>
      </w:tr>
      <w:tr w:rsidR="001C1947" w:rsidRPr="004D61A8" w14:paraId="1D4B81D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2B25FF" w14:textId="40F6E71E" w:rsidR="001C1947" w:rsidRDefault="001C1947" w:rsidP="00324B33">
            <w:r>
              <w:t>MACE</w:t>
            </w:r>
          </w:p>
        </w:tc>
        <w:tc>
          <w:tcPr>
            <w:tcW w:w="3800" w:type="pct"/>
          </w:tcPr>
          <w:p w14:paraId="005D7B30" w14:textId="52D12917" w:rsidR="001C1947" w:rsidRDefault="001C1947" w:rsidP="00324B33">
            <w:pPr>
              <w:cnfStyle w:val="000000000000" w:firstRow="0" w:lastRow="0" w:firstColumn="0" w:lastColumn="0" w:oddVBand="0" w:evenVBand="0" w:oddHBand="0" w:evenHBand="0" w:firstRowFirstColumn="0" w:firstRowLastColumn="0" w:lastRowFirstColumn="0" w:lastRowLastColumn="0"/>
            </w:pPr>
            <w:r>
              <w:t>Major adverse cardiovascular event</w:t>
            </w:r>
          </w:p>
        </w:tc>
      </w:tr>
      <w:tr w:rsidR="00725E71" w:rsidRPr="00D01DDB" w14:paraId="0888000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E3B9C6" w14:textId="446607D8" w:rsidR="00725E71" w:rsidRDefault="00725E71" w:rsidP="00324B33">
            <w:r>
              <w:t>OC</w:t>
            </w:r>
          </w:p>
        </w:tc>
        <w:tc>
          <w:tcPr>
            <w:tcW w:w="3800" w:type="pct"/>
          </w:tcPr>
          <w:p w14:paraId="645AC016" w14:textId="64228913" w:rsidR="00725E71" w:rsidRDefault="00725E71" w:rsidP="00324B33">
            <w:pPr>
              <w:cnfStyle w:val="000000000000" w:firstRow="0" w:lastRow="0" w:firstColumn="0" w:lastColumn="0" w:oddVBand="0" w:evenVBand="0" w:oddHBand="0" w:evenHBand="0" w:firstRowFirstColumn="0" w:firstRowLastColumn="0" w:lastRowFirstColumn="0" w:lastRowLastColumn="0"/>
            </w:pPr>
            <w:r>
              <w:t>Oral contraceptives</w:t>
            </w:r>
          </w:p>
        </w:tc>
      </w:tr>
      <w:tr w:rsidR="00A91373" w:rsidRPr="00D01DDB" w14:paraId="0FC5B58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DF32D8" w14:textId="2A532D4B" w:rsidR="00A91373" w:rsidRPr="00D01DDB" w:rsidRDefault="00A91373" w:rsidP="00324B33">
            <w:pPr>
              <w:rPr>
                <w:szCs w:val="22"/>
              </w:rPr>
            </w:pPr>
            <w:r>
              <w:rPr>
                <w:szCs w:val="22"/>
              </w:rPr>
              <w:t>PD</w:t>
            </w:r>
          </w:p>
        </w:tc>
        <w:tc>
          <w:tcPr>
            <w:tcW w:w="3800" w:type="pct"/>
          </w:tcPr>
          <w:p w14:paraId="38AE3F78" w14:textId="6F38B726" w:rsidR="00A91373" w:rsidRPr="00D01DDB" w:rsidRDefault="00A9137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Pharmacodynamics</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E04CE2" w:rsidRPr="00A91373" w14:paraId="2235918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BC0973" w14:textId="42272149" w:rsidR="00E04CE2" w:rsidRPr="00A91373" w:rsidRDefault="00A91373" w:rsidP="00E04CE2">
            <w:pPr>
              <w:rPr>
                <w:szCs w:val="22"/>
              </w:rPr>
            </w:pPr>
            <w:r w:rsidRPr="00A91373">
              <w:rPr>
                <w:szCs w:val="22"/>
              </w:rPr>
              <w:t>PK</w:t>
            </w:r>
          </w:p>
        </w:tc>
        <w:tc>
          <w:tcPr>
            <w:tcW w:w="3800" w:type="pct"/>
          </w:tcPr>
          <w:p w14:paraId="56C36CE6" w14:textId="481BC4C0" w:rsidR="00E04CE2" w:rsidRPr="00A91373" w:rsidRDefault="00A91373" w:rsidP="00E04CE2">
            <w:pPr>
              <w:cnfStyle w:val="000000000000" w:firstRow="0" w:lastRow="0" w:firstColumn="0" w:lastColumn="0" w:oddVBand="0" w:evenVBand="0" w:oddHBand="0" w:evenHBand="0" w:firstRowFirstColumn="0" w:firstRowLastColumn="0" w:lastRowFirstColumn="0" w:lastRowLastColumn="0"/>
              <w:rPr>
                <w:szCs w:val="22"/>
              </w:rPr>
            </w:pPr>
            <w:r w:rsidRPr="00A91373">
              <w:rPr>
                <w:szCs w:val="22"/>
              </w:rPr>
              <w:t>Pharmacokinetics</w:t>
            </w:r>
          </w:p>
        </w:tc>
      </w:tr>
      <w:tr w:rsidR="00E04CE2"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84A750D" w:rsidR="00E04CE2" w:rsidRPr="00D01DDB" w:rsidRDefault="00E04CE2" w:rsidP="00E04CE2">
            <w:pPr>
              <w:rPr>
                <w:szCs w:val="22"/>
              </w:rPr>
            </w:pPr>
            <w:r w:rsidRPr="00D01DDB">
              <w:rPr>
                <w:szCs w:val="22"/>
              </w:rPr>
              <w:t>PSUR</w:t>
            </w:r>
          </w:p>
        </w:tc>
        <w:tc>
          <w:tcPr>
            <w:tcW w:w="3800" w:type="pct"/>
          </w:tcPr>
          <w:p w14:paraId="2C862F75" w14:textId="0687ABA9" w:rsidR="00E04CE2" w:rsidRPr="00D01DDB" w:rsidRDefault="00E04CE2" w:rsidP="00E04CE2">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5506DC" w:rsidRPr="00D01DDB" w14:paraId="12D0B75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C70638" w14:textId="7DE93504" w:rsidR="005506DC" w:rsidRPr="00D01DDB" w:rsidRDefault="005506DC" w:rsidP="00E04CE2">
            <w:pPr>
              <w:rPr>
                <w:szCs w:val="22"/>
              </w:rPr>
            </w:pPr>
            <w:r>
              <w:rPr>
                <w:szCs w:val="22"/>
              </w:rPr>
              <w:t>RMP</w:t>
            </w:r>
          </w:p>
        </w:tc>
        <w:tc>
          <w:tcPr>
            <w:tcW w:w="3800" w:type="pct"/>
          </w:tcPr>
          <w:p w14:paraId="72466D01" w14:textId="77B0AF17" w:rsidR="005506DC" w:rsidRPr="00D01DDB" w:rsidRDefault="005506DC" w:rsidP="00E04CE2">
            <w:pPr>
              <w:cnfStyle w:val="000000000000" w:firstRow="0" w:lastRow="0" w:firstColumn="0" w:lastColumn="0" w:oddVBand="0" w:evenVBand="0" w:oddHBand="0" w:evenHBand="0" w:firstRowFirstColumn="0" w:firstRowLastColumn="0" w:lastRowFirstColumn="0" w:lastRowLastColumn="0"/>
              <w:rPr>
                <w:szCs w:val="22"/>
              </w:rPr>
            </w:pPr>
            <w:r>
              <w:rPr>
                <w:szCs w:val="22"/>
              </w:rPr>
              <w:t>Risk management plan</w:t>
            </w:r>
          </w:p>
        </w:tc>
      </w:tr>
      <w:tr w:rsidR="002707F8" w:rsidRPr="00D01DDB" w14:paraId="6677D73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B69204" w14:textId="6EC42EA1" w:rsidR="002707F8" w:rsidRDefault="002707F8" w:rsidP="00E04CE2">
            <w:pPr>
              <w:rPr>
                <w:szCs w:val="22"/>
              </w:rPr>
            </w:pPr>
            <w:r>
              <w:rPr>
                <w:szCs w:val="22"/>
              </w:rPr>
              <w:t>SAE</w:t>
            </w:r>
          </w:p>
        </w:tc>
        <w:tc>
          <w:tcPr>
            <w:tcW w:w="3800" w:type="pct"/>
          </w:tcPr>
          <w:p w14:paraId="3B0C6B29" w14:textId="2E10D79E" w:rsidR="002707F8" w:rsidRDefault="002707F8" w:rsidP="00E04CE2">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w:t>
            </w:r>
          </w:p>
        </w:tc>
      </w:tr>
      <w:tr w:rsidR="00E86080" w:rsidRPr="00D01DDB" w14:paraId="7A898E7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EA76C6" w14:textId="7B633DF9" w:rsidR="00E86080" w:rsidRPr="00D01DDB" w:rsidRDefault="00EA5817" w:rsidP="00E04CE2">
            <w:pPr>
              <w:rPr>
                <w:szCs w:val="22"/>
              </w:rPr>
            </w:pPr>
            <w:r>
              <w:rPr>
                <w:szCs w:val="22"/>
              </w:rPr>
              <w:t>SGLT2</w:t>
            </w:r>
          </w:p>
        </w:tc>
        <w:tc>
          <w:tcPr>
            <w:tcW w:w="3800" w:type="pct"/>
          </w:tcPr>
          <w:p w14:paraId="0BDB639F" w14:textId="7EE2A309" w:rsidR="00E86080" w:rsidRPr="00D01DDB" w:rsidRDefault="007C64C2" w:rsidP="007C64C2">
            <w:pPr>
              <w:ind w:left="122"/>
              <w:cnfStyle w:val="000000000000" w:firstRow="0" w:lastRow="0" w:firstColumn="0" w:lastColumn="0" w:oddVBand="0" w:evenVBand="0" w:oddHBand="0" w:evenHBand="0" w:firstRowFirstColumn="0" w:firstRowLastColumn="0" w:lastRowFirstColumn="0" w:lastRowLastColumn="0"/>
              <w:rPr>
                <w:szCs w:val="22"/>
              </w:rPr>
            </w:pPr>
            <w:r w:rsidRPr="007C64C2">
              <w:rPr>
                <w:szCs w:val="22"/>
              </w:rPr>
              <w:t>Sodium</w:t>
            </w:r>
            <w:r w:rsidR="005E279A">
              <w:rPr>
                <w:szCs w:val="22"/>
              </w:rPr>
              <w:noBreakHyphen/>
            </w:r>
            <w:r w:rsidRPr="007C64C2">
              <w:rPr>
                <w:szCs w:val="22"/>
              </w:rPr>
              <w:t>glucose co</w:t>
            </w:r>
            <w:r w:rsidR="005E279A">
              <w:rPr>
                <w:szCs w:val="22"/>
              </w:rPr>
              <w:noBreakHyphen/>
            </w:r>
            <w:r w:rsidRPr="007C64C2">
              <w:rPr>
                <w:szCs w:val="22"/>
              </w:rPr>
              <w:t>transporter 2</w:t>
            </w:r>
          </w:p>
        </w:tc>
      </w:tr>
      <w:tr w:rsidR="003F2A18" w:rsidRPr="00D01DDB" w14:paraId="54802BD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5C04DA" w14:textId="59448835" w:rsidR="003F2A18" w:rsidRPr="00D01DDB" w:rsidRDefault="002707F8" w:rsidP="00E04CE2">
            <w:pPr>
              <w:rPr>
                <w:szCs w:val="22"/>
              </w:rPr>
            </w:pPr>
            <w:r>
              <w:rPr>
                <w:szCs w:val="22"/>
              </w:rPr>
              <w:t>TEAE</w:t>
            </w:r>
          </w:p>
        </w:tc>
        <w:tc>
          <w:tcPr>
            <w:tcW w:w="3800" w:type="pct"/>
          </w:tcPr>
          <w:p w14:paraId="0332F225" w14:textId="57958E5F" w:rsidR="003F2A18" w:rsidRPr="00D01DDB" w:rsidRDefault="002707F8" w:rsidP="00E04CE2">
            <w:pPr>
              <w:cnfStyle w:val="000000000000" w:firstRow="0" w:lastRow="0" w:firstColumn="0" w:lastColumn="0" w:oddVBand="0" w:evenVBand="0" w:oddHBand="0" w:evenHBand="0" w:firstRowFirstColumn="0" w:firstRowLastColumn="0" w:lastRowFirstColumn="0" w:lastRowLastColumn="0"/>
              <w:rPr>
                <w:szCs w:val="22"/>
              </w:rPr>
            </w:pPr>
            <w:r>
              <w:rPr>
                <w:szCs w:val="22"/>
              </w:rPr>
              <w:t>Treatment</w:t>
            </w:r>
            <w:r w:rsidR="005E279A">
              <w:rPr>
                <w:szCs w:val="22"/>
              </w:rPr>
              <w:noBreakHyphen/>
            </w:r>
            <w:r>
              <w:rPr>
                <w:szCs w:val="22"/>
              </w:rPr>
              <w:t>emergent adverse event</w:t>
            </w:r>
          </w:p>
        </w:tc>
      </w:tr>
      <w:tr w:rsidR="00E04CE2"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E04CE2" w:rsidRPr="00D01DDB" w:rsidRDefault="00E04CE2" w:rsidP="00E04CE2">
            <w:pPr>
              <w:rPr>
                <w:szCs w:val="22"/>
              </w:rPr>
            </w:pPr>
            <w:r w:rsidRPr="00D01DDB">
              <w:rPr>
                <w:szCs w:val="22"/>
              </w:rPr>
              <w:t>TGA</w:t>
            </w:r>
          </w:p>
        </w:tc>
        <w:tc>
          <w:tcPr>
            <w:tcW w:w="3800" w:type="pct"/>
          </w:tcPr>
          <w:p w14:paraId="29EA6BA3" w14:textId="6F99059F" w:rsidR="00E04CE2" w:rsidRPr="00D01DDB" w:rsidRDefault="00E04CE2" w:rsidP="00E04CE2">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E04CE2" w:rsidRPr="00D01DDB" w14:paraId="5BF757E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3706BC" w14:textId="0ABAC655" w:rsidR="00E04CE2" w:rsidRPr="00D01DDB" w:rsidRDefault="00E04CE2" w:rsidP="00E04CE2">
            <w:pPr>
              <w:rPr>
                <w:szCs w:val="22"/>
              </w:rPr>
            </w:pPr>
            <w:r>
              <w:rPr>
                <w:szCs w:val="22"/>
              </w:rPr>
              <w:t>T2DM</w:t>
            </w:r>
          </w:p>
        </w:tc>
        <w:tc>
          <w:tcPr>
            <w:tcW w:w="3800" w:type="pct"/>
          </w:tcPr>
          <w:p w14:paraId="230A449F" w14:textId="1EDB37BC" w:rsidR="00E04CE2" w:rsidRPr="00D01DDB" w:rsidRDefault="00E04CE2" w:rsidP="00E04CE2">
            <w:pPr>
              <w:cnfStyle w:val="000000000000" w:firstRow="0" w:lastRow="0" w:firstColumn="0" w:lastColumn="0" w:oddVBand="0" w:evenVBand="0" w:oddHBand="0" w:evenHBand="0" w:firstRowFirstColumn="0" w:firstRowLastColumn="0" w:lastRowFirstColumn="0" w:lastRowLastColumn="0"/>
              <w:rPr>
                <w:szCs w:val="22"/>
              </w:rPr>
            </w:pPr>
            <w:r>
              <w:rPr>
                <w:szCs w:val="22"/>
              </w:rPr>
              <w:t>Type 2 diabetes mellitus</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3B125491" w:rsidR="00324B33" w:rsidRDefault="00324B33" w:rsidP="00324B33">
      <w:pPr>
        <w:pStyle w:val="Heading2"/>
      </w:pPr>
      <w:bookmarkStart w:id="5" w:name="_Toc103679288"/>
      <w:bookmarkStart w:id="6" w:name="_Toc148961933"/>
      <w:r>
        <w:lastRenderedPageBreak/>
        <w:t>Product submission</w:t>
      </w:r>
      <w:bookmarkEnd w:id="5"/>
      <w:bookmarkEnd w:id="6"/>
    </w:p>
    <w:p w14:paraId="21D559DF" w14:textId="49430B41" w:rsidR="00324B33" w:rsidRDefault="00324B33" w:rsidP="00324B33">
      <w:pPr>
        <w:pStyle w:val="Heading3"/>
        <w:rPr>
          <w:lang w:eastAsia="en-AU"/>
        </w:rPr>
      </w:pPr>
      <w:bookmarkStart w:id="7" w:name="_Toc247691502"/>
      <w:bookmarkStart w:id="8" w:name="_Toc314842483"/>
      <w:bookmarkStart w:id="9" w:name="_Toc103679289"/>
      <w:bookmarkStart w:id="10" w:name="_Toc148961934"/>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05FB1285"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63BA0D04" w:rsidR="00324B33" w:rsidRPr="00BD5DBD" w:rsidRDefault="00324B33" w:rsidP="007452E8">
            <w:pPr>
              <w:rPr>
                <w:i/>
                <w:szCs w:val="22"/>
              </w:rPr>
            </w:pPr>
            <w:r w:rsidRPr="00BD5DBD">
              <w:rPr>
                <w:i/>
                <w:szCs w:val="22"/>
              </w:rPr>
              <w:t>Product name:</w:t>
            </w:r>
          </w:p>
        </w:tc>
        <w:tc>
          <w:tcPr>
            <w:tcW w:w="3423" w:type="pct"/>
          </w:tcPr>
          <w:p w14:paraId="0E2DEF76" w14:textId="118F704B" w:rsidR="00324B33" w:rsidRPr="00BD5DBD" w:rsidRDefault="006D52DC" w:rsidP="007452E8">
            <w:pPr>
              <w:rPr>
                <w:szCs w:val="22"/>
              </w:rPr>
            </w:pPr>
            <w:r>
              <w:rPr>
                <w:szCs w:val="22"/>
              </w:rPr>
              <w:t>Mounjaro</w:t>
            </w:r>
          </w:p>
        </w:tc>
      </w:tr>
      <w:tr w:rsidR="00324B33" w:rsidRPr="00BD5DBD" w14:paraId="01255B5B" w14:textId="77777777" w:rsidTr="00F865A7">
        <w:tc>
          <w:tcPr>
            <w:tcW w:w="1577" w:type="pct"/>
          </w:tcPr>
          <w:p w14:paraId="52B4F3D7" w14:textId="2A4A6E24" w:rsidR="00324B33" w:rsidRPr="00BD5DBD" w:rsidRDefault="00324B33" w:rsidP="007452E8">
            <w:pPr>
              <w:rPr>
                <w:i/>
                <w:szCs w:val="22"/>
              </w:rPr>
            </w:pPr>
            <w:r w:rsidRPr="00BD5DBD">
              <w:rPr>
                <w:i/>
                <w:szCs w:val="22"/>
              </w:rPr>
              <w:t>Active ingredient:</w:t>
            </w:r>
          </w:p>
        </w:tc>
        <w:tc>
          <w:tcPr>
            <w:tcW w:w="3423" w:type="pct"/>
          </w:tcPr>
          <w:p w14:paraId="02FB6383" w14:textId="0076285E" w:rsidR="00324B33" w:rsidRPr="00BD5DBD" w:rsidRDefault="006D52DC" w:rsidP="007452E8">
            <w:pPr>
              <w:rPr>
                <w:szCs w:val="22"/>
              </w:rPr>
            </w:pPr>
            <w:r>
              <w:rPr>
                <w:szCs w:val="22"/>
              </w:rPr>
              <w:t>Tirzepatide</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47DE618"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4FF74E40" w:rsidR="00AE1947" w:rsidRPr="00BD5DBD" w:rsidRDefault="00AE1947" w:rsidP="006D52DC">
            <w:r w:rsidRPr="00BD5DBD">
              <w:rPr>
                <w:i/>
                <w:szCs w:val="22"/>
              </w:rPr>
              <w:t>Date of decision:</w:t>
            </w:r>
          </w:p>
        </w:tc>
        <w:tc>
          <w:tcPr>
            <w:tcW w:w="3423" w:type="pct"/>
          </w:tcPr>
          <w:p w14:paraId="7B381CD6" w14:textId="0571430F" w:rsidR="00AE1947" w:rsidRPr="00BD5DBD" w:rsidRDefault="006D52DC">
            <w:pPr>
              <w:rPr>
                <w:szCs w:val="22"/>
              </w:rPr>
            </w:pPr>
            <w:r>
              <w:rPr>
                <w:szCs w:val="22"/>
              </w:rPr>
              <w:t>22 December 2022</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74A5BE31" w:rsidR="00324B33" w:rsidRPr="00BD5DBD" w:rsidRDefault="006D52DC" w:rsidP="007452E8">
            <w:pPr>
              <w:rPr>
                <w:szCs w:val="22"/>
              </w:rPr>
            </w:pPr>
            <w:r>
              <w:rPr>
                <w:szCs w:val="22"/>
              </w:rPr>
              <w:t>23 December 2022</w:t>
            </w:r>
          </w:p>
        </w:tc>
      </w:tr>
      <w:tr w:rsidR="00324B33" w:rsidRPr="00BD5DBD" w14:paraId="547E08D7" w14:textId="77777777" w:rsidTr="00F865A7">
        <w:tc>
          <w:tcPr>
            <w:tcW w:w="1577" w:type="pct"/>
          </w:tcPr>
          <w:p w14:paraId="5030EF30" w14:textId="4A2ACE26" w:rsidR="00324B33" w:rsidRPr="00BD5DBD" w:rsidRDefault="00324B33" w:rsidP="007452E8">
            <w:pPr>
              <w:rPr>
                <w:i/>
                <w:szCs w:val="22"/>
              </w:rPr>
            </w:pPr>
            <w:r w:rsidRPr="00BD5DBD">
              <w:rPr>
                <w:i/>
                <w:szCs w:val="22"/>
              </w:rPr>
              <w:t>ARTG numbers:</w:t>
            </w:r>
          </w:p>
        </w:tc>
        <w:tc>
          <w:tcPr>
            <w:tcW w:w="3423" w:type="pct"/>
          </w:tcPr>
          <w:p w14:paraId="0054E912" w14:textId="76666E60" w:rsidR="00324B33" w:rsidRPr="00BD5DBD" w:rsidRDefault="006D52DC" w:rsidP="007452E8">
            <w:pPr>
              <w:rPr>
                <w:szCs w:val="22"/>
              </w:rPr>
            </w:pPr>
            <w:r>
              <w:rPr>
                <w:szCs w:val="22"/>
              </w:rPr>
              <w:t>379330, 379331, 379332, 379333, 379334</w:t>
            </w:r>
            <w:r w:rsidR="003476EB">
              <w:rPr>
                <w:szCs w:val="22"/>
              </w:rPr>
              <w:t xml:space="preserve"> and</w:t>
            </w:r>
            <w:r>
              <w:rPr>
                <w:szCs w:val="22"/>
              </w:rPr>
              <w:t xml:space="preserve"> 38</w:t>
            </w:r>
            <w:r w:rsidR="003476EB">
              <w:rPr>
                <w:szCs w:val="22"/>
              </w:rPr>
              <w:t>2625</w:t>
            </w:r>
          </w:p>
        </w:tc>
      </w:tr>
      <w:tr w:rsidR="00324B33" w:rsidRPr="00BD5DBD" w14:paraId="7618393F" w14:textId="77777777" w:rsidTr="00F865A7">
        <w:tc>
          <w:tcPr>
            <w:tcW w:w="1577" w:type="pct"/>
          </w:tcPr>
          <w:p w14:paraId="5A79C19B" w14:textId="2ABBB9D7" w:rsidR="008465DD" w:rsidRDefault="00324B33" w:rsidP="007452E8">
            <w:pPr>
              <w:rPr>
                <w:rFonts w:ascii="Wingdings 3" w:hAnsi="Wingdings 3"/>
                <w:szCs w:val="22"/>
                <w:lang w:eastAsia="en-AU"/>
              </w:rPr>
            </w:pPr>
            <w:r w:rsidRPr="00BD5DBD">
              <w:rPr>
                <w:rFonts w:ascii="Wingdings 3" w:hAnsi="Wingdings 3"/>
                <w:szCs w:val="22"/>
                <w:lang w:eastAsia="en-AU"/>
              </w:rPr>
              <w:t></w:t>
            </w:r>
            <w:hyperlink r:id="rId18" w:history="1">
              <w:r w:rsidR="008465DD">
                <w:rPr>
                  <w:rStyle w:val="Hyperlink"/>
                </w:rPr>
                <w:t>Black Triangle Scheme</w:t>
              </w:r>
            </w:hyperlink>
          </w:p>
          <w:p w14:paraId="02260DE2" w14:textId="005C918E" w:rsidR="00324B33" w:rsidRPr="00BD5DBD" w:rsidRDefault="00324B33" w:rsidP="007452E8">
            <w:pPr>
              <w:rPr>
                <w:i/>
                <w:szCs w:val="22"/>
              </w:rPr>
            </w:pPr>
          </w:p>
        </w:tc>
        <w:tc>
          <w:tcPr>
            <w:tcW w:w="3423" w:type="pct"/>
          </w:tcPr>
          <w:p w14:paraId="08EF3693" w14:textId="7A48933A" w:rsidR="00324B33" w:rsidRPr="00BD5DBD" w:rsidRDefault="00324B33" w:rsidP="007452E8">
            <w:pPr>
              <w:rPr>
                <w:szCs w:val="22"/>
              </w:rPr>
            </w:pPr>
            <w:r w:rsidRPr="00BD5DBD">
              <w:rPr>
                <w:szCs w:val="22"/>
              </w:rPr>
              <w:t>Yes</w:t>
            </w:r>
          </w:p>
          <w:p w14:paraId="6FF3C6A2" w14:textId="16BD97DB" w:rsidR="00324B33" w:rsidRPr="00BD5DBD" w:rsidRDefault="00324B33" w:rsidP="003476EB">
            <w:pPr>
              <w:rPr>
                <w:szCs w:val="22"/>
              </w:rPr>
            </w:pPr>
            <w:r w:rsidRPr="00BD5DBD">
              <w:rPr>
                <w:szCs w:val="22"/>
              </w:rPr>
              <w:t>This product will remain in the scheme for 5 years, starting on the date the product is first supplied in Australia</w:t>
            </w:r>
            <w:r w:rsidR="003476EB">
              <w:rPr>
                <w:szCs w:val="22"/>
              </w:rPr>
              <w:t>.</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735B7930" w14:textId="77777777" w:rsidR="006D52DC" w:rsidRPr="006D52DC" w:rsidRDefault="006D52DC" w:rsidP="006D52DC">
            <w:pPr>
              <w:rPr>
                <w:szCs w:val="22"/>
              </w:rPr>
            </w:pPr>
            <w:r w:rsidRPr="006D52DC">
              <w:rPr>
                <w:szCs w:val="22"/>
              </w:rPr>
              <w:t>Eli Lilly Australia Pty Ltd</w:t>
            </w:r>
          </w:p>
          <w:p w14:paraId="174512B6" w14:textId="77777777" w:rsidR="006D52DC" w:rsidRPr="006D52DC" w:rsidRDefault="006D52DC" w:rsidP="006D52DC">
            <w:pPr>
              <w:rPr>
                <w:szCs w:val="22"/>
              </w:rPr>
            </w:pPr>
            <w:r w:rsidRPr="006D52DC">
              <w:rPr>
                <w:szCs w:val="22"/>
              </w:rPr>
              <w:t>Level 9, 60 Margaret Street</w:t>
            </w:r>
          </w:p>
          <w:p w14:paraId="68DD94B0" w14:textId="789FA5B1" w:rsidR="00324B33" w:rsidRPr="00BD5DBD" w:rsidRDefault="006D52DC" w:rsidP="006D52DC">
            <w:pPr>
              <w:rPr>
                <w:szCs w:val="22"/>
              </w:rPr>
            </w:pPr>
            <w:r w:rsidRPr="006D52DC">
              <w:rPr>
                <w:szCs w:val="22"/>
              </w:rPr>
              <w:t>S</w:t>
            </w:r>
            <w:r w:rsidR="007A7763">
              <w:rPr>
                <w:szCs w:val="22"/>
              </w:rPr>
              <w:t>ydney</w:t>
            </w:r>
            <w:r w:rsidRPr="006D52DC">
              <w:rPr>
                <w:szCs w:val="22"/>
              </w:rPr>
              <w:t xml:space="preserve"> NSW 2000</w:t>
            </w:r>
          </w:p>
        </w:tc>
      </w:tr>
      <w:tr w:rsidR="00324B33" w:rsidRPr="00BD5DBD" w14:paraId="5322B989" w14:textId="77777777" w:rsidTr="00F865A7">
        <w:tc>
          <w:tcPr>
            <w:tcW w:w="1577" w:type="pct"/>
          </w:tcPr>
          <w:p w14:paraId="24F217E3" w14:textId="3921E5A4" w:rsidR="00324B33" w:rsidRPr="00BD5DBD" w:rsidRDefault="00324B33" w:rsidP="007452E8">
            <w:pPr>
              <w:rPr>
                <w:i/>
                <w:szCs w:val="22"/>
              </w:rPr>
            </w:pPr>
            <w:r w:rsidRPr="00BD5DBD">
              <w:rPr>
                <w:i/>
                <w:szCs w:val="22"/>
              </w:rPr>
              <w:t>Dose forms:</w:t>
            </w:r>
          </w:p>
        </w:tc>
        <w:tc>
          <w:tcPr>
            <w:tcW w:w="3423" w:type="pct"/>
          </w:tcPr>
          <w:p w14:paraId="768B254C" w14:textId="555AD6A2" w:rsidR="00324B33" w:rsidRPr="00BD5DBD" w:rsidRDefault="003476EB" w:rsidP="007452E8">
            <w:pPr>
              <w:rPr>
                <w:szCs w:val="22"/>
              </w:rPr>
            </w:pPr>
            <w:r>
              <w:rPr>
                <w:szCs w:val="22"/>
              </w:rPr>
              <w:t>Solution for injection</w:t>
            </w:r>
          </w:p>
        </w:tc>
      </w:tr>
      <w:tr w:rsidR="00324B33" w:rsidRPr="00BD5DBD" w14:paraId="115243E6" w14:textId="77777777" w:rsidTr="00F865A7">
        <w:tc>
          <w:tcPr>
            <w:tcW w:w="1577" w:type="pct"/>
          </w:tcPr>
          <w:p w14:paraId="7634B062" w14:textId="3BE7391E" w:rsidR="00324B33" w:rsidRPr="00BD5DBD" w:rsidRDefault="00324B33" w:rsidP="007452E8">
            <w:pPr>
              <w:rPr>
                <w:i/>
                <w:szCs w:val="22"/>
              </w:rPr>
            </w:pPr>
            <w:r w:rsidRPr="00BD5DBD">
              <w:rPr>
                <w:i/>
                <w:szCs w:val="22"/>
              </w:rPr>
              <w:t>Strengths:</w:t>
            </w:r>
          </w:p>
        </w:tc>
        <w:tc>
          <w:tcPr>
            <w:tcW w:w="3423" w:type="pct"/>
          </w:tcPr>
          <w:p w14:paraId="5E5F83DB" w14:textId="5628B97F" w:rsidR="00324B33" w:rsidRPr="00BD5DBD" w:rsidRDefault="003476EB" w:rsidP="007452E8">
            <w:pPr>
              <w:rPr>
                <w:szCs w:val="22"/>
              </w:rPr>
            </w:pPr>
            <w:r>
              <w:rPr>
                <w:szCs w:val="22"/>
              </w:rPr>
              <w:t>2.</w:t>
            </w:r>
            <w:r w:rsidR="009F6F50">
              <w:rPr>
                <w:szCs w:val="22"/>
              </w:rPr>
              <w:t>5 mg</w:t>
            </w:r>
            <w:r>
              <w:rPr>
                <w:szCs w:val="22"/>
              </w:rPr>
              <w:t xml:space="preserve">/0.5 mL, </w:t>
            </w:r>
            <w:r w:rsidR="009F6F50">
              <w:rPr>
                <w:szCs w:val="22"/>
              </w:rPr>
              <w:t>5 mg</w:t>
            </w:r>
            <w:r>
              <w:rPr>
                <w:szCs w:val="22"/>
              </w:rPr>
              <w:t>/0.5 mL, 7.</w:t>
            </w:r>
            <w:r w:rsidR="009F6F50">
              <w:rPr>
                <w:szCs w:val="22"/>
              </w:rPr>
              <w:t>5 mg</w:t>
            </w:r>
            <w:r>
              <w:rPr>
                <w:szCs w:val="22"/>
              </w:rPr>
              <w:t xml:space="preserve">/0.5 mL, </w:t>
            </w:r>
            <w:r w:rsidR="009F6F50">
              <w:rPr>
                <w:szCs w:val="22"/>
              </w:rPr>
              <w:t>10 mg</w:t>
            </w:r>
            <w:r>
              <w:rPr>
                <w:szCs w:val="22"/>
              </w:rPr>
              <w:t>/0.5 mL, 12.</w:t>
            </w:r>
            <w:r w:rsidR="009F6F50">
              <w:rPr>
                <w:szCs w:val="22"/>
              </w:rPr>
              <w:t>5 mg</w:t>
            </w:r>
            <w:r>
              <w:rPr>
                <w:szCs w:val="22"/>
              </w:rPr>
              <w:t>/0.5 mL, 1</w:t>
            </w:r>
            <w:r w:rsidR="009F6F50">
              <w:rPr>
                <w:szCs w:val="22"/>
              </w:rPr>
              <w:t>5 mg</w:t>
            </w:r>
            <w:r>
              <w:rPr>
                <w:szCs w:val="22"/>
              </w:rPr>
              <w:t>/0.5 mL</w:t>
            </w:r>
          </w:p>
        </w:tc>
      </w:tr>
      <w:tr w:rsidR="00324B33" w:rsidRPr="00BD5DBD" w14:paraId="34B07BA6" w14:textId="77777777" w:rsidTr="00F865A7">
        <w:tc>
          <w:tcPr>
            <w:tcW w:w="1577" w:type="pct"/>
          </w:tcPr>
          <w:p w14:paraId="1C039224" w14:textId="4FBB185D" w:rsidR="00324B33" w:rsidRPr="00BD5DBD" w:rsidRDefault="00324B33" w:rsidP="007452E8">
            <w:pPr>
              <w:rPr>
                <w:i/>
                <w:szCs w:val="22"/>
              </w:rPr>
            </w:pPr>
            <w:r w:rsidRPr="00BD5DBD">
              <w:rPr>
                <w:i/>
                <w:szCs w:val="22"/>
              </w:rPr>
              <w:t>Container:</w:t>
            </w:r>
          </w:p>
        </w:tc>
        <w:tc>
          <w:tcPr>
            <w:tcW w:w="3423" w:type="pct"/>
          </w:tcPr>
          <w:p w14:paraId="500A42C6" w14:textId="1F83C754" w:rsidR="00324B33" w:rsidRPr="00BD5DBD" w:rsidRDefault="003476EB" w:rsidP="007452E8">
            <w:pPr>
              <w:rPr>
                <w:szCs w:val="22"/>
              </w:rPr>
            </w:pPr>
            <w:r>
              <w:rPr>
                <w:szCs w:val="22"/>
              </w:rPr>
              <w:t>Syringe (pre</w:t>
            </w:r>
            <w:r w:rsidR="005E279A">
              <w:rPr>
                <w:szCs w:val="22"/>
              </w:rPr>
              <w:noBreakHyphen/>
            </w:r>
            <w:r>
              <w:rPr>
                <w:szCs w:val="22"/>
              </w:rPr>
              <w:t>filled pen</w:t>
            </w:r>
            <w:r w:rsidR="00F82615">
              <w:rPr>
                <w:szCs w:val="22"/>
              </w:rPr>
              <w:t xml:space="preserve"> autoinjector</w:t>
            </w:r>
            <w:r>
              <w:rPr>
                <w:szCs w:val="22"/>
              </w:rPr>
              <w:t>)</w:t>
            </w:r>
          </w:p>
        </w:tc>
      </w:tr>
      <w:tr w:rsidR="00324B33" w:rsidRPr="00BD5DBD" w14:paraId="176B6773" w14:textId="77777777" w:rsidTr="00F865A7">
        <w:tc>
          <w:tcPr>
            <w:tcW w:w="1577" w:type="pct"/>
          </w:tcPr>
          <w:p w14:paraId="71846159" w14:textId="0CBE297C" w:rsidR="00324B33" w:rsidRPr="00BD5DBD" w:rsidRDefault="00324B33" w:rsidP="007452E8">
            <w:pPr>
              <w:rPr>
                <w:i/>
                <w:szCs w:val="22"/>
              </w:rPr>
            </w:pPr>
            <w:r w:rsidRPr="00BD5DBD">
              <w:rPr>
                <w:i/>
                <w:szCs w:val="22"/>
              </w:rPr>
              <w:t>Pack sizes:</w:t>
            </w:r>
          </w:p>
        </w:tc>
        <w:tc>
          <w:tcPr>
            <w:tcW w:w="3423" w:type="pct"/>
          </w:tcPr>
          <w:p w14:paraId="2FEF72A7" w14:textId="1D829BD0" w:rsidR="00F82615" w:rsidRDefault="00F82615" w:rsidP="007452E8">
            <w:pPr>
              <w:rPr>
                <w:szCs w:val="22"/>
              </w:rPr>
            </w:pPr>
            <w:r w:rsidRPr="00F82615">
              <w:rPr>
                <w:szCs w:val="22"/>
              </w:rPr>
              <w:t xml:space="preserve">2 </w:t>
            </w:r>
            <w:r>
              <w:rPr>
                <w:szCs w:val="22"/>
              </w:rPr>
              <w:t>and</w:t>
            </w:r>
            <w:r w:rsidRPr="00F82615">
              <w:rPr>
                <w:szCs w:val="22"/>
              </w:rPr>
              <w:t xml:space="preserve"> 4 pre</w:t>
            </w:r>
            <w:r w:rsidR="005E279A">
              <w:rPr>
                <w:szCs w:val="22"/>
              </w:rPr>
              <w:noBreakHyphen/>
            </w:r>
            <w:r w:rsidRPr="00F82615">
              <w:rPr>
                <w:szCs w:val="22"/>
              </w:rPr>
              <w:t>filled pens</w:t>
            </w:r>
            <w:r>
              <w:rPr>
                <w:szCs w:val="22"/>
              </w:rPr>
              <w:t xml:space="preserve"> (all strengths)</w:t>
            </w:r>
          </w:p>
          <w:p w14:paraId="7E978F8F" w14:textId="36A03A2D" w:rsidR="00324B33" w:rsidRPr="00BD5DBD" w:rsidRDefault="00F82615" w:rsidP="007452E8">
            <w:pPr>
              <w:rPr>
                <w:szCs w:val="22"/>
              </w:rPr>
            </w:pPr>
            <w:r w:rsidRPr="00F82615">
              <w:rPr>
                <w:szCs w:val="22"/>
              </w:rPr>
              <w:t>2 pre</w:t>
            </w:r>
            <w:r w:rsidR="005E279A">
              <w:rPr>
                <w:szCs w:val="22"/>
              </w:rPr>
              <w:noBreakHyphen/>
            </w:r>
            <w:r w:rsidRPr="00F82615">
              <w:rPr>
                <w:szCs w:val="22"/>
              </w:rPr>
              <w:t xml:space="preserve">filled pens </w:t>
            </w:r>
            <w:r>
              <w:rPr>
                <w:szCs w:val="22"/>
              </w:rPr>
              <w:t>as starter pack (</w:t>
            </w:r>
            <w:r w:rsidRPr="00F82615">
              <w:rPr>
                <w:szCs w:val="22"/>
              </w:rPr>
              <w:t>2.</w:t>
            </w:r>
            <w:r w:rsidR="009F6F50">
              <w:rPr>
                <w:szCs w:val="22"/>
              </w:rPr>
              <w:t>5 mg</w:t>
            </w:r>
            <w:r w:rsidRPr="00F82615">
              <w:rPr>
                <w:szCs w:val="22"/>
              </w:rPr>
              <w:t>/0.5</w:t>
            </w:r>
            <w:r>
              <w:rPr>
                <w:szCs w:val="22"/>
              </w:rPr>
              <w:t> </w:t>
            </w:r>
            <w:r w:rsidRPr="00F82615">
              <w:rPr>
                <w:szCs w:val="22"/>
              </w:rPr>
              <w:t>mL</w:t>
            </w:r>
            <w:r>
              <w:rPr>
                <w:szCs w:val="22"/>
              </w:rPr>
              <w:t xml:space="preserve"> only)</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8FB8240" w14:textId="3423C1A8" w:rsidR="00F82615" w:rsidRPr="00F82615" w:rsidRDefault="00F82615" w:rsidP="00F82615">
            <w:pPr>
              <w:rPr>
                <w:i/>
                <w:iCs/>
                <w:szCs w:val="22"/>
              </w:rPr>
            </w:pPr>
            <w:r w:rsidRPr="00F82615">
              <w:rPr>
                <w:i/>
                <w:iCs/>
                <w:szCs w:val="22"/>
              </w:rPr>
              <w:t>Mounjaro is indicated for the treatment of adults with insufficiently controlled type 2 diabetes mellitus as an adjunct to diet and exercise</w:t>
            </w:r>
          </w:p>
          <w:p w14:paraId="13C0B462" w14:textId="5AC910B0" w:rsidR="00F82615" w:rsidRPr="00F82615" w:rsidRDefault="00F82615" w:rsidP="00F82615">
            <w:pPr>
              <w:rPr>
                <w:i/>
                <w:iCs/>
                <w:szCs w:val="22"/>
              </w:rPr>
            </w:pPr>
            <w:r w:rsidRPr="00F82615">
              <w:rPr>
                <w:i/>
                <w:iCs/>
                <w:szCs w:val="22"/>
              </w:rPr>
              <w:t>•as monotherapy when metformin is not tolerated or contraindicated</w:t>
            </w:r>
          </w:p>
          <w:p w14:paraId="6E143E2E" w14:textId="62D4D2FD" w:rsidR="00324B33" w:rsidRPr="00BD5DBD" w:rsidRDefault="00F82615" w:rsidP="00F82615">
            <w:pPr>
              <w:rPr>
                <w:szCs w:val="22"/>
              </w:rPr>
            </w:pPr>
            <w:r w:rsidRPr="00F82615">
              <w:rPr>
                <w:i/>
                <w:iCs/>
                <w:szCs w:val="22"/>
              </w:rPr>
              <w:t>•in addition to other medicinal products for the treatment of type 2 diabetes</w:t>
            </w:r>
          </w:p>
        </w:tc>
      </w:tr>
      <w:tr w:rsidR="00324B33" w:rsidRPr="00BD5DBD" w14:paraId="5AFDEED3" w14:textId="77777777" w:rsidTr="00F865A7">
        <w:tc>
          <w:tcPr>
            <w:tcW w:w="1577" w:type="pct"/>
          </w:tcPr>
          <w:p w14:paraId="03884BD1" w14:textId="6BC77325" w:rsidR="00324B33" w:rsidRPr="00BD5DBD" w:rsidRDefault="00324B33" w:rsidP="007452E8">
            <w:pPr>
              <w:rPr>
                <w:i/>
                <w:szCs w:val="22"/>
              </w:rPr>
            </w:pPr>
            <w:r w:rsidRPr="00BD5DBD">
              <w:rPr>
                <w:i/>
                <w:szCs w:val="22"/>
              </w:rPr>
              <w:t>Route of administration:</w:t>
            </w:r>
          </w:p>
        </w:tc>
        <w:tc>
          <w:tcPr>
            <w:tcW w:w="3423" w:type="pct"/>
          </w:tcPr>
          <w:p w14:paraId="1ED1357E" w14:textId="3720D714" w:rsidR="00324B33" w:rsidRPr="00BD5DBD" w:rsidRDefault="003476EB" w:rsidP="007452E8">
            <w:pPr>
              <w:rPr>
                <w:szCs w:val="22"/>
              </w:rPr>
            </w:pPr>
            <w:r>
              <w:rPr>
                <w:szCs w:val="22"/>
              </w:rPr>
              <w:t>Subcutaneous injection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74F22AC6" w14:textId="22B04630" w:rsidR="00F82615" w:rsidRPr="00F82615" w:rsidRDefault="00F82615" w:rsidP="00F82615">
            <w:pPr>
              <w:rPr>
                <w:szCs w:val="22"/>
              </w:rPr>
            </w:pPr>
            <w:r w:rsidRPr="00F82615">
              <w:rPr>
                <w:szCs w:val="22"/>
              </w:rPr>
              <w:t>The starting dose of tirzepatide is 2.</w:t>
            </w:r>
            <w:r w:rsidR="009F6F50">
              <w:rPr>
                <w:szCs w:val="22"/>
              </w:rPr>
              <w:t>5 mg</w:t>
            </w:r>
            <w:r w:rsidRPr="00F82615">
              <w:rPr>
                <w:szCs w:val="22"/>
              </w:rPr>
              <w:t xml:space="preserve"> once weekly.</w:t>
            </w:r>
          </w:p>
          <w:p w14:paraId="3BE9D205" w14:textId="74174016" w:rsidR="00F82615" w:rsidRPr="00F82615" w:rsidRDefault="00F82615" w:rsidP="00F82615">
            <w:pPr>
              <w:rPr>
                <w:szCs w:val="22"/>
              </w:rPr>
            </w:pPr>
            <w:r w:rsidRPr="00F82615">
              <w:rPr>
                <w:szCs w:val="22"/>
              </w:rPr>
              <w:t>After 4</w:t>
            </w:r>
            <w:r>
              <w:rPr>
                <w:szCs w:val="22"/>
              </w:rPr>
              <w:t> </w:t>
            </w:r>
            <w:r w:rsidRPr="00F82615">
              <w:rPr>
                <w:szCs w:val="22"/>
              </w:rPr>
              <w:t xml:space="preserve">weeks, increase the dose to </w:t>
            </w:r>
            <w:r w:rsidR="009F6F50">
              <w:rPr>
                <w:szCs w:val="22"/>
              </w:rPr>
              <w:t>5 mg</w:t>
            </w:r>
            <w:r w:rsidRPr="00F82615">
              <w:rPr>
                <w:szCs w:val="22"/>
              </w:rPr>
              <w:t xml:space="preserve"> once weekly.</w:t>
            </w:r>
            <w:r>
              <w:rPr>
                <w:szCs w:val="22"/>
              </w:rPr>
              <w:t xml:space="preserve"> </w:t>
            </w:r>
            <w:r w:rsidRPr="00F82615">
              <w:rPr>
                <w:szCs w:val="22"/>
              </w:rPr>
              <w:t>If needed, dose increases can be made in 2.</w:t>
            </w:r>
            <w:r w:rsidR="009F6F50">
              <w:rPr>
                <w:szCs w:val="22"/>
              </w:rPr>
              <w:t>5 mg</w:t>
            </w:r>
            <w:r w:rsidRPr="00F82615">
              <w:rPr>
                <w:szCs w:val="22"/>
              </w:rPr>
              <w:t xml:space="preserve"> increments after a minimum of 4</w:t>
            </w:r>
            <w:r>
              <w:rPr>
                <w:szCs w:val="22"/>
              </w:rPr>
              <w:t> </w:t>
            </w:r>
            <w:r w:rsidRPr="00F82615">
              <w:rPr>
                <w:szCs w:val="22"/>
              </w:rPr>
              <w:t>weeks on the current dose.</w:t>
            </w:r>
          </w:p>
          <w:p w14:paraId="142AD5A6" w14:textId="707312B4" w:rsidR="00F82615" w:rsidRPr="00F82615" w:rsidRDefault="00F82615" w:rsidP="00F82615">
            <w:pPr>
              <w:rPr>
                <w:szCs w:val="22"/>
              </w:rPr>
            </w:pPr>
            <w:r w:rsidRPr="00F82615">
              <w:rPr>
                <w:szCs w:val="22"/>
              </w:rPr>
              <w:t xml:space="preserve">The recommended doses are </w:t>
            </w:r>
            <w:r w:rsidR="009F6F50">
              <w:rPr>
                <w:szCs w:val="22"/>
              </w:rPr>
              <w:t>5 mg</w:t>
            </w:r>
            <w:r w:rsidRPr="00F82615">
              <w:rPr>
                <w:szCs w:val="22"/>
              </w:rPr>
              <w:t xml:space="preserve">, </w:t>
            </w:r>
            <w:r w:rsidR="009F6F50">
              <w:rPr>
                <w:szCs w:val="22"/>
              </w:rPr>
              <w:t>10 mg</w:t>
            </w:r>
            <w:r w:rsidRPr="00F82615">
              <w:rPr>
                <w:szCs w:val="22"/>
              </w:rPr>
              <w:t xml:space="preserve"> and 1</w:t>
            </w:r>
            <w:r w:rsidR="009F6F50">
              <w:rPr>
                <w:szCs w:val="22"/>
              </w:rPr>
              <w:t>5 mg</w:t>
            </w:r>
            <w:r w:rsidRPr="00F82615">
              <w:rPr>
                <w:szCs w:val="22"/>
              </w:rPr>
              <w:t>.</w:t>
            </w:r>
          </w:p>
          <w:p w14:paraId="6A7CFA39" w14:textId="705CD1C2" w:rsidR="00F82615" w:rsidRPr="00F82615" w:rsidRDefault="00F82615" w:rsidP="00F82615">
            <w:pPr>
              <w:rPr>
                <w:szCs w:val="22"/>
              </w:rPr>
            </w:pPr>
            <w:r w:rsidRPr="00F82615">
              <w:rPr>
                <w:szCs w:val="22"/>
              </w:rPr>
              <w:t>The maximum dose of tirzepatide is 1</w:t>
            </w:r>
            <w:r w:rsidR="009F6F50">
              <w:rPr>
                <w:szCs w:val="22"/>
              </w:rPr>
              <w:t>5 mg</w:t>
            </w:r>
            <w:r w:rsidRPr="00F82615">
              <w:rPr>
                <w:szCs w:val="22"/>
              </w:rPr>
              <w:t xml:space="preserve"> once weekly.</w:t>
            </w:r>
          </w:p>
          <w:p w14:paraId="0A7370DB" w14:textId="3BE4B25B" w:rsidR="00F82615" w:rsidRPr="00F82615" w:rsidRDefault="00F82615" w:rsidP="00F82615">
            <w:pPr>
              <w:rPr>
                <w:szCs w:val="22"/>
              </w:rPr>
            </w:pPr>
            <w:r w:rsidRPr="00F82615">
              <w:rPr>
                <w:szCs w:val="22"/>
              </w:rPr>
              <w:t>Self</w:t>
            </w:r>
            <w:r w:rsidR="005E279A">
              <w:rPr>
                <w:szCs w:val="22"/>
              </w:rPr>
              <w:noBreakHyphen/>
            </w:r>
            <w:r w:rsidRPr="00F82615">
              <w:rPr>
                <w:szCs w:val="22"/>
              </w:rPr>
              <w:t>monitoring of blood glucose is not needed in order to adjust the dose of tirzepatide.</w:t>
            </w:r>
          </w:p>
          <w:p w14:paraId="3D0B2D5C" w14:textId="77777777" w:rsidR="00324B33" w:rsidRPr="00BD5DBD" w:rsidRDefault="00324B33" w:rsidP="007452E8">
            <w:pPr>
              <w:rPr>
                <w:szCs w:val="22"/>
              </w:rPr>
            </w:pPr>
            <w:r w:rsidRPr="00BD5DBD">
              <w:rPr>
                <w:szCs w:val="22"/>
              </w:rPr>
              <w:lastRenderedPageBreak/>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06253896" w14:textId="77777777" w:rsidR="00F82615" w:rsidRDefault="00F82615" w:rsidP="007452E8">
            <w:pPr>
              <w:rPr>
                <w:szCs w:val="22"/>
              </w:rPr>
            </w:pPr>
            <w:r>
              <w:rPr>
                <w:szCs w:val="22"/>
              </w:rPr>
              <w:t>D</w:t>
            </w:r>
          </w:p>
          <w:p w14:paraId="46889DA2" w14:textId="2951B864" w:rsidR="00F82615" w:rsidRDefault="00F82615" w:rsidP="00F82615">
            <w:pPr>
              <w:rPr>
                <w:szCs w:val="22"/>
              </w:rPr>
            </w:pPr>
            <w:r w:rsidRPr="00F82615">
              <w:rPr>
                <w:szCs w:val="22"/>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48D45BC6" w:rsidR="00324B33" w:rsidRPr="00BD5DBD" w:rsidRDefault="00324B33" w:rsidP="00F82615">
            <w:pPr>
              <w:rPr>
                <w:szCs w:val="22"/>
              </w:rPr>
            </w:pPr>
            <w:r w:rsidRPr="00BD5DBD">
              <w:rPr>
                <w:szCs w:val="22"/>
              </w:rPr>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w:t>
            </w:r>
            <w:r w:rsidR="00F82615">
              <w:rPr>
                <w:szCs w:val="22"/>
              </w:rPr>
              <w:t>s</w:t>
            </w:r>
            <w:r w:rsidRPr="00BD5DBD">
              <w:rPr>
                <w:szCs w:val="22"/>
              </w:rPr>
              <w:t xml:space="preserve">tate or </w:t>
            </w:r>
            <w:r w:rsidR="00F82615">
              <w:rPr>
                <w:szCs w:val="22"/>
              </w:rPr>
              <w:t>t</w:t>
            </w:r>
            <w:r w:rsidRPr="00BD5DBD">
              <w:rPr>
                <w:szCs w:val="22"/>
              </w:rPr>
              <w:t>erritory.</w:t>
            </w:r>
          </w:p>
        </w:tc>
      </w:tr>
    </w:tbl>
    <w:p w14:paraId="51F2479F" w14:textId="2C138884" w:rsidR="00324B33" w:rsidRDefault="00324B33" w:rsidP="00324B33">
      <w:pPr>
        <w:pStyle w:val="Heading3"/>
      </w:pPr>
      <w:bookmarkStart w:id="11" w:name="_Toc247691503"/>
      <w:bookmarkStart w:id="12" w:name="_Toc314842484"/>
      <w:bookmarkStart w:id="13" w:name="_Toc103679290"/>
      <w:bookmarkStart w:id="14" w:name="_Toc148961935"/>
      <w:r>
        <w:t>Product background</w:t>
      </w:r>
      <w:bookmarkEnd w:id="11"/>
      <w:bookmarkEnd w:id="12"/>
      <w:bookmarkEnd w:id="13"/>
      <w:bookmarkEnd w:id="14"/>
    </w:p>
    <w:p w14:paraId="56B27CF2" w14:textId="4F9B1703" w:rsidR="00324B33" w:rsidRPr="00BD5DBD" w:rsidRDefault="00324B33" w:rsidP="00324B33">
      <w:pPr>
        <w:rPr>
          <w:szCs w:val="22"/>
        </w:rPr>
      </w:pPr>
      <w:r w:rsidRPr="00BD5DBD">
        <w:rPr>
          <w:szCs w:val="22"/>
        </w:rPr>
        <w:t xml:space="preserve">This AusPAR describes the submission by </w:t>
      </w:r>
      <w:r w:rsidR="00F82615">
        <w:rPr>
          <w:szCs w:val="22"/>
        </w:rPr>
        <w:t>Eli Lilly Australia Pty Ltd</w:t>
      </w:r>
      <w:r w:rsidRPr="00BD5DBD">
        <w:rPr>
          <w:szCs w:val="22"/>
        </w:rPr>
        <w:t xml:space="preserve"> (the sponsor) to register </w:t>
      </w:r>
      <w:r w:rsidR="00E51592">
        <w:rPr>
          <w:szCs w:val="22"/>
        </w:rPr>
        <w:t>Mounjaro</w:t>
      </w:r>
      <w:r w:rsidRPr="00BD5DBD">
        <w:rPr>
          <w:szCs w:val="22"/>
        </w:rPr>
        <w:t xml:space="preserve"> (</w:t>
      </w:r>
      <w:r w:rsidR="00E51592">
        <w:rPr>
          <w:szCs w:val="22"/>
        </w:rPr>
        <w:t>tirzepatide</w:t>
      </w:r>
      <w:r w:rsidRPr="00BD5DBD">
        <w:rPr>
          <w:szCs w:val="22"/>
        </w:rPr>
        <w:t xml:space="preserve">) </w:t>
      </w:r>
      <w:r w:rsidR="00E51592">
        <w:rPr>
          <w:szCs w:val="22"/>
        </w:rPr>
        <w:t xml:space="preserve">in 6 </w:t>
      </w:r>
      <w:r w:rsidRPr="00BD5DBD">
        <w:rPr>
          <w:szCs w:val="22"/>
        </w:rPr>
        <w:t>strength</w:t>
      </w:r>
      <w:r w:rsidR="00E51592">
        <w:rPr>
          <w:szCs w:val="22"/>
        </w:rPr>
        <w:t>s (2.</w:t>
      </w:r>
      <w:r w:rsidR="009F6F50">
        <w:rPr>
          <w:szCs w:val="22"/>
        </w:rPr>
        <w:t>5 mg</w:t>
      </w:r>
      <w:r w:rsidR="00E51592">
        <w:rPr>
          <w:szCs w:val="22"/>
        </w:rPr>
        <w:t xml:space="preserve">/0.5 mL, </w:t>
      </w:r>
      <w:r w:rsidR="009F6F50">
        <w:rPr>
          <w:szCs w:val="22"/>
        </w:rPr>
        <w:t>5 mg</w:t>
      </w:r>
      <w:r w:rsidR="00E51592">
        <w:rPr>
          <w:szCs w:val="22"/>
        </w:rPr>
        <w:t>/0.5 mL, 7.</w:t>
      </w:r>
      <w:r w:rsidR="009F6F50">
        <w:rPr>
          <w:szCs w:val="22"/>
        </w:rPr>
        <w:t>5 mg</w:t>
      </w:r>
      <w:r w:rsidR="00E51592">
        <w:rPr>
          <w:szCs w:val="22"/>
        </w:rPr>
        <w:t xml:space="preserve">/0.5 mL, </w:t>
      </w:r>
      <w:r w:rsidR="009F6F50">
        <w:rPr>
          <w:szCs w:val="22"/>
        </w:rPr>
        <w:t>10 mg</w:t>
      </w:r>
      <w:r w:rsidR="00E51592">
        <w:rPr>
          <w:szCs w:val="22"/>
        </w:rPr>
        <w:t>/0.5 mL, 12.</w:t>
      </w:r>
      <w:r w:rsidR="009F6F50">
        <w:rPr>
          <w:szCs w:val="22"/>
        </w:rPr>
        <w:t>5 mg</w:t>
      </w:r>
      <w:r w:rsidR="00E51592">
        <w:rPr>
          <w:szCs w:val="22"/>
        </w:rPr>
        <w:t>/0.5 mL, 1</w:t>
      </w:r>
      <w:r w:rsidR="009F6F50">
        <w:rPr>
          <w:szCs w:val="22"/>
        </w:rPr>
        <w:t>5 mg</w:t>
      </w:r>
      <w:r w:rsidR="00E51592">
        <w:rPr>
          <w:szCs w:val="22"/>
        </w:rPr>
        <w:t>/0.5 mL)</w:t>
      </w:r>
      <w:r w:rsidRPr="00BD5DBD">
        <w:rPr>
          <w:szCs w:val="22"/>
        </w:rPr>
        <w:t xml:space="preserve"> </w:t>
      </w:r>
      <w:r w:rsidR="00E51592">
        <w:rPr>
          <w:szCs w:val="22"/>
        </w:rPr>
        <w:t>of solution for injection in pre</w:t>
      </w:r>
      <w:r w:rsidR="005E279A">
        <w:rPr>
          <w:szCs w:val="22"/>
        </w:rPr>
        <w:noBreakHyphen/>
      </w:r>
      <w:r w:rsidR="00E51592">
        <w:rPr>
          <w:szCs w:val="22"/>
        </w:rPr>
        <w:t>filled pens</w:t>
      </w:r>
      <w:r w:rsidRPr="00BD5DBD">
        <w:rPr>
          <w:szCs w:val="22"/>
        </w:rPr>
        <w:t xml:space="preserve"> for the following proposed indication:</w:t>
      </w:r>
      <w:r w:rsidR="00D63760" w:rsidRPr="00BD5DBD">
        <w:rPr>
          <w:rStyle w:val="FootnoteReference"/>
          <w:szCs w:val="22"/>
        </w:rPr>
        <w:footnoteReference w:id="2"/>
      </w:r>
    </w:p>
    <w:p w14:paraId="4015A65D" w14:textId="066ABF4D" w:rsidR="00E178D2" w:rsidRPr="00E178D2" w:rsidRDefault="00E178D2" w:rsidP="00E178D2">
      <w:pPr>
        <w:ind w:left="360"/>
        <w:rPr>
          <w:i/>
          <w:iCs/>
        </w:rPr>
      </w:pPr>
      <w:r w:rsidRPr="00E178D2">
        <w:rPr>
          <w:i/>
          <w:iCs/>
        </w:rPr>
        <w:t>Mounjaro is indicated for the treatment of adults with type 2 diabetes mellitus as an adjunct to diet and exercise</w:t>
      </w:r>
    </w:p>
    <w:p w14:paraId="199C14A1" w14:textId="7AE2679F" w:rsidR="00E178D2" w:rsidRPr="00E178D2" w:rsidRDefault="00E178D2" w:rsidP="00E178D2">
      <w:pPr>
        <w:pStyle w:val="ListBullet"/>
        <w:ind w:left="720"/>
        <w:rPr>
          <w:i/>
          <w:iCs/>
        </w:rPr>
      </w:pPr>
      <w:r w:rsidRPr="00E178D2">
        <w:rPr>
          <w:i/>
          <w:iCs/>
        </w:rPr>
        <w:t>as monotherapy when metformin is not tolerated or contraindicated</w:t>
      </w:r>
    </w:p>
    <w:p w14:paraId="5B3B0798" w14:textId="2D283768" w:rsidR="00E178D2" w:rsidRPr="00E178D2" w:rsidRDefault="00E178D2" w:rsidP="00E178D2">
      <w:pPr>
        <w:pStyle w:val="ListBullet"/>
        <w:ind w:left="720"/>
        <w:rPr>
          <w:i/>
          <w:iCs/>
        </w:rPr>
      </w:pPr>
      <w:r w:rsidRPr="00E178D2">
        <w:rPr>
          <w:i/>
          <w:iCs/>
        </w:rPr>
        <w:t>in addition to other medicinal products for the treatment of type 2 diabetes.</w:t>
      </w:r>
    </w:p>
    <w:p w14:paraId="07F56F44" w14:textId="0BCEB2A6" w:rsidR="00E178D2" w:rsidRDefault="00E178D2" w:rsidP="00E178D2">
      <w:r w:rsidRPr="00AB5ABC">
        <w:t>Type 2 diabetes mellitus (T2DM) is a metabolic disorder characterised by insulin resistance and</w:t>
      </w:r>
      <w:r>
        <w:t xml:space="preserve"> relative insulin deficiency leading to hyperglycaemia. Type 2 diabetes mellitus comprises the majority of people with diabetes and is largely the result of excess body weight and physical inactivity. The course of T2DM is marked by deteriorating beta</w:t>
      </w:r>
      <w:r w:rsidR="005E279A">
        <w:noBreakHyphen/>
      </w:r>
      <w:r>
        <w:t>cell function and increasing insulin resistance.</w:t>
      </w:r>
    </w:p>
    <w:p w14:paraId="19658E19" w14:textId="77777777" w:rsidR="00E178D2" w:rsidRDefault="00E178D2" w:rsidP="00E178D2">
      <w:r>
        <w:t>The primary goal of treatment is to maximise the control of blood sugar concentrations, whilst minimising the risk of hypoglycaemia. Secondary goals are to manage cardiovascular risk factors and microvascular complications of diabetes.</w:t>
      </w:r>
    </w:p>
    <w:p w14:paraId="588CC82C" w14:textId="62B5E451" w:rsidR="00E178D2" w:rsidRDefault="00E178D2" w:rsidP="00E178D2">
      <w:r>
        <w:t xml:space="preserve">Treatments for T2DM include: lifestyle modification (including dietary advice with regard to weight loss and increased physical activity); metformin (as monotherapy or in combination); </w:t>
      </w:r>
      <w:r w:rsidRPr="00CD4A3B">
        <w:t xml:space="preserve">dipeptidyl peptidase 4 </w:t>
      </w:r>
      <w:r w:rsidR="007C64C2" w:rsidRPr="00CD4A3B">
        <w:t>(DPP</w:t>
      </w:r>
      <w:r w:rsidR="005E279A">
        <w:noBreakHyphen/>
      </w:r>
      <w:r w:rsidR="007C64C2" w:rsidRPr="00CD4A3B">
        <w:t xml:space="preserve">4) </w:t>
      </w:r>
      <w:r w:rsidRPr="00CD4A3B">
        <w:t xml:space="preserve">inhibitors; sulfonylureas; </w:t>
      </w:r>
      <w:r w:rsidR="007C64C2" w:rsidRPr="00CD4A3B">
        <w:t>sodium</w:t>
      </w:r>
      <w:r w:rsidR="005E279A">
        <w:noBreakHyphen/>
      </w:r>
      <w:r w:rsidR="007C64C2" w:rsidRPr="00CD4A3B">
        <w:t>glucose co</w:t>
      </w:r>
      <w:r w:rsidR="005E279A">
        <w:noBreakHyphen/>
      </w:r>
      <w:r w:rsidR="007C64C2" w:rsidRPr="00CD4A3B">
        <w:t>transporter 2</w:t>
      </w:r>
      <w:r w:rsidR="007C64C2" w:rsidRPr="007C64C2">
        <w:t xml:space="preserve"> (SGLT2)</w:t>
      </w:r>
      <w:r>
        <w:t xml:space="preserve"> inhibitors; </w:t>
      </w:r>
      <w:r w:rsidR="00313247" w:rsidRPr="00CB5088">
        <w:t>glucagon</w:t>
      </w:r>
      <w:r w:rsidR="005E279A">
        <w:noBreakHyphen/>
      </w:r>
      <w:r w:rsidR="00313247" w:rsidRPr="00CB5088">
        <w:t>like peptide</w:t>
      </w:r>
      <w:r w:rsidR="005E279A">
        <w:noBreakHyphen/>
      </w:r>
      <w:r w:rsidR="00313247" w:rsidRPr="00CB5088">
        <w:t>1 (</w:t>
      </w:r>
      <w:r>
        <w:t>GLP</w:t>
      </w:r>
      <w:r w:rsidR="005E279A">
        <w:noBreakHyphen/>
      </w:r>
      <w:r>
        <w:t>1</w:t>
      </w:r>
      <w:r w:rsidR="00313247">
        <w:t>)</w:t>
      </w:r>
      <w:r>
        <w:t xml:space="preserve"> </w:t>
      </w:r>
      <w:r w:rsidR="00313247">
        <w:t>receptor agonists</w:t>
      </w:r>
      <w:r>
        <w:t xml:space="preserve">; </w:t>
      </w:r>
      <w:r w:rsidR="00DB7036">
        <w:t>t</w:t>
      </w:r>
      <w:r>
        <w:t xml:space="preserve">hiazolidinediones; </w:t>
      </w:r>
      <w:r w:rsidR="00DB7036">
        <w:t>a</w:t>
      </w:r>
      <w:r>
        <w:t xml:space="preserve">carbose; </w:t>
      </w:r>
      <w:r w:rsidR="00DB7036">
        <w:t>i</w:t>
      </w:r>
      <w:r>
        <w:t>nsulin therapy.</w:t>
      </w:r>
    </w:p>
    <w:p w14:paraId="500E130F" w14:textId="627E8A9B" w:rsidR="00CB5088" w:rsidRDefault="00CB5088" w:rsidP="00CB5088">
      <w:r w:rsidRPr="00CB5088">
        <w:lastRenderedPageBreak/>
        <w:t xml:space="preserve">Tirzepatide </w:t>
      </w:r>
      <w:r>
        <w:t xml:space="preserve">has </w:t>
      </w:r>
      <w:r w:rsidRPr="00CB5088">
        <w:t>agonist activity at both the glucose</w:t>
      </w:r>
      <w:r w:rsidR="005E279A">
        <w:noBreakHyphen/>
      </w:r>
      <w:r w:rsidRPr="00CB5088">
        <w:t>dependent insulinotropic polypeptide (GIP) receptor and the GLP</w:t>
      </w:r>
      <w:r w:rsidR="005E279A">
        <w:noBreakHyphen/>
      </w:r>
      <w:r w:rsidRPr="00CB5088">
        <w:t>1 receptor.</w:t>
      </w:r>
      <w:r w:rsidR="005D4744">
        <w:t xml:space="preserve"> </w:t>
      </w:r>
      <w:r w:rsidRPr="00CB5088">
        <w:t>There is no GIP</w:t>
      </w:r>
      <w:r w:rsidR="00313247">
        <w:t xml:space="preserve"> </w:t>
      </w:r>
      <w:r w:rsidRPr="00CB5088">
        <w:t>receptor agonist approved in Australia. Registered GLP</w:t>
      </w:r>
      <w:r w:rsidR="005E279A">
        <w:noBreakHyphen/>
      </w:r>
      <w:r w:rsidRPr="00CB5088">
        <w:t>1 receptor agonists include liraglutide</w:t>
      </w:r>
      <w:r w:rsidR="00FB12EB">
        <w:t>,</w:t>
      </w:r>
      <w:r w:rsidR="00A96F1A">
        <w:rPr>
          <w:rStyle w:val="FootnoteReference"/>
        </w:rPr>
        <w:footnoteReference w:id="3"/>
      </w:r>
      <w:r w:rsidR="00FB12EB">
        <w:t xml:space="preserve"> </w:t>
      </w:r>
      <w:r w:rsidRPr="00CB5088">
        <w:t>dulaglutide</w:t>
      </w:r>
      <w:r w:rsidR="00CD4A3B">
        <w:t>,</w:t>
      </w:r>
      <w:r w:rsidR="006408A4">
        <w:rPr>
          <w:rStyle w:val="FootnoteReference"/>
        </w:rPr>
        <w:footnoteReference w:id="4"/>
      </w:r>
      <w:r w:rsidR="00CD4A3B">
        <w:t xml:space="preserve"> and </w:t>
      </w:r>
      <w:r w:rsidR="00CD4A3B" w:rsidRPr="00CB5088">
        <w:t>semaglutide</w:t>
      </w:r>
      <w:r w:rsidR="00CD4A3B">
        <w:t>.</w:t>
      </w:r>
      <w:r w:rsidR="00CD4A3B">
        <w:rPr>
          <w:rStyle w:val="FootnoteReference"/>
        </w:rPr>
        <w:footnoteReference w:id="5"/>
      </w:r>
    </w:p>
    <w:p w14:paraId="6763315C" w14:textId="62476185" w:rsidR="00324B33" w:rsidRPr="0013132F" w:rsidRDefault="00324B33" w:rsidP="0013132F">
      <w:pPr>
        <w:rPr>
          <w:szCs w:val="22"/>
        </w:rPr>
      </w:pPr>
      <w:bookmarkStart w:id="15" w:name="_Toc314842485"/>
      <w:bookmarkStart w:id="16" w:name="_Toc247691504"/>
      <w:r w:rsidRPr="00BD5DBD">
        <w:rPr>
          <w:szCs w:val="22"/>
        </w:rPr>
        <w:t xml:space="preserve">This submission was evaluated as part of the </w:t>
      </w:r>
      <w:hyperlink r:id="rId19" w:history="1">
        <w:r w:rsidR="00A34D19">
          <w:rPr>
            <w:rStyle w:val="Hyperlink"/>
          </w:rPr>
          <w:t>Australia</w:t>
        </w:r>
        <w:r w:rsidR="005E279A">
          <w:rPr>
            <w:rStyle w:val="Hyperlink"/>
          </w:rPr>
          <w:noBreakHyphen/>
        </w:r>
        <w:r w:rsidR="00A34D19">
          <w:rPr>
            <w:rStyle w:val="Hyperlink"/>
          </w:rPr>
          <w:t>Canada</w:t>
        </w:r>
        <w:r w:rsidR="005E279A">
          <w:rPr>
            <w:rStyle w:val="Hyperlink"/>
          </w:rPr>
          <w:noBreakHyphen/>
        </w:r>
        <w:r w:rsidR="00A34D19">
          <w:rPr>
            <w:rStyle w:val="Hyperlink"/>
          </w:rPr>
          <w:t>Singapore</w:t>
        </w:r>
        <w:r w:rsidR="005E279A">
          <w:rPr>
            <w:rStyle w:val="Hyperlink"/>
          </w:rPr>
          <w:noBreakHyphen/>
        </w:r>
        <w:r w:rsidR="00A34D19">
          <w:rPr>
            <w:rStyle w:val="Hyperlink"/>
          </w:rPr>
          <w:t>Switzerland</w:t>
        </w:r>
        <w:r w:rsidR="005E279A">
          <w:rPr>
            <w:rStyle w:val="Hyperlink"/>
          </w:rPr>
          <w:noBreakHyphen/>
        </w:r>
        <w:r w:rsidR="00A34D19">
          <w:rPr>
            <w:rStyle w:val="Hyperlink"/>
          </w:rPr>
          <w:t>United Kingdom (Access) Consortium</w:t>
        </w:r>
      </w:hyperlink>
      <w:r w:rsidRPr="00BD5DBD">
        <w:rPr>
          <w:szCs w:val="22"/>
        </w:rPr>
        <w:t xml:space="preserve"> with work</w:t>
      </w:r>
      <w:r w:rsidR="005E279A">
        <w:rPr>
          <w:szCs w:val="22"/>
        </w:rPr>
        <w:noBreakHyphen/>
      </w:r>
      <w:r w:rsidRPr="00BD5DBD">
        <w:rPr>
          <w:szCs w:val="22"/>
        </w:rPr>
        <w:t xml:space="preserve">sharing between the TGA, </w:t>
      </w:r>
      <w:r w:rsidRPr="00F82615">
        <w:rPr>
          <w:szCs w:val="22"/>
        </w:rPr>
        <w:t>Health Canada, Health Sciences Authority Singapore</w:t>
      </w:r>
      <w:r w:rsidR="00F82615" w:rsidRPr="00F82615">
        <w:rPr>
          <w:szCs w:val="22"/>
        </w:rPr>
        <w:t xml:space="preserve"> and </w:t>
      </w:r>
      <w:r w:rsidRPr="00F82615">
        <w:rPr>
          <w:szCs w:val="22"/>
        </w:rPr>
        <w:t>Swissmedic.</w:t>
      </w:r>
      <w:r w:rsidRPr="00BD5DBD">
        <w:rPr>
          <w:szCs w:val="22"/>
        </w:rPr>
        <w:t xml:space="preserve"> Each regulator made independent decisions regarding approval</w:t>
      </w:r>
      <w:r w:rsidR="0013132F">
        <w:rPr>
          <w:szCs w:val="22"/>
        </w:rPr>
        <w:t xml:space="preserve"> </w:t>
      </w:r>
      <w:r w:rsidRPr="00F82615">
        <w:rPr>
          <w:szCs w:val="22"/>
        </w:rPr>
        <w:t>(market authorisation) of the new medicine</w:t>
      </w:r>
      <w:r w:rsidR="00F82615" w:rsidRPr="00F82615">
        <w:rPr>
          <w:szCs w:val="22"/>
        </w:rPr>
        <w:t>.</w:t>
      </w:r>
    </w:p>
    <w:p w14:paraId="0D615854" w14:textId="445CE97A" w:rsidR="00324B33" w:rsidRPr="003F31A2" w:rsidRDefault="00324B33" w:rsidP="00324B33">
      <w:pPr>
        <w:pStyle w:val="Heading3"/>
      </w:pPr>
      <w:bookmarkStart w:id="17" w:name="_Toc103679291"/>
      <w:bookmarkStart w:id="18" w:name="_Toc148961936"/>
      <w:r>
        <w:t>Regulatory status</w:t>
      </w:r>
      <w:bookmarkEnd w:id="15"/>
      <w:bookmarkEnd w:id="16"/>
      <w:bookmarkEnd w:id="17"/>
      <w:bookmarkEnd w:id="18"/>
    </w:p>
    <w:p w14:paraId="6A8633FA" w14:textId="0722350B" w:rsidR="00324B33" w:rsidRPr="00BD5DBD"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715B7D2A" w14:textId="0EE28287" w:rsidR="00324B33" w:rsidRPr="00BD5DBD" w:rsidRDefault="00324B33" w:rsidP="00324B33">
      <w:pPr>
        <w:rPr>
          <w:szCs w:val="22"/>
        </w:rPr>
      </w:pPr>
      <w:r w:rsidRPr="00BD5DBD">
        <w:rPr>
          <w:szCs w:val="22"/>
        </w:rPr>
        <w:t xml:space="preserve">At the time the TGA considered this submission, a similar submission had been approved in </w:t>
      </w:r>
      <w:r w:rsidR="006222EE">
        <w:rPr>
          <w:szCs w:val="22"/>
        </w:rPr>
        <w:t xml:space="preserve">the United States of America </w:t>
      </w:r>
      <w:r w:rsidRPr="00BD5DBD">
        <w:rPr>
          <w:szCs w:val="22"/>
        </w:rPr>
        <w:t xml:space="preserve">on </w:t>
      </w:r>
      <w:r w:rsidR="006222EE">
        <w:rPr>
          <w:szCs w:val="22"/>
        </w:rPr>
        <w:t xml:space="preserve">13 May 2022, </w:t>
      </w:r>
      <w:r w:rsidR="00E178D2">
        <w:rPr>
          <w:szCs w:val="22"/>
        </w:rPr>
        <w:t>the European Union on 15 September 2022</w:t>
      </w:r>
      <w:r w:rsidR="000612C3">
        <w:rPr>
          <w:szCs w:val="22"/>
        </w:rPr>
        <w:t>,</w:t>
      </w:r>
      <w:r w:rsidR="00E178D2">
        <w:rPr>
          <w:szCs w:val="22"/>
        </w:rPr>
        <w:t xml:space="preserve"> Switzerland on 2 November 2022</w:t>
      </w:r>
      <w:r w:rsidR="000612C3">
        <w:rPr>
          <w:szCs w:val="22"/>
        </w:rPr>
        <w:t>, and Canada on 24 November 2022</w:t>
      </w:r>
      <w:r w:rsidR="00E178D2">
        <w:rPr>
          <w:szCs w:val="22"/>
        </w:rPr>
        <w:t xml:space="preserve">. </w:t>
      </w:r>
      <w:r w:rsidR="000612C3">
        <w:rPr>
          <w:szCs w:val="22"/>
        </w:rPr>
        <w:t>A s</w:t>
      </w:r>
      <w:r w:rsidRPr="00BD5DBD">
        <w:rPr>
          <w:szCs w:val="22"/>
        </w:rPr>
        <w:t>imilar submission w</w:t>
      </w:r>
      <w:r w:rsidR="000612C3">
        <w:rPr>
          <w:szCs w:val="22"/>
        </w:rPr>
        <w:t>as</w:t>
      </w:r>
      <w:r w:rsidRPr="00BD5DBD">
        <w:rPr>
          <w:szCs w:val="22"/>
        </w:rPr>
        <w:t xml:space="preserve"> under consideration in</w:t>
      </w:r>
      <w:r w:rsidR="00D864ED" w:rsidRPr="00DC0FD8">
        <w:rPr>
          <w:szCs w:val="22"/>
        </w:rPr>
        <w:t xml:space="preserve"> </w:t>
      </w:r>
      <w:r w:rsidR="00D864ED" w:rsidRPr="000612C3">
        <w:rPr>
          <w:szCs w:val="22"/>
        </w:rPr>
        <w:t>Singapore</w:t>
      </w:r>
      <w:r w:rsidR="00002DEA" w:rsidRPr="000612C3">
        <w:rPr>
          <w:szCs w:val="22"/>
        </w:rPr>
        <w:t xml:space="preserve"> (submitted on </w:t>
      </w:r>
      <w:r w:rsidR="00DC0FD8" w:rsidRPr="000612C3">
        <w:rPr>
          <w:szCs w:val="22"/>
        </w:rPr>
        <w:t>29 November 2021</w:t>
      </w:r>
      <w:r w:rsidR="00002DEA" w:rsidRPr="00036F81">
        <w:rPr>
          <w:szCs w:val="22"/>
        </w:rPr>
        <w:t>)</w:t>
      </w:r>
      <w:r w:rsidR="00002DEA" w:rsidRPr="00DC0FD8">
        <w:rPr>
          <w:szCs w:val="22"/>
        </w:rPr>
        <w:t>.</w:t>
      </w:r>
    </w:p>
    <w:p w14:paraId="1B9AB90D" w14:textId="3E8AA98C" w:rsidR="00324B33" w:rsidRPr="00BD5DBD" w:rsidRDefault="00324B33" w:rsidP="00324B33">
      <w:pPr>
        <w:rPr>
          <w:szCs w:val="22"/>
        </w:rPr>
      </w:pPr>
      <w:r w:rsidRPr="00BD5DBD">
        <w:rPr>
          <w:szCs w:val="22"/>
        </w:rPr>
        <w:t>The following table summarises these submissions and provides the indications where approved.</w:t>
      </w:r>
    </w:p>
    <w:p w14:paraId="19B9E0AC" w14:textId="16FE69C7" w:rsidR="00324B33" w:rsidRDefault="00324B33" w:rsidP="00324B33">
      <w:pPr>
        <w:pStyle w:val="TableTitle"/>
      </w:pPr>
      <w:bookmarkStart w:id="19" w:name="_Ref99705479"/>
      <w:r>
        <w:t xml:space="preserve">Table </w:t>
      </w:r>
      <w:r w:rsidR="002B0E47">
        <w:fldChar w:fldCharType="begin"/>
      </w:r>
      <w:r w:rsidR="002B0E47">
        <w:instrText xml:space="preserve"> SEQ Table \* ARABIC </w:instrText>
      </w:r>
      <w:r w:rsidR="002B0E47">
        <w:fldChar w:fldCharType="separate"/>
      </w:r>
      <w:r w:rsidR="008465DD">
        <w:rPr>
          <w:noProof/>
        </w:rPr>
        <w:t>1</w:t>
      </w:r>
      <w:r w:rsidR="002B0E47">
        <w:rPr>
          <w:noProof/>
        </w:rPr>
        <w:fldChar w:fldCharType="end"/>
      </w:r>
      <w:bookmarkEnd w:id="19"/>
      <w:r>
        <w:t>: International regulatory status</w:t>
      </w:r>
    </w:p>
    <w:tbl>
      <w:tblPr>
        <w:tblStyle w:val="TableTGAblue2023"/>
        <w:tblW w:w="5000" w:type="pct"/>
        <w:tblLook w:val="04A0" w:firstRow="1" w:lastRow="0" w:firstColumn="1" w:lastColumn="0" w:noHBand="0" w:noVBand="1"/>
      </w:tblPr>
      <w:tblGrid>
        <w:gridCol w:w="1554"/>
        <w:gridCol w:w="1843"/>
        <w:gridCol w:w="1843"/>
        <w:gridCol w:w="3820"/>
      </w:tblGrid>
      <w:tr w:rsidR="00324B33" w:rsidRPr="00D01DDB" w14:paraId="405E5D78" w14:textId="16839333" w:rsidTr="00286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185B099B" w14:textId="7A4C0E6C" w:rsidR="00324B33" w:rsidRPr="00D01DDB" w:rsidRDefault="00324B33" w:rsidP="00324B33">
            <w:pPr>
              <w:rPr>
                <w:szCs w:val="22"/>
              </w:rPr>
            </w:pPr>
            <w:r w:rsidRPr="00D01DDB">
              <w:rPr>
                <w:szCs w:val="22"/>
              </w:rPr>
              <w:t>Region</w:t>
            </w:r>
          </w:p>
        </w:tc>
        <w:tc>
          <w:tcPr>
            <w:tcW w:w="1017"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017"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108"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2867BF">
        <w:tc>
          <w:tcPr>
            <w:cnfStyle w:val="001000000000" w:firstRow="0" w:lastRow="0" w:firstColumn="1" w:lastColumn="0" w:oddVBand="0" w:evenVBand="0" w:oddHBand="0" w:evenHBand="0" w:firstRowFirstColumn="0" w:firstRowLastColumn="0" w:lastRowFirstColumn="0" w:lastRowLastColumn="0"/>
            <w:tcW w:w="858" w:type="pct"/>
          </w:tcPr>
          <w:p w14:paraId="4C540DE5" w14:textId="0AB14647" w:rsidR="00324B33" w:rsidRPr="00D01DDB" w:rsidRDefault="006222EE" w:rsidP="00324B33">
            <w:pPr>
              <w:rPr>
                <w:szCs w:val="22"/>
              </w:rPr>
            </w:pPr>
            <w:r>
              <w:rPr>
                <w:szCs w:val="22"/>
              </w:rPr>
              <w:t>United States of America</w:t>
            </w:r>
          </w:p>
        </w:tc>
        <w:tc>
          <w:tcPr>
            <w:tcW w:w="1017" w:type="pct"/>
          </w:tcPr>
          <w:p w14:paraId="4FA5DDA9" w14:textId="6891B76F" w:rsidR="00324B33" w:rsidRPr="00D01DDB" w:rsidRDefault="009B4B4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w:t>
            </w:r>
            <w:r w:rsidR="006E2E7E">
              <w:rPr>
                <w:szCs w:val="22"/>
              </w:rPr>
              <w:t> September 2021</w:t>
            </w:r>
          </w:p>
        </w:tc>
        <w:tc>
          <w:tcPr>
            <w:tcW w:w="1017" w:type="pct"/>
          </w:tcPr>
          <w:p w14:paraId="29358393" w14:textId="4AEB08D6"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6222EE">
              <w:rPr>
                <w:szCs w:val="22"/>
              </w:rPr>
              <w:t>13 May 2022</w:t>
            </w:r>
          </w:p>
        </w:tc>
        <w:tc>
          <w:tcPr>
            <w:tcW w:w="2108" w:type="pct"/>
          </w:tcPr>
          <w:p w14:paraId="1FA481B6" w14:textId="69EE8951" w:rsidR="006222EE" w:rsidRPr="009B4B43" w:rsidRDefault="006222EE" w:rsidP="006222EE">
            <w:pPr>
              <w:cnfStyle w:val="000000000000" w:firstRow="0" w:lastRow="0" w:firstColumn="0" w:lastColumn="0" w:oddVBand="0" w:evenVBand="0" w:oddHBand="0" w:evenHBand="0" w:firstRowFirstColumn="0" w:firstRowLastColumn="0" w:lastRowFirstColumn="0" w:lastRowLastColumn="0"/>
              <w:rPr>
                <w:i/>
                <w:iCs/>
                <w:szCs w:val="22"/>
              </w:rPr>
            </w:pPr>
            <w:r w:rsidRPr="009B4B43">
              <w:rPr>
                <w:i/>
                <w:iCs/>
                <w:szCs w:val="22"/>
              </w:rPr>
              <w:t>Mounjaro is indicated as an adjunct to diet and exercise to improve glycemic control in adults with type 2 diabetes mellitus.</w:t>
            </w:r>
          </w:p>
          <w:p w14:paraId="0510F4CB" w14:textId="77777777" w:rsidR="006222EE" w:rsidRPr="009B4B43" w:rsidRDefault="006222EE" w:rsidP="006222EE">
            <w:pPr>
              <w:cnfStyle w:val="000000000000" w:firstRow="0" w:lastRow="0" w:firstColumn="0" w:lastColumn="0" w:oddVBand="0" w:evenVBand="0" w:oddHBand="0" w:evenHBand="0" w:firstRowFirstColumn="0" w:firstRowLastColumn="0" w:lastRowFirstColumn="0" w:lastRowLastColumn="0"/>
              <w:rPr>
                <w:i/>
                <w:iCs/>
                <w:szCs w:val="22"/>
              </w:rPr>
            </w:pPr>
            <w:r w:rsidRPr="009B4B43">
              <w:rPr>
                <w:i/>
                <w:iCs/>
                <w:szCs w:val="22"/>
              </w:rPr>
              <w:t>Limitations of Use</w:t>
            </w:r>
          </w:p>
          <w:p w14:paraId="47926E49" w14:textId="60058914" w:rsidR="006222EE" w:rsidRPr="009B4B43" w:rsidRDefault="006222EE" w:rsidP="006222EE">
            <w:pPr>
              <w:pStyle w:val="ListBullet"/>
              <w:cnfStyle w:val="000000000000" w:firstRow="0" w:lastRow="0" w:firstColumn="0" w:lastColumn="0" w:oddVBand="0" w:evenVBand="0" w:oddHBand="0" w:evenHBand="0" w:firstRowFirstColumn="0" w:firstRowLastColumn="0" w:lastRowFirstColumn="0" w:lastRowLastColumn="0"/>
              <w:rPr>
                <w:i/>
                <w:iCs/>
              </w:rPr>
            </w:pPr>
            <w:r w:rsidRPr="009B4B43">
              <w:rPr>
                <w:i/>
                <w:iCs/>
              </w:rPr>
              <w:t>Mounjaro has not been studied in patients with a history of pancreatitis [see Warnings and Precautions (5.2)].</w:t>
            </w:r>
          </w:p>
          <w:p w14:paraId="05055674" w14:textId="7EDEDCF0" w:rsidR="00324B33" w:rsidRPr="00D01DDB" w:rsidRDefault="006222EE" w:rsidP="006222EE">
            <w:pPr>
              <w:pStyle w:val="ListBullet"/>
              <w:cnfStyle w:val="000000000000" w:firstRow="0" w:lastRow="0" w:firstColumn="0" w:lastColumn="0" w:oddVBand="0" w:evenVBand="0" w:oddHBand="0" w:evenHBand="0" w:firstRowFirstColumn="0" w:firstRowLastColumn="0" w:lastRowFirstColumn="0" w:lastRowLastColumn="0"/>
            </w:pPr>
            <w:r w:rsidRPr="009B4B43">
              <w:rPr>
                <w:i/>
                <w:iCs/>
              </w:rPr>
              <w:t>Mounjaro is not indicated for use in patients with type 1 diabetes mellitus.</w:t>
            </w:r>
          </w:p>
        </w:tc>
      </w:tr>
      <w:tr w:rsidR="006222EE" w:rsidRPr="00D01DDB" w14:paraId="046D1373" w14:textId="77777777" w:rsidTr="002867BF">
        <w:tc>
          <w:tcPr>
            <w:cnfStyle w:val="001000000000" w:firstRow="0" w:lastRow="0" w:firstColumn="1" w:lastColumn="0" w:oddVBand="0" w:evenVBand="0" w:oddHBand="0" w:evenHBand="0" w:firstRowFirstColumn="0" w:firstRowLastColumn="0" w:lastRowFirstColumn="0" w:lastRowLastColumn="0"/>
            <w:tcW w:w="858" w:type="pct"/>
          </w:tcPr>
          <w:p w14:paraId="639E3904" w14:textId="7137F38C" w:rsidR="006222EE" w:rsidRPr="00D01DDB" w:rsidRDefault="00E178D2" w:rsidP="00324B33">
            <w:pPr>
              <w:rPr>
                <w:szCs w:val="22"/>
              </w:rPr>
            </w:pPr>
            <w:r>
              <w:rPr>
                <w:szCs w:val="22"/>
              </w:rPr>
              <w:lastRenderedPageBreak/>
              <w:t>European Union</w:t>
            </w:r>
          </w:p>
        </w:tc>
        <w:tc>
          <w:tcPr>
            <w:tcW w:w="1017" w:type="pct"/>
          </w:tcPr>
          <w:p w14:paraId="47FE4836" w14:textId="5579A22A" w:rsidR="006222EE" w:rsidRPr="00D01DDB" w:rsidRDefault="006E2E7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October 2021</w:t>
            </w:r>
          </w:p>
        </w:tc>
        <w:tc>
          <w:tcPr>
            <w:tcW w:w="1017" w:type="pct"/>
          </w:tcPr>
          <w:p w14:paraId="01251FD4" w14:textId="3C04A98C" w:rsidR="006222EE" w:rsidRPr="00D01DDB" w:rsidRDefault="00E178D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15 September 2022</w:t>
            </w:r>
          </w:p>
        </w:tc>
        <w:tc>
          <w:tcPr>
            <w:tcW w:w="2108" w:type="pct"/>
          </w:tcPr>
          <w:p w14:paraId="6469CAD7" w14:textId="6C4F09BE" w:rsidR="006222EE" w:rsidRPr="009B4B43" w:rsidRDefault="006222EE" w:rsidP="006222EE">
            <w:pPr>
              <w:cnfStyle w:val="000000000000" w:firstRow="0" w:lastRow="0" w:firstColumn="0" w:lastColumn="0" w:oddVBand="0" w:evenVBand="0" w:oddHBand="0" w:evenHBand="0" w:firstRowFirstColumn="0" w:firstRowLastColumn="0" w:lastRowFirstColumn="0" w:lastRowLastColumn="0"/>
              <w:rPr>
                <w:i/>
                <w:iCs/>
                <w:szCs w:val="22"/>
              </w:rPr>
            </w:pPr>
            <w:r w:rsidRPr="009B4B43">
              <w:rPr>
                <w:i/>
                <w:iCs/>
                <w:szCs w:val="22"/>
              </w:rPr>
              <w:t>Mounjaro is indicated for the treatment of adults with insufficiently controlled type 2 diabetes mellitus as an adjunct to diet and exercise</w:t>
            </w:r>
          </w:p>
          <w:p w14:paraId="3F1046CC" w14:textId="75258D2A" w:rsidR="006222EE" w:rsidRPr="009B4B43" w:rsidRDefault="006222EE" w:rsidP="006222EE">
            <w:pPr>
              <w:pStyle w:val="ListBullet"/>
              <w:cnfStyle w:val="000000000000" w:firstRow="0" w:lastRow="0" w:firstColumn="0" w:lastColumn="0" w:oddVBand="0" w:evenVBand="0" w:oddHBand="0" w:evenHBand="0" w:firstRowFirstColumn="0" w:firstRowLastColumn="0" w:lastRowFirstColumn="0" w:lastRowLastColumn="0"/>
              <w:rPr>
                <w:i/>
                <w:iCs/>
              </w:rPr>
            </w:pPr>
            <w:r w:rsidRPr="009B4B43">
              <w:rPr>
                <w:i/>
                <w:iCs/>
              </w:rPr>
              <w:t>as monotherapy when metformin is considered inappropriate due to intolerance or contraindications</w:t>
            </w:r>
          </w:p>
          <w:p w14:paraId="2F001D6C" w14:textId="24490030" w:rsidR="006222EE" w:rsidRPr="009B4B43" w:rsidRDefault="006222EE" w:rsidP="006222EE">
            <w:pPr>
              <w:pStyle w:val="ListBullet"/>
              <w:cnfStyle w:val="000000000000" w:firstRow="0" w:lastRow="0" w:firstColumn="0" w:lastColumn="0" w:oddVBand="0" w:evenVBand="0" w:oddHBand="0" w:evenHBand="0" w:firstRowFirstColumn="0" w:firstRowLastColumn="0" w:lastRowFirstColumn="0" w:lastRowLastColumn="0"/>
              <w:rPr>
                <w:i/>
                <w:iCs/>
              </w:rPr>
            </w:pPr>
            <w:r w:rsidRPr="009B4B43">
              <w:rPr>
                <w:i/>
                <w:iCs/>
              </w:rPr>
              <w:t>in addition to other medicinal products for the treatment of diabetes.</w:t>
            </w:r>
          </w:p>
          <w:p w14:paraId="0842C430" w14:textId="582EB814" w:rsidR="006222EE" w:rsidRPr="009B4B43" w:rsidRDefault="006222EE" w:rsidP="006222EE">
            <w:pPr>
              <w:cnfStyle w:val="000000000000" w:firstRow="0" w:lastRow="0" w:firstColumn="0" w:lastColumn="0" w:oddVBand="0" w:evenVBand="0" w:oddHBand="0" w:evenHBand="0" w:firstRowFirstColumn="0" w:firstRowLastColumn="0" w:lastRowFirstColumn="0" w:lastRowLastColumn="0"/>
              <w:rPr>
                <w:i/>
                <w:iCs/>
                <w:szCs w:val="22"/>
              </w:rPr>
            </w:pPr>
            <w:r w:rsidRPr="009B4B43">
              <w:rPr>
                <w:i/>
                <w:iCs/>
                <w:szCs w:val="22"/>
              </w:rPr>
              <w:t>For study results with respect to combinations, effects on glycaemic control and the populations studied, see sections 4.4, 4.5 and 5.1.</w:t>
            </w:r>
          </w:p>
        </w:tc>
      </w:tr>
      <w:tr w:rsidR="006222EE" w:rsidRPr="00D01DDB" w14:paraId="24D12A87" w14:textId="77777777" w:rsidTr="002867BF">
        <w:tc>
          <w:tcPr>
            <w:cnfStyle w:val="001000000000" w:firstRow="0" w:lastRow="0" w:firstColumn="1" w:lastColumn="0" w:oddVBand="0" w:evenVBand="0" w:oddHBand="0" w:evenHBand="0" w:firstRowFirstColumn="0" w:firstRowLastColumn="0" w:lastRowFirstColumn="0" w:lastRowLastColumn="0"/>
            <w:tcW w:w="858" w:type="pct"/>
          </w:tcPr>
          <w:p w14:paraId="0AD8B7AB" w14:textId="0CCEC60B" w:rsidR="006222EE" w:rsidRPr="00D01DDB" w:rsidRDefault="006222EE" w:rsidP="00324B33">
            <w:pPr>
              <w:rPr>
                <w:szCs w:val="22"/>
              </w:rPr>
            </w:pPr>
            <w:r>
              <w:rPr>
                <w:szCs w:val="22"/>
              </w:rPr>
              <w:t>Switzerland</w:t>
            </w:r>
          </w:p>
        </w:tc>
        <w:tc>
          <w:tcPr>
            <w:tcW w:w="1017" w:type="pct"/>
          </w:tcPr>
          <w:p w14:paraId="370AC202" w14:textId="3A774408" w:rsidR="006222EE" w:rsidRPr="00D01DDB" w:rsidRDefault="00B6776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November 2021</w:t>
            </w:r>
          </w:p>
        </w:tc>
        <w:tc>
          <w:tcPr>
            <w:tcW w:w="1017" w:type="pct"/>
          </w:tcPr>
          <w:p w14:paraId="32C1AAFB" w14:textId="5038D91A" w:rsidR="006222EE" w:rsidRPr="00D01DDB" w:rsidRDefault="006222E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 November 2022</w:t>
            </w:r>
          </w:p>
        </w:tc>
        <w:tc>
          <w:tcPr>
            <w:tcW w:w="2108" w:type="pct"/>
          </w:tcPr>
          <w:p w14:paraId="6D1B3F59" w14:textId="5A9D8454" w:rsidR="006222EE" w:rsidRPr="009B4B43" w:rsidRDefault="006222EE" w:rsidP="006222EE">
            <w:pPr>
              <w:cnfStyle w:val="000000000000" w:firstRow="0" w:lastRow="0" w:firstColumn="0" w:lastColumn="0" w:oddVBand="0" w:evenVBand="0" w:oddHBand="0" w:evenHBand="0" w:firstRowFirstColumn="0" w:firstRowLastColumn="0" w:lastRowFirstColumn="0" w:lastRowLastColumn="0"/>
              <w:rPr>
                <w:i/>
                <w:iCs/>
                <w:szCs w:val="22"/>
              </w:rPr>
            </w:pPr>
            <w:r w:rsidRPr="009B4B43">
              <w:rPr>
                <w:i/>
                <w:iCs/>
                <w:szCs w:val="22"/>
              </w:rPr>
              <w:t>Mounjaro is indicated for the treatment of adults with insufficiently controlled type 2 diabetes mellitus as an adjunct to diet and exercise</w:t>
            </w:r>
          </w:p>
          <w:p w14:paraId="2255F170" w14:textId="7422BF0F" w:rsidR="006222EE" w:rsidRPr="009B4B43" w:rsidRDefault="006222EE" w:rsidP="006222EE">
            <w:pPr>
              <w:pStyle w:val="ListBullet"/>
              <w:cnfStyle w:val="000000000000" w:firstRow="0" w:lastRow="0" w:firstColumn="0" w:lastColumn="0" w:oddVBand="0" w:evenVBand="0" w:oddHBand="0" w:evenHBand="0" w:firstRowFirstColumn="0" w:firstRowLastColumn="0" w:lastRowFirstColumn="0" w:lastRowLastColumn="0"/>
              <w:rPr>
                <w:i/>
                <w:iCs/>
              </w:rPr>
            </w:pPr>
            <w:r w:rsidRPr="009B4B43">
              <w:rPr>
                <w:i/>
                <w:iCs/>
              </w:rPr>
              <w:t>as monotherapy when metformin is contraindicated or not tolerated;</w:t>
            </w:r>
          </w:p>
          <w:p w14:paraId="0D98366C" w14:textId="077A9344" w:rsidR="006222EE" w:rsidRPr="009B4B43" w:rsidRDefault="006222EE" w:rsidP="006222EE">
            <w:pPr>
              <w:pStyle w:val="ListBullet"/>
              <w:cnfStyle w:val="000000000000" w:firstRow="0" w:lastRow="0" w:firstColumn="0" w:lastColumn="0" w:oddVBand="0" w:evenVBand="0" w:oddHBand="0" w:evenHBand="0" w:firstRowFirstColumn="0" w:firstRowLastColumn="0" w:lastRowFirstColumn="0" w:lastRowLastColumn="0"/>
              <w:rPr>
                <w:i/>
                <w:iCs/>
              </w:rPr>
            </w:pPr>
            <w:r w:rsidRPr="009B4B43">
              <w:rPr>
                <w:i/>
                <w:iCs/>
              </w:rPr>
              <w:t>in combination with other drugs that lower blood glucose.</w:t>
            </w:r>
          </w:p>
          <w:p w14:paraId="4AC93A5F" w14:textId="612182A5" w:rsidR="006222EE" w:rsidRPr="009B4B43" w:rsidRDefault="006222EE" w:rsidP="006222EE">
            <w:pPr>
              <w:cnfStyle w:val="000000000000" w:firstRow="0" w:lastRow="0" w:firstColumn="0" w:lastColumn="0" w:oddVBand="0" w:evenVBand="0" w:oddHBand="0" w:evenHBand="0" w:firstRowFirstColumn="0" w:firstRowLastColumn="0" w:lastRowFirstColumn="0" w:lastRowLastColumn="0"/>
              <w:rPr>
                <w:i/>
                <w:iCs/>
                <w:szCs w:val="22"/>
              </w:rPr>
            </w:pPr>
            <w:r w:rsidRPr="009B4B43">
              <w:rPr>
                <w:i/>
                <w:iCs/>
                <w:szCs w:val="22"/>
              </w:rPr>
              <w:t>See “Clinical efficacy” section for results on the combinations examined in clinical studies.</w:t>
            </w:r>
          </w:p>
        </w:tc>
      </w:tr>
      <w:tr w:rsidR="006222EE" w:rsidRPr="00D01DDB" w14:paraId="7178A268" w14:textId="77777777" w:rsidTr="002867BF">
        <w:tc>
          <w:tcPr>
            <w:cnfStyle w:val="001000000000" w:firstRow="0" w:lastRow="0" w:firstColumn="1" w:lastColumn="0" w:oddVBand="0" w:evenVBand="0" w:oddHBand="0" w:evenHBand="0" w:firstRowFirstColumn="0" w:firstRowLastColumn="0" w:lastRowFirstColumn="0" w:lastRowLastColumn="0"/>
            <w:tcW w:w="858" w:type="pct"/>
          </w:tcPr>
          <w:p w14:paraId="0761FC9E" w14:textId="05AB543E" w:rsidR="006222EE" w:rsidRPr="00D01DDB" w:rsidRDefault="006222EE" w:rsidP="00324B33">
            <w:pPr>
              <w:rPr>
                <w:szCs w:val="22"/>
              </w:rPr>
            </w:pPr>
            <w:r>
              <w:rPr>
                <w:szCs w:val="22"/>
              </w:rPr>
              <w:lastRenderedPageBreak/>
              <w:t>Canada</w:t>
            </w:r>
          </w:p>
        </w:tc>
        <w:tc>
          <w:tcPr>
            <w:tcW w:w="1017" w:type="pct"/>
          </w:tcPr>
          <w:p w14:paraId="5524DD83" w14:textId="32C8A2BE" w:rsidR="006222EE" w:rsidRPr="00D01DDB" w:rsidRDefault="006E2E7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November 2021</w:t>
            </w:r>
          </w:p>
        </w:tc>
        <w:tc>
          <w:tcPr>
            <w:tcW w:w="1017" w:type="pct"/>
          </w:tcPr>
          <w:p w14:paraId="0252D990" w14:textId="1D96C758" w:rsidR="006222EE" w:rsidRPr="00D01DDB" w:rsidRDefault="00DC0FD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24 November 2022</w:t>
            </w:r>
          </w:p>
        </w:tc>
        <w:tc>
          <w:tcPr>
            <w:tcW w:w="2108" w:type="pct"/>
          </w:tcPr>
          <w:p w14:paraId="0434AFE0" w14:textId="677522FA" w:rsidR="00DC0FD8" w:rsidRPr="000612C3" w:rsidRDefault="00DC0FD8" w:rsidP="000612C3">
            <w:pPr>
              <w:cnfStyle w:val="000000000000" w:firstRow="0" w:lastRow="0" w:firstColumn="0" w:lastColumn="0" w:oddVBand="0" w:evenVBand="0" w:oddHBand="0" w:evenHBand="0" w:firstRowFirstColumn="0" w:firstRowLastColumn="0" w:lastRowFirstColumn="0" w:lastRowLastColumn="0"/>
              <w:rPr>
                <w:i/>
                <w:iCs/>
                <w:szCs w:val="22"/>
              </w:rPr>
            </w:pPr>
            <w:r w:rsidRPr="007903A6">
              <w:rPr>
                <w:i/>
                <w:iCs/>
                <w:szCs w:val="22"/>
              </w:rPr>
              <w:t>Mounjaro (tirzepatide injection) is indicated for once</w:t>
            </w:r>
            <w:r w:rsidR="005E279A">
              <w:rPr>
                <w:i/>
                <w:iCs/>
                <w:szCs w:val="22"/>
              </w:rPr>
              <w:noBreakHyphen/>
            </w:r>
            <w:r w:rsidRPr="007903A6">
              <w:rPr>
                <w:i/>
                <w:iCs/>
                <w:szCs w:val="22"/>
              </w:rPr>
              <w:t>weekly administration as an adjunct to diet and exercise to improve glycemic control for the treatment of adult patients with type 2 diabetes mellitus.</w:t>
            </w:r>
          </w:p>
          <w:p w14:paraId="744BC9C3" w14:textId="158960FD" w:rsidR="00DC0FD8" w:rsidRPr="00036F81" w:rsidRDefault="00DC0FD8" w:rsidP="000612C3">
            <w:pPr>
              <w:pStyle w:val="pf1"/>
              <w:numPr>
                <w:ilvl w:val="0"/>
                <w:numId w:val="20"/>
              </w:numPr>
              <w:ind w:left="360" w:hanging="284"/>
              <w:cnfStyle w:val="000000000000" w:firstRow="0" w:lastRow="0" w:firstColumn="0" w:lastColumn="0" w:oddVBand="0" w:evenVBand="0" w:oddHBand="0" w:evenHBand="0" w:firstRowFirstColumn="0" w:firstRowLastColumn="0" w:lastRowFirstColumn="0" w:lastRowLastColumn="0"/>
              <w:rPr>
                <w:rFonts w:ascii="Cambria" w:eastAsia="Cambria" w:hAnsi="Cambria"/>
                <w:i/>
                <w:iCs/>
                <w:sz w:val="22"/>
                <w:szCs w:val="22"/>
              </w:rPr>
            </w:pPr>
            <w:r w:rsidRPr="00036F81">
              <w:rPr>
                <w:rFonts w:ascii="Cambria" w:eastAsia="Cambria" w:hAnsi="Cambria"/>
                <w:i/>
                <w:iCs/>
                <w:sz w:val="22"/>
                <w:szCs w:val="22"/>
              </w:rPr>
              <w:t xml:space="preserve">As monotherapy when metformin is inappropriate due to </w:t>
            </w:r>
            <w:r w:rsidR="000612C3" w:rsidRPr="00036F81">
              <w:rPr>
                <w:rFonts w:ascii="Cambria" w:eastAsia="Cambria" w:hAnsi="Cambria"/>
                <w:i/>
                <w:iCs/>
                <w:sz w:val="22"/>
                <w:szCs w:val="22"/>
              </w:rPr>
              <w:t>c</w:t>
            </w:r>
            <w:r w:rsidRPr="00036F81">
              <w:rPr>
                <w:rFonts w:ascii="Cambria" w:eastAsia="Cambria" w:hAnsi="Cambria"/>
                <w:i/>
                <w:iCs/>
                <w:sz w:val="22"/>
                <w:szCs w:val="22"/>
              </w:rPr>
              <w:t>ontraindication or intolerance.</w:t>
            </w:r>
          </w:p>
          <w:p w14:paraId="3C15FA8E" w14:textId="77777777" w:rsidR="000612C3" w:rsidRPr="00036F81" w:rsidRDefault="00DC0FD8" w:rsidP="000612C3">
            <w:pPr>
              <w:pStyle w:val="pf1"/>
              <w:numPr>
                <w:ilvl w:val="0"/>
                <w:numId w:val="20"/>
              </w:numPr>
              <w:ind w:left="360" w:hanging="284"/>
              <w:cnfStyle w:val="000000000000" w:firstRow="0" w:lastRow="0" w:firstColumn="0" w:lastColumn="0" w:oddVBand="0" w:evenVBand="0" w:oddHBand="0" w:evenHBand="0" w:firstRowFirstColumn="0" w:firstRowLastColumn="0" w:lastRowFirstColumn="0" w:lastRowLastColumn="0"/>
              <w:rPr>
                <w:rFonts w:ascii="Cambria" w:eastAsia="Cambria" w:hAnsi="Cambria"/>
                <w:i/>
                <w:iCs/>
                <w:sz w:val="22"/>
                <w:szCs w:val="22"/>
              </w:rPr>
            </w:pPr>
            <w:r w:rsidRPr="00036F81">
              <w:rPr>
                <w:rFonts w:ascii="Cambria" w:eastAsia="Cambria" w:hAnsi="Cambria"/>
                <w:i/>
                <w:iCs/>
                <w:sz w:val="22"/>
                <w:szCs w:val="22"/>
              </w:rPr>
              <w:t>In combination with:</w:t>
            </w:r>
          </w:p>
          <w:p w14:paraId="75AD35BD" w14:textId="704C5997" w:rsidR="00DC0FD8" w:rsidRPr="00036F81" w:rsidRDefault="00DC0FD8" w:rsidP="000612C3">
            <w:pPr>
              <w:pStyle w:val="pf1"/>
              <w:numPr>
                <w:ilvl w:val="1"/>
                <w:numId w:val="20"/>
              </w:numPr>
              <w:ind w:left="643" w:hanging="283"/>
              <w:cnfStyle w:val="000000000000" w:firstRow="0" w:lastRow="0" w:firstColumn="0" w:lastColumn="0" w:oddVBand="0" w:evenVBand="0" w:oddHBand="0" w:evenHBand="0" w:firstRowFirstColumn="0" w:firstRowLastColumn="0" w:lastRowFirstColumn="0" w:lastRowLastColumn="0"/>
              <w:rPr>
                <w:rFonts w:ascii="Cambria" w:eastAsia="Cambria" w:hAnsi="Cambria"/>
                <w:i/>
                <w:iCs/>
                <w:sz w:val="22"/>
                <w:szCs w:val="22"/>
              </w:rPr>
            </w:pPr>
            <w:r w:rsidRPr="00036F81">
              <w:rPr>
                <w:rFonts w:ascii="Cambria" w:eastAsia="Cambria" w:hAnsi="Cambria"/>
                <w:i/>
                <w:iCs/>
                <w:sz w:val="22"/>
                <w:szCs w:val="22"/>
              </w:rPr>
              <w:t>metformin, or</w:t>
            </w:r>
          </w:p>
          <w:p w14:paraId="10F39C7C" w14:textId="31AA39EB" w:rsidR="00DC0FD8" w:rsidRPr="00036F81" w:rsidRDefault="00DC0FD8" w:rsidP="000612C3">
            <w:pPr>
              <w:pStyle w:val="pf1"/>
              <w:numPr>
                <w:ilvl w:val="1"/>
                <w:numId w:val="20"/>
              </w:numPr>
              <w:ind w:left="643" w:hanging="283"/>
              <w:cnfStyle w:val="000000000000" w:firstRow="0" w:lastRow="0" w:firstColumn="0" w:lastColumn="0" w:oddVBand="0" w:evenVBand="0" w:oddHBand="0" w:evenHBand="0" w:firstRowFirstColumn="0" w:firstRowLastColumn="0" w:lastRowFirstColumn="0" w:lastRowLastColumn="0"/>
              <w:rPr>
                <w:rFonts w:ascii="Cambria" w:eastAsia="Cambria" w:hAnsi="Cambria"/>
                <w:i/>
                <w:iCs/>
                <w:sz w:val="22"/>
                <w:szCs w:val="22"/>
              </w:rPr>
            </w:pPr>
            <w:r w:rsidRPr="00036F81">
              <w:rPr>
                <w:rFonts w:ascii="Cambria" w:eastAsia="Cambria" w:hAnsi="Cambria"/>
                <w:i/>
                <w:iCs/>
                <w:sz w:val="22"/>
                <w:szCs w:val="22"/>
              </w:rPr>
              <w:t>metformin and a sulfonylurea (see 4.1 Dosing Considerations and 7 WARNINGS AND PRECAUTIONS), or</w:t>
            </w:r>
          </w:p>
          <w:p w14:paraId="6CC6E83B" w14:textId="13CBBC1F" w:rsidR="00DC0FD8" w:rsidRPr="00036F81" w:rsidRDefault="00DC0FD8" w:rsidP="000612C3">
            <w:pPr>
              <w:pStyle w:val="pf1"/>
              <w:numPr>
                <w:ilvl w:val="1"/>
                <w:numId w:val="20"/>
              </w:numPr>
              <w:ind w:left="643" w:hanging="283"/>
              <w:cnfStyle w:val="000000000000" w:firstRow="0" w:lastRow="0" w:firstColumn="0" w:lastColumn="0" w:oddVBand="0" w:evenVBand="0" w:oddHBand="0" w:evenHBand="0" w:firstRowFirstColumn="0" w:firstRowLastColumn="0" w:lastRowFirstColumn="0" w:lastRowLastColumn="0"/>
              <w:rPr>
                <w:rFonts w:ascii="Cambria" w:eastAsia="Cambria" w:hAnsi="Cambria"/>
                <w:i/>
                <w:iCs/>
                <w:sz w:val="22"/>
                <w:szCs w:val="22"/>
              </w:rPr>
            </w:pPr>
            <w:r w:rsidRPr="00036F81">
              <w:rPr>
                <w:rFonts w:ascii="Cambria" w:eastAsia="Cambria" w:hAnsi="Cambria"/>
                <w:i/>
                <w:iCs/>
                <w:sz w:val="22"/>
                <w:szCs w:val="22"/>
              </w:rPr>
              <w:t>metformin and a sodium</w:t>
            </w:r>
            <w:r w:rsidR="005E279A">
              <w:rPr>
                <w:rFonts w:ascii="Cambria" w:eastAsia="Cambria" w:hAnsi="Cambria"/>
                <w:i/>
                <w:iCs/>
                <w:sz w:val="22"/>
                <w:szCs w:val="22"/>
              </w:rPr>
              <w:noBreakHyphen/>
            </w:r>
            <w:r w:rsidRPr="00036F81">
              <w:rPr>
                <w:rFonts w:ascii="Cambria" w:eastAsia="Cambria" w:hAnsi="Cambria"/>
                <w:i/>
                <w:iCs/>
                <w:sz w:val="22"/>
                <w:szCs w:val="22"/>
              </w:rPr>
              <w:t>glucose cotransporter 2 inhibitor (SGLT2i), or</w:t>
            </w:r>
          </w:p>
          <w:p w14:paraId="25C81F90" w14:textId="3E6A6249" w:rsidR="00DC0FD8" w:rsidRPr="00036F81" w:rsidRDefault="00DC0FD8" w:rsidP="000612C3">
            <w:pPr>
              <w:pStyle w:val="pf1"/>
              <w:numPr>
                <w:ilvl w:val="1"/>
                <w:numId w:val="20"/>
              </w:numPr>
              <w:ind w:left="643" w:hanging="283"/>
              <w:cnfStyle w:val="000000000000" w:firstRow="0" w:lastRow="0" w:firstColumn="0" w:lastColumn="0" w:oddVBand="0" w:evenVBand="0" w:oddHBand="0" w:evenHBand="0" w:firstRowFirstColumn="0" w:firstRowLastColumn="0" w:lastRowFirstColumn="0" w:lastRowLastColumn="0"/>
              <w:rPr>
                <w:rFonts w:ascii="Cambria" w:eastAsia="Cambria" w:hAnsi="Cambria"/>
                <w:i/>
                <w:iCs/>
                <w:sz w:val="22"/>
                <w:szCs w:val="22"/>
              </w:rPr>
            </w:pPr>
            <w:r w:rsidRPr="00036F81">
              <w:rPr>
                <w:rFonts w:ascii="Cambria" w:eastAsia="Cambria" w:hAnsi="Cambria"/>
                <w:i/>
                <w:iCs/>
                <w:sz w:val="22"/>
                <w:szCs w:val="22"/>
              </w:rPr>
              <w:t>basal insulin with or without metformin (see 4.1 Dosing Considerations and 7 WARNINGS AND PRECAUTIONS).</w:t>
            </w:r>
          </w:p>
          <w:p w14:paraId="096FA22B" w14:textId="77777777" w:rsidR="00DC0FD8" w:rsidRPr="00036F81" w:rsidRDefault="00DC0FD8" w:rsidP="00DC0FD8">
            <w:pPr>
              <w:pStyle w:val="pf0"/>
              <w:cnfStyle w:val="000000000000" w:firstRow="0" w:lastRow="0" w:firstColumn="0" w:lastColumn="0" w:oddVBand="0" w:evenVBand="0" w:oddHBand="0" w:evenHBand="0" w:firstRowFirstColumn="0" w:firstRowLastColumn="0" w:lastRowFirstColumn="0" w:lastRowLastColumn="0"/>
              <w:rPr>
                <w:rFonts w:ascii="Cambria" w:eastAsia="Cambria" w:hAnsi="Cambria"/>
                <w:i/>
                <w:iCs/>
                <w:sz w:val="22"/>
                <w:szCs w:val="22"/>
              </w:rPr>
            </w:pPr>
            <w:r w:rsidRPr="00036F81">
              <w:rPr>
                <w:rFonts w:ascii="Cambria" w:eastAsia="Cambria" w:hAnsi="Cambria"/>
                <w:i/>
                <w:iCs/>
                <w:sz w:val="22"/>
                <w:szCs w:val="22"/>
              </w:rPr>
              <w:t>Limitations of Use</w:t>
            </w:r>
          </w:p>
          <w:p w14:paraId="1AAD10B5" w14:textId="3CE9B117" w:rsidR="00DC0FD8" w:rsidRPr="000612C3" w:rsidRDefault="00DC0FD8" w:rsidP="007903A6">
            <w:pPr>
              <w:pStyle w:val="ListBullet"/>
              <w:cnfStyle w:val="000000000000" w:firstRow="0" w:lastRow="0" w:firstColumn="0" w:lastColumn="0" w:oddVBand="0" w:evenVBand="0" w:oddHBand="0" w:evenHBand="0" w:firstRowFirstColumn="0" w:firstRowLastColumn="0" w:lastRowFirstColumn="0" w:lastRowLastColumn="0"/>
              <w:rPr>
                <w:i/>
                <w:iCs/>
                <w:color w:val="000000"/>
                <w:szCs w:val="22"/>
              </w:rPr>
            </w:pPr>
            <w:r w:rsidRPr="000612C3">
              <w:rPr>
                <w:i/>
                <w:iCs/>
                <w:color w:val="000000"/>
                <w:szCs w:val="22"/>
              </w:rPr>
              <w:t>M</w:t>
            </w:r>
            <w:r w:rsidR="000612C3" w:rsidRPr="000612C3">
              <w:rPr>
                <w:i/>
                <w:iCs/>
                <w:color w:val="000000"/>
                <w:szCs w:val="22"/>
              </w:rPr>
              <w:t>ounjaro</w:t>
            </w:r>
            <w:r w:rsidRPr="000612C3">
              <w:rPr>
                <w:i/>
                <w:iCs/>
                <w:color w:val="000000"/>
                <w:szCs w:val="22"/>
              </w:rPr>
              <w:t xml:space="preserve"> has not been studied in combination with short</w:t>
            </w:r>
            <w:r w:rsidR="005E279A">
              <w:rPr>
                <w:i/>
                <w:iCs/>
                <w:color w:val="000000"/>
                <w:szCs w:val="22"/>
              </w:rPr>
              <w:noBreakHyphen/>
            </w:r>
            <w:r w:rsidRPr="000612C3">
              <w:rPr>
                <w:i/>
                <w:iCs/>
                <w:color w:val="000000"/>
                <w:szCs w:val="22"/>
              </w:rPr>
              <w:t>acting, medium</w:t>
            </w:r>
            <w:r w:rsidR="005E279A">
              <w:rPr>
                <w:i/>
                <w:iCs/>
                <w:color w:val="000000"/>
                <w:szCs w:val="22"/>
              </w:rPr>
              <w:noBreakHyphen/>
            </w:r>
            <w:r w:rsidRPr="000612C3">
              <w:rPr>
                <w:i/>
                <w:iCs/>
                <w:color w:val="000000"/>
                <w:szCs w:val="22"/>
              </w:rPr>
              <w:t>acting, or dual formulation insulins.</w:t>
            </w:r>
          </w:p>
          <w:p w14:paraId="7C66B55C" w14:textId="62252C23" w:rsidR="00DC0FD8" w:rsidRPr="000612C3" w:rsidRDefault="00DC0FD8" w:rsidP="007903A6">
            <w:pPr>
              <w:pStyle w:val="ListBullet"/>
              <w:cnfStyle w:val="000000000000" w:firstRow="0" w:lastRow="0" w:firstColumn="0" w:lastColumn="0" w:oddVBand="0" w:evenVBand="0" w:oddHBand="0" w:evenHBand="0" w:firstRowFirstColumn="0" w:firstRowLastColumn="0" w:lastRowFirstColumn="0" w:lastRowLastColumn="0"/>
              <w:rPr>
                <w:i/>
                <w:iCs/>
                <w:color w:val="000000"/>
                <w:szCs w:val="22"/>
              </w:rPr>
            </w:pPr>
            <w:r w:rsidRPr="000612C3">
              <w:rPr>
                <w:i/>
                <w:iCs/>
                <w:color w:val="000000"/>
                <w:szCs w:val="22"/>
              </w:rPr>
              <w:t>M</w:t>
            </w:r>
            <w:r w:rsidR="000612C3" w:rsidRPr="000612C3">
              <w:rPr>
                <w:i/>
                <w:iCs/>
                <w:color w:val="000000"/>
                <w:szCs w:val="22"/>
              </w:rPr>
              <w:t>ounjaro</w:t>
            </w:r>
            <w:r w:rsidRPr="000612C3">
              <w:rPr>
                <w:i/>
                <w:iCs/>
                <w:color w:val="000000"/>
                <w:szCs w:val="22"/>
              </w:rPr>
              <w:t xml:space="preserve"> is not a substitute for insulin.</w:t>
            </w:r>
          </w:p>
          <w:p w14:paraId="0B4880D0" w14:textId="6C3B9825" w:rsidR="00DC0FD8" w:rsidRPr="000612C3" w:rsidRDefault="00DC0FD8" w:rsidP="007903A6">
            <w:pPr>
              <w:pStyle w:val="ListBullet"/>
              <w:cnfStyle w:val="000000000000" w:firstRow="0" w:lastRow="0" w:firstColumn="0" w:lastColumn="0" w:oddVBand="0" w:evenVBand="0" w:oddHBand="0" w:evenHBand="0" w:firstRowFirstColumn="0" w:firstRowLastColumn="0" w:lastRowFirstColumn="0" w:lastRowLastColumn="0"/>
              <w:rPr>
                <w:i/>
                <w:iCs/>
                <w:color w:val="000000"/>
                <w:szCs w:val="22"/>
              </w:rPr>
            </w:pPr>
            <w:r w:rsidRPr="000612C3">
              <w:rPr>
                <w:i/>
                <w:iCs/>
                <w:color w:val="000000"/>
                <w:szCs w:val="22"/>
              </w:rPr>
              <w:t>M</w:t>
            </w:r>
            <w:r w:rsidR="000612C3" w:rsidRPr="000612C3">
              <w:rPr>
                <w:i/>
                <w:iCs/>
                <w:color w:val="000000"/>
                <w:szCs w:val="22"/>
              </w:rPr>
              <w:t>ounjaro</w:t>
            </w:r>
            <w:r w:rsidRPr="000612C3">
              <w:rPr>
                <w:i/>
                <w:iCs/>
                <w:color w:val="000000"/>
                <w:szCs w:val="22"/>
              </w:rPr>
              <w:t xml:space="preserve"> should not be used in patients with type 1 diabetes mellitus (formerly known as insulin</w:t>
            </w:r>
            <w:r w:rsidR="005E279A">
              <w:rPr>
                <w:i/>
                <w:iCs/>
                <w:color w:val="000000"/>
                <w:szCs w:val="22"/>
              </w:rPr>
              <w:noBreakHyphen/>
            </w:r>
            <w:r w:rsidRPr="000612C3">
              <w:rPr>
                <w:i/>
                <w:iCs/>
                <w:color w:val="000000"/>
                <w:szCs w:val="22"/>
              </w:rPr>
              <w:t>dependent diabetes mellitus or IDDM).</w:t>
            </w:r>
          </w:p>
          <w:p w14:paraId="3F711D2A" w14:textId="69A61EE9" w:rsidR="00DC0FD8" w:rsidRPr="00D01DDB" w:rsidRDefault="00DC0FD8" w:rsidP="007903A6">
            <w:pPr>
              <w:pStyle w:val="ListBullet"/>
              <w:cnfStyle w:val="000000000000" w:firstRow="0" w:lastRow="0" w:firstColumn="0" w:lastColumn="0" w:oddVBand="0" w:evenVBand="0" w:oddHBand="0" w:evenHBand="0" w:firstRowFirstColumn="0" w:firstRowLastColumn="0" w:lastRowFirstColumn="0" w:lastRowLastColumn="0"/>
              <w:rPr>
                <w:szCs w:val="22"/>
              </w:rPr>
            </w:pPr>
            <w:r w:rsidRPr="000612C3">
              <w:rPr>
                <w:i/>
                <w:iCs/>
                <w:color w:val="000000"/>
                <w:szCs w:val="22"/>
              </w:rPr>
              <w:t>M</w:t>
            </w:r>
            <w:r w:rsidR="000612C3" w:rsidRPr="000612C3">
              <w:rPr>
                <w:i/>
                <w:iCs/>
                <w:color w:val="000000"/>
                <w:szCs w:val="22"/>
              </w:rPr>
              <w:t>ounjaro</w:t>
            </w:r>
            <w:r w:rsidRPr="000612C3">
              <w:rPr>
                <w:i/>
                <w:iCs/>
                <w:color w:val="000000"/>
                <w:szCs w:val="22"/>
              </w:rPr>
              <w:t xml:space="preserve"> should not be used for the treatment of diabetic ketoacidosis.</w:t>
            </w:r>
          </w:p>
        </w:tc>
      </w:tr>
      <w:tr w:rsidR="00324B33" w:rsidRPr="00D01DDB" w14:paraId="18B6E2AA" w14:textId="7783D66F" w:rsidTr="002867BF">
        <w:tc>
          <w:tcPr>
            <w:cnfStyle w:val="001000000000" w:firstRow="0" w:lastRow="0" w:firstColumn="1" w:lastColumn="0" w:oddVBand="0" w:evenVBand="0" w:oddHBand="0" w:evenHBand="0" w:firstRowFirstColumn="0" w:firstRowLastColumn="0" w:lastRowFirstColumn="0" w:lastRowLastColumn="0"/>
            <w:tcW w:w="858" w:type="pct"/>
          </w:tcPr>
          <w:p w14:paraId="7F348960" w14:textId="478117CA" w:rsidR="00324B33" w:rsidRPr="00DC0FD8" w:rsidRDefault="006222EE" w:rsidP="00324B33">
            <w:pPr>
              <w:rPr>
                <w:szCs w:val="22"/>
              </w:rPr>
            </w:pPr>
            <w:r w:rsidRPr="00DC0FD8">
              <w:rPr>
                <w:szCs w:val="22"/>
              </w:rPr>
              <w:t>Singapore</w:t>
            </w:r>
          </w:p>
        </w:tc>
        <w:tc>
          <w:tcPr>
            <w:tcW w:w="1017" w:type="pct"/>
          </w:tcPr>
          <w:p w14:paraId="1D871E57" w14:textId="32A36200" w:rsidR="00324B33" w:rsidRPr="00DC0FD8" w:rsidRDefault="00DC0FD8" w:rsidP="00324B33">
            <w:pPr>
              <w:cnfStyle w:val="000000000000" w:firstRow="0" w:lastRow="0" w:firstColumn="0" w:lastColumn="0" w:oddVBand="0" w:evenVBand="0" w:oddHBand="0" w:evenHBand="0" w:firstRowFirstColumn="0" w:firstRowLastColumn="0" w:lastRowFirstColumn="0" w:lastRowLastColumn="0"/>
              <w:rPr>
                <w:szCs w:val="22"/>
              </w:rPr>
            </w:pPr>
            <w:r w:rsidRPr="00C67425">
              <w:rPr>
                <w:szCs w:val="22"/>
              </w:rPr>
              <w:t>29 November 2021</w:t>
            </w:r>
          </w:p>
        </w:tc>
        <w:tc>
          <w:tcPr>
            <w:tcW w:w="1017" w:type="pct"/>
          </w:tcPr>
          <w:p w14:paraId="63A3A9D3" w14:textId="2FA15569" w:rsidR="00324B33" w:rsidRPr="00DC0FD8"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C0FD8">
              <w:rPr>
                <w:szCs w:val="22"/>
              </w:rPr>
              <w:t>Under consideration</w:t>
            </w:r>
          </w:p>
        </w:tc>
        <w:tc>
          <w:tcPr>
            <w:tcW w:w="2108" w:type="pct"/>
          </w:tcPr>
          <w:p w14:paraId="17C650B8" w14:textId="5B567795"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C0FD8">
              <w:rPr>
                <w:szCs w:val="22"/>
              </w:rPr>
              <w:t>Under consideration</w:t>
            </w:r>
          </w:p>
        </w:tc>
      </w:tr>
    </w:tbl>
    <w:p w14:paraId="6D92589C" w14:textId="3CCCC040" w:rsidR="00324B33" w:rsidRDefault="00324B33" w:rsidP="00324B33">
      <w:pPr>
        <w:pStyle w:val="Heading2"/>
      </w:pPr>
      <w:bookmarkStart w:id="20" w:name="_Toc504480011"/>
      <w:bookmarkStart w:id="21" w:name="_Toc103679293"/>
      <w:bookmarkStart w:id="22" w:name="_Toc148961938"/>
      <w:r>
        <w:lastRenderedPageBreak/>
        <w:t>Registration timeline</w:t>
      </w:r>
      <w:bookmarkEnd w:id="20"/>
      <w:bookmarkEnd w:id="21"/>
      <w:bookmarkEnd w:id="22"/>
    </w:p>
    <w:p w14:paraId="225E3D87" w14:textId="1F3070CE" w:rsidR="00324B33" w:rsidRPr="00BD5DBD" w:rsidRDefault="00324B33" w:rsidP="000B1FE3">
      <w:pPr>
        <w:keepNext/>
        <w:rPr>
          <w:szCs w:val="22"/>
        </w:rPr>
      </w:pPr>
      <w:r w:rsidRPr="00BD5DBD">
        <w:rPr>
          <w:szCs w:val="22"/>
        </w:rPr>
        <w:t>The following table captures the key steps and dates for this submission.</w:t>
      </w:r>
    </w:p>
    <w:p w14:paraId="6BB76942" w14:textId="28228F57" w:rsidR="00477C4E" w:rsidRPr="00BD5DBD" w:rsidRDefault="00477C4E" w:rsidP="00324B33">
      <w:pPr>
        <w:rPr>
          <w:szCs w:val="22"/>
        </w:rPr>
      </w:pPr>
      <w:r w:rsidRPr="00BD5DBD">
        <w:rPr>
          <w:szCs w:val="22"/>
        </w:rPr>
        <w:t xml:space="preserve">This submission was evaluated under the </w:t>
      </w:r>
      <w:hyperlink r:id="rId20" w:history="1">
        <w:r w:rsidRPr="00BD5DBD">
          <w:rPr>
            <w:rStyle w:val="Hyperlink"/>
            <w:szCs w:val="22"/>
          </w:rPr>
          <w:t>standard prescription medicines registration process</w:t>
        </w:r>
      </w:hyperlink>
      <w:r w:rsidRPr="00BD5DBD">
        <w:rPr>
          <w:szCs w:val="22"/>
        </w:rPr>
        <w:t>.</w:t>
      </w:r>
    </w:p>
    <w:p w14:paraId="44628C5F" w14:textId="0A13B75B" w:rsidR="00324B33" w:rsidRPr="00F31517" w:rsidRDefault="00324B33" w:rsidP="00F31517">
      <w:pPr>
        <w:pStyle w:val="TableTitle"/>
      </w:pPr>
      <w:r w:rsidRPr="00F31517">
        <w:t xml:space="preserve">Table </w:t>
      </w:r>
      <w:r w:rsidR="002B0E47">
        <w:fldChar w:fldCharType="begin"/>
      </w:r>
      <w:r w:rsidR="002B0E47">
        <w:instrText xml:space="preserve"> SEQ Table \* ARABIC </w:instrText>
      </w:r>
      <w:r w:rsidR="002B0E47">
        <w:fldChar w:fldCharType="separate"/>
      </w:r>
      <w:r w:rsidR="008465DD">
        <w:rPr>
          <w:noProof/>
        </w:rPr>
        <w:t>2</w:t>
      </w:r>
      <w:r w:rsidR="002B0E47">
        <w:rPr>
          <w:noProof/>
        </w:rPr>
        <w:fldChar w:fldCharType="end"/>
      </w:r>
      <w:r w:rsidRPr="00F31517">
        <w:t>: Timeline for Submission PM</w:t>
      </w:r>
      <w:r w:rsidR="005E279A">
        <w:noBreakHyphen/>
      </w:r>
      <w:r w:rsidRPr="00F31517">
        <w:t>202</w:t>
      </w:r>
      <w:r w:rsidR="00E51592" w:rsidRPr="00F31517">
        <w:t>1</w:t>
      </w:r>
      <w:r w:rsidR="005E279A">
        <w:noBreakHyphen/>
      </w:r>
      <w:r w:rsidR="00E51592" w:rsidRPr="00F31517">
        <w:t>05212</w:t>
      </w:r>
      <w:r w:rsidR="005E279A">
        <w:noBreakHyphen/>
      </w:r>
      <w:r w:rsidR="00E51592" w:rsidRPr="00F31517">
        <w:t>1</w:t>
      </w:r>
      <w:r w:rsidR="005E279A">
        <w:noBreakHyphen/>
      </w:r>
      <w:r w:rsidR="00E51592" w:rsidRPr="00F31517">
        <w:t>5</w:t>
      </w:r>
    </w:p>
    <w:tbl>
      <w:tblPr>
        <w:tblStyle w:val="TableTGAblue2023"/>
        <w:tblW w:w="8642" w:type="dxa"/>
        <w:tblLook w:val="04A0" w:firstRow="1" w:lastRow="0" w:firstColumn="1" w:lastColumn="0" w:noHBand="0" w:noVBand="1"/>
      </w:tblPr>
      <w:tblGrid>
        <w:gridCol w:w="5524"/>
        <w:gridCol w:w="3118"/>
      </w:tblGrid>
      <w:tr w:rsidR="00324B33" w:rsidRPr="00D01DDB" w14:paraId="6C59BE9C" w14:textId="77777777" w:rsidTr="00A72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6D80E78" w14:textId="3EC0CCAF" w:rsidR="00324B33" w:rsidRPr="00D01DDB" w:rsidRDefault="00324B33" w:rsidP="00324B33">
            <w:pPr>
              <w:rPr>
                <w:szCs w:val="22"/>
              </w:rPr>
            </w:pPr>
            <w:r w:rsidRPr="00D01DDB">
              <w:rPr>
                <w:szCs w:val="22"/>
              </w:rPr>
              <w:t>Description</w:t>
            </w:r>
          </w:p>
        </w:tc>
        <w:tc>
          <w:tcPr>
            <w:tcW w:w="311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A7288E">
        <w:tc>
          <w:tcPr>
            <w:cnfStyle w:val="001000000000" w:firstRow="0" w:lastRow="0" w:firstColumn="1" w:lastColumn="0" w:oddVBand="0" w:evenVBand="0" w:oddHBand="0" w:evenHBand="0" w:firstRowFirstColumn="0" w:firstRowLastColumn="0" w:lastRowFirstColumn="0" w:lastRowLastColumn="0"/>
            <w:tcW w:w="5524"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3118" w:type="dxa"/>
          </w:tcPr>
          <w:p w14:paraId="2963D9D8" w14:textId="0D8E7D33" w:rsidR="00324B33" w:rsidRPr="00D01DDB" w:rsidRDefault="004E56F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14 </w:t>
            </w:r>
            <w:r w:rsidR="002D5155">
              <w:rPr>
                <w:szCs w:val="22"/>
              </w:rPr>
              <w:t>January 2022</w:t>
            </w:r>
          </w:p>
        </w:tc>
      </w:tr>
      <w:tr w:rsidR="00324B33" w:rsidRPr="00D01DDB" w14:paraId="53437815" w14:textId="77777777" w:rsidTr="00A7288E">
        <w:tc>
          <w:tcPr>
            <w:cnfStyle w:val="001000000000" w:firstRow="0" w:lastRow="0" w:firstColumn="1" w:lastColumn="0" w:oddVBand="0" w:evenVBand="0" w:oddHBand="0" w:evenHBand="0" w:firstRowFirstColumn="0" w:firstRowLastColumn="0" w:lastRowFirstColumn="0" w:lastRowLastColumn="0"/>
            <w:tcW w:w="5524" w:type="dxa"/>
          </w:tcPr>
          <w:p w14:paraId="4C037D4E" w14:textId="2B0CE255" w:rsidR="00324B33" w:rsidRPr="00D01DDB" w:rsidRDefault="00324B33" w:rsidP="00324B33">
            <w:pPr>
              <w:rPr>
                <w:szCs w:val="22"/>
              </w:rPr>
            </w:pPr>
            <w:r w:rsidRPr="00D01DDB">
              <w:rPr>
                <w:szCs w:val="22"/>
              </w:rPr>
              <w:t>First round evaluation completed</w:t>
            </w:r>
          </w:p>
        </w:tc>
        <w:tc>
          <w:tcPr>
            <w:tcW w:w="3118" w:type="dxa"/>
          </w:tcPr>
          <w:p w14:paraId="3CEAFAAB" w14:textId="2A285EE0" w:rsidR="00324B33" w:rsidRPr="00D01DDB" w:rsidRDefault="002D515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May 2022</w:t>
            </w:r>
          </w:p>
        </w:tc>
      </w:tr>
      <w:tr w:rsidR="00324B33" w:rsidRPr="00D01DDB" w14:paraId="60DA57CC" w14:textId="77777777" w:rsidTr="00A7288E">
        <w:tc>
          <w:tcPr>
            <w:cnfStyle w:val="001000000000" w:firstRow="0" w:lastRow="0" w:firstColumn="1" w:lastColumn="0" w:oddVBand="0" w:evenVBand="0" w:oddHBand="0" w:evenHBand="0" w:firstRowFirstColumn="0" w:firstRowLastColumn="0" w:lastRowFirstColumn="0" w:lastRowLastColumn="0"/>
            <w:tcW w:w="5524"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3118" w:type="dxa"/>
          </w:tcPr>
          <w:p w14:paraId="68A577C1" w14:textId="40735037" w:rsidR="00324B33" w:rsidRPr="00D01DDB" w:rsidRDefault="00006C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June 2022</w:t>
            </w:r>
          </w:p>
        </w:tc>
      </w:tr>
      <w:tr w:rsidR="00324B33" w:rsidRPr="00D01DDB" w14:paraId="767E33A4" w14:textId="77777777" w:rsidTr="00A7288E">
        <w:tc>
          <w:tcPr>
            <w:cnfStyle w:val="001000000000" w:firstRow="0" w:lastRow="0" w:firstColumn="1" w:lastColumn="0" w:oddVBand="0" w:evenVBand="0" w:oddHBand="0" w:evenHBand="0" w:firstRowFirstColumn="0" w:firstRowLastColumn="0" w:lastRowFirstColumn="0" w:lastRowLastColumn="0"/>
            <w:tcW w:w="5524" w:type="dxa"/>
          </w:tcPr>
          <w:p w14:paraId="4AFC5B50" w14:textId="2BCC6A3E" w:rsidR="00324B33" w:rsidRPr="00D01DDB" w:rsidRDefault="00324B33" w:rsidP="00324B33">
            <w:pPr>
              <w:rPr>
                <w:szCs w:val="22"/>
              </w:rPr>
            </w:pPr>
            <w:r w:rsidRPr="00D01DDB">
              <w:rPr>
                <w:szCs w:val="22"/>
              </w:rPr>
              <w:t>Second round evaluation completed</w:t>
            </w:r>
          </w:p>
        </w:tc>
        <w:tc>
          <w:tcPr>
            <w:tcW w:w="3118" w:type="dxa"/>
          </w:tcPr>
          <w:p w14:paraId="4E47DF62" w14:textId="47E67D05" w:rsidR="00324B33" w:rsidRPr="00D01DDB" w:rsidRDefault="002D515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 August 2022</w:t>
            </w:r>
          </w:p>
        </w:tc>
      </w:tr>
      <w:tr w:rsidR="00324B33" w:rsidRPr="00D01DDB" w14:paraId="302FCB45" w14:textId="77777777" w:rsidTr="00A7288E">
        <w:tc>
          <w:tcPr>
            <w:cnfStyle w:val="001000000000" w:firstRow="0" w:lastRow="0" w:firstColumn="1" w:lastColumn="0" w:oddVBand="0" w:evenVBand="0" w:oddHBand="0" w:evenHBand="0" w:firstRowFirstColumn="0" w:firstRowLastColumn="0" w:lastRowFirstColumn="0" w:lastRowLastColumn="0"/>
            <w:tcW w:w="5524" w:type="dxa"/>
          </w:tcPr>
          <w:p w14:paraId="716E9DC1" w14:textId="316DD7AE" w:rsidR="00324B33" w:rsidRPr="00D01DDB" w:rsidRDefault="00324B33" w:rsidP="00324B33">
            <w:pPr>
              <w:rPr>
                <w:szCs w:val="22"/>
              </w:rPr>
            </w:pPr>
            <w:r w:rsidRPr="00D01DDB">
              <w:rPr>
                <w:szCs w:val="22"/>
              </w:rPr>
              <w:t>Delegate’s Overall benefit</w:t>
            </w:r>
            <w:r w:rsidR="005E279A">
              <w:rPr>
                <w:szCs w:val="22"/>
              </w:rPr>
              <w:noBreakHyphen/>
            </w:r>
            <w:r w:rsidRPr="00D01DDB">
              <w:rPr>
                <w:szCs w:val="22"/>
              </w:rPr>
              <w:t xml:space="preserve">risk assessment </w:t>
            </w:r>
            <w:r w:rsidRPr="00A7288E">
              <w:rPr>
                <w:szCs w:val="22"/>
              </w:rPr>
              <w:t>and request for Advisory Committee advice</w:t>
            </w:r>
            <w:r w:rsidR="002E5B1F">
              <w:rPr>
                <w:rStyle w:val="FootnoteReference"/>
                <w:szCs w:val="22"/>
              </w:rPr>
              <w:footnoteReference w:id="6"/>
            </w:r>
          </w:p>
        </w:tc>
        <w:tc>
          <w:tcPr>
            <w:tcW w:w="3118" w:type="dxa"/>
          </w:tcPr>
          <w:p w14:paraId="3BA6EF79" w14:textId="3A3DAFE9" w:rsidR="00324B33" w:rsidRPr="00D01DDB" w:rsidRDefault="00063EF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October</w:t>
            </w:r>
            <w:r w:rsidR="009B7A71">
              <w:rPr>
                <w:szCs w:val="22"/>
              </w:rPr>
              <w:t xml:space="preserve"> 2022</w:t>
            </w:r>
          </w:p>
        </w:tc>
      </w:tr>
      <w:tr w:rsidR="00324B33" w:rsidRPr="00D01DDB" w14:paraId="5832EBC8" w14:textId="77777777" w:rsidTr="00A7288E">
        <w:tc>
          <w:tcPr>
            <w:cnfStyle w:val="001000000000" w:firstRow="0" w:lastRow="0" w:firstColumn="1" w:lastColumn="0" w:oddVBand="0" w:evenVBand="0" w:oddHBand="0" w:evenHBand="0" w:firstRowFirstColumn="0" w:firstRowLastColumn="0" w:lastRowFirstColumn="0" w:lastRowLastColumn="0"/>
            <w:tcW w:w="5524" w:type="dxa"/>
          </w:tcPr>
          <w:p w14:paraId="720592DE" w14:textId="5DF7FBD6" w:rsidR="00324B33" w:rsidRPr="00D01DDB" w:rsidRDefault="00324B33" w:rsidP="00324B33">
            <w:pPr>
              <w:rPr>
                <w:szCs w:val="22"/>
              </w:rPr>
            </w:pPr>
            <w:r w:rsidRPr="00D01DDB">
              <w:rPr>
                <w:szCs w:val="22"/>
              </w:rPr>
              <w:t>Sponsor’s pre</w:t>
            </w:r>
            <w:r w:rsidR="005E279A">
              <w:rPr>
                <w:szCs w:val="22"/>
              </w:rPr>
              <w:noBreakHyphen/>
            </w:r>
            <w:r w:rsidRPr="00D01DDB">
              <w:rPr>
                <w:szCs w:val="22"/>
              </w:rPr>
              <w:t>Advisory Committee response</w:t>
            </w:r>
          </w:p>
        </w:tc>
        <w:tc>
          <w:tcPr>
            <w:tcW w:w="3118" w:type="dxa"/>
          </w:tcPr>
          <w:p w14:paraId="5AE04841" w14:textId="08400B98" w:rsidR="00324B33" w:rsidRPr="00D01DDB" w:rsidRDefault="00063EF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November 2022</w:t>
            </w:r>
          </w:p>
        </w:tc>
      </w:tr>
      <w:tr w:rsidR="00324B33" w:rsidRPr="00D01DDB" w14:paraId="5754F7AC" w14:textId="77777777" w:rsidTr="00A7288E">
        <w:tc>
          <w:tcPr>
            <w:cnfStyle w:val="001000000000" w:firstRow="0" w:lastRow="0" w:firstColumn="1" w:lastColumn="0" w:oddVBand="0" w:evenVBand="0" w:oddHBand="0" w:evenHBand="0" w:firstRowFirstColumn="0" w:firstRowLastColumn="0" w:lastRowFirstColumn="0" w:lastRowLastColumn="0"/>
            <w:tcW w:w="5524" w:type="dxa"/>
          </w:tcPr>
          <w:p w14:paraId="789DE187" w14:textId="123446EE" w:rsidR="00324B33" w:rsidRPr="00D01DDB" w:rsidRDefault="00324B33" w:rsidP="00324B33">
            <w:pPr>
              <w:rPr>
                <w:szCs w:val="22"/>
              </w:rPr>
            </w:pPr>
            <w:r w:rsidRPr="00D01DDB">
              <w:rPr>
                <w:szCs w:val="22"/>
              </w:rPr>
              <w:t>Advisory Committee meeting</w:t>
            </w:r>
          </w:p>
        </w:tc>
        <w:tc>
          <w:tcPr>
            <w:tcW w:w="3118" w:type="dxa"/>
          </w:tcPr>
          <w:p w14:paraId="5BE1EDE7" w14:textId="2B3AFCFD" w:rsidR="00324B33" w:rsidRPr="00D01DDB" w:rsidRDefault="006A280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and 2 December 2022</w:t>
            </w:r>
          </w:p>
        </w:tc>
      </w:tr>
      <w:tr w:rsidR="00324B33" w:rsidRPr="00D01DDB" w14:paraId="6E5D32FE" w14:textId="77777777" w:rsidTr="00A7288E">
        <w:tc>
          <w:tcPr>
            <w:cnfStyle w:val="001000000000" w:firstRow="0" w:lastRow="0" w:firstColumn="1" w:lastColumn="0" w:oddVBand="0" w:evenVBand="0" w:oddHBand="0" w:evenHBand="0" w:firstRowFirstColumn="0" w:firstRowLastColumn="0" w:lastRowFirstColumn="0" w:lastRowLastColumn="0"/>
            <w:tcW w:w="5524" w:type="dxa"/>
          </w:tcPr>
          <w:p w14:paraId="4E95C44C" w14:textId="7A91C710" w:rsidR="00324B33" w:rsidRPr="00D01DDB" w:rsidRDefault="00324B33" w:rsidP="00324B33">
            <w:pPr>
              <w:rPr>
                <w:szCs w:val="22"/>
              </w:rPr>
            </w:pPr>
            <w:r w:rsidRPr="00D01DDB">
              <w:rPr>
                <w:szCs w:val="22"/>
              </w:rPr>
              <w:t>Registration decision (Outcome)</w:t>
            </w:r>
          </w:p>
        </w:tc>
        <w:tc>
          <w:tcPr>
            <w:tcW w:w="3118" w:type="dxa"/>
          </w:tcPr>
          <w:p w14:paraId="62987ABD" w14:textId="40A6783E" w:rsidR="00324B33" w:rsidRPr="00D01DDB" w:rsidRDefault="005F12D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December 2022</w:t>
            </w:r>
          </w:p>
        </w:tc>
      </w:tr>
      <w:tr w:rsidR="00324B33" w:rsidRPr="00D01DDB" w14:paraId="6DDCDDA4" w14:textId="77777777" w:rsidTr="00A7288E">
        <w:tc>
          <w:tcPr>
            <w:cnfStyle w:val="001000000000" w:firstRow="0" w:lastRow="0" w:firstColumn="1" w:lastColumn="0" w:oddVBand="0" w:evenVBand="0" w:oddHBand="0" w:evenHBand="0" w:firstRowFirstColumn="0" w:firstRowLastColumn="0" w:lastRowFirstColumn="0" w:lastRowLastColumn="0"/>
            <w:tcW w:w="5524" w:type="dxa"/>
          </w:tcPr>
          <w:p w14:paraId="192FD19D" w14:textId="7D5F96C5" w:rsidR="00324B33" w:rsidRPr="00D01DDB" w:rsidRDefault="0013132F" w:rsidP="00324B33">
            <w:pPr>
              <w:rPr>
                <w:szCs w:val="22"/>
              </w:rPr>
            </w:pPr>
            <w:r>
              <w:t>Administrative activities and registration on the ARTG completed</w:t>
            </w:r>
          </w:p>
        </w:tc>
        <w:tc>
          <w:tcPr>
            <w:tcW w:w="3118" w:type="dxa"/>
          </w:tcPr>
          <w:p w14:paraId="5A8923FD" w14:textId="2C285BEE" w:rsidR="00324B33" w:rsidRPr="00D01DDB" w:rsidRDefault="005F12D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December 2022</w:t>
            </w:r>
          </w:p>
        </w:tc>
      </w:tr>
      <w:tr w:rsidR="00324B33" w:rsidRPr="00D01DDB" w14:paraId="56D922E2" w14:textId="77777777" w:rsidTr="00A7288E">
        <w:tc>
          <w:tcPr>
            <w:cnfStyle w:val="001000000000" w:firstRow="0" w:lastRow="0" w:firstColumn="1" w:lastColumn="0" w:oddVBand="0" w:evenVBand="0" w:oddHBand="0" w:evenHBand="0" w:firstRowFirstColumn="0" w:firstRowLastColumn="0" w:lastRowFirstColumn="0" w:lastRowLastColumn="0"/>
            <w:tcW w:w="5524"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3118" w:type="dxa"/>
          </w:tcPr>
          <w:p w14:paraId="5BAF9FA1" w14:textId="398D7040" w:rsidR="00324B33" w:rsidRPr="00D01DDB" w:rsidRDefault="005F12D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194</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6ADC8F6B" w:rsidR="00C22214" w:rsidRPr="00792A32" w:rsidRDefault="00C22214" w:rsidP="00C22214">
      <w:pPr>
        <w:pStyle w:val="Heading2"/>
      </w:pPr>
      <w:bookmarkStart w:id="23" w:name="_Toc196046504"/>
      <w:bookmarkStart w:id="24" w:name="_Toc247691527"/>
      <w:bookmarkStart w:id="25" w:name="_Toc314842510"/>
      <w:bookmarkStart w:id="26" w:name="_Toc103679294"/>
      <w:bookmarkStart w:id="27" w:name="_Toc148961939"/>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3"/>
      <w:bookmarkEnd w:id="24"/>
      <w:bookmarkEnd w:id="25"/>
      <w:bookmarkEnd w:id="26"/>
      <w:bookmarkEnd w:id="27"/>
    </w:p>
    <w:p w14:paraId="5F5FAA14" w14:textId="47620BE7" w:rsidR="00C22214" w:rsidRDefault="00C22214" w:rsidP="00C22214">
      <w:pPr>
        <w:rPr>
          <w:szCs w:val="22"/>
        </w:rPr>
      </w:pPr>
      <w:bookmarkStart w:id="28" w:name="_Toc247691528"/>
      <w:bookmarkStart w:id="29" w:name="_Toc314842511"/>
      <w:r w:rsidRPr="00BD5DBD">
        <w:rPr>
          <w:szCs w:val="22"/>
        </w:rPr>
        <w:t>This section is a TGA summary of wording used in TGA’s evaluation report, which discussed numerous aspects of overseas evaluation reports and included some information that was commercial</w:t>
      </w:r>
      <w:r w:rsidR="005E279A">
        <w:rPr>
          <w:szCs w:val="22"/>
        </w:rPr>
        <w:noBreakHyphen/>
      </w:r>
      <w:r w:rsidRPr="00BD5DBD">
        <w:rPr>
          <w:szCs w:val="22"/>
        </w:rPr>
        <w:t>in</w:t>
      </w:r>
      <w:r w:rsidR="005E279A">
        <w:rPr>
          <w:szCs w:val="22"/>
        </w:rPr>
        <w:noBreakHyphen/>
      </w:r>
      <w:r w:rsidRPr="00BD5DBD">
        <w:rPr>
          <w:szCs w:val="22"/>
        </w:rPr>
        <w:t>confidence.</w:t>
      </w:r>
    </w:p>
    <w:p w14:paraId="2D6E1F55" w14:textId="05226CFA" w:rsidR="000D18AB" w:rsidRDefault="000D18AB" w:rsidP="00C22214">
      <w:pPr>
        <w:rPr>
          <w:szCs w:val="22"/>
        </w:rPr>
      </w:pPr>
      <w:r w:rsidRPr="00BD5DBD">
        <w:rPr>
          <w:szCs w:val="22"/>
        </w:rPr>
        <w:t>The following guideline was referred to by the Delegate as being relevant to this submission:</w:t>
      </w:r>
    </w:p>
    <w:p w14:paraId="2C40CB0A" w14:textId="73D7AD58" w:rsidR="00AD1CC8" w:rsidRPr="000D18AB" w:rsidRDefault="000D18AB" w:rsidP="000D18AB">
      <w:pPr>
        <w:pStyle w:val="ListBullet"/>
        <w:rPr>
          <w:rFonts w:cstheme="minorBidi"/>
          <w:color w:val="auto"/>
        </w:rPr>
      </w:pPr>
      <w:r>
        <w:t>Committee for Medicinal Products for Human Use (CHMP). Guideline on clinical investigation of medicinal products in the treatment or prevention of diabetes mellitus.</w:t>
      </w:r>
    </w:p>
    <w:p w14:paraId="37F5A1C0" w14:textId="2A76DEA1" w:rsidR="00C22214" w:rsidRPr="005A5921" w:rsidRDefault="00C22214" w:rsidP="005A5921">
      <w:pPr>
        <w:pStyle w:val="Heading3"/>
      </w:pPr>
      <w:bookmarkStart w:id="30" w:name="_Toc103679295"/>
      <w:bookmarkStart w:id="31" w:name="_Toc148961940"/>
      <w:r w:rsidRPr="005A5921">
        <w:t>Quality</w:t>
      </w:r>
      <w:bookmarkEnd w:id="28"/>
      <w:bookmarkEnd w:id="29"/>
      <w:bookmarkEnd w:id="30"/>
      <w:bookmarkEnd w:id="31"/>
    </w:p>
    <w:p w14:paraId="28A5B011" w14:textId="2AC6FB2B" w:rsidR="000D7BD2" w:rsidRDefault="00C85E14" w:rsidP="00C17648">
      <w:r w:rsidRPr="00C17648">
        <w:t>Tirzepatide is a</w:t>
      </w:r>
      <w:r w:rsidR="00972423">
        <w:t>n</w:t>
      </w:r>
      <w:r w:rsidRPr="00C17648">
        <w:t xml:space="preserve"> amino acid </w:t>
      </w:r>
      <w:r w:rsidR="0044601D">
        <w:t>sequence</w:t>
      </w:r>
      <w:r w:rsidR="00816745">
        <w:t xml:space="preserve"> with</w:t>
      </w:r>
      <w:r w:rsidR="0044601D">
        <w:t xml:space="preserve"> </w:t>
      </w:r>
      <w:r w:rsidR="00377077">
        <w:t>a</w:t>
      </w:r>
      <w:r w:rsidR="00816745">
        <w:t xml:space="preserve"> molecular weight of 4,813 Daltons</w:t>
      </w:r>
      <w:r w:rsidRPr="00C17648">
        <w:t>.</w:t>
      </w:r>
      <w:r w:rsidR="000D7BD2" w:rsidRPr="00C17648">
        <w:t xml:space="preserve"> The following figure shows the chemical structure of tirzepatide with the standard single letter amino acid codes with</w:t>
      </w:r>
      <w:r w:rsidR="00943A82" w:rsidRPr="00C17648">
        <w:t xml:space="preserve"> the e</w:t>
      </w:r>
      <w:r w:rsidR="000D7BD2" w:rsidRPr="00C17648">
        <w:t xml:space="preserve">xception of </w:t>
      </w:r>
      <w:r w:rsidR="00943A82" w:rsidRPr="00C17648">
        <w:t>r</w:t>
      </w:r>
      <w:r w:rsidR="000D7BD2" w:rsidRPr="00C17648">
        <w:t xml:space="preserve">esidues </w:t>
      </w:r>
      <w:r w:rsidR="00943A82" w:rsidRPr="00C17648">
        <w:t>a</w:t>
      </w:r>
      <w:r w:rsidR="000D7BD2" w:rsidRPr="00C17648">
        <w:t>minoisobutyric</w:t>
      </w:r>
      <w:r w:rsidR="00943A82" w:rsidRPr="00C17648">
        <w:t xml:space="preserve"> a</w:t>
      </w:r>
      <w:r w:rsidR="000D7BD2" w:rsidRPr="00C17648">
        <w:t xml:space="preserve">cid2, </w:t>
      </w:r>
      <w:r w:rsidR="00943A82" w:rsidRPr="00C17648">
        <w:t>a</w:t>
      </w:r>
      <w:r w:rsidR="000D7BD2" w:rsidRPr="00C17648">
        <w:t xml:space="preserve">minoisobutyric </w:t>
      </w:r>
      <w:r w:rsidR="00943A82" w:rsidRPr="00C17648">
        <w:t>a</w:t>
      </w:r>
      <w:r w:rsidR="000D7BD2" w:rsidRPr="00C17648">
        <w:t xml:space="preserve">cid13, and </w:t>
      </w:r>
      <w:r w:rsidR="00943A82" w:rsidRPr="00C17648">
        <w:t>l</w:t>
      </w:r>
      <w:r w:rsidR="000D7BD2" w:rsidRPr="00C17648">
        <w:t xml:space="preserve">ysine20, </w:t>
      </w:r>
      <w:r w:rsidR="005B1C60" w:rsidRPr="00C17648">
        <w:t>w</w:t>
      </w:r>
      <w:r w:rsidR="000D7BD2" w:rsidRPr="00C17648">
        <w:t>here the</w:t>
      </w:r>
      <w:r w:rsidR="008F7B58" w:rsidRPr="00C17648">
        <w:t xml:space="preserve"> </w:t>
      </w:r>
      <w:r w:rsidR="005B1C60" w:rsidRPr="00C17648">
        <w:t>s</w:t>
      </w:r>
      <w:r w:rsidR="000D7BD2" w:rsidRPr="00C17648">
        <w:t xml:space="preserve">tructures of </w:t>
      </w:r>
      <w:r w:rsidR="005B1C60" w:rsidRPr="00C17648">
        <w:t>t</w:t>
      </w:r>
      <w:r w:rsidR="000D7BD2" w:rsidRPr="00C17648">
        <w:t xml:space="preserve">hese </w:t>
      </w:r>
      <w:r w:rsidR="005B1C60" w:rsidRPr="00C17648">
        <w:t>a</w:t>
      </w:r>
      <w:r w:rsidR="000D7BD2" w:rsidRPr="00C17648">
        <w:t xml:space="preserve">mino </w:t>
      </w:r>
      <w:r w:rsidR="005B1C60" w:rsidRPr="00C17648">
        <w:t>a</w:t>
      </w:r>
      <w:r w:rsidR="000D7BD2" w:rsidRPr="00C17648">
        <w:t xml:space="preserve">cid </w:t>
      </w:r>
      <w:r w:rsidR="005B1C60" w:rsidRPr="00C17648">
        <w:t>r</w:t>
      </w:r>
      <w:r w:rsidR="000D7BD2" w:rsidRPr="00C17648">
        <w:t xml:space="preserve">esidues are </w:t>
      </w:r>
      <w:r w:rsidR="005B1C60" w:rsidRPr="00C17648">
        <w:t>d</w:t>
      </w:r>
      <w:r w:rsidR="000D7BD2" w:rsidRPr="00C17648">
        <w:t>epicted</w:t>
      </w:r>
      <w:r w:rsidR="005B1C60" w:rsidRPr="00C17648">
        <w:t xml:space="preserve">. </w:t>
      </w:r>
      <w:r w:rsidR="009471A8" w:rsidRPr="00C17648">
        <w:t xml:space="preserve">The secondary </w:t>
      </w:r>
      <w:r w:rsidR="009471A8" w:rsidRPr="00C17648">
        <w:lastRenderedPageBreak/>
        <w:t xml:space="preserve">structure of tirzepatide is predominantly </w:t>
      </w:r>
      <w:r w:rsidR="00EA6D78">
        <w:t>α</w:t>
      </w:r>
      <w:r w:rsidR="005E279A">
        <w:noBreakHyphen/>
      </w:r>
      <w:r w:rsidR="009471A8" w:rsidRPr="00C17648">
        <w:t>helical, the tertiary structure is consistent with a natively folded peptide.</w:t>
      </w:r>
      <w:r w:rsidR="004D700E" w:rsidRPr="00C17648">
        <w:t xml:space="preserve"> The drug substance is manufactured by standard solid</w:t>
      </w:r>
      <w:r w:rsidR="005E279A">
        <w:noBreakHyphen/>
      </w:r>
      <w:r w:rsidR="004D700E" w:rsidRPr="00C17648">
        <w:t xml:space="preserve">phase peptide synthesis, followed by several purification steps. There </w:t>
      </w:r>
      <w:r w:rsidR="002222CC">
        <w:t>is</w:t>
      </w:r>
      <w:r w:rsidR="004D700E" w:rsidRPr="00C17648">
        <w:t xml:space="preserve"> no ICH guideline available for the synthetic peptides.</w:t>
      </w:r>
      <w:r w:rsidR="00F273D5">
        <w:rPr>
          <w:rStyle w:val="FootnoteReference"/>
        </w:rPr>
        <w:footnoteReference w:id="7"/>
      </w:r>
    </w:p>
    <w:p w14:paraId="50521FD0" w14:textId="36ACCE83" w:rsidR="00353972" w:rsidRDefault="00353972" w:rsidP="00353972">
      <w:pPr>
        <w:pStyle w:val="FigureTitle"/>
      </w:pPr>
      <w:bookmarkStart w:id="32" w:name="_Ref148963790"/>
      <w:r>
        <w:t xml:space="preserve">Figure </w:t>
      </w:r>
      <w:r w:rsidR="002B0E47">
        <w:fldChar w:fldCharType="begin"/>
      </w:r>
      <w:r w:rsidR="002B0E47">
        <w:instrText xml:space="preserve"> SEQ Figure \* ARABIC </w:instrText>
      </w:r>
      <w:r w:rsidR="002B0E47">
        <w:fldChar w:fldCharType="separate"/>
      </w:r>
      <w:r w:rsidR="008465DD">
        <w:rPr>
          <w:noProof/>
        </w:rPr>
        <w:t>1</w:t>
      </w:r>
      <w:r w:rsidR="002B0E47">
        <w:rPr>
          <w:noProof/>
        </w:rPr>
        <w:fldChar w:fldCharType="end"/>
      </w:r>
      <w:bookmarkEnd w:id="32"/>
      <w:r>
        <w:t>: Chemical structure of tirzepatide</w:t>
      </w:r>
    </w:p>
    <w:p w14:paraId="3B7FBD08" w14:textId="38A739B5" w:rsidR="002B4074" w:rsidRPr="00C17648" w:rsidRDefault="002B4074" w:rsidP="00C473D6">
      <w:r>
        <w:rPr>
          <w:noProof/>
        </w:rPr>
        <w:drawing>
          <wp:inline distT="0" distB="0" distL="0" distR="0" wp14:anchorId="025DAAED" wp14:editId="131479C1">
            <wp:extent cx="5759450" cy="1101725"/>
            <wp:effectExtent l="0" t="0" r="0" b="3175"/>
            <wp:docPr id="1" name="Picture 1" descr="Structural formula of tirzepa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ructural formula of tirzepatide"/>
                    <pic:cNvPicPr/>
                  </pic:nvPicPr>
                  <pic:blipFill>
                    <a:blip r:embed="rId21"/>
                    <a:stretch>
                      <a:fillRect/>
                    </a:stretch>
                  </pic:blipFill>
                  <pic:spPr>
                    <a:xfrm>
                      <a:off x="0" y="0"/>
                      <a:ext cx="5759450" cy="1101725"/>
                    </a:xfrm>
                    <a:prstGeom prst="rect">
                      <a:avLst/>
                    </a:prstGeom>
                  </pic:spPr>
                </pic:pic>
              </a:graphicData>
            </a:graphic>
          </wp:inline>
        </w:drawing>
      </w:r>
    </w:p>
    <w:p w14:paraId="5E96141F" w14:textId="4A73888A" w:rsidR="00CB5088" w:rsidRPr="00CB5088" w:rsidRDefault="00387F1A" w:rsidP="00CB5088">
      <w:r w:rsidRPr="00CB5088">
        <w:t>Mounjaro</w:t>
      </w:r>
      <w:r w:rsidR="004D700E" w:rsidRPr="00CB5088">
        <w:t xml:space="preserve"> is manufactured as a sterile solution, using aseptic filtration</w:t>
      </w:r>
      <w:r w:rsidR="00CB5088">
        <w:t xml:space="preserve">, and </w:t>
      </w:r>
      <w:r w:rsidR="00CB5088" w:rsidRPr="00CB5088">
        <w:t>contains no novel excipients.</w:t>
      </w:r>
    </w:p>
    <w:p w14:paraId="0708BCDD" w14:textId="2E9E5B4B" w:rsidR="00E3712F" w:rsidRPr="00CB5088" w:rsidRDefault="00CB55A7" w:rsidP="00CB5088">
      <w:r w:rsidRPr="00CB5088">
        <w:t xml:space="preserve">The solution is </w:t>
      </w:r>
      <w:r w:rsidR="005C5B61" w:rsidRPr="00CB5088">
        <w:t xml:space="preserve">contained in a glass barrel syringe (Type 1) </w:t>
      </w:r>
      <w:r w:rsidR="009C5957" w:rsidRPr="00CB5088">
        <w:t xml:space="preserve">with elastomeric plunger </w:t>
      </w:r>
      <w:r w:rsidR="005C5B61" w:rsidRPr="00CB5088">
        <w:t>encased in a disposable single</w:t>
      </w:r>
      <w:r w:rsidR="005E279A">
        <w:noBreakHyphen/>
      </w:r>
      <w:r w:rsidR="005C5B61" w:rsidRPr="00CB5088">
        <w:t>dose pen</w:t>
      </w:r>
      <w:r w:rsidR="009C5957" w:rsidRPr="00CB5088">
        <w:t xml:space="preserve"> (autoinjector)</w:t>
      </w:r>
      <w:r w:rsidR="005C5B61" w:rsidRPr="00CB5088">
        <w:t>.</w:t>
      </w:r>
    </w:p>
    <w:p w14:paraId="31153369" w14:textId="0C210858" w:rsidR="00633576" w:rsidRPr="00CB5088" w:rsidRDefault="00CB55A7" w:rsidP="00CB5088">
      <w:r w:rsidRPr="00CB5088">
        <w:t>Mounjaro</w:t>
      </w:r>
      <w:r w:rsidR="009C7B12" w:rsidRPr="00CB5088">
        <w:t xml:space="preserve"> has a </w:t>
      </w:r>
      <w:r w:rsidR="00633576" w:rsidRPr="00CB5088">
        <w:t>shelf life of 24</w:t>
      </w:r>
      <w:r w:rsidR="009C7B12" w:rsidRPr="00CB5088">
        <w:t> </w:t>
      </w:r>
      <w:r w:rsidR="00633576" w:rsidRPr="00CB5088">
        <w:t>months</w:t>
      </w:r>
      <w:r w:rsidR="009C7B12" w:rsidRPr="00CB5088">
        <w:t xml:space="preserve">, </w:t>
      </w:r>
      <w:r w:rsidR="00633576" w:rsidRPr="00CB5088">
        <w:t xml:space="preserve">based on real time data obtained at </w:t>
      </w:r>
      <w:r w:rsidR="009C7B12" w:rsidRPr="00CB5088">
        <w:t>the</w:t>
      </w:r>
      <w:r w:rsidR="009F0F05" w:rsidRPr="00CB5088">
        <w:t xml:space="preserve"> proposed </w:t>
      </w:r>
      <w:r w:rsidR="00633576" w:rsidRPr="00CB5088">
        <w:t>storage condition</w:t>
      </w:r>
      <w:r w:rsidR="00FB58CB" w:rsidRPr="00CB5088">
        <w:t xml:space="preserve"> of </w:t>
      </w:r>
      <w:r w:rsidR="00184DA4" w:rsidRPr="00CB5088">
        <w:t>2°C to 8°C</w:t>
      </w:r>
      <w:r w:rsidR="009F0F05" w:rsidRPr="00CB5088">
        <w:t xml:space="preserve"> (refrigerate</w:t>
      </w:r>
      <w:r w:rsidR="00895A33" w:rsidRPr="00CB5088">
        <w:t>; do not freeze)</w:t>
      </w:r>
      <w:r w:rsidR="0062078D" w:rsidRPr="00CB5088">
        <w:t xml:space="preserve">. </w:t>
      </w:r>
      <w:r w:rsidR="00184DA4" w:rsidRPr="00CB5088">
        <w:t>In</w:t>
      </w:r>
      <w:r w:rsidR="005E279A">
        <w:noBreakHyphen/>
      </w:r>
      <w:r w:rsidR="00184DA4" w:rsidRPr="00CB5088">
        <w:t>use</w:t>
      </w:r>
      <w:r w:rsidR="00C17648" w:rsidRPr="00CB5088">
        <w:t xml:space="preserve">, </w:t>
      </w:r>
      <w:r w:rsidR="00184DA4" w:rsidRPr="00CB5088">
        <w:t>M</w:t>
      </w:r>
      <w:r w:rsidR="00C17648" w:rsidRPr="00CB5088">
        <w:t>ounjaro</w:t>
      </w:r>
      <w:r w:rsidR="00184DA4" w:rsidRPr="00CB5088">
        <w:t xml:space="preserve"> may be stored unrefrigerated for up to 21</w:t>
      </w:r>
      <w:r w:rsidR="00EF653B" w:rsidRPr="00CB5088">
        <w:t> </w:t>
      </w:r>
      <w:r w:rsidR="00184DA4" w:rsidRPr="00CB5088">
        <w:t>days at temperatures not above 30°C.</w:t>
      </w:r>
    </w:p>
    <w:p w14:paraId="52C525DE" w14:textId="4F14B282" w:rsidR="00FE3B1B" w:rsidRPr="00CB5088" w:rsidRDefault="00FE3B1B" w:rsidP="00CB5088">
      <w:r w:rsidRPr="00CB5088">
        <w:t>Approval is recommended for registration of the proposed product from a pharmaceutical chemistry perspective.</w:t>
      </w:r>
    </w:p>
    <w:p w14:paraId="2BE90AAE" w14:textId="083DDB73" w:rsidR="00C22214" w:rsidRPr="005A5921" w:rsidRDefault="00C22214" w:rsidP="005A5921">
      <w:pPr>
        <w:pStyle w:val="Heading3"/>
      </w:pPr>
      <w:bookmarkStart w:id="33" w:name="_Toc314842512"/>
      <w:bookmarkStart w:id="34" w:name="_Toc103679296"/>
      <w:bookmarkStart w:id="35" w:name="_Toc148961941"/>
      <w:r w:rsidRPr="005A5921">
        <w:t>Nonclinical</w:t>
      </w:r>
      <w:bookmarkEnd w:id="33"/>
      <w:bookmarkEnd w:id="34"/>
      <w:bookmarkEnd w:id="35"/>
    </w:p>
    <w:p w14:paraId="3D7D990D" w14:textId="6A49BF01" w:rsidR="003740CB" w:rsidRPr="00754FB1" w:rsidRDefault="003740CB" w:rsidP="003740CB">
      <w:pPr>
        <w:spacing w:line="240" w:lineRule="auto"/>
      </w:pPr>
      <w:r w:rsidRPr="00754FB1">
        <w:t xml:space="preserve">The </w:t>
      </w:r>
      <w:r w:rsidR="0045648F">
        <w:t>nonclinical</w:t>
      </w:r>
      <w:r w:rsidRPr="00754FB1">
        <w:t xml:space="preserve"> dossier was in accordance with the relevant ICH guideline</w:t>
      </w:r>
      <w:r w:rsidR="00AE49D5">
        <w:t>s on</w:t>
      </w:r>
      <w:r w:rsidRPr="00754FB1">
        <w:t xml:space="preserve"> the nonclinical assessment of pharmaceuticals</w:t>
      </w:r>
      <w:r w:rsidR="00AE49D5">
        <w:t>,</w:t>
      </w:r>
      <w:r w:rsidR="00A90BD3">
        <w:rPr>
          <w:rStyle w:val="FootnoteReference"/>
        </w:rPr>
        <w:footnoteReference w:id="8"/>
      </w:r>
      <w:r w:rsidRPr="00754FB1">
        <w:t xml:space="preserve"> </w:t>
      </w:r>
      <w:r w:rsidR="00AE49D5">
        <w:t>and biotechnology</w:t>
      </w:r>
      <w:r w:rsidR="2B25C070">
        <w:t xml:space="preserve"> </w:t>
      </w:r>
      <w:r w:rsidR="005E279A">
        <w:noBreakHyphen/>
      </w:r>
      <w:r w:rsidR="00AE49D5">
        <w:t xml:space="preserve">derived </w:t>
      </w:r>
      <w:r w:rsidR="00AE49D5">
        <w:softHyphen/>
        <w:t>pharmaceuticals.</w:t>
      </w:r>
      <w:r w:rsidR="00E97FD2">
        <w:rPr>
          <w:rStyle w:val="FootnoteReference"/>
        </w:rPr>
        <w:footnoteReference w:id="9"/>
      </w:r>
      <w:r w:rsidR="00E97FD2">
        <w:t xml:space="preserve"> </w:t>
      </w:r>
      <w:r w:rsidRPr="00754FB1">
        <w:t xml:space="preserve">No major deficiencies were noted in the </w:t>
      </w:r>
      <w:r w:rsidR="00E97FD2">
        <w:t xml:space="preserve">nonclinical </w:t>
      </w:r>
      <w:r w:rsidRPr="00754FB1">
        <w:t>dossier.</w:t>
      </w:r>
    </w:p>
    <w:p w14:paraId="16655726" w14:textId="77777777" w:rsidR="003740CB" w:rsidRDefault="003740CB" w:rsidP="003740CB">
      <w:pPr>
        <w:spacing w:line="240" w:lineRule="auto"/>
        <w:rPr>
          <w:kern w:val="2"/>
        </w:rPr>
      </w:pPr>
      <w:r w:rsidRPr="00754FB1">
        <w:rPr>
          <w:kern w:val="2"/>
        </w:rPr>
        <w:t>The nonclinical studies confirmed the proposed mechanism of action and support the proposed indication.</w:t>
      </w:r>
    </w:p>
    <w:p w14:paraId="48CD14F6" w14:textId="4818764F" w:rsidR="003740CB" w:rsidRPr="00754FB1" w:rsidRDefault="003740CB" w:rsidP="00382C20">
      <w:pPr>
        <w:pStyle w:val="Heading4"/>
      </w:pPr>
      <w:bookmarkStart w:id="36" w:name="_Toc148961942"/>
      <w:r>
        <w:t>Adverse effects</w:t>
      </w:r>
      <w:bookmarkEnd w:id="36"/>
    </w:p>
    <w:p w14:paraId="7EA9F821" w14:textId="2A317B8E" w:rsidR="003740CB" w:rsidRPr="00754FB1" w:rsidRDefault="003740CB" w:rsidP="003740CB">
      <w:pPr>
        <w:spacing w:line="240" w:lineRule="auto"/>
      </w:pPr>
      <w:r w:rsidRPr="00754FB1">
        <w:rPr>
          <w:kern w:val="2"/>
        </w:rPr>
        <w:t>Increased heart rate was observed in monkeys at low exposures. Tirzepatide</w:t>
      </w:r>
      <w:r w:rsidR="60346E48" w:rsidRPr="00754FB1">
        <w:rPr>
          <w:kern w:val="2"/>
        </w:rPr>
        <w:t xml:space="preserve"> </w:t>
      </w:r>
      <w:r w:rsidR="005E279A">
        <w:rPr>
          <w:kern w:val="2"/>
        </w:rPr>
        <w:noBreakHyphen/>
      </w:r>
      <w:r w:rsidRPr="00754FB1">
        <w:rPr>
          <w:kern w:val="2"/>
        </w:rPr>
        <w:t xml:space="preserve">induced increase in heart rate is likely to be of clinical significance. Adverse effects on the </w:t>
      </w:r>
      <w:r w:rsidR="004F57D4">
        <w:rPr>
          <w:kern w:val="2"/>
        </w:rPr>
        <w:t>central nervous system (</w:t>
      </w:r>
      <w:r w:rsidRPr="00754FB1">
        <w:rPr>
          <w:kern w:val="2"/>
        </w:rPr>
        <w:t>CNS</w:t>
      </w:r>
      <w:r w:rsidR="004F57D4">
        <w:rPr>
          <w:kern w:val="2"/>
        </w:rPr>
        <w:t>)</w:t>
      </w:r>
      <w:r w:rsidRPr="00754FB1">
        <w:rPr>
          <w:kern w:val="2"/>
        </w:rPr>
        <w:t xml:space="preserve"> and respiratory systems are not predicted in patients.</w:t>
      </w:r>
    </w:p>
    <w:p w14:paraId="59A1173A" w14:textId="77777777" w:rsidR="003740CB" w:rsidRPr="00754FB1" w:rsidRDefault="003740CB" w:rsidP="003740CB">
      <w:pPr>
        <w:spacing w:line="240" w:lineRule="auto"/>
        <w:rPr>
          <w:kern w:val="2"/>
        </w:rPr>
      </w:pPr>
      <w:r w:rsidRPr="00754FB1">
        <w:rPr>
          <w:kern w:val="2"/>
        </w:rPr>
        <w:t>The pharmacokinetics of tirzepatide was adequately similar in the animal species used in the toxicity program and patients.</w:t>
      </w:r>
    </w:p>
    <w:p w14:paraId="1404F50C" w14:textId="475DC988" w:rsidR="003740CB" w:rsidRPr="00754FB1" w:rsidRDefault="003740CB" w:rsidP="003740CB">
      <w:pPr>
        <w:spacing w:line="240" w:lineRule="auto"/>
        <w:rPr>
          <w:kern w:val="2"/>
        </w:rPr>
      </w:pPr>
      <w:r w:rsidRPr="00754FB1">
        <w:rPr>
          <w:kern w:val="2"/>
        </w:rPr>
        <w:t>No direct target organ toxicity was identified but heart (increased heart rate) and thyroid (C</w:t>
      </w:r>
      <w:r w:rsidR="005E279A">
        <w:rPr>
          <w:kern w:val="2"/>
        </w:rPr>
        <w:noBreakHyphen/>
      </w:r>
      <w:r w:rsidRPr="00754FB1">
        <w:rPr>
          <w:kern w:val="2"/>
        </w:rPr>
        <w:t>cell hyperplasia) effects were noted in monkeys and rats, respectively, at low exposures (</w:t>
      </w:r>
      <w:r w:rsidR="009675E4">
        <w:rPr>
          <w:kern w:val="2"/>
        </w:rPr>
        <w:t xml:space="preserve">as </w:t>
      </w:r>
      <w:r w:rsidR="009675E4">
        <w:rPr>
          <w:kern w:val="2"/>
        </w:rPr>
        <w:lastRenderedPageBreak/>
        <w:t>determined by</w:t>
      </w:r>
      <w:r w:rsidR="001E7BD9">
        <w:t xml:space="preserve"> area under the concentration versus time curve </w:t>
      </w:r>
      <w:r w:rsidR="009675E4">
        <w:rPr>
          <w:kern w:val="2"/>
        </w:rPr>
        <w:t>(</w:t>
      </w:r>
      <w:r w:rsidRPr="00754FB1">
        <w:rPr>
          <w:kern w:val="2"/>
        </w:rPr>
        <w:t>AUC</w:t>
      </w:r>
      <w:r w:rsidR="009675E4">
        <w:rPr>
          <w:kern w:val="2"/>
        </w:rPr>
        <w:t>)</w:t>
      </w:r>
      <w:r w:rsidRPr="00754FB1">
        <w:rPr>
          <w:kern w:val="2"/>
        </w:rPr>
        <w:t>); these effects are likely to occur at clinical doses.</w:t>
      </w:r>
    </w:p>
    <w:p w14:paraId="1D399332" w14:textId="77777777" w:rsidR="003740CB" w:rsidRPr="00754FB1" w:rsidRDefault="003740CB" w:rsidP="003740CB">
      <w:pPr>
        <w:spacing w:line="240" w:lineRule="auto"/>
        <w:rPr>
          <w:kern w:val="2"/>
        </w:rPr>
      </w:pPr>
      <w:r w:rsidRPr="00754FB1">
        <w:rPr>
          <w:kern w:val="2"/>
        </w:rPr>
        <w:t>Tirzepatide is not expected to pose a genotoxic concern.</w:t>
      </w:r>
    </w:p>
    <w:p w14:paraId="44D0A3BB" w14:textId="74CE15E3" w:rsidR="003740CB" w:rsidRDefault="003740CB" w:rsidP="003740CB">
      <w:pPr>
        <w:spacing w:line="240" w:lineRule="auto"/>
      </w:pPr>
      <w:r w:rsidRPr="00754FB1">
        <w:t xml:space="preserve">In a </w:t>
      </w:r>
      <w:r w:rsidR="00320553">
        <w:t>2</w:t>
      </w:r>
      <w:r w:rsidR="005E279A">
        <w:noBreakHyphen/>
      </w:r>
      <w:r w:rsidRPr="00754FB1">
        <w:t>year rat carcinogenicity study, tirzepatide</w:t>
      </w:r>
      <w:r w:rsidR="005E279A">
        <w:noBreakHyphen/>
      </w:r>
      <w:r w:rsidRPr="00754FB1">
        <w:t>related proliferative lesions and neoplastic findings were observed in thyroid C</w:t>
      </w:r>
      <w:r w:rsidR="005E279A">
        <w:noBreakHyphen/>
      </w:r>
      <w:r w:rsidRPr="00754FB1">
        <w:t>cells at subclinical exposures. Thyroid C</w:t>
      </w:r>
      <w:r w:rsidR="005E279A">
        <w:noBreakHyphen/>
      </w:r>
      <w:r w:rsidRPr="00754FB1">
        <w:t>cell tumour is considered a potential clinical risk.</w:t>
      </w:r>
    </w:p>
    <w:p w14:paraId="35AE01DF" w14:textId="549CD27F" w:rsidR="001A178A" w:rsidRDefault="001A178A" w:rsidP="001A178A">
      <w:pPr>
        <w:pStyle w:val="Heading4"/>
      </w:pPr>
      <w:bookmarkStart w:id="37" w:name="_Toc148961943"/>
      <w:r>
        <w:t>Pregnancy category</w:t>
      </w:r>
      <w:bookmarkEnd w:id="37"/>
    </w:p>
    <w:p w14:paraId="6F8AA059" w14:textId="07B424E6" w:rsidR="001A178A" w:rsidRDefault="001A178A" w:rsidP="001A178A">
      <w:pPr>
        <w:spacing w:line="240" w:lineRule="auto"/>
        <w:rPr>
          <w:kern w:val="2"/>
        </w:rPr>
      </w:pPr>
      <w:r w:rsidRPr="00754FB1">
        <w:rPr>
          <w:kern w:val="2"/>
        </w:rPr>
        <w:t xml:space="preserve">The </w:t>
      </w:r>
      <w:r>
        <w:rPr>
          <w:kern w:val="2"/>
        </w:rPr>
        <w:t>s</w:t>
      </w:r>
      <w:r w:rsidRPr="00754FB1">
        <w:rPr>
          <w:kern w:val="2"/>
        </w:rPr>
        <w:t>ponsor proposed Pregnancy Category D.</w:t>
      </w:r>
      <w:bookmarkStart w:id="38" w:name="_Ref144286240"/>
      <w:r w:rsidR="00BA7A71">
        <w:rPr>
          <w:rStyle w:val="FootnoteReference"/>
          <w:kern w:val="2"/>
        </w:rPr>
        <w:footnoteReference w:id="10"/>
      </w:r>
      <w:bookmarkEnd w:id="38"/>
      <w:r w:rsidRPr="00754FB1">
        <w:rPr>
          <w:kern w:val="2"/>
        </w:rPr>
        <w:t xml:space="preserve"> Given that drug related </w:t>
      </w:r>
      <w:r w:rsidRPr="00423357">
        <w:t>increased incidences of post</w:t>
      </w:r>
      <w:r w:rsidR="00BA7A71">
        <w:t> </w:t>
      </w:r>
      <w:r w:rsidRPr="00423357">
        <w:t xml:space="preserve">implantation loss, </w:t>
      </w:r>
      <w:r>
        <w:t xml:space="preserve">impaired growth and </w:t>
      </w:r>
      <w:r w:rsidRPr="00754FB1">
        <w:t>fetal malformations</w:t>
      </w:r>
      <w:r>
        <w:t xml:space="preserve"> </w:t>
      </w:r>
      <w:r w:rsidRPr="00754FB1">
        <w:t>were observed at subclinical exposure ratios, in rats</w:t>
      </w:r>
      <w:r w:rsidRPr="00754FB1">
        <w:rPr>
          <w:kern w:val="2"/>
        </w:rPr>
        <w:t xml:space="preserve">, this is considered appropriate. The mechanisms underlying these adverse embryofetal development effects have not been fully elucidated. Tirzepatide should </w:t>
      </w:r>
      <w:r w:rsidRPr="005A28B1">
        <w:rPr>
          <w:kern w:val="2"/>
        </w:rPr>
        <w:t>not be used during pregnancy.</w:t>
      </w:r>
    </w:p>
    <w:p w14:paraId="52B84DFC" w14:textId="1F444574" w:rsidR="00BA7A71" w:rsidRDefault="00BA7A71" w:rsidP="00BA7A71">
      <w:pPr>
        <w:pStyle w:val="Heading4"/>
      </w:pPr>
      <w:bookmarkStart w:id="39" w:name="_Toc148961944"/>
      <w:r>
        <w:t>Conclusion</w:t>
      </w:r>
      <w:bookmarkEnd w:id="39"/>
    </w:p>
    <w:p w14:paraId="355EB175" w14:textId="190A7562" w:rsidR="003740CB" w:rsidRPr="00535975" w:rsidRDefault="003740CB" w:rsidP="003740CB">
      <w:pPr>
        <w:spacing w:line="240" w:lineRule="auto"/>
        <w:rPr>
          <w:kern w:val="2"/>
        </w:rPr>
      </w:pPr>
      <w:r w:rsidRPr="00754FB1">
        <w:t>There are no nonclinical objections to registration</w:t>
      </w:r>
      <w:r w:rsidR="00976D12">
        <w:t xml:space="preserve"> from the nonclinical perspective.</w:t>
      </w:r>
    </w:p>
    <w:p w14:paraId="35B580A5" w14:textId="13F20E8E" w:rsidR="00C22214" w:rsidRDefault="00C22214" w:rsidP="008804CF">
      <w:pPr>
        <w:pStyle w:val="Heading3"/>
      </w:pPr>
      <w:bookmarkStart w:id="40" w:name="_Toc247691530"/>
      <w:bookmarkStart w:id="41" w:name="_Toc314842513"/>
      <w:bookmarkStart w:id="42" w:name="_Toc103679297"/>
      <w:bookmarkStart w:id="43" w:name="_Toc148961945"/>
      <w:r>
        <w:t>Clinical</w:t>
      </w:r>
      <w:bookmarkEnd w:id="40"/>
      <w:bookmarkEnd w:id="41"/>
      <w:bookmarkEnd w:id="42"/>
      <w:bookmarkEnd w:id="43"/>
    </w:p>
    <w:p w14:paraId="32B0DEDA" w14:textId="48252212" w:rsidR="00C22214" w:rsidRPr="00433318" w:rsidRDefault="00C22214" w:rsidP="00433318">
      <w:pPr>
        <w:pStyle w:val="Heading4"/>
      </w:pPr>
      <w:bookmarkStart w:id="44" w:name="_Toc98931928"/>
      <w:bookmarkStart w:id="45" w:name="_Toc148961946"/>
      <w:r>
        <w:t>Summary of clinical studies</w:t>
      </w:r>
      <w:bookmarkEnd w:id="44"/>
      <w:bookmarkEnd w:id="45"/>
    </w:p>
    <w:p w14:paraId="46622364" w14:textId="67C85A74" w:rsidR="00C22214" w:rsidRPr="00BD5DBD" w:rsidRDefault="00C22214" w:rsidP="00C22214">
      <w:pPr>
        <w:rPr>
          <w:szCs w:val="22"/>
        </w:rPr>
      </w:pPr>
      <w:r w:rsidRPr="00BD5DBD">
        <w:rPr>
          <w:szCs w:val="22"/>
        </w:rPr>
        <w:t>The clinical dossier consisted of</w:t>
      </w:r>
      <w:r w:rsidR="000C4063">
        <w:rPr>
          <w:szCs w:val="22"/>
        </w:rPr>
        <w:t xml:space="preserve"> 19 completed clinical studies</w:t>
      </w:r>
      <w:r w:rsidR="007357B9" w:rsidRPr="00BD5DBD">
        <w:rPr>
          <w:szCs w:val="22"/>
        </w:rPr>
        <w:t>:</w:t>
      </w:r>
    </w:p>
    <w:p w14:paraId="4225841F" w14:textId="16364300" w:rsidR="00C444D6" w:rsidRPr="006F6378" w:rsidRDefault="000F666A" w:rsidP="00C24AEA">
      <w:pPr>
        <w:pStyle w:val="ListBullet"/>
      </w:pPr>
      <w:r w:rsidRPr="006F6378">
        <w:t>3 biopharmaceutic studies (</w:t>
      </w:r>
      <w:r w:rsidR="005506DC" w:rsidRPr="006F6378">
        <w:t xml:space="preserve">Studies </w:t>
      </w:r>
      <w:r w:rsidRPr="006F6378">
        <w:t xml:space="preserve">GPHI, GPGS, </w:t>
      </w:r>
      <w:r w:rsidR="005506DC" w:rsidRPr="006F6378">
        <w:t xml:space="preserve">and </w:t>
      </w:r>
      <w:r w:rsidRPr="006F6378">
        <w:t>GPGE)</w:t>
      </w:r>
    </w:p>
    <w:p w14:paraId="44CF010A" w14:textId="705D2962" w:rsidR="000F666A" w:rsidRPr="00C24AEA" w:rsidRDefault="000F666A" w:rsidP="00C24AEA">
      <w:pPr>
        <w:pStyle w:val="ListBullet"/>
      </w:pPr>
      <w:r w:rsidRPr="00C24AEA">
        <w:t xml:space="preserve">7 clinical pharmacology studies (including </w:t>
      </w:r>
      <w:r w:rsidR="00C24AEA">
        <w:t>one</w:t>
      </w:r>
      <w:r w:rsidRPr="00C24AEA">
        <w:t xml:space="preserve"> mechanism of action study) (</w:t>
      </w:r>
      <w:r w:rsidR="005506DC">
        <w:t xml:space="preserve">Studies </w:t>
      </w:r>
      <w:r w:rsidRPr="00C24AEA">
        <w:t xml:space="preserve">GPGR, GPGA, GPGG, GPGQ, GPHX, GPGT, </w:t>
      </w:r>
      <w:r w:rsidR="005506DC">
        <w:t xml:space="preserve">and </w:t>
      </w:r>
      <w:r w:rsidRPr="00C24AEA">
        <w:t>GPGC) designed to assess the pharmacokinetics (PK), pharmacodynamics (PD), the effects of extrinsic and intrinsic factors on tirzepatide PK, the impact of tirzepatide on PK of orally administered drugs, and safety and tolerability of tirzepatide</w:t>
      </w:r>
    </w:p>
    <w:p w14:paraId="5467A935" w14:textId="0E04D9CB" w:rsidR="000F666A" w:rsidRPr="00C24AEA" w:rsidRDefault="000F666A" w:rsidP="00C24AEA">
      <w:pPr>
        <w:pStyle w:val="ListBullet"/>
      </w:pPr>
      <w:r w:rsidRPr="00C24AEA">
        <w:t xml:space="preserve">2 Phase </w:t>
      </w:r>
      <w:r w:rsidR="00C444D6" w:rsidRPr="00C24AEA">
        <w:t>II</w:t>
      </w:r>
      <w:r w:rsidRPr="00C24AEA">
        <w:t xml:space="preserve"> studies (</w:t>
      </w:r>
      <w:r w:rsidR="005506DC">
        <w:t xml:space="preserve">Studies </w:t>
      </w:r>
      <w:r w:rsidRPr="00C24AEA">
        <w:t>GPGB and GPGF): multicentre, double</w:t>
      </w:r>
      <w:r w:rsidR="00C444D6" w:rsidRPr="00C24AEA">
        <w:t> </w:t>
      </w:r>
      <w:r w:rsidRPr="00C24AEA">
        <w:t>blind studies conducted to provide assessments of the efficacy, safety, and tolerability of tirzepatide between 1 and 1</w:t>
      </w:r>
      <w:r w:rsidR="009F6F50">
        <w:t>5 mg</w:t>
      </w:r>
      <w:r w:rsidRPr="00C24AEA">
        <w:t xml:space="preserve"> to support dose selection and optimisation of the dose</w:t>
      </w:r>
      <w:r w:rsidR="00903F51" w:rsidRPr="00C24AEA">
        <w:t> </w:t>
      </w:r>
      <w:r w:rsidRPr="00C24AEA">
        <w:t xml:space="preserve">escalation scheme for Phase </w:t>
      </w:r>
      <w:r w:rsidR="00903F51" w:rsidRPr="00C24AEA">
        <w:t>III</w:t>
      </w:r>
      <w:r w:rsidRPr="00C24AEA">
        <w:t xml:space="preserve"> studies.</w:t>
      </w:r>
    </w:p>
    <w:p w14:paraId="27D34885" w14:textId="5E341650" w:rsidR="000F666A" w:rsidRPr="00C24AEA" w:rsidRDefault="000F666A" w:rsidP="00C24AEA">
      <w:pPr>
        <w:pStyle w:val="ListBullet"/>
      </w:pPr>
      <w:r w:rsidRPr="00C24AEA">
        <w:t xml:space="preserve">5 global (pivotal) Phase </w:t>
      </w:r>
      <w:r w:rsidR="00C444D6" w:rsidRPr="00C24AEA">
        <w:t>III</w:t>
      </w:r>
      <w:r w:rsidRPr="00C24AEA">
        <w:t xml:space="preserve"> studies: SURPASS</w:t>
      </w:r>
      <w:r w:rsidR="005E279A">
        <w:noBreakHyphen/>
      </w:r>
      <w:r w:rsidRPr="00C24AEA">
        <w:t>1 (</w:t>
      </w:r>
      <w:r w:rsidR="005506DC">
        <w:t xml:space="preserve">Study </w:t>
      </w:r>
      <w:r w:rsidRPr="00C24AEA">
        <w:t>GPGK), SURPASS</w:t>
      </w:r>
      <w:r w:rsidR="005E279A">
        <w:noBreakHyphen/>
      </w:r>
      <w:r w:rsidRPr="00C24AEA">
        <w:t>2 (</w:t>
      </w:r>
      <w:r w:rsidR="005506DC">
        <w:t xml:space="preserve">Study </w:t>
      </w:r>
      <w:r w:rsidRPr="00C24AEA">
        <w:t>GPGL), SURPASS</w:t>
      </w:r>
      <w:r w:rsidR="005E279A">
        <w:noBreakHyphen/>
      </w:r>
      <w:r w:rsidRPr="00C24AEA">
        <w:t>3 (</w:t>
      </w:r>
      <w:r w:rsidR="005506DC">
        <w:t xml:space="preserve">Study </w:t>
      </w:r>
      <w:r w:rsidRPr="00C24AEA">
        <w:t>GPGH), SURPASS</w:t>
      </w:r>
      <w:r w:rsidR="005E279A">
        <w:noBreakHyphen/>
      </w:r>
      <w:r w:rsidRPr="00C24AEA">
        <w:t>4 (</w:t>
      </w:r>
      <w:r w:rsidR="005506DC">
        <w:t xml:space="preserve">Study </w:t>
      </w:r>
      <w:r w:rsidRPr="00C24AEA">
        <w:t>GPGM), and SURPASS</w:t>
      </w:r>
      <w:r w:rsidR="005E279A">
        <w:noBreakHyphen/>
      </w:r>
      <w:r w:rsidRPr="00C24AEA">
        <w:t>5 (</w:t>
      </w:r>
      <w:r w:rsidR="005506DC">
        <w:t xml:space="preserve">Study </w:t>
      </w:r>
      <w:r w:rsidRPr="00C24AEA">
        <w:t>GPGI)</w:t>
      </w:r>
    </w:p>
    <w:p w14:paraId="6F91F03A" w14:textId="6FFCC94D" w:rsidR="000F666A" w:rsidRPr="00C24AEA" w:rsidRDefault="000F666A" w:rsidP="00C24AEA">
      <w:pPr>
        <w:pStyle w:val="ListBullet"/>
      </w:pPr>
      <w:r w:rsidRPr="00C24AEA">
        <w:t xml:space="preserve">2 regional Phase </w:t>
      </w:r>
      <w:r w:rsidR="00C444D6" w:rsidRPr="00C24AEA">
        <w:t>III</w:t>
      </w:r>
      <w:r w:rsidRPr="00C24AEA">
        <w:t xml:space="preserve"> studies (SURPASS J</w:t>
      </w:r>
      <w:r w:rsidR="005E279A">
        <w:noBreakHyphen/>
      </w:r>
      <w:r w:rsidRPr="00C24AEA">
        <w:t>mono (</w:t>
      </w:r>
      <w:r w:rsidR="005506DC">
        <w:t xml:space="preserve">Study </w:t>
      </w:r>
      <w:r w:rsidRPr="00C24AEA">
        <w:t>GPGO) and SURPASS J</w:t>
      </w:r>
      <w:r w:rsidR="005E279A">
        <w:noBreakHyphen/>
      </w:r>
      <w:r w:rsidRPr="00C24AEA">
        <w:t>combo (</w:t>
      </w:r>
      <w:r w:rsidR="005506DC">
        <w:t xml:space="preserve">Study </w:t>
      </w:r>
      <w:r w:rsidRPr="00C24AEA">
        <w:t>GPGP), conducted in Japan): 52</w:t>
      </w:r>
      <w:r w:rsidR="005E279A">
        <w:noBreakHyphen/>
      </w:r>
      <w:r w:rsidRPr="00C24AEA">
        <w:t>week, multicentre studies. The data from these studies are not included in the efficacy assessment but contribute to the safety assessment.</w:t>
      </w:r>
    </w:p>
    <w:p w14:paraId="11D60E40" w14:textId="4FC39279" w:rsidR="000F666A" w:rsidRPr="00B56450" w:rsidRDefault="000F666A" w:rsidP="00B56450">
      <w:r w:rsidRPr="00B56450">
        <w:t>As at 2</w:t>
      </w:r>
      <w:r w:rsidR="00D24224" w:rsidRPr="00B56450">
        <w:t> </w:t>
      </w:r>
      <w:r w:rsidRPr="00B56450">
        <w:t>June</w:t>
      </w:r>
      <w:r w:rsidR="00D24224" w:rsidRPr="00B56450">
        <w:t> </w:t>
      </w:r>
      <w:r w:rsidRPr="00B56450">
        <w:t xml:space="preserve">2021, tirzepatide is </w:t>
      </w:r>
      <w:r w:rsidR="0093332C" w:rsidRPr="00B56450">
        <w:t xml:space="preserve">under assessment </w:t>
      </w:r>
      <w:r w:rsidRPr="00B56450">
        <w:t xml:space="preserve">in 15 ongoing studies to further evaluate the potential </w:t>
      </w:r>
      <w:r w:rsidR="0012521C">
        <w:t>cardiovascular</w:t>
      </w:r>
      <w:r w:rsidRPr="00B56450">
        <w:t xml:space="preserve"> benefit, safety, and mechanism of action; and support potential other indications, including chronic weight management, heart failure with preserved ejection fraction and non</w:t>
      </w:r>
      <w:r w:rsidR="005E279A">
        <w:noBreakHyphen/>
      </w:r>
      <w:r w:rsidRPr="00B56450">
        <w:t>alcoholic steatohepatitis.</w:t>
      </w:r>
    </w:p>
    <w:p w14:paraId="5BED5C74" w14:textId="5398E720" w:rsidR="000F666A" w:rsidRDefault="000F666A" w:rsidP="000F666A">
      <w:pPr>
        <w:pStyle w:val="Heading4"/>
        <w:spacing w:line="240" w:lineRule="auto"/>
      </w:pPr>
      <w:bookmarkStart w:id="46" w:name="_Toc148961947"/>
      <w:r w:rsidRPr="00AA53F4">
        <w:lastRenderedPageBreak/>
        <w:t>Pharmacology</w:t>
      </w:r>
      <w:bookmarkEnd w:id="46"/>
    </w:p>
    <w:p w14:paraId="3C00B89D" w14:textId="4DF146F4" w:rsidR="000F666A" w:rsidRPr="0015309E" w:rsidRDefault="000F666A" w:rsidP="0015309E">
      <w:r w:rsidRPr="0015309E">
        <w:t>The pharmacokinetic (PK) and pharmacodynamics (PD) properties of tirzepatide in healthy subjects and in patients with</w:t>
      </w:r>
      <w:r w:rsidR="000C60AC">
        <w:t xml:space="preserve"> </w:t>
      </w:r>
      <w:r w:rsidRPr="0015309E">
        <w:t>T2DM following single (0.2</w:t>
      </w:r>
      <w:r w:rsidR="009F6F50">
        <w:t>5 mg</w:t>
      </w:r>
      <w:r w:rsidRPr="0015309E">
        <w:t xml:space="preserve"> to 8</w:t>
      </w:r>
      <w:r w:rsidR="000C60AC">
        <w:t> </w:t>
      </w:r>
      <w:r w:rsidRPr="0015309E">
        <w:t>mg) and multiple doses (0.</w:t>
      </w:r>
      <w:r w:rsidR="009F6F50">
        <w:t>5 mg</w:t>
      </w:r>
      <w:r w:rsidRPr="0015309E">
        <w:t xml:space="preserve"> to 1</w:t>
      </w:r>
      <w:r w:rsidR="009F6F50">
        <w:t>5 mg</w:t>
      </w:r>
      <w:r w:rsidRPr="0015309E">
        <w:t xml:space="preserve">) were evaluated in 10 Phase </w:t>
      </w:r>
      <w:r w:rsidR="000C60AC">
        <w:t>I</w:t>
      </w:r>
      <w:r w:rsidRPr="0015309E">
        <w:t xml:space="preserve"> studies (3 biopharmaceutic studies and 7 clinical pharmacology studies).</w:t>
      </w:r>
    </w:p>
    <w:p w14:paraId="02B73D26" w14:textId="5BD98D4B" w:rsidR="000F666A" w:rsidRPr="0015309E" w:rsidRDefault="000F666A" w:rsidP="0015309E">
      <w:r w:rsidRPr="0015309E">
        <w:t xml:space="preserve">Pharmacokinetic data collected in the </w:t>
      </w:r>
      <w:r w:rsidR="00623237">
        <w:t>2</w:t>
      </w:r>
      <w:r w:rsidRPr="0015309E">
        <w:t xml:space="preserve"> Phase </w:t>
      </w:r>
      <w:r w:rsidR="00623237">
        <w:t>II</w:t>
      </w:r>
      <w:r w:rsidRPr="0015309E">
        <w:t xml:space="preserve"> and the </w:t>
      </w:r>
      <w:r w:rsidR="00623237">
        <w:t>7</w:t>
      </w:r>
      <w:r w:rsidRPr="0015309E">
        <w:t xml:space="preserve"> Phase </w:t>
      </w:r>
      <w:r w:rsidR="00623237">
        <w:t>III</w:t>
      </w:r>
      <w:r w:rsidRPr="0015309E">
        <w:t xml:space="preserve"> studies was used exclusively for population PK as well as PK/PD analyses.</w:t>
      </w:r>
    </w:p>
    <w:p w14:paraId="4AB193AD" w14:textId="7A8393FE" w:rsidR="000F666A" w:rsidRDefault="000F666A" w:rsidP="000F666A">
      <w:pPr>
        <w:pStyle w:val="Heading5"/>
        <w:spacing w:line="240" w:lineRule="auto"/>
      </w:pPr>
      <w:r w:rsidRPr="00AA53F4">
        <w:t>Pharmacokinetics (PK)</w:t>
      </w:r>
    </w:p>
    <w:p w14:paraId="197B2886" w14:textId="71162EF0" w:rsidR="000F666A" w:rsidRDefault="000F666A" w:rsidP="000F666A">
      <w:pPr>
        <w:pStyle w:val="Heading6"/>
        <w:spacing w:line="240" w:lineRule="auto"/>
      </w:pPr>
      <w:r>
        <w:t>Absorption</w:t>
      </w:r>
    </w:p>
    <w:p w14:paraId="24CE4A8A" w14:textId="1CD6FD68" w:rsidR="000F666A" w:rsidRPr="004766C2" w:rsidRDefault="000F666A" w:rsidP="004766C2">
      <w:r w:rsidRPr="004766C2">
        <w:t>Following single and multiple once weekly doses of tirzepatide, the peak plasma concentrations were reached after approx</w:t>
      </w:r>
      <w:r w:rsidR="00BB1E78" w:rsidRPr="004766C2">
        <w:t>imately</w:t>
      </w:r>
      <w:r w:rsidRPr="004766C2">
        <w:t xml:space="preserve"> 24 h</w:t>
      </w:r>
      <w:r w:rsidR="00BB1E78" w:rsidRPr="004766C2">
        <w:t>ours</w:t>
      </w:r>
      <w:r w:rsidRPr="004766C2">
        <w:t xml:space="preserve"> (median). The absolute bioavailability was approx</w:t>
      </w:r>
      <w:r w:rsidR="004766C2">
        <w:t>imately</w:t>
      </w:r>
      <w:r w:rsidRPr="004766C2">
        <w:t xml:space="preserve"> 80% </w:t>
      </w:r>
      <w:r w:rsidR="004B504F">
        <w:t>b</w:t>
      </w:r>
      <w:r w:rsidRPr="004766C2">
        <w:t xml:space="preserve">ased on the </w:t>
      </w:r>
      <w:r w:rsidR="001E7BD9">
        <w:t>area under the concentration versus time curve from time zero to infinity (</w:t>
      </w:r>
      <w:r w:rsidRPr="004766C2">
        <w:t>AUC</w:t>
      </w:r>
      <w:r w:rsidR="001E7BD9">
        <w:rPr>
          <w:vertAlign w:val="subscript"/>
        </w:rPr>
        <w:t>inf</w:t>
      </w:r>
      <w:r w:rsidRPr="004766C2">
        <w:t xml:space="preserve">) ratio following </w:t>
      </w:r>
      <w:r w:rsidR="004766C2">
        <w:t>subcutaneous</w:t>
      </w:r>
      <w:r w:rsidRPr="004766C2">
        <w:t xml:space="preserve"> and </w:t>
      </w:r>
      <w:r w:rsidR="004766C2">
        <w:t>intravenous</w:t>
      </w:r>
      <w:r w:rsidRPr="004766C2">
        <w:t xml:space="preserve"> administration (</w:t>
      </w:r>
      <w:r w:rsidR="004B504F">
        <w:t xml:space="preserve">Study </w:t>
      </w:r>
      <w:r w:rsidRPr="004766C2">
        <w:t>GPGE). Based on this, the sponsor proposes subcutaneous administration without dose adjustment. Furthermore, an additional relative bioavailability study demonstrated comparability of tirzepatide injections administered with either the prefilled syringe or the single</w:t>
      </w:r>
      <w:r w:rsidR="005E279A">
        <w:noBreakHyphen/>
      </w:r>
      <w:r w:rsidRPr="004766C2">
        <w:t>dose pen.</w:t>
      </w:r>
    </w:p>
    <w:p w14:paraId="2A384E8B" w14:textId="3D4CE4CE" w:rsidR="006121AA" w:rsidRDefault="000F666A" w:rsidP="004766C2">
      <w:r w:rsidRPr="004766C2">
        <w:t xml:space="preserve">Graphical analyses suggest that a steady state is reached after approximately </w:t>
      </w:r>
      <w:r w:rsidR="00320553">
        <w:t>4</w:t>
      </w:r>
      <w:r w:rsidRPr="004766C2">
        <w:t xml:space="preserve"> </w:t>
      </w:r>
      <w:r w:rsidR="006121AA">
        <w:t>once weekly</w:t>
      </w:r>
      <w:r w:rsidRPr="004766C2">
        <w:t xml:space="preserve"> doses. Following the proposed dose escalation regimen, steady state tirzepatide exposures were predicted (</w:t>
      </w:r>
      <w:r w:rsidR="00DF0AA7">
        <w:fldChar w:fldCharType="begin"/>
      </w:r>
      <w:r w:rsidR="00DF0AA7">
        <w:instrText xml:space="preserve"> REF _Ref144216033 \h </w:instrText>
      </w:r>
      <w:r w:rsidR="00DF0AA7">
        <w:fldChar w:fldCharType="separate"/>
      </w:r>
      <w:r w:rsidR="008465DD">
        <w:t xml:space="preserve">Table </w:t>
      </w:r>
      <w:r w:rsidR="008465DD">
        <w:rPr>
          <w:noProof/>
        </w:rPr>
        <w:t>3</w:t>
      </w:r>
      <w:r w:rsidR="00DF0AA7">
        <w:fldChar w:fldCharType="end"/>
      </w:r>
      <w:r w:rsidR="00DF0AA7">
        <w:t xml:space="preserve"> and </w:t>
      </w:r>
      <w:r w:rsidR="00DF0AA7">
        <w:fldChar w:fldCharType="begin"/>
      </w:r>
      <w:r w:rsidR="00DF0AA7">
        <w:instrText xml:space="preserve"> REF _Ref144216063 \h </w:instrText>
      </w:r>
      <w:r w:rsidR="00DF0AA7">
        <w:fldChar w:fldCharType="separate"/>
      </w:r>
      <w:r w:rsidR="008465DD">
        <w:t xml:space="preserve">Figure </w:t>
      </w:r>
      <w:r w:rsidR="008465DD">
        <w:rPr>
          <w:noProof/>
        </w:rPr>
        <w:t>2</w:t>
      </w:r>
      <w:r w:rsidR="00DF0AA7">
        <w:fldChar w:fldCharType="end"/>
      </w:r>
      <w:r w:rsidRPr="004766C2">
        <w:t>).</w:t>
      </w:r>
    </w:p>
    <w:p w14:paraId="190E49E8" w14:textId="7EC44343" w:rsidR="000F666A" w:rsidRDefault="005F2A91" w:rsidP="005F2A91">
      <w:pPr>
        <w:pStyle w:val="TableTitle"/>
      </w:pPr>
      <w:bookmarkStart w:id="47" w:name="_Ref144216033"/>
      <w:r>
        <w:t xml:space="preserve">Table </w:t>
      </w:r>
      <w:r w:rsidR="002B0E47">
        <w:fldChar w:fldCharType="begin"/>
      </w:r>
      <w:r w:rsidR="002B0E47">
        <w:instrText xml:space="preserve"> SEQ Table \* ARABIC </w:instrText>
      </w:r>
      <w:r w:rsidR="002B0E47">
        <w:fldChar w:fldCharType="separate"/>
      </w:r>
      <w:r w:rsidR="008465DD">
        <w:rPr>
          <w:noProof/>
        </w:rPr>
        <w:t>3</w:t>
      </w:r>
      <w:r w:rsidR="002B0E47">
        <w:rPr>
          <w:noProof/>
        </w:rPr>
        <w:fldChar w:fldCharType="end"/>
      </w:r>
      <w:bookmarkEnd w:id="47"/>
      <w:r>
        <w:t xml:space="preserve">: Population pharmacokinetic study </w:t>
      </w:r>
      <w:r w:rsidRPr="004766C2">
        <w:t>Model predicted steady</w:t>
      </w:r>
      <w:r w:rsidR="005E279A">
        <w:noBreakHyphen/>
      </w:r>
      <w:r w:rsidRPr="004766C2">
        <w:t>state tirzepatide exposure indices for the T2DM population</w:t>
      </w:r>
    </w:p>
    <w:p w14:paraId="22B107A8" w14:textId="18C5004A" w:rsidR="005F2A91" w:rsidRPr="00215907" w:rsidRDefault="009B0914" w:rsidP="000F666A">
      <w:pPr>
        <w:spacing w:line="240" w:lineRule="auto"/>
        <w:rPr>
          <w:lang w:val="en-GB"/>
        </w:rPr>
      </w:pPr>
      <w:r>
        <w:rPr>
          <w:noProof/>
        </w:rPr>
        <w:drawing>
          <wp:inline distT="0" distB="0" distL="0" distR="0" wp14:anchorId="58A8D4EC" wp14:editId="119B4623">
            <wp:extent cx="5104738" cy="1079149"/>
            <wp:effectExtent l="0" t="0" r="1270" b="6985"/>
            <wp:docPr id="3" name="Picture 3" descr="Tabulation of popPK study results. Left column is Exposure Parameters (C max, C trough, C steady state, Area under curve).  Results for three doses of tirzepatide as geometric mean with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ulation of popPK study results. Left column is Exposure Parameters (C max, C trough, C steady state, Area under curve).  Results for three doses of tirzepatide as geometric mean with CV%"/>
                    <pic:cNvPicPr/>
                  </pic:nvPicPr>
                  <pic:blipFill>
                    <a:blip r:embed="rId22"/>
                    <a:stretch>
                      <a:fillRect/>
                    </a:stretch>
                  </pic:blipFill>
                  <pic:spPr>
                    <a:xfrm>
                      <a:off x="0" y="0"/>
                      <a:ext cx="5142080" cy="1087043"/>
                    </a:xfrm>
                    <a:prstGeom prst="rect">
                      <a:avLst/>
                    </a:prstGeom>
                  </pic:spPr>
                </pic:pic>
              </a:graphicData>
            </a:graphic>
          </wp:inline>
        </w:drawing>
      </w:r>
    </w:p>
    <w:p w14:paraId="00A1C261" w14:textId="51CF140B" w:rsidR="0070636A" w:rsidRDefault="0070636A" w:rsidP="0070636A">
      <w:pPr>
        <w:pStyle w:val="TableDescription"/>
      </w:pPr>
      <w:r>
        <w:t>Abbreviations: AUC = area under the concentration versus time curve; CV = geometric coefficient of variation; Cmax = maximum observed drug concentration; Css = concentration at steady state; Ctrough = trough concentration; QW = once weekly.</w:t>
      </w:r>
    </w:p>
    <w:p w14:paraId="16E4BEAF" w14:textId="62E7165A" w:rsidR="000F666A" w:rsidRPr="00215907" w:rsidRDefault="0070636A" w:rsidP="0070636A">
      <w:pPr>
        <w:pStyle w:val="TableDescription"/>
        <w:rPr>
          <w:color w:val="657C9C" w:themeColor="text2" w:themeTint="BF"/>
        </w:rPr>
      </w:pPr>
      <w:r>
        <w:t xml:space="preserve">Note: Simulations using distributions of baseline body weight, baseline </w:t>
      </w:r>
      <w:r w:rsidR="00981CA2">
        <w:t>body mass index</w:t>
      </w:r>
      <w:r>
        <w:t xml:space="preserve">, and sex from patients with </w:t>
      </w:r>
      <w:r w:rsidR="000E4304">
        <w:t xml:space="preserve">type 2 diabetes mellitus </w:t>
      </w:r>
      <w:r>
        <w:t xml:space="preserve">in the population </w:t>
      </w:r>
      <w:r w:rsidR="00F435A6">
        <w:t>pharmacokinetics</w:t>
      </w:r>
      <w:r>
        <w:t xml:space="preserve"> analysis dataset. Simulation mean body weight=89.6</w:t>
      </w:r>
      <w:r w:rsidR="000E4304">
        <w:t> </w:t>
      </w:r>
      <w:r>
        <w:t>kg.</w:t>
      </w:r>
    </w:p>
    <w:p w14:paraId="3A394333" w14:textId="4D452370" w:rsidR="005F3247" w:rsidRDefault="00EC4AEC" w:rsidP="00C473D6">
      <w:pPr>
        <w:pStyle w:val="FigureTitle"/>
      </w:pPr>
      <w:bookmarkStart w:id="48" w:name="_Ref144216063"/>
      <w:r>
        <w:lastRenderedPageBreak/>
        <w:t xml:space="preserve">Figure </w:t>
      </w:r>
      <w:r w:rsidR="002B0E47">
        <w:fldChar w:fldCharType="begin"/>
      </w:r>
      <w:r w:rsidR="002B0E47">
        <w:instrText xml:space="preserve"> SEQ Fig</w:instrText>
      </w:r>
      <w:r w:rsidR="002B0E47">
        <w:instrText xml:space="preserve">ure \* ARABIC </w:instrText>
      </w:r>
      <w:r w:rsidR="002B0E47">
        <w:fldChar w:fldCharType="separate"/>
      </w:r>
      <w:r w:rsidR="008465DD">
        <w:rPr>
          <w:noProof/>
        </w:rPr>
        <w:t>2</w:t>
      </w:r>
      <w:r w:rsidR="002B0E47">
        <w:rPr>
          <w:noProof/>
        </w:rPr>
        <w:fldChar w:fldCharType="end"/>
      </w:r>
      <w:bookmarkEnd w:id="48"/>
      <w:r>
        <w:t>: Population pharmacokinetic study</w:t>
      </w:r>
      <w:r w:rsidR="000637CD">
        <w:t xml:space="preserve"> results showing t</w:t>
      </w:r>
      <w:r>
        <w:t>irzepatide concentration over time following tirzepatide single dose administration or once weekly dose administration with dose escalation</w:t>
      </w:r>
    </w:p>
    <w:p w14:paraId="514C7A97" w14:textId="1DD9C198" w:rsidR="007A0FD6" w:rsidRPr="007A0FD6" w:rsidRDefault="007A0FD6" w:rsidP="007A0FD6">
      <w:r>
        <w:rPr>
          <w:noProof/>
        </w:rPr>
        <w:drawing>
          <wp:inline distT="0" distB="0" distL="0" distR="0" wp14:anchorId="45E498BE" wp14:editId="46576431">
            <wp:extent cx="5759450" cy="2204977"/>
            <wp:effectExtent l="0" t="0" r="0" b="5080"/>
            <wp:docPr id="2" name="Picture 2" descr="Graph of tirzepatide concentration on y axis, up to 2000 nanogram per mL, and time on x axis, up to 28 weeks. Three fluctuating lines for tirzepatide doses of 5 mg, 10 mg and 15 mg once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of tirzepatide concentration on y axis, up to 2000 nanogram per mL, and time on x axis, up to 28 weeks. Three fluctuating lines for tirzepatide doses of 5 mg, 10 mg and 15 mg once weekly."/>
                    <pic:cNvPicPr/>
                  </pic:nvPicPr>
                  <pic:blipFill rotWithShape="1">
                    <a:blip r:embed="rId23"/>
                    <a:srcRect b="2707"/>
                    <a:stretch/>
                  </pic:blipFill>
                  <pic:spPr bwMode="auto">
                    <a:xfrm>
                      <a:off x="0" y="0"/>
                      <a:ext cx="5759450" cy="2204977"/>
                    </a:xfrm>
                    <a:prstGeom prst="rect">
                      <a:avLst/>
                    </a:prstGeom>
                    <a:ln>
                      <a:noFill/>
                    </a:ln>
                    <a:extLst>
                      <a:ext uri="{53640926-AAD7-44D8-BBD7-CCE9431645EC}">
                        <a14:shadowObscured xmlns:a14="http://schemas.microsoft.com/office/drawing/2010/main"/>
                      </a:ext>
                    </a:extLst>
                  </pic:spPr>
                </pic:pic>
              </a:graphicData>
            </a:graphic>
          </wp:inline>
        </w:drawing>
      </w:r>
    </w:p>
    <w:p w14:paraId="736A946B" w14:textId="4565637D" w:rsidR="00B31FF9" w:rsidRDefault="00B31FF9" w:rsidP="00C473D6">
      <w:pPr>
        <w:pStyle w:val="FigureDescription"/>
      </w:pPr>
      <w:r>
        <w:t>Note: Tirzepatide concentrations in a 90</w:t>
      </w:r>
      <w:r w:rsidR="005F3247">
        <w:t> </w:t>
      </w:r>
      <w:r>
        <w:t>kg individual were simulated using the</w:t>
      </w:r>
      <w:r w:rsidR="00EC4AEC">
        <w:t xml:space="preserve"> </w:t>
      </w:r>
      <w:r>
        <w:t>tirzepatide population pharmacokinetic model. The solid lines denote concentrations</w:t>
      </w:r>
      <w:r w:rsidR="00EC4AEC">
        <w:t xml:space="preserve"> </w:t>
      </w:r>
      <w:r>
        <w:t>following dose escalation up to 5, 10, or 1</w:t>
      </w:r>
      <w:r w:rsidR="009F6F50">
        <w:t>5 mg</w:t>
      </w:r>
      <w:r>
        <w:t>. Dose escalation started with 2.</w:t>
      </w:r>
      <w:r w:rsidR="009F6F50">
        <w:t>5 mg</w:t>
      </w:r>
      <w:r w:rsidR="00EC4AEC">
        <w:t xml:space="preserve"> </w:t>
      </w:r>
      <w:r>
        <w:t>and dose amount was increased by a 2.</w:t>
      </w:r>
      <w:r w:rsidR="009F6F50">
        <w:t>5 mg</w:t>
      </w:r>
      <w:r>
        <w:t xml:space="preserve"> increment every 4</w:t>
      </w:r>
      <w:r w:rsidR="00EC4AEC">
        <w:t> </w:t>
      </w:r>
      <w:r>
        <w:t>weeks. The dashed line</w:t>
      </w:r>
      <w:r w:rsidR="00705541">
        <w:t xml:space="preserve"> </w:t>
      </w:r>
      <w:r>
        <w:t>denotes concentrations following a single 2.</w:t>
      </w:r>
      <w:r w:rsidR="009F6F50">
        <w:t>5 mg</w:t>
      </w:r>
      <w:r>
        <w:t xml:space="preserve"> dose. Tirzepatide doses were administered once weekly. Tirzepatide </w:t>
      </w:r>
      <w:r w:rsidR="00343D29">
        <w:t xml:space="preserve">lower </w:t>
      </w:r>
      <w:r>
        <w:t>limit of quantitation is 2</w:t>
      </w:r>
      <w:r w:rsidR="00705541">
        <w:t> </w:t>
      </w:r>
      <w:r>
        <w:t>ng/mL</w:t>
      </w:r>
      <w:r w:rsidR="00705541">
        <w:t>.</w:t>
      </w:r>
    </w:p>
    <w:p w14:paraId="5ACD1091" w14:textId="160AD5B0" w:rsidR="000F666A" w:rsidRPr="00EC58F2" w:rsidRDefault="000F666A" w:rsidP="00EC58F2">
      <w:pPr>
        <w:pStyle w:val="Heading6"/>
      </w:pPr>
      <w:r w:rsidRPr="00EC58F2">
        <w:t>Distribution</w:t>
      </w:r>
    </w:p>
    <w:p w14:paraId="08016F75" w14:textId="49F28E79" w:rsidR="000F666A" w:rsidRPr="00EC58F2" w:rsidRDefault="000F666A" w:rsidP="00EC58F2">
      <w:r w:rsidRPr="00EC58F2">
        <w:t xml:space="preserve">Based on in vitro findings, tirzepatide was highly bound in human plasma with a mean bound of </w:t>
      </w:r>
      <w:r w:rsidRPr="007A6186">
        <w:t xml:space="preserve">99.06%. The </w:t>
      </w:r>
      <w:r w:rsidR="007A6186" w:rsidRPr="007A6186">
        <w:t>blood/plasma</w:t>
      </w:r>
      <w:r w:rsidRPr="007A6186">
        <w:t xml:space="preserve"> ratio of 0.5 suggests that tirzepatide is confined to the plasma</w:t>
      </w:r>
      <w:r w:rsidRPr="00EC58F2">
        <w:t xml:space="preserve"> compartment (</w:t>
      </w:r>
      <w:r w:rsidR="002F7864">
        <w:t xml:space="preserve">Study </w:t>
      </w:r>
      <w:r w:rsidRPr="00EC58F2">
        <w:t>GPHX). The estimated apparent volume of distribution  at steady state in T2DM patients is 10.3 L.</w:t>
      </w:r>
    </w:p>
    <w:p w14:paraId="3A1D9ABE" w14:textId="38B48CEA" w:rsidR="000F666A" w:rsidRPr="00EC58F2" w:rsidRDefault="000F666A" w:rsidP="00EC58F2">
      <w:pPr>
        <w:pStyle w:val="Heading6"/>
      </w:pPr>
      <w:r w:rsidRPr="00EC58F2">
        <w:t>Metabolism</w:t>
      </w:r>
    </w:p>
    <w:p w14:paraId="1CC6508E" w14:textId="4A55624B" w:rsidR="000F666A" w:rsidRPr="00EC58F2" w:rsidRDefault="000F666A" w:rsidP="00EC58F2">
      <w:r w:rsidRPr="00EC58F2">
        <w:t xml:space="preserve">Tirzepatide was primarily metabolised via proteolytic cleavages of the peptide backbone, </w:t>
      </w:r>
      <w:r w:rsidR="00913D97">
        <w:t>β</w:t>
      </w:r>
      <w:r w:rsidR="005E279A">
        <w:noBreakHyphen/>
      </w:r>
      <w:r w:rsidRPr="00EC58F2">
        <w:t>oxidation of the C20 fatty diacid moiety, and amide hydrolysis.</w:t>
      </w:r>
    </w:p>
    <w:p w14:paraId="7F0D0FC7" w14:textId="018ECDE5" w:rsidR="000F666A" w:rsidRPr="00EC58F2" w:rsidRDefault="000F666A" w:rsidP="00EC58F2">
      <w:pPr>
        <w:pStyle w:val="Heading6"/>
      </w:pPr>
      <w:r w:rsidRPr="00EC58F2">
        <w:t>Excretion and elimination</w:t>
      </w:r>
    </w:p>
    <w:p w14:paraId="33234E57" w14:textId="48A8A1F3" w:rsidR="000F666A" w:rsidRPr="00947557" w:rsidRDefault="000F666A" w:rsidP="00947557">
      <w:r w:rsidRPr="00947557">
        <w:t xml:space="preserve">Based on population PK post hoc parameters, the estimated </w:t>
      </w:r>
      <w:r w:rsidR="00A550DB" w:rsidRPr="00947557">
        <w:t xml:space="preserve">apparent total body clearance of </w:t>
      </w:r>
      <w:r w:rsidR="00947557" w:rsidRPr="00947557">
        <w:t xml:space="preserve">tirzepatide </w:t>
      </w:r>
      <w:r w:rsidR="00A550DB" w:rsidRPr="00947557">
        <w:t xml:space="preserve">calculated after extravascular administration </w:t>
      </w:r>
      <w:r w:rsidRPr="00947557">
        <w:t>(CL/F) in T2DM patients following multiple doses was 0.0606 L/h resulting in a mean terminal half</w:t>
      </w:r>
      <w:r w:rsidR="005E279A">
        <w:noBreakHyphen/>
      </w:r>
      <w:r w:rsidRPr="00947557">
        <w:t>life of 5.4 days.</w:t>
      </w:r>
    </w:p>
    <w:p w14:paraId="6C811B9F" w14:textId="5E7D7859" w:rsidR="000F666A" w:rsidRPr="00EC58F2" w:rsidRDefault="000F666A" w:rsidP="00EC58F2">
      <w:pPr>
        <w:pStyle w:val="Heading6"/>
      </w:pPr>
      <w:r w:rsidRPr="00EC58F2">
        <w:t>Dose proportionality</w:t>
      </w:r>
    </w:p>
    <w:p w14:paraId="300D8F8F" w14:textId="76DF473B" w:rsidR="000F666A" w:rsidRPr="00EC58F2" w:rsidRDefault="000F666A" w:rsidP="00EC58F2">
      <w:r w:rsidRPr="00EC58F2">
        <w:t>Overall, tirzepatide exposures increased with increasing dose. Following a single dose, a less than dose</w:t>
      </w:r>
      <w:r w:rsidR="005E279A">
        <w:noBreakHyphen/>
      </w:r>
      <w:r w:rsidRPr="00EC58F2">
        <w:t>proportional increase was observed. Following multiple doses, slightly more than dose</w:t>
      </w:r>
      <w:r w:rsidR="005E279A">
        <w:noBreakHyphen/>
      </w:r>
      <w:r w:rsidRPr="00EC58F2">
        <w:t>proportional increases were observed (</w:t>
      </w:r>
      <w:r w:rsidR="002F7864">
        <w:t xml:space="preserve">Study </w:t>
      </w:r>
      <w:r w:rsidRPr="00EC58F2">
        <w:t>GPGA).</w:t>
      </w:r>
    </w:p>
    <w:p w14:paraId="134930E7" w14:textId="0E7EC3FB" w:rsidR="000F666A" w:rsidRPr="00EC58F2" w:rsidRDefault="000F666A" w:rsidP="00EC58F2">
      <w:pPr>
        <w:pStyle w:val="Heading6"/>
      </w:pPr>
      <w:r w:rsidRPr="00EC58F2">
        <w:t>Accumulation</w:t>
      </w:r>
    </w:p>
    <w:p w14:paraId="79E5BA1F" w14:textId="77777777" w:rsidR="000F666A" w:rsidRPr="00EC58F2" w:rsidRDefault="000F666A" w:rsidP="00EC58F2">
      <w:r w:rsidRPr="00EC58F2">
        <w:t>There was moderate accumulation based on population PK post hoc parameters having an accumulation factor of 1.7.</w:t>
      </w:r>
    </w:p>
    <w:p w14:paraId="7D223DE8" w14:textId="7950976A" w:rsidR="000F666A" w:rsidRPr="00EC58F2" w:rsidRDefault="000F666A" w:rsidP="00EC58F2">
      <w:r w:rsidRPr="00EC58F2">
        <w:t>Based on sparse sampling mass balance data with a recovery of 70%, tirzepatide was excreted via urine and faeces (50% and 20%, respectively) suggesting primarily renal excretion (</w:t>
      </w:r>
      <w:r w:rsidR="004511EE">
        <w:t xml:space="preserve">Study </w:t>
      </w:r>
      <w:r w:rsidRPr="00EC58F2">
        <w:t xml:space="preserve">GPHX). The sponsor explained the lack of full recovery with the sparse sampling approach. After </w:t>
      </w:r>
      <w:r w:rsidRPr="00EC58F2">
        <w:lastRenderedPageBreak/>
        <w:t>an extrapolation procedure, the estimated total recovery was 99% (66% in urine and 33% in faeces). This extrapolation approach was considered acceptable by the clinical evaluator.</w:t>
      </w:r>
    </w:p>
    <w:p w14:paraId="25ADD6DB" w14:textId="0288035C" w:rsidR="000F666A" w:rsidRPr="00EC58F2" w:rsidRDefault="000F666A" w:rsidP="00EC58F2">
      <w:r w:rsidRPr="00EC58F2">
        <w:t xml:space="preserve">The predominant circulating entities were unchanged tirzepatide (80%), and </w:t>
      </w:r>
      <w:r w:rsidR="00320553">
        <w:t>4</w:t>
      </w:r>
      <w:r w:rsidRPr="00EC58F2">
        <w:t xml:space="preserve"> minor metabolites (</w:t>
      </w:r>
      <w:r w:rsidR="004511EE">
        <w:t xml:space="preserve">less than </w:t>
      </w:r>
      <w:r w:rsidRPr="00EC58F2">
        <w:t>5.7%). No parent drug was detected in urine or faeces.</w:t>
      </w:r>
    </w:p>
    <w:p w14:paraId="191866DA" w14:textId="3031245D" w:rsidR="000F666A" w:rsidRPr="00EC58F2" w:rsidRDefault="000F666A" w:rsidP="00EC58F2">
      <w:pPr>
        <w:pStyle w:val="Heading6"/>
      </w:pPr>
      <w:r w:rsidRPr="00EC58F2">
        <w:t>Immunogenicity</w:t>
      </w:r>
    </w:p>
    <w:p w14:paraId="582E841F" w14:textId="322846CD" w:rsidR="000F666A" w:rsidRPr="00EC58F2" w:rsidRDefault="000F666A" w:rsidP="00EC58F2">
      <w:r w:rsidRPr="00EC58F2">
        <w:t>Based on the population PK analysis, there appeared to be no statistically significant relationship between</w:t>
      </w:r>
      <w:r w:rsidR="00C07F5E">
        <w:t xml:space="preserve"> antidrug antibodies</w:t>
      </w:r>
      <w:r w:rsidRPr="00EC58F2">
        <w:t xml:space="preserve"> </w:t>
      </w:r>
      <w:r w:rsidR="00B27F72">
        <w:t xml:space="preserve">(ADA) </w:t>
      </w:r>
      <w:r w:rsidRPr="00EC58F2">
        <w:t>and clearance.</w:t>
      </w:r>
    </w:p>
    <w:p w14:paraId="57310EBC" w14:textId="684CD5C1" w:rsidR="000644B3" w:rsidRPr="000644B3" w:rsidRDefault="000644B3" w:rsidP="000644B3">
      <w:pPr>
        <w:pStyle w:val="Heading5"/>
      </w:pPr>
      <w:r w:rsidRPr="000644B3">
        <w:t>Population PK (popPK) data</w:t>
      </w:r>
    </w:p>
    <w:p w14:paraId="100F2548" w14:textId="66B14260" w:rsidR="000644B3" w:rsidRPr="000644B3" w:rsidRDefault="000644B3" w:rsidP="000644B3">
      <w:pPr>
        <w:pStyle w:val="Heading6"/>
      </w:pPr>
      <w:r w:rsidRPr="000644B3">
        <w:t>Methods</w:t>
      </w:r>
    </w:p>
    <w:p w14:paraId="3015EC9C" w14:textId="2AAF3E1A" w:rsidR="000644B3" w:rsidRPr="000644B3" w:rsidRDefault="00636DFF" w:rsidP="000644B3">
      <w:r w:rsidRPr="00636DFF">
        <w:rPr>
          <w:rStyle w:val="Heading7Char"/>
        </w:rPr>
        <w:t xml:space="preserve">Data: </w:t>
      </w:r>
      <w:r w:rsidR="00AF2EF7">
        <w:t xml:space="preserve">The </w:t>
      </w:r>
      <w:r w:rsidR="000644B3" w:rsidRPr="000644B3">
        <w:t>PK clinical data source</w:t>
      </w:r>
      <w:r w:rsidR="00AF2EF7">
        <w:t xml:space="preserve"> were the</w:t>
      </w:r>
      <w:r w:rsidR="000644B3" w:rsidRPr="000644B3">
        <w:t xml:space="preserve"> 6</w:t>
      </w:r>
      <w:r w:rsidR="00641BB2">
        <w:t>,</w:t>
      </w:r>
      <w:r w:rsidR="000644B3" w:rsidRPr="000644B3">
        <w:t>248 subjects from all 19 completed clinical studies: 5% were participants without T2DM (for PK analysis only) and 95% were T2DM patients (for all analyses). The final population PK dataset consisted of 39</w:t>
      </w:r>
      <w:r w:rsidR="00641BB2">
        <w:t>,</w:t>
      </w:r>
      <w:r w:rsidR="000644B3" w:rsidRPr="000644B3">
        <w:t>644 sample records from 5</w:t>
      </w:r>
      <w:r w:rsidR="00641BB2">
        <w:t>,</w:t>
      </w:r>
      <w:r w:rsidR="000644B3" w:rsidRPr="000644B3">
        <w:t>802 subjects.</w:t>
      </w:r>
    </w:p>
    <w:p w14:paraId="5422F204" w14:textId="6EBC9812" w:rsidR="000644B3" w:rsidRPr="000644B3" w:rsidRDefault="00636DFF" w:rsidP="000644B3">
      <w:r w:rsidRPr="00DF4173">
        <w:rPr>
          <w:rStyle w:val="Heading7Char"/>
        </w:rPr>
        <w:t xml:space="preserve">Model: </w:t>
      </w:r>
      <w:r w:rsidR="000644B3" w:rsidRPr="00DF4173">
        <w:t xml:space="preserve">Measurements of tirzepatide concentration, </w:t>
      </w:r>
      <w:r w:rsidR="00195E72" w:rsidRPr="00DF4173">
        <w:t>fasting glucose</w:t>
      </w:r>
      <w:r w:rsidR="000644B3" w:rsidRPr="00DF4173">
        <w:t>,</w:t>
      </w:r>
      <w:r w:rsidR="00173E37" w:rsidRPr="00DF4173">
        <w:t xml:space="preserve"> haemoglobin A1c</w:t>
      </w:r>
      <w:r w:rsidR="000644B3" w:rsidRPr="00DF4173">
        <w:t xml:space="preserve"> </w:t>
      </w:r>
      <w:r w:rsidR="00173E37" w:rsidRPr="00DF4173">
        <w:t>(</w:t>
      </w:r>
      <w:r w:rsidR="000644B3" w:rsidRPr="00DF4173">
        <w:t>HbA1c</w:t>
      </w:r>
      <w:r w:rsidR="00173E37" w:rsidRPr="00DF4173">
        <w:t>)</w:t>
      </w:r>
      <w:r w:rsidR="000644B3" w:rsidRPr="00DF4173">
        <w:t>,</w:t>
      </w:r>
      <w:r w:rsidR="00A33967" w:rsidRPr="00DF4173">
        <w:rPr>
          <w:rStyle w:val="FootnoteReference"/>
        </w:rPr>
        <w:footnoteReference w:id="11"/>
      </w:r>
      <w:r w:rsidR="000644B3" w:rsidRPr="000644B3">
        <w:t xml:space="preserve"> and body weight following treatment with tirzepatide were analysed using nonlinear mixed</w:t>
      </w:r>
      <w:r w:rsidR="005E279A">
        <w:noBreakHyphen/>
      </w:r>
      <w:r w:rsidR="000644B3" w:rsidRPr="000644B3">
        <w:t>effects modelling with NONMEM and R. The models were evaluated using standard methods, including bootstrap analysis and visual predictive checks.</w:t>
      </w:r>
    </w:p>
    <w:p w14:paraId="5BAB5905" w14:textId="394C40FB" w:rsidR="000644B3" w:rsidRPr="000644B3" w:rsidRDefault="000644B3" w:rsidP="00F825AF">
      <w:pPr>
        <w:pStyle w:val="Heading6"/>
      </w:pPr>
      <w:r w:rsidRPr="000644B3">
        <w:t>Results and conclusions</w:t>
      </w:r>
    </w:p>
    <w:p w14:paraId="5782FF4A" w14:textId="1ACC47D9" w:rsidR="000644B3" w:rsidRPr="000644B3" w:rsidRDefault="000644B3" w:rsidP="000644B3">
      <w:r w:rsidRPr="00F825AF">
        <w:rPr>
          <w:rStyle w:val="Heading7Char"/>
        </w:rPr>
        <w:t xml:space="preserve">Model: </w:t>
      </w:r>
      <w:r w:rsidRPr="000644B3">
        <w:t>The PK of tirzepatide was well described by a 2</w:t>
      </w:r>
      <w:r w:rsidR="005E279A">
        <w:noBreakHyphen/>
      </w:r>
      <w:r w:rsidRPr="000644B3">
        <w:t>compartment model with first</w:t>
      </w:r>
      <w:r w:rsidR="005E279A">
        <w:noBreakHyphen/>
      </w:r>
      <w:r w:rsidRPr="000644B3">
        <w:t>order absorption and interindividual variability on absorption rate, clearance</w:t>
      </w:r>
      <w:r w:rsidR="00DF4173">
        <w:t>,</w:t>
      </w:r>
      <w:r w:rsidRPr="000644B3">
        <w:t xml:space="preserve"> central volume of distribution, and proportional residual error. The final model included the following covariates: study effect on bioavailability, body weight on clearance, body weight and fraction fat mass on volume of distribution, and lyophilised formulation on absorption rate. Time</w:t>
      </w:r>
      <w:r w:rsidR="005E279A">
        <w:noBreakHyphen/>
      </w:r>
      <w:r w:rsidRPr="000644B3">
        <w:t>independent PK are likely.</w:t>
      </w:r>
    </w:p>
    <w:p w14:paraId="578897FE" w14:textId="299B1D98" w:rsidR="000644B3" w:rsidRPr="000644B3" w:rsidRDefault="000644B3" w:rsidP="000644B3">
      <w:r w:rsidRPr="000644B3">
        <w:t>The 95% confidence intervals of PK model parameters derived from bootstrap analysis showed adequate precision in parameter estimation. Goodness</w:t>
      </w:r>
      <w:r w:rsidR="005E279A">
        <w:noBreakHyphen/>
      </w:r>
      <w:r w:rsidRPr="000644B3">
        <w:t>of</w:t>
      </w:r>
      <w:r w:rsidR="005E279A">
        <w:noBreakHyphen/>
      </w:r>
      <w:r w:rsidRPr="000644B3">
        <w:t xml:space="preserve">fit and other diagnostic plots indicate adequate fidelity between model predictions and observed data and the absence of overt bias. The </w:t>
      </w:r>
      <w:r w:rsidR="0026500F" w:rsidRPr="0026500F">
        <w:t>prediction</w:t>
      </w:r>
      <w:r w:rsidR="005E279A">
        <w:noBreakHyphen/>
      </w:r>
      <w:r w:rsidR="0026500F" w:rsidRPr="0026500F">
        <w:t>corrected visual predictive check</w:t>
      </w:r>
      <w:r w:rsidRPr="000644B3">
        <w:t xml:space="preserve"> for the final population PK model showed good agreement between observed and model</w:t>
      </w:r>
      <w:r w:rsidR="005E279A">
        <w:noBreakHyphen/>
      </w:r>
      <w:r w:rsidRPr="000644B3">
        <w:t>predicted tirzepatide concentrations</w:t>
      </w:r>
      <w:r w:rsidR="00AE5620">
        <w:t>.</w:t>
      </w:r>
      <w:r w:rsidRPr="000644B3">
        <w:t xml:space="preserve"> However, no </w:t>
      </w:r>
      <w:r w:rsidR="0026500F" w:rsidRPr="0026500F">
        <w:t>prediction</w:t>
      </w:r>
      <w:r w:rsidR="005E279A">
        <w:noBreakHyphen/>
      </w:r>
      <w:r w:rsidR="0026500F" w:rsidRPr="0026500F">
        <w:t>corrected visual predictive check</w:t>
      </w:r>
      <w:r w:rsidRPr="000644B3">
        <w:t>s for different subsets such as dose and study were submitted. A summary of PK parameters is in</w:t>
      </w:r>
      <w:r w:rsidR="00E4308F">
        <w:t xml:space="preserve"> </w:t>
      </w:r>
      <w:r w:rsidR="00E4308F">
        <w:fldChar w:fldCharType="begin"/>
      </w:r>
      <w:r w:rsidR="00E4308F">
        <w:instrText xml:space="preserve"> REF _Ref144218917 \h </w:instrText>
      </w:r>
      <w:r w:rsidR="00E4308F">
        <w:fldChar w:fldCharType="separate"/>
      </w:r>
      <w:r w:rsidR="008465DD">
        <w:t xml:space="preserve">Table </w:t>
      </w:r>
      <w:r w:rsidR="008465DD">
        <w:rPr>
          <w:noProof/>
        </w:rPr>
        <w:t>4</w:t>
      </w:r>
      <w:r w:rsidR="00E4308F">
        <w:fldChar w:fldCharType="end"/>
      </w:r>
      <w:r w:rsidRPr="000644B3">
        <w:t>.</w:t>
      </w:r>
    </w:p>
    <w:p w14:paraId="46D4B1E5" w14:textId="0E14D7E7" w:rsidR="000644B3" w:rsidRDefault="00E42F15" w:rsidP="00E4308F">
      <w:pPr>
        <w:pStyle w:val="TableTitle"/>
      </w:pPr>
      <w:bookmarkStart w:id="49" w:name="_Ref144218917"/>
      <w:bookmarkStart w:id="50" w:name="_Ref117932841"/>
      <w:r>
        <w:lastRenderedPageBreak/>
        <w:t xml:space="preserve">Table </w:t>
      </w:r>
      <w:r w:rsidR="002B0E47">
        <w:fldChar w:fldCharType="begin"/>
      </w:r>
      <w:r w:rsidR="002B0E47">
        <w:instrText xml:space="preserve"> SEQ Table \* ARABIC </w:instrText>
      </w:r>
      <w:r w:rsidR="002B0E47">
        <w:fldChar w:fldCharType="separate"/>
      </w:r>
      <w:r w:rsidR="008465DD">
        <w:rPr>
          <w:noProof/>
        </w:rPr>
        <w:t>4</w:t>
      </w:r>
      <w:r w:rsidR="002B0E47">
        <w:rPr>
          <w:noProof/>
        </w:rPr>
        <w:fldChar w:fldCharType="end"/>
      </w:r>
      <w:bookmarkEnd w:id="49"/>
      <w:r>
        <w:t xml:space="preserve">: Population </w:t>
      </w:r>
      <w:r w:rsidR="0098279B">
        <w:t>pharmacokinetics</w:t>
      </w:r>
      <w:r>
        <w:t xml:space="preserve"> study</w:t>
      </w:r>
      <w:r w:rsidR="0098279B">
        <w:t xml:space="preserve"> </w:t>
      </w:r>
      <w:r>
        <w:t>Summary of tirzepatide post hoc pharmacokinetic parameters</w:t>
      </w:r>
    </w:p>
    <w:p w14:paraId="3AD0776E" w14:textId="722DCCF3" w:rsidR="001B10BF" w:rsidRDefault="001B10BF" w:rsidP="00C473D6">
      <w:r>
        <w:rPr>
          <w:noProof/>
        </w:rPr>
        <w:drawing>
          <wp:inline distT="0" distB="0" distL="0" distR="0" wp14:anchorId="621C7D56" wp14:editId="70DA6F66">
            <wp:extent cx="5505450" cy="2943225"/>
            <wp:effectExtent l="0" t="0" r="0" b="9525"/>
            <wp:docPr id="4" name="Picture 4" descr="Population pharmacokinetic parameters of absorption rate, apparent clearance, apparent volume of distribution, half-life, accumulation ratio, and average steady-state concentrations. Geometric means based on 307 subjects without T2DM and 5495 subjects with T2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opulation pharmacokinetic parameters of absorption rate, apparent clearance, apparent volume of distribution, half-life, accumulation ratio, and average steady-state concentrations. Geometric means based on 307 subjects without T2DM and 5495 subjects with T2DM."/>
                    <pic:cNvPicPr/>
                  </pic:nvPicPr>
                  <pic:blipFill>
                    <a:blip r:embed="rId24"/>
                    <a:stretch>
                      <a:fillRect/>
                    </a:stretch>
                  </pic:blipFill>
                  <pic:spPr>
                    <a:xfrm>
                      <a:off x="0" y="0"/>
                      <a:ext cx="5505450" cy="2943225"/>
                    </a:xfrm>
                    <a:prstGeom prst="rect">
                      <a:avLst/>
                    </a:prstGeom>
                  </pic:spPr>
                </pic:pic>
              </a:graphicData>
            </a:graphic>
          </wp:inline>
        </w:drawing>
      </w:r>
    </w:p>
    <w:p w14:paraId="7606C14C" w14:textId="3ECB1F91" w:rsidR="001B10BF" w:rsidRDefault="00D76B71" w:rsidP="00D76B71">
      <w:pPr>
        <w:pStyle w:val="TableDescription"/>
      </w:pPr>
      <w:r>
        <w:t xml:space="preserve">Abbreviations: CV = geometric coefficient of variation; </w:t>
      </w:r>
      <w:r w:rsidR="0062520D">
        <w:t xml:space="preserve">n = number of subjects contributing to analysis; </w:t>
      </w:r>
      <w:r>
        <w:t>non</w:t>
      </w:r>
      <w:r w:rsidR="005E279A">
        <w:noBreakHyphen/>
      </w:r>
      <w:r>
        <w:t>T2 = without T2DM; PK = pharmacokinetics; T2DM = type 2 diabetes mellitus</w:t>
      </w:r>
    </w:p>
    <w:bookmarkEnd w:id="50"/>
    <w:p w14:paraId="32CB78F1" w14:textId="252FA64F" w:rsidR="000644B3" w:rsidRDefault="000644B3" w:rsidP="000644B3">
      <w:r w:rsidRPr="00C473D6">
        <w:rPr>
          <w:rStyle w:val="Heading7Char"/>
        </w:rPr>
        <w:t>Impact of body weight:</w:t>
      </w:r>
      <w:r w:rsidRPr="00DF37AB">
        <w:rPr>
          <w:rStyle w:val="Heading7Char"/>
        </w:rPr>
        <w:t xml:space="preserve"> </w:t>
      </w:r>
      <w:r w:rsidRPr="000644B3">
        <w:t>Tirzepatide exposure changed by 1.1% per kg over a body weight range of 70 to 120</w:t>
      </w:r>
      <w:r w:rsidR="00DF37AB">
        <w:t> </w:t>
      </w:r>
      <w:r w:rsidRPr="000644B3">
        <w:t>kg (</w:t>
      </w:r>
      <w:r w:rsidR="005B32B2">
        <w:fldChar w:fldCharType="begin"/>
      </w:r>
      <w:r w:rsidR="005B32B2">
        <w:instrText xml:space="preserve"> REF _Ref144220069 \h </w:instrText>
      </w:r>
      <w:r w:rsidR="005B32B2">
        <w:fldChar w:fldCharType="separate"/>
      </w:r>
      <w:r w:rsidR="008465DD">
        <w:t xml:space="preserve">Figure </w:t>
      </w:r>
      <w:r w:rsidR="008465DD">
        <w:rPr>
          <w:noProof/>
        </w:rPr>
        <w:t>3</w:t>
      </w:r>
      <w:r w:rsidR="005B32B2">
        <w:fldChar w:fldCharType="end"/>
      </w:r>
      <w:r w:rsidR="00E36294">
        <w:t>)</w:t>
      </w:r>
      <w:r w:rsidRPr="000644B3">
        <w:t>. Relative to a typical 90</w:t>
      </w:r>
      <w:r w:rsidR="007D1391">
        <w:t> </w:t>
      </w:r>
      <w:r w:rsidRPr="000644B3">
        <w:t>kg patient, there was approximately a 22% higher and 33% lower difference in exposure for a 70 or 120</w:t>
      </w:r>
      <w:r w:rsidR="00F03EE6">
        <w:t> </w:t>
      </w:r>
      <w:r w:rsidRPr="000644B3">
        <w:t>kg patient, respectively. Based on the moderate differences in exposure, no dose adjustment is required based on body weight.</w:t>
      </w:r>
    </w:p>
    <w:p w14:paraId="6AD99DD2" w14:textId="690A3715" w:rsidR="00E006E3" w:rsidRDefault="00E006E3" w:rsidP="00C473D6">
      <w:pPr>
        <w:pStyle w:val="FigureTitle"/>
      </w:pPr>
      <w:bookmarkStart w:id="51" w:name="_Ref144220069"/>
      <w:bookmarkStart w:id="52" w:name="_Ref144220064"/>
      <w:r>
        <w:t xml:space="preserve">Figure </w:t>
      </w:r>
      <w:r w:rsidR="002B0E47">
        <w:fldChar w:fldCharType="begin"/>
      </w:r>
      <w:r w:rsidR="002B0E47">
        <w:instrText xml:space="preserve"> SEQ Figure \* ARABIC </w:instrText>
      </w:r>
      <w:r w:rsidR="002B0E47">
        <w:fldChar w:fldCharType="separate"/>
      </w:r>
      <w:r w:rsidR="008465DD">
        <w:rPr>
          <w:noProof/>
        </w:rPr>
        <w:t>3</w:t>
      </w:r>
      <w:r w:rsidR="002B0E47">
        <w:rPr>
          <w:noProof/>
        </w:rPr>
        <w:fldChar w:fldCharType="end"/>
      </w:r>
      <w:bookmarkEnd w:id="51"/>
      <w:r>
        <w:t xml:space="preserve">: </w:t>
      </w:r>
      <w:r w:rsidR="00DE54BB" w:rsidRPr="00DE54BB">
        <w:t xml:space="preserve">Population </w:t>
      </w:r>
      <w:r w:rsidR="00DE54BB">
        <w:t xml:space="preserve">pharmacokinetics </w:t>
      </w:r>
      <w:r w:rsidR="00DE54BB" w:rsidRPr="00DE54BB">
        <w:t>study</w:t>
      </w:r>
      <w:r w:rsidR="000637CD">
        <w:t xml:space="preserve"> results showing r</w:t>
      </w:r>
      <w:r w:rsidR="00DE54BB" w:rsidRPr="00DE54BB">
        <w:t>elationship between AUC and body weight for 5</w:t>
      </w:r>
      <w:r w:rsidR="0098279B">
        <w:t> mg</w:t>
      </w:r>
      <w:r w:rsidR="00DE54BB" w:rsidRPr="00DE54BB">
        <w:t>, 10</w:t>
      </w:r>
      <w:r w:rsidR="0098279B">
        <w:t> </w:t>
      </w:r>
      <w:proofErr w:type="gramStart"/>
      <w:r w:rsidR="0098279B">
        <w:t>mg</w:t>
      </w:r>
      <w:proofErr w:type="gramEnd"/>
      <w:r w:rsidR="00DE54BB" w:rsidRPr="00DE54BB">
        <w:t xml:space="preserve"> and 1</w:t>
      </w:r>
      <w:r w:rsidR="009F6F50">
        <w:t>5 mg</w:t>
      </w:r>
      <w:r w:rsidR="00DE54BB">
        <w:t xml:space="preserve"> tirzepatide</w:t>
      </w:r>
      <w:bookmarkEnd w:id="52"/>
    </w:p>
    <w:p w14:paraId="7D773E51" w14:textId="097376B0" w:rsidR="00F03EE6" w:rsidRDefault="00E006E3" w:rsidP="000644B3">
      <w:r>
        <w:rPr>
          <w:noProof/>
        </w:rPr>
        <w:drawing>
          <wp:inline distT="0" distB="0" distL="0" distR="0" wp14:anchorId="2D9CE4C0" wp14:editId="2621A263">
            <wp:extent cx="4114800" cy="2724150"/>
            <wp:effectExtent l="0" t="0" r="0" b="0"/>
            <wp:docPr id="5" name="Picture 5" descr="Graph of tirzepatide AUC on Y axis, and body weight on X axis (from 60 to 120 kg). Three curves showing tirzepatide 5 mg, 10 mg and 15 mg once week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of tirzepatide AUC on Y axis, and body weight on X axis (from 60 to 120 kg). Three curves showing tirzepatide 5 mg, 10 mg and 15 mg once weekly. "/>
                    <pic:cNvPicPr/>
                  </pic:nvPicPr>
                  <pic:blipFill>
                    <a:blip r:embed="rId25"/>
                    <a:stretch>
                      <a:fillRect/>
                    </a:stretch>
                  </pic:blipFill>
                  <pic:spPr>
                    <a:xfrm>
                      <a:off x="0" y="0"/>
                      <a:ext cx="4114800" cy="2724150"/>
                    </a:xfrm>
                    <a:prstGeom prst="rect">
                      <a:avLst/>
                    </a:prstGeom>
                  </pic:spPr>
                </pic:pic>
              </a:graphicData>
            </a:graphic>
          </wp:inline>
        </w:drawing>
      </w:r>
    </w:p>
    <w:p w14:paraId="49072A2C" w14:textId="6BFDC8A5" w:rsidR="00F03EE6" w:rsidRPr="000644B3" w:rsidRDefault="005B32B2" w:rsidP="00C473D6">
      <w:pPr>
        <w:pStyle w:val="FigureDescription"/>
      </w:pPr>
      <w:r>
        <w:t>Abbreviation: AUC = area under the concentration versus time curve</w:t>
      </w:r>
    </w:p>
    <w:p w14:paraId="6693EE3F" w14:textId="0E836BD2" w:rsidR="000644B3" w:rsidRPr="000644B3" w:rsidRDefault="000644B3" w:rsidP="000644B3">
      <w:r w:rsidRPr="00871BF1">
        <w:rPr>
          <w:rStyle w:val="Heading7Char"/>
        </w:rPr>
        <w:t xml:space="preserve">Impact of dose interval: </w:t>
      </w:r>
      <w:r w:rsidRPr="000644B3">
        <w:t>The simulation results suggested that in the event of a missed dose, it should be administered as soon as possible within 4</w:t>
      </w:r>
      <w:r w:rsidR="00871BF1">
        <w:t> </w:t>
      </w:r>
      <w:r w:rsidRPr="000644B3">
        <w:t>days (96</w:t>
      </w:r>
      <w:r w:rsidR="00871BF1">
        <w:t> </w:t>
      </w:r>
      <w:r w:rsidRPr="000644B3">
        <w:t xml:space="preserve">hours) which would result in </w:t>
      </w:r>
      <w:r w:rsidR="00871BF1">
        <w:t xml:space="preserve">a less than </w:t>
      </w:r>
      <w:r w:rsidRPr="000644B3">
        <w:t>20% increase in exposure associated with the subsequent scheduled dose. If more than 4</w:t>
      </w:r>
      <w:r w:rsidR="00C73651">
        <w:t> </w:t>
      </w:r>
      <w:r w:rsidRPr="000644B3">
        <w:t xml:space="preserve">days have passed, it is recommended that the missed dose be skipped and to resume the regular </w:t>
      </w:r>
      <w:r w:rsidR="00C73651">
        <w:t>once weekly</w:t>
      </w:r>
      <w:r w:rsidRPr="000644B3">
        <w:t xml:space="preserve"> dosing schedule.</w:t>
      </w:r>
    </w:p>
    <w:p w14:paraId="5427D51B" w14:textId="5967B8AA" w:rsidR="000644B3" w:rsidRPr="000644B3" w:rsidRDefault="000644B3" w:rsidP="000644B3">
      <w:r w:rsidRPr="00C73651">
        <w:rPr>
          <w:rStyle w:val="Heading7Char"/>
        </w:rPr>
        <w:lastRenderedPageBreak/>
        <w:t xml:space="preserve">Impact of intrinsic factors: </w:t>
      </w:r>
      <w:r w:rsidRPr="000644B3">
        <w:t>After accounting for body weight in the population PK model, intrinsic factors were not associated with any statistically significant differences in tirzepatide PK. Based on the moderate differences in exposure (median ratios within 30% of reference value) primarily associated with variability of body weight, dose adjustments are not required based on age, sex, ethnicity, race, renal impairment, or hepatic impairment (</w:t>
      </w:r>
      <w:r w:rsidR="00D35987">
        <w:fldChar w:fldCharType="begin"/>
      </w:r>
      <w:r w:rsidR="00D35987">
        <w:instrText xml:space="preserve"> REF _Ref148436315 \h </w:instrText>
      </w:r>
      <w:r w:rsidR="00D35987">
        <w:fldChar w:fldCharType="separate"/>
      </w:r>
      <w:r w:rsidR="008465DD">
        <w:t xml:space="preserve">Figure </w:t>
      </w:r>
      <w:r w:rsidR="008465DD">
        <w:rPr>
          <w:noProof/>
        </w:rPr>
        <w:t>4</w:t>
      </w:r>
      <w:r w:rsidR="00D35987">
        <w:fldChar w:fldCharType="end"/>
      </w:r>
      <w:r w:rsidR="00036F81">
        <w:t>)</w:t>
      </w:r>
      <w:r w:rsidRPr="000644B3">
        <w:t>.</w:t>
      </w:r>
    </w:p>
    <w:p w14:paraId="17274E11" w14:textId="77777777" w:rsidR="000644B3" w:rsidRDefault="000644B3" w:rsidP="000644B3">
      <w:r w:rsidRPr="000644B3">
        <w:t>Furthermore, there appeared to be no statistically significant relationship between ADA status and clearance.</w:t>
      </w:r>
    </w:p>
    <w:p w14:paraId="2C293CE8" w14:textId="11B96923" w:rsidR="00317FA7" w:rsidRDefault="00B57291" w:rsidP="00C473D6">
      <w:pPr>
        <w:pStyle w:val="FigureTitle"/>
      </w:pPr>
      <w:bookmarkStart w:id="53" w:name="_Ref148436315"/>
      <w:bookmarkStart w:id="54" w:name="_Ref148436305"/>
      <w:r>
        <w:t xml:space="preserve">Figure </w:t>
      </w:r>
      <w:r w:rsidR="002B0E47">
        <w:fldChar w:fldCharType="begin"/>
      </w:r>
      <w:r w:rsidR="002B0E47">
        <w:instrText xml:space="preserve"> SEQ Figure \*</w:instrText>
      </w:r>
      <w:r w:rsidR="002B0E47">
        <w:instrText xml:space="preserve"> ARABIC </w:instrText>
      </w:r>
      <w:r w:rsidR="002B0E47">
        <w:fldChar w:fldCharType="separate"/>
      </w:r>
      <w:r w:rsidR="008465DD">
        <w:rPr>
          <w:noProof/>
        </w:rPr>
        <w:t>4</w:t>
      </w:r>
      <w:r w:rsidR="002B0E47">
        <w:rPr>
          <w:noProof/>
        </w:rPr>
        <w:fldChar w:fldCharType="end"/>
      </w:r>
      <w:bookmarkEnd w:id="53"/>
      <w:r>
        <w:t xml:space="preserve">: </w:t>
      </w:r>
      <w:r w:rsidR="00AB316F" w:rsidRPr="00AB316F">
        <w:t xml:space="preserve">Population </w:t>
      </w:r>
      <w:r w:rsidR="00AB316F">
        <w:t xml:space="preserve">pharmacokinetic </w:t>
      </w:r>
      <w:r w:rsidR="00AB316F" w:rsidRPr="00AB316F">
        <w:t>study</w:t>
      </w:r>
      <w:r w:rsidR="000637CD">
        <w:t xml:space="preserve"> results showing r</w:t>
      </w:r>
      <w:r w:rsidR="00AB316F" w:rsidRPr="00AB316F">
        <w:t>elative ratio of tirzepatide AUC and C</w:t>
      </w:r>
      <w:r w:rsidR="00AB316F" w:rsidRPr="00D9103E">
        <w:t>max</w:t>
      </w:r>
      <w:r w:rsidR="00AB316F" w:rsidRPr="00AB316F">
        <w:t xml:space="preserve"> based on intrinsic factors</w:t>
      </w:r>
      <w:bookmarkEnd w:id="54"/>
    </w:p>
    <w:p w14:paraId="0CFD2398" w14:textId="26B886B1" w:rsidR="00CD31DF" w:rsidRDefault="00CD31DF" w:rsidP="000644B3">
      <w:r>
        <w:rPr>
          <w:noProof/>
        </w:rPr>
        <w:drawing>
          <wp:inline distT="0" distB="0" distL="0" distR="0" wp14:anchorId="1013EE13" wp14:editId="19A10A59">
            <wp:extent cx="5124450" cy="5000625"/>
            <wp:effectExtent l="0" t="0" r="0" b="9525"/>
            <wp:docPr id="6" name="Picture 6" descr="Intrinsic factors with 15 variables of weight, age, sex, race, renal impairment and hepatic impairment are given on left hand side. In the centre are the relative ratios (and 90% confidence intervals) of tirzepatide AUC and Cmax for each factor. On the right hand side all factors have the recommendation 'no dose adjust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trinsic factors with 15 variables of weight, age, sex, race, renal impairment and hepatic impairment are given on left hand side. In the centre are the relative ratios (and 90% confidence intervals) of tirzepatide AUC and Cmax for each factor. On the right hand side all factors have the recommendation 'no dose adjustment'.&#10;"/>
                    <pic:cNvPicPr/>
                  </pic:nvPicPr>
                  <pic:blipFill>
                    <a:blip r:embed="rId26"/>
                    <a:stretch>
                      <a:fillRect/>
                    </a:stretch>
                  </pic:blipFill>
                  <pic:spPr>
                    <a:xfrm>
                      <a:off x="0" y="0"/>
                      <a:ext cx="5124450" cy="5000625"/>
                    </a:xfrm>
                    <a:prstGeom prst="rect">
                      <a:avLst/>
                    </a:prstGeom>
                  </pic:spPr>
                </pic:pic>
              </a:graphicData>
            </a:graphic>
          </wp:inline>
        </w:drawing>
      </w:r>
    </w:p>
    <w:p w14:paraId="38B28D5A" w14:textId="13BC23AA" w:rsidR="002A18EC" w:rsidRDefault="002A18EC" w:rsidP="00C473D6">
      <w:pPr>
        <w:pStyle w:val="FigureDescription"/>
      </w:pPr>
      <w:r>
        <w:t>Abbreviations: AUC = area under the concentration versus time curve; CI = confidence interval; Cmax = maximum observed drug concentration; ESRD = end stage renal disease.</w:t>
      </w:r>
    </w:p>
    <w:p w14:paraId="5A5533EE" w14:textId="08A2A684" w:rsidR="00CD31DF" w:rsidRDefault="002A18EC" w:rsidP="00C473D6">
      <w:r>
        <w:t>Note: Reference values for weight, age, sex, and race comparisons are 88</w:t>
      </w:r>
      <w:r w:rsidR="00E6129C">
        <w:t> </w:t>
      </w:r>
      <w:r>
        <w:t>kg, 55</w:t>
      </w:r>
      <w:r w:rsidR="00E6129C">
        <w:t> </w:t>
      </w:r>
      <w:r>
        <w:t>years</w:t>
      </w:r>
      <w:r w:rsidR="00E6129C">
        <w:t xml:space="preserve"> </w:t>
      </w:r>
      <w:r>
        <w:t>old, female, and white, respectively; reference groups for renal and hepatic impairment</w:t>
      </w:r>
      <w:r w:rsidR="00E6129C">
        <w:t xml:space="preserve"> </w:t>
      </w:r>
      <w:r>
        <w:t>data are subjects with normal renal and hepatic function from the respective clinical</w:t>
      </w:r>
      <w:r w:rsidR="00E6129C">
        <w:t xml:space="preserve"> </w:t>
      </w:r>
      <w:r>
        <w:t>pharmacology studies. The body weights 70 and 120</w:t>
      </w:r>
      <w:r w:rsidR="00E6129C">
        <w:t> </w:t>
      </w:r>
      <w:r>
        <w:t>kg were the 10th and 90</w:t>
      </w:r>
      <w:r w:rsidRPr="008A3CDA">
        <w:rPr>
          <w:vertAlign w:val="superscript"/>
        </w:rPr>
        <w:t>th</w:t>
      </w:r>
      <w:r w:rsidR="008A3CDA">
        <w:t xml:space="preserve"> </w:t>
      </w:r>
      <w:r>
        <w:t xml:space="preserve">percentiles of the Phase </w:t>
      </w:r>
      <w:r w:rsidR="008A3CDA">
        <w:t>III</w:t>
      </w:r>
      <w:r>
        <w:t xml:space="preserve"> population. The median body weight for groups: (Age</w:t>
      </w:r>
      <w:r w:rsidR="008A3CDA">
        <w:t xml:space="preserve"> </w:t>
      </w:r>
      <w:r>
        <w:t>65</w:t>
      </w:r>
      <w:r w:rsidR="008A3CDA">
        <w:t> </w:t>
      </w:r>
      <w:r w:rsidR="003C2EB7">
        <w:t>years and older</w:t>
      </w:r>
      <w:r>
        <w:t>)</w:t>
      </w:r>
      <w:r w:rsidR="008A3CDA">
        <w:t xml:space="preserve"> </w:t>
      </w:r>
      <w:r>
        <w:t>82</w:t>
      </w:r>
      <w:r w:rsidR="003C2EB7">
        <w:t> </w:t>
      </w:r>
      <w:r>
        <w:t>kg; (Age</w:t>
      </w:r>
      <w:r w:rsidR="003C2EB7">
        <w:t xml:space="preserve"> </w:t>
      </w:r>
      <w:r>
        <w:t>75</w:t>
      </w:r>
      <w:r w:rsidR="003C2EB7">
        <w:t> </w:t>
      </w:r>
      <w:r>
        <w:t>y</w:t>
      </w:r>
      <w:r w:rsidR="003C2EB7">
        <w:t>ears and older</w:t>
      </w:r>
      <w:r>
        <w:t>) 76</w:t>
      </w:r>
      <w:r w:rsidR="003C2EB7">
        <w:t> </w:t>
      </w:r>
      <w:r>
        <w:t>kg; (Male) 89</w:t>
      </w:r>
      <w:r w:rsidR="003C2EB7">
        <w:t> </w:t>
      </w:r>
      <w:r>
        <w:t>kg; (Hispanic) 86</w:t>
      </w:r>
      <w:r w:rsidR="003C2EB7">
        <w:t> </w:t>
      </w:r>
      <w:r>
        <w:t>kg; (Asian) 76</w:t>
      </w:r>
      <w:r w:rsidR="003C2EB7">
        <w:t> </w:t>
      </w:r>
      <w:r>
        <w:t>kg; (Black) 91</w:t>
      </w:r>
      <w:r w:rsidR="003C2EB7">
        <w:t> </w:t>
      </w:r>
      <w:r>
        <w:t>kg</w:t>
      </w:r>
      <w:r w:rsidR="008A1892">
        <w:t>.</w:t>
      </w:r>
    </w:p>
    <w:p w14:paraId="66B869AA" w14:textId="168FA546" w:rsidR="008037D5" w:rsidRPr="008037D5" w:rsidRDefault="008037D5" w:rsidP="008037D5">
      <w:pPr>
        <w:pStyle w:val="Heading5"/>
      </w:pPr>
      <w:r w:rsidRPr="008037D5">
        <w:lastRenderedPageBreak/>
        <w:t>Pharmacodynamics (PD)</w:t>
      </w:r>
    </w:p>
    <w:p w14:paraId="4BBA7D18" w14:textId="55ABF3EE" w:rsidR="008037D5" w:rsidRPr="008037D5" w:rsidRDefault="008037D5" w:rsidP="008037D5">
      <w:pPr>
        <w:pStyle w:val="Heading6"/>
      </w:pPr>
      <w:r w:rsidRPr="008037D5">
        <w:t>Mechanism of action</w:t>
      </w:r>
    </w:p>
    <w:p w14:paraId="45EE0371" w14:textId="59A1E981" w:rsidR="008037D5" w:rsidRDefault="008037D5" w:rsidP="008037D5">
      <w:r w:rsidRPr="00BD5308">
        <w:t>Tirzepatide is a</w:t>
      </w:r>
      <w:r w:rsidR="007E7892">
        <w:t>n amino acid sequence</w:t>
      </w:r>
      <w:r w:rsidRPr="00BD5308">
        <w:t xml:space="preserve"> with</w:t>
      </w:r>
      <w:r w:rsidR="001E7BD9" w:rsidRPr="00BD5308">
        <w:t xml:space="preserve"> </w:t>
      </w:r>
      <w:r w:rsidRPr="00BD5308">
        <w:t>agonist activity at both the human</w:t>
      </w:r>
      <w:r w:rsidR="001E7BD9" w:rsidRPr="00BD5308">
        <w:t xml:space="preserve"> </w:t>
      </w:r>
      <w:r w:rsidRPr="00BD5308">
        <w:t>GIP and GLP</w:t>
      </w:r>
      <w:r w:rsidR="005E279A">
        <w:noBreakHyphen/>
      </w:r>
      <w:r w:rsidRPr="00BD5308">
        <w:t>1</w:t>
      </w:r>
      <w:r w:rsidRPr="008037D5">
        <w:t xml:space="preserve"> receptors. A fatty</w:t>
      </w:r>
      <w:r w:rsidR="005E279A">
        <w:noBreakHyphen/>
      </w:r>
      <w:r w:rsidRPr="008037D5">
        <w:t>diacid portion was attached at position C20 to optimise uptake and metabolism</w:t>
      </w:r>
      <w:r w:rsidR="001E7BD9">
        <w:t xml:space="preserve"> (see</w:t>
      </w:r>
      <w:r w:rsidR="00681BC2">
        <w:t xml:space="preserve"> </w:t>
      </w:r>
      <w:r w:rsidR="00681BC2">
        <w:fldChar w:fldCharType="begin"/>
      </w:r>
      <w:r w:rsidR="00681BC2">
        <w:instrText xml:space="preserve"> REF _Ref148963790 \h </w:instrText>
      </w:r>
      <w:r w:rsidR="00681BC2">
        <w:fldChar w:fldCharType="separate"/>
      </w:r>
      <w:r w:rsidR="00681BC2">
        <w:t xml:space="preserve">Figure </w:t>
      </w:r>
      <w:r w:rsidR="00681BC2">
        <w:rPr>
          <w:noProof/>
        </w:rPr>
        <w:t>1</w:t>
      </w:r>
      <w:r w:rsidR="00681BC2">
        <w:fldChar w:fldCharType="end"/>
      </w:r>
      <w:r w:rsidR="001E7BD9">
        <w:t>)</w:t>
      </w:r>
      <w:r w:rsidRPr="008037D5">
        <w:t>. This arrangement enables albumin binding, which eventually leads to a longer half</w:t>
      </w:r>
      <w:r w:rsidR="005E279A">
        <w:noBreakHyphen/>
      </w:r>
      <w:r w:rsidRPr="008037D5">
        <w:t xml:space="preserve">life accommodating a </w:t>
      </w:r>
      <w:r w:rsidR="00FC1A36">
        <w:t>once weekly</w:t>
      </w:r>
      <w:r w:rsidRPr="008037D5">
        <w:t xml:space="preserve"> dosing regimen.</w:t>
      </w:r>
    </w:p>
    <w:p w14:paraId="78F0A78E" w14:textId="3009CAFC" w:rsidR="001E7BD9" w:rsidRDefault="00E050B0" w:rsidP="00E050B0">
      <w:pPr>
        <w:pStyle w:val="TableTitle"/>
      </w:pPr>
      <w:r>
        <w:t xml:space="preserve">Table </w:t>
      </w:r>
      <w:r w:rsidR="002B0E47">
        <w:fldChar w:fldCharType="begin"/>
      </w:r>
      <w:r w:rsidR="002B0E47">
        <w:instrText xml:space="preserve"> SEQ Table \* ARABIC </w:instrText>
      </w:r>
      <w:r w:rsidR="002B0E47">
        <w:fldChar w:fldCharType="separate"/>
      </w:r>
      <w:r w:rsidR="008465DD">
        <w:rPr>
          <w:noProof/>
        </w:rPr>
        <w:t>5</w:t>
      </w:r>
      <w:r w:rsidR="002B0E47">
        <w:rPr>
          <w:noProof/>
        </w:rPr>
        <w:fldChar w:fldCharType="end"/>
      </w:r>
      <w:r>
        <w:t>: Summary of physiological mechanisms of GLP1 and GIP in glucose and energy metabolism</w:t>
      </w:r>
      <w:r w:rsidR="002B0E47">
        <w:fldChar w:fldCharType="begin"/>
      </w:r>
      <w:r w:rsidR="002B0E47">
        <w:instrText xml:space="preserve"> DOCVARIABLE vault_nd_804507f2-2747-4d26-a5ed-8e517d4c2b9e \* MERGEFORMAT </w:instrText>
      </w:r>
      <w:r w:rsidR="002B0E47">
        <w:fldChar w:fldCharType="separate"/>
      </w:r>
      <w:r w:rsidR="008465DD">
        <w:t xml:space="preserve"> </w:t>
      </w:r>
      <w:r w:rsidR="002B0E47">
        <w:fldChar w:fldCharType="end"/>
      </w:r>
    </w:p>
    <w:tbl>
      <w:tblPr>
        <w:tblStyle w:val="TableGrid"/>
        <w:tblW w:w="0" w:type="auto"/>
        <w:tblLook w:val="04A0" w:firstRow="1" w:lastRow="0" w:firstColumn="1" w:lastColumn="0" w:noHBand="0" w:noVBand="1"/>
      </w:tblPr>
      <w:tblGrid>
        <w:gridCol w:w="3020"/>
        <w:gridCol w:w="3020"/>
        <w:gridCol w:w="3020"/>
      </w:tblGrid>
      <w:tr w:rsidR="00707C5F" w:rsidRPr="005E2C5E" w14:paraId="4DA70876" w14:textId="77777777" w:rsidTr="008A1892">
        <w:trPr>
          <w:cantSplit/>
        </w:trPr>
        <w:tc>
          <w:tcPr>
            <w:tcW w:w="3020" w:type="dxa"/>
            <w:tcBorders>
              <w:bottom w:val="single" w:sz="4" w:space="0" w:color="auto"/>
            </w:tcBorders>
            <w:shd w:val="clear" w:color="auto" w:fill="DEEAF6" w:themeFill="accent5" w:themeFillTint="33"/>
          </w:tcPr>
          <w:p w14:paraId="3823E8CA" w14:textId="4BD30A9A" w:rsidR="00707C5F" w:rsidRPr="005E2C5E" w:rsidRDefault="00707C5F" w:rsidP="005E2C5E">
            <w:pPr>
              <w:rPr>
                <w:b/>
                <w:bCs/>
              </w:rPr>
            </w:pPr>
            <w:r w:rsidRPr="005E2C5E">
              <w:rPr>
                <w:b/>
                <w:bCs/>
              </w:rPr>
              <w:t>Location of action</w:t>
            </w:r>
          </w:p>
        </w:tc>
        <w:tc>
          <w:tcPr>
            <w:tcW w:w="3020" w:type="dxa"/>
            <w:tcBorders>
              <w:bottom w:val="single" w:sz="4" w:space="0" w:color="auto"/>
            </w:tcBorders>
            <w:shd w:val="clear" w:color="auto" w:fill="DEEAF6" w:themeFill="accent5" w:themeFillTint="33"/>
          </w:tcPr>
          <w:p w14:paraId="54A65217" w14:textId="5E483E16" w:rsidR="00707C5F" w:rsidRPr="005E2C5E" w:rsidRDefault="009A0EC9" w:rsidP="005E2C5E">
            <w:pPr>
              <w:rPr>
                <w:b/>
                <w:bCs/>
              </w:rPr>
            </w:pPr>
            <w:r w:rsidRPr="005E2C5E">
              <w:rPr>
                <w:b/>
                <w:bCs/>
              </w:rPr>
              <w:t>Glucagon</w:t>
            </w:r>
            <w:r w:rsidR="005E279A">
              <w:rPr>
                <w:b/>
                <w:bCs/>
              </w:rPr>
              <w:noBreakHyphen/>
            </w:r>
            <w:r w:rsidRPr="005E2C5E">
              <w:rPr>
                <w:b/>
                <w:bCs/>
              </w:rPr>
              <w:t>like peptide</w:t>
            </w:r>
            <w:r w:rsidR="005E279A">
              <w:rPr>
                <w:b/>
                <w:bCs/>
              </w:rPr>
              <w:noBreakHyphen/>
            </w:r>
            <w:r w:rsidRPr="005E2C5E">
              <w:rPr>
                <w:b/>
                <w:bCs/>
              </w:rPr>
              <w:t>1 (</w:t>
            </w:r>
            <w:r w:rsidR="00707C5F" w:rsidRPr="005E2C5E">
              <w:rPr>
                <w:b/>
                <w:bCs/>
              </w:rPr>
              <w:t>GLP</w:t>
            </w:r>
            <w:r w:rsidR="005E279A">
              <w:rPr>
                <w:b/>
                <w:bCs/>
              </w:rPr>
              <w:noBreakHyphen/>
            </w:r>
            <w:r w:rsidR="00707C5F" w:rsidRPr="005E2C5E">
              <w:rPr>
                <w:b/>
                <w:bCs/>
              </w:rPr>
              <w:t>1</w:t>
            </w:r>
            <w:r w:rsidRPr="005E2C5E">
              <w:rPr>
                <w:b/>
                <w:bCs/>
              </w:rPr>
              <w:t>)</w:t>
            </w:r>
          </w:p>
        </w:tc>
        <w:tc>
          <w:tcPr>
            <w:tcW w:w="3020" w:type="dxa"/>
            <w:tcBorders>
              <w:bottom w:val="single" w:sz="4" w:space="0" w:color="auto"/>
            </w:tcBorders>
            <w:shd w:val="clear" w:color="auto" w:fill="DEEAF6" w:themeFill="accent5" w:themeFillTint="33"/>
          </w:tcPr>
          <w:p w14:paraId="58BE8EB4" w14:textId="1482B07B" w:rsidR="009A0EC9" w:rsidRPr="005E2C5E" w:rsidRDefault="009A0EC9" w:rsidP="005E2C5E">
            <w:pPr>
              <w:rPr>
                <w:b/>
                <w:bCs/>
              </w:rPr>
            </w:pPr>
            <w:r w:rsidRPr="005E2C5E">
              <w:rPr>
                <w:b/>
                <w:bCs/>
              </w:rPr>
              <w:t>Glucose</w:t>
            </w:r>
            <w:r w:rsidR="005E279A">
              <w:rPr>
                <w:b/>
                <w:bCs/>
              </w:rPr>
              <w:noBreakHyphen/>
            </w:r>
            <w:r w:rsidRPr="005E2C5E">
              <w:rPr>
                <w:b/>
                <w:bCs/>
              </w:rPr>
              <w:t>dependent insulinotropic polypeptide</w:t>
            </w:r>
          </w:p>
          <w:p w14:paraId="0BA82BDA" w14:textId="3FA28469" w:rsidR="00707C5F" w:rsidRPr="005E2C5E" w:rsidRDefault="009A0EC9" w:rsidP="005E2C5E">
            <w:pPr>
              <w:rPr>
                <w:b/>
                <w:bCs/>
              </w:rPr>
            </w:pPr>
            <w:r w:rsidRPr="005E2C5E">
              <w:rPr>
                <w:b/>
                <w:bCs/>
              </w:rPr>
              <w:t>(</w:t>
            </w:r>
            <w:r w:rsidR="00707C5F" w:rsidRPr="005E2C5E">
              <w:rPr>
                <w:b/>
                <w:bCs/>
              </w:rPr>
              <w:t>GIP</w:t>
            </w:r>
            <w:r w:rsidRPr="005E2C5E">
              <w:rPr>
                <w:b/>
                <w:bCs/>
              </w:rPr>
              <w:t>)</w:t>
            </w:r>
          </w:p>
        </w:tc>
      </w:tr>
      <w:tr w:rsidR="00707C5F" w14:paraId="6326B07B" w14:textId="77777777" w:rsidTr="00C473D6">
        <w:trPr>
          <w:cantSplit/>
          <w:trHeight w:val="507"/>
        </w:trPr>
        <w:tc>
          <w:tcPr>
            <w:tcW w:w="9060" w:type="dxa"/>
            <w:gridSpan w:val="3"/>
            <w:tcBorders>
              <w:bottom w:val="single" w:sz="4" w:space="0" w:color="auto"/>
            </w:tcBorders>
          </w:tcPr>
          <w:p w14:paraId="5BBC5571" w14:textId="74B91408" w:rsidR="00707C5F" w:rsidRDefault="00707C5F" w:rsidP="00C473D6">
            <w:pPr>
              <w:spacing w:before="120"/>
              <w:jc w:val="center"/>
            </w:pPr>
            <w:r>
              <w:t>Pancreas (glucose</w:t>
            </w:r>
            <w:r w:rsidR="005E279A">
              <w:noBreakHyphen/>
            </w:r>
            <w:r>
              <w:t>dependent actions)</w:t>
            </w:r>
          </w:p>
        </w:tc>
      </w:tr>
      <w:tr w:rsidR="00707C5F" w14:paraId="7709C64F" w14:textId="77777777" w:rsidTr="008A1892">
        <w:trPr>
          <w:cantSplit/>
        </w:trPr>
        <w:tc>
          <w:tcPr>
            <w:tcW w:w="3020" w:type="dxa"/>
            <w:tcBorders>
              <w:bottom w:val="dotted" w:sz="4" w:space="0" w:color="auto"/>
              <w:right w:val="dotted" w:sz="4" w:space="0" w:color="auto"/>
            </w:tcBorders>
          </w:tcPr>
          <w:p w14:paraId="5E4D561E" w14:textId="7B425D54" w:rsidR="00707C5F" w:rsidRDefault="00707C5F" w:rsidP="005E2C5E">
            <w:r>
              <w:t>Beta</w:t>
            </w:r>
            <w:r w:rsidR="005E279A">
              <w:noBreakHyphen/>
            </w:r>
            <w:r>
              <w:t>Cells</w:t>
            </w:r>
          </w:p>
        </w:tc>
        <w:tc>
          <w:tcPr>
            <w:tcW w:w="6040" w:type="dxa"/>
            <w:gridSpan w:val="2"/>
            <w:tcBorders>
              <w:left w:val="dotted" w:sz="4" w:space="0" w:color="auto"/>
              <w:bottom w:val="dotted" w:sz="4" w:space="0" w:color="auto"/>
            </w:tcBorders>
          </w:tcPr>
          <w:p w14:paraId="53D03EE5" w14:textId="3C036B68" w:rsidR="00707C5F" w:rsidRDefault="00707C5F" w:rsidP="005E2C5E">
            <w:r>
              <w:t>Increased insulin synthesis, increased insulin secretion, increased beta</w:t>
            </w:r>
            <w:r w:rsidR="005E279A">
              <w:noBreakHyphen/>
            </w:r>
            <w:r>
              <w:t>cells proliferation; increased glucose sensing under hyperglycaemic states</w:t>
            </w:r>
          </w:p>
        </w:tc>
      </w:tr>
      <w:tr w:rsidR="00707C5F" w14:paraId="5173CECE" w14:textId="77777777" w:rsidTr="008A1892">
        <w:trPr>
          <w:cantSplit/>
        </w:trPr>
        <w:tc>
          <w:tcPr>
            <w:tcW w:w="3020" w:type="dxa"/>
            <w:tcBorders>
              <w:top w:val="dotted" w:sz="4" w:space="0" w:color="auto"/>
              <w:right w:val="dotted" w:sz="4" w:space="0" w:color="auto"/>
            </w:tcBorders>
          </w:tcPr>
          <w:p w14:paraId="4D09ACD9" w14:textId="6A3C536A" w:rsidR="00707C5F" w:rsidRDefault="00707C5F" w:rsidP="005E2C5E">
            <w:r>
              <w:t>Alpha</w:t>
            </w:r>
            <w:r w:rsidR="005E279A">
              <w:noBreakHyphen/>
            </w:r>
            <w:r>
              <w:t>Cells</w:t>
            </w:r>
          </w:p>
        </w:tc>
        <w:tc>
          <w:tcPr>
            <w:tcW w:w="3020" w:type="dxa"/>
            <w:tcBorders>
              <w:top w:val="dotted" w:sz="4" w:space="0" w:color="auto"/>
              <w:left w:val="dotted" w:sz="4" w:space="0" w:color="auto"/>
              <w:right w:val="dotted" w:sz="4" w:space="0" w:color="auto"/>
            </w:tcBorders>
          </w:tcPr>
          <w:p w14:paraId="0738ED42" w14:textId="59EFCB63" w:rsidR="00707C5F" w:rsidRDefault="00707C5F" w:rsidP="005E2C5E">
            <w:r>
              <w:t>Decreased glucagon secretion under hyperglycaemic states</w:t>
            </w:r>
          </w:p>
        </w:tc>
        <w:tc>
          <w:tcPr>
            <w:tcW w:w="3020" w:type="dxa"/>
            <w:tcBorders>
              <w:top w:val="dotted" w:sz="4" w:space="0" w:color="auto"/>
              <w:left w:val="dotted" w:sz="4" w:space="0" w:color="auto"/>
            </w:tcBorders>
          </w:tcPr>
          <w:p w14:paraId="2DF2AA16" w14:textId="3ED72414" w:rsidR="00707C5F" w:rsidRDefault="00707C5F" w:rsidP="005E2C5E">
            <w:r>
              <w:t>Increased glucagon secretion under euglycaemic or hypoglycaemic states</w:t>
            </w:r>
          </w:p>
        </w:tc>
      </w:tr>
      <w:tr w:rsidR="00707C5F" w14:paraId="79824958" w14:textId="77777777" w:rsidTr="008A1892">
        <w:trPr>
          <w:cantSplit/>
        </w:trPr>
        <w:tc>
          <w:tcPr>
            <w:tcW w:w="3020" w:type="dxa"/>
          </w:tcPr>
          <w:p w14:paraId="62D1933E" w14:textId="37808F63" w:rsidR="00707C5F" w:rsidRDefault="00707C5F" w:rsidP="005E2C5E">
            <w:r>
              <w:t>Gastrointestinal system</w:t>
            </w:r>
          </w:p>
        </w:tc>
        <w:tc>
          <w:tcPr>
            <w:tcW w:w="3020" w:type="dxa"/>
          </w:tcPr>
          <w:p w14:paraId="1D0AACA2" w14:textId="7F310FAB" w:rsidR="00707C5F" w:rsidRDefault="00707C5F" w:rsidP="005E2C5E">
            <w:r>
              <w:t>Decreased gastrointestinal motility</w:t>
            </w:r>
            <w:r w:rsidR="009A0EC9">
              <w:t xml:space="preserve">, </w:t>
            </w:r>
            <w:r>
              <w:t>delayed gastric emptying</w:t>
            </w:r>
          </w:p>
        </w:tc>
        <w:tc>
          <w:tcPr>
            <w:tcW w:w="3020" w:type="dxa"/>
          </w:tcPr>
          <w:p w14:paraId="6618E976" w14:textId="1E8BF365" w:rsidR="009A0EC9" w:rsidRPr="00925272" w:rsidRDefault="009A0EC9" w:rsidP="005E2C5E">
            <w:r w:rsidRPr="00925272">
              <w:t>not applicable</w:t>
            </w:r>
          </w:p>
          <w:p w14:paraId="3D8D8709" w14:textId="37D5C24E" w:rsidR="00707C5F" w:rsidRDefault="00707C5F" w:rsidP="005E2C5E"/>
        </w:tc>
      </w:tr>
      <w:tr w:rsidR="00707C5F" w14:paraId="0E6478E9" w14:textId="77777777" w:rsidTr="008A1892">
        <w:trPr>
          <w:cantSplit/>
        </w:trPr>
        <w:tc>
          <w:tcPr>
            <w:tcW w:w="3020" w:type="dxa"/>
          </w:tcPr>
          <w:p w14:paraId="1644B673" w14:textId="75DBCA51" w:rsidR="00707C5F" w:rsidRDefault="00707C5F" w:rsidP="005E2C5E">
            <w:r>
              <w:t>Adipose Tissues</w:t>
            </w:r>
          </w:p>
        </w:tc>
        <w:tc>
          <w:tcPr>
            <w:tcW w:w="3020" w:type="dxa"/>
          </w:tcPr>
          <w:p w14:paraId="63DAB537" w14:textId="694D0E4D" w:rsidR="009A0EC9" w:rsidRPr="00925272" w:rsidRDefault="009A0EC9" w:rsidP="005E2C5E">
            <w:r w:rsidRPr="00925272">
              <w:t>not applicable</w:t>
            </w:r>
          </w:p>
          <w:p w14:paraId="65180875" w14:textId="63986AFB" w:rsidR="00707C5F" w:rsidRDefault="00707C5F" w:rsidP="005E2C5E"/>
        </w:tc>
        <w:tc>
          <w:tcPr>
            <w:tcW w:w="3020" w:type="dxa"/>
          </w:tcPr>
          <w:p w14:paraId="6609508F" w14:textId="76825B35" w:rsidR="00707C5F" w:rsidRDefault="00707C5F" w:rsidP="005E2C5E">
            <w:r>
              <w:t>Increased intravascular lipolysis</w:t>
            </w:r>
            <w:r w:rsidR="009A0EC9">
              <w:t>,</w:t>
            </w:r>
            <w:r>
              <w:t xml:space="preserve"> increased fatty acid update</w:t>
            </w:r>
          </w:p>
        </w:tc>
      </w:tr>
      <w:tr w:rsidR="00707C5F" w14:paraId="7F8619B4" w14:textId="77777777" w:rsidTr="008A1892">
        <w:trPr>
          <w:cantSplit/>
        </w:trPr>
        <w:tc>
          <w:tcPr>
            <w:tcW w:w="3020" w:type="dxa"/>
          </w:tcPr>
          <w:p w14:paraId="3F7F38E5" w14:textId="0A55DA04" w:rsidR="00707C5F" w:rsidRDefault="00707C5F" w:rsidP="005E2C5E">
            <w:r>
              <w:t>Brain</w:t>
            </w:r>
          </w:p>
        </w:tc>
        <w:tc>
          <w:tcPr>
            <w:tcW w:w="3020" w:type="dxa"/>
          </w:tcPr>
          <w:p w14:paraId="0EB67027" w14:textId="3ED2A49B" w:rsidR="00707C5F" w:rsidRDefault="00707C5F" w:rsidP="005E2C5E">
            <w:r>
              <w:t>Decreased appetite, increased satiety</w:t>
            </w:r>
          </w:p>
        </w:tc>
        <w:tc>
          <w:tcPr>
            <w:tcW w:w="3020" w:type="dxa"/>
          </w:tcPr>
          <w:p w14:paraId="07F93C2C" w14:textId="506EBD83" w:rsidR="00707C5F" w:rsidRDefault="009A0EC9" w:rsidP="005E2C5E">
            <w:r w:rsidRPr="00925272">
              <w:t>not applicable</w:t>
            </w:r>
          </w:p>
        </w:tc>
      </w:tr>
    </w:tbl>
    <w:p w14:paraId="79A1957C" w14:textId="1F25A8E9" w:rsidR="00072036" w:rsidRPr="00925272" w:rsidRDefault="00E050B0" w:rsidP="00925272">
      <w:pPr>
        <w:pStyle w:val="TableDescription"/>
      </w:pPr>
      <w:r w:rsidRPr="00925272">
        <w:t>Source: adapted from Min and Bain 2021</w:t>
      </w:r>
      <w:r w:rsidR="00925272">
        <w:rPr>
          <w:rStyle w:val="FootnoteReference"/>
        </w:rPr>
        <w:footnoteReference w:id="12"/>
      </w:r>
    </w:p>
    <w:p w14:paraId="7F5F2873" w14:textId="214ABD19" w:rsidR="008037D5" w:rsidRPr="008037D5" w:rsidRDefault="008037D5" w:rsidP="00CB63D6">
      <w:pPr>
        <w:pStyle w:val="Heading6"/>
      </w:pPr>
      <w:r w:rsidRPr="008037D5">
        <w:t>E</w:t>
      </w:r>
      <w:r w:rsidR="00CB63D6">
        <w:t xml:space="preserve">xposure </w:t>
      </w:r>
      <w:r w:rsidR="00C473D6">
        <w:t>r</w:t>
      </w:r>
      <w:r w:rsidR="00CB63D6">
        <w:t xml:space="preserve">esponse </w:t>
      </w:r>
      <w:r w:rsidRPr="008037D5">
        <w:t>analys</w:t>
      </w:r>
      <w:r w:rsidR="00CB63D6">
        <w:t>e</w:t>
      </w:r>
      <w:r w:rsidRPr="008037D5">
        <w:t>s</w:t>
      </w:r>
    </w:p>
    <w:p w14:paraId="009FD059" w14:textId="1A7523B8" w:rsidR="008037D5" w:rsidRPr="008037D5" w:rsidRDefault="008037D5" w:rsidP="008037D5">
      <w:r w:rsidRPr="008037D5">
        <w:t>Exposure</w:t>
      </w:r>
      <w:r w:rsidR="005E279A">
        <w:noBreakHyphen/>
      </w:r>
      <w:r w:rsidRPr="008037D5">
        <w:t>efficacy and exposure</w:t>
      </w:r>
      <w:r w:rsidR="005E279A">
        <w:noBreakHyphen/>
      </w:r>
      <w:r w:rsidRPr="008037D5">
        <w:t xml:space="preserve">safety analyses were conducted in patients with T2DM using data from 7 Phase </w:t>
      </w:r>
      <w:r w:rsidR="00D92945">
        <w:t>III</w:t>
      </w:r>
      <w:r w:rsidRPr="008037D5">
        <w:t xml:space="preserve"> studies</w:t>
      </w:r>
      <w:r w:rsidR="00343780">
        <w:t>.</w:t>
      </w:r>
    </w:p>
    <w:p w14:paraId="0E089085" w14:textId="1AE809AF" w:rsidR="008037D5" w:rsidRPr="008037D5" w:rsidRDefault="008037D5" w:rsidP="008037D5">
      <w:r w:rsidRPr="00343780">
        <w:rPr>
          <w:rStyle w:val="Heading7Char"/>
        </w:rPr>
        <w:t>Exposure</w:t>
      </w:r>
      <w:r w:rsidR="005E279A">
        <w:rPr>
          <w:rStyle w:val="Heading7Char"/>
        </w:rPr>
        <w:noBreakHyphen/>
      </w:r>
      <w:r w:rsidRPr="00343780">
        <w:rPr>
          <w:rStyle w:val="Heading7Char"/>
        </w:rPr>
        <w:t xml:space="preserve">efficacy analyses: </w:t>
      </w:r>
      <w:r w:rsidRPr="008037D5">
        <w:t>The PD relationship between tirzepatide exposure and efficacy (fasting glucose, HbA1c, and body weight) were investigated in healthy subject and T2DM patients (</w:t>
      </w:r>
      <w:r w:rsidR="006C0E72">
        <w:t xml:space="preserve">Studies </w:t>
      </w:r>
      <w:r w:rsidRPr="008037D5">
        <w:t xml:space="preserve">GPGA, GPGC, and GPGT) including the mechanistic aspects of tirzepatide based </w:t>
      </w:r>
      <w:r w:rsidRPr="009A6608">
        <w:t>on the primary PD endpoint total clamp disposition index (cDI)</w:t>
      </w:r>
      <w:r w:rsidR="009A6608" w:rsidRPr="009A6608">
        <w:rPr>
          <w:rStyle w:val="FootnoteReference"/>
        </w:rPr>
        <w:footnoteReference w:id="13"/>
      </w:r>
      <w:r w:rsidRPr="009A6608">
        <w:t xml:space="preserve"> (</w:t>
      </w:r>
      <w:r w:rsidR="00B92A61" w:rsidRPr="009A6608">
        <w:t xml:space="preserve">Study </w:t>
      </w:r>
      <w:r w:rsidRPr="009A6608">
        <w:t>GPGT):</w:t>
      </w:r>
    </w:p>
    <w:p w14:paraId="799CFBE8" w14:textId="7BEB6BDE" w:rsidR="008037D5" w:rsidRPr="008037D5" w:rsidRDefault="008037D5" w:rsidP="008037D5">
      <w:r w:rsidRPr="00B92A61">
        <w:rPr>
          <w:rStyle w:val="Heading8Char"/>
        </w:rPr>
        <w:t xml:space="preserve">HbA1c: </w:t>
      </w:r>
      <w:r w:rsidRPr="008037D5">
        <w:t xml:space="preserve">The time course of HbA1c was described using an indirect response model dependent on </w:t>
      </w:r>
      <w:r w:rsidR="00D23D94">
        <w:t>fasting glucose</w:t>
      </w:r>
      <w:r w:rsidRPr="008037D5">
        <w:t>.</w:t>
      </w:r>
    </w:p>
    <w:p w14:paraId="1678E477" w14:textId="52C84F1F" w:rsidR="008037D5" w:rsidRPr="008037D5" w:rsidRDefault="008037D5" w:rsidP="008037D5">
      <w:r w:rsidRPr="00B92A61">
        <w:rPr>
          <w:rStyle w:val="Heading8Char"/>
        </w:rPr>
        <w:t xml:space="preserve">Body weight: </w:t>
      </w:r>
      <w:r w:rsidRPr="008037D5">
        <w:t>The relationship between tirzepatide exposure and body weight was best described by a linear drug effect model (</w:t>
      </w:r>
      <w:r w:rsidR="00A16016">
        <w:fldChar w:fldCharType="begin"/>
      </w:r>
      <w:r w:rsidR="00A16016">
        <w:instrText xml:space="preserve"> REF _Ref144285192 \h </w:instrText>
      </w:r>
      <w:r w:rsidR="00A16016">
        <w:fldChar w:fldCharType="separate"/>
      </w:r>
      <w:r w:rsidR="008465DD">
        <w:t xml:space="preserve">Figure </w:t>
      </w:r>
      <w:r w:rsidR="008465DD">
        <w:rPr>
          <w:noProof/>
        </w:rPr>
        <w:t>5</w:t>
      </w:r>
      <w:r w:rsidR="00A16016">
        <w:fldChar w:fldCharType="end"/>
      </w:r>
      <w:r w:rsidRPr="008037D5">
        <w:t xml:space="preserve">). Biological sex and Japanese race were identified as </w:t>
      </w:r>
      <w:r w:rsidRPr="008037D5">
        <w:lastRenderedPageBreak/>
        <w:t>significant covariates and were included in the final model. The model predicted a clear dose</w:t>
      </w:r>
      <w:r w:rsidR="005E279A">
        <w:noBreakHyphen/>
      </w:r>
      <w:r w:rsidRPr="008037D5">
        <w:t>response relationship, and no plateau was observed across the administered doses.</w:t>
      </w:r>
    </w:p>
    <w:p w14:paraId="36E157C3" w14:textId="2E20B08D" w:rsidR="008037D5" w:rsidRDefault="008037D5" w:rsidP="008037D5">
      <w:r w:rsidRPr="00B92A61">
        <w:rPr>
          <w:rStyle w:val="Heading8Char"/>
        </w:rPr>
        <w:t>Fasting glucose:</w:t>
      </w:r>
      <w:r w:rsidRPr="008037D5">
        <w:t xml:space="preserve"> A statistically significant relationship between body weight change over time and tirzepatide concentration led to a reduced </w:t>
      </w:r>
      <w:r w:rsidR="00252569" w:rsidRPr="00252569">
        <w:t>drug concentration that produces 50% of maximum effect</w:t>
      </w:r>
      <w:r w:rsidRPr="008037D5">
        <w:t xml:space="preserve"> on </w:t>
      </w:r>
      <w:r w:rsidR="00252569">
        <w:t xml:space="preserve">fasting glucose, </w:t>
      </w:r>
      <w:r w:rsidRPr="008037D5">
        <w:t xml:space="preserve">suggesting that weight loss was associated with an improved effect of tirzepatide. The model predicted significant glycaemic improvements following the administration of </w:t>
      </w:r>
      <w:r w:rsidR="009F6F50">
        <w:t>5 mg</w:t>
      </w:r>
      <w:r w:rsidRPr="008037D5">
        <w:t xml:space="preserve">, </w:t>
      </w:r>
      <w:r w:rsidR="009F6F50">
        <w:t>10 mg</w:t>
      </w:r>
      <w:r w:rsidRPr="008037D5">
        <w:t>, or 1</w:t>
      </w:r>
      <w:r w:rsidR="009F6F50">
        <w:t>5 mg</w:t>
      </w:r>
      <w:r w:rsidRPr="008037D5">
        <w:t xml:space="preserve"> </w:t>
      </w:r>
      <w:r w:rsidR="005D07D5">
        <w:t>once weekly</w:t>
      </w:r>
      <w:r w:rsidRPr="008037D5">
        <w:t xml:space="preserve"> doses. The largest effect was achieved with the </w:t>
      </w:r>
      <w:r w:rsidR="009F6F50">
        <w:t>5 mg</w:t>
      </w:r>
      <w:r w:rsidRPr="008037D5">
        <w:t xml:space="preserve"> dose, plateauing with higher doses (</w:t>
      </w:r>
      <w:r w:rsidR="008621DE">
        <w:fldChar w:fldCharType="begin"/>
      </w:r>
      <w:r w:rsidR="008621DE">
        <w:instrText xml:space="preserve"> REF _Ref148964145 \h </w:instrText>
      </w:r>
      <w:r w:rsidR="008621DE">
        <w:fldChar w:fldCharType="separate"/>
      </w:r>
      <w:r w:rsidR="008621DE">
        <w:t xml:space="preserve">Figure </w:t>
      </w:r>
      <w:r w:rsidR="008621DE">
        <w:rPr>
          <w:noProof/>
        </w:rPr>
        <w:t>6</w:t>
      </w:r>
      <w:r w:rsidR="008621DE">
        <w:fldChar w:fldCharType="end"/>
      </w:r>
      <w:r w:rsidRPr="008037D5">
        <w:t>).</w:t>
      </w:r>
    </w:p>
    <w:p w14:paraId="12BD0E52" w14:textId="40C6638E" w:rsidR="00BC57F8" w:rsidRDefault="00C220A3" w:rsidP="005D1F69">
      <w:pPr>
        <w:pStyle w:val="FigureTitle"/>
      </w:pPr>
      <w:bookmarkStart w:id="55" w:name="_Ref144285192"/>
      <w:r>
        <w:t xml:space="preserve">Figure </w:t>
      </w:r>
      <w:r w:rsidR="002B0E47">
        <w:fldChar w:fldCharType="begin"/>
      </w:r>
      <w:r w:rsidR="002B0E47">
        <w:instrText xml:space="preserve"> SEQ Figure \* ARABIC </w:instrText>
      </w:r>
      <w:r w:rsidR="002B0E47">
        <w:fldChar w:fldCharType="separate"/>
      </w:r>
      <w:r w:rsidR="008465DD">
        <w:rPr>
          <w:noProof/>
        </w:rPr>
        <w:t>5</w:t>
      </w:r>
      <w:r w:rsidR="002B0E47">
        <w:rPr>
          <w:noProof/>
        </w:rPr>
        <w:fldChar w:fldCharType="end"/>
      </w:r>
      <w:bookmarkEnd w:id="55"/>
      <w:r>
        <w:t xml:space="preserve">: Pharmacodynamic analysis </w:t>
      </w:r>
      <w:r w:rsidR="000637CD">
        <w:t>showing d</w:t>
      </w:r>
      <w:r w:rsidR="0034082A">
        <w:t>ose/exposure response relationship of tirzepatide</w:t>
      </w:r>
    </w:p>
    <w:p w14:paraId="64EF0454" w14:textId="1784B4E1" w:rsidR="00BC57F8" w:rsidRDefault="004C4859" w:rsidP="008037D5">
      <w:r>
        <w:rPr>
          <w:noProof/>
        </w:rPr>
        <w:drawing>
          <wp:inline distT="0" distB="0" distL="0" distR="0" wp14:anchorId="591BD1D6" wp14:editId="25A7DB5F">
            <wp:extent cx="5332026" cy="3091158"/>
            <wp:effectExtent l="0" t="0" r="2540" b="0"/>
            <wp:docPr id="9" name="Picture 9" descr="There are 2 graphs of the dose-response relationship at Week 40 and also Week 52. The X axis is dose of tirzepatide. The Y axis is percent change in total body weight. Each graph shows fall in total bod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re are 2 graphs of the dose-response relationship at Week 40 and also Week 52. The X axis is dose of tirzepatide. The Y axis is percent change in total body weight. Each graph shows fall in total body weight."/>
                    <pic:cNvPicPr/>
                  </pic:nvPicPr>
                  <pic:blipFill>
                    <a:blip r:embed="rId27"/>
                    <a:stretch>
                      <a:fillRect/>
                    </a:stretch>
                  </pic:blipFill>
                  <pic:spPr>
                    <a:xfrm>
                      <a:off x="0" y="0"/>
                      <a:ext cx="5347603" cy="3100189"/>
                    </a:xfrm>
                    <a:prstGeom prst="rect">
                      <a:avLst/>
                    </a:prstGeom>
                  </pic:spPr>
                </pic:pic>
              </a:graphicData>
            </a:graphic>
          </wp:inline>
        </w:drawing>
      </w:r>
    </w:p>
    <w:p w14:paraId="7030D3B4" w14:textId="2BAD8418" w:rsidR="00BC57F8" w:rsidRPr="00F72054" w:rsidRDefault="00F72054" w:rsidP="00C473D6">
      <w:pPr>
        <w:pStyle w:val="FigureDescription"/>
        <w:keepNext w:val="0"/>
      </w:pPr>
      <w:r w:rsidRPr="00F72054">
        <w:t>Note: The continuous line is the median prediction. The shaded area is the 95% confidence interval of the prediction. The points and error bars are the observed mean and 95% confidence interval respectively.</w:t>
      </w:r>
    </w:p>
    <w:p w14:paraId="6E83016D" w14:textId="5D62EFA8" w:rsidR="00AC35E4" w:rsidRDefault="001D3B7F" w:rsidP="00A16016">
      <w:pPr>
        <w:pStyle w:val="FigureTitle"/>
      </w:pPr>
      <w:bookmarkStart w:id="56" w:name="_Ref148964145"/>
      <w:r>
        <w:lastRenderedPageBreak/>
        <w:t xml:space="preserve">Figure </w:t>
      </w:r>
      <w:r w:rsidR="002B0E47">
        <w:fldChar w:fldCharType="begin"/>
      </w:r>
      <w:r w:rsidR="002B0E47">
        <w:instrText xml:space="preserve"> SEQ Figure \* ARABIC </w:instrText>
      </w:r>
      <w:r w:rsidR="002B0E47">
        <w:fldChar w:fldCharType="separate"/>
      </w:r>
      <w:r w:rsidR="008465DD">
        <w:rPr>
          <w:noProof/>
        </w:rPr>
        <w:t>6</w:t>
      </w:r>
      <w:r w:rsidR="002B0E47">
        <w:rPr>
          <w:noProof/>
        </w:rPr>
        <w:fldChar w:fldCharType="end"/>
      </w:r>
      <w:bookmarkEnd w:id="56"/>
      <w:r>
        <w:t xml:space="preserve">: </w:t>
      </w:r>
      <w:r w:rsidR="00B262FF">
        <w:t>Pharmacodynamic analysis</w:t>
      </w:r>
      <w:r w:rsidR="000637CD">
        <w:t xml:space="preserve"> showing m</w:t>
      </w:r>
      <w:r w:rsidR="00AD5767">
        <w:t>odel</w:t>
      </w:r>
      <w:r w:rsidR="005E279A">
        <w:noBreakHyphen/>
      </w:r>
      <w:r w:rsidR="00AD5767">
        <w:t>predicted tirzepatide dose</w:t>
      </w:r>
      <w:r w:rsidR="005E279A">
        <w:noBreakHyphen/>
      </w:r>
      <w:r w:rsidR="00AD5767">
        <w:t>response at Week</w:t>
      </w:r>
      <w:r w:rsidR="0098279B">
        <w:t> </w:t>
      </w:r>
      <w:r w:rsidR="00AD5767">
        <w:t>52 for fasting glucose and HbA1c</w:t>
      </w:r>
    </w:p>
    <w:p w14:paraId="1B340BB4" w14:textId="7DF9C827" w:rsidR="00B35E0F" w:rsidRDefault="00B35E0F" w:rsidP="008037D5">
      <w:r>
        <w:rPr>
          <w:noProof/>
        </w:rPr>
        <w:drawing>
          <wp:inline distT="0" distB="0" distL="0" distR="0" wp14:anchorId="7280694A" wp14:editId="0955614F">
            <wp:extent cx="5657850" cy="4914900"/>
            <wp:effectExtent l="0" t="0" r="0" b="0"/>
            <wp:docPr id="8" name="Picture 8" descr="The figure has 4 graphs. All X axis are tirzepatide dose. The Y axis on top row are fasting glucose (mmol/L) and HbA1c (%), and the Y axis on the bottom row are change in fasting glucose (mmol/L) and change in HbA1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figure has 4 graphs. All X axis are tirzepatide dose. The Y axis on top row are fasting glucose (mmol/L) and HbA1c (%), and the Y axis on the bottom row are change in fasting glucose (mmol/L) and change in HbA1c (%)."/>
                    <pic:cNvPicPr/>
                  </pic:nvPicPr>
                  <pic:blipFill>
                    <a:blip r:embed="rId28"/>
                    <a:stretch>
                      <a:fillRect/>
                    </a:stretch>
                  </pic:blipFill>
                  <pic:spPr>
                    <a:xfrm>
                      <a:off x="0" y="0"/>
                      <a:ext cx="5657850" cy="4914900"/>
                    </a:xfrm>
                    <a:prstGeom prst="rect">
                      <a:avLst/>
                    </a:prstGeom>
                  </pic:spPr>
                </pic:pic>
              </a:graphicData>
            </a:graphic>
          </wp:inline>
        </w:drawing>
      </w:r>
    </w:p>
    <w:p w14:paraId="2F710F02" w14:textId="186B90D0" w:rsidR="00AC35E4" w:rsidRPr="009A6608" w:rsidRDefault="00AC35E4" w:rsidP="009A6608">
      <w:pPr>
        <w:pStyle w:val="FigureDescription"/>
      </w:pPr>
      <w:r w:rsidRPr="009A6608">
        <w:t xml:space="preserve">Abbreviations: </w:t>
      </w:r>
      <w:r w:rsidR="009A6608">
        <w:t>Δ</w:t>
      </w:r>
      <w:r w:rsidRPr="009A6608">
        <w:t xml:space="preserve"> = change from baseline; HbA1c = haemoglobin A1c.</w:t>
      </w:r>
    </w:p>
    <w:p w14:paraId="18B94108" w14:textId="3790EC87" w:rsidR="00AC35E4" w:rsidRPr="009A6608" w:rsidRDefault="00AC35E4" w:rsidP="009A6608">
      <w:pPr>
        <w:pStyle w:val="FigureDescription"/>
      </w:pPr>
      <w:r w:rsidRPr="009A6608">
        <w:t xml:space="preserve">Note: </w:t>
      </w:r>
      <w:r w:rsidR="005123A9" w:rsidRPr="009A6608">
        <w:t>Y</w:t>
      </w:r>
      <w:r w:rsidR="005E279A">
        <w:noBreakHyphen/>
      </w:r>
      <w:r w:rsidR="005123A9" w:rsidRPr="009A6608">
        <w:t xml:space="preserve">axis as absolute (top row) and change from baseline (bottom row). </w:t>
      </w:r>
      <w:r w:rsidRPr="009A6608">
        <w:t>Solid black lines denote the simulation median and the shaded areas denote the 90% confidence interval. Red circles and error bars denote the mean and 95% confidence interval of observed data.</w:t>
      </w:r>
    </w:p>
    <w:p w14:paraId="6802DEA2" w14:textId="12473EBE" w:rsidR="008037D5" w:rsidRPr="008037D5" w:rsidRDefault="008037D5" w:rsidP="008037D5">
      <w:r w:rsidRPr="00BD5308">
        <w:rPr>
          <w:rStyle w:val="Heading7Char"/>
        </w:rPr>
        <w:t>Exposure</w:t>
      </w:r>
      <w:r w:rsidR="005E279A">
        <w:rPr>
          <w:rStyle w:val="Heading7Char"/>
        </w:rPr>
        <w:noBreakHyphen/>
      </w:r>
      <w:r w:rsidRPr="00BD5308">
        <w:rPr>
          <w:rStyle w:val="Heading7Char"/>
        </w:rPr>
        <w:t xml:space="preserve">safety analyses: </w:t>
      </w:r>
      <w:r w:rsidRPr="00BD5308">
        <w:t>A discrete</w:t>
      </w:r>
      <w:r w:rsidR="005E279A">
        <w:noBreakHyphen/>
      </w:r>
      <w:r w:rsidRPr="00BD5308">
        <w:t>time Markov model was used to estimate transition</w:t>
      </w:r>
      <w:r w:rsidRPr="008037D5">
        <w:t xml:space="preserve"> probabilities between nausea, vomiting, and diarrhoea adverse event (AE) states (no</w:t>
      </w:r>
      <w:r w:rsidR="009A6608">
        <w:t>ne</w:t>
      </w:r>
      <w:r w:rsidRPr="008037D5">
        <w:t>, mild, or moderate/severe event) and to investigate the impact of tirzepatide effects and covariates on these probabilities.</w:t>
      </w:r>
    </w:p>
    <w:p w14:paraId="5123EBEE" w14:textId="77777777" w:rsidR="008037D5" w:rsidRPr="008037D5" w:rsidRDefault="008037D5" w:rsidP="008037D5">
      <w:r w:rsidRPr="00B70329">
        <w:rPr>
          <w:rStyle w:val="Heading8Char"/>
        </w:rPr>
        <w:t xml:space="preserve">Covariates: </w:t>
      </w:r>
      <w:r w:rsidRPr="008037D5">
        <w:t>Biological sex, Japanese race, and Hispanic ethnicity were identified as significant covariates.</w:t>
      </w:r>
    </w:p>
    <w:p w14:paraId="6A1EE5B2" w14:textId="0A1C48AB" w:rsidR="008037D5" w:rsidRPr="008037D5" w:rsidRDefault="008037D5" w:rsidP="008037D5">
      <w:r w:rsidRPr="00B70329">
        <w:rPr>
          <w:rStyle w:val="Heading8Char"/>
        </w:rPr>
        <w:t>G</w:t>
      </w:r>
      <w:r w:rsidR="00AA71C3">
        <w:rPr>
          <w:rStyle w:val="Heading8Char"/>
        </w:rPr>
        <w:t>astrointestinal adverse events</w:t>
      </w:r>
      <w:r w:rsidRPr="00B70329">
        <w:rPr>
          <w:rStyle w:val="Heading8Char"/>
        </w:rPr>
        <w:t xml:space="preserve">: </w:t>
      </w:r>
      <w:r w:rsidRPr="008037D5">
        <w:t xml:space="preserve">Overall, the dose escalation regimen may have mitigated the incidence of </w:t>
      </w:r>
      <w:r w:rsidR="00AC3FDD">
        <w:t>gastrointestinal</w:t>
      </w:r>
      <w:r w:rsidRPr="008037D5">
        <w:t xml:space="preserve"> AEs, as the incidence rate was substantially decreased once steady state concentrations for any of the </w:t>
      </w:r>
      <w:r w:rsidR="00320553">
        <w:t>3</w:t>
      </w:r>
      <w:r w:rsidRPr="008037D5">
        <w:t xml:space="preserve"> proposed maintenance doses (</w:t>
      </w:r>
      <w:r w:rsidR="009F6F50">
        <w:t>5 mg</w:t>
      </w:r>
      <w:r w:rsidRPr="008037D5">
        <w:t xml:space="preserve">, </w:t>
      </w:r>
      <w:r w:rsidR="009F6F50">
        <w:t>10 mg</w:t>
      </w:r>
      <w:r w:rsidRPr="008037D5">
        <w:t>, or 1</w:t>
      </w:r>
      <w:r w:rsidR="009F6F50">
        <w:t>5 mg</w:t>
      </w:r>
      <w:r w:rsidRPr="008037D5">
        <w:t>) were reached.</w:t>
      </w:r>
    </w:p>
    <w:p w14:paraId="3E5ECE82" w14:textId="7FFD15D1" w:rsidR="008037D5" w:rsidRPr="008037D5" w:rsidRDefault="008037D5" w:rsidP="008037D5">
      <w:r w:rsidRPr="00182466">
        <w:rPr>
          <w:rStyle w:val="Heading8Char"/>
        </w:rPr>
        <w:lastRenderedPageBreak/>
        <w:t xml:space="preserve">Cardiac safety: </w:t>
      </w:r>
      <w:r w:rsidRPr="00182466">
        <w:t xml:space="preserve">No </w:t>
      </w:r>
      <w:r w:rsidR="001A24B2" w:rsidRPr="00182466">
        <w:t>thorough QT (tQT)</w:t>
      </w:r>
      <w:r w:rsidR="00A33967" w:rsidRPr="00182466">
        <w:rPr>
          <w:rStyle w:val="FootnoteReference"/>
        </w:rPr>
        <w:footnoteReference w:id="14"/>
      </w:r>
      <w:r w:rsidR="001A24B2" w:rsidRPr="00182466">
        <w:t xml:space="preserve"> study </w:t>
      </w:r>
      <w:r w:rsidRPr="00182466">
        <w:t>investigating the effect of supratherapeutic</w:t>
      </w:r>
      <w:r w:rsidRPr="008037D5">
        <w:t xml:space="preserve"> tirzepatide doses on cardiac repolarisation was conducted. Instead, a concentration effect analysis was performed. Further details are in the </w:t>
      </w:r>
      <w:r w:rsidR="009E3F10" w:rsidRPr="009E3F10">
        <w:rPr>
          <w:color w:val="0000FF"/>
        </w:rPr>
        <w:fldChar w:fldCharType="begin"/>
      </w:r>
      <w:r w:rsidR="009E3F10" w:rsidRPr="009E3F10">
        <w:rPr>
          <w:color w:val="0000FF"/>
        </w:rPr>
        <w:instrText xml:space="preserve"> REF _Ref150776477 \h </w:instrText>
      </w:r>
      <w:r w:rsidR="009E3F10">
        <w:rPr>
          <w:color w:val="0000FF"/>
        </w:rPr>
        <w:instrText xml:space="preserve"> \* MERGEFORMAT </w:instrText>
      </w:r>
      <w:r w:rsidR="009E3F10" w:rsidRPr="009E3F10">
        <w:rPr>
          <w:color w:val="0000FF"/>
        </w:rPr>
      </w:r>
      <w:r w:rsidR="009E3F10" w:rsidRPr="009E3F10">
        <w:rPr>
          <w:color w:val="0000FF"/>
        </w:rPr>
        <w:fldChar w:fldCharType="separate"/>
      </w:r>
      <w:r w:rsidR="009E3F10" w:rsidRPr="009E3F10">
        <w:rPr>
          <w:color w:val="0000FF"/>
        </w:rPr>
        <w:t>Safety</w:t>
      </w:r>
      <w:r w:rsidR="009E3F10" w:rsidRPr="009E3F10">
        <w:rPr>
          <w:color w:val="0000FF"/>
        </w:rPr>
        <w:fldChar w:fldCharType="end"/>
      </w:r>
      <w:r w:rsidRPr="008037D5">
        <w:t xml:space="preserve"> section.</w:t>
      </w:r>
    </w:p>
    <w:p w14:paraId="562519D5" w14:textId="575E05BB" w:rsidR="008037D5" w:rsidRPr="008037D5" w:rsidRDefault="008037D5" w:rsidP="009A0D6C">
      <w:pPr>
        <w:pStyle w:val="Heading6"/>
      </w:pPr>
      <w:r w:rsidRPr="008037D5">
        <w:t>Oral contraception interaction</w:t>
      </w:r>
    </w:p>
    <w:p w14:paraId="685CDA97" w14:textId="523EB772" w:rsidR="008037D5" w:rsidRPr="008037D5" w:rsidRDefault="008037D5" w:rsidP="008037D5">
      <w:r w:rsidRPr="008037D5">
        <w:t xml:space="preserve">In </w:t>
      </w:r>
      <w:r w:rsidR="00AB27AC">
        <w:t xml:space="preserve">an </w:t>
      </w:r>
      <w:r w:rsidRPr="008037D5">
        <w:t>interaction study with oral contraceptives (</w:t>
      </w:r>
      <w:r w:rsidR="009A0D6C">
        <w:t xml:space="preserve">Study </w:t>
      </w:r>
      <w:r w:rsidRPr="008037D5">
        <w:t xml:space="preserve">GPGR), in the presence of </w:t>
      </w:r>
      <w:r w:rsidR="009F6F50">
        <w:t>5 mg</w:t>
      </w:r>
      <w:r w:rsidRPr="008037D5">
        <w:t xml:space="preserve"> tirzepatide, </w:t>
      </w:r>
      <w:r w:rsidR="009471E5">
        <w:t>the maximum observed concentrations</w:t>
      </w:r>
      <w:r w:rsidR="009471E5" w:rsidRPr="008037D5">
        <w:t xml:space="preserve"> </w:t>
      </w:r>
      <w:r w:rsidRPr="008037D5">
        <w:t>of ethinyl oestradiol and norgestimate w</w:t>
      </w:r>
      <w:r w:rsidR="00A62EF0">
        <w:t>ere</w:t>
      </w:r>
      <w:r w:rsidRPr="008037D5">
        <w:t xml:space="preserve"> decreased </w:t>
      </w:r>
      <w:r w:rsidRPr="00182466">
        <w:t xml:space="preserve">by 55% and 66%, respectively. As a consequence of gastric emptying delay, delays in </w:t>
      </w:r>
      <w:r w:rsidR="00724153" w:rsidRPr="00182466">
        <w:t>time to</w:t>
      </w:r>
      <w:r w:rsidR="00724153">
        <w:t xml:space="preserve"> maximum concentrations </w:t>
      </w:r>
      <w:r w:rsidRPr="008037D5">
        <w:t>of 2.5</w:t>
      </w:r>
      <w:r w:rsidR="00724153">
        <w:t> </w:t>
      </w:r>
      <w:r w:rsidRPr="008037D5">
        <w:t>h</w:t>
      </w:r>
      <w:r w:rsidR="00724153">
        <w:t>ours</w:t>
      </w:r>
      <w:r w:rsidRPr="008037D5">
        <w:t xml:space="preserve"> to 4.5</w:t>
      </w:r>
      <w:r w:rsidR="00724153">
        <w:t> </w:t>
      </w:r>
      <w:r w:rsidRPr="008037D5">
        <w:t>h</w:t>
      </w:r>
      <w:r w:rsidR="00724153">
        <w:t>ours</w:t>
      </w:r>
      <w:r w:rsidRPr="008037D5">
        <w:t xml:space="preserve"> were observed when the </w:t>
      </w:r>
      <w:r w:rsidR="00724153">
        <w:t>oral contraceptive</w:t>
      </w:r>
      <w:r w:rsidRPr="008037D5">
        <w:t xml:space="preserve"> was administered. The impact on</w:t>
      </w:r>
      <w:r w:rsidR="00DC019E" w:rsidRPr="00DC019E">
        <w:rPr>
          <w:rFonts w:cs="Calibri"/>
          <w:color w:val="000000"/>
        </w:rPr>
        <w:t xml:space="preserve"> </w:t>
      </w:r>
      <w:r w:rsidR="00DC019E">
        <w:rPr>
          <w:rFonts w:cs="Calibri"/>
          <w:color w:val="000000"/>
        </w:rPr>
        <w:t>a</w:t>
      </w:r>
      <w:r w:rsidR="00DC019E" w:rsidRPr="002B01B1">
        <w:rPr>
          <w:rFonts w:cs="Calibri"/>
          <w:color w:val="000000"/>
        </w:rPr>
        <w:t>rea under the concentration time curve from time zero to the last measurable time point</w:t>
      </w:r>
      <w:r w:rsidRPr="008037D5">
        <w:t xml:space="preserve"> </w:t>
      </w:r>
      <w:r w:rsidR="00DC019E">
        <w:t>(</w:t>
      </w:r>
      <w:r w:rsidR="00DC019E" w:rsidRPr="004766C2">
        <w:t>AUC</w:t>
      </w:r>
      <w:r w:rsidR="00DC019E" w:rsidRPr="00BD5308">
        <w:rPr>
          <w:vertAlign w:val="subscript"/>
        </w:rPr>
        <w:t>last</w:t>
      </w:r>
      <w:r w:rsidR="00DC019E">
        <w:t xml:space="preserve">) </w:t>
      </w:r>
      <w:r w:rsidRPr="008037D5">
        <w:t>was less pronounced (16% and 20%), but greater in value compared to other GLP</w:t>
      </w:r>
      <w:r w:rsidR="005E279A">
        <w:noBreakHyphen/>
      </w:r>
      <w:r w:rsidRPr="008037D5">
        <w:t>1 receptor agonists. The higher proposed tirzepatide doses (</w:t>
      </w:r>
      <w:r w:rsidR="009F6F50">
        <w:t>10 mg</w:t>
      </w:r>
      <w:r w:rsidRPr="008037D5">
        <w:t xml:space="preserve"> and 1</w:t>
      </w:r>
      <w:r w:rsidR="009F6F50">
        <w:t>5 mg</w:t>
      </w:r>
      <w:r w:rsidRPr="008037D5">
        <w:t>) were not tested.</w:t>
      </w:r>
    </w:p>
    <w:p w14:paraId="4D3AC75E" w14:textId="10DE358E" w:rsidR="008037D5" w:rsidRPr="008037D5" w:rsidRDefault="008037D5" w:rsidP="008037D5">
      <w:r w:rsidRPr="00417BEB">
        <w:t xml:space="preserve">In their response, the sponsor essentially states that AUC and not </w:t>
      </w:r>
      <w:r w:rsidR="009471E5" w:rsidRPr="00417BEB">
        <w:t>maximum observed drug</w:t>
      </w:r>
      <w:r w:rsidR="009471E5">
        <w:t xml:space="preserve"> concentration</w:t>
      </w:r>
      <w:r w:rsidR="009471E5" w:rsidRPr="008037D5">
        <w:t xml:space="preserve"> </w:t>
      </w:r>
      <w:r w:rsidRPr="008037D5">
        <w:t>is the driver of contraception efficacy, and that a</w:t>
      </w:r>
      <w:r w:rsidR="001919F2">
        <w:t xml:space="preserve">n approximately </w:t>
      </w:r>
      <w:r w:rsidRPr="008037D5">
        <w:t xml:space="preserve">20% decrease may not be clinically meaningful in the presence of a </w:t>
      </w:r>
      <w:r w:rsidR="001D2D65">
        <w:t>coefficient of variation percent</w:t>
      </w:r>
      <w:r w:rsidR="000C6F8E">
        <w:t xml:space="preserve">age (CV%) </w:t>
      </w:r>
      <w:r w:rsidRPr="008037D5">
        <w:t xml:space="preserve">of a similar magnitude. Some further statements with regard to contraceptive patches or gastric emptying data are not definitely relevant, as actual interaction PK data are available from </w:t>
      </w:r>
      <w:r w:rsidR="00D03776">
        <w:t>S</w:t>
      </w:r>
      <w:r w:rsidRPr="008037D5">
        <w:t>tudy GPGR.</w:t>
      </w:r>
    </w:p>
    <w:p w14:paraId="62FF4C4B" w14:textId="01AD7383" w:rsidR="008037D5" w:rsidRPr="008037D5" w:rsidRDefault="008037D5" w:rsidP="008037D5">
      <w:r w:rsidRPr="008037D5">
        <w:t xml:space="preserve">With regard to the doses tested, the sponsor claims that the tested </w:t>
      </w:r>
      <w:r w:rsidR="009F6F50">
        <w:t>5 mg</w:t>
      </w:r>
      <w:r w:rsidRPr="008037D5">
        <w:t xml:space="preserve"> dose can be considered representative with regard to impact on </w:t>
      </w:r>
      <w:r w:rsidR="00182466" w:rsidRPr="008037D5">
        <w:t>gastric emptying delay</w:t>
      </w:r>
      <w:r w:rsidRPr="008037D5">
        <w:t xml:space="preserve">. This may be the case, but even though </w:t>
      </w:r>
      <w:r w:rsidR="00182466" w:rsidRPr="008037D5">
        <w:t xml:space="preserve">gastric emptying delay </w:t>
      </w:r>
      <w:r w:rsidRPr="008037D5">
        <w:t xml:space="preserve">may be the main driver, it may not be the only driver for decreased </w:t>
      </w:r>
      <w:r w:rsidR="00D81579">
        <w:t>oral contraceptive</w:t>
      </w:r>
      <w:r w:rsidRPr="008037D5">
        <w:t xml:space="preserve"> exposure. The other proposed doses should have been tested as well.</w:t>
      </w:r>
    </w:p>
    <w:p w14:paraId="0FB3EC63" w14:textId="67F04122" w:rsidR="000644B3" w:rsidRDefault="008037D5" w:rsidP="000F666A">
      <w:r w:rsidRPr="008037D5">
        <w:t>Overall, the sponsor’s explanations are not entirely satisfactory</w:t>
      </w:r>
      <w:r w:rsidR="00D81579">
        <w:t xml:space="preserve"> to the Delegate</w:t>
      </w:r>
      <w:r w:rsidRPr="008037D5">
        <w:t xml:space="preserve">, and a relevant PI statement on appropriate contraception should be included, </w:t>
      </w:r>
      <w:proofErr w:type="gramStart"/>
      <w:r w:rsidRPr="008037D5">
        <w:t>in particular given</w:t>
      </w:r>
      <w:proofErr w:type="gramEnd"/>
      <w:r w:rsidRPr="008037D5">
        <w:t xml:space="preserve"> the Pregnancy Category D.</w:t>
      </w:r>
      <w:r w:rsidR="009D057C" w:rsidRPr="009D057C">
        <w:rPr>
          <w:vertAlign w:val="superscript"/>
        </w:rPr>
        <w:fldChar w:fldCharType="begin"/>
      </w:r>
      <w:r w:rsidR="009D057C" w:rsidRPr="009D057C">
        <w:rPr>
          <w:vertAlign w:val="superscript"/>
        </w:rPr>
        <w:instrText xml:space="preserve"> NOTEREF _Ref144286240 \h </w:instrText>
      </w:r>
      <w:r w:rsidR="009D057C">
        <w:rPr>
          <w:vertAlign w:val="superscript"/>
        </w:rPr>
        <w:instrText xml:space="preserve"> \* MERGEFORMAT </w:instrText>
      </w:r>
      <w:r w:rsidR="009D057C" w:rsidRPr="009D057C">
        <w:rPr>
          <w:vertAlign w:val="superscript"/>
        </w:rPr>
      </w:r>
      <w:r w:rsidR="009D057C" w:rsidRPr="009D057C">
        <w:rPr>
          <w:vertAlign w:val="superscript"/>
        </w:rPr>
        <w:fldChar w:fldCharType="separate"/>
      </w:r>
      <w:r w:rsidR="008465DD">
        <w:rPr>
          <w:vertAlign w:val="superscript"/>
        </w:rPr>
        <w:t>9</w:t>
      </w:r>
      <w:r w:rsidR="009D057C" w:rsidRPr="009D057C">
        <w:rPr>
          <w:vertAlign w:val="superscript"/>
        </w:rPr>
        <w:fldChar w:fldCharType="end"/>
      </w:r>
    </w:p>
    <w:p w14:paraId="7B07AE56" w14:textId="4D0EAEE6" w:rsidR="00EB478F" w:rsidRPr="00180855" w:rsidRDefault="00EB478F" w:rsidP="00180855">
      <w:pPr>
        <w:pStyle w:val="Heading4"/>
      </w:pPr>
      <w:bookmarkStart w:id="57" w:name="_Toc148961948"/>
      <w:r w:rsidRPr="00180855">
        <w:t>Efficacy</w:t>
      </w:r>
      <w:bookmarkEnd w:id="57"/>
    </w:p>
    <w:p w14:paraId="0144ED02" w14:textId="475890D6" w:rsidR="00446B25" w:rsidRDefault="00446B25" w:rsidP="00446B25">
      <w:pPr>
        <w:pStyle w:val="Heading5"/>
      </w:pPr>
      <w:r>
        <w:t>Overview</w:t>
      </w:r>
    </w:p>
    <w:p w14:paraId="70B82056" w14:textId="01CB05B9" w:rsidR="00EB478F" w:rsidRDefault="00EB478F" w:rsidP="00180855">
      <w:r w:rsidRPr="00180855">
        <w:t>The efficacy of M</w:t>
      </w:r>
      <w:r w:rsidR="00180855">
        <w:t>ounjaro</w:t>
      </w:r>
      <w:r w:rsidRPr="00180855">
        <w:t xml:space="preserve"> was primarily assessed from data from the SURPASS trials. In all those trials, the primary endpoint was HbA1c change from baseline at Week 40 or 52.</w:t>
      </w:r>
      <w:r w:rsidR="00D35987">
        <w:t xml:space="preserve"> </w:t>
      </w:r>
      <w:r w:rsidR="00D35987">
        <w:fldChar w:fldCharType="begin"/>
      </w:r>
      <w:r w:rsidR="00D35987">
        <w:instrText xml:space="preserve"> REF _Ref148436534 \h </w:instrText>
      </w:r>
      <w:r w:rsidR="00D35987">
        <w:fldChar w:fldCharType="separate"/>
      </w:r>
      <w:r w:rsidR="008465DD">
        <w:t xml:space="preserve">Table </w:t>
      </w:r>
      <w:r w:rsidR="008465DD">
        <w:rPr>
          <w:noProof/>
        </w:rPr>
        <w:t>6</w:t>
      </w:r>
      <w:r w:rsidR="00D35987">
        <w:fldChar w:fldCharType="end"/>
      </w:r>
      <w:r w:rsidR="00565796">
        <w:t xml:space="preserve"> summarises p</w:t>
      </w:r>
      <w:r w:rsidR="00565796" w:rsidRPr="00446B25">
        <w:t>rimary endpoints, trial population</w:t>
      </w:r>
      <w:r w:rsidR="00565796">
        <w:t>s</w:t>
      </w:r>
      <w:r w:rsidR="00565796" w:rsidRPr="00446B25">
        <w:t>, and study design</w:t>
      </w:r>
      <w:r w:rsidR="00565796">
        <w:t>s.</w:t>
      </w:r>
    </w:p>
    <w:p w14:paraId="6647949C" w14:textId="4BC28B9D" w:rsidR="00D037B4" w:rsidRDefault="00D037B4" w:rsidP="00D037B4">
      <w:pPr>
        <w:pStyle w:val="TableTitle"/>
      </w:pPr>
      <w:bookmarkStart w:id="58" w:name="_Ref148436534"/>
      <w:r>
        <w:lastRenderedPageBreak/>
        <w:t xml:space="preserve">Table </w:t>
      </w:r>
      <w:r w:rsidR="002B0E47">
        <w:fldChar w:fldCharType="begin"/>
      </w:r>
      <w:r w:rsidR="002B0E47">
        <w:instrText xml:space="preserve"> SEQ Table \* ARABIC </w:instrText>
      </w:r>
      <w:r w:rsidR="002B0E47">
        <w:fldChar w:fldCharType="separate"/>
      </w:r>
      <w:r w:rsidR="008465DD">
        <w:rPr>
          <w:noProof/>
        </w:rPr>
        <w:t>6</w:t>
      </w:r>
      <w:r w:rsidR="002B0E47">
        <w:rPr>
          <w:noProof/>
        </w:rPr>
        <w:fldChar w:fldCharType="end"/>
      </w:r>
      <w:bookmarkEnd w:id="58"/>
      <w:r>
        <w:t>: Overview of the pivotal SURPASS Phase III efficacy trials</w:t>
      </w:r>
    </w:p>
    <w:p w14:paraId="1DFAE3EB" w14:textId="2E9FC578" w:rsidR="002B538D" w:rsidRDefault="00E154A4" w:rsidP="00D037B4">
      <w:r w:rsidRPr="00E154A4">
        <w:rPr>
          <w:noProof/>
        </w:rPr>
        <w:drawing>
          <wp:inline distT="0" distB="0" distL="0" distR="0" wp14:anchorId="4A9DF984" wp14:editId="1E967557">
            <wp:extent cx="5759450" cy="5041900"/>
            <wp:effectExtent l="0" t="0" r="0" b="6350"/>
            <wp:docPr id="1057" name="Picture 1057" descr="Overview of the five SURPASS studies that allows comparison of duration, comparator, study design, number of randomised subjects, treatments, background medication, primary endpoint, and HbA1c inclus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Overview of the five SURPASS studies that allows comparison of duration, comparator, study design, number of randomised subjects, treatments, background medication, primary endpoint, and HbA1c inclusion criter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5041900"/>
                    </a:xfrm>
                    <a:prstGeom prst="rect">
                      <a:avLst/>
                    </a:prstGeom>
                    <a:noFill/>
                    <a:ln>
                      <a:noFill/>
                    </a:ln>
                  </pic:spPr>
                </pic:pic>
              </a:graphicData>
            </a:graphic>
          </wp:inline>
        </w:drawing>
      </w:r>
    </w:p>
    <w:p w14:paraId="6E1CCE10" w14:textId="09DA7555" w:rsidR="00D037B4" w:rsidRPr="00722996" w:rsidRDefault="00D037B4" w:rsidP="00D037B4">
      <w:pPr>
        <w:pStyle w:val="TableDescription"/>
      </w:pPr>
      <w:r w:rsidRPr="00722996">
        <w:t>Abbreviations: HbA1C = haemoglobin A1c; n = number of subjects; NI – non</w:t>
      </w:r>
      <w:r w:rsidR="005E279A">
        <w:noBreakHyphen/>
      </w:r>
      <w:r w:rsidRPr="00722996">
        <w:t xml:space="preserve">inferior; mITT = </w:t>
      </w:r>
      <w:r>
        <w:t>modified intent</w:t>
      </w:r>
      <w:r w:rsidR="005E279A">
        <w:noBreakHyphen/>
      </w:r>
      <w:r>
        <w:t>to</w:t>
      </w:r>
      <w:r w:rsidR="005E279A">
        <w:noBreakHyphen/>
      </w:r>
      <w:r>
        <w:t>treat</w:t>
      </w:r>
      <w:r w:rsidRPr="00722996">
        <w:t xml:space="preserve">; OAM = </w:t>
      </w:r>
      <w:r>
        <w:t>oral antihyperglycaemic medication</w:t>
      </w:r>
      <w:r w:rsidRPr="00722996">
        <w:t xml:space="preserve">; S = superiority; SEMA = semaglutide; SGLT2i = </w:t>
      </w:r>
      <w:r w:rsidR="00E14132">
        <w:rPr>
          <w:szCs w:val="22"/>
        </w:rPr>
        <w:t>s</w:t>
      </w:r>
      <w:r w:rsidR="00E14132" w:rsidRPr="007C64C2">
        <w:rPr>
          <w:szCs w:val="22"/>
        </w:rPr>
        <w:t>odium</w:t>
      </w:r>
      <w:r w:rsidR="005E279A">
        <w:rPr>
          <w:szCs w:val="22"/>
        </w:rPr>
        <w:noBreakHyphen/>
      </w:r>
      <w:r w:rsidR="00E14132" w:rsidRPr="007C64C2">
        <w:rPr>
          <w:szCs w:val="22"/>
        </w:rPr>
        <w:t>glucose co</w:t>
      </w:r>
      <w:r w:rsidR="005E279A">
        <w:rPr>
          <w:szCs w:val="22"/>
        </w:rPr>
        <w:noBreakHyphen/>
      </w:r>
      <w:r w:rsidR="00E14132" w:rsidRPr="007C64C2">
        <w:rPr>
          <w:szCs w:val="22"/>
        </w:rPr>
        <w:t>transporter 2</w:t>
      </w:r>
      <w:r w:rsidRPr="00722996">
        <w:t xml:space="preserve"> inhibitor</w:t>
      </w:r>
      <w:r w:rsidR="00E14132">
        <w:t>;</w:t>
      </w:r>
      <w:r w:rsidRPr="00722996">
        <w:t xml:space="preserve"> SU =</w:t>
      </w:r>
      <w:r w:rsidR="007C64C2">
        <w:t xml:space="preserve"> s</w:t>
      </w:r>
      <w:r w:rsidR="007C64C2" w:rsidRPr="007C64C2">
        <w:t>ulfonylurea</w:t>
      </w:r>
      <w:r w:rsidRPr="00722996">
        <w:t xml:space="preserve">; TZP = </w:t>
      </w:r>
      <w:r>
        <w:t>tirzepatide</w:t>
      </w:r>
    </w:p>
    <w:p w14:paraId="241E2FF6" w14:textId="0C34E6D6" w:rsidR="00D037B4" w:rsidRPr="00722996" w:rsidRDefault="00D037B4" w:rsidP="00D037B4">
      <w:pPr>
        <w:pStyle w:val="TableDescription"/>
      </w:pPr>
      <w:r w:rsidRPr="00722996">
        <w:t>§ Treatment</w:t>
      </w:r>
      <w:r w:rsidR="005E279A">
        <w:noBreakHyphen/>
      </w:r>
      <w:r w:rsidRPr="00722996">
        <w:t>naïve for injectable therapies and no use of OAMs for 3 months</w:t>
      </w:r>
      <w:r>
        <w:t xml:space="preserve"> or longer</w:t>
      </w:r>
      <w:r w:rsidRPr="00722996">
        <w:t>.</w:t>
      </w:r>
      <w:r w:rsidRPr="00722996">
        <w:br/>
        <w:t>§§§ Tirzepatide doses were double</w:t>
      </w:r>
      <w:r w:rsidR="005E279A">
        <w:noBreakHyphen/>
      </w:r>
      <w:r w:rsidRPr="00722996">
        <w:t>blinded; sponsor study team was blinded to treatment group.</w:t>
      </w:r>
    </w:p>
    <w:p w14:paraId="3522A9C3" w14:textId="2CC196CB" w:rsidR="00D037B4" w:rsidRPr="00722996" w:rsidRDefault="00D037B4" w:rsidP="00D037B4">
      <w:pPr>
        <w:pStyle w:val="TableDescription"/>
      </w:pPr>
      <w:r w:rsidRPr="00722996">
        <w:t>* In SURPASS</w:t>
      </w:r>
      <w:r w:rsidR="005E279A">
        <w:noBreakHyphen/>
      </w:r>
      <w:r w:rsidRPr="00722996">
        <w:t xml:space="preserve">3 and </w:t>
      </w:r>
      <w:r w:rsidR="005E279A">
        <w:noBreakHyphen/>
      </w:r>
      <w:r w:rsidRPr="00722996">
        <w:t>4, patients in the tirzepatide 10 and 1</w:t>
      </w:r>
      <w:r w:rsidR="009F6F50">
        <w:t>5 mg</w:t>
      </w:r>
      <w:r w:rsidRPr="00722996">
        <w:t xml:space="preserve"> dose groups were permitted to de</w:t>
      </w:r>
      <w:r w:rsidR="005E279A">
        <w:noBreakHyphen/>
      </w:r>
      <w:r w:rsidRPr="00722996">
        <w:t>escalate dose of study drug one time during the dose</w:t>
      </w:r>
      <w:r w:rsidR="005E279A">
        <w:noBreakHyphen/>
      </w:r>
      <w:r w:rsidRPr="00722996">
        <w:t xml:space="preserve">escalation period if persistent intolerable </w:t>
      </w:r>
      <w:r>
        <w:t>gastrointestinal</w:t>
      </w:r>
      <w:r w:rsidRPr="00722996">
        <w:t xml:space="preserve"> symptoms occurred.</w:t>
      </w:r>
    </w:p>
    <w:p w14:paraId="0DD77CED" w14:textId="162369E9" w:rsidR="00D037B4" w:rsidRPr="00722996" w:rsidRDefault="00D037B4" w:rsidP="00C473D6">
      <w:pPr>
        <w:pStyle w:val="TableDescription"/>
        <w:ind w:right="-144"/>
      </w:pPr>
      <w:r w:rsidRPr="00722996">
        <w:t>Patients started with tirzepatide 2.</w:t>
      </w:r>
      <w:r w:rsidR="009F6F50">
        <w:t>5 mg</w:t>
      </w:r>
      <w:r w:rsidRPr="00722996">
        <w:t xml:space="preserve"> </w:t>
      </w:r>
      <w:r>
        <w:t>once weekly</w:t>
      </w:r>
      <w:r w:rsidRPr="00722996">
        <w:t xml:space="preserve"> for 4</w:t>
      </w:r>
      <w:r>
        <w:t> </w:t>
      </w:r>
      <w:r w:rsidRPr="00722996">
        <w:t>weeks, then the dose was increased by 2.</w:t>
      </w:r>
      <w:r w:rsidR="009F6F50">
        <w:t>5 mg</w:t>
      </w:r>
      <w:r w:rsidRPr="00722996">
        <w:t xml:space="preserve"> every 4</w:t>
      </w:r>
      <w:r w:rsidR="00C473D6">
        <w:t xml:space="preserve"> </w:t>
      </w:r>
      <w:r w:rsidRPr="00722996">
        <w:t>weeks until the treatment dose was reached and maintained for the duration of the study.</w:t>
      </w:r>
    </w:p>
    <w:p w14:paraId="2288E3A5" w14:textId="5EE8F4A5" w:rsidR="00446B25" w:rsidRPr="00A31EBE" w:rsidRDefault="00446B25" w:rsidP="00446B25">
      <w:pPr>
        <w:pStyle w:val="Heading5"/>
      </w:pPr>
      <w:r w:rsidRPr="00A31EBE">
        <w:t>Design</w:t>
      </w:r>
    </w:p>
    <w:p w14:paraId="7891ED2E" w14:textId="750CEE17" w:rsidR="00446B25" w:rsidRPr="00446B25" w:rsidRDefault="00446B25" w:rsidP="00446B25">
      <w:r w:rsidRPr="00446B25">
        <w:t xml:space="preserve">The pivotal SURPASS trials were Phase </w:t>
      </w:r>
      <w:r>
        <w:t>III</w:t>
      </w:r>
      <w:r w:rsidRPr="00446B25">
        <w:t>, randomised, double</w:t>
      </w:r>
      <w:r w:rsidR="005E279A">
        <w:noBreakHyphen/>
      </w:r>
      <w:r w:rsidRPr="00446B25">
        <w:t xml:space="preserve">blind </w:t>
      </w:r>
      <w:r w:rsidR="00AB4BA8">
        <w:t>(SURPASS</w:t>
      </w:r>
      <w:r w:rsidR="005E279A">
        <w:noBreakHyphen/>
      </w:r>
      <w:r w:rsidR="00AB4BA8">
        <w:t xml:space="preserve">1 and </w:t>
      </w:r>
      <w:r w:rsidR="00CB47AF">
        <w:t>SURPASS</w:t>
      </w:r>
      <w:r w:rsidR="005E279A">
        <w:noBreakHyphen/>
      </w:r>
      <w:r w:rsidR="00AB4BA8">
        <w:t xml:space="preserve">5) </w:t>
      </w:r>
      <w:r w:rsidRPr="00446B25">
        <w:t>or open</w:t>
      </w:r>
      <w:r w:rsidR="005E279A">
        <w:noBreakHyphen/>
      </w:r>
      <w:r w:rsidRPr="00446B25">
        <w:t>label (SURPASS</w:t>
      </w:r>
      <w:r w:rsidR="005E279A">
        <w:noBreakHyphen/>
      </w:r>
      <w:r w:rsidRPr="00446B25">
        <w:t xml:space="preserve">2, </w:t>
      </w:r>
      <w:r w:rsidR="00CB47AF">
        <w:t>SURPASS</w:t>
      </w:r>
      <w:r w:rsidR="005E279A">
        <w:noBreakHyphen/>
      </w:r>
      <w:r w:rsidRPr="00446B25">
        <w:t xml:space="preserve">3 and </w:t>
      </w:r>
      <w:r w:rsidR="00CB47AF">
        <w:t>SURPASS</w:t>
      </w:r>
      <w:r w:rsidR="005E279A">
        <w:noBreakHyphen/>
      </w:r>
      <w:r w:rsidRPr="00446B25">
        <w:t>4), multi</w:t>
      </w:r>
      <w:r w:rsidR="005E279A">
        <w:noBreakHyphen/>
      </w:r>
      <w:r w:rsidRPr="00446B25">
        <w:t>centre, parallel</w:t>
      </w:r>
      <w:r w:rsidR="005E279A">
        <w:noBreakHyphen/>
      </w:r>
      <w:r w:rsidRPr="00446B25">
        <w:t>group, controlled studies to assess the efficacy and safety of tirzepatide in a combined total of 6</w:t>
      </w:r>
      <w:r w:rsidR="0054378D">
        <w:t>,</w:t>
      </w:r>
      <w:r w:rsidRPr="00446B25">
        <w:t>263 adult patients (aged 18</w:t>
      </w:r>
      <w:r w:rsidR="0054378D">
        <w:t xml:space="preserve"> to </w:t>
      </w:r>
      <w:r w:rsidRPr="00446B25">
        <w:t>91</w:t>
      </w:r>
      <w:r w:rsidR="0054378D">
        <w:t xml:space="preserve"> years</w:t>
      </w:r>
      <w:r w:rsidRPr="00446B25">
        <w:t>) with T2DM.</w:t>
      </w:r>
    </w:p>
    <w:p w14:paraId="1144FF6A" w14:textId="29FE52E8" w:rsidR="00446B25" w:rsidRPr="00CE4B85" w:rsidRDefault="00446B25" w:rsidP="00CE4B85">
      <w:pPr>
        <w:pStyle w:val="Heading6"/>
      </w:pPr>
      <w:r w:rsidRPr="00CE4B85">
        <w:t>Primary efficacy objective</w:t>
      </w:r>
      <w:r w:rsidR="004C37ED" w:rsidRPr="00CE4B85">
        <w:t>s</w:t>
      </w:r>
    </w:p>
    <w:p w14:paraId="1F07492C" w14:textId="0C16EC3C" w:rsidR="00446B25" w:rsidRPr="00446B25" w:rsidRDefault="00446B25" w:rsidP="00A13227">
      <w:pPr>
        <w:pStyle w:val="ListBullet"/>
      </w:pPr>
      <w:r w:rsidRPr="00446B25">
        <w:t>SURPASS</w:t>
      </w:r>
      <w:r w:rsidR="005E279A">
        <w:noBreakHyphen/>
      </w:r>
      <w:r w:rsidRPr="00446B25">
        <w:t>1: to demonstrate that tirzepatide 5, 10, and/or 1</w:t>
      </w:r>
      <w:r w:rsidR="009F6F50">
        <w:t>5 mg</w:t>
      </w:r>
      <w:r w:rsidRPr="00446B25">
        <w:t xml:space="preserve"> </w:t>
      </w:r>
      <w:r w:rsidR="00053D30">
        <w:t>once weekly</w:t>
      </w:r>
      <w:r w:rsidRPr="00446B25">
        <w:t xml:space="preserve"> are superior to placebo for change from baseline in HbA1c</w:t>
      </w:r>
    </w:p>
    <w:p w14:paraId="758ED148" w14:textId="66716148" w:rsidR="00446B25" w:rsidRPr="00446B25" w:rsidRDefault="00446B25" w:rsidP="00A13227">
      <w:pPr>
        <w:pStyle w:val="ListBullet"/>
      </w:pPr>
      <w:r w:rsidRPr="00446B25">
        <w:lastRenderedPageBreak/>
        <w:t>SURPASS</w:t>
      </w:r>
      <w:r w:rsidR="005E279A">
        <w:noBreakHyphen/>
      </w:r>
      <w:r w:rsidRPr="00446B25">
        <w:t>2: to demonstrate that tirzepatide 10 and/or 1</w:t>
      </w:r>
      <w:r w:rsidR="009F6F50">
        <w:t>5 mg</w:t>
      </w:r>
      <w:r w:rsidRPr="00446B25">
        <w:t xml:space="preserve"> </w:t>
      </w:r>
      <w:r w:rsidR="00574BD3">
        <w:t>once weekly</w:t>
      </w:r>
      <w:r w:rsidRPr="00446B25">
        <w:t xml:space="preserve"> are noninferior to semaglutide 1</w:t>
      </w:r>
      <w:r w:rsidR="0033433A">
        <w:t> </w:t>
      </w:r>
      <w:r w:rsidRPr="00446B25">
        <w:t xml:space="preserve">mg </w:t>
      </w:r>
      <w:r w:rsidR="0033433A">
        <w:t>once weekly</w:t>
      </w:r>
      <w:r w:rsidRPr="00446B25">
        <w:t xml:space="preserve"> for change from baseline in HbA1c</w:t>
      </w:r>
    </w:p>
    <w:p w14:paraId="02FFAF1F" w14:textId="26ADFCCC" w:rsidR="00446B25" w:rsidRPr="00446B25" w:rsidRDefault="00446B25" w:rsidP="00A13227">
      <w:pPr>
        <w:pStyle w:val="ListBullet"/>
      </w:pPr>
      <w:r w:rsidRPr="00446B25">
        <w:t>SURPASS</w:t>
      </w:r>
      <w:r w:rsidR="005E279A">
        <w:noBreakHyphen/>
      </w:r>
      <w:r w:rsidRPr="00446B25">
        <w:t>3: to demonstrate that tirzepatide 10 and/or 1</w:t>
      </w:r>
      <w:r w:rsidR="009F6F50">
        <w:t>5 mg</w:t>
      </w:r>
      <w:r w:rsidRPr="00446B25">
        <w:t xml:space="preserve"> </w:t>
      </w:r>
      <w:r w:rsidR="0033433A">
        <w:t>once weekly</w:t>
      </w:r>
      <w:r w:rsidRPr="00446B25">
        <w:t xml:space="preserve"> are noninferior to insulin degludec for change from baseline in HbA1c</w:t>
      </w:r>
    </w:p>
    <w:p w14:paraId="25EDE465" w14:textId="7BC7D853" w:rsidR="00446B25" w:rsidRPr="00446B25" w:rsidRDefault="00446B25" w:rsidP="00A13227">
      <w:pPr>
        <w:pStyle w:val="ListBullet"/>
      </w:pPr>
      <w:r w:rsidRPr="00446B25">
        <w:t>SURPASS</w:t>
      </w:r>
      <w:r w:rsidR="005E279A">
        <w:noBreakHyphen/>
      </w:r>
      <w:r w:rsidRPr="00446B25">
        <w:t>4: to demonstrate that tirzepatide 10 and/or 1</w:t>
      </w:r>
      <w:r w:rsidR="009F6F50">
        <w:t>5 mg</w:t>
      </w:r>
      <w:r w:rsidRPr="00446B25">
        <w:t xml:space="preserve"> </w:t>
      </w:r>
      <w:r w:rsidR="0033433A">
        <w:t>once weekly</w:t>
      </w:r>
      <w:r w:rsidRPr="00446B25">
        <w:t xml:space="preserve"> are noninferior to insulin glargine for change from baseline in HbA1c</w:t>
      </w:r>
    </w:p>
    <w:p w14:paraId="325FD002" w14:textId="3CC2ED86" w:rsidR="00446B25" w:rsidRPr="00446B25" w:rsidRDefault="00446B25" w:rsidP="00A13227">
      <w:pPr>
        <w:pStyle w:val="ListBullet"/>
      </w:pPr>
      <w:r w:rsidRPr="00446B25">
        <w:t>SURPASS</w:t>
      </w:r>
      <w:r w:rsidR="005E279A">
        <w:noBreakHyphen/>
      </w:r>
      <w:r w:rsidRPr="00446B25">
        <w:t>5: to demonstrate that tirzepatide 10 and/or 1</w:t>
      </w:r>
      <w:r w:rsidR="009F6F50">
        <w:t>5 mg</w:t>
      </w:r>
      <w:r w:rsidRPr="00446B25">
        <w:t xml:space="preserve"> </w:t>
      </w:r>
      <w:r w:rsidR="0033433A">
        <w:t>once weekly</w:t>
      </w:r>
      <w:r w:rsidRPr="00446B25">
        <w:t xml:space="preserve"> are superior to placebo, when added to titrated basal insulin glargine, for change from baseline in HbA1c.</w:t>
      </w:r>
    </w:p>
    <w:p w14:paraId="52A2E386" w14:textId="4CD9EDCB" w:rsidR="00F632C9" w:rsidRDefault="00446B25" w:rsidP="00446B25">
      <w:r w:rsidRPr="00446B25">
        <w:t>The primary endpoint was change in HbA1c (%) from baseline to Week 40 (SURPASS</w:t>
      </w:r>
      <w:r w:rsidR="005E279A">
        <w:noBreakHyphen/>
      </w:r>
      <w:r w:rsidRPr="00446B25">
        <w:t xml:space="preserve">1, </w:t>
      </w:r>
      <w:r w:rsidR="0098279B">
        <w:t>SURPASS</w:t>
      </w:r>
      <w:r w:rsidR="005E279A">
        <w:noBreakHyphen/>
      </w:r>
      <w:r w:rsidRPr="00446B25">
        <w:t xml:space="preserve">2, </w:t>
      </w:r>
      <w:r w:rsidR="0098279B">
        <w:t>SURPASS</w:t>
      </w:r>
      <w:r w:rsidR="005E279A">
        <w:noBreakHyphen/>
      </w:r>
      <w:r w:rsidRPr="00446B25">
        <w:t>5) or Week 52 (SURPASS</w:t>
      </w:r>
      <w:r w:rsidR="005E279A">
        <w:noBreakHyphen/>
      </w:r>
      <w:r w:rsidRPr="00446B25">
        <w:t xml:space="preserve">3, </w:t>
      </w:r>
      <w:r w:rsidR="0098279B">
        <w:t>SURPASS</w:t>
      </w:r>
      <w:r w:rsidR="005E279A">
        <w:noBreakHyphen/>
      </w:r>
      <w:r w:rsidRPr="00446B25">
        <w:t>4).</w:t>
      </w:r>
    </w:p>
    <w:p w14:paraId="5D0142B7" w14:textId="775AED90" w:rsidR="00446B25" w:rsidRPr="00446B25" w:rsidRDefault="00446B25" w:rsidP="00446B25">
      <w:r w:rsidRPr="00446B25">
        <w:t>The key secondary endpoint was change from baseline in body weight (controlled for Type 1 error). Additional clinical endpoints included</w:t>
      </w:r>
      <w:r w:rsidR="00F8316F">
        <w:t>:</w:t>
      </w:r>
      <w:r w:rsidRPr="00446B25">
        <w:t xml:space="preserve"> proportions of patients reaching glycaemic and body weight loss targets, change from baseline in </w:t>
      </w:r>
      <w:r w:rsidR="00F8316F">
        <w:t>fasting serum glucose</w:t>
      </w:r>
      <w:r w:rsidRPr="00446B25">
        <w:t xml:space="preserve">, </w:t>
      </w:r>
      <w:r w:rsidR="00657350">
        <w:t>self</w:t>
      </w:r>
      <w:r w:rsidR="005E279A">
        <w:noBreakHyphen/>
      </w:r>
      <w:r w:rsidR="00657350">
        <w:t>monitored blood glucose</w:t>
      </w:r>
      <w:r w:rsidRPr="00446B25">
        <w:t>, waist circumference, change from baseline in lipid profile, and patient</w:t>
      </w:r>
      <w:r w:rsidR="005E279A">
        <w:noBreakHyphen/>
      </w:r>
      <w:r w:rsidRPr="00446B25">
        <w:t>reported outcomes.</w:t>
      </w:r>
    </w:p>
    <w:p w14:paraId="28929066" w14:textId="69608443" w:rsidR="00446B25" w:rsidRPr="00446B25" w:rsidRDefault="00446B25" w:rsidP="00446B25">
      <w:r w:rsidRPr="00446B25">
        <w:t>All studies consisted of an initial 2</w:t>
      </w:r>
      <w:r w:rsidR="008B3FCD">
        <w:t xml:space="preserve"> </w:t>
      </w:r>
      <w:r w:rsidRPr="00446B25">
        <w:t xml:space="preserve">week </w:t>
      </w:r>
      <w:r w:rsidR="008B3FCD">
        <w:t>l</w:t>
      </w:r>
      <w:r w:rsidRPr="00446B25">
        <w:t>ead</w:t>
      </w:r>
      <w:r w:rsidR="005E279A">
        <w:noBreakHyphen/>
      </w:r>
      <w:r w:rsidRPr="00446B25">
        <w:t>in period following screening, the main treatment period, and a 4</w:t>
      </w:r>
      <w:r w:rsidR="00FC0071">
        <w:t xml:space="preserve"> </w:t>
      </w:r>
      <w:r w:rsidRPr="00446B25">
        <w:t>week safety follow</w:t>
      </w:r>
      <w:r w:rsidR="005E279A">
        <w:noBreakHyphen/>
      </w:r>
      <w:r w:rsidRPr="00446B25">
        <w:t>up period. Differences between the individual trials relate to the comparator, the duration of the main treatment period, prior antidiabetic treatment (background antihyperglycemic medications) allowed, and open</w:t>
      </w:r>
      <w:r w:rsidR="005E279A">
        <w:noBreakHyphen/>
      </w:r>
      <w:r w:rsidRPr="00446B25">
        <w:t xml:space="preserve">label </w:t>
      </w:r>
      <w:r w:rsidR="00581BB9">
        <w:t>or</w:t>
      </w:r>
      <w:r w:rsidRPr="00446B25">
        <w:t xml:space="preserve"> double</w:t>
      </w:r>
      <w:r w:rsidR="005E279A">
        <w:noBreakHyphen/>
      </w:r>
      <w:r w:rsidRPr="00446B25">
        <w:t>blind design.</w:t>
      </w:r>
    </w:p>
    <w:p w14:paraId="19BA54DA" w14:textId="01187CE1" w:rsidR="00446B25" w:rsidRPr="00446B25" w:rsidRDefault="00446B25" w:rsidP="00446B25">
      <w:r w:rsidRPr="00A82D0F">
        <w:t xml:space="preserve">The inclusion criteria were mainly based on HbA1c, </w:t>
      </w:r>
      <w:r w:rsidR="00DC019E" w:rsidRPr="00A82D0F">
        <w:t>body mass index (</w:t>
      </w:r>
      <w:r w:rsidRPr="00A82D0F">
        <w:t>BMI</w:t>
      </w:r>
      <w:r w:rsidR="00DC019E" w:rsidRPr="00A82D0F">
        <w:t>)</w:t>
      </w:r>
      <w:r w:rsidRPr="00A82D0F">
        <w:t>, and renal function</w:t>
      </w:r>
      <w:r w:rsidRPr="00446B25">
        <w:t xml:space="preserve"> and </w:t>
      </w:r>
      <w:r w:rsidR="005A0B4E">
        <w:t>cardiovascular</w:t>
      </w:r>
      <w:r w:rsidRPr="00446B25">
        <w:t xml:space="preserve"> risk:</w:t>
      </w:r>
    </w:p>
    <w:p w14:paraId="1C55E0BA" w14:textId="579CB327" w:rsidR="00446B25" w:rsidRPr="00446B25" w:rsidRDefault="00446B25" w:rsidP="00581BB9">
      <w:pPr>
        <w:pStyle w:val="ListBullet"/>
      </w:pPr>
      <w:r w:rsidRPr="00446B25">
        <w:t xml:space="preserve">HbA1c: the typical inclusion criterion was HbA1c </w:t>
      </w:r>
      <w:r w:rsidR="00376CC8">
        <w:t xml:space="preserve">in the range </w:t>
      </w:r>
      <w:r w:rsidRPr="00446B25">
        <w:t>7.0</w:t>
      </w:r>
      <w:r w:rsidR="00376CC8" w:rsidRPr="00446B25">
        <w:t>%</w:t>
      </w:r>
      <w:r w:rsidRPr="00446B25">
        <w:t xml:space="preserve"> to 10.5%, except </w:t>
      </w:r>
      <w:r w:rsidR="00A82D0F">
        <w:t xml:space="preserve">in </w:t>
      </w:r>
      <w:r w:rsidRPr="00446B25">
        <w:t>SURPASS</w:t>
      </w:r>
      <w:r w:rsidR="005E279A">
        <w:noBreakHyphen/>
      </w:r>
      <w:r w:rsidRPr="00446B25">
        <w:t>1 (</w:t>
      </w:r>
      <w:r w:rsidR="00EA133F">
        <w:t xml:space="preserve">range </w:t>
      </w:r>
      <w:r w:rsidRPr="00446B25">
        <w:t>7.0 to 9.5%</w:t>
      </w:r>
      <w:r w:rsidR="00A82D0F">
        <w:t>,</w:t>
      </w:r>
      <w:r w:rsidRPr="00446B25">
        <w:t xml:space="preserve"> due to the placebo comparator) and SURPASS</w:t>
      </w:r>
      <w:r w:rsidR="005E279A">
        <w:noBreakHyphen/>
      </w:r>
      <w:r w:rsidRPr="00446B25">
        <w:t>5 (</w:t>
      </w:r>
      <w:r w:rsidR="00874E88">
        <w:t xml:space="preserve">range </w:t>
      </w:r>
      <w:r w:rsidRPr="00446B25">
        <w:t>7.5 to 10.5%</w:t>
      </w:r>
      <w:r w:rsidR="00A82D0F">
        <w:t>,</w:t>
      </w:r>
      <w:r w:rsidRPr="00446B25">
        <w:t xml:space="preserve"> to minimise the risk of </w:t>
      </w:r>
      <w:r w:rsidR="009815B6">
        <w:t xml:space="preserve">hypoglycaemia with </w:t>
      </w:r>
      <w:r w:rsidR="00874E88">
        <w:t>sul</w:t>
      </w:r>
      <w:r w:rsidR="00C21E24">
        <w:t>fonylurea</w:t>
      </w:r>
      <w:r w:rsidRPr="00446B25">
        <w:t>). However, subjects with baseline values well below the eligibility threshold were included (</w:t>
      </w:r>
      <w:r w:rsidR="00874E88">
        <w:t xml:space="preserve">less than </w:t>
      </w:r>
      <w:r w:rsidRPr="00446B25">
        <w:t>10%</w:t>
      </w:r>
      <w:r w:rsidR="00874E88">
        <w:t xml:space="preserve"> of subjects</w:t>
      </w:r>
      <w:r w:rsidRPr="00446B25">
        <w:t>), but sensitivity analyses provided no definite evidence for a clinically relevant impact of this.</w:t>
      </w:r>
    </w:p>
    <w:p w14:paraId="259AF585" w14:textId="3F214B7B" w:rsidR="00446B25" w:rsidRPr="00446B25" w:rsidRDefault="00446B25" w:rsidP="00581BB9">
      <w:pPr>
        <w:pStyle w:val="ListBullet"/>
      </w:pPr>
      <w:r w:rsidRPr="00446B25">
        <w:t>BMI: patients needed to be of stable weight for at least 3</w:t>
      </w:r>
      <w:r w:rsidR="009815B6">
        <w:t> </w:t>
      </w:r>
      <w:r w:rsidRPr="00446B25">
        <w:t>months prior to screening. SURPASS</w:t>
      </w:r>
      <w:r w:rsidR="005E279A">
        <w:noBreakHyphen/>
      </w:r>
      <w:r w:rsidRPr="00446B25">
        <w:t xml:space="preserve">2, </w:t>
      </w:r>
      <w:r w:rsidR="0098279B">
        <w:t>SURPASS</w:t>
      </w:r>
      <w:r w:rsidR="005E279A">
        <w:noBreakHyphen/>
      </w:r>
      <w:r w:rsidRPr="00446B25">
        <w:t xml:space="preserve">3, and </w:t>
      </w:r>
      <w:r w:rsidR="0098279B">
        <w:t>SURPASS</w:t>
      </w:r>
      <w:r w:rsidR="005E279A">
        <w:noBreakHyphen/>
      </w:r>
      <w:r w:rsidRPr="00446B25">
        <w:t xml:space="preserve">4 required a BMI </w:t>
      </w:r>
      <w:r w:rsidR="00245481">
        <w:t xml:space="preserve">of at least </w:t>
      </w:r>
      <w:r w:rsidRPr="00446B25">
        <w:t>25</w:t>
      </w:r>
      <w:r w:rsidR="00245481">
        <w:t> </w:t>
      </w:r>
      <w:r w:rsidRPr="00446B25">
        <w:t>kg/m</w:t>
      </w:r>
      <w:r w:rsidRPr="00245481">
        <w:rPr>
          <w:vertAlign w:val="superscript"/>
        </w:rPr>
        <w:t>2</w:t>
      </w:r>
      <w:r w:rsidRPr="00446B25">
        <w:t xml:space="preserve"> at screening. SURPASS</w:t>
      </w:r>
      <w:r w:rsidR="005E279A">
        <w:noBreakHyphen/>
      </w:r>
      <w:r w:rsidRPr="00446B25">
        <w:t xml:space="preserve">1 and </w:t>
      </w:r>
      <w:r w:rsidR="0098279B">
        <w:t>SURPASS</w:t>
      </w:r>
      <w:r w:rsidR="005E279A">
        <w:noBreakHyphen/>
      </w:r>
      <w:r w:rsidRPr="00446B25">
        <w:t>5 allowed a BMI as low as 23</w:t>
      </w:r>
      <w:r w:rsidR="00245481">
        <w:t> </w:t>
      </w:r>
      <w:r w:rsidRPr="00446B25">
        <w:t>kg/m</w:t>
      </w:r>
      <w:r w:rsidRPr="00245481">
        <w:rPr>
          <w:vertAlign w:val="superscript"/>
        </w:rPr>
        <w:t>2</w:t>
      </w:r>
      <w:r w:rsidRPr="00446B25">
        <w:t xml:space="preserve"> at screening (due to the inclusion of Japanese patients).</w:t>
      </w:r>
    </w:p>
    <w:p w14:paraId="44C9C0C3" w14:textId="32A8A8C3" w:rsidR="00446B25" w:rsidRPr="00446B25" w:rsidRDefault="00446B25">
      <w:pPr>
        <w:pStyle w:val="ListBullet"/>
      </w:pPr>
      <w:r w:rsidRPr="00446B25">
        <w:t>Renal function: The inclusion criteria were designed to accommodate country</w:t>
      </w:r>
      <w:r w:rsidR="005E279A">
        <w:noBreakHyphen/>
      </w:r>
      <w:r w:rsidRPr="00446B25">
        <w:t xml:space="preserve">specific </w:t>
      </w:r>
      <w:r w:rsidR="00F6779F" w:rsidRPr="00A82D0F">
        <w:t>estimated glomerular filtration rate</w:t>
      </w:r>
      <w:r w:rsidR="00DF7A7B" w:rsidRPr="00A82D0F">
        <w:t xml:space="preserve"> (</w:t>
      </w:r>
      <w:r w:rsidRPr="00A82D0F">
        <w:t>eGFR</w:t>
      </w:r>
      <w:r w:rsidR="00DF7A7B" w:rsidRPr="00A82D0F">
        <w:t>)</w:t>
      </w:r>
      <w:r w:rsidRPr="00A82D0F">
        <w:t xml:space="preserve"> thresholds for use of some background therapy,</w:t>
      </w:r>
      <w:r w:rsidRPr="00446B25">
        <w:t xml:space="preserve"> but SURPASS</w:t>
      </w:r>
      <w:r w:rsidR="005E279A">
        <w:noBreakHyphen/>
      </w:r>
      <w:r w:rsidRPr="00446B25">
        <w:t xml:space="preserve">4 had no exclusion criteria based on eGFR level and metformin use. It also included patients with an increased risk of </w:t>
      </w:r>
      <w:r w:rsidR="006B6FB8">
        <w:t>cardiovascular</w:t>
      </w:r>
      <w:r w:rsidRPr="00446B25">
        <w:t xml:space="preserve"> events.</w:t>
      </w:r>
    </w:p>
    <w:p w14:paraId="51C1E243" w14:textId="1CBF6460" w:rsidR="00D037B4" w:rsidRPr="00CE4B85" w:rsidRDefault="00446B25" w:rsidP="002E7BD8">
      <w:pPr>
        <w:pStyle w:val="Heading5"/>
        <w:rPr>
          <w:rStyle w:val="Heading6Char"/>
          <w:rFonts w:eastAsiaTheme="minorHAnsi"/>
          <w:b/>
          <w:bCs/>
          <w:i/>
          <w:sz w:val="26"/>
          <w:szCs w:val="26"/>
        </w:rPr>
      </w:pPr>
      <w:r w:rsidRPr="00CE4B85">
        <w:rPr>
          <w:rStyle w:val="Heading6Char"/>
          <w:rFonts w:eastAsiaTheme="minorHAnsi"/>
          <w:b/>
          <w:bCs/>
          <w:i/>
          <w:sz w:val="26"/>
          <w:szCs w:val="26"/>
        </w:rPr>
        <w:t>Treatments</w:t>
      </w:r>
    </w:p>
    <w:p w14:paraId="0AF4E3B1" w14:textId="086BA53A" w:rsidR="00446B25" w:rsidRPr="00446B25" w:rsidRDefault="00446B25" w:rsidP="00446B25">
      <w:r w:rsidRPr="00446B25">
        <w:t>Tirzepatide dose initiation and escalation is shown in</w:t>
      </w:r>
      <w:r w:rsidR="00D037B4">
        <w:t xml:space="preserve"> </w:t>
      </w:r>
      <w:r w:rsidR="00A40BF3">
        <w:fldChar w:fldCharType="begin"/>
      </w:r>
      <w:r w:rsidR="00A40BF3">
        <w:instrText xml:space="preserve"> REF _Ref144367796 \h </w:instrText>
      </w:r>
      <w:r w:rsidR="00A40BF3">
        <w:fldChar w:fldCharType="separate"/>
      </w:r>
      <w:r w:rsidR="008465DD">
        <w:t xml:space="preserve">Table </w:t>
      </w:r>
      <w:r w:rsidR="008465DD">
        <w:rPr>
          <w:noProof/>
        </w:rPr>
        <w:t>7</w:t>
      </w:r>
      <w:r w:rsidR="00A40BF3">
        <w:fldChar w:fldCharType="end"/>
      </w:r>
      <w:r w:rsidR="00D41FE0">
        <w:t xml:space="preserve">. </w:t>
      </w:r>
      <w:r w:rsidR="00D037B4">
        <w:t>D</w:t>
      </w:r>
      <w:r w:rsidR="00D037B4" w:rsidRPr="00446B25">
        <w:t xml:space="preserve">ose escalation </w:t>
      </w:r>
      <w:r w:rsidRPr="00446B25">
        <w:t>was followed by at least 16</w:t>
      </w:r>
      <w:r w:rsidR="00D037B4">
        <w:t> </w:t>
      </w:r>
      <w:r w:rsidRPr="00446B25">
        <w:t>weeks at steady state for all treatment groups, including tirzepatide 1</w:t>
      </w:r>
      <w:r w:rsidR="009F6F50">
        <w:t>5 mg</w:t>
      </w:r>
      <w:r w:rsidRPr="00446B25">
        <w:t>, which had the longest dose</w:t>
      </w:r>
      <w:r w:rsidR="005E279A">
        <w:noBreakHyphen/>
      </w:r>
      <w:r w:rsidRPr="00446B25">
        <w:t>escalation period. Treatment durations were 40</w:t>
      </w:r>
      <w:r w:rsidR="00D037B4">
        <w:t> </w:t>
      </w:r>
      <w:r w:rsidRPr="00446B25">
        <w:t>weeks (SURPASS</w:t>
      </w:r>
      <w:r w:rsidR="005E279A">
        <w:noBreakHyphen/>
      </w:r>
      <w:r w:rsidRPr="00446B25">
        <w:t xml:space="preserve">1, </w:t>
      </w:r>
      <w:r w:rsidR="0098279B">
        <w:t>SURPASS</w:t>
      </w:r>
      <w:r w:rsidR="005E279A">
        <w:noBreakHyphen/>
      </w:r>
      <w:r w:rsidRPr="00446B25">
        <w:t xml:space="preserve">2, </w:t>
      </w:r>
      <w:r w:rsidR="0098279B">
        <w:t>SURPASS</w:t>
      </w:r>
      <w:r w:rsidR="005E279A">
        <w:noBreakHyphen/>
      </w:r>
      <w:r w:rsidRPr="00446B25">
        <w:t>5), 52</w:t>
      </w:r>
      <w:r w:rsidR="00D037B4">
        <w:t> </w:t>
      </w:r>
      <w:r w:rsidRPr="00446B25">
        <w:t>weeks (SURPASS</w:t>
      </w:r>
      <w:r w:rsidR="005E279A">
        <w:noBreakHyphen/>
      </w:r>
      <w:r w:rsidRPr="00446B25">
        <w:t>3), or 52 to 104</w:t>
      </w:r>
      <w:r w:rsidR="00D037B4">
        <w:t> </w:t>
      </w:r>
      <w:r w:rsidRPr="00446B25">
        <w:t>weeks (SURPASS</w:t>
      </w:r>
      <w:r w:rsidR="005E279A">
        <w:noBreakHyphen/>
      </w:r>
      <w:r w:rsidRPr="00446B25">
        <w:t>4).</w:t>
      </w:r>
    </w:p>
    <w:p w14:paraId="6FCFB186" w14:textId="30931756" w:rsidR="00446B25" w:rsidRPr="00446B25" w:rsidRDefault="00446B25" w:rsidP="00446B25">
      <w:r w:rsidRPr="00446B25">
        <w:t xml:space="preserve">Patients were randomly assigned to one of the </w:t>
      </w:r>
      <w:r w:rsidR="00320553">
        <w:t>3</w:t>
      </w:r>
      <w:r w:rsidRPr="00446B25">
        <w:t xml:space="preserve"> maintenance doses (</w:t>
      </w:r>
      <w:r w:rsidR="009F6F50">
        <w:t>5 mg</w:t>
      </w:r>
      <w:r w:rsidRPr="00446B25">
        <w:t xml:space="preserve">, </w:t>
      </w:r>
      <w:r w:rsidR="009F6F50">
        <w:t>10 mg</w:t>
      </w:r>
      <w:r w:rsidRPr="00446B25">
        <w:t>, or 1</w:t>
      </w:r>
      <w:r w:rsidR="009F6F50">
        <w:t>5 mg</w:t>
      </w:r>
      <w:r w:rsidRPr="00446B25">
        <w:t xml:space="preserve"> </w:t>
      </w:r>
      <w:r w:rsidR="00D037B4">
        <w:t>once weekly</w:t>
      </w:r>
      <w:r w:rsidRPr="00446B25">
        <w:t>).</w:t>
      </w:r>
    </w:p>
    <w:p w14:paraId="1D4C65BF" w14:textId="129F0A7D" w:rsidR="00446B25" w:rsidRDefault="00446B25" w:rsidP="00446B25">
      <w:r w:rsidRPr="00446B25">
        <w:t>Tirzepatide dose de</w:t>
      </w:r>
      <w:r w:rsidR="005E279A">
        <w:noBreakHyphen/>
      </w:r>
      <w:r w:rsidRPr="00446B25">
        <w:t>escalation (for tolerability) was permitted during the first 24</w:t>
      </w:r>
      <w:r w:rsidR="00D037B4">
        <w:t> </w:t>
      </w:r>
      <w:r w:rsidRPr="00446B25">
        <w:t>weeks of SURPASS</w:t>
      </w:r>
      <w:r w:rsidR="005E279A">
        <w:noBreakHyphen/>
      </w:r>
      <w:r w:rsidRPr="00446B25">
        <w:t>3 and SURPASS</w:t>
      </w:r>
      <w:r w:rsidR="005E279A">
        <w:noBreakHyphen/>
      </w:r>
      <w:r w:rsidRPr="00446B25">
        <w:t xml:space="preserve">4 once only for </w:t>
      </w:r>
      <w:r w:rsidR="00D037B4">
        <w:t xml:space="preserve">once weekly </w:t>
      </w:r>
      <w:r w:rsidRPr="00446B25">
        <w:t xml:space="preserve">doses of </w:t>
      </w:r>
      <w:r w:rsidR="009F6F50">
        <w:t>10 mg</w:t>
      </w:r>
      <w:r w:rsidR="00D037B4">
        <w:t xml:space="preserve"> and above.</w:t>
      </w:r>
      <w:r w:rsidRPr="00446B25">
        <w:t xml:space="preserve"> This occurred in 14.4% and 15.1% of patients, respectively.</w:t>
      </w:r>
    </w:p>
    <w:p w14:paraId="5276FDEA" w14:textId="160FA139" w:rsidR="00D037B4" w:rsidRDefault="00D358A8" w:rsidP="00D358A8">
      <w:pPr>
        <w:pStyle w:val="TableTitle"/>
      </w:pPr>
      <w:bookmarkStart w:id="59" w:name="_Ref144367796"/>
      <w:bookmarkStart w:id="60" w:name="_Ref144367778"/>
      <w:r>
        <w:lastRenderedPageBreak/>
        <w:t xml:space="preserve">Table </w:t>
      </w:r>
      <w:r w:rsidR="002B0E47">
        <w:fldChar w:fldCharType="begin"/>
      </w:r>
      <w:r w:rsidR="002B0E47">
        <w:instrText xml:space="preserve"> SEQ Table \* ARABIC </w:instrText>
      </w:r>
      <w:r w:rsidR="002B0E47">
        <w:fldChar w:fldCharType="separate"/>
      </w:r>
      <w:r w:rsidR="008465DD">
        <w:rPr>
          <w:noProof/>
        </w:rPr>
        <w:t>7</w:t>
      </w:r>
      <w:r w:rsidR="002B0E47">
        <w:rPr>
          <w:noProof/>
        </w:rPr>
        <w:fldChar w:fldCharType="end"/>
      </w:r>
      <w:bookmarkEnd w:id="59"/>
      <w:r>
        <w:t>: SURPASS efficacy trials</w:t>
      </w:r>
      <w:r w:rsidR="000637CD">
        <w:t xml:space="preserve"> t</w:t>
      </w:r>
      <w:r>
        <w:t>irzepatide dose escalation scheme</w:t>
      </w:r>
      <w:bookmarkEnd w:id="60"/>
    </w:p>
    <w:p w14:paraId="3C3A8C39" w14:textId="1775AD14" w:rsidR="00D037B4" w:rsidRDefault="00D358A8" w:rsidP="00446B25">
      <w:r>
        <w:rPr>
          <w:noProof/>
        </w:rPr>
        <w:drawing>
          <wp:inline distT="0" distB="0" distL="0" distR="0" wp14:anchorId="187DA153" wp14:editId="3ADEF839">
            <wp:extent cx="5759450" cy="1189990"/>
            <wp:effectExtent l="0" t="0" r="0" b="0"/>
            <wp:docPr id="15" name="Picture 15" descr="Dose escalation scheme described as weeks 0 to 4, 4 to 8, 8 to 12, 12 to 16, 16 to 20, and week 20 to end of treatment. Information for tirzepatide doses of 5, 10 and 15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ose escalation scheme described as weeks 0 to 4, 4 to 8, 8 to 12, 12 to 16, 16 to 20, and week 20 to end of treatment. Information for tirzepatide doses of 5, 10 and 15 mg."/>
                    <pic:cNvPicPr/>
                  </pic:nvPicPr>
                  <pic:blipFill>
                    <a:blip r:embed="rId30"/>
                    <a:stretch>
                      <a:fillRect/>
                    </a:stretch>
                  </pic:blipFill>
                  <pic:spPr>
                    <a:xfrm>
                      <a:off x="0" y="0"/>
                      <a:ext cx="5759450" cy="1189990"/>
                    </a:xfrm>
                    <a:prstGeom prst="rect">
                      <a:avLst/>
                    </a:prstGeom>
                  </pic:spPr>
                </pic:pic>
              </a:graphicData>
            </a:graphic>
          </wp:inline>
        </w:drawing>
      </w:r>
    </w:p>
    <w:p w14:paraId="624754E3" w14:textId="2A9CDDFD" w:rsidR="00D037B4" w:rsidRDefault="00D358A8" w:rsidP="00C473D6">
      <w:pPr>
        <w:pStyle w:val="FigureTitle"/>
      </w:pPr>
      <w:r>
        <w:t xml:space="preserve">Figure </w:t>
      </w:r>
      <w:r w:rsidR="002B0E47">
        <w:fldChar w:fldCharType="begin"/>
      </w:r>
      <w:r w:rsidR="002B0E47">
        <w:instrText xml:space="preserve"> SEQ Figure \* ARABIC </w:instrText>
      </w:r>
      <w:r w:rsidR="002B0E47">
        <w:fldChar w:fldCharType="separate"/>
      </w:r>
      <w:r w:rsidR="008465DD">
        <w:rPr>
          <w:noProof/>
        </w:rPr>
        <w:t>7</w:t>
      </w:r>
      <w:r w:rsidR="002B0E47">
        <w:rPr>
          <w:noProof/>
        </w:rPr>
        <w:fldChar w:fldCharType="end"/>
      </w:r>
      <w:r w:rsidR="00A82D0F">
        <w:rPr>
          <w:noProof/>
        </w:rPr>
        <w:t>:</w:t>
      </w:r>
      <w:r>
        <w:t xml:space="preserve"> SURPASS efficacy trials</w:t>
      </w:r>
      <w:r w:rsidR="00A82D0F">
        <w:t xml:space="preserve"> S</w:t>
      </w:r>
      <w:r>
        <w:t>tudy design schema</w:t>
      </w:r>
    </w:p>
    <w:tbl>
      <w:tblPr>
        <w:tblStyle w:val="TableTGAblue2023"/>
        <w:tblW w:w="0" w:type="auto"/>
        <w:tblLook w:val="04A0" w:firstRow="1" w:lastRow="0" w:firstColumn="1" w:lastColumn="0" w:noHBand="0" w:noVBand="1"/>
      </w:tblPr>
      <w:tblGrid>
        <w:gridCol w:w="1411"/>
        <w:gridCol w:w="7649"/>
      </w:tblGrid>
      <w:tr w:rsidR="00847A17" w14:paraId="38F3E9CF" w14:textId="77777777" w:rsidTr="00D358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637342C" w14:textId="49768DFA" w:rsidR="00D358A8" w:rsidRDefault="00D358A8" w:rsidP="00446B25">
            <w:r>
              <w:t>Study</w:t>
            </w:r>
          </w:p>
        </w:tc>
        <w:tc>
          <w:tcPr>
            <w:tcW w:w="7647" w:type="dxa"/>
          </w:tcPr>
          <w:p w14:paraId="3ED97F42" w14:textId="424D030B" w:rsidR="00D358A8" w:rsidRDefault="00D358A8" w:rsidP="00446B25">
            <w:pPr>
              <w:cnfStyle w:val="100000000000" w:firstRow="1" w:lastRow="0" w:firstColumn="0" w:lastColumn="0" w:oddVBand="0" w:evenVBand="0" w:oddHBand="0" w:evenHBand="0" w:firstRowFirstColumn="0" w:firstRowLastColumn="0" w:lastRowFirstColumn="0" w:lastRowLastColumn="0"/>
            </w:pPr>
            <w:r>
              <w:t>Schema</w:t>
            </w:r>
          </w:p>
        </w:tc>
      </w:tr>
      <w:tr w:rsidR="00847A17" w14:paraId="1E9C8005" w14:textId="77777777" w:rsidTr="00D358A8">
        <w:tc>
          <w:tcPr>
            <w:cnfStyle w:val="001000000000" w:firstRow="0" w:lastRow="0" w:firstColumn="1" w:lastColumn="0" w:oddVBand="0" w:evenVBand="0" w:oddHBand="0" w:evenHBand="0" w:firstRowFirstColumn="0" w:firstRowLastColumn="0" w:lastRowFirstColumn="0" w:lastRowLastColumn="0"/>
            <w:tcW w:w="1413" w:type="dxa"/>
          </w:tcPr>
          <w:p w14:paraId="0CE31C23" w14:textId="7A6209C4" w:rsidR="00D358A8" w:rsidRPr="00C473D6" w:rsidRDefault="00D358A8" w:rsidP="00C473D6">
            <w:pPr>
              <w:rPr>
                <w:sz w:val="20"/>
                <w:szCs w:val="20"/>
              </w:rPr>
            </w:pPr>
            <w:r w:rsidRPr="00C473D6">
              <w:rPr>
                <w:sz w:val="20"/>
                <w:szCs w:val="20"/>
              </w:rPr>
              <w:t>SURPASS</w:t>
            </w:r>
            <w:r w:rsidR="005E279A" w:rsidRPr="00C473D6">
              <w:rPr>
                <w:sz w:val="20"/>
                <w:szCs w:val="20"/>
              </w:rPr>
              <w:noBreakHyphen/>
            </w:r>
            <w:r w:rsidRPr="00C473D6">
              <w:rPr>
                <w:sz w:val="20"/>
                <w:szCs w:val="20"/>
              </w:rPr>
              <w:t>1</w:t>
            </w:r>
          </w:p>
          <w:p w14:paraId="071FF546" w14:textId="21B5090D" w:rsidR="000637CD" w:rsidRPr="00C473D6" w:rsidRDefault="000637CD" w:rsidP="00C473D6">
            <w:pPr>
              <w:rPr>
                <w:sz w:val="20"/>
                <w:szCs w:val="20"/>
              </w:rPr>
            </w:pPr>
            <w:r w:rsidRPr="00C473D6">
              <w:rPr>
                <w:sz w:val="20"/>
                <w:szCs w:val="20"/>
              </w:rPr>
              <w:t>Study</w:t>
            </w:r>
          </w:p>
          <w:p w14:paraId="005D7415" w14:textId="1731881A" w:rsidR="00D358A8" w:rsidRDefault="00D358A8" w:rsidP="00C473D6">
            <w:r w:rsidRPr="00C473D6">
              <w:rPr>
                <w:sz w:val="20"/>
                <w:szCs w:val="20"/>
              </w:rPr>
              <w:t>GPGK</w:t>
            </w:r>
          </w:p>
        </w:tc>
        <w:tc>
          <w:tcPr>
            <w:tcW w:w="7647" w:type="dxa"/>
          </w:tcPr>
          <w:p w14:paraId="1C3B00DB" w14:textId="3556CD3D" w:rsidR="00847A17" w:rsidRDefault="00847A17" w:rsidP="00847A1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BCD2F76" wp14:editId="39158FF9">
                  <wp:extent cx="4647304" cy="2575743"/>
                  <wp:effectExtent l="0" t="0" r="1270" b="0"/>
                  <wp:docPr id="16" name="Picture 16" descr="SURPASS‑1 schema showing 1 week of screening and 2 weeks of lead‑in, followed by randomisation at week 0 into 4 treatment groups including dose escalation within groups up to 40 weeks, with 4 week follow-u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URPASS‑1 schema showing 1 week of screening and 2 weeks of lead‑in, followed by randomisation at week 0 into 4 treatment groups including dose escalation within groups up to 40 weeks, with 4 week follow-up period."/>
                          <pic:cNvPicPr/>
                        </pic:nvPicPr>
                        <pic:blipFill>
                          <a:blip r:embed="rId31"/>
                          <a:stretch>
                            <a:fillRect/>
                          </a:stretch>
                        </pic:blipFill>
                        <pic:spPr>
                          <a:xfrm>
                            <a:off x="0" y="0"/>
                            <a:ext cx="4668169" cy="2587307"/>
                          </a:xfrm>
                          <a:prstGeom prst="rect">
                            <a:avLst/>
                          </a:prstGeom>
                        </pic:spPr>
                      </pic:pic>
                    </a:graphicData>
                  </a:graphic>
                </wp:inline>
              </w:drawing>
            </w:r>
          </w:p>
        </w:tc>
      </w:tr>
      <w:tr w:rsidR="00847A17" w14:paraId="216C4A5A" w14:textId="77777777" w:rsidTr="00D358A8">
        <w:tc>
          <w:tcPr>
            <w:cnfStyle w:val="001000000000" w:firstRow="0" w:lastRow="0" w:firstColumn="1" w:lastColumn="0" w:oddVBand="0" w:evenVBand="0" w:oddHBand="0" w:evenHBand="0" w:firstRowFirstColumn="0" w:firstRowLastColumn="0" w:lastRowFirstColumn="0" w:lastRowLastColumn="0"/>
            <w:tcW w:w="1413" w:type="dxa"/>
          </w:tcPr>
          <w:p w14:paraId="26AE9AAB" w14:textId="1E1D926D" w:rsidR="00D358A8" w:rsidRPr="00C473D6" w:rsidRDefault="00D358A8" w:rsidP="00C473D6">
            <w:pPr>
              <w:rPr>
                <w:sz w:val="20"/>
                <w:szCs w:val="20"/>
              </w:rPr>
            </w:pPr>
            <w:r w:rsidRPr="00C473D6">
              <w:rPr>
                <w:sz w:val="20"/>
                <w:szCs w:val="20"/>
              </w:rPr>
              <w:t>SURPASS</w:t>
            </w:r>
            <w:r w:rsidR="005E279A" w:rsidRPr="00C473D6">
              <w:rPr>
                <w:sz w:val="20"/>
                <w:szCs w:val="20"/>
              </w:rPr>
              <w:noBreakHyphen/>
            </w:r>
            <w:r w:rsidRPr="00C473D6">
              <w:rPr>
                <w:sz w:val="20"/>
                <w:szCs w:val="20"/>
              </w:rPr>
              <w:t>2</w:t>
            </w:r>
          </w:p>
          <w:p w14:paraId="72D9696E" w14:textId="15CABE49" w:rsidR="000637CD" w:rsidRPr="00C473D6" w:rsidRDefault="000637CD" w:rsidP="00C473D6">
            <w:pPr>
              <w:rPr>
                <w:sz w:val="20"/>
                <w:szCs w:val="20"/>
              </w:rPr>
            </w:pPr>
            <w:r w:rsidRPr="00C473D6">
              <w:rPr>
                <w:sz w:val="20"/>
                <w:szCs w:val="20"/>
              </w:rPr>
              <w:t>Study</w:t>
            </w:r>
          </w:p>
          <w:p w14:paraId="74E7F2FD" w14:textId="4E3A789E" w:rsidR="00D358A8" w:rsidRDefault="00D358A8" w:rsidP="00C473D6">
            <w:r w:rsidRPr="00C473D6">
              <w:rPr>
                <w:sz w:val="20"/>
                <w:szCs w:val="20"/>
              </w:rPr>
              <w:t>GPGL</w:t>
            </w:r>
          </w:p>
        </w:tc>
        <w:tc>
          <w:tcPr>
            <w:tcW w:w="7647" w:type="dxa"/>
          </w:tcPr>
          <w:p w14:paraId="0161D670" w14:textId="22C6D18E" w:rsidR="00D358A8" w:rsidRDefault="00847A17" w:rsidP="00446B25">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061F3C0" wp14:editId="1C3A5014">
                  <wp:extent cx="4646279" cy="2474259"/>
                  <wp:effectExtent l="0" t="0" r="2540" b="2540"/>
                  <wp:docPr id="17" name="Picture 17" descr="SURPASS‑2 schema showing 1 week of screening and 2 weeks of lead‑in, followed by randomisation at week 0 into 4 treatment groups including dose escalation within groups up to 40 weeks, with 4 week follow-u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URPASS‑2 schema showing 1 week of screening and 2 weeks of lead‑in, followed by randomisation at week 0 into 4 treatment groups including dose escalation within groups up to 40 weeks, with 4 week follow-up period."/>
                          <pic:cNvPicPr/>
                        </pic:nvPicPr>
                        <pic:blipFill>
                          <a:blip r:embed="rId32"/>
                          <a:stretch>
                            <a:fillRect/>
                          </a:stretch>
                        </pic:blipFill>
                        <pic:spPr>
                          <a:xfrm>
                            <a:off x="0" y="0"/>
                            <a:ext cx="4672668" cy="2488312"/>
                          </a:xfrm>
                          <a:prstGeom prst="rect">
                            <a:avLst/>
                          </a:prstGeom>
                        </pic:spPr>
                      </pic:pic>
                    </a:graphicData>
                  </a:graphic>
                </wp:inline>
              </w:drawing>
            </w:r>
          </w:p>
        </w:tc>
      </w:tr>
      <w:tr w:rsidR="00847A17" w14:paraId="3D761668" w14:textId="77777777" w:rsidTr="00D358A8">
        <w:tc>
          <w:tcPr>
            <w:cnfStyle w:val="001000000000" w:firstRow="0" w:lastRow="0" w:firstColumn="1" w:lastColumn="0" w:oddVBand="0" w:evenVBand="0" w:oddHBand="0" w:evenHBand="0" w:firstRowFirstColumn="0" w:firstRowLastColumn="0" w:lastRowFirstColumn="0" w:lastRowLastColumn="0"/>
            <w:tcW w:w="1413" w:type="dxa"/>
          </w:tcPr>
          <w:p w14:paraId="7F7BF60B" w14:textId="6F871A90" w:rsidR="00D358A8" w:rsidRPr="00B1190B" w:rsidRDefault="00D358A8" w:rsidP="00B1190B">
            <w:pPr>
              <w:rPr>
                <w:sz w:val="20"/>
                <w:szCs w:val="20"/>
              </w:rPr>
            </w:pPr>
            <w:r w:rsidRPr="00B1190B">
              <w:rPr>
                <w:sz w:val="20"/>
                <w:szCs w:val="20"/>
              </w:rPr>
              <w:lastRenderedPageBreak/>
              <w:t>SURPASS</w:t>
            </w:r>
            <w:r w:rsidR="005E279A" w:rsidRPr="00B1190B">
              <w:rPr>
                <w:sz w:val="20"/>
                <w:szCs w:val="20"/>
              </w:rPr>
              <w:noBreakHyphen/>
            </w:r>
            <w:r w:rsidRPr="00B1190B">
              <w:rPr>
                <w:sz w:val="20"/>
                <w:szCs w:val="20"/>
              </w:rPr>
              <w:t>3</w:t>
            </w:r>
          </w:p>
          <w:p w14:paraId="01FA671B" w14:textId="08BB3FE4" w:rsidR="000637CD" w:rsidRPr="00B1190B" w:rsidRDefault="000637CD" w:rsidP="00B1190B">
            <w:pPr>
              <w:rPr>
                <w:sz w:val="20"/>
                <w:szCs w:val="20"/>
              </w:rPr>
            </w:pPr>
            <w:r w:rsidRPr="00B1190B">
              <w:rPr>
                <w:sz w:val="20"/>
                <w:szCs w:val="20"/>
              </w:rPr>
              <w:t>Study</w:t>
            </w:r>
          </w:p>
          <w:p w14:paraId="526D12FF" w14:textId="23D83F0F" w:rsidR="00D358A8" w:rsidRPr="00B1190B" w:rsidRDefault="00D358A8" w:rsidP="00B1190B">
            <w:pPr>
              <w:rPr>
                <w:sz w:val="20"/>
                <w:szCs w:val="20"/>
              </w:rPr>
            </w:pPr>
            <w:r w:rsidRPr="00B1190B">
              <w:rPr>
                <w:sz w:val="20"/>
                <w:szCs w:val="20"/>
              </w:rPr>
              <w:t>GPGH</w:t>
            </w:r>
          </w:p>
        </w:tc>
        <w:tc>
          <w:tcPr>
            <w:tcW w:w="7647" w:type="dxa"/>
          </w:tcPr>
          <w:p w14:paraId="3D7E9DBC" w14:textId="7575E7C2" w:rsidR="00D358A8" w:rsidRDefault="00847A17" w:rsidP="00446B25">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748F25D" wp14:editId="5D16A668">
                  <wp:extent cx="4142105" cy="2214450"/>
                  <wp:effectExtent l="0" t="0" r="0" b="0"/>
                  <wp:docPr id="18" name="Picture 18" descr="SURPASS‑3 schema showing 1 week of screening and 2 weeks of lead‑in, followed by randomisation at week 0 into 4 treatment groups including dose escalation within groups up to 52 weeks, with 4 week follow-u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RPASS‑3 schema showing 1 week of screening and 2 weeks of lead‑in, followed by randomisation at week 0 into 4 treatment groups including dose escalation within groups up to 52 weeks, with 4 week follow-up period."/>
                          <pic:cNvPicPr/>
                        </pic:nvPicPr>
                        <pic:blipFill>
                          <a:blip r:embed="rId33"/>
                          <a:stretch>
                            <a:fillRect/>
                          </a:stretch>
                        </pic:blipFill>
                        <pic:spPr>
                          <a:xfrm>
                            <a:off x="0" y="0"/>
                            <a:ext cx="4166349" cy="2227411"/>
                          </a:xfrm>
                          <a:prstGeom prst="rect">
                            <a:avLst/>
                          </a:prstGeom>
                        </pic:spPr>
                      </pic:pic>
                    </a:graphicData>
                  </a:graphic>
                </wp:inline>
              </w:drawing>
            </w:r>
          </w:p>
        </w:tc>
      </w:tr>
      <w:tr w:rsidR="00847A17" w14:paraId="2312431B" w14:textId="77777777" w:rsidTr="00D358A8">
        <w:tc>
          <w:tcPr>
            <w:cnfStyle w:val="001000000000" w:firstRow="0" w:lastRow="0" w:firstColumn="1" w:lastColumn="0" w:oddVBand="0" w:evenVBand="0" w:oddHBand="0" w:evenHBand="0" w:firstRowFirstColumn="0" w:firstRowLastColumn="0" w:lastRowFirstColumn="0" w:lastRowLastColumn="0"/>
            <w:tcW w:w="1413" w:type="dxa"/>
          </w:tcPr>
          <w:p w14:paraId="0D70D5C5" w14:textId="2D1304A5" w:rsidR="00D358A8" w:rsidRPr="00B1190B" w:rsidRDefault="00D358A8" w:rsidP="00B1190B">
            <w:pPr>
              <w:rPr>
                <w:sz w:val="20"/>
                <w:szCs w:val="20"/>
              </w:rPr>
            </w:pPr>
            <w:r w:rsidRPr="00B1190B">
              <w:rPr>
                <w:sz w:val="20"/>
                <w:szCs w:val="20"/>
              </w:rPr>
              <w:t>SURPASS</w:t>
            </w:r>
            <w:r w:rsidR="005E279A" w:rsidRPr="00B1190B">
              <w:rPr>
                <w:sz w:val="20"/>
                <w:szCs w:val="20"/>
              </w:rPr>
              <w:noBreakHyphen/>
            </w:r>
            <w:r w:rsidRPr="00B1190B">
              <w:rPr>
                <w:sz w:val="20"/>
                <w:szCs w:val="20"/>
              </w:rPr>
              <w:t>4</w:t>
            </w:r>
          </w:p>
          <w:p w14:paraId="08AC09BF" w14:textId="269EFC0B" w:rsidR="000637CD" w:rsidRPr="00B1190B" w:rsidRDefault="000637CD" w:rsidP="00B1190B">
            <w:pPr>
              <w:rPr>
                <w:sz w:val="20"/>
                <w:szCs w:val="20"/>
              </w:rPr>
            </w:pPr>
            <w:r w:rsidRPr="00B1190B">
              <w:rPr>
                <w:sz w:val="20"/>
                <w:szCs w:val="20"/>
              </w:rPr>
              <w:t>Study</w:t>
            </w:r>
          </w:p>
          <w:p w14:paraId="764656D7" w14:textId="784B507D" w:rsidR="00D358A8" w:rsidRPr="00B1190B" w:rsidRDefault="00D358A8" w:rsidP="00B1190B">
            <w:pPr>
              <w:rPr>
                <w:sz w:val="20"/>
                <w:szCs w:val="20"/>
              </w:rPr>
            </w:pPr>
            <w:r w:rsidRPr="00B1190B">
              <w:rPr>
                <w:sz w:val="20"/>
                <w:szCs w:val="20"/>
              </w:rPr>
              <w:t>GPGM</w:t>
            </w:r>
          </w:p>
        </w:tc>
        <w:tc>
          <w:tcPr>
            <w:tcW w:w="7647" w:type="dxa"/>
          </w:tcPr>
          <w:p w14:paraId="037E65C1" w14:textId="60DAB71B" w:rsidR="00D358A8" w:rsidRDefault="00847A17" w:rsidP="00446B25">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1AF6837" wp14:editId="448CAB26">
                  <wp:extent cx="4544770" cy="2115047"/>
                  <wp:effectExtent l="0" t="0" r="8255" b="0"/>
                  <wp:docPr id="19" name="Picture 19" descr="SURPASS‑4 schema showing 1 week of screening and 2 weeks of lead‑in, followed by randomisation at week 0 into 4 treatment groups including dose escalation within groups up to 104 weeks, with 4 week follow-u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URPASS‑4 schema showing 1 week of screening and 2 weeks of lead‑in, followed by randomisation at week 0 into 4 treatment groups including dose escalation within groups up to 104 weeks, with 4 week follow-up period."/>
                          <pic:cNvPicPr/>
                        </pic:nvPicPr>
                        <pic:blipFill>
                          <a:blip r:embed="rId34"/>
                          <a:stretch>
                            <a:fillRect/>
                          </a:stretch>
                        </pic:blipFill>
                        <pic:spPr>
                          <a:xfrm>
                            <a:off x="0" y="0"/>
                            <a:ext cx="4588037" cy="2135183"/>
                          </a:xfrm>
                          <a:prstGeom prst="rect">
                            <a:avLst/>
                          </a:prstGeom>
                        </pic:spPr>
                      </pic:pic>
                    </a:graphicData>
                  </a:graphic>
                </wp:inline>
              </w:drawing>
            </w:r>
          </w:p>
        </w:tc>
      </w:tr>
      <w:tr w:rsidR="00847A17" w14:paraId="034B620E" w14:textId="77777777" w:rsidTr="00D358A8">
        <w:tc>
          <w:tcPr>
            <w:cnfStyle w:val="001000000000" w:firstRow="0" w:lastRow="0" w:firstColumn="1" w:lastColumn="0" w:oddVBand="0" w:evenVBand="0" w:oddHBand="0" w:evenHBand="0" w:firstRowFirstColumn="0" w:firstRowLastColumn="0" w:lastRowFirstColumn="0" w:lastRowLastColumn="0"/>
            <w:tcW w:w="1413" w:type="dxa"/>
          </w:tcPr>
          <w:p w14:paraId="5379B80D" w14:textId="4DA5EB02" w:rsidR="00D358A8" w:rsidRPr="00B1190B" w:rsidRDefault="00D358A8" w:rsidP="00B1190B">
            <w:pPr>
              <w:rPr>
                <w:sz w:val="20"/>
                <w:szCs w:val="20"/>
              </w:rPr>
            </w:pPr>
            <w:r w:rsidRPr="00B1190B">
              <w:rPr>
                <w:sz w:val="20"/>
                <w:szCs w:val="20"/>
              </w:rPr>
              <w:t>SURPASS</w:t>
            </w:r>
            <w:r w:rsidR="005E279A" w:rsidRPr="00B1190B">
              <w:rPr>
                <w:sz w:val="20"/>
                <w:szCs w:val="20"/>
              </w:rPr>
              <w:noBreakHyphen/>
            </w:r>
            <w:r w:rsidRPr="00B1190B">
              <w:rPr>
                <w:sz w:val="20"/>
                <w:szCs w:val="20"/>
              </w:rPr>
              <w:t>5</w:t>
            </w:r>
          </w:p>
          <w:p w14:paraId="4CEBA542" w14:textId="314F8CBF" w:rsidR="000637CD" w:rsidRPr="00B1190B" w:rsidRDefault="000637CD" w:rsidP="00B1190B">
            <w:pPr>
              <w:rPr>
                <w:sz w:val="20"/>
                <w:szCs w:val="20"/>
              </w:rPr>
            </w:pPr>
            <w:r w:rsidRPr="00B1190B">
              <w:rPr>
                <w:sz w:val="20"/>
                <w:szCs w:val="20"/>
              </w:rPr>
              <w:t>Study</w:t>
            </w:r>
          </w:p>
          <w:p w14:paraId="0EA519CF" w14:textId="5C2DE065" w:rsidR="00D358A8" w:rsidRDefault="00D358A8" w:rsidP="00B1190B">
            <w:r w:rsidRPr="00B1190B">
              <w:rPr>
                <w:sz w:val="20"/>
                <w:szCs w:val="20"/>
              </w:rPr>
              <w:t>GPGI</w:t>
            </w:r>
          </w:p>
        </w:tc>
        <w:tc>
          <w:tcPr>
            <w:tcW w:w="7647" w:type="dxa"/>
          </w:tcPr>
          <w:p w14:paraId="6EDBDA1C" w14:textId="3DB17283" w:rsidR="00D358A8" w:rsidRDefault="00847A17" w:rsidP="00446B25">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B82E846" wp14:editId="5B2676E3">
                  <wp:extent cx="4142603" cy="2303780"/>
                  <wp:effectExtent l="0" t="0" r="0" b="1270"/>
                  <wp:docPr id="20" name="Picture 20" descr="SURPASS‑5 schema showing 1 week of screening and 2 weeks of lead‑in, followed by randomisation at week 0 into 4 treatment groups including dose escalation within groups up to 40 weeks, with 4 week follow-u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URPASS‑5 schema showing 1 week of screening and 2 weeks of lead‑in, followed by randomisation at week 0 into 4 treatment groups including dose escalation within groups up to 40 weeks, with 4 week follow-up period."/>
                          <pic:cNvPicPr/>
                        </pic:nvPicPr>
                        <pic:blipFill>
                          <a:blip r:embed="rId35"/>
                          <a:stretch>
                            <a:fillRect/>
                          </a:stretch>
                        </pic:blipFill>
                        <pic:spPr>
                          <a:xfrm>
                            <a:off x="0" y="0"/>
                            <a:ext cx="4189834" cy="2330046"/>
                          </a:xfrm>
                          <a:prstGeom prst="rect">
                            <a:avLst/>
                          </a:prstGeom>
                        </pic:spPr>
                      </pic:pic>
                    </a:graphicData>
                  </a:graphic>
                </wp:inline>
              </w:drawing>
            </w:r>
          </w:p>
        </w:tc>
      </w:tr>
    </w:tbl>
    <w:p w14:paraId="60DDC135" w14:textId="67DF54B8" w:rsidR="00847A17" w:rsidRPr="00847A17" w:rsidRDefault="00847A17" w:rsidP="00847A17">
      <w:pPr>
        <w:pStyle w:val="FigureDescription"/>
      </w:pPr>
      <w:r w:rsidRPr="00847A17">
        <w:t>Abbreviations: N = number of patients randomised; QD = once daily; QW = once weekly; SGLT</w:t>
      </w:r>
      <w:r w:rsidR="005E279A">
        <w:noBreakHyphen/>
      </w:r>
      <w:r w:rsidRPr="00847A17">
        <w:t>2i = sodium</w:t>
      </w:r>
      <w:r w:rsidR="005E279A">
        <w:noBreakHyphen/>
      </w:r>
      <w:r w:rsidRPr="00847A17">
        <w:t>glucose cotransporter</w:t>
      </w:r>
      <w:r w:rsidR="005E279A">
        <w:noBreakHyphen/>
      </w:r>
      <w:r w:rsidRPr="00847A17">
        <w:t>2 inhibitor; SU = sulfonylurea; V = visit.</w:t>
      </w:r>
    </w:p>
    <w:p w14:paraId="517B574A" w14:textId="1DBB3993" w:rsidR="00847A17" w:rsidRPr="00847A17" w:rsidRDefault="000637CD" w:rsidP="00847A17">
      <w:pPr>
        <w:pStyle w:val="FigureDescription"/>
      </w:pPr>
      <w:r>
        <w:t xml:space="preserve">Study </w:t>
      </w:r>
      <w:r w:rsidR="00847A17" w:rsidRPr="00847A17">
        <w:t>GPGM note a</w:t>
      </w:r>
      <w:r w:rsidR="0098279B">
        <w:t>.</w:t>
      </w:r>
      <w:r w:rsidR="00847A17">
        <w:t xml:space="preserve"> </w:t>
      </w:r>
      <w:r w:rsidR="00847A17" w:rsidRPr="00847A17">
        <w:t>The planned duration of treatment for the primary endpoint was 52</w:t>
      </w:r>
      <w:r w:rsidR="00FF5D53">
        <w:t> </w:t>
      </w:r>
      <w:r w:rsidR="00847A17" w:rsidRPr="00847A17">
        <w:t>weeks, followed</w:t>
      </w:r>
      <w:r w:rsidR="00847A17">
        <w:t xml:space="preserve"> </w:t>
      </w:r>
      <w:r w:rsidR="00847A17" w:rsidRPr="00847A17">
        <w:t>by a variable treatment duration of up to but not longer than 104</w:t>
      </w:r>
      <w:r w:rsidR="00FF5D53">
        <w:t> </w:t>
      </w:r>
      <w:r w:rsidR="00847A17" w:rsidRPr="00847A17">
        <w:t>weeks.</w:t>
      </w:r>
    </w:p>
    <w:p w14:paraId="5CC7495A" w14:textId="15F30906" w:rsidR="00847A17" w:rsidRPr="00847A17" w:rsidRDefault="000637CD" w:rsidP="00847A17">
      <w:pPr>
        <w:pStyle w:val="FigureDescription"/>
      </w:pPr>
      <w:r>
        <w:t xml:space="preserve">Study </w:t>
      </w:r>
      <w:r w:rsidR="00847A17" w:rsidRPr="00847A17">
        <w:t>GPGM note b</w:t>
      </w:r>
      <w:r w:rsidR="0098279B">
        <w:t>.</w:t>
      </w:r>
      <w:r w:rsidR="00847A17">
        <w:t xml:space="preserve"> </w:t>
      </w:r>
      <w:r w:rsidR="00847A17" w:rsidRPr="00847A17">
        <w:t xml:space="preserve">All patients performed a Visit 801 </w:t>
      </w:r>
      <w:r w:rsidR="00320553">
        <w:t>at 4</w:t>
      </w:r>
      <w:r w:rsidR="00847A17" w:rsidRPr="00847A17">
        <w:t xml:space="preserve"> weeks after their last treatment visit.</w:t>
      </w:r>
    </w:p>
    <w:p w14:paraId="45ED50BD" w14:textId="0996CD94" w:rsidR="00D037B4" w:rsidRPr="00847A17" w:rsidRDefault="000637CD" w:rsidP="00847A17">
      <w:pPr>
        <w:pStyle w:val="FigureDescription"/>
      </w:pPr>
      <w:r>
        <w:t xml:space="preserve">Study </w:t>
      </w:r>
      <w:r w:rsidR="00847A17" w:rsidRPr="00847A17">
        <w:t>GPGI note a</w:t>
      </w:r>
      <w:r w:rsidR="0098279B">
        <w:t>.</w:t>
      </w:r>
      <w:r w:rsidR="00847A17" w:rsidRPr="00847A17">
        <w:t xml:space="preserve"> Stabilization Period = first 4</w:t>
      </w:r>
      <w:r w:rsidR="00A40BF3">
        <w:t> </w:t>
      </w:r>
      <w:r w:rsidR="00847A17" w:rsidRPr="00847A17">
        <w:t>weeks after randomization, with restricted insulin dose</w:t>
      </w:r>
      <w:r w:rsidR="00847A17">
        <w:t xml:space="preserve"> </w:t>
      </w:r>
      <w:r w:rsidR="00847A17" w:rsidRPr="00847A17">
        <w:t>adjustments. Insulin Glargine Escalation Period Weeks 4 to 40 (end of treatment/end of</w:t>
      </w:r>
      <w:r w:rsidR="00847A17">
        <w:t xml:space="preserve"> </w:t>
      </w:r>
      <w:r w:rsidR="00847A17" w:rsidRPr="00847A17">
        <w:t>study), with unrestricted insulin dose adjustments. Maintenance Period = Weeks 24 to</w:t>
      </w:r>
      <w:r w:rsidR="00847A17">
        <w:t xml:space="preserve"> </w:t>
      </w:r>
      <w:r w:rsidR="00847A17" w:rsidRPr="00847A17">
        <w:t>40 (end of treatment/end of study), the period when insulin glargine dose is expected to</w:t>
      </w:r>
      <w:r w:rsidR="00847A17">
        <w:t xml:space="preserve"> </w:t>
      </w:r>
      <w:r w:rsidR="00847A17" w:rsidRPr="00847A17">
        <w:t>be stable.</w:t>
      </w:r>
    </w:p>
    <w:p w14:paraId="762DC910" w14:textId="77777777" w:rsidR="00A40BF3" w:rsidRDefault="00A40BF3" w:rsidP="00A40BF3"/>
    <w:p w14:paraId="07034089" w14:textId="149A16FB" w:rsidR="00A40BF3" w:rsidRPr="00A40BF3" w:rsidRDefault="00A40BF3" w:rsidP="00A40BF3">
      <w:r w:rsidRPr="00D41FE0">
        <w:rPr>
          <w:rStyle w:val="Heading7Char"/>
        </w:rPr>
        <w:lastRenderedPageBreak/>
        <w:t xml:space="preserve">Patient demographics: </w:t>
      </w:r>
      <w:r w:rsidR="00D41FE0" w:rsidRPr="00D41FE0">
        <w:t xml:space="preserve">There were </w:t>
      </w:r>
      <w:r w:rsidRPr="00D41FE0">
        <w:t>62</w:t>
      </w:r>
      <w:r w:rsidRPr="00A40BF3">
        <w:t xml:space="preserve">63 patients randomly assigned and treated with at least one dose of study drug (modified </w:t>
      </w:r>
      <w:r w:rsidR="00D41FE0">
        <w:t>intent</w:t>
      </w:r>
      <w:r w:rsidR="005E279A">
        <w:noBreakHyphen/>
      </w:r>
      <w:r w:rsidR="00D41FE0">
        <w:t>to</w:t>
      </w:r>
      <w:r w:rsidR="005E279A">
        <w:noBreakHyphen/>
      </w:r>
      <w:r w:rsidR="00D41FE0">
        <w:t>treat (</w:t>
      </w:r>
      <w:r w:rsidRPr="00A40BF3">
        <w:t>ITT</w:t>
      </w:r>
      <w:r w:rsidR="00D41FE0">
        <w:t>)</w:t>
      </w:r>
      <w:r w:rsidR="00A33967">
        <w:rPr>
          <w:rStyle w:val="FootnoteReference"/>
        </w:rPr>
        <w:footnoteReference w:id="15"/>
      </w:r>
      <w:r w:rsidRPr="00A40BF3">
        <w:t xml:space="preserve"> population). </w:t>
      </w:r>
      <w:r>
        <w:t xml:space="preserve">Patients were </w:t>
      </w:r>
      <w:r w:rsidRPr="00A40BF3">
        <w:t>45% female</w:t>
      </w:r>
      <w:r>
        <w:t>;</w:t>
      </w:r>
      <w:r w:rsidRPr="00A40BF3">
        <w:t xml:space="preserve"> 46.6% were Hispanic or Latino, 3.6% were Black or African American, and 6.8% were Asian.</w:t>
      </w:r>
    </w:p>
    <w:p w14:paraId="22CF77A7" w14:textId="0C79528A" w:rsidR="00A40BF3" w:rsidRPr="00A40BF3" w:rsidRDefault="00A40BF3" w:rsidP="00A40BF3">
      <w:r w:rsidRPr="00A40BF3">
        <w:t xml:space="preserve">There was no upper age limit. At baseline, 33.2% were aged </w:t>
      </w:r>
      <w:r>
        <w:t xml:space="preserve">at least </w:t>
      </w:r>
      <w:r w:rsidRPr="00A40BF3">
        <w:t>65</w:t>
      </w:r>
      <w:r>
        <w:t> </w:t>
      </w:r>
      <w:r w:rsidRPr="00A40BF3">
        <w:t xml:space="preserve">years, and 5.1% were aged </w:t>
      </w:r>
      <w:r>
        <w:t xml:space="preserve">at least </w:t>
      </w:r>
      <w:r w:rsidRPr="00A40BF3">
        <w:t>75</w:t>
      </w:r>
      <w:r>
        <w:t> </w:t>
      </w:r>
      <w:r w:rsidRPr="00A40BF3">
        <w:t>years. Tirzepatide was not studied in children.</w:t>
      </w:r>
    </w:p>
    <w:p w14:paraId="0C2DF7C5" w14:textId="76705FBD" w:rsidR="00A40BF3" w:rsidRDefault="00A40BF3" w:rsidP="00A40BF3">
      <w:r w:rsidRPr="00D41FE0">
        <w:rPr>
          <w:rStyle w:val="Heading7Char"/>
        </w:rPr>
        <w:t xml:space="preserve">Disease characteristics: </w:t>
      </w:r>
      <w:r w:rsidRPr="00A40BF3">
        <w:t xml:space="preserve">In </w:t>
      </w:r>
      <w:r w:rsidR="00895C06">
        <w:t xml:space="preserve">the 5 </w:t>
      </w:r>
      <w:r w:rsidRPr="00A40BF3">
        <w:t>SURPASS</w:t>
      </w:r>
      <w:r w:rsidR="00895C06">
        <w:t xml:space="preserve"> trials, </w:t>
      </w:r>
      <w:r w:rsidRPr="00A40BF3">
        <w:t>at baseline, the mean HbA1c ranged from 7.94% to 8.52%, the mean age ranged from 54.1 to 63.6</w:t>
      </w:r>
      <w:r w:rsidR="00D41FE0">
        <w:t> </w:t>
      </w:r>
      <w:r w:rsidRPr="00A40BF3">
        <w:t>years, the mean BMI ranged from 31.9 to 34.2</w:t>
      </w:r>
      <w:r w:rsidR="00D41FE0">
        <w:t> </w:t>
      </w:r>
      <w:r w:rsidRPr="00A40BF3">
        <w:t>kg/m</w:t>
      </w:r>
      <w:r w:rsidRPr="00D41FE0">
        <w:rPr>
          <w:vertAlign w:val="superscript"/>
        </w:rPr>
        <w:t>2</w:t>
      </w:r>
      <w:r w:rsidRPr="00A40BF3">
        <w:t>, the mean weight ranged from 85.9 to 95.2</w:t>
      </w:r>
      <w:r w:rsidR="00D41FE0">
        <w:t> </w:t>
      </w:r>
      <w:r w:rsidRPr="00A40BF3">
        <w:t>kg, and the mean duration of T2DM ranged from 4.7 to 13.3</w:t>
      </w:r>
      <w:r w:rsidR="00D41FE0">
        <w:t> </w:t>
      </w:r>
      <w:r w:rsidRPr="00A40BF3">
        <w:t>years. SURPASS</w:t>
      </w:r>
      <w:r w:rsidR="005E279A">
        <w:noBreakHyphen/>
      </w:r>
      <w:r w:rsidRPr="00A40BF3">
        <w:t>4 had the highest proportion of CV disease patients (86.8%).</w:t>
      </w:r>
    </w:p>
    <w:p w14:paraId="0721D21A" w14:textId="6360CC97" w:rsidR="00A40BF3" w:rsidRPr="00A40BF3" w:rsidRDefault="00A40BF3" w:rsidP="002E7BD8">
      <w:pPr>
        <w:pStyle w:val="Heading5"/>
      </w:pPr>
      <w:r w:rsidRPr="00A40BF3">
        <w:t>Summary of main findings</w:t>
      </w:r>
    </w:p>
    <w:p w14:paraId="3785E46C" w14:textId="000DB05F" w:rsidR="00A40BF3" w:rsidRPr="00A40BF3" w:rsidRDefault="00A40BF3" w:rsidP="00A40BF3">
      <w:r w:rsidRPr="00A40BF3">
        <w:t xml:space="preserve">Overall, for the main endpoints of change in HbA1c or body weight, there was a statistically significant difference between tirzepatide and tested comparator groups for all </w:t>
      </w:r>
      <w:r w:rsidR="00320553">
        <w:t>3</w:t>
      </w:r>
      <w:r w:rsidRPr="00A40BF3">
        <w:t xml:space="preserve"> tirzepatide doses (</w:t>
      </w:r>
      <w:r w:rsidR="005D50AD">
        <w:fldChar w:fldCharType="begin"/>
      </w:r>
      <w:r w:rsidR="005D50AD">
        <w:instrText xml:space="preserve"> REF _Ref144377141 \h </w:instrText>
      </w:r>
      <w:r w:rsidR="005D50AD">
        <w:fldChar w:fldCharType="separate"/>
      </w:r>
      <w:r w:rsidR="008465DD">
        <w:t xml:space="preserve">Table </w:t>
      </w:r>
      <w:r w:rsidR="008465DD">
        <w:rPr>
          <w:noProof/>
        </w:rPr>
        <w:t>8</w:t>
      </w:r>
      <w:r w:rsidR="005D50AD">
        <w:fldChar w:fldCharType="end"/>
      </w:r>
      <w:r w:rsidR="005D50AD">
        <w:t xml:space="preserve">, </w:t>
      </w:r>
      <w:r w:rsidR="005D50AD">
        <w:fldChar w:fldCharType="begin"/>
      </w:r>
      <w:r w:rsidR="005D50AD">
        <w:instrText xml:space="preserve"> REF _Ref144377164 \h </w:instrText>
      </w:r>
      <w:r w:rsidR="005D50AD">
        <w:fldChar w:fldCharType="separate"/>
      </w:r>
      <w:r w:rsidR="008465DD">
        <w:t xml:space="preserve">Figure </w:t>
      </w:r>
      <w:r w:rsidR="008465DD">
        <w:rPr>
          <w:noProof/>
        </w:rPr>
        <w:t>8</w:t>
      </w:r>
      <w:r w:rsidR="005D50AD">
        <w:fldChar w:fldCharType="end"/>
      </w:r>
      <w:r w:rsidR="005D50AD">
        <w:t xml:space="preserve"> and </w:t>
      </w:r>
      <w:r w:rsidR="005D50AD">
        <w:fldChar w:fldCharType="begin"/>
      </w:r>
      <w:r w:rsidR="005D50AD">
        <w:instrText xml:space="preserve"> REF _Ref144377183 \h </w:instrText>
      </w:r>
      <w:r w:rsidR="005D50AD">
        <w:fldChar w:fldCharType="separate"/>
      </w:r>
      <w:r w:rsidR="008465DD">
        <w:t xml:space="preserve">Figure </w:t>
      </w:r>
      <w:r w:rsidR="008465DD">
        <w:rPr>
          <w:noProof/>
        </w:rPr>
        <w:t>9</w:t>
      </w:r>
      <w:r w:rsidR="005D50AD">
        <w:fldChar w:fldCharType="end"/>
      </w:r>
      <w:r w:rsidRPr="00A40BF3">
        <w:t>).</w:t>
      </w:r>
    </w:p>
    <w:p w14:paraId="6B2E49C6" w14:textId="5015DD94" w:rsidR="00D037B4" w:rsidRDefault="00E803FB" w:rsidP="00E803FB">
      <w:pPr>
        <w:pStyle w:val="TableTitle"/>
      </w:pPr>
      <w:bookmarkStart w:id="61" w:name="_Ref144377141"/>
      <w:r>
        <w:t xml:space="preserve">Table </w:t>
      </w:r>
      <w:r w:rsidR="002B0E47">
        <w:fldChar w:fldCharType="begin"/>
      </w:r>
      <w:r w:rsidR="002B0E47">
        <w:instrText xml:space="preserve"> SEQ Table \* ARABIC </w:instrText>
      </w:r>
      <w:r w:rsidR="002B0E47">
        <w:fldChar w:fldCharType="separate"/>
      </w:r>
      <w:r w:rsidR="008465DD">
        <w:rPr>
          <w:noProof/>
        </w:rPr>
        <w:t>8</w:t>
      </w:r>
      <w:r w:rsidR="002B0E47">
        <w:rPr>
          <w:noProof/>
        </w:rPr>
        <w:fldChar w:fldCharType="end"/>
      </w:r>
      <w:bookmarkEnd w:id="61"/>
      <w:r>
        <w:t>: SURPASS efficacy trials</w:t>
      </w:r>
      <w:r w:rsidR="00895C06">
        <w:t xml:space="preserve"> S</w:t>
      </w:r>
      <w:r>
        <w:t>ummary of main results (treatment</w:t>
      </w:r>
      <w:r w:rsidR="005E279A">
        <w:noBreakHyphen/>
      </w:r>
      <w:r>
        <w:t>regim</w:t>
      </w:r>
      <w:r w:rsidR="00FC2BEE">
        <w:t>e</w:t>
      </w:r>
      <w:r>
        <w:t>n estimand)</w:t>
      </w:r>
    </w:p>
    <w:p w14:paraId="2894913F" w14:textId="1A284812" w:rsidR="00D037B4" w:rsidRDefault="00C314A6" w:rsidP="00446B25">
      <w:r w:rsidRPr="00C314A6">
        <w:rPr>
          <w:noProof/>
        </w:rPr>
        <w:drawing>
          <wp:inline distT="0" distB="0" distL="0" distR="0" wp14:anchorId="082841E8" wp14:editId="02A9E4E7">
            <wp:extent cx="5759450" cy="3828415"/>
            <wp:effectExtent l="0" t="0" r="0" b="635"/>
            <wp:docPr id="27" name="Picture 27" descr="Summary of main results of SURPASS 1,2,3,4,5 and SURPASS J-mono. summary of comparation, tirzepatide doses, duration, and changes in HbA1c and bod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ummary of main results of SURPASS 1,2,3,4,5 and SURPASS J-mono. summary of comparation, tirzepatide doses, duration, and changes in HbA1c and body weigh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828415"/>
                    </a:xfrm>
                    <a:prstGeom prst="rect">
                      <a:avLst/>
                    </a:prstGeom>
                    <a:noFill/>
                    <a:ln>
                      <a:noFill/>
                    </a:ln>
                  </pic:spPr>
                </pic:pic>
              </a:graphicData>
            </a:graphic>
          </wp:inline>
        </w:drawing>
      </w:r>
    </w:p>
    <w:p w14:paraId="2106ADF0" w14:textId="71E263C9" w:rsidR="00175FBF" w:rsidRPr="00BE1835" w:rsidRDefault="00175FBF" w:rsidP="00175FBF">
      <w:pPr>
        <w:pStyle w:val="TableDescription"/>
      </w:pPr>
      <w:r w:rsidRPr="00BE1835">
        <w:t>Abbreviations: CI = confidence interval; HbA1c = haemoglobin A1c; LSM = least</w:t>
      </w:r>
      <w:r w:rsidR="005E279A">
        <w:noBreakHyphen/>
      </w:r>
      <w:r w:rsidRPr="00BE1835">
        <w:t>squares means.; QW = once weekly.</w:t>
      </w:r>
    </w:p>
    <w:p w14:paraId="16619882" w14:textId="77777777" w:rsidR="00175FBF" w:rsidRDefault="00175FBF" w:rsidP="00446B25"/>
    <w:p w14:paraId="1D37F353" w14:textId="471729BC" w:rsidR="00D037B4" w:rsidRDefault="005E49BB" w:rsidP="005D50AD">
      <w:pPr>
        <w:pStyle w:val="FigureTitle"/>
      </w:pPr>
      <w:bookmarkStart w:id="62" w:name="_Ref144377164"/>
      <w:r>
        <w:lastRenderedPageBreak/>
        <w:t xml:space="preserve">Figure </w:t>
      </w:r>
      <w:r w:rsidR="002B0E47">
        <w:fldChar w:fldCharType="begin"/>
      </w:r>
      <w:r w:rsidR="002B0E47">
        <w:instrText xml:space="preserve"> SEQ Figure \* ARABIC </w:instrText>
      </w:r>
      <w:r w:rsidR="002B0E47">
        <w:fldChar w:fldCharType="separate"/>
      </w:r>
      <w:r w:rsidR="008465DD">
        <w:rPr>
          <w:noProof/>
        </w:rPr>
        <w:t>8</w:t>
      </w:r>
      <w:r w:rsidR="002B0E47">
        <w:rPr>
          <w:noProof/>
        </w:rPr>
        <w:fldChar w:fldCharType="end"/>
      </w:r>
      <w:bookmarkEnd w:id="62"/>
      <w:r>
        <w:t>: SURPASS efficacy trials</w:t>
      </w:r>
      <w:r w:rsidR="00895C06">
        <w:t xml:space="preserve"> S</w:t>
      </w:r>
      <w:r>
        <w:t xml:space="preserve">ummary of </w:t>
      </w:r>
      <w:r w:rsidR="00AA2F75">
        <w:t>least</w:t>
      </w:r>
      <w:r w:rsidR="005E279A">
        <w:noBreakHyphen/>
      </w:r>
      <w:r w:rsidR="00AA2F75">
        <w:t>squares means</w:t>
      </w:r>
      <w:r>
        <w:t xml:space="preserve"> differences in HbA1c change from baseline (treatment</w:t>
      </w:r>
      <w:r w:rsidR="005E279A">
        <w:noBreakHyphen/>
      </w:r>
      <w:r>
        <w:t>regimen estimand)</w:t>
      </w:r>
    </w:p>
    <w:p w14:paraId="40D18151" w14:textId="75F05316" w:rsidR="00D037B4" w:rsidRDefault="005E49BB" w:rsidP="00446B25">
      <w:r>
        <w:rPr>
          <w:noProof/>
        </w:rPr>
        <w:drawing>
          <wp:inline distT="0" distB="0" distL="0" distR="0" wp14:anchorId="1FB0778B" wp14:editId="7EA20DBD">
            <wp:extent cx="5759450" cy="2607310"/>
            <wp:effectExtent l="0" t="0" r="0" b="2540"/>
            <wp:docPr id="22" name="Picture 22" descr="Changes of HbA1c from baseline in the 5 pivotal studies. There are 4 columns for each study, for the 5 mg, 10 mg and 15 mg tirzepatide doses and the placebo or active comparator group. Left hand side axis in % change. Right hand side axis in mm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nges of HbA1c from baseline in the 5 pivotal studies. There are 4 columns for each study, for the 5 mg, 10 mg and 15 mg tirzepatide doses and the placebo or active comparator group. Left hand side axis in % change. Right hand side axis in mmol. "/>
                    <pic:cNvPicPr/>
                  </pic:nvPicPr>
                  <pic:blipFill>
                    <a:blip r:embed="rId37"/>
                    <a:stretch>
                      <a:fillRect/>
                    </a:stretch>
                  </pic:blipFill>
                  <pic:spPr>
                    <a:xfrm>
                      <a:off x="0" y="0"/>
                      <a:ext cx="5759450" cy="2607310"/>
                    </a:xfrm>
                    <a:prstGeom prst="rect">
                      <a:avLst/>
                    </a:prstGeom>
                  </pic:spPr>
                </pic:pic>
              </a:graphicData>
            </a:graphic>
          </wp:inline>
        </w:drawing>
      </w:r>
    </w:p>
    <w:p w14:paraId="12A0CD94" w14:textId="32F3ADAA" w:rsidR="005E49BB" w:rsidRPr="00BE1835" w:rsidRDefault="005E49BB" w:rsidP="00B1190B">
      <w:pPr>
        <w:pStyle w:val="FigureDescription"/>
      </w:pPr>
      <w:r w:rsidRPr="00BE1835">
        <w:t>Abbreviations: HbA1c = haemoglobin A1c; LSM = least</w:t>
      </w:r>
      <w:r w:rsidR="005E279A">
        <w:noBreakHyphen/>
      </w:r>
      <w:r w:rsidRPr="00BE1835">
        <w:t xml:space="preserve">squares means.; </w:t>
      </w:r>
      <w:r>
        <w:t xml:space="preserve">N = number of subjects; OAM = </w:t>
      </w:r>
      <w:r w:rsidR="00A82D0F">
        <w:t>oral antihyperglycaemic medication</w:t>
      </w:r>
      <w:r>
        <w:t>; SGLT</w:t>
      </w:r>
      <w:r w:rsidR="005E279A">
        <w:noBreakHyphen/>
      </w:r>
      <w:r>
        <w:t xml:space="preserve">2i = </w:t>
      </w:r>
      <w:r w:rsidR="00E14132">
        <w:t>s</w:t>
      </w:r>
      <w:r w:rsidR="00E14132" w:rsidRPr="007C64C2">
        <w:rPr>
          <w:szCs w:val="22"/>
        </w:rPr>
        <w:t>odium</w:t>
      </w:r>
      <w:r w:rsidR="005E279A">
        <w:rPr>
          <w:szCs w:val="22"/>
        </w:rPr>
        <w:noBreakHyphen/>
      </w:r>
      <w:r w:rsidR="00E14132" w:rsidRPr="007C64C2">
        <w:rPr>
          <w:szCs w:val="22"/>
        </w:rPr>
        <w:t>glucose co</w:t>
      </w:r>
      <w:r w:rsidR="005E279A">
        <w:rPr>
          <w:szCs w:val="22"/>
        </w:rPr>
        <w:noBreakHyphen/>
      </w:r>
      <w:r w:rsidR="00E14132" w:rsidRPr="007C64C2">
        <w:rPr>
          <w:szCs w:val="22"/>
        </w:rPr>
        <w:t>transporter 2</w:t>
      </w:r>
      <w:r w:rsidR="00E14132">
        <w:rPr>
          <w:szCs w:val="22"/>
        </w:rPr>
        <w:t xml:space="preserve"> inhibitor</w:t>
      </w:r>
      <w:r>
        <w:t xml:space="preserve">; SU = </w:t>
      </w:r>
      <w:r w:rsidR="00E14132">
        <w:t>sulfonylurea</w:t>
      </w:r>
      <w:r>
        <w:t>; TZP = tirzepatide</w:t>
      </w:r>
    </w:p>
    <w:p w14:paraId="35F869AB" w14:textId="1F548A76" w:rsidR="00D037B4" w:rsidRDefault="005D50AD" w:rsidP="005D50AD">
      <w:pPr>
        <w:pStyle w:val="FigureTitle"/>
      </w:pPr>
      <w:bookmarkStart w:id="63" w:name="_Ref144377183"/>
      <w:r>
        <w:t xml:space="preserve">Figure </w:t>
      </w:r>
      <w:r w:rsidR="002B0E47">
        <w:fldChar w:fldCharType="begin"/>
      </w:r>
      <w:r w:rsidR="002B0E47">
        <w:instrText xml:space="preserve"> SEQ Figure \* ARABIC </w:instrText>
      </w:r>
      <w:r w:rsidR="002B0E47">
        <w:fldChar w:fldCharType="separate"/>
      </w:r>
      <w:r w:rsidR="008465DD">
        <w:rPr>
          <w:noProof/>
        </w:rPr>
        <w:t>9</w:t>
      </w:r>
      <w:r w:rsidR="002B0E47">
        <w:rPr>
          <w:noProof/>
        </w:rPr>
        <w:fldChar w:fldCharType="end"/>
      </w:r>
      <w:bookmarkEnd w:id="63"/>
      <w:r>
        <w:t>: SURPASS efficacy trials</w:t>
      </w:r>
      <w:r w:rsidR="00895C06">
        <w:t xml:space="preserve"> </w:t>
      </w:r>
      <w:r>
        <w:t xml:space="preserve">Summary of </w:t>
      </w:r>
      <w:r w:rsidR="00AA2F75">
        <w:t>least</w:t>
      </w:r>
      <w:r w:rsidR="005E279A">
        <w:noBreakHyphen/>
      </w:r>
      <w:r w:rsidR="00AA2F75">
        <w:t>squares means</w:t>
      </w:r>
      <w:r>
        <w:t xml:space="preserve"> differences in body weight change from baseline (treatment</w:t>
      </w:r>
      <w:r w:rsidR="005E279A">
        <w:noBreakHyphen/>
      </w:r>
      <w:r>
        <w:t>regimen estimand)</w:t>
      </w:r>
    </w:p>
    <w:p w14:paraId="70B8CB4A" w14:textId="5CDEA130" w:rsidR="00D037B4" w:rsidRDefault="005D50AD" w:rsidP="00446B25">
      <w:r>
        <w:rPr>
          <w:noProof/>
        </w:rPr>
        <w:drawing>
          <wp:inline distT="0" distB="0" distL="0" distR="0" wp14:anchorId="63DA9D8E" wp14:editId="46B75804">
            <wp:extent cx="5759450" cy="2503170"/>
            <wp:effectExtent l="0" t="0" r="0" b="0"/>
            <wp:docPr id="23" name="Picture 23" descr="Changes of body weight from baseline in the 5 pivotal studies. There are 4 columns for each study, for the 5 mg, 10 mg and 15 mg tirzepatide doses and the placebo or active comparator group. Left hand side axis in body weight change in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nges of body weight from baseline in the 5 pivotal studies. There are 4 columns for each study, for the 5 mg, 10 mg and 15 mg tirzepatide doses and the placebo or active comparator group. Left hand side axis in body weight change in kg."/>
                    <pic:cNvPicPr/>
                  </pic:nvPicPr>
                  <pic:blipFill>
                    <a:blip r:embed="rId38"/>
                    <a:stretch>
                      <a:fillRect/>
                    </a:stretch>
                  </pic:blipFill>
                  <pic:spPr>
                    <a:xfrm>
                      <a:off x="0" y="0"/>
                      <a:ext cx="5759450" cy="2503170"/>
                    </a:xfrm>
                    <a:prstGeom prst="rect">
                      <a:avLst/>
                    </a:prstGeom>
                  </pic:spPr>
                </pic:pic>
              </a:graphicData>
            </a:graphic>
          </wp:inline>
        </w:drawing>
      </w:r>
    </w:p>
    <w:p w14:paraId="77109658" w14:textId="6DC835F2" w:rsidR="005D50AD" w:rsidRPr="00BE1835" w:rsidRDefault="005D50AD" w:rsidP="00B1190B">
      <w:pPr>
        <w:pStyle w:val="FigureDescription"/>
      </w:pPr>
      <w:r w:rsidRPr="00BE1835">
        <w:t>Abbreviations: LSM = least</w:t>
      </w:r>
      <w:r w:rsidR="005E279A">
        <w:noBreakHyphen/>
      </w:r>
      <w:r w:rsidRPr="00BE1835">
        <w:t xml:space="preserve">squares means.; </w:t>
      </w:r>
      <w:r>
        <w:t xml:space="preserve">N = number of subjects; OAM = </w:t>
      </w:r>
      <w:r w:rsidR="00A82D0F">
        <w:t>oral antihyperglycaemic medication</w:t>
      </w:r>
      <w:r>
        <w:t>; SGLT</w:t>
      </w:r>
      <w:r w:rsidR="005E279A">
        <w:noBreakHyphen/>
      </w:r>
      <w:r>
        <w:t xml:space="preserve">2i = </w:t>
      </w:r>
      <w:r w:rsidR="00E14132">
        <w:t>s</w:t>
      </w:r>
      <w:r w:rsidR="00E14132" w:rsidRPr="007C64C2">
        <w:rPr>
          <w:szCs w:val="22"/>
        </w:rPr>
        <w:t>odium</w:t>
      </w:r>
      <w:r w:rsidR="005E279A">
        <w:rPr>
          <w:szCs w:val="22"/>
        </w:rPr>
        <w:noBreakHyphen/>
      </w:r>
      <w:r w:rsidR="00E14132" w:rsidRPr="007C64C2">
        <w:rPr>
          <w:szCs w:val="22"/>
        </w:rPr>
        <w:t>glucose co</w:t>
      </w:r>
      <w:r w:rsidR="005E279A">
        <w:rPr>
          <w:szCs w:val="22"/>
        </w:rPr>
        <w:noBreakHyphen/>
      </w:r>
      <w:r w:rsidR="00E14132" w:rsidRPr="007C64C2">
        <w:rPr>
          <w:szCs w:val="22"/>
        </w:rPr>
        <w:t>transporter 2</w:t>
      </w:r>
      <w:r w:rsidR="00E14132">
        <w:rPr>
          <w:szCs w:val="22"/>
        </w:rPr>
        <w:t xml:space="preserve"> inhibitor</w:t>
      </w:r>
      <w:r>
        <w:t xml:space="preserve">; SU = </w:t>
      </w:r>
      <w:r w:rsidR="00E14132">
        <w:t>sulfonylurea</w:t>
      </w:r>
      <w:r>
        <w:t>; TZP = tirzepatide</w:t>
      </w:r>
    </w:p>
    <w:p w14:paraId="1D6A2D9A" w14:textId="34CA7A8D" w:rsidR="001E661D" w:rsidRPr="001E661D" w:rsidRDefault="001E661D" w:rsidP="002E7BD8">
      <w:pPr>
        <w:pStyle w:val="Heading6"/>
      </w:pPr>
      <w:r w:rsidRPr="001E661D">
        <w:t>Study SURPASS</w:t>
      </w:r>
      <w:r w:rsidR="005E279A">
        <w:noBreakHyphen/>
      </w:r>
      <w:r w:rsidRPr="001E661D">
        <w:t>1 (GPGK) main findings</w:t>
      </w:r>
    </w:p>
    <w:p w14:paraId="0D643BB3" w14:textId="56CC53F4" w:rsidR="001E661D" w:rsidRPr="001E661D" w:rsidRDefault="001E661D" w:rsidP="001E661D">
      <w:r w:rsidRPr="001E661D">
        <w:t>The LSM differences in HbA1C (%) change from baseline to Week</w:t>
      </w:r>
      <w:r>
        <w:t> </w:t>
      </w:r>
      <w:r w:rsidRPr="001E661D">
        <w:t>40 compared to placebo were (treatment</w:t>
      </w:r>
      <w:r w:rsidR="005E279A">
        <w:noBreakHyphen/>
      </w:r>
      <w:r w:rsidRPr="001E661D">
        <w:t xml:space="preserve">regimen estimand [95% CI]): </w:t>
      </w:r>
      <w:r w:rsidR="00895C06">
        <w:t>−</w:t>
      </w:r>
      <w:r w:rsidRPr="001E661D">
        <w:t>1.66 [</w:t>
      </w:r>
      <w:r w:rsidR="00895C06">
        <w:t>−</w:t>
      </w:r>
      <w:r w:rsidRPr="001E661D">
        <w:t xml:space="preserve">1.96, </w:t>
      </w:r>
      <w:r w:rsidR="00895C06">
        <w:t>−</w:t>
      </w:r>
      <w:r w:rsidRPr="001E661D">
        <w:t>1.36] (</w:t>
      </w:r>
      <w:r w:rsidR="009F6F50">
        <w:t>5 mg</w:t>
      </w:r>
      <w:r w:rsidRPr="001E661D">
        <w:t xml:space="preserve">), </w:t>
      </w:r>
      <w:r w:rsidR="00895C06">
        <w:t>−</w:t>
      </w:r>
      <w:r w:rsidRPr="001E661D">
        <w:t>1.62 [</w:t>
      </w:r>
      <w:r w:rsidR="00895C06">
        <w:t>−</w:t>
      </w:r>
      <w:r w:rsidRPr="001E661D">
        <w:t xml:space="preserve">1.92, </w:t>
      </w:r>
      <w:r w:rsidR="00895C06">
        <w:t>−</w:t>
      </w:r>
      <w:r w:rsidRPr="001E661D">
        <w:t>1.32] (</w:t>
      </w:r>
      <w:r w:rsidR="009F6F50">
        <w:t>10 mg</w:t>
      </w:r>
      <w:r w:rsidRPr="001E661D">
        <w:t xml:space="preserve">), and </w:t>
      </w:r>
      <w:r w:rsidR="00895C06">
        <w:t>−</w:t>
      </w:r>
      <w:r w:rsidRPr="001E661D">
        <w:t>1.60 [</w:t>
      </w:r>
      <w:r w:rsidR="00895C06">
        <w:t>−</w:t>
      </w:r>
      <w:r w:rsidRPr="001E661D">
        <w:t xml:space="preserve">1.91, </w:t>
      </w:r>
      <w:r w:rsidR="00895C06">
        <w:t>−</w:t>
      </w:r>
      <w:r w:rsidRPr="001E661D">
        <w:t>1.30] (1</w:t>
      </w:r>
      <w:r w:rsidR="009F6F50">
        <w:t>5 mg</w:t>
      </w:r>
      <w:r w:rsidRPr="001E661D">
        <w:t>) (</w:t>
      </w:r>
      <w:r>
        <w:fldChar w:fldCharType="begin"/>
      </w:r>
      <w:r>
        <w:instrText xml:space="preserve"> REF _Ref144377141 \h </w:instrText>
      </w:r>
      <w:r>
        <w:fldChar w:fldCharType="separate"/>
      </w:r>
      <w:r w:rsidR="008465DD">
        <w:t xml:space="preserve">Table </w:t>
      </w:r>
      <w:r w:rsidR="008465DD">
        <w:rPr>
          <w:noProof/>
        </w:rPr>
        <w:t>8</w:t>
      </w:r>
      <w:r>
        <w:fldChar w:fldCharType="end"/>
      </w:r>
      <w:r w:rsidRPr="001E661D">
        <w:t>).</w:t>
      </w:r>
    </w:p>
    <w:p w14:paraId="5952F1D5" w14:textId="77BDA495" w:rsidR="001E661D" w:rsidRPr="001E661D" w:rsidRDefault="001E661D" w:rsidP="001E661D">
      <w:r w:rsidRPr="001E661D">
        <w:t>The LSM differences in body weight (kg) change from baseline to Week</w:t>
      </w:r>
      <w:r>
        <w:t> </w:t>
      </w:r>
      <w:r w:rsidRPr="001E661D">
        <w:t>40 compared to placebo were (treatment</w:t>
      </w:r>
      <w:r w:rsidR="005E279A">
        <w:noBreakHyphen/>
      </w:r>
      <w:r w:rsidRPr="001E661D">
        <w:t xml:space="preserve">regimen estimand [95% CI]): </w:t>
      </w:r>
      <w:r w:rsidR="00895C06">
        <w:t>−</w:t>
      </w:r>
      <w:r w:rsidRPr="001E661D">
        <w:t>5.3 [</w:t>
      </w:r>
      <w:r w:rsidR="00895C06">
        <w:t>−</w:t>
      </w:r>
      <w:r w:rsidRPr="001E661D">
        <w:t xml:space="preserve">6.8, </w:t>
      </w:r>
      <w:r w:rsidR="00895C06">
        <w:t>−</w:t>
      </w:r>
      <w:r w:rsidRPr="001E661D">
        <w:t>3.9] (</w:t>
      </w:r>
      <w:r w:rsidR="009F6F50">
        <w:t>5 mg</w:t>
      </w:r>
      <w:r w:rsidRPr="001E661D">
        <w:t xml:space="preserve">), </w:t>
      </w:r>
      <w:r w:rsidR="00895C06">
        <w:t>−</w:t>
      </w:r>
      <w:r w:rsidRPr="001E661D">
        <w:t>6.0 [</w:t>
      </w:r>
      <w:r w:rsidR="00895C06">
        <w:t>−</w:t>
      </w:r>
      <w:r w:rsidRPr="001E661D">
        <w:t xml:space="preserve">7.4, </w:t>
      </w:r>
      <w:r w:rsidR="00895C06">
        <w:t>−</w:t>
      </w:r>
      <w:r w:rsidRPr="001E661D">
        <w:t>4.6] (</w:t>
      </w:r>
      <w:r w:rsidR="009F6F50">
        <w:t>10 mg</w:t>
      </w:r>
      <w:r w:rsidRPr="001E661D">
        <w:t xml:space="preserve">), and </w:t>
      </w:r>
      <w:r w:rsidR="00895C06">
        <w:t>−</w:t>
      </w:r>
      <w:r w:rsidRPr="001E661D">
        <w:t>6.8 [</w:t>
      </w:r>
      <w:r w:rsidR="00895C06">
        <w:t>−</w:t>
      </w:r>
      <w:r w:rsidRPr="001E661D">
        <w:t xml:space="preserve">8.3, </w:t>
      </w:r>
      <w:r w:rsidR="00895C06">
        <w:t>−</w:t>
      </w:r>
      <w:r w:rsidRPr="001E661D">
        <w:t>5.4] (1</w:t>
      </w:r>
      <w:r w:rsidR="009F6F50">
        <w:t>5 mg</w:t>
      </w:r>
      <w:r w:rsidRPr="001E661D">
        <w:t>) (</w:t>
      </w:r>
      <w:r>
        <w:fldChar w:fldCharType="begin"/>
      </w:r>
      <w:r>
        <w:instrText xml:space="preserve"> REF _Ref144377141 \h </w:instrText>
      </w:r>
      <w:r>
        <w:fldChar w:fldCharType="separate"/>
      </w:r>
      <w:r w:rsidR="008465DD">
        <w:t xml:space="preserve">Table </w:t>
      </w:r>
      <w:r w:rsidR="008465DD">
        <w:rPr>
          <w:noProof/>
        </w:rPr>
        <w:t>8</w:t>
      </w:r>
      <w:r>
        <w:fldChar w:fldCharType="end"/>
      </w:r>
      <w:r w:rsidRPr="001E661D">
        <w:t>).</w:t>
      </w:r>
    </w:p>
    <w:p w14:paraId="5E144DDF" w14:textId="3BF0EE94" w:rsidR="001E661D" w:rsidRPr="001E661D" w:rsidRDefault="001E661D" w:rsidP="001E661D">
      <w:r w:rsidRPr="001E661D">
        <w:t>The glucose</w:t>
      </w:r>
      <w:r w:rsidR="005E279A">
        <w:noBreakHyphen/>
      </w:r>
      <w:r w:rsidRPr="001E661D">
        <w:t>lowering effect was consistent across the examined subgroups. The clinical relevance of the statistically significant treatment</w:t>
      </w:r>
      <w:r w:rsidR="005E279A">
        <w:noBreakHyphen/>
      </w:r>
      <w:r w:rsidRPr="001E661D">
        <w:t>by</w:t>
      </w:r>
      <w:r w:rsidR="005E279A">
        <w:noBreakHyphen/>
      </w:r>
      <w:r w:rsidRPr="001E661D">
        <w:t xml:space="preserve">subgroup differences observed for the </w:t>
      </w:r>
      <w:r w:rsidRPr="001E661D">
        <w:lastRenderedPageBreak/>
        <w:t>primary endpoint depending on age (</w:t>
      </w:r>
      <w:r w:rsidR="00B52095">
        <w:t xml:space="preserve">below </w:t>
      </w:r>
      <w:r w:rsidRPr="001E661D">
        <w:t>65</w:t>
      </w:r>
      <w:r w:rsidR="00B52095">
        <w:t> </w:t>
      </w:r>
      <w:r w:rsidRPr="001E661D">
        <w:t>years</w:t>
      </w:r>
      <w:r w:rsidR="00B52095">
        <w:t>;</w:t>
      </w:r>
      <w:r w:rsidRPr="001E661D">
        <w:t xml:space="preserve"> 65 years</w:t>
      </w:r>
      <w:r w:rsidR="00B52095">
        <w:t xml:space="preserve"> and older</w:t>
      </w:r>
      <w:r w:rsidRPr="001E661D">
        <w:t>), duration of T2DM (5 years</w:t>
      </w:r>
      <w:r w:rsidR="00B52095">
        <w:t xml:space="preserve"> or less;</w:t>
      </w:r>
      <w:r w:rsidRPr="001E661D">
        <w:t xml:space="preserve"> 5 to 10 years</w:t>
      </w:r>
      <w:r w:rsidR="00B52095">
        <w:t>; more than</w:t>
      </w:r>
      <w:r w:rsidRPr="001E661D">
        <w:t>10 years) appears to be negligible (no qualitative differences).</w:t>
      </w:r>
    </w:p>
    <w:p w14:paraId="4BFC4784" w14:textId="0FE589AF" w:rsidR="001E661D" w:rsidRPr="001E661D" w:rsidRDefault="001E661D" w:rsidP="001E661D">
      <w:r w:rsidRPr="001E661D">
        <w:t>The secondary endpoint results were generally consistent with the primary endpoint results. The responder rates (proportion of patients achieving a HbA1c</w:t>
      </w:r>
      <w:r w:rsidR="00B52095">
        <w:t xml:space="preserve"> less than </w:t>
      </w:r>
      <w:r w:rsidRPr="001E661D">
        <w:t xml:space="preserve">7.0%) were 81.8% (tirzepatide </w:t>
      </w:r>
      <w:r w:rsidR="009F6F50">
        <w:t>5 mg</w:t>
      </w:r>
      <w:r w:rsidRPr="001E661D">
        <w:t>), 84.5% (</w:t>
      </w:r>
      <w:r w:rsidR="009F6F50">
        <w:t>10 mg</w:t>
      </w:r>
      <w:r w:rsidRPr="001E661D">
        <w:t>), and 78.3% (1</w:t>
      </w:r>
      <w:r w:rsidR="009F6F50">
        <w:t>5 mg</w:t>
      </w:r>
      <w:r w:rsidRPr="001E661D">
        <w:t>) compared with 23.0% for placebo.</w:t>
      </w:r>
    </w:p>
    <w:p w14:paraId="28507530" w14:textId="24FD821A" w:rsidR="001E661D" w:rsidRPr="001E661D" w:rsidRDefault="00B52095" w:rsidP="001E661D">
      <w:r>
        <w:t>In SURPASS</w:t>
      </w:r>
      <w:r w:rsidR="005E279A">
        <w:noBreakHyphen/>
      </w:r>
      <w:r>
        <w:t xml:space="preserve">1, </w:t>
      </w:r>
      <w:r w:rsidR="001E661D" w:rsidRPr="001E661D">
        <w:t xml:space="preserve">30.9%, 26.8%, and 38.4% of patients in the </w:t>
      </w:r>
      <w:r w:rsidR="009F6F50">
        <w:t>5 mg</w:t>
      </w:r>
      <w:r w:rsidR="001E661D" w:rsidRPr="001E661D">
        <w:t xml:space="preserve">, </w:t>
      </w:r>
      <w:r w:rsidR="009F6F50">
        <w:t>10 mg</w:t>
      </w:r>
      <w:r w:rsidR="001E661D" w:rsidRPr="001E661D">
        <w:t xml:space="preserve"> and 1</w:t>
      </w:r>
      <w:r w:rsidR="009F6F50">
        <w:t>5 mg</w:t>
      </w:r>
      <w:r w:rsidR="001E661D" w:rsidRPr="001E661D">
        <w:t xml:space="preserve"> groups, respectively, reached normoglycemia (HbA1c </w:t>
      </w:r>
      <w:r>
        <w:t xml:space="preserve">less than </w:t>
      </w:r>
      <w:r w:rsidR="001E661D" w:rsidRPr="001E661D">
        <w:t>5.7%), compared to 1.4% for the placebo group.</w:t>
      </w:r>
    </w:p>
    <w:p w14:paraId="31AC6AEF" w14:textId="2C74ED39" w:rsidR="001E661D" w:rsidRPr="00B52095" w:rsidRDefault="001E661D" w:rsidP="002E7BD8">
      <w:pPr>
        <w:pStyle w:val="Heading6"/>
      </w:pPr>
      <w:r w:rsidRPr="00B52095">
        <w:t>Study SURPASS</w:t>
      </w:r>
      <w:r w:rsidR="005E279A">
        <w:noBreakHyphen/>
      </w:r>
      <w:r w:rsidRPr="00B52095">
        <w:t>2 (GPGL) main findings</w:t>
      </w:r>
    </w:p>
    <w:p w14:paraId="3E8F2B04" w14:textId="1CBD6C04" w:rsidR="001E661D" w:rsidRPr="001E661D" w:rsidRDefault="001E661D" w:rsidP="001E661D">
      <w:r w:rsidRPr="001E661D">
        <w:t>The LSM differences in HbA1</w:t>
      </w:r>
      <w:r w:rsidR="00B52095">
        <w:t>c</w:t>
      </w:r>
      <w:r w:rsidRPr="001E661D">
        <w:t xml:space="preserve"> (%) change from baseline to Week</w:t>
      </w:r>
      <w:r w:rsidR="00B52095">
        <w:t> </w:t>
      </w:r>
      <w:r w:rsidRPr="001E661D">
        <w:t xml:space="preserve">40 compared </w:t>
      </w:r>
      <w:r w:rsidRPr="00AA2F75">
        <w:t>to semaglutide 1</w:t>
      </w:r>
      <w:r w:rsidR="00B52095" w:rsidRPr="00AA2F75">
        <w:t> </w:t>
      </w:r>
      <w:r w:rsidRPr="00AA2F75">
        <w:t xml:space="preserve">mg </w:t>
      </w:r>
      <w:r w:rsidR="00B52095" w:rsidRPr="00AA2F75">
        <w:t>once weekly</w:t>
      </w:r>
      <w:r w:rsidRPr="00AA2F75">
        <w:t xml:space="preserve"> were (treatment</w:t>
      </w:r>
      <w:r w:rsidR="005E279A">
        <w:noBreakHyphen/>
      </w:r>
      <w:r w:rsidRPr="00AA2F75">
        <w:t xml:space="preserve">regimen estimand [95% CI]): </w:t>
      </w:r>
      <w:r w:rsidR="00895C06" w:rsidRPr="00AA2F75">
        <w:t>−</w:t>
      </w:r>
      <w:r w:rsidRPr="00AA2F75">
        <w:t>0.15 [</w:t>
      </w:r>
      <w:r w:rsidR="00895C06" w:rsidRPr="00AA2F75">
        <w:t>−</w:t>
      </w:r>
      <w:r w:rsidRPr="00AA2F75">
        <w:t xml:space="preserve">0.28, </w:t>
      </w:r>
      <w:r w:rsidR="00895C06" w:rsidRPr="00AA2F75">
        <w:t>−</w:t>
      </w:r>
      <w:r w:rsidRPr="00AA2F75">
        <w:t>0</w:t>
      </w:r>
      <w:r w:rsidRPr="001E661D">
        <w:t>.03] (</w:t>
      </w:r>
      <w:r w:rsidR="009F6F50">
        <w:t>5 mg</w:t>
      </w:r>
      <w:r w:rsidRPr="001E661D">
        <w:t xml:space="preserve">), </w:t>
      </w:r>
      <w:r w:rsidR="00895C06">
        <w:t>−</w:t>
      </w:r>
      <w:r w:rsidRPr="001E661D">
        <w:t>0.39 [</w:t>
      </w:r>
      <w:r w:rsidR="00895C06">
        <w:t>−</w:t>
      </w:r>
      <w:r w:rsidRPr="001E661D">
        <w:t xml:space="preserve">0.51, </w:t>
      </w:r>
      <w:r w:rsidR="00895C06">
        <w:t>−</w:t>
      </w:r>
      <w:r w:rsidRPr="001E661D">
        <w:t>0.26] (</w:t>
      </w:r>
      <w:r w:rsidR="009F6F50">
        <w:t>10 mg</w:t>
      </w:r>
      <w:r w:rsidRPr="001E661D">
        <w:t xml:space="preserve">), and </w:t>
      </w:r>
      <w:r w:rsidR="00895C06">
        <w:t>−</w:t>
      </w:r>
      <w:r w:rsidRPr="001E661D">
        <w:t>0.45 [</w:t>
      </w:r>
      <w:r w:rsidR="00895C06">
        <w:t>−</w:t>
      </w:r>
      <w:r w:rsidRPr="001E661D">
        <w:t xml:space="preserve">0.57, </w:t>
      </w:r>
      <w:r w:rsidR="00895C06">
        <w:t>−</w:t>
      </w:r>
      <w:r w:rsidRPr="001E661D">
        <w:t>0.32] (1</w:t>
      </w:r>
      <w:r w:rsidR="009F6F50">
        <w:t>5 mg</w:t>
      </w:r>
      <w:r w:rsidRPr="001E661D">
        <w:t>) (</w:t>
      </w:r>
      <w:r w:rsidR="00B52095">
        <w:fldChar w:fldCharType="begin"/>
      </w:r>
      <w:r w:rsidR="00B52095">
        <w:instrText xml:space="preserve"> REF _Ref144377141 \h </w:instrText>
      </w:r>
      <w:r w:rsidR="00B52095">
        <w:fldChar w:fldCharType="separate"/>
      </w:r>
      <w:r w:rsidR="008465DD">
        <w:t xml:space="preserve">Table </w:t>
      </w:r>
      <w:r w:rsidR="008465DD">
        <w:rPr>
          <w:noProof/>
        </w:rPr>
        <w:t>8</w:t>
      </w:r>
      <w:r w:rsidR="00B52095">
        <w:fldChar w:fldCharType="end"/>
      </w:r>
      <w:r w:rsidRPr="001E661D">
        <w:t>).</w:t>
      </w:r>
    </w:p>
    <w:p w14:paraId="15720A47" w14:textId="29E593CC" w:rsidR="001E661D" w:rsidRPr="001E661D" w:rsidRDefault="001E661D" w:rsidP="001E661D">
      <w:r w:rsidRPr="001E661D">
        <w:t>The LSM differences in body weight (kg) change from baseline to Week</w:t>
      </w:r>
      <w:r w:rsidR="00B52095">
        <w:t> </w:t>
      </w:r>
      <w:r w:rsidRPr="001E661D">
        <w:t>40 compared to semaglutide 1</w:t>
      </w:r>
      <w:r w:rsidR="00B52095">
        <w:t> </w:t>
      </w:r>
      <w:r w:rsidRPr="001E661D">
        <w:t xml:space="preserve">mg </w:t>
      </w:r>
      <w:r w:rsidR="00B52095">
        <w:t>once weekly</w:t>
      </w:r>
      <w:r w:rsidRPr="001E661D">
        <w:t xml:space="preserve"> were (treatment</w:t>
      </w:r>
      <w:r w:rsidR="005E279A">
        <w:noBreakHyphen/>
      </w:r>
      <w:r w:rsidRPr="001E661D">
        <w:t xml:space="preserve">regimen estimand [95% CI]): </w:t>
      </w:r>
      <w:r w:rsidR="00895C06">
        <w:t>−</w:t>
      </w:r>
      <w:r w:rsidRPr="001E661D">
        <w:t>1.9 [</w:t>
      </w:r>
      <w:r w:rsidR="00895C06">
        <w:t>−</w:t>
      </w:r>
      <w:r w:rsidRPr="001E661D">
        <w:t xml:space="preserve">2.8, </w:t>
      </w:r>
      <w:r w:rsidR="00895C06">
        <w:t>−</w:t>
      </w:r>
      <w:r w:rsidRPr="001E661D">
        <w:t>1.0] (</w:t>
      </w:r>
      <w:r w:rsidR="009F6F50">
        <w:t>5 mg</w:t>
      </w:r>
      <w:r w:rsidRPr="001E661D">
        <w:t xml:space="preserve">), </w:t>
      </w:r>
      <w:r w:rsidR="00895C06">
        <w:t>−</w:t>
      </w:r>
      <w:r w:rsidRPr="001E661D">
        <w:t>3.6 [</w:t>
      </w:r>
      <w:r w:rsidR="00895C06">
        <w:t>−</w:t>
      </w:r>
      <w:r w:rsidRPr="001E661D">
        <w:t xml:space="preserve">4.5, </w:t>
      </w:r>
      <w:r w:rsidR="00895C06">
        <w:t>−</w:t>
      </w:r>
      <w:r w:rsidRPr="001E661D">
        <w:t>2.7] (</w:t>
      </w:r>
      <w:r w:rsidR="009F6F50">
        <w:t>10 mg</w:t>
      </w:r>
      <w:r w:rsidRPr="001E661D">
        <w:t xml:space="preserve">), and </w:t>
      </w:r>
      <w:r w:rsidR="00895C06">
        <w:t>−</w:t>
      </w:r>
      <w:r w:rsidRPr="001E661D">
        <w:t>5.5 [</w:t>
      </w:r>
      <w:r w:rsidR="00895C06">
        <w:t>−</w:t>
      </w:r>
      <w:r w:rsidRPr="001E661D">
        <w:t xml:space="preserve">6.4, </w:t>
      </w:r>
      <w:r w:rsidR="00895C06">
        <w:t>−</w:t>
      </w:r>
      <w:r w:rsidRPr="001E661D">
        <w:t>4.6] (1</w:t>
      </w:r>
      <w:r w:rsidR="009F6F50">
        <w:t>5 mg</w:t>
      </w:r>
      <w:r w:rsidRPr="001E661D">
        <w:t>) (</w:t>
      </w:r>
      <w:r w:rsidR="00B52095">
        <w:fldChar w:fldCharType="begin"/>
      </w:r>
      <w:r w:rsidR="00B52095">
        <w:instrText xml:space="preserve"> REF _Ref144377141 \h </w:instrText>
      </w:r>
      <w:r w:rsidR="00B52095">
        <w:fldChar w:fldCharType="separate"/>
      </w:r>
      <w:r w:rsidR="008465DD">
        <w:t xml:space="preserve">Table </w:t>
      </w:r>
      <w:r w:rsidR="008465DD">
        <w:rPr>
          <w:noProof/>
        </w:rPr>
        <w:t>8</w:t>
      </w:r>
      <w:r w:rsidR="00B52095">
        <w:fldChar w:fldCharType="end"/>
      </w:r>
      <w:r w:rsidRPr="001E661D">
        <w:t>).</w:t>
      </w:r>
    </w:p>
    <w:p w14:paraId="530106C1" w14:textId="5034555B" w:rsidR="001E661D" w:rsidRPr="001E661D" w:rsidRDefault="001E661D" w:rsidP="001E661D">
      <w:r w:rsidRPr="001E661D">
        <w:t>The above results were statistically significant, but semaglutide doses greater than 1</w:t>
      </w:r>
      <w:r w:rsidR="00B52095">
        <w:t> </w:t>
      </w:r>
      <w:r w:rsidRPr="001E661D">
        <w:t xml:space="preserve">mg </w:t>
      </w:r>
      <w:r w:rsidR="00B52095">
        <w:t>once weekly</w:t>
      </w:r>
      <w:r w:rsidRPr="001E661D">
        <w:t xml:space="preserve"> were not tested.</w:t>
      </w:r>
    </w:p>
    <w:p w14:paraId="696D0675" w14:textId="63FBDC96" w:rsidR="001E661D" w:rsidRPr="001E661D" w:rsidRDefault="001E661D" w:rsidP="001E661D">
      <w:r w:rsidRPr="001E661D">
        <w:t xml:space="preserve">The responder rate (proportion of patients achieving HbA1c </w:t>
      </w:r>
      <w:r w:rsidR="00B52095">
        <w:t xml:space="preserve">less than </w:t>
      </w:r>
      <w:r w:rsidRPr="001E661D">
        <w:t>7.0%) was 82.0% [</w:t>
      </w:r>
      <w:r w:rsidR="009F6F50">
        <w:t>5 mg</w:t>
      </w:r>
      <w:r w:rsidRPr="001E661D">
        <w:t>] [no statistically significant difference to semaglutide], 85.6% [</w:t>
      </w:r>
      <w:r w:rsidR="009F6F50">
        <w:t>10 mg</w:t>
      </w:r>
      <w:r w:rsidRPr="001E661D">
        <w:t>], and 86.2 [1</w:t>
      </w:r>
      <w:r w:rsidR="009F6F50">
        <w:t>5 mg</w:t>
      </w:r>
      <w:r w:rsidRPr="001E661D">
        <w:t xml:space="preserve">] </w:t>
      </w:r>
      <w:r w:rsidR="00B52095" w:rsidRPr="00A76457">
        <w:t xml:space="preserve">compared to </w:t>
      </w:r>
      <w:r w:rsidRPr="00A76457">
        <w:t>79.0% for semaglutide 1</w:t>
      </w:r>
      <w:r w:rsidR="00B52095" w:rsidRPr="00A76457">
        <w:t> </w:t>
      </w:r>
      <w:r w:rsidRPr="00A76457">
        <w:t xml:space="preserve">mg </w:t>
      </w:r>
      <w:r w:rsidR="00B52095" w:rsidRPr="00A76457">
        <w:t>once weekly</w:t>
      </w:r>
      <w:r w:rsidRPr="00A76457">
        <w:t>.</w:t>
      </w:r>
    </w:p>
    <w:p w14:paraId="169DA95F" w14:textId="6763B161" w:rsidR="001E661D" w:rsidRPr="001E661D" w:rsidRDefault="00B52095" w:rsidP="001E661D">
      <w:r>
        <w:t>In SURPASS</w:t>
      </w:r>
      <w:r w:rsidR="005E279A">
        <w:noBreakHyphen/>
      </w:r>
      <w:r>
        <w:t xml:space="preserve">2, </w:t>
      </w:r>
      <w:r w:rsidR="001E661D" w:rsidRPr="001E661D">
        <w:t xml:space="preserve">27.1%, 39.8%, and 45.7% of patients in the </w:t>
      </w:r>
      <w:r w:rsidR="009F6F50">
        <w:t>5 mg</w:t>
      </w:r>
      <w:r w:rsidR="001E661D" w:rsidRPr="001E661D">
        <w:t xml:space="preserve">, </w:t>
      </w:r>
      <w:r w:rsidR="009F6F50">
        <w:t>10 mg</w:t>
      </w:r>
      <w:r w:rsidR="001E661D" w:rsidRPr="001E661D">
        <w:t xml:space="preserve"> and 1</w:t>
      </w:r>
      <w:r w:rsidR="009F6F50">
        <w:t>5 mg</w:t>
      </w:r>
      <w:r w:rsidR="001E661D" w:rsidRPr="001E661D">
        <w:t xml:space="preserve"> groups, respectively, reached normoglycemia (HbA1c </w:t>
      </w:r>
      <w:r>
        <w:t xml:space="preserve">less than </w:t>
      </w:r>
      <w:r w:rsidR="001E661D" w:rsidRPr="001E661D">
        <w:t>5.7%), compared to 18.9% for the semaglutide 1</w:t>
      </w:r>
      <w:r>
        <w:t> </w:t>
      </w:r>
      <w:r w:rsidR="001E661D" w:rsidRPr="001E661D">
        <w:t xml:space="preserve">mg </w:t>
      </w:r>
      <w:r>
        <w:t>once weekly</w:t>
      </w:r>
      <w:r w:rsidR="001E661D" w:rsidRPr="001E661D">
        <w:t xml:space="preserve"> group.</w:t>
      </w:r>
    </w:p>
    <w:p w14:paraId="39776672" w14:textId="7698BFE2" w:rsidR="001E661D" w:rsidRPr="001E661D" w:rsidRDefault="001E661D" w:rsidP="001E661D">
      <w:r w:rsidRPr="001E661D">
        <w:t>Moreover, tirzepatide</w:t>
      </w:r>
      <w:r w:rsidR="005E279A">
        <w:noBreakHyphen/>
      </w:r>
      <w:r w:rsidRPr="001E661D">
        <w:t xml:space="preserve">treated patients appeared to reach glycaemic targets, HbA1c reductions or weight reductions earlier than patients treated </w:t>
      </w:r>
      <w:r w:rsidR="00B52095">
        <w:t xml:space="preserve">with </w:t>
      </w:r>
      <w:r w:rsidRPr="001E661D">
        <w:t>semaglutide 1</w:t>
      </w:r>
      <w:r w:rsidR="00B52095">
        <w:t> </w:t>
      </w:r>
      <w:r w:rsidRPr="001E661D">
        <w:t xml:space="preserve">mg </w:t>
      </w:r>
      <w:r w:rsidR="00B52095">
        <w:t>once weekly</w:t>
      </w:r>
      <w:r w:rsidRPr="001E661D">
        <w:t>.</w:t>
      </w:r>
    </w:p>
    <w:p w14:paraId="34A20173" w14:textId="5D0645A6" w:rsidR="001E661D" w:rsidRDefault="001E661D" w:rsidP="001E661D">
      <w:r w:rsidRPr="001E661D">
        <w:t>The glucose</w:t>
      </w:r>
      <w:r w:rsidR="005E279A">
        <w:noBreakHyphen/>
      </w:r>
      <w:r w:rsidRPr="001E661D">
        <w:t>lowering activity was generally consistent across subgroups. The results stratified by race are inconclusive due to the low number of Black or Asian participants.</w:t>
      </w:r>
    </w:p>
    <w:p w14:paraId="461E710B" w14:textId="54AAD795" w:rsidR="001E661D" w:rsidRPr="001E661D" w:rsidRDefault="001E661D" w:rsidP="002E7BD8">
      <w:pPr>
        <w:pStyle w:val="Heading6"/>
      </w:pPr>
      <w:r w:rsidRPr="001E661D">
        <w:t>Study SURPASS</w:t>
      </w:r>
      <w:r w:rsidR="005E279A">
        <w:noBreakHyphen/>
      </w:r>
      <w:r w:rsidRPr="001E661D">
        <w:t>3 (GPGH) main findings</w:t>
      </w:r>
    </w:p>
    <w:p w14:paraId="18E38BCA" w14:textId="391D46A5" w:rsidR="001E661D" w:rsidRPr="001E661D" w:rsidRDefault="001E661D" w:rsidP="001E661D">
      <w:r w:rsidRPr="001E661D">
        <w:t>The LSM differences in HbA1C (%) change from baseline to Week</w:t>
      </w:r>
      <w:r w:rsidR="002138C0">
        <w:t> </w:t>
      </w:r>
      <w:r w:rsidRPr="001E661D">
        <w:t>52 compared to insulin degludec were (treatment</w:t>
      </w:r>
      <w:r w:rsidR="005E279A">
        <w:noBreakHyphen/>
      </w:r>
      <w:r w:rsidRPr="001E661D">
        <w:t xml:space="preserve">regimen estimand [95% CI]): </w:t>
      </w:r>
      <w:r w:rsidR="00895C06">
        <w:t>−</w:t>
      </w:r>
      <w:r w:rsidRPr="001E661D">
        <w:t>0.60 [</w:t>
      </w:r>
      <w:r w:rsidR="00895C06">
        <w:t>−</w:t>
      </w:r>
      <w:r w:rsidRPr="001E661D">
        <w:t xml:space="preserve">0.74, </w:t>
      </w:r>
      <w:r w:rsidR="00895C06">
        <w:t>−</w:t>
      </w:r>
      <w:r w:rsidRPr="001E661D">
        <w:t>0.45] (</w:t>
      </w:r>
      <w:r w:rsidR="009F6F50">
        <w:t>5 mg</w:t>
      </w:r>
      <w:r w:rsidRPr="001E661D">
        <w:t xml:space="preserve">), </w:t>
      </w:r>
      <w:r w:rsidR="00895C06">
        <w:t>−</w:t>
      </w:r>
      <w:r w:rsidRPr="001E661D">
        <w:t>0.76 [</w:t>
      </w:r>
      <w:r w:rsidR="00895C06">
        <w:t>−</w:t>
      </w:r>
      <w:r w:rsidRPr="001E661D">
        <w:t xml:space="preserve">0.90, </w:t>
      </w:r>
      <w:r w:rsidR="00895C06">
        <w:t>−</w:t>
      </w:r>
      <w:r w:rsidRPr="001E661D">
        <w:t>0.61] (</w:t>
      </w:r>
      <w:r w:rsidR="009F6F50">
        <w:t>10 mg</w:t>
      </w:r>
      <w:r w:rsidRPr="001E661D">
        <w:t xml:space="preserve">), and </w:t>
      </w:r>
      <w:r w:rsidR="00895C06">
        <w:t>−</w:t>
      </w:r>
      <w:r w:rsidRPr="001E661D">
        <w:t>0.89 [</w:t>
      </w:r>
      <w:r w:rsidR="00895C06">
        <w:t>−</w:t>
      </w:r>
      <w:r w:rsidRPr="001E661D">
        <w:t xml:space="preserve">1.03, </w:t>
      </w:r>
      <w:r w:rsidR="00895C06">
        <w:t>−</w:t>
      </w:r>
      <w:r w:rsidRPr="001E661D">
        <w:t>0.74] (1</w:t>
      </w:r>
      <w:r w:rsidR="009F6F50">
        <w:t>5 mg</w:t>
      </w:r>
      <w:r w:rsidRPr="001E661D">
        <w:t>) (</w:t>
      </w:r>
      <w:r w:rsidR="002138C0">
        <w:fldChar w:fldCharType="begin"/>
      </w:r>
      <w:r w:rsidR="002138C0">
        <w:instrText xml:space="preserve"> REF _Ref144377141 \h </w:instrText>
      </w:r>
      <w:r w:rsidR="002138C0">
        <w:fldChar w:fldCharType="separate"/>
      </w:r>
      <w:r w:rsidR="008465DD">
        <w:t xml:space="preserve">Table </w:t>
      </w:r>
      <w:r w:rsidR="008465DD">
        <w:rPr>
          <w:noProof/>
        </w:rPr>
        <w:t>8</w:t>
      </w:r>
      <w:r w:rsidR="002138C0">
        <w:fldChar w:fldCharType="end"/>
      </w:r>
      <w:r w:rsidRPr="001E661D">
        <w:t>).</w:t>
      </w:r>
    </w:p>
    <w:p w14:paraId="6C768139" w14:textId="332C07C7" w:rsidR="001E661D" w:rsidRPr="001E661D" w:rsidRDefault="001E661D" w:rsidP="001E661D">
      <w:r w:rsidRPr="001E661D">
        <w:t>The LSM differences in body weight (kg) change from baseline to Week</w:t>
      </w:r>
      <w:r w:rsidR="002138C0">
        <w:t> </w:t>
      </w:r>
      <w:r w:rsidRPr="001E661D">
        <w:t>52 compared to insulin degludec were (treatment</w:t>
      </w:r>
      <w:r w:rsidR="005E279A">
        <w:noBreakHyphen/>
      </w:r>
      <w:r w:rsidRPr="001E661D">
        <w:t xml:space="preserve">regimen estimand [95% CI]): </w:t>
      </w:r>
      <w:r w:rsidR="00895C06">
        <w:t>−</w:t>
      </w:r>
      <w:r w:rsidRPr="001E661D">
        <w:t>8.9 [</w:t>
      </w:r>
      <w:r w:rsidR="00895C06">
        <w:t>−</w:t>
      </w:r>
      <w:r w:rsidRPr="001E661D">
        <w:t xml:space="preserve">10.0, </w:t>
      </w:r>
      <w:r w:rsidR="00895C06">
        <w:t>−</w:t>
      </w:r>
      <w:r w:rsidRPr="001E661D">
        <w:t>7.8] (</w:t>
      </w:r>
      <w:r w:rsidR="009F6F50">
        <w:t>5 mg</w:t>
      </w:r>
      <w:r w:rsidRPr="001E661D">
        <w:t xml:space="preserve">), </w:t>
      </w:r>
      <w:r w:rsidR="00895C06">
        <w:t>−</w:t>
      </w:r>
      <w:r w:rsidRPr="001E661D">
        <w:t>11.5 [</w:t>
      </w:r>
      <w:r w:rsidR="00895C06">
        <w:t>−</w:t>
      </w:r>
      <w:r w:rsidRPr="001E661D">
        <w:t xml:space="preserve">12.6, </w:t>
      </w:r>
      <w:r w:rsidR="00895C06">
        <w:t>−</w:t>
      </w:r>
      <w:r w:rsidRPr="001E661D">
        <w:t>10.4] (</w:t>
      </w:r>
      <w:r w:rsidR="009F6F50">
        <w:t>10 mg</w:t>
      </w:r>
      <w:r w:rsidRPr="001E661D">
        <w:t xml:space="preserve">), and </w:t>
      </w:r>
      <w:r w:rsidR="00895C06">
        <w:t>−</w:t>
      </w:r>
      <w:r w:rsidRPr="001E661D">
        <w:t>13.2 [</w:t>
      </w:r>
      <w:r w:rsidR="00895C06">
        <w:t>−</w:t>
      </w:r>
      <w:r w:rsidRPr="001E661D">
        <w:t xml:space="preserve">14.3, </w:t>
      </w:r>
      <w:r w:rsidR="00895C06">
        <w:t>−</w:t>
      </w:r>
      <w:r w:rsidRPr="001E661D">
        <w:t>12.1] (1</w:t>
      </w:r>
      <w:r w:rsidR="009F6F50">
        <w:t>5 mg</w:t>
      </w:r>
      <w:r w:rsidRPr="001E661D">
        <w:t>) (</w:t>
      </w:r>
      <w:r w:rsidR="002138C0">
        <w:fldChar w:fldCharType="begin"/>
      </w:r>
      <w:r w:rsidR="002138C0">
        <w:instrText xml:space="preserve"> REF _Ref144377141 \h </w:instrText>
      </w:r>
      <w:r w:rsidR="002138C0">
        <w:fldChar w:fldCharType="separate"/>
      </w:r>
      <w:r w:rsidR="008465DD">
        <w:t xml:space="preserve">Table </w:t>
      </w:r>
      <w:r w:rsidR="008465DD">
        <w:rPr>
          <w:noProof/>
        </w:rPr>
        <w:t>8</w:t>
      </w:r>
      <w:r w:rsidR="002138C0">
        <w:fldChar w:fldCharType="end"/>
      </w:r>
      <w:r w:rsidR="00BD38E7">
        <w:t xml:space="preserve"> and </w:t>
      </w:r>
      <w:r w:rsidR="00BD38E7">
        <w:fldChar w:fldCharType="begin"/>
      </w:r>
      <w:r w:rsidR="00BD38E7">
        <w:instrText xml:space="preserve"> REF _Ref144382751 \h </w:instrText>
      </w:r>
      <w:r w:rsidR="00BD38E7">
        <w:fldChar w:fldCharType="separate"/>
      </w:r>
      <w:r w:rsidR="008465DD">
        <w:t xml:space="preserve">Table </w:t>
      </w:r>
      <w:r w:rsidR="008465DD">
        <w:rPr>
          <w:noProof/>
        </w:rPr>
        <w:t>9</w:t>
      </w:r>
      <w:r w:rsidR="00BD38E7">
        <w:fldChar w:fldCharType="end"/>
      </w:r>
      <w:r w:rsidRPr="001E661D">
        <w:t>).</w:t>
      </w:r>
    </w:p>
    <w:p w14:paraId="1948546E" w14:textId="03D4EBCC" w:rsidR="001E661D" w:rsidRPr="001E661D" w:rsidRDefault="001E661D" w:rsidP="001E661D">
      <w:r w:rsidRPr="001E661D">
        <w:t>The results were statistically significant. The weight loss from baseline was slightly lower than the comparison to insulin degludec, as the patients in the insulin group experienced a slight weight gain (</w:t>
      </w:r>
      <w:r w:rsidR="00BD38E7">
        <w:fldChar w:fldCharType="begin"/>
      </w:r>
      <w:r w:rsidR="00BD38E7">
        <w:instrText xml:space="preserve"> REF _Ref144382751 \h </w:instrText>
      </w:r>
      <w:r w:rsidR="00BD38E7">
        <w:fldChar w:fldCharType="separate"/>
      </w:r>
      <w:r w:rsidR="008465DD">
        <w:t xml:space="preserve">Table </w:t>
      </w:r>
      <w:r w:rsidR="008465DD">
        <w:rPr>
          <w:noProof/>
        </w:rPr>
        <w:t>9</w:t>
      </w:r>
      <w:r w:rsidR="00BD38E7">
        <w:fldChar w:fldCharType="end"/>
      </w:r>
      <w:r w:rsidRPr="001E661D">
        <w:t>).</w:t>
      </w:r>
    </w:p>
    <w:p w14:paraId="03946965" w14:textId="32EBB229" w:rsidR="00BD38E7" w:rsidRDefault="00BD38E7" w:rsidP="00BD38E7">
      <w:pPr>
        <w:pStyle w:val="TableTitle"/>
      </w:pPr>
      <w:bookmarkStart w:id="64" w:name="_Ref144382751"/>
      <w:r>
        <w:lastRenderedPageBreak/>
        <w:t xml:space="preserve">Table </w:t>
      </w:r>
      <w:r w:rsidR="002B0E47">
        <w:fldChar w:fldCharType="begin"/>
      </w:r>
      <w:r w:rsidR="002B0E47">
        <w:instrText xml:space="preserve"> SEQ Table \* ARABIC </w:instrText>
      </w:r>
      <w:r w:rsidR="002B0E47">
        <w:fldChar w:fldCharType="separate"/>
      </w:r>
      <w:r w:rsidR="008465DD">
        <w:rPr>
          <w:noProof/>
        </w:rPr>
        <w:t>9</w:t>
      </w:r>
      <w:r w:rsidR="002B0E47">
        <w:rPr>
          <w:noProof/>
        </w:rPr>
        <w:fldChar w:fldCharType="end"/>
      </w:r>
      <w:bookmarkEnd w:id="64"/>
      <w:r>
        <w:t>: Study SURPASS</w:t>
      </w:r>
      <w:r w:rsidR="005E279A">
        <w:noBreakHyphen/>
      </w:r>
      <w:r>
        <w:t>3 (GPGH) Summary of body weight change from baseline to Week</w:t>
      </w:r>
      <w:r w:rsidR="004F0DDA">
        <w:t> </w:t>
      </w:r>
      <w:r>
        <w:t>52 by treatment group (treatment</w:t>
      </w:r>
      <w:r w:rsidR="005E279A">
        <w:noBreakHyphen/>
      </w:r>
      <w:r>
        <w:t>regimen estimand)</w:t>
      </w:r>
    </w:p>
    <w:p w14:paraId="58E97370" w14:textId="5F66A50C" w:rsidR="001E661D" w:rsidRDefault="002138C0" w:rsidP="00446B25">
      <w:r>
        <w:rPr>
          <w:noProof/>
        </w:rPr>
        <w:drawing>
          <wp:inline distT="0" distB="0" distL="0" distR="0" wp14:anchorId="7FD6953F" wp14:editId="70365924">
            <wp:extent cx="5641340" cy="1602890"/>
            <wp:effectExtent l="0" t="0" r="0" b="0"/>
            <wp:docPr id="24" name="Picture 24" descr="SURPASS-3 summary of body weight changes: baseline to week 52 (in kg), and difference from insulin deglu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URPASS-3 summary of body weight changes: baseline to week 52 (in kg), and difference from insulin degludec."/>
                    <pic:cNvPicPr/>
                  </pic:nvPicPr>
                  <pic:blipFill>
                    <a:blip r:embed="rId39"/>
                    <a:stretch>
                      <a:fillRect/>
                    </a:stretch>
                  </pic:blipFill>
                  <pic:spPr>
                    <a:xfrm>
                      <a:off x="0" y="0"/>
                      <a:ext cx="5651266" cy="1605710"/>
                    </a:xfrm>
                    <a:prstGeom prst="rect">
                      <a:avLst/>
                    </a:prstGeom>
                  </pic:spPr>
                </pic:pic>
              </a:graphicData>
            </a:graphic>
          </wp:inline>
        </w:drawing>
      </w:r>
    </w:p>
    <w:p w14:paraId="10943482" w14:textId="4AD17790" w:rsidR="002138C0" w:rsidRPr="00BD38E7" w:rsidRDefault="002138C0" w:rsidP="00BD38E7">
      <w:pPr>
        <w:pStyle w:val="TableDescription"/>
      </w:pPr>
      <w:r w:rsidRPr="00BD38E7">
        <w:t>Abbreviations: ANCOVA = analysis of covariance; ANOVA = analysis of variance; CI = confidence interval;</w:t>
      </w:r>
      <w:r w:rsidR="00BD38E7" w:rsidRPr="00BD38E7">
        <w:t xml:space="preserve"> </w:t>
      </w:r>
      <w:r w:rsidRPr="00BD38E7">
        <w:t>N = number of patients in the efficacy analysis set and full analysis set; N/A = not applicable; TZP = tirzepatide.</w:t>
      </w:r>
    </w:p>
    <w:p w14:paraId="7AE2AD3A" w14:textId="171E94BB" w:rsidR="002138C0" w:rsidRPr="00BD38E7" w:rsidRDefault="002138C0" w:rsidP="00BD38E7">
      <w:pPr>
        <w:pStyle w:val="TableDescription"/>
      </w:pPr>
      <w:proofErr w:type="spellStart"/>
      <w:r w:rsidRPr="00BD38E7">
        <w:t>a</w:t>
      </w:r>
      <w:proofErr w:type="spellEnd"/>
      <w:r w:rsidRPr="00BD38E7">
        <w:t xml:space="preserve"> Shown are the least</w:t>
      </w:r>
      <w:r w:rsidR="005E279A">
        <w:noBreakHyphen/>
      </w:r>
      <w:r w:rsidRPr="00BD38E7">
        <w:t>squares means; ANCOVA with multiple imputation of missing data at the primary endpoint visit using retrieved dropouts; ANOVA used at baseline.</w:t>
      </w:r>
    </w:p>
    <w:p w14:paraId="5BE59B99" w14:textId="0B3C8881" w:rsidR="002138C0" w:rsidRPr="00BD38E7" w:rsidRDefault="00A76457" w:rsidP="00BD38E7">
      <w:pPr>
        <w:pStyle w:val="TableDescription"/>
      </w:pPr>
      <w:r>
        <w:t>***</w:t>
      </w:r>
      <w:r w:rsidR="00CB6D49">
        <w:t xml:space="preserve"> </w:t>
      </w:r>
      <w:r w:rsidR="002138C0" w:rsidRPr="00BD38E7">
        <w:t>p</w:t>
      </w:r>
      <w:r w:rsidR="005E279A">
        <w:noBreakHyphen/>
      </w:r>
      <w:r w:rsidR="002138C0" w:rsidRPr="00BD38E7">
        <w:t>Value &lt;0.001 versus insulin degludec under graphical testing procedure.</w:t>
      </w:r>
    </w:p>
    <w:p w14:paraId="52185EE2" w14:textId="2C4D63AD" w:rsidR="002138C0" w:rsidRPr="00BD38E7" w:rsidRDefault="00A76457" w:rsidP="00BD38E7">
      <w:pPr>
        <w:pStyle w:val="TableDescription"/>
      </w:pPr>
      <w:r w:rsidRPr="00A76457">
        <w:t xml:space="preserve">††† </w:t>
      </w:r>
      <w:r w:rsidR="002138C0" w:rsidRPr="00A76457">
        <w:t>p</w:t>
      </w:r>
      <w:r w:rsidR="005E279A">
        <w:noBreakHyphen/>
      </w:r>
      <w:r w:rsidR="002138C0" w:rsidRPr="00A76457">
        <w:t>Value &lt;0.001 versus baseline.</w:t>
      </w:r>
    </w:p>
    <w:p w14:paraId="1E54444D" w14:textId="6B86F63F" w:rsidR="000E6D1A" w:rsidRPr="000E6D1A" w:rsidRDefault="000E6D1A" w:rsidP="000E6D1A">
      <w:r w:rsidRPr="000E6D1A">
        <w:t xml:space="preserve">The responder rate (proportion of patients achieving HbA1c </w:t>
      </w:r>
      <w:r>
        <w:t xml:space="preserve">less than </w:t>
      </w:r>
      <w:r w:rsidRPr="000E6D1A">
        <w:t xml:space="preserve">7.0%) was 79.2% (tirzepatide </w:t>
      </w:r>
      <w:r w:rsidR="009F6F50">
        <w:t>5 mg</w:t>
      </w:r>
      <w:r w:rsidRPr="000E6D1A">
        <w:t>), 81.5% (</w:t>
      </w:r>
      <w:r w:rsidR="009F6F50">
        <w:t>10 mg</w:t>
      </w:r>
      <w:r w:rsidRPr="000E6D1A">
        <w:t>), and 83.5% (1</w:t>
      </w:r>
      <w:r w:rsidR="009F6F50">
        <w:t>5 mg</w:t>
      </w:r>
      <w:r w:rsidRPr="000E6D1A">
        <w:t>) compared to 58.0% in the insulin degludec group.</w:t>
      </w:r>
    </w:p>
    <w:p w14:paraId="21CCF6B2" w14:textId="2FF5C122" w:rsidR="000E6D1A" w:rsidRPr="000E6D1A" w:rsidRDefault="000E6D1A" w:rsidP="000E6D1A">
      <w:r>
        <w:t>In SURPASS</w:t>
      </w:r>
      <w:r w:rsidR="005E279A">
        <w:noBreakHyphen/>
      </w:r>
      <w:r>
        <w:t xml:space="preserve">3, </w:t>
      </w:r>
      <w:r w:rsidRPr="000E6D1A">
        <w:t xml:space="preserve">23.6%, 33.9%, and 40.7% of patients in the </w:t>
      </w:r>
      <w:r w:rsidR="009F6F50">
        <w:t>5 mg</w:t>
      </w:r>
      <w:r w:rsidRPr="000E6D1A">
        <w:t xml:space="preserve">, </w:t>
      </w:r>
      <w:r w:rsidR="009F6F50">
        <w:t>10 mg</w:t>
      </w:r>
      <w:r w:rsidRPr="000E6D1A">
        <w:t xml:space="preserve"> and 1</w:t>
      </w:r>
      <w:r w:rsidR="009F6F50">
        <w:t>5 mg</w:t>
      </w:r>
      <w:r w:rsidRPr="000E6D1A">
        <w:t xml:space="preserve"> groups, respectively, reached normoglycemia (HbA1c </w:t>
      </w:r>
      <w:r>
        <w:t xml:space="preserve">less than </w:t>
      </w:r>
      <w:r w:rsidRPr="000E6D1A">
        <w:t>5.7%), compared to 5.1% for the insulin degludec group.</w:t>
      </w:r>
    </w:p>
    <w:p w14:paraId="4F20D165" w14:textId="01FF14AA" w:rsidR="000E6D1A" w:rsidRPr="000E6D1A" w:rsidRDefault="000E6D1A" w:rsidP="000E6D1A">
      <w:r w:rsidRPr="000E6D1A">
        <w:t>The glucose</w:t>
      </w:r>
      <w:r w:rsidR="005E279A">
        <w:noBreakHyphen/>
      </w:r>
      <w:r w:rsidRPr="000E6D1A">
        <w:t>lowering activity was generally consistent across subgroups, but the results suggest a gradual decrease in efficacy most prominent for patients aged 75 years</w:t>
      </w:r>
      <w:r>
        <w:t xml:space="preserve"> and older</w:t>
      </w:r>
      <w:r w:rsidRPr="000E6D1A">
        <w:t>, but the number of participants was too low for a definite conclusion.</w:t>
      </w:r>
    </w:p>
    <w:p w14:paraId="390DFB84" w14:textId="31C87308" w:rsidR="000E6D1A" w:rsidRPr="000E6D1A" w:rsidRDefault="000E6D1A" w:rsidP="002E7BD8">
      <w:pPr>
        <w:pStyle w:val="Heading6"/>
      </w:pPr>
      <w:r w:rsidRPr="000E6D1A">
        <w:t>Study SURPASS</w:t>
      </w:r>
      <w:r w:rsidR="005E279A">
        <w:noBreakHyphen/>
      </w:r>
      <w:r w:rsidRPr="000E6D1A">
        <w:t>4 (GPGM) main findings</w:t>
      </w:r>
    </w:p>
    <w:p w14:paraId="6876B90A" w14:textId="71F1D95D" w:rsidR="000E6D1A" w:rsidRPr="000E6D1A" w:rsidRDefault="000E6D1A" w:rsidP="000E6D1A">
      <w:r w:rsidRPr="000E6D1A">
        <w:t>The LSM differences in HbA1</w:t>
      </w:r>
      <w:r>
        <w:t>c</w:t>
      </w:r>
      <w:r w:rsidRPr="000E6D1A">
        <w:t xml:space="preserve"> (%) change from baseline to Week</w:t>
      </w:r>
      <w:r>
        <w:t> </w:t>
      </w:r>
      <w:r w:rsidRPr="000E6D1A">
        <w:t>52 compared to insulin glargine were (treatment</w:t>
      </w:r>
      <w:r w:rsidR="005E279A">
        <w:noBreakHyphen/>
      </w:r>
      <w:r w:rsidRPr="000E6D1A">
        <w:t xml:space="preserve">regimen estimand [95% CI]): </w:t>
      </w:r>
      <w:r w:rsidR="00895C06">
        <w:t>−</w:t>
      </w:r>
      <w:r w:rsidRPr="000E6D1A">
        <w:t>0.72 [</w:t>
      </w:r>
      <w:r w:rsidR="00895C06">
        <w:t>−</w:t>
      </w:r>
      <w:r w:rsidRPr="000E6D1A">
        <w:t xml:space="preserve">0.86, </w:t>
      </w:r>
      <w:r w:rsidR="00895C06">
        <w:t>−</w:t>
      </w:r>
      <w:r w:rsidRPr="000E6D1A">
        <w:t>0.58] (</w:t>
      </w:r>
      <w:r w:rsidR="009F6F50">
        <w:t>5 mg</w:t>
      </w:r>
      <w:r w:rsidRPr="000E6D1A">
        <w:t xml:space="preserve">), </w:t>
      </w:r>
      <w:r w:rsidR="00895C06">
        <w:t>−</w:t>
      </w:r>
      <w:r w:rsidRPr="000E6D1A">
        <w:t>0.91 [</w:t>
      </w:r>
      <w:r w:rsidR="00895C06">
        <w:t>−</w:t>
      </w:r>
      <w:r w:rsidRPr="000E6D1A">
        <w:t xml:space="preserve">1.05, </w:t>
      </w:r>
      <w:r w:rsidR="00895C06">
        <w:t>−</w:t>
      </w:r>
      <w:r w:rsidRPr="000E6D1A">
        <w:t>0.77] (</w:t>
      </w:r>
      <w:r w:rsidR="009F6F50">
        <w:t>10 mg</w:t>
      </w:r>
      <w:r w:rsidRPr="000E6D1A">
        <w:t xml:space="preserve">), and </w:t>
      </w:r>
      <w:r w:rsidR="00895C06">
        <w:t>−</w:t>
      </w:r>
      <w:r w:rsidRPr="000E6D1A">
        <w:t>1.02 [</w:t>
      </w:r>
      <w:r w:rsidR="00895C06">
        <w:t>−</w:t>
      </w:r>
      <w:r w:rsidRPr="000E6D1A">
        <w:t xml:space="preserve">1.15, </w:t>
      </w:r>
      <w:r w:rsidR="00895C06">
        <w:t>−</w:t>
      </w:r>
      <w:r w:rsidRPr="000E6D1A">
        <w:t>0.89] (1</w:t>
      </w:r>
      <w:r w:rsidR="009F6F50">
        <w:t>5 mg</w:t>
      </w:r>
      <w:r w:rsidRPr="000E6D1A">
        <w:t>) (</w:t>
      </w:r>
      <w:r>
        <w:fldChar w:fldCharType="begin"/>
      </w:r>
      <w:r>
        <w:instrText xml:space="preserve"> REF _Ref144377141 \h </w:instrText>
      </w:r>
      <w:r>
        <w:fldChar w:fldCharType="separate"/>
      </w:r>
      <w:r w:rsidR="008465DD">
        <w:t xml:space="preserve">Table </w:t>
      </w:r>
      <w:r w:rsidR="008465DD">
        <w:rPr>
          <w:noProof/>
        </w:rPr>
        <w:t>8</w:t>
      </w:r>
      <w:r>
        <w:fldChar w:fldCharType="end"/>
      </w:r>
      <w:r w:rsidRPr="000E6D1A">
        <w:t>).</w:t>
      </w:r>
    </w:p>
    <w:p w14:paraId="2DA5966A" w14:textId="662CC55C" w:rsidR="000E6D1A" w:rsidRPr="000E6D1A" w:rsidRDefault="000E6D1A" w:rsidP="000E6D1A">
      <w:r w:rsidRPr="000E6D1A">
        <w:t>The LSM differences in body weight (kg) change from baseline to Week</w:t>
      </w:r>
      <w:r>
        <w:t> </w:t>
      </w:r>
      <w:r w:rsidRPr="000E6D1A">
        <w:t>52 compared to placebo were (treatment</w:t>
      </w:r>
      <w:r w:rsidR="005E279A">
        <w:noBreakHyphen/>
      </w:r>
      <w:r w:rsidRPr="000E6D1A">
        <w:t xml:space="preserve">regimen estimand [95% CI]): </w:t>
      </w:r>
      <w:r w:rsidR="00895C06">
        <w:t>−</w:t>
      </w:r>
      <w:r w:rsidRPr="000E6D1A">
        <w:t>8.1 kg [</w:t>
      </w:r>
      <w:r w:rsidR="00895C06">
        <w:t>−</w:t>
      </w:r>
      <w:r w:rsidRPr="000E6D1A">
        <w:t xml:space="preserve">8.9, </w:t>
      </w:r>
      <w:r w:rsidR="00895C06">
        <w:t>−</w:t>
      </w:r>
      <w:r w:rsidRPr="000E6D1A">
        <w:t>7.3] (</w:t>
      </w:r>
      <w:r w:rsidR="009F6F50">
        <w:t>5 mg</w:t>
      </w:r>
      <w:r w:rsidRPr="000E6D1A">
        <w:t xml:space="preserve">), </w:t>
      </w:r>
      <w:r w:rsidR="00895C06">
        <w:t>−</w:t>
      </w:r>
      <w:r w:rsidRPr="000E6D1A">
        <w:t>10.6 kg [</w:t>
      </w:r>
      <w:r w:rsidR="00895C06">
        <w:t>−</w:t>
      </w:r>
      <w:r w:rsidRPr="000E6D1A">
        <w:t xml:space="preserve">11.4, </w:t>
      </w:r>
      <w:r w:rsidR="00895C06">
        <w:t>−</w:t>
      </w:r>
      <w:r w:rsidRPr="000E6D1A">
        <w:t>9.8] (</w:t>
      </w:r>
      <w:r w:rsidR="009F6F50">
        <w:t>10 mg</w:t>
      </w:r>
      <w:r w:rsidRPr="000E6D1A">
        <w:t xml:space="preserve">), and </w:t>
      </w:r>
      <w:r w:rsidR="00895C06">
        <w:t>−</w:t>
      </w:r>
      <w:r w:rsidRPr="000E6D1A">
        <w:t>12.2 kg [</w:t>
      </w:r>
      <w:r w:rsidR="00895C06">
        <w:t>−</w:t>
      </w:r>
      <w:r w:rsidRPr="000E6D1A">
        <w:t xml:space="preserve">13.0, </w:t>
      </w:r>
      <w:r w:rsidR="00895C06">
        <w:t>−</w:t>
      </w:r>
      <w:r w:rsidRPr="000E6D1A">
        <w:t>11.5] (1</w:t>
      </w:r>
      <w:r w:rsidR="009F6F50">
        <w:t>5 mg</w:t>
      </w:r>
      <w:r w:rsidRPr="000E6D1A">
        <w:t>) (</w:t>
      </w:r>
      <w:r>
        <w:fldChar w:fldCharType="begin"/>
      </w:r>
      <w:r>
        <w:instrText xml:space="preserve"> REF _Ref144377141 \h </w:instrText>
      </w:r>
      <w:r>
        <w:fldChar w:fldCharType="separate"/>
      </w:r>
      <w:r w:rsidR="008465DD">
        <w:t xml:space="preserve">Table </w:t>
      </w:r>
      <w:r w:rsidR="008465DD">
        <w:rPr>
          <w:noProof/>
        </w:rPr>
        <w:t>8</w:t>
      </w:r>
      <w:r>
        <w:fldChar w:fldCharType="end"/>
      </w:r>
      <w:r>
        <w:t xml:space="preserve"> and</w:t>
      </w:r>
      <w:r w:rsidR="007C0DBC">
        <w:t xml:space="preserve"> </w:t>
      </w:r>
      <w:r w:rsidR="007C0DBC">
        <w:fldChar w:fldCharType="begin"/>
      </w:r>
      <w:r w:rsidR="007C0DBC">
        <w:instrText xml:space="preserve"> REF _Ref144387575 \h </w:instrText>
      </w:r>
      <w:r w:rsidR="007C0DBC">
        <w:fldChar w:fldCharType="separate"/>
      </w:r>
      <w:r w:rsidR="008465DD">
        <w:t xml:space="preserve">Table </w:t>
      </w:r>
      <w:r w:rsidR="008465DD">
        <w:rPr>
          <w:noProof/>
        </w:rPr>
        <w:t>10</w:t>
      </w:r>
      <w:r w:rsidR="007C0DBC">
        <w:fldChar w:fldCharType="end"/>
      </w:r>
      <w:r w:rsidRPr="000E6D1A">
        <w:t xml:space="preserve">). The results were </w:t>
      </w:r>
      <w:r w:rsidRPr="00903E65">
        <w:t>statistically significant. The weight loss from baseline was slightly lower than values</w:t>
      </w:r>
      <w:r w:rsidR="00903E65" w:rsidRPr="00903E65">
        <w:t xml:space="preserve"> in</w:t>
      </w:r>
      <w:r w:rsidRPr="00903E65">
        <w:t xml:space="preserve"> the comparison to insulin, as the patients in the insulin group experienced a slight weight gain</w:t>
      </w:r>
      <w:r w:rsidRPr="000E6D1A">
        <w:t xml:space="preserve"> (</w:t>
      </w:r>
      <w:r w:rsidR="007C0DBC">
        <w:fldChar w:fldCharType="begin"/>
      </w:r>
      <w:r w:rsidR="007C0DBC">
        <w:instrText xml:space="preserve"> REF _Ref144387575 \h </w:instrText>
      </w:r>
      <w:r w:rsidR="007C0DBC">
        <w:fldChar w:fldCharType="separate"/>
      </w:r>
      <w:r w:rsidR="008465DD">
        <w:t xml:space="preserve">Table </w:t>
      </w:r>
      <w:r w:rsidR="008465DD">
        <w:rPr>
          <w:noProof/>
        </w:rPr>
        <w:t>10</w:t>
      </w:r>
      <w:r w:rsidR="007C0DBC">
        <w:fldChar w:fldCharType="end"/>
      </w:r>
      <w:r w:rsidRPr="000E6D1A">
        <w:t>).</w:t>
      </w:r>
    </w:p>
    <w:p w14:paraId="6DB2B164" w14:textId="2D8D11F9" w:rsidR="007C0DBC" w:rsidRDefault="007C0DBC" w:rsidP="00B1190B">
      <w:pPr>
        <w:pStyle w:val="TableTitle"/>
        <w:pageBreakBefore/>
      </w:pPr>
      <w:bookmarkStart w:id="65" w:name="_Ref144387575"/>
      <w:r>
        <w:lastRenderedPageBreak/>
        <w:t xml:space="preserve">Table </w:t>
      </w:r>
      <w:r w:rsidR="002B0E47">
        <w:fldChar w:fldCharType="begin"/>
      </w:r>
      <w:r w:rsidR="002B0E47">
        <w:instrText xml:space="preserve"> SEQ Table \* ARABIC </w:instrText>
      </w:r>
      <w:r w:rsidR="002B0E47">
        <w:fldChar w:fldCharType="separate"/>
      </w:r>
      <w:r w:rsidR="008465DD">
        <w:rPr>
          <w:noProof/>
        </w:rPr>
        <w:t>10</w:t>
      </w:r>
      <w:r w:rsidR="002B0E47">
        <w:rPr>
          <w:noProof/>
        </w:rPr>
        <w:fldChar w:fldCharType="end"/>
      </w:r>
      <w:bookmarkEnd w:id="65"/>
      <w:r>
        <w:t>: Study SURPASS</w:t>
      </w:r>
      <w:r w:rsidR="005E279A">
        <w:noBreakHyphen/>
      </w:r>
      <w:r>
        <w:t>4 (GPGM)</w:t>
      </w:r>
      <w:r w:rsidR="00903E65">
        <w:t xml:space="preserve"> </w:t>
      </w:r>
      <w:r>
        <w:t>Summary of body weight change from baseline to Week 52 by treatment group (treatment</w:t>
      </w:r>
      <w:r w:rsidR="005E279A">
        <w:noBreakHyphen/>
      </w:r>
      <w:r>
        <w:t>regimen estimand)</w:t>
      </w:r>
    </w:p>
    <w:p w14:paraId="7573459F" w14:textId="745E646E" w:rsidR="000E6D1A" w:rsidRDefault="000E6D1A" w:rsidP="000E6D1A">
      <w:r>
        <w:rPr>
          <w:noProof/>
        </w:rPr>
        <w:drawing>
          <wp:inline distT="0" distB="0" distL="0" distR="0" wp14:anchorId="643FCB11" wp14:editId="5873AAC9">
            <wp:extent cx="5143500" cy="1447800"/>
            <wp:effectExtent l="0" t="0" r="0" b="0"/>
            <wp:docPr id="14" name="Picture 14" descr="Body weight changes in kilogram, and difference from insulin glargine, for tirzepatide 5mg, 10mg, and 15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dy weight changes in kilogram, and difference from insulin glargine, for tirzepatide 5mg, 10mg, and 15mg.&#10;"/>
                    <pic:cNvPicPr/>
                  </pic:nvPicPr>
                  <pic:blipFill>
                    <a:blip r:embed="rId40"/>
                    <a:stretch>
                      <a:fillRect/>
                    </a:stretch>
                  </pic:blipFill>
                  <pic:spPr>
                    <a:xfrm>
                      <a:off x="0" y="0"/>
                      <a:ext cx="5143500" cy="1447800"/>
                    </a:xfrm>
                    <a:prstGeom prst="rect">
                      <a:avLst/>
                    </a:prstGeom>
                  </pic:spPr>
                </pic:pic>
              </a:graphicData>
            </a:graphic>
          </wp:inline>
        </w:drawing>
      </w:r>
    </w:p>
    <w:p w14:paraId="7563FF64" w14:textId="77777777" w:rsidR="000E6D1A" w:rsidRPr="00BD38E7" w:rsidRDefault="000E6D1A" w:rsidP="000E6D1A">
      <w:pPr>
        <w:pStyle w:val="TableDescription"/>
      </w:pPr>
      <w:r w:rsidRPr="00BD38E7">
        <w:t>Abbreviations: ANCOVA = analysis of covariance; ANOVA = analysis of variance; CI = confidence interval; N = number of patients in the efficacy analysis set and full analysis set; N/A = not applicable; TZP = tirzepatide.</w:t>
      </w:r>
    </w:p>
    <w:p w14:paraId="1849A827" w14:textId="17F74D8F" w:rsidR="000E6D1A" w:rsidRPr="00BD38E7" w:rsidRDefault="000E6D1A" w:rsidP="000E6D1A">
      <w:pPr>
        <w:pStyle w:val="TableDescription"/>
      </w:pPr>
      <w:proofErr w:type="spellStart"/>
      <w:r w:rsidRPr="00BD38E7">
        <w:t>a</w:t>
      </w:r>
      <w:proofErr w:type="spellEnd"/>
      <w:r w:rsidRPr="00BD38E7">
        <w:t xml:space="preserve"> Shown are the least</w:t>
      </w:r>
      <w:r w:rsidR="005E279A">
        <w:noBreakHyphen/>
      </w:r>
      <w:r w:rsidRPr="00BD38E7">
        <w:t>squares means; ANCOVA with multiple imputation of missing data at the primary endpoint visit using retrieved dropouts; ANOVA used at baseline.</w:t>
      </w:r>
    </w:p>
    <w:p w14:paraId="5CC492BE" w14:textId="05672119" w:rsidR="000E6D1A" w:rsidRPr="00BD38E7" w:rsidRDefault="00903E65" w:rsidP="000E6D1A">
      <w:pPr>
        <w:pStyle w:val="TableDescription"/>
      </w:pPr>
      <w:r>
        <w:t>***</w:t>
      </w:r>
      <w:r w:rsidR="000E6D1A">
        <w:t xml:space="preserve"> </w:t>
      </w:r>
      <w:r w:rsidR="000E6D1A" w:rsidRPr="00BD38E7">
        <w:t>p</w:t>
      </w:r>
      <w:r w:rsidR="005E279A">
        <w:noBreakHyphen/>
      </w:r>
      <w:r w:rsidR="000E6D1A" w:rsidRPr="00BD38E7">
        <w:t>Value &lt;0.001 versus insulin degludec under graphical testing procedure.</w:t>
      </w:r>
    </w:p>
    <w:p w14:paraId="7C3E7429" w14:textId="606D6DC2" w:rsidR="000E6D1A" w:rsidRPr="00BD38E7" w:rsidRDefault="00903E65" w:rsidP="000E6D1A">
      <w:pPr>
        <w:pStyle w:val="TableDescription"/>
      </w:pPr>
      <w:r w:rsidRPr="00A76457">
        <w:t>†††</w:t>
      </w:r>
      <w:r>
        <w:t xml:space="preserve"> </w:t>
      </w:r>
      <w:r w:rsidR="000E6D1A" w:rsidRPr="00BD38E7">
        <w:t>p</w:t>
      </w:r>
      <w:r w:rsidR="005E279A">
        <w:noBreakHyphen/>
      </w:r>
      <w:r w:rsidR="000E6D1A" w:rsidRPr="00BD38E7">
        <w:t>Value &lt;0.001 versus baseline.</w:t>
      </w:r>
    </w:p>
    <w:p w14:paraId="090BC176" w14:textId="2F162DC1" w:rsidR="000E6D1A" w:rsidRPr="000E6D1A" w:rsidRDefault="000E6D1A" w:rsidP="000E6D1A">
      <w:r w:rsidRPr="000E6D1A">
        <w:t xml:space="preserve">The responder rate (proportion of patients achieving HbA1c </w:t>
      </w:r>
      <w:r w:rsidR="007C0DBC">
        <w:t xml:space="preserve">less than </w:t>
      </w:r>
      <w:r w:rsidRPr="000E6D1A">
        <w:t xml:space="preserve">7.0%) was 75.1% (tirzepatide </w:t>
      </w:r>
      <w:r w:rsidR="009F6F50">
        <w:t>5 mg</w:t>
      </w:r>
      <w:r w:rsidRPr="000E6D1A">
        <w:t>), 82.9% (</w:t>
      </w:r>
      <w:r w:rsidR="009F6F50">
        <w:t>10 mg</w:t>
      </w:r>
      <w:r w:rsidRPr="000E6D1A">
        <w:t>), and 84.9% (1</w:t>
      </w:r>
      <w:r w:rsidR="009F6F50">
        <w:t>5 mg</w:t>
      </w:r>
      <w:r w:rsidRPr="000E6D1A">
        <w:t>) compared to 48.8% in the</w:t>
      </w:r>
      <w:r w:rsidR="007C0DBC">
        <w:t xml:space="preserve"> </w:t>
      </w:r>
      <w:r w:rsidRPr="000E6D1A">
        <w:t>insulin glargine group.</w:t>
      </w:r>
    </w:p>
    <w:p w14:paraId="23097B99" w14:textId="611895B9" w:rsidR="000E6D1A" w:rsidRPr="000E6D1A" w:rsidRDefault="007C0DBC" w:rsidP="000E6D1A">
      <w:r>
        <w:t>In SURPASS</w:t>
      </w:r>
      <w:r w:rsidR="005E279A">
        <w:noBreakHyphen/>
      </w:r>
      <w:r>
        <w:t xml:space="preserve">4, </w:t>
      </w:r>
      <w:r w:rsidR="000E6D1A" w:rsidRPr="000E6D1A">
        <w:t>21.7%, 31.1%, and 38.0% (for the 5, 10, and 1</w:t>
      </w:r>
      <w:r w:rsidR="009F6F50">
        <w:t>5 mg</w:t>
      </w:r>
      <w:r w:rsidR="000E6D1A" w:rsidRPr="000E6D1A">
        <w:t xml:space="preserve"> groups, respectively) achieved HbA1c levels </w:t>
      </w:r>
      <w:r>
        <w:t xml:space="preserve">less than </w:t>
      </w:r>
      <w:r w:rsidR="000E6D1A" w:rsidRPr="000E6D1A">
        <w:t>5.7% compared to 3.5% in the insulin glargine group.</w:t>
      </w:r>
    </w:p>
    <w:p w14:paraId="3DD76B1B" w14:textId="0F2D9C88" w:rsidR="000E6D1A" w:rsidRPr="000E6D1A" w:rsidRDefault="000E6D1A" w:rsidP="000E6D1A">
      <w:r w:rsidRPr="000E6D1A">
        <w:t>The glucose</w:t>
      </w:r>
      <w:r w:rsidR="005E279A">
        <w:noBreakHyphen/>
      </w:r>
      <w:r w:rsidRPr="000E6D1A">
        <w:t>lowering effect appeared to be sustained up to 104</w:t>
      </w:r>
      <w:r w:rsidR="007C0DBC">
        <w:t> </w:t>
      </w:r>
      <w:r w:rsidRPr="000E6D1A">
        <w:t>weeks. The glucose</w:t>
      </w:r>
      <w:r w:rsidR="005E279A">
        <w:noBreakHyphen/>
      </w:r>
      <w:r w:rsidRPr="000E6D1A">
        <w:t xml:space="preserve">lowering activity was generally consistent across subgroups, but the results suggest a gradual decrease in efficacy most prominent for patients aged </w:t>
      </w:r>
      <w:r w:rsidR="007C0DBC">
        <w:t>7</w:t>
      </w:r>
      <w:r w:rsidRPr="000E6D1A">
        <w:t>5 years</w:t>
      </w:r>
      <w:r w:rsidR="007C0DBC">
        <w:t xml:space="preserve"> and older</w:t>
      </w:r>
      <w:r w:rsidRPr="000E6D1A">
        <w:t>, but the number of participants was too low for a definite conclusion.</w:t>
      </w:r>
    </w:p>
    <w:p w14:paraId="0C34D270" w14:textId="77777777" w:rsidR="000E6D1A" w:rsidRPr="000E6D1A" w:rsidRDefault="000E6D1A" w:rsidP="000E6D1A">
      <w:r w:rsidRPr="000E6D1A">
        <w:t>Baseline BMI, baseline antihyperglycemic therapy, and biological sex appeared not to have a significant (qualitative) impact on efficacy.</w:t>
      </w:r>
    </w:p>
    <w:p w14:paraId="6179CE2E" w14:textId="63DABA96" w:rsidR="000E6D1A" w:rsidRPr="000E6D1A" w:rsidRDefault="000E6D1A" w:rsidP="002E7BD8">
      <w:pPr>
        <w:pStyle w:val="Heading6"/>
      </w:pPr>
      <w:r w:rsidRPr="000E6D1A">
        <w:t>Study SURPASS</w:t>
      </w:r>
      <w:r w:rsidR="005E279A">
        <w:noBreakHyphen/>
      </w:r>
      <w:r w:rsidRPr="000E6D1A">
        <w:t>5 (GPGI) main findings</w:t>
      </w:r>
    </w:p>
    <w:p w14:paraId="18E79D18" w14:textId="5934FAA3" w:rsidR="000E6D1A" w:rsidRPr="000E6D1A" w:rsidRDefault="000E6D1A" w:rsidP="000E6D1A">
      <w:r w:rsidRPr="000E6D1A">
        <w:t>SURPASS</w:t>
      </w:r>
      <w:r w:rsidR="005E279A">
        <w:noBreakHyphen/>
      </w:r>
      <w:r w:rsidRPr="000E6D1A">
        <w:t xml:space="preserve">5 had a larger proportion of patients with advanced disease (mean duration of T2DM </w:t>
      </w:r>
      <w:r w:rsidR="007C0DBC">
        <w:t xml:space="preserve">more than </w:t>
      </w:r>
      <w:r w:rsidRPr="000E6D1A">
        <w:t>13</w:t>
      </w:r>
      <w:r w:rsidR="007C0DBC">
        <w:t> </w:t>
      </w:r>
      <w:r w:rsidRPr="000E6D1A">
        <w:t>years) and a large proportion (</w:t>
      </w:r>
      <w:r w:rsidR="007C0DBC">
        <w:t xml:space="preserve">over </w:t>
      </w:r>
      <w:r w:rsidRPr="000E6D1A">
        <w:t xml:space="preserve">80%) of overweight/obese subjects (mean BMI </w:t>
      </w:r>
      <w:r w:rsidR="007C0DBC">
        <w:t xml:space="preserve">approximately </w:t>
      </w:r>
      <w:r w:rsidRPr="000E6D1A">
        <w:t>33</w:t>
      </w:r>
      <w:r w:rsidR="007C0DBC">
        <w:t> </w:t>
      </w:r>
      <w:r w:rsidRPr="000E6D1A">
        <w:t>kg/m</w:t>
      </w:r>
      <w:r w:rsidRPr="007C0DBC">
        <w:rPr>
          <w:vertAlign w:val="superscript"/>
        </w:rPr>
        <w:t>2</w:t>
      </w:r>
      <w:r w:rsidRPr="000E6D1A">
        <w:t>).</w:t>
      </w:r>
    </w:p>
    <w:p w14:paraId="08826828" w14:textId="60801980" w:rsidR="000E6D1A" w:rsidRPr="000E6D1A" w:rsidRDefault="000E6D1A" w:rsidP="000E6D1A">
      <w:r w:rsidRPr="000E6D1A">
        <w:t>The LSM differences in HbA1C (%) change from baseline to Week</w:t>
      </w:r>
      <w:r w:rsidR="007C0DBC">
        <w:t> </w:t>
      </w:r>
      <w:r w:rsidRPr="000E6D1A">
        <w:t>40 compared to placebo were (treatment</w:t>
      </w:r>
      <w:r w:rsidR="005E279A">
        <w:noBreakHyphen/>
      </w:r>
      <w:r w:rsidRPr="000E6D1A">
        <w:t xml:space="preserve">regimen estimand [95% CI]): </w:t>
      </w:r>
      <w:r w:rsidR="00895C06">
        <w:t>−</w:t>
      </w:r>
      <w:r w:rsidRPr="000E6D1A">
        <w:t>1.24% [</w:t>
      </w:r>
      <w:r w:rsidR="00895C06">
        <w:t>−</w:t>
      </w:r>
      <w:r w:rsidRPr="000E6D1A">
        <w:t xml:space="preserve">1.48, </w:t>
      </w:r>
      <w:r w:rsidR="00895C06">
        <w:t>−</w:t>
      </w:r>
      <w:r w:rsidRPr="000E6D1A">
        <w:t>1.01] (</w:t>
      </w:r>
      <w:r w:rsidR="009F6F50">
        <w:t>5 mg</w:t>
      </w:r>
      <w:r w:rsidRPr="000E6D1A">
        <w:t xml:space="preserve">), </w:t>
      </w:r>
      <w:r w:rsidR="00895C06">
        <w:t>−</w:t>
      </w:r>
      <w:r w:rsidRPr="000E6D1A">
        <w:t>1.53% [</w:t>
      </w:r>
      <w:r w:rsidR="00895C06">
        <w:t>−</w:t>
      </w:r>
      <w:r w:rsidRPr="000E6D1A">
        <w:t xml:space="preserve">1.77, </w:t>
      </w:r>
      <w:r w:rsidR="00895C06">
        <w:t>−</w:t>
      </w:r>
      <w:r w:rsidRPr="000E6D1A">
        <w:t>1.30] (</w:t>
      </w:r>
      <w:r w:rsidR="009F6F50">
        <w:t>10 mg</w:t>
      </w:r>
      <w:r w:rsidRPr="000E6D1A">
        <w:t xml:space="preserve">), and </w:t>
      </w:r>
      <w:r w:rsidR="00895C06">
        <w:t>−</w:t>
      </w:r>
      <w:r w:rsidRPr="000E6D1A">
        <w:t>1.47% [</w:t>
      </w:r>
      <w:r w:rsidR="00895C06">
        <w:t>−</w:t>
      </w:r>
      <w:r w:rsidRPr="000E6D1A">
        <w:t xml:space="preserve">1.71, </w:t>
      </w:r>
      <w:r w:rsidR="00895C06">
        <w:t>−</w:t>
      </w:r>
      <w:r w:rsidRPr="000E6D1A">
        <w:t>1.23] (1</w:t>
      </w:r>
      <w:r w:rsidR="009F6F50">
        <w:t>5 mg</w:t>
      </w:r>
      <w:r w:rsidRPr="000E6D1A">
        <w:t>) (</w:t>
      </w:r>
      <w:r w:rsidR="007C0DBC">
        <w:fldChar w:fldCharType="begin"/>
      </w:r>
      <w:r w:rsidR="007C0DBC">
        <w:instrText xml:space="preserve"> REF _Ref144377141 \h </w:instrText>
      </w:r>
      <w:r w:rsidR="007C0DBC">
        <w:fldChar w:fldCharType="separate"/>
      </w:r>
      <w:r w:rsidR="008465DD">
        <w:t xml:space="preserve">Table </w:t>
      </w:r>
      <w:r w:rsidR="008465DD">
        <w:rPr>
          <w:noProof/>
        </w:rPr>
        <w:t>8</w:t>
      </w:r>
      <w:r w:rsidR="007C0DBC">
        <w:fldChar w:fldCharType="end"/>
      </w:r>
      <w:r w:rsidRPr="000E6D1A">
        <w:t>).</w:t>
      </w:r>
    </w:p>
    <w:p w14:paraId="0DE2701F" w14:textId="2D5F3EFC" w:rsidR="000E6D1A" w:rsidRPr="000E6D1A" w:rsidRDefault="000E6D1A" w:rsidP="000E6D1A">
      <w:r w:rsidRPr="000E6D1A">
        <w:t>The LSM differences in body weight (kg) change from baseline to Week</w:t>
      </w:r>
      <w:r w:rsidR="007C0DBC">
        <w:t> </w:t>
      </w:r>
      <w:r w:rsidRPr="000E6D1A">
        <w:t>40 compared to placebo were (treatment</w:t>
      </w:r>
      <w:r w:rsidR="005E279A">
        <w:noBreakHyphen/>
      </w:r>
      <w:r w:rsidRPr="000E6D1A">
        <w:t xml:space="preserve">regimen estimand [95% CI]): </w:t>
      </w:r>
      <w:r w:rsidR="00895C06">
        <w:t>−</w:t>
      </w:r>
      <w:r w:rsidRPr="000E6D1A">
        <w:t>7.1 kg [</w:t>
      </w:r>
      <w:r w:rsidR="00895C06">
        <w:t>−</w:t>
      </w:r>
      <w:r w:rsidRPr="000E6D1A">
        <w:t xml:space="preserve">8.7, </w:t>
      </w:r>
      <w:r w:rsidR="00895C06">
        <w:t>−</w:t>
      </w:r>
      <w:r w:rsidRPr="000E6D1A">
        <w:t>5.4] (</w:t>
      </w:r>
      <w:r w:rsidR="009F6F50">
        <w:t>5 mg</w:t>
      </w:r>
      <w:r w:rsidRPr="000E6D1A">
        <w:t xml:space="preserve">), </w:t>
      </w:r>
      <w:r w:rsidR="00895C06">
        <w:t>−</w:t>
      </w:r>
      <w:r w:rsidRPr="000E6D1A">
        <w:t>9.1 kg [</w:t>
      </w:r>
      <w:r w:rsidR="00895C06">
        <w:t>−</w:t>
      </w:r>
      <w:r w:rsidRPr="000E6D1A">
        <w:t xml:space="preserve">10.7, </w:t>
      </w:r>
      <w:r w:rsidR="00895C06">
        <w:t>−</w:t>
      </w:r>
      <w:r w:rsidRPr="000E6D1A">
        <w:t>7.5] (</w:t>
      </w:r>
      <w:r w:rsidR="009F6F50">
        <w:t>10 mg</w:t>
      </w:r>
      <w:r w:rsidRPr="000E6D1A">
        <w:t xml:space="preserve">), and </w:t>
      </w:r>
      <w:r w:rsidR="00895C06">
        <w:t>−</w:t>
      </w:r>
      <w:r w:rsidRPr="000E6D1A">
        <w:t>10.5 kg [</w:t>
      </w:r>
      <w:r w:rsidR="00895C06">
        <w:t>−</w:t>
      </w:r>
      <w:r w:rsidRPr="000E6D1A">
        <w:t xml:space="preserve">12.1, </w:t>
      </w:r>
      <w:r w:rsidR="00895C06">
        <w:t>−</w:t>
      </w:r>
      <w:r w:rsidRPr="000E6D1A">
        <w:t xml:space="preserve"> 8.8] (1</w:t>
      </w:r>
      <w:r w:rsidR="009F6F50">
        <w:t>5 mg</w:t>
      </w:r>
      <w:r w:rsidRPr="000E6D1A">
        <w:t>) (</w:t>
      </w:r>
      <w:r w:rsidR="007C0DBC">
        <w:fldChar w:fldCharType="begin"/>
      </w:r>
      <w:r w:rsidR="007C0DBC">
        <w:instrText xml:space="preserve"> REF _Ref144377141 \h </w:instrText>
      </w:r>
      <w:r w:rsidR="007C0DBC">
        <w:fldChar w:fldCharType="separate"/>
      </w:r>
      <w:r w:rsidR="008465DD">
        <w:t xml:space="preserve">Table </w:t>
      </w:r>
      <w:r w:rsidR="008465DD">
        <w:rPr>
          <w:noProof/>
        </w:rPr>
        <w:t>8</w:t>
      </w:r>
      <w:r w:rsidR="007C0DBC">
        <w:fldChar w:fldCharType="end"/>
      </w:r>
      <w:r w:rsidRPr="000E6D1A">
        <w:t>).</w:t>
      </w:r>
    </w:p>
    <w:p w14:paraId="42F40178" w14:textId="3A000A36" w:rsidR="000E6D1A" w:rsidRPr="000E6D1A" w:rsidRDefault="000E6D1A" w:rsidP="000E6D1A">
      <w:r w:rsidRPr="000E6D1A">
        <w:t>The glucose</w:t>
      </w:r>
      <w:r w:rsidR="005E279A">
        <w:noBreakHyphen/>
      </w:r>
      <w:r w:rsidRPr="000E6D1A">
        <w:t>lowering effect was generally consistent across the examined subgroups. Differences in efficacy observed for specific subgroups are unlikely of clinical relevance.</w:t>
      </w:r>
    </w:p>
    <w:p w14:paraId="25E938E1" w14:textId="1D9D3AC3" w:rsidR="000E6D1A" w:rsidRPr="000E6D1A" w:rsidRDefault="000E6D1A" w:rsidP="000E6D1A">
      <w:r w:rsidRPr="000E6D1A">
        <w:t xml:space="preserve">The responder rate (proportion of patients achieving HbA1c </w:t>
      </w:r>
      <w:r w:rsidR="007C0DBC">
        <w:t xml:space="preserve">less than </w:t>
      </w:r>
      <w:r w:rsidRPr="000E6D1A">
        <w:t xml:space="preserve">7.0%) was 87.3% (tirzepatide </w:t>
      </w:r>
      <w:r w:rsidR="009F6F50">
        <w:t>5 mg</w:t>
      </w:r>
      <w:r w:rsidRPr="000E6D1A">
        <w:t>), 89.6% (</w:t>
      </w:r>
      <w:r w:rsidR="009F6F50">
        <w:t>10 mg</w:t>
      </w:r>
      <w:r w:rsidRPr="000E6D1A">
        <w:t>), and 84.7% (1</w:t>
      </w:r>
      <w:r w:rsidR="009F6F50">
        <w:t>5 mg</w:t>
      </w:r>
      <w:r w:rsidRPr="000E6D1A">
        <w:t>) compared with 34.5% for placebo.</w:t>
      </w:r>
    </w:p>
    <w:p w14:paraId="7F37D2DF" w14:textId="2E948A17" w:rsidR="000E6D1A" w:rsidRPr="000E6D1A" w:rsidRDefault="007C0DBC" w:rsidP="000E6D1A">
      <w:r>
        <w:t>In SURPASS</w:t>
      </w:r>
      <w:r w:rsidR="005E279A">
        <w:noBreakHyphen/>
      </w:r>
      <w:r>
        <w:t xml:space="preserve">5, </w:t>
      </w:r>
      <w:r w:rsidR="000E6D1A" w:rsidRPr="000E6D1A">
        <w:t xml:space="preserve">24.4%, 41.6% and 49.6% of patients treated with tirzepatide </w:t>
      </w:r>
      <w:r w:rsidR="009F6F50">
        <w:t>5 mg</w:t>
      </w:r>
      <w:r w:rsidR="000E6D1A" w:rsidRPr="000E6D1A">
        <w:t xml:space="preserve">, </w:t>
      </w:r>
      <w:r w:rsidR="009F6F50">
        <w:t>10 mg</w:t>
      </w:r>
      <w:r w:rsidR="000E6D1A" w:rsidRPr="000E6D1A">
        <w:t xml:space="preserve"> and 1</w:t>
      </w:r>
      <w:r w:rsidR="009F6F50">
        <w:t>5 mg</w:t>
      </w:r>
      <w:r w:rsidR="000E6D1A" w:rsidRPr="000E6D1A">
        <w:t xml:space="preserve">, respectively, reached normoglycemia (HbA1c </w:t>
      </w:r>
      <w:r>
        <w:t xml:space="preserve">less than </w:t>
      </w:r>
      <w:r w:rsidR="000E6D1A" w:rsidRPr="000E6D1A">
        <w:t>5.7%), compared to 2.7% for the placebo group.</w:t>
      </w:r>
    </w:p>
    <w:p w14:paraId="1BA1ABA0" w14:textId="5CD4B716" w:rsidR="000E6D1A" w:rsidRPr="000E6D1A" w:rsidRDefault="000E6D1A" w:rsidP="002E7BD8">
      <w:pPr>
        <w:pStyle w:val="Heading6"/>
      </w:pPr>
      <w:r w:rsidRPr="000E6D1A">
        <w:lastRenderedPageBreak/>
        <w:t>Subgroup analyses</w:t>
      </w:r>
    </w:p>
    <w:p w14:paraId="2441E148" w14:textId="1AE5630E" w:rsidR="000E6D1A" w:rsidRPr="000E6D1A" w:rsidRDefault="000E6D1A" w:rsidP="000E6D1A">
      <w:r w:rsidRPr="000E6D1A">
        <w:t xml:space="preserve">For subgroup analyses for pooled Phase </w:t>
      </w:r>
      <w:r w:rsidR="007C0DBC">
        <w:t>III</w:t>
      </w:r>
      <w:r w:rsidRPr="000E6D1A">
        <w:t xml:space="preserve"> studies, only </w:t>
      </w:r>
      <w:r w:rsidR="000637CD">
        <w:t>S</w:t>
      </w:r>
      <w:r w:rsidRPr="000E6D1A">
        <w:t xml:space="preserve">tudies GPGH, GPGL, and GPGM were pooled, as the sponsor claimed that </w:t>
      </w:r>
      <w:r w:rsidR="000637CD">
        <w:t>S</w:t>
      </w:r>
      <w:r w:rsidRPr="000E6D1A">
        <w:t xml:space="preserve">tudies GPGK and GPGI </w:t>
      </w:r>
      <w:r w:rsidR="00174D93">
        <w:t xml:space="preserve">were </w:t>
      </w:r>
      <w:r w:rsidRPr="000E6D1A">
        <w:t>relatively small trials resulting in smaller subgroups.</w:t>
      </w:r>
    </w:p>
    <w:p w14:paraId="0E6C5DED" w14:textId="5F589C63" w:rsidR="000E6D1A" w:rsidRPr="000E6D1A" w:rsidRDefault="000E6D1A" w:rsidP="000E6D1A">
      <w:r w:rsidRPr="00174D93">
        <w:rPr>
          <w:rStyle w:val="Heading7Char"/>
        </w:rPr>
        <w:t>Age:</w:t>
      </w:r>
      <w:r w:rsidRPr="000E6D1A">
        <w:t xml:space="preserve"> </w:t>
      </w:r>
      <w:r w:rsidR="00174D93">
        <w:t>E</w:t>
      </w:r>
      <w:r w:rsidRPr="000E6D1A">
        <w:t>fficacy appeared to be reduced in patients aged 65 years</w:t>
      </w:r>
      <w:r w:rsidR="00174D93">
        <w:t xml:space="preserve"> and older</w:t>
      </w:r>
      <w:r w:rsidRPr="000E6D1A">
        <w:t>, but a lower mean HbA1c at baseline in that group may have contributed to this.</w:t>
      </w:r>
    </w:p>
    <w:p w14:paraId="6E5C0D9C" w14:textId="0E430068" w:rsidR="000E6D1A" w:rsidRPr="000E6D1A" w:rsidRDefault="000E6D1A" w:rsidP="000E6D1A">
      <w:r w:rsidRPr="00174D93">
        <w:rPr>
          <w:rStyle w:val="Heading7Char"/>
        </w:rPr>
        <w:t>BMI:</w:t>
      </w:r>
      <w:r w:rsidRPr="000E6D1A">
        <w:t xml:space="preserve"> There were no clinically meaningful differences in efficacy between the subgroups with a BMI </w:t>
      </w:r>
      <w:r w:rsidR="00174D93">
        <w:t xml:space="preserve">in the range </w:t>
      </w:r>
      <w:r w:rsidRPr="000E6D1A">
        <w:t xml:space="preserve">30 to </w:t>
      </w:r>
      <w:r w:rsidR="00174D93">
        <w:t xml:space="preserve">less than </w:t>
      </w:r>
      <w:r w:rsidRPr="000E6D1A">
        <w:t>35</w:t>
      </w:r>
      <w:r w:rsidR="00174D93">
        <w:t> </w:t>
      </w:r>
      <w:r w:rsidRPr="000E6D1A">
        <w:t>kg/m</w:t>
      </w:r>
      <w:r w:rsidRPr="00174D93">
        <w:rPr>
          <w:vertAlign w:val="superscript"/>
        </w:rPr>
        <w:t>2</w:t>
      </w:r>
      <w:r w:rsidRPr="000E6D1A">
        <w:t>; or 35</w:t>
      </w:r>
      <w:r w:rsidR="00174D93">
        <w:t> </w:t>
      </w:r>
      <w:r w:rsidRPr="000E6D1A">
        <w:t>kg/m</w:t>
      </w:r>
      <w:r w:rsidRPr="00174D93">
        <w:rPr>
          <w:vertAlign w:val="superscript"/>
        </w:rPr>
        <w:t>2</w:t>
      </w:r>
      <w:r w:rsidR="00174D93">
        <w:t xml:space="preserve"> and higher. </w:t>
      </w:r>
      <w:r w:rsidRPr="000E6D1A">
        <w:t xml:space="preserve">However, patients with a BMI </w:t>
      </w:r>
      <w:r w:rsidR="00174D93">
        <w:t xml:space="preserve">less than </w:t>
      </w:r>
      <w:r w:rsidRPr="000E6D1A">
        <w:t>30 kg/m</w:t>
      </w:r>
      <w:r w:rsidR="00174D93" w:rsidRPr="00174D93">
        <w:rPr>
          <w:vertAlign w:val="superscript"/>
        </w:rPr>
        <w:t>2</w:t>
      </w:r>
      <w:r w:rsidR="00174D93">
        <w:t xml:space="preserve"> </w:t>
      </w:r>
      <w:r w:rsidRPr="000E6D1A">
        <w:t>showed no well</w:t>
      </w:r>
      <w:r w:rsidR="005E279A">
        <w:noBreakHyphen/>
      </w:r>
      <w:r w:rsidRPr="000E6D1A">
        <w:t>defined dose</w:t>
      </w:r>
      <w:r w:rsidR="005E279A">
        <w:noBreakHyphen/>
      </w:r>
      <w:r w:rsidRPr="000E6D1A">
        <w:t>response relationship for efficacy. The reason remains unclear at present.</w:t>
      </w:r>
    </w:p>
    <w:p w14:paraId="5C830292" w14:textId="3B735B8A" w:rsidR="000E6D1A" w:rsidRPr="000E6D1A" w:rsidRDefault="000E6D1A" w:rsidP="000E6D1A">
      <w:r w:rsidRPr="00174D93">
        <w:rPr>
          <w:rStyle w:val="Heading7Char"/>
        </w:rPr>
        <w:t>Ethnicity</w:t>
      </w:r>
      <w:r w:rsidRPr="000E6D1A">
        <w:t xml:space="preserve">: </w:t>
      </w:r>
      <w:r w:rsidR="00174D93">
        <w:t>T</w:t>
      </w:r>
      <w:r w:rsidRPr="000E6D1A">
        <w:t>here is likely no significant efficacy difference across different ethnicities</w:t>
      </w:r>
      <w:r w:rsidR="00174D93">
        <w:t>. T</w:t>
      </w:r>
      <w:r w:rsidRPr="000E6D1A">
        <w:t>he relative dose</w:t>
      </w:r>
      <w:r w:rsidR="005E279A">
        <w:noBreakHyphen/>
      </w:r>
      <w:r w:rsidRPr="000E6D1A">
        <w:t xml:space="preserve">response of the mean change from baseline in HbA1c was comparable in studies conducted in Japan and the international </w:t>
      </w:r>
      <w:r w:rsidR="000637CD">
        <w:t>S</w:t>
      </w:r>
      <w:r w:rsidRPr="000E6D1A">
        <w:t xml:space="preserve">tudies GPGH, GPGL, and GPGM. </w:t>
      </w:r>
      <w:r w:rsidR="000637CD">
        <w:t>S</w:t>
      </w:r>
      <w:r w:rsidRPr="000E6D1A">
        <w:t>tudies GPGL and GPGM revealed no meaningful differences in the efficacy between American Indian, Alaskan Native patients, and white patients. In Study GPGM, HbA1c reduction for black or African American patients was comparable to white patients.</w:t>
      </w:r>
    </w:p>
    <w:p w14:paraId="29068045" w14:textId="538B9B18" w:rsidR="000E6D1A" w:rsidRPr="000E6D1A" w:rsidRDefault="000E6D1A" w:rsidP="000E6D1A">
      <w:r w:rsidRPr="00174D93">
        <w:rPr>
          <w:rStyle w:val="Heading7Char"/>
        </w:rPr>
        <w:t>ADA status</w:t>
      </w:r>
      <w:r w:rsidRPr="000E6D1A">
        <w:t xml:space="preserve">: A comparison of HbA1c change from baseline showed no apparent pattern relative to </w:t>
      </w:r>
      <w:r w:rsidR="00174D93">
        <w:t>treatment</w:t>
      </w:r>
      <w:r w:rsidR="005E279A">
        <w:noBreakHyphen/>
      </w:r>
      <w:r w:rsidR="00174D93">
        <w:t xml:space="preserve">emergent antidrug antibody (ADA) </w:t>
      </w:r>
      <w:r w:rsidRPr="000E6D1A">
        <w:t xml:space="preserve">status, ADA titres, or </w:t>
      </w:r>
      <w:r w:rsidR="00174D93">
        <w:t>neutralising antibody</w:t>
      </w:r>
      <w:r w:rsidRPr="000E6D1A">
        <w:t xml:space="preserve"> status</w:t>
      </w:r>
      <w:r w:rsidR="00174D93">
        <w:t>.</w:t>
      </w:r>
    </w:p>
    <w:p w14:paraId="797399C0" w14:textId="2DC9B904" w:rsidR="000E6D1A" w:rsidRPr="000E6D1A" w:rsidRDefault="000E6D1A" w:rsidP="000E6D1A">
      <w:r w:rsidRPr="00174D93">
        <w:rPr>
          <w:rStyle w:val="Heading7Char"/>
        </w:rPr>
        <w:t>Concomitant antiemetic or antidiarrh</w:t>
      </w:r>
      <w:r w:rsidR="00757494">
        <w:rPr>
          <w:rStyle w:val="Heading7Char"/>
        </w:rPr>
        <w:t>o</w:t>
      </w:r>
      <w:r w:rsidRPr="00174D93">
        <w:rPr>
          <w:rStyle w:val="Heading7Char"/>
        </w:rPr>
        <w:t>eal medications</w:t>
      </w:r>
      <w:r w:rsidRPr="000E6D1A">
        <w:t>: The majority (75</w:t>
      </w:r>
      <w:r w:rsidR="00174D93">
        <w:t xml:space="preserve"> to </w:t>
      </w:r>
      <w:r w:rsidRPr="000E6D1A">
        <w:t>94%, dependent on the study) of patients randomised to tirzepatide did not initiate either antiemetic or antidiarrh</w:t>
      </w:r>
      <w:r w:rsidR="00757494">
        <w:t>o</w:t>
      </w:r>
      <w:r w:rsidRPr="000E6D1A">
        <w:t>eal medications. Antiemetics were more often initiated that antidiarrh</w:t>
      </w:r>
      <w:r w:rsidR="00757494">
        <w:t>o</w:t>
      </w:r>
      <w:r w:rsidRPr="000E6D1A">
        <w:t>eals. There was no definite dose</w:t>
      </w:r>
      <w:r w:rsidR="005E279A">
        <w:noBreakHyphen/>
      </w:r>
      <w:r w:rsidRPr="000E6D1A">
        <w:t>related trend, and in most studies, the patient numbers on those medications were too small for meaning conclusions regarding efficacy.</w:t>
      </w:r>
    </w:p>
    <w:p w14:paraId="1693BB5B" w14:textId="6780A733" w:rsidR="00174D93" w:rsidRPr="00174D93" w:rsidRDefault="00174D93" w:rsidP="00174D93">
      <w:pPr>
        <w:pStyle w:val="Heading5"/>
      </w:pPr>
      <w:r w:rsidRPr="00174D93">
        <w:t xml:space="preserve">Phase </w:t>
      </w:r>
      <w:r w:rsidR="002E7BD8">
        <w:t>III</w:t>
      </w:r>
      <w:r w:rsidRPr="00174D93">
        <w:t xml:space="preserve"> pivotal trial substudies</w:t>
      </w:r>
    </w:p>
    <w:p w14:paraId="636C6C5F" w14:textId="2ECBAB5E" w:rsidR="00464F20" w:rsidRPr="00464F20" w:rsidRDefault="002E7BD8" w:rsidP="00464F20">
      <w:pPr>
        <w:pStyle w:val="Heading6"/>
      </w:pPr>
      <w:r>
        <w:t xml:space="preserve">Study </w:t>
      </w:r>
      <w:r w:rsidR="00174D93" w:rsidRPr="00464F20">
        <w:t>SURPASS</w:t>
      </w:r>
      <w:r w:rsidR="005E279A">
        <w:noBreakHyphen/>
      </w:r>
      <w:r w:rsidR="00174D93" w:rsidRPr="00464F20">
        <w:t>3 CGM</w:t>
      </w:r>
    </w:p>
    <w:p w14:paraId="3C875ABD" w14:textId="1CABF562" w:rsidR="00174D93" w:rsidRPr="00174D93" w:rsidRDefault="00464F20" w:rsidP="00174D93">
      <w:r w:rsidRPr="00174D93">
        <w:t>SURPASS</w:t>
      </w:r>
      <w:r w:rsidR="005E279A">
        <w:noBreakHyphen/>
      </w:r>
      <w:r w:rsidRPr="00174D93">
        <w:t>3 CGM</w:t>
      </w:r>
      <w:r w:rsidR="00174D93" w:rsidRPr="00174D93">
        <w:t xml:space="preserve"> was a substudy of SURPASS</w:t>
      </w:r>
      <w:r w:rsidR="005E279A">
        <w:noBreakHyphen/>
      </w:r>
      <w:r w:rsidR="00174D93" w:rsidRPr="00174D93">
        <w:t>3 investigating the 24</w:t>
      </w:r>
      <w:r w:rsidR="005E279A">
        <w:noBreakHyphen/>
      </w:r>
      <w:r w:rsidR="00174D93" w:rsidRPr="00174D93">
        <w:t xml:space="preserve">hour glucose profile in 243 patients (64 [tirzepatide </w:t>
      </w:r>
      <w:r w:rsidR="009F6F50">
        <w:t>5 mg</w:t>
      </w:r>
      <w:r w:rsidR="00174D93" w:rsidRPr="00174D93">
        <w:t xml:space="preserve">], 51 [tirzepatide </w:t>
      </w:r>
      <w:r w:rsidR="009F6F50">
        <w:t>10 mg</w:t>
      </w:r>
      <w:r w:rsidR="00174D93" w:rsidRPr="00174D93">
        <w:t>], 73 [tirzepatide 1</w:t>
      </w:r>
      <w:r w:rsidR="009F6F50">
        <w:t>5 mg</w:t>
      </w:r>
      <w:r w:rsidR="00174D93" w:rsidRPr="00174D93">
        <w:t>], 55 [insulin degludec]) using continuous glucose monitoring.</w:t>
      </w:r>
    </w:p>
    <w:p w14:paraId="2FB0E5D8" w14:textId="10E8E2D0" w:rsidR="00174D93" w:rsidRPr="00174D93" w:rsidRDefault="00174D93" w:rsidP="00174D93">
      <w:r w:rsidRPr="00174D93">
        <w:t xml:space="preserve">The population had a mean age of </w:t>
      </w:r>
      <w:r w:rsidR="00464F20">
        <w:t xml:space="preserve">approximately </w:t>
      </w:r>
      <w:r w:rsidRPr="00174D93">
        <w:t xml:space="preserve">57 years. The mean duration of diabetes was 8.3 to 9.3 years, the mean HbA1c </w:t>
      </w:r>
      <w:r w:rsidR="00464F20">
        <w:t xml:space="preserve">was </w:t>
      </w:r>
      <w:r w:rsidRPr="00174D93">
        <w:t xml:space="preserve">7.9% </w:t>
      </w:r>
      <w:r w:rsidR="00464F20">
        <w:t>to</w:t>
      </w:r>
      <w:r w:rsidRPr="00174D93">
        <w:t xml:space="preserve"> 8.3%, and the mean body weight 92.2</w:t>
      </w:r>
      <w:r w:rsidR="00464F20">
        <w:t> </w:t>
      </w:r>
      <w:r w:rsidRPr="00174D93">
        <w:t>kg to 97.4</w:t>
      </w:r>
      <w:r w:rsidR="00464F20">
        <w:t> </w:t>
      </w:r>
      <w:r w:rsidRPr="00174D93">
        <w:t>kg.</w:t>
      </w:r>
    </w:p>
    <w:p w14:paraId="306E5980" w14:textId="0BF15F10" w:rsidR="00174D93" w:rsidRDefault="00174D93" w:rsidP="00174D93">
      <w:r w:rsidRPr="00174D93">
        <w:t xml:space="preserve">There was a clinically relevant improvement of glycaemic control compared with basal insulin </w:t>
      </w:r>
      <w:r w:rsidR="00464F20">
        <w:t>degludec</w:t>
      </w:r>
      <w:r w:rsidRPr="00174D93">
        <w:t>. Tirzepatide</w:t>
      </w:r>
      <w:r w:rsidR="005E279A">
        <w:noBreakHyphen/>
      </w:r>
      <w:r w:rsidRPr="00174D93">
        <w:t>treated patients spent a higher percentage of the time in the target range (3.9</w:t>
      </w:r>
      <w:r w:rsidR="00464F20">
        <w:t xml:space="preserve"> to</w:t>
      </w:r>
      <w:r w:rsidRPr="00174D93">
        <w:t xml:space="preserve"> 7.8</w:t>
      </w:r>
      <w:r w:rsidR="00464F20">
        <w:t> </w:t>
      </w:r>
      <w:r w:rsidRPr="00174D93">
        <w:t xml:space="preserve">mmol/L) compared to the </w:t>
      </w:r>
      <w:r w:rsidR="00464F20">
        <w:t>insulin degludec</w:t>
      </w:r>
      <w:r w:rsidRPr="00174D93">
        <w:t xml:space="preserve"> group. The estimated treatment difference [95% </w:t>
      </w:r>
      <w:r w:rsidR="00D4434B">
        <w:t>confidence interval (</w:t>
      </w:r>
      <w:r w:rsidRPr="00174D93">
        <w:t>CI</w:t>
      </w:r>
      <w:r w:rsidR="00D4434B">
        <w:t>)</w:t>
      </w:r>
      <w:r w:rsidRPr="00174D93">
        <w:t>] was 24.55% [15.77%, 33.34%].</w:t>
      </w:r>
    </w:p>
    <w:p w14:paraId="7B9BEB25" w14:textId="45D88D9A" w:rsidR="00464F20" w:rsidRPr="00464F20" w:rsidRDefault="002E7BD8" w:rsidP="00464F20">
      <w:pPr>
        <w:pStyle w:val="Heading6"/>
      </w:pPr>
      <w:r>
        <w:t xml:space="preserve">Study </w:t>
      </w:r>
      <w:r w:rsidR="00464F20" w:rsidRPr="00464F20">
        <w:t>SURPASS</w:t>
      </w:r>
      <w:r w:rsidR="005E279A">
        <w:noBreakHyphen/>
      </w:r>
      <w:r w:rsidR="00464F20" w:rsidRPr="00464F20">
        <w:t>3 MRI</w:t>
      </w:r>
    </w:p>
    <w:p w14:paraId="146C48A9" w14:textId="3012B14E" w:rsidR="00174D93" w:rsidRPr="00174D93" w:rsidRDefault="00174D93" w:rsidP="00174D93">
      <w:r w:rsidRPr="00174D93">
        <w:t>SURPASS</w:t>
      </w:r>
      <w:r w:rsidR="005E279A">
        <w:noBreakHyphen/>
      </w:r>
      <w:r w:rsidRPr="00174D93">
        <w:t>3 MRI was a substudy of SURPASS</w:t>
      </w:r>
      <w:r w:rsidR="005E279A">
        <w:noBreakHyphen/>
      </w:r>
      <w:r w:rsidRPr="00174D93">
        <w:t>3 investigating changes in the liver fat content of 296 study participants from SURPASS</w:t>
      </w:r>
      <w:r w:rsidR="005E279A">
        <w:noBreakHyphen/>
      </w:r>
      <w:r w:rsidRPr="00174D93">
        <w:t xml:space="preserve">3 (71 [tirzepatide </w:t>
      </w:r>
      <w:r w:rsidR="009F6F50">
        <w:t>5 mg</w:t>
      </w:r>
      <w:r w:rsidRPr="00174D93">
        <w:t>], 79 [</w:t>
      </w:r>
      <w:r w:rsidR="00464F20">
        <w:t xml:space="preserve">tirzepatide </w:t>
      </w:r>
      <w:r w:rsidR="009F6F50">
        <w:t>10 mg</w:t>
      </w:r>
      <w:r w:rsidRPr="00174D93">
        <w:t>], 72 [</w:t>
      </w:r>
      <w:r w:rsidR="00464F20">
        <w:t xml:space="preserve">tirzepatide </w:t>
      </w:r>
      <w:r w:rsidRPr="00174D93">
        <w:t>1</w:t>
      </w:r>
      <w:r w:rsidR="009F6F50">
        <w:t>5 mg</w:t>
      </w:r>
      <w:r w:rsidRPr="00174D93">
        <w:t>], 74 [insulin degludec]).</w:t>
      </w:r>
    </w:p>
    <w:p w14:paraId="192C47F9" w14:textId="718F47BE" w:rsidR="00174D93" w:rsidRPr="00174D93" w:rsidRDefault="00174D93" w:rsidP="00174D93">
      <w:r w:rsidRPr="00174D93">
        <w:t>The population had a mean age of</w:t>
      </w:r>
      <w:r w:rsidR="00464F20">
        <w:t xml:space="preserve"> approximately </w:t>
      </w:r>
      <w:r w:rsidRPr="00174D93">
        <w:t xml:space="preserve">56 years. The mean duration of diabetes was 7.0 to 9.4 years, the mean HbA1c </w:t>
      </w:r>
      <w:r w:rsidR="00464F20">
        <w:t xml:space="preserve">was approximately </w:t>
      </w:r>
      <w:r w:rsidRPr="00174D93">
        <w:t>8.25%, and the mean body weight 91.2</w:t>
      </w:r>
      <w:r w:rsidR="00464F20">
        <w:t> </w:t>
      </w:r>
      <w:r w:rsidRPr="00174D93">
        <w:t>kg to 98.0</w:t>
      </w:r>
      <w:r w:rsidR="00464F20">
        <w:t> </w:t>
      </w:r>
      <w:r w:rsidRPr="00174D93">
        <w:t>kg.</w:t>
      </w:r>
    </w:p>
    <w:p w14:paraId="52D1E75C" w14:textId="5AD3F1AC" w:rsidR="00174D93" w:rsidRPr="00174D93" w:rsidRDefault="00174D93" w:rsidP="00174D93">
      <w:r w:rsidRPr="00174D93">
        <w:lastRenderedPageBreak/>
        <w:t>The study showed that treatment with any of the tirzepatide doses (</w:t>
      </w:r>
      <w:r w:rsidR="009F6F50">
        <w:t>5 mg</w:t>
      </w:r>
      <w:r w:rsidRPr="00174D93">
        <w:t xml:space="preserve">, </w:t>
      </w:r>
      <w:r w:rsidR="009F6F50">
        <w:t>10 mg</w:t>
      </w:r>
      <w:r w:rsidRPr="00174D93">
        <w:t>, and 1</w:t>
      </w:r>
      <w:r w:rsidR="009F6F50">
        <w:t>5 mg</w:t>
      </w:r>
      <w:r w:rsidRPr="00174D93">
        <w:t xml:space="preserve">) resulted in a significantly lower </w:t>
      </w:r>
      <w:r w:rsidR="00464F20">
        <w:t>liver fat content</w:t>
      </w:r>
      <w:r w:rsidRPr="00174D93">
        <w:t xml:space="preserve"> at Week</w:t>
      </w:r>
      <w:r w:rsidR="00464F20">
        <w:t> </w:t>
      </w:r>
      <w:r w:rsidRPr="00174D93">
        <w:t xml:space="preserve">52 (8.2% to 10.1%) as compared with </w:t>
      </w:r>
      <w:r w:rsidR="00464F20">
        <w:t>insulin degludec</w:t>
      </w:r>
      <w:r w:rsidRPr="00174D93">
        <w:t xml:space="preserve"> (13.2%).</w:t>
      </w:r>
    </w:p>
    <w:p w14:paraId="54109171" w14:textId="7D3C68FE" w:rsidR="00464F20" w:rsidRDefault="00464F20" w:rsidP="00464F20">
      <w:pPr>
        <w:pStyle w:val="Heading5"/>
      </w:pPr>
      <w:r w:rsidRPr="00464F20">
        <w:t xml:space="preserve">Supportive </w:t>
      </w:r>
      <w:r>
        <w:t>P</w:t>
      </w:r>
      <w:r w:rsidRPr="00464F20">
        <w:t xml:space="preserve">hase </w:t>
      </w:r>
      <w:r>
        <w:t>III</w:t>
      </w:r>
      <w:r w:rsidRPr="00464F20">
        <w:t xml:space="preserve"> stud</w:t>
      </w:r>
      <w:r>
        <w:t>ies</w:t>
      </w:r>
    </w:p>
    <w:p w14:paraId="05422E1A" w14:textId="5828C8CA" w:rsidR="00464F20" w:rsidRPr="00464F20" w:rsidRDefault="002E7BD8" w:rsidP="00464F20">
      <w:pPr>
        <w:pStyle w:val="Heading6"/>
      </w:pPr>
      <w:r>
        <w:t xml:space="preserve">Study </w:t>
      </w:r>
      <w:r w:rsidR="00464F20" w:rsidRPr="00464F20">
        <w:t>SURPASS J</w:t>
      </w:r>
      <w:r w:rsidR="005E279A">
        <w:noBreakHyphen/>
      </w:r>
      <w:r w:rsidR="00464F20" w:rsidRPr="00464F20">
        <w:t>mono (GPGO)</w:t>
      </w:r>
    </w:p>
    <w:p w14:paraId="56EF4448" w14:textId="43BD8E97" w:rsidR="00464F20" w:rsidRPr="00464F20" w:rsidRDefault="00464F20" w:rsidP="00464F20">
      <w:r w:rsidRPr="00464F20">
        <w:t>SURPASS J</w:t>
      </w:r>
      <w:r w:rsidR="005E279A">
        <w:noBreakHyphen/>
      </w:r>
      <w:r w:rsidRPr="00464F20">
        <w:t>mono (</w:t>
      </w:r>
      <w:r w:rsidR="000637CD">
        <w:t xml:space="preserve">Study </w:t>
      </w:r>
      <w:r w:rsidRPr="00464F20">
        <w:t>GPGO) was a 52</w:t>
      </w:r>
      <w:r>
        <w:t> </w:t>
      </w:r>
      <w:r w:rsidRPr="00464F20">
        <w:t xml:space="preserve">week Phase </w:t>
      </w:r>
      <w:r>
        <w:t>III</w:t>
      </w:r>
      <w:r w:rsidRPr="00464F20">
        <w:t xml:space="preserve"> double</w:t>
      </w:r>
      <w:r w:rsidR="005E279A">
        <w:noBreakHyphen/>
      </w:r>
      <w:r w:rsidRPr="00464F20">
        <w:t>blind, parallel, active</w:t>
      </w:r>
      <w:r w:rsidR="005E279A">
        <w:noBreakHyphen/>
      </w:r>
      <w:r w:rsidRPr="00464F20">
        <w:t xml:space="preserve">controlled trial randomising 636 patients in 46 centres in Japan. Eligible were patients with T2DM either </w:t>
      </w:r>
      <w:r w:rsidR="00195DC0">
        <w:t xml:space="preserve">oral </w:t>
      </w:r>
      <w:r w:rsidR="00195DC0" w:rsidRPr="00195DC0">
        <w:t>antihyperglycaemic medication (</w:t>
      </w:r>
      <w:r w:rsidRPr="00195DC0">
        <w:t>OAM</w:t>
      </w:r>
      <w:r w:rsidR="00195DC0" w:rsidRPr="00195DC0">
        <w:t>)</w:t>
      </w:r>
      <w:r w:rsidR="005E279A">
        <w:noBreakHyphen/>
      </w:r>
      <w:r w:rsidRPr="00195DC0">
        <w:t>naïve or treated with OAM monotherapy. The latter had</w:t>
      </w:r>
      <w:r w:rsidRPr="00464F20">
        <w:t xml:space="preserve"> to be discontinued prior to initiation of study treatment (tirzepatide </w:t>
      </w:r>
      <w:r w:rsidR="009F6F50">
        <w:t>5 mg</w:t>
      </w:r>
      <w:r w:rsidRPr="00464F20">
        <w:t xml:space="preserve">, </w:t>
      </w:r>
      <w:r w:rsidR="009F6F50">
        <w:t>10 mg</w:t>
      </w:r>
      <w:r w:rsidRPr="00464F20">
        <w:t>, or 1</w:t>
      </w:r>
      <w:r w:rsidR="009F6F50">
        <w:t>5 mg</w:t>
      </w:r>
      <w:r w:rsidRPr="00464F20">
        <w:t xml:space="preserve"> </w:t>
      </w:r>
      <w:r w:rsidR="00855B3F">
        <w:t>once weekly</w:t>
      </w:r>
      <w:r w:rsidRPr="00464F20">
        <w:t>, or dulaglutide 0.7</w:t>
      </w:r>
      <w:r w:rsidR="009F6F50">
        <w:t>5 mg</w:t>
      </w:r>
      <w:r w:rsidRPr="00464F20">
        <w:t xml:space="preserve"> </w:t>
      </w:r>
      <w:r w:rsidR="00855B3F">
        <w:t>once weekly</w:t>
      </w:r>
      <w:r w:rsidRPr="00464F20">
        <w:t xml:space="preserve">). Primary and key endpoints were the mean change in HbA1c and </w:t>
      </w:r>
      <w:r w:rsidR="00855B3F">
        <w:t xml:space="preserve">mean change in </w:t>
      </w:r>
      <w:r w:rsidRPr="00464F20">
        <w:t>body weight from baseline to Week</w:t>
      </w:r>
      <w:r w:rsidR="00855B3F">
        <w:t> </w:t>
      </w:r>
      <w:r w:rsidRPr="00464F20">
        <w:t>52.</w:t>
      </w:r>
    </w:p>
    <w:p w14:paraId="341B57C6" w14:textId="592EFC70" w:rsidR="00464F20" w:rsidRPr="00464F20" w:rsidRDefault="00464F20" w:rsidP="00464F20">
      <w:r w:rsidRPr="00464F20">
        <w:t xml:space="preserve">Demographics and relevant baseline characteristics were well balanced between treatment arms (mean age </w:t>
      </w:r>
      <w:r w:rsidR="00855B3F">
        <w:t xml:space="preserve">approximately </w:t>
      </w:r>
      <w:r w:rsidRPr="00464F20">
        <w:t>56</w:t>
      </w:r>
      <w:r w:rsidR="00855B3F">
        <w:t> </w:t>
      </w:r>
      <w:r w:rsidRPr="00464F20">
        <w:t xml:space="preserve">years, mean duration of diabetes </w:t>
      </w:r>
      <w:r w:rsidR="00855B3F">
        <w:t xml:space="preserve">approximately </w:t>
      </w:r>
      <w:r w:rsidRPr="00464F20">
        <w:t>5.9</w:t>
      </w:r>
      <w:r w:rsidR="00855B3F">
        <w:t> </w:t>
      </w:r>
      <w:r w:rsidRPr="00464F20">
        <w:t xml:space="preserve">years, mean HbA1c </w:t>
      </w:r>
      <w:r w:rsidR="00855B3F">
        <w:t xml:space="preserve">approximately </w:t>
      </w:r>
      <w:r w:rsidRPr="00464F20">
        <w:t xml:space="preserve">8.2%, and mean body weight </w:t>
      </w:r>
      <w:r w:rsidR="00855B3F">
        <w:t xml:space="preserve">approximately </w:t>
      </w:r>
      <w:r w:rsidRPr="00464F20">
        <w:t>78.5</w:t>
      </w:r>
      <w:r w:rsidR="00855B3F">
        <w:t> </w:t>
      </w:r>
      <w:r w:rsidRPr="00464F20">
        <w:t>kg). The completion rate was 95.6 to 97.5%.</w:t>
      </w:r>
    </w:p>
    <w:p w14:paraId="180303B3" w14:textId="2833D4C0" w:rsidR="00464F20" w:rsidRDefault="00464F20" w:rsidP="00464F20">
      <w:r w:rsidRPr="00464F20">
        <w:t>SURPASS J</w:t>
      </w:r>
      <w:r w:rsidR="005E279A">
        <w:noBreakHyphen/>
      </w:r>
      <w:r w:rsidRPr="00464F20">
        <w:t xml:space="preserve">mono showed superiority of all </w:t>
      </w:r>
      <w:r w:rsidR="00320553">
        <w:t>3</w:t>
      </w:r>
      <w:r w:rsidRPr="00464F20">
        <w:t xml:space="preserve"> doses of tirzepatide to the GLP</w:t>
      </w:r>
      <w:r w:rsidR="005E279A">
        <w:noBreakHyphen/>
      </w:r>
      <w:r w:rsidRPr="00464F20">
        <w:t>1 receptor</w:t>
      </w:r>
      <w:r w:rsidR="005E279A">
        <w:noBreakHyphen/>
      </w:r>
      <w:r w:rsidRPr="00464F20">
        <w:t>agonist dulaglutide with regard to</w:t>
      </w:r>
      <w:r w:rsidR="00855B3F">
        <w:t xml:space="preserve"> </w:t>
      </w:r>
      <w:r w:rsidR="00855B3F" w:rsidRPr="00464F20">
        <w:t>mean change in HbA1c</w:t>
      </w:r>
      <w:r w:rsidRPr="00464F20">
        <w:t xml:space="preserve"> and </w:t>
      </w:r>
      <w:r w:rsidR="00855B3F">
        <w:t>mean change in body weight.</w:t>
      </w:r>
    </w:p>
    <w:p w14:paraId="5380828F" w14:textId="3228465B" w:rsidR="00195DC0" w:rsidRDefault="00195DC0" w:rsidP="00195DC0">
      <w:pPr>
        <w:pStyle w:val="TableTitle"/>
      </w:pPr>
      <w:r>
        <w:t xml:space="preserve">Table </w:t>
      </w:r>
      <w:r w:rsidR="002B0E47">
        <w:fldChar w:fldCharType="begin"/>
      </w:r>
      <w:r w:rsidR="002B0E47">
        <w:instrText xml:space="preserve"> SEQ Table \* ARABIC </w:instrText>
      </w:r>
      <w:r w:rsidR="002B0E47">
        <w:fldChar w:fldCharType="separate"/>
      </w:r>
      <w:r w:rsidR="008465DD">
        <w:rPr>
          <w:noProof/>
        </w:rPr>
        <w:t>11</w:t>
      </w:r>
      <w:r w:rsidR="002B0E47">
        <w:rPr>
          <w:noProof/>
        </w:rPr>
        <w:fldChar w:fldCharType="end"/>
      </w:r>
      <w:r>
        <w:t>: Study SURPASS</w:t>
      </w:r>
      <w:r w:rsidR="008E715C">
        <w:t xml:space="preserve"> </w:t>
      </w:r>
      <w:r>
        <w:t>J</w:t>
      </w:r>
      <w:r w:rsidR="005E279A">
        <w:noBreakHyphen/>
      </w:r>
      <w:r>
        <w:t>mono Summary of main results</w:t>
      </w:r>
      <w:r w:rsidR="002B0E47">
        <w:fldChar w:fldCharType="begin"/>
      </w:r>
      <w:r w:rsidR="002B0E47">
        <w:instrText xml:space="preserve"> DOCVARIABLE vault_nd_5547f888-8bba-43c8-99bc-56364a5e2198 \* MERGEFORMAT </w:instrText>
      </w:r>
      <w:r w:rsidR="002B0E47">
        <w:fldChar w:fldCharType="separate"/>
      </w:r>
      <w:r w:rsidR="008465DD">
        <w:t xml:space="preserve"> </w:t>
      </w:r>
      <w:r w:rsidR="002B0E47">
        <w:fldChar w:fldCharType="end"/>
      </w:r>
    </w:p>
    <w:tbl>
      <w:tblPr>
        <w:tblStyle w:val="TableGrid"/>
        <w:tblW w:w="0" w:type="auto"/>
        <w:tblLook w:val="04A0" w:firstRow="1" w:lastRow="0" w:firstColumn="1" w:lastColumn="0" w:noHBand="0" w:noVBand="1"/>
      </w:tblPr>
      <w:tblGrid>
        <w:gridCol w:w="1843"/>
        <w:gridCol w:w="2972"/>
        <w:gridCol w:w="3685"/>
      </w:tblGrid>
      <w:tr w:rsidR="00F71A04" w:rsidRPr="00F71A04" w14:paraId="385D97AB" w14:textId="77777777" w:rsidTr="0094624F">
        <w:tc>
          <w:tcPr>
            <w:tcW w:w="1843" w:type="dxa"/>
            <w:vMerge w:val="restart"/>
            <w:shd w:val="clear" w:color="auto" w:fill="DEEAF6" w:themeFill="accent5" w:themeFillTint="33"/>
          </w:tcPr>
          <w:p w14:paraId="2B2C0CB3" w14:textId="77777777" w:rsidR="00F71A04" w:rsidRPr="00F71A04" w:rsidRDefault="00F71A04" w:rsidP="00F71A04">
            <w:pPr>
              <w:spacing w:after="120" w:line="259" w:lineRule="auto"/>
              <w:rPr>
                <w:b/>
                <w:bCs/>
              </w:rPr>
            </w:pPr>
            <w:r w:rsidRPr="00F71A04">
              <w:rPr>
                <w:b/>
                <w:bCs/>
              </w:rPr>
              <w:t>Tirzepatide dose (mg)</w:t>
            </w:r>
          </w:p>
        </w:tc>
        <w:tc>
          <w:tcPr>
            <w:tcW w:w="6657" w:type="dxa"/>
            <w:gridSpan w:val="2"/>
            <w:shd w:val="clear" w:color="auto" w:fill="DEEAF6" w:themeFill="accent5" w:themeFillTint="33"/>
          </w:tcPr>
          <w:p w14:paraId="53EFFA2E" w14:textId="77777777" w:rsidR="00F71A04" w:rsidRPr="00F71A04" w:rsidRDefault="00F71A04" w:rsidP="00F71A04">
            <w:pPr>
              <w:spacing w:after="120" w:line="259" w:lineRule="auto"/>
              <w:rPr>
                <w:b/>
                <w:bCs/>
              </w:rPr>
            </w:pPr>
            <w:r w:rsidRPr="00F71A04">
              <w:rPr>
                <w:b/>
                <w:bCs/>
              </w:rPr>
              <w:t>Least</w:t>
            </w:r>
            <w:r w:rsidRPr="00F71A04">
              <w:rPr>
                <w:b/>
                <w:bCs/>
              </w:rPr>
              <w:noBreakHyphen/>
              <w:t>squares mean difference at Week 52 [95% CI] treatment</w:t>
            </w:r>
            <w:r w:rsidRPr="00F71A04">
              <w:rPr>
                <w:b/>
                <w:bCs/>
              </w:rPr>
              <w:noBreakHyphen/>
              <w:t xml:space="preserve">regimen </w:t>
            </w:r>
            <w:proofErr w:type="spellStart"/>
            <w:r w:rsidRPr="00F71A04">
              <w:rPr>
                <w:b/>
                <w:bCs/>
              </w:rPr>
              <w:t>estimand</w:t>
            </w:r>
            <w:proofErr w:type="spellEnd"/>
          </w:p>
        </w:tc>
      </w:tr>
      <w:tr w:rsidR="00F71A04" w:rsidRPr="00F71A04" w14:paraId="4FAFF8DD" w14:textId="77777777" w:rsidTr="0094624F">
        <w:tc>
          <w:tcPr>
            <w:tcW w:w="1843" w:type="dxa"/>
            <w:vMerge/>
            <w:shd w:val="clear" w:color="auto" w:fill="DEEAF6" w:themeFill="accent5" w:themeFillTint="33"/>
          </w:tcPr>
          <w:p w14:paraId="7990569B" w14:textId="77777777" w:rsidR="00F71A04" w:rsidRPr="00F71A04" w:rsidRDefault="00F71A04" w:rsidP="00F71A04">
            <w:pPr>
              <w:spacing w:after="120" w:line="259" w:lineRule="auto"/>
              <w:rPr>
                <w:b/>
                <w:bCs/>
              </w:rPr>
            </w:pPr>
          </w:p>
        </w:tc>
        <w:tc>
          <w:tcPr>
            <w:tcW w:w="2972" w:type="dxa"/>
            <w:shd w:val="clear" w:color="auto" w:fill="DEEAF6" w:themeFill="accent5" w:themeFillTint="33"/>
          </w:tcPr>
          <w:p w14:paraId="31577032" w14:textId="77777777" w:rsidR="00F71A04" w:rsidRPr="00F71A04" w:rsidRDefault="00F71A04" w:rsidP="00F71A04">
            <w:pPr>
              <w:spacing w:after="120" w:line="259" w:lineRule="auto"/>
              <w:rPr>
                <w:b/>
                <w:bCs/>
              </w:rPr>
            </w:pPr>
            <w:r w:rsidRPr="00F71A04">
              <w:rPr>
                <w:b/>
                <w:bCs/>
              </w:rPr>
              <w:t>Change in HbA1c (%)</w:t>
            </w:r>
          </w:p>
        </w:tc>
        <w:tc>
          <w:tcPr>
            <w:tcW w:w="3685" w:type="dxa"/>
            <w:shd w:val="clear" w:color="auto" w:fill="DEEAF6" w:themeFill="accent5" w:themeFillTint="33"/>
          </w:tcPr>
          <w:p w14:paraId="0277F99F" w14:textId="77777777" w:rsidR="00F71A04" w:rsidRPr="00F71A04" w:rsidRDefault="00F71A04" w:rsidP="00F71A04">
            <w:pPr>
              <w:spacing w:after="120" w:line="259" w:lineRule="auto"/>
              <w:rPr>
                <w:b/>
                <w:bCs/>
              </w:rPr>
            </w:pPr>
            <w:r w:rsidRPr="00F71A04">
              <w:rPr>
                <w:b/>
                <w:bCs/>
              </w:rPr>
              <w:t>Change in Body Weight (kg)</w:t>
            </w:r>
          </w:p>
        </w:tc>
      </w:tr>
      <w:tr w:rsidR="00F71A04" w:rsidRPr="00F71A04" w14:paraId="6FC8E853" w14:textId="77777777" w:rsidTr="0094624F">
        <w:tc>
          <w:tcPr>
            <w:tcW w:w="1843" w:type="dxa"/>
          </w:tcPr>
          <w:p w14:paraId="2CEB27A8" w14:textId="77777777" w:rsidR="00F71A04" w:rsidRPr="00F71A04" w:rsidRDefault="00F71A04" w:rsidP="00F71A04">
            <w:pPr>
              <w:spacing w:after="120" w:line="259" w:lineRule="auto"/>
            </w:pPr>
            <w:r w:rsidRPr="00F71A04">
              <w:t>5 mg</w:t>
            </w:r>
          </w:p>
        </w:tc>
        <w:tc>
          <w:tcPr>
            <w:tcW w:w="2972" w:type="dxa"/>
            <w:vAlign w:val="center"/>
          </w:tcPr>
          <w:p w14:paraId="545D1BB1" w14:textId="77777777" w:rsidR="00F71A04" w:rsidRPr="00F71A04" w:rsidRDefault="00F71A04" w:rsidP="00F71A04">
            <w:pPr>
              <w:spacing w:after="120" w:line="259" w:lineRule="auto"/>
            </w:pPr>
            <w:r w:rsidRPr="00F71A04">
              <w:t>−1.09 [−1.27, −0.90]</w:t>
            </w:r>
          </w:p>
        </w:tc>
        <w:tc>
          <w:tcPr>
            <w:tcW w:w="3685" w:type="dxa"/>
          </w:tcPr>
          <w:p w14:paraId="12FC2FF8" w14:textId="77777777" w:rsidR="00F71A04" w:rsidRPr="00F71A04" w:rsidRDefault="00F71A04" w:rsidP="00F71A04">
            <w:pPr>
              <w:spacing w:after="120" w:line="259" w:lineRule="auto"/>
            </w:pPr>
            <w:r w:rsidRPr="00F71A04">
              <w:t>−5.2 [−6.4, − 4.1]</w:t>
            </w:r>
          </w:p>
        </w:tc>
      </w:tr>
      <w:tr w:rsidR="00F71A04" w:rsidRPr="00F71A04" w14:paraId="6E4EE94D" w14:textId="77777777" w:rsidTr="0094624F">
        <w:tc>
          <w:tcPr>
            <w:tcW w:w="1843" w:type="dxa"/>
          </w:tcPr>
          <w:p w14:paraId="0985B0F1" w14:textId="77777777" w:rsidR="00F71A04" w:rsidRPr="00F71A04" w:rsidRDefault="00F71A04" w:rsidP="00F71A04">
            <w:pPr>
              <w:spacing w:after="120" w:line="259" w:lineRule="auto"/>
            </w:pPr>
            <w:r w:rsidRPr="00F71A04">
              <w:t>10 mg</w:t>
            </w:r>
          </w:p>
        </w:tc>
        <w:tc>
          <w:tcPr>
            <w:tcW w:w="2972" w:type="dxa"/>
            <w:vAlign w:val="center"/>
          </w:tcPr>
          <w:p w14:paraId="68E1B988" w14:textId="77777777" w:rsidR="00F71A04" w:rsidRPr="00F71A04" w:rsidRDefault="00F71A04" w:rsidP="00F71A04">
            <w:pPr>
              <w:spacing w:after="120" w:line="259" w:lineRule="auto"/>
            </w:pPr>
            <w:r w:rsidRPr="00F71A04">
              <w:t>−1.27 [−1.45, −1.08]</w:t>
            </w:r>
          </w:p>
        </w:tc>
        <w:tc>
          <w:tcPr>
            <w:tcW w:w="3685" w:type="dxa"/>
          </w:tcPr>
          <w:p w14:paraId="36978826" w14:textId="77777777" w:rsidR="00F71A04" w:rsidRPr="00F71A04" w:rsidRDefault="00F71A04" w:rsidP="00F71A04">
            <w:pPr>
              <w:spacing w:after="120" w:line="259" w:lineRule="auto"/>
            </w:pPr>
            <w:r w:rsidRPr="00F71A04">
              <w:t>−7.9 [−9.1, −6.8]</w:t>
            </w:r>
          </w:p>
        </w:tc>
      </w:tr>
      <w:tr w:rsidR="00F71A04" w:rsidRPr="00F71A04" w14:paraId="1F3C827C" w14:textId="77777777" w:rsidTr="0094624F">
        <w:tc>
          <w:tcPr>
            <w:tcW w:w="1843" w:type="dxa"/>
          </w:tcPr>
          <w:p w14:paraId="64592475" w14:textId="77777777" w:rsidR="00F71A04" w:rsidRPr="00F71A04" w:rsidRDefault="00F71A04" w:rsidP="00F71A04">
            <w:pPr>
              <w:spacing w:after="120" w:line="259" w:lineRule="auto"/>
            </w:pPr>
            <w:r w:rsidRPr="00F71A04">
              <w:t>15 mg</w:t>
            </w:r>
          </w:p>
        </w:tc>
        <w:tc>
          <w:tcPr>
            <w:tcW w:w="2972" w:type="dxa"/>
            <w:vAlign w:val="center"/>
          </w:tcPr>
          <w:p w14:paraId="4AD89583" w14:textId="77777777" w:rsidR="00F71A04" w:rsidRPr="00F71A04" w:rsidRDefault="00F71A04" w:rsidP="00F71A04">
            <w:pPr>
              <w:spacing w:after="120" w:line="259" w:lineRule="auto"/>
            </w:pPr>
            <w:r w:rsidRPr="00F71A04">
              <w:t>−1.53 [−1.71, −1.35]</w:t>
            </w:r>
          </w:p>
        </w:tc>
        <w:tc>
          <w:tcPr>
            <w:tcW w:w="3685" w:type="dxa"/>
          </w:tcPr>
          <w:p w14:paraId="71ECA9D7" w14:textId="77777777" w:rsidR="00F71A04" w:rsidRPr="00F71A04" w:rsidRDefault="00F71A04" w:rsidP="00F71A04">
            <w:pPr>
              <w:spacing w:after="120" w:line="259" w:lineRule="auto"/>
            </w:pPr>
            <w:r w:rsidRPr="00F71A04">
              <w:t>−10.1 [−11.3, −9.0]</w:t>
            </w:r>
          </w:p>
        </w:tc>
      </w:tr>
    </w:tbl>
    <w:p w14:paraId="4924021F" w14:textId="73071F69" w:rsidR="008E715C" w:rsidRDefault="008E715C" w:rsidP="008E715C">
      <w:pPr>
        <w:pStyle w:val="TableDescription"/>
      </w:pPr>
      <w:r>
        <w:t>Abbreviations: CI = confidence interval; HbA1c = haemoglobin A1c.</w:t>
      </w:r>
    </w:p>
    <w:p w14:paraId="12E545A5" w14:textId="18193719" w:rsidR="00464F20" w:rsidRPr="00464F20" w:rsidRDefault="002E7BD8" w:rsidP="00855B3F">
      <w:pPr>
        <w:pStyle w:val="Heading6"/>
      </w:pPr>
      <w:r>
        <w:t xml:space="preserve">Study </w:t>
      </w:r>
      <w:r w:rsidR="00464F20" w:rsidRPr="00464F20">
        <w:t>SURPASS J</w:t>
      </w:r>
      <w:r w:rsidR="005E279A">
        <w:noBreakHyphen/>
      </w:r>
      <w:r w:rsidR="00464F20" w:rsidRPr="00464F20">
        <w:t>combo (GPGP)</w:t>
      </w:r>
    </w:p>
    <w:p w14:paraId="00AD7940" w14:textId="22556142" w:rsidR="00464F20" w:rsidRPr="00464F20" w:rsidRDefault="00464F20" w:rsidP="00464F20">
      <w:r w:rsidRPr="00464F20">
        <w:t>SURPASS J</w:t>
      </w:r>
      <w:r w:rsidR="005E279A">
        <w:noBreakHyphen/>
      </w:r>
      <w:r w:rsidRPr="00464F20">
        <w:t>combo (</w:t>
      </w:r>
      <w:r w:rsidR="008E715C">
        <w:t xml:space="preserve">Study </w:t>
      </w:r>
      <w:r w:rsidRPr="00464F20">
        <w:t>GPGP) was a 52</w:t>
      </w:r>
      <w:r w:rsidR="00855B3F">
        <w:t xml:space="preserve"> </w:t>
      </w:r>
      <w:r w:rsidRPr="00464F20">
        <w:t>week</w:t>
      </w:r>
      <w:r w:rsidR="00855B3F">
        <w:t>,</w:t>
      </w:r>
      <w:r w:rsidRPr="00464F20">
        <w:t xml:space="preserve"> 3</w:t>
      </w:r>
      <w:r w:rsidR="005E279A">
        <w:noBreakHyphen/>
      </w:r>
      <w:r w:rsidRPr="00464F20">
        <w:t xml:space="preserve">arm (tirzepatide </w:t>
      </w:r>
      <w:r w:rsidR="009F6F50">
        <w:t>5 mg</w:t>
      </w:r>
      <w:r w:rsidRPr="00464F20">
        <w:t xml:space="preserve">, </w:t>
      </w:r>
      <w:r w:rsidR="009F6F50">
        <w:t>10 mg</w:t>
      </w:r>
      <w:r w:rsidR="00855B3F">
        <w:t>,</w:t>
      </w:r>
      <w:r w:rsidRPr="00464F20">
        <w:t xml:space="preserve"> 1</w:t>
      </w:r>
      <w:r w:rsidR="009F6F50">
        <w:t>5 mg</w:t>
      </w:r>
      <w:r w:rsidRPr="00464F20">
        <w:t>) ‘add</w:t>
      </w:r>
      <w:r w:rsidR="005E279A">
        <w:noBreakHyphen/>
      </w:r>
      <w:r w:rsidRPr="00464F20">
        <w:t>on treatment’ study randomising 443 patients in 34 centres in Japan. Eligible were patients with T2DM currently treated with OAMs (including metformin, SGLT2 inhibitors, a</w:t>
      </w:r>
      <w:r w:rsidR="006F6378">
        <w:t>lpha</w:t>
      </w:r>
      <w:r w:rsidR="005E279A">
        <w:noBreakHyphen/>
      </w:r>
      <w:r w:rsidRPr="00464F20">
        <w:t xml:space="preserve">glucosidase </w:t>
      </w:r>
      <w:r w:rsidRPr="006F6378">
        <w:t>inhibitors</w:t>
      </w:r>
      <w:r w:rsidR="008E715C" w:rsidRPr="006F6378">
        <w:t>,</w:t>
      </w:r>
      <w:r w:rsidRPr="006F6378">
        <w:t xml:space="preserve"> thiazolidinediones</w:t>
      </w:r>
      <w:r w:rsidR="008E715C" w:rsidRPr="006F6378">
        <w:t xml:space="preserve">, </w:t>
      </w:r>
      <w:r w:rsidR="007C64C2" w:rsidRPr="006F6378">
        <w:t>sulfonylureas</w:t>
      </w:r>
      <w:r w:rsidRPr="006F6378">
        <w:t>, or glinides). Primary and key endpoints were the</w:t>
      </w:r>
      <w:r w:rsidRPr="00464F20">
        <w:t xml:space="preserve"> change in HbA1c and body weight from baseline to Week</w:t>
      </w:r>
      <w:r w:rsidR="00855B3F">
        <w:t> </w:t>
      </w:r>
      <w:r w:rsidRPr="00464F20">
        <w:t>52.</w:t>
      </w:r>
    </w:p>
    <w:p w14:paraId="1A114978" w14:textId="3F48DC85" w:rsidR="00464F20" w:rsidRPr="00464F20" w:rsidRDefault="00464F20" w:rsidP="00464F20">
      <w:r w:rsidRPr="00464F20">
        <w:t xml:space="preserve">The study had no control arm. The completion rate was 98.0% (tirzepatide </w:t>
      </w:r>
      <w:r w:rsidR="009F6F50">
        <w:t>5 mg</w:t>
      </w:r>
      <w:r w:rsidRPr="00464F20">
        <w:t>), 94.6% (</w:t>
      </w:r>
      <w:r w:rsidR="00855B3F">
        <w:t xml:space="preserve">tirzepatide </w:t>
      </w:r>
      <w:r w:rsidR="009F6F50">
        <w:t>10 mg</w:t>
      </w:r>
      <w:r w:rsidRPr="00464F20">
        <w:t>), and 89.9% (</w:t>
      </w:r>
      <w:r w:rsidR="00855B3F">
        <w:t xml:space="preserve">tirzepatide </w:t>
      </w:r>
      <w:r w:rsidRPr="00464F20">
        <w:t>1</w:t>
      </w:r>
      <w:r w:rsidR="009F6F50">
        <w:t>5 mg</w:t>
      </w:r>
      <w:r w:rsidRPr="00464F20">
        <w:t xml:space="preserve">), while the number of patients completing the study drug in these groups was 137 (9.26%), 136 (92.5%), and 125 (84.5%), respectively. </w:t>
      </w:r>
    </w:p>
    <w:p w14:paraId="243C436F" w14:textId="51520E9E" w:rsidR="00464F20" w:rsidRPr="00464F20" w:rsidRDefault="00464F20" w:rsidP="00464F20">
      <w:r w:rsidRPr="00464F20">
        <w:t xml:space="preserve">The study population had a mean age of </w:t>
      </w:r>
      <w:r w:rsidR="00855B3F">
        <w:t xml:space="preserve">approximately </w:t>
      </w:r>
      <w:r w:rsidRPr="00464F20">
        <w:t>57 years. The mean duration of diabetes was 9.5 to 10.21</w:t>
      </w:r>
      <w:r w:rsidR="00855B3F">
        <w:t> </w:t>
      </w:r>
      <w:r w:rsidRPr="00464F20">
        <w:t xml:space="preserve">years, the mean HbA1c </w:t>
      </w:r>
      <w:r w:rsidR="00855B3F">
        <w:t xml:space="preserve">was </w:t>
      </w:r>
      <w:r w:rsidRPr="00464F20">
        <w:t xml:space="preserve">8.53% </w:t>
      </w:r>
      <w:r w:rsidR="00855B3F">
        <w:t xml:space="preserve">to </w:t>
      </w:r>
      <w:r w:rsidRPr="00464F20">
        <w:t>8.59%, and the mean body weight 76.58</w:t>
      </w:r>
      <w:r w:rsidR="00855B3F">
        <w:t> </w:t>
      </w:r>
      <w:r w:rsidRPr="00464F20">
        <w:t>kg to 78.29</w:t>
      </w:r>
      <w:r w:rsidR="00855B3F">
        <w:t> </w:t>
      </w:r>
      <w:r w:rsidRPr="00464F20">
        <w:t>kg.</w:t>
      </w:r>
    </w:p>
    <w:p w14:paraId="36F3B934" w14:textId="677591FB" w:rsidR="00464F20" w:rsidRDefault="00464F20" w:rsidP="00464F20">
      <w:r w:rsidRPr="00464F20">
        <w:t xml:space="preserve">The results showed favourable effects for Week 52 for all </w:t>
      </w:r>
      <w:r w:rsidR="00320553">
        <w:t>3</w:t>
      </w:r>
      <w:r w:rsidRPr="00464F20">
        <w:t xml:space="preserve"> doses of tirzepatide (</w:t>
      </w:r>
      <w:r w:rsidR="00BA5456">
        <w:fldChar w:fldCharType="begin"/>
      </w:r>
      <w:r w:rsidR="00BA5456">
        <w:instrText xml:space="preserve"> REF _Ref145431384 \h </w:instrText>
      </w:r>
      <w:r w:rsidR="00BA5456">
        <w:fldChar w:fldCharType="separate"/>
      </w:r>
      <w:r w:rsidR="008465DD">
        <w:t xml:space="preserve">Table </w:t>
      </w:r>
      <w:r w:rsidR="008465DD">
        <w:rPr>
          <w:noProof/>
        </w:rPr>
        <w:t>12</w:t>
      </w:r>
      <w:r w:rsidR="00BA5456">
        <w:fldChar w:fldCharType="end"/>
      </w:r>
      <w:r w:rsidRPr="00464F20">
        <w:t>).</w:t>
      </w:r>
    </w:p>
    <w:p w14:paraId="241D7E08" w14:textId="4080F4BF" w:rsidR="00BA5456" w:rsidRDefault="00BA5456" w:rsidP="00BA5456">
      <w:pPr>
        <w:pStyle w:val="TableTitle"/>
      </w:pPr>
      <w:bookmarkStart w:id="66" w:name="_Ref145431384"/>
      <w:bookmarkStart w:id="67" w:name="_Ref145431356"/>
      <w:r>
        <w:lastRenderedPageBreak/>
        <w:t xml:space="preserve">Table </w:t>
      </w:r>
      <w:r w:rsidR="002B0E47">
        <w:fldChar w:fldCharType="begin"/>
      </w:r>
      <w:r w:rsidR="002B0E47">
        <w:instrText xml:space="preserve"> SEQ Table \* ARABIC </w:instrText>
      </w:r>
      <w:r w:rsidR="002B0E47">
        <w:fldChar w:fldCharType="separate"/>
      </w:r>
      <w:r w:rsidR="008465DD">
        <w:rPr>
          <w:noProof/>
        </w:rPr>
        <w:t>12</w:t>
      </w:r>
      <w:r w:rsidR="002B0E47">
        <w:rPr>
          <w:noProof/>
        </w:rPr>
        <w:fldChar w:fldCharType="end"/>
      </w:r>
      <w:bookmarkEnd w:id="66"/>
      <w:r>
        <w:t>: SURPASS J</w:t>
      </w:r>
      <w:r w:rsidR="005E279A">
        <w:noBreakHyphen/>
      </w:r>
      <w:r>
        <w:t>combo (Study GPGP) Summary of main results</w:t>
      </w:r>
      <w:bookmarkEnd w:id="67"/>
    </w:p>
    <w:p w14:paraId="5416AC0C" w14:textId="09FBDB3F" w:rsidR="008E715C" w:rsidRDefault="00BA5456" w:rsidP="00527728">
      <w:r>
        <w:rPr>
          <w:noProof/>
        </w:rPr>
        <w:drawing>
          <wp:inline distT="0" distB="0" distL="0" distR="0" wp14:anchorId="57C2A9AC" wp14:editId="5E37E938">
            <wp:extent cx="5759450" cy="2196465"/>
            <wp:effectExtent l="0" t="0" r="0" b="0"/>
            <wp:docPr id="29" name="Picture 29" descr="Summary of changes from baseline to Week 52 for HbA1c and body weight. Subjects on tirzepatide 5mg, 10mg or 15mg as add-on to sulfonylureas, biguanides, alpha-glucosidase inhibitors, thiazolidinedione, glinides, and sodium-glucose cotransporter type 2 inhib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ummary of changes from baseline to Week 52 for HbA1c and body weight. Subjects on tirzepatide 5mg, 10mg or 15mg as add-on to sulfonylureas, biguanides, alpha-glucosidase inhibitors, thiazolidinedione, glinides, and sodium-glucose cotransporter type 2 inhibitors."/>
                    <pic:cNvPicPr/>
                  </pic:nvPicPr>
                  <pic:blipFill>
                    <a:blip r:embed="rId41"/>
                    <a:stretch>
                      <a:fillRect/>
                    </a:stretch>
                  </pic:blipFill>
                  <pic:spPr>
                    <a:xfrm>
                      <a:off x="0" y="0"/>
                      <a:ext cx="5759450" cy="2196465"/>
                    </a:xfrm>
                    <a:prstGeom prst="rect">
                      <a:avLst/>
                    </a:prstGeom>
                  </pic:spPr>
                </pic:pic>
              </a:graphicData>
            </a:graphic>
          </wp:inline>
        </w:drawing>
      </w:r>
    </w:p>
    <w:p w14:paraId="0E1AF5B3" w14:textId="137868BA" w:rsidR="00BA5456" w:rsidRDefault="00BA5456" w:rsidP="00BA5456">
      <w:pPr>
        <w:pStyle w:val="TableDescription"/>
      </w:pPr>
      <w:r>
        <w:t>Abbreviations: a</w:t>
      </w:r>
      <w:r w:rsidR="005E279A">
        <w:noBreakHyphen/>
      </w:r>
      <w:r>
        <w:t>GI = alpha</w:t>
      </w:r>
      <w:r w:rsidR="005E279A">
        <w:noBreakHyphen/>
      </w:r>
      <w:r>
        <w:t>glucosidase inhibitors; HbA1c = glycated haemoglobin; LSMean = least</w:t>
      </w:r>
      <w:r w:rsidR="005E279A">
        <w:noBreakHyphen/>
      </w:r>
      <w:r>
        <w:t>squares mean; mITT = modified intent</w:t>
      </w:r>
      <w:r w:rsidR="005E279A">
        <w:noBreakHyphen/>
      </w:r>
      <w:r>
        <w:t>to</w:t>
      </w:r>
      <w:r w:rsidR="005E279A">
        <w:noBreakHyphen/>
      </w:r>
      <w:r>
        <w:t>treat; MMRM = mixed model repeated measures; N = number of patients who were randomized and received at least 1 dose of study drug; OAMs = oral antihyperglycemic medications; SE = standard error; SGLT</w:t>
      </w:r>
      <w:r w:rsidR="005E279A">
        <w:noBreakHyphen/>
      </w:r>
      <w:r>
        <w:t>2i = sodium</w:t>
      </w:r>
      <w:r w:rsidR="005E279A">
        <w:noBreakHyphen/>
      </w:r>
      <w:r>
        <w:t>glucose cotransporter type 2 inhibitors; SU = sulfonylureas; TZD = thiazolidinedione; TZP = tirzepatide.</w:t>
      </w:r>
    </w:p>
    <w:p w14:paraId="7172DF4F" w14:textId="156247CD" w:rsidR="00BA5456" w:rsidRDefault="00BA5456" w:rsidP="00BA5456">
      <w:pPr>
        <w:pStyle w:val="TableDescription"/>
      </w:pPr>
      <w:r>
        <w:t>Note: Shown are the LSMean (SE).</w:t>
      </w:r>
    </w:p>
    <w:p w14:paraId="186D2559" w14:textId="0D566E02" w:rsidR="00527728" w:rsidRDefault="00464F20" w:rsidP="00527728">
      <w:pPr>
        <w:pStyle w:val="Heading5"/>
      </w:pPr>
      <w:r w:rsidRPr="00464F20">
        <w:t>Dose</w:t>
      </w:r>
      <w:r w:rsidR="005E279A">
        <w:noBreakHyphen/>
      </w:r>
      <w:r w:rsidRPr="00464F20">
        <w:t>finding studies</w:t>
      </w:r>
    </w:p>
    <w:p w14:paraId="62C431D8" w14:textId="246E358F" w:rsidR="00BD3671" w:rsidRPr="00464F20" w:rsidRDefault="00BD3671" w:rsidP="00BD3671">
      <w:r w:rsidRPr="00464F20">
        <w:t xml:space="preserve">The dose finding was based on </w:t>
      </w:r>
      <w:r w:rsidR="00320553">
        <w:t>2</w:t>
      </w:r>
      <w:r w:rsidRPr="00464F20">
        <w:t xml:space="preserve"> Phase </w:t>
      </w:r>
      <w:r>
        <w:t>II</w:t>
      </w:r>
      <w:r w:rsidRPr="00464F20">
        <w:t xml:space="preserve"> studies</w:t>
      </w:r>
      <w:r>
        <w:t xml:space="preserve">, </w:t>
      </w:r>
      <w:r w:rsidR="000637CD">
        <w:t xml:space="preserve">Study </w:t>
      </w:r>
      <w:r w:rsidRPr="00464F20">
        <w:t xml:space="preserve">GPGB and </w:t>
      </w:r>
      <w:r w:rsidR="000637CD">
        <w:t xml:space="preserve">Study </w:t>
      </w:r>
      <w:r w:rsidRPr="00464F20">
        <w:t>GPGF.</w:t>
      </w:r>
    </w:p>
    <w:p w14:paraId="3CA593B4" w14:textId="5988EF45" w:rsidR="00464F20" w:rsidRPr="00464F20" w:rsidRDefault="002E7BD8" w:rsidP="00527728">
      <w:pPr>
        <w:pStyle w:val="Heading6"/>
      </w:pPr>
      <w:r>
        <w:t xml:space="preserve">Study </w:t>
      </w:r>
      <w:r w:rsidR="00464F20" w:rsidRPr="00464F20">
        <w:t>GPGB</w:t>
      </w:r>
    </w:p>
    <w:p w14:paraId="6C2FC68A" w14:textId="0BBE0E01" w:rsidR="00464F20" w:rsidRPr="00BD3671" w:rsidRDefault="00BD3671" w:rsidP="00BD3671">
      <w:r>
        <w:t xml:space="preserve">Study </w:t>
      </w:r>
      <w:r w:rsidR="00464F20" w:rsidRPr="00BD3671">
        <w:t>GPGB was a 26</w:t>
      </w:r>
      <w:r>
        <w:t xml:space="preserve"> </w:t>
      </w:r>
      <w:r w:rsidR="00464F20" w:rsidRPr="00BD3671">
        <w:t>week multicentre, randomised, double</w:t>
      </w:r>
      <w:r w:rsidR="005E279A">
        <w:noBreakHyphen/>
      </w:r>
      <w:r w:rsidR="00464F20" w:rsidRPr="00BD3671">
        <w:t xml:space="preserve">blind trial investigating </w:t>
      </w:r>
      <w:r w:rsidR="00320553">
        <w:t>4</w:t>
      </w:r>
      <w:r w:rsidR="00464F20" w:rsidRPr="00BD3671">
        <w:t xml:space="preserve"> tirzepatide doses (1</w:t>
      </w:r>
      <w:r w:rsidR="00320553">
        <w:t> mg</w:t>
      </w:r>
      <w:r w:rsidR="00464F20" w:rsidRPr="00BD3671">
        <w:t>, 5</w:t>
      </w:r>
      <w:r w:rsidR="00320553">
        <w:t> mg</w:t>
      </w:r>
      <w:r w:rsidR="00464F20" w:rsidRPr="00BD3671">
        <w:t>, 10</w:t>
      </w:r>
      <w:r w:rsidR="00320553">
        <w:t> mg</w:t>
      </w:r>
      <w:r w:rsidR="00464F20" w:rsidRPr="00BD3671">
        <w:t xml:space="preserve"> and 1</w:t>
      </w:r>
      <w:r w:rsidR="009F6F50">
        <w:t>5 mg</w:t>
      </w:r>
      <w:r w:rsidR="00464F20" w:rsidRPr="00BD3671">
        <w:t xml:space="preserve"> </w:t>
      </w:r>
      <w:r>
        <w:t>once weekly</w:t>
      </w:r>
      <w:r w:rsidR="00464F20" w:rsidRPr="00BD3671">
        <w:t>) as compared with dulaglutide 1.</w:t>
      </w:r>
      <w:r w:rsidR="009F6F50">
        <w:t>5 mg</w:t>
      </w:r>
      <w:r w:rsidR="00464F20" w:rsidRPr="00BD3671">
        <w:t xml:space="preserve"> </w:t>
      </w:r>
      <w:r>
        <w:t>once weekly</w:t>
      </w:r>
      <w:r w:rsidR="00464F20" w:rsidRPr="00BD3671">
        <w:t xml:space="preserve"> and placebo in patients with T2DM who had inadequate glycaemic control. Patients were treatment</w:t>
      </w:r>
      <w:r w:rsidR="005E279A">
        <w:noBreakHyphen/>
      </w:r>
      <w:r w:rsidR="00464F20" w:rsidRPr="00BD3671">
        <w:t>naïve or have received metformin.</w:t>
      </w:r>
    </w:p>
    <w:p w14:paraId="7FE098CF" w14:textId="724F1412" w:rsidR="00464F20" w:rsidRPr="00BD3671" w:rsidRDefault="00464F20" w:rsidP="00BD3671">
      <w:r w:rsidRPr="00BD3671">
        <w:t>The primary efficacy endpoint was the change in HbA1c from baseline to Week</w:t>
      </w:r>
      <w:r w:rsidR="00BD3671">
        <w:t> </w:t>
      </w:r>
      <w:r w:rsidRPr="00BD3671">
        <w:t>26. The mITT population consisted of 316 patients (51 [placebo], 52 [tirzepatide 1</w:t>
      </w:r>
      <w:r w:rsidR="00BD3671">
        <w:t> </w:t>
      </w:r>
      <w:r w:rsidRPr="00BD3671">
        <w:t xml:space="preserve">mg], 55 [tirzepatide </w:t>
      </w:r>
      <w:r w:rsidR="009F6F50">
        <w:t>5 mg</w:t>
      </w:r>
      <w:r w:rsidRPr="00BD3671">
        <w:t xml:space="preserve">], 51 [tirzepatide </w:t>
      </w:r>
      <w:r w:rsidR="009F6F50">
        <w:t>10 mg</w:t>
      </w:r>
      <w:r w:rsidRPr="00BD3671">
        <w:t>], 53 [tirzepatide 1</w:t>
      </w:r>
      <w:r w:rsidR="009F6F50">
        <w:t>5 mg</w:t>
      </w:r>
      <w:r w:rsidRPr="00BD3671">
        <w:t>], and 54 [dulaglutide 1.</w:t>
      </w:r>
      <w:r w:rsidR="009F6F50">
        <w:t>5 mg</w:t>
      </w:r>
      <w:r w:rsidRPr="00BD3671">
        <w:t>]). Demographics and other baseline characteristics matched well between study arms (mean age of 57</w:t>
      </w:r>
      <w:r w:rsidR="00BD3671">
        <w:t> </w:t>
      </w:r>
      <w:r w:rsidRPr="00BD3671">
        <w:t xml:space="preserve">years, mean duration of T2DM </w:t>
      </w:r>
      <w:r w:rsidR="00BD3671">
        <w:t xml:space="preserve">of </w:t>
      </w:r>
      <w:r w:rsidRPr="00BD3671">
        <w:t>8.5</w:t>
      </w:r>
      <w:r w:rsidR="00BD3671">
        <w:t> </w:t>
      </w:r>
      <w:r w:rsidRPr="00BD3671">
        <w:t>years, and mean baseline HbA1c of 8.1%).</w:t>
      </w:r>
    </w:p>
    <w:p w14:paraId="665346FE" w14:textId="6D4DA622" w:rsidR="00464F20" w:rsidRDefault="00464F20" w:rsidP="00BD3671">
      <w:r w:rsidRPr="00BD3671">
        <w:t>Tirzepatide’s glucose</w:t>
      </w:r>
      <w:r w:rsidR="005E279A">
        <w:noBreakHyphen/>
      </w:r>
      <w:r w:rsidRPr="00BD3671">
        <w:t xml:space="preserve">lowering effect </w:t>
      </w:r>
      <w:r w:rsidR="00BD3671">
        <w:t>(</w:t>
      </w:r>
      <w:r w:rsidR="00BD3671" w:rsidRPr="00BD3671">
        <w:t>change in HbA1c</w:t>
      </w:r>
      <w:r w:rsidRPr="00BD3671">
        <w:t xml:space="preserve">) was superior compared to placebo for all doses tested. The </w:t>
      </w:r>
      <w:r w:rsidR="00BD3671" w:rsidRPr="00BD3671">
        <w:t xml:space="preserve">change in HbA1c </w:t>
      </w:r>
      <w:r w:rsidRPr="00BD3671">
        <w:t xml:space="preserve">induced by tirzepatide doses </w:t>
      </w:r>
      <w:r w:rsidR="009F6F50">
        <w:t>5 mg</w:t>
      </w:r>
      <w:r w:rsidRPr="00BD3671">
        <w:t xml:space="preserve"> </w:t>
      </w:r>
      <w:r w:rsidR="00BD3671">
        <w:t xml:space="preserve">and higher </w:t>
      </w:r>
      <w:r w:rsidRPr="00BD3671">
        <w:t>was superior to that of dulaglutide 1.</w:t>
      </w:r>
      <w:r w:rsidR="009F6F50">
        <w:t>5 mg</w:t>
      </w:r>
      <w:r w:rsidRPr="00BD3671">
        <w:t xml:space="preserve"> (</w:t>
      </w:r>
      <w:r w:rsidR="002F5560">
        <w:fldChar w:fldCharType="begin"/>
      </w:r>
      <w:r w:rsidR="002F5560">
        <w:instrText xml:space="preserve"> REF _Ref145431921 \h </w:instrText>
      </w:r>
      <w:r w:rsidR="002F5560">
        <w:fldChar w:fldCharType="separate"/>
      </w:r>
      <w:r w:rsidR="008465DD">
        <w:t xml:space="preserve">Table </w:t>
      </w:r>
      <w:r w:rsidR="008465DD">
        <w:rPr>
          <w:noProof/>
        </w:rPr>
        <w:t>13</w:t>
      </w:r>
      <w:r w:rsidR="002F5560">
        <w:fldChar w:fldCharType="end"/>
      </w:r>
      <w:r w:rsidRPr="00BD3671">
        <w:t>).</w:t>
      </w:r>
    </w:p>
    <w:p w14:paraId="23D7599D" w14:textId="16A6018D" w:rsidR="00464F20" w:rsidRDefault="002F5560" w:rsidP="002F5560">
      <w:pPr>
        <w:pStyle w:val="TableTitle"/>
        <w:rPr>
          <w:highlight w:val="cyan"/>
        </w:rPr>
      </w:pPr>
      <w:bookmarkStart w:id="68" w:name="_Ref145431921"/>
      <w:r>
        <w:t xml:space="preserve">Table </w:t>
      </w:r>
      <w:r w:rsidR="002B0E47">
        <w:fldChar w:fldCharType="begin"/>
      </w:r>
      <w:r w:rsidR="002B0E47">
        <w:instrText xml:space="preserve"> SEQ Table \* ARABIC </w:instrText>
      </w:r>
      <w:r w:rsidR="002B0E47">
        <w:fldChar w:fldCharType="separate"/>
      </w:r>
      <w:r w:rsidR="008465DD">
        <w:rPr>
          <w:noProof/>
        </w:rPr>
        <w:t>13</w:t>
      </w:r>
      <w:r w:rsidR="002B0E47">
        <w:rPr>
          <w:noProof/>
        </w:rPr>
        <w:fldChar w:fldCharType="end"/>
      </w:r>
      <w:bookmarkEnd w:id="68"/>
      <w:r>
        <w:t>: Study GPGB Summary of main results</w:t>
      </w:r>
    </w:p>
    <w:p w14:paraId="5C4201A5" w14:textId="77777777" w:rsidR="008E0A17" w:rsidRDefault="008E0A17" w:rsidP="00BD3671"/>
    <w:p w14:paraId="6234BECE" w14:textId="01BD7519" w:rsidR="00464F20" w:rsidRPr="00BD3671" w:rsidRDefault="00464F20" w:rsidP="00BD3671">
      <w:r w:rsidRPr="00BD3671">
        <w:t>Similar results were obtained for the change in fasting plasma glucose and body weight.</w:t>
      </w:r>
    </w:p>
    <w:p w14:paraId="1C88D229" w14:textId="389C3EF0" w:rsidR="00464F20" w:rsidRPr="00BD3671" w:rsidRDefault="00BD3671" w:rsidP="00BD3671">
      <w:r>
        <w:t xml:space="preserve">Study </w:t>
      </w:r>
      <w:r w:rsidR="00464F20" w:rsidRPr="00BD3671">
        <w:t>GPGB revealed no prohibitive safety issue for the doses tested. Safety characteristics of tirzepatide were similar to that of GLP</w:t>
      </w:r>
      <w:r w:rsidR="005E279A">
        <w:noBreakHyphen/>
      </w:r>
      <w:r w:rsidR="00464F20" w:rsidRPr="00BD3671">
        <w:t>1 receptor</w:t>
      </w:r>
      <w:r w:rsidR="005E279A">
        <w:noBreakHyphen/>
      </w:r>
      <w:r w:rsidR="00464F20" w:rsidRPr="00BD3671">
        <w:t xml:space="preserve">agonists with nausea, vomiting, and diarrhoea being the most common AEs. There was a dose response dependency of </w:t>
      </w:r>
      <w:r>
        <w:t>gastrointestinal</w:t>
      </w:r>
      <w:r w:rsidR="00464F20" w:rsidRPr="00BD3671">
        <w:t xml:space="preserve"> AEs (</w:t>
      </w:r>
      <w:r>
        <w:t xml:space="preserve">that is, </w:t>
      </w:r>
      <w:r w:rsidR="00464F20" w:rsidRPr="00BD3671">
        <w:t>tirzepatide 1</w:t>
      </w:r>
      <w:r w:rsidR="009F6F50">
        <w:t>5 mg</w:t>
      </w:r>
      <w:r w:rsidR="00464F20" w:rsidRPr="00BD3671">
        <w:t xml:space="preserve"> showed the highest rate and more patients in this group discontinued study treatment). No episodes of severe hypoglycaemia occurred throughout </w:t>
      </w:r>
      <w:r>
        <w:t>S</w:t>
      </w:r>
      <w:r w:rsidR="00464F20" w:rsidRPr="00BD3671">
        <w:t>tudy GPGB. Injection site reactions were similar across all treatment groups, although treatment</w:t>
      </w:r>
      <w:r w:rsidR="005E279A">
        <w:noBreakHyphen/>
      </w:r>
      <w:r w:rsidR="00464F20" w:rsidRPr="00BD3671">
        <w:t>emergent antidrug antibodies (ADA) were detected in a relatively large proportion of the tirzepatide treated patients (</w:t>
      </w:r>
      <w:r>
        <w:t xml:space="preserve">approximately </w:t>
      </w:r>
      <w:r w:rsidR="00464F20" w:rsidRPr="00BD3671">
        <w:t>40%).</w:t>
      </w:r>
    </w:p>
    <w:p w14:paraId="47F322E5" w14:textId="1F47FDE6" w:rsidR="00464F20" w:rsidRPr="00BD3671" w:rsidRDefault="00464F20" w:rsidP="00BD3671">
      <w:r w:rsidRPr="00BD3671">
        <w:lastRenderedPageBreak/>
        <w:t>Overall, the data support use of tirzepatide at a dose range from 5 to 1</w:t>
      </w:r>
      <w:r w:rsidR="009F6F50">
        <w:t>5 mg</w:t>
      </w:r>
      <w:r w:rsidRPr="00BD3671">
        <w:t xml:space="preserve">. The higher incidence of </w:t>
      </w:r>
      <w:r w:rsidR="00BD3671">
        <w:t>gastrointestinal</w:t>
      </w:r>
      <w:r w:rsidRPr="00BD3671">
        <w:t xml:space="preserve"> AEs with tirzepatide 1</w:t>
      </w:r>
      <w:r w:rsidR="009F6F50">
        <w:t>5 mg</w:t>
      </w:r>
      <w:r w:rsidRPr="00BD3671">
        <w:t xml:space="preserve"> may compromise its use in clinical practice.</w:t>
      </w:r>
    </w:p>
    <w:p w14:paraId="7BDA326C" w14:textId="1CDD487C" w:rsidR="00BD3671" w:rsidRPr="00BD3671" w:rsidRDefault="002E7BD8" w:rsidP="00BD3671">
      <w:pPr>
        <w:pStyle w:val="Heading6"/>
      </w:pPr>
      <w:r>
        <w:t xml:space="preserve">Study </w:t>
      </w:r>
      <w:r w:rsidR="00BD3671" w:rsidRPr="00BD3671">
        <w:t>GPGF</w:t>
      </w:r>
    </w:p>
    <w:p w14:paraId="558E8747" w14:textId="152BEF2B" w:rsidR="00464F20" w:rsidRDefault="00BD3671" w:rsidP="00BD3671">
      <w:r>
        <w:t xml:space="preserve">Study </w:t>
      </w:r>
      <w:r w:rsidR="00464F20" w:rsidRPr="00BD3671">
        <w:t>GPGF was a 12</w:t>
      </w:r>
      <w:r>
        <w:t> </w:t>
      </w:r>
      <w:r w:rsidR="00464F20" w:rsidRPr="00BD3671">
        <w:t>week, 4</w:t>
      </w:r>
      <w:r>
        <w:t> </w:t>
      </w:r>
      <w:r w:rsidR="00464F20" w:rsidRPr="00BD3671">
        <w:t>arm, placebo</w:t>
      </w:r>
      <w:r w:rsidR="005E279A">
        <w:noBreakHyphen/>
      </w:r>
      <w:r w:rsidR="00464F20" w:rsidRPr="00BD3671">
        <w:t xml:space="preserve">controlled Phase </w:t>
      </w:r>
      <w:r>
        <w:t>II</w:t>
      </w:r>
      <w:r w:rsidR="00464F20" w:rsidRPr="00BD3671">
        <w:t xml:space="preserve"> study investigating </w:t>
      </w:r>
      <w:r w:rsidR="00320553">
        <w:t>3</w:t>
      </w:r>
      <w:r w:rsidR="00464F20" w:rsidRPr="00BD3671">
        <w:t xml:space="preserve"> dose escalation schemes in patients with T2DM and a BMI of </w:t>
      </w:r>
      <w:r>
        <w:t xml:space="preserve">at least </w:t>
      </w:r>
      <w:r w:rsidR="00464F20" w:rsidRPr="00BD3671">
        <w:t xml:space="preserve">23 to </w:t>
      </w:r>
      <w:r>
        <w:t xml:space="preserve">maximum of </w:t>
      </w:r>
      <w:r w:rsidR="00464F20" w:rsidRPr="00BD3671">
        <w:t>45</w:t>
      </w:r>
      <w:r>
        <w:t> </w:t>
      </w:r>
      <w:r w:rsidR="00464F20" w:rsidRPr="00BD3671">
        <w:t>kg/m</w:t>
      </w:r>
      <w:r w:rsidR="00464F20" w:rsidRPr="00BD3671">
        <w:rPr>
          <w:vertAlign w:val="superscript"/>
        </w:rPr>
        <w:t>2</w:t>
      </w:r>
      <w:r>
        <w:t>; see figure below</w:t>
      </w:r>
      <w:r w:rsidR="00464F20" w:rsidRPr="00BD3671">
        <w:t>.</w:t>
      </w:r>
    </w:p>
    <w:p w14:paraId="56F7216B" w14:textId="55E15FDF" w:rsidR="00CD28D7" w:rsidRPr="00BD3671" w:rsidRDefault="00CD28D7" w:rsidP="00CD28D7">
      <w:pPr>
        <w:pStyle w:val="FigureTitle"/>
      </w:pPr>
      <w:r>
        <w:t xml:space="preserve">Figure </w:t>
      </w:r>
      <w:r w:rsidR="002B0E47">
        <w:fldChar w:fldCharType="begin"/>
      </w:r>
      <w:r w:rsidR="002B0E47">
        <w:instrText xml:space="preserve"> SEQ Figure \* ARABIC </w:instrText>
      </w:r>
      <w:r w:rsidR="002B0E47">
        <w:fldChar w:fldCharType="separate"/>
      </w:r>
      <w:r w:rsidR="008465DD">
        <w:rPr>
          <w:noProof/>
        </w:rPr>
        <w:t>10</w:t>
      </w:r>
      <w:r w:rsidR="002B0E47">
        <w:rPr>
          <w:noProof/>
        </w:rPr>
        <w:fldChar w:fldCharType="end"/>
      </w:r>
      <w:r>
        <w:t>: Study GPGF</w:t>
      </w:r>
      <w:r w:rsidR="002F5560">
        <w:t xml:space="preserve"> </w:t>
      </w:r>
      <w:r>
        <w:t>Study design schema</w:t>
      </w:r>
    </w:p>
    <w:p w14:paraId="57E891B2" w14:textId="77777777" w:rsidR="00464F20" w:rsidRPr="00BD3671" w:rsidRDefault="00464F20" w:rsidP="00BD3671">
      <w:r w:rsidRPr="00BD3671">
        <w:rPr>
          <w:noProof/>
        </w:rPr>
        <w:drawing>
          <wp:inline distT="0" distB="0" distL="0" distR="0" wp14:anchorId="2AF40947" wp14:editId="364C357F">
            <wp:extent cx="5583219" cy="1819808"/>
            <wp:effectExtent l="0" t="0" r="0" b="9525"/>
            <wp:docPr id="1066" name="Picture 1066" descr="Schema showing 1 week of screening and 1 week of lead‑in. There is a placobo group and 3 treatment groups for which dose escalation steps are shown. Treatment is for 12 weeks, with 4 week follow-up period. Times of visits in-person or by telephone are shown along the bottom of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Grafik 1066" descr="Schema showing 1 week of screening and 1 week of lead‑in. There is a placobo group and 3 treatment groups for which dose escalation steps are shown. Treatment is for 12 weeks, with 4 week follow-up period. Times of visits in-person or by telephone are shown along the bottom of schema."/>
                    <pic:cNvPicPr/>
                  </pic:nvPicPr>
                  <pic:blipFill>
                    <a:blip r:embed="rId42"/>
                    <a:stretch>
                      <a:fillRect/>
                    </a:stretch>
                  </pic:blipFill>
                  <pic:spPr>
                    <a:xfrm>
                      <a:off x="0" y="0"/>
                      <a:ext cx="5621878" cy="1832409"/>
                    </a:xfrm>
                    <a:prstGeom prst="rect">
                      <a:avLst/>
                    </a:prstGeom>
                  </pic:spPr>
                </pic:pic>
              </a:graphicData>
            </a:graphic>
          </wp:inline>
        </w:drawing>
      </w:r>
    </w:p>
    <w:p w14:paraId="40697B84" w14:textId="02E5C3C6" w:rsidR="005A6EC3" w:rsidRDefault="005A6EC3" w:rsidP="005A6EC3">
      <w:pPr>
        <w:pStyle w:val="FigureDescription"/>
      </w:pPr>
      <w:r>
        <w:t>Abbreviations: ET = early termination visit; T = telephone visit; Visit 801 = end of study visit.</w:t>
      </w:r>
    </w:p>
    <w:p w14:paraId="2111DD6D" w14:textId="3D5369DC" w:rsidR="005A6EC3" w:rsidRDefault="005A6EC3" w:rsidP="005A6EC3">
      <w:pPr>
        <w:pStyle w:val="FigureDescription"/>
      </w:pPr>
      <w:r>
        <w:t>a Visit 10 occurs 1 week after the last dose (Dose 12) of study drug.</w:t>
      </w:r>
    </w:p>
    <w:p w14:paraId="4410FA82" w14:textId="4614FDD0" w:rsidR="005A6EC3" w:rsidRDefault="005A6EC3" w:rsidP="005A6EC3">
      <w:pPr>
        <w:pStyle w:val="FigureDescription"/>
      </w:pPr>
      <w:r>
        <w:t>b Visit 801 (follow</w:t>
      </w:r>
      <w:r w:rsidR="005E279A">
        <w:noBreakHyphen/>
      </w:r>
      <w:r>
        <w:t>up visit) occurs 4 weeks after Dose 12 or 3 weeks after Visit 10.</w:t>
      </w:r>
    </w:p>
    <w:p w14:paraId="426D7AD7" w14:textId="29B45A29" w:rsidR="00464F20" w:rsidRPr="00BD3671" w:rsidRDefault="00464F20" w:rsidP="00BD3671">
      <w:r w:rsidRPr="00BD3671">
        <w:t>Prior anti</w:t>
      </w:r>
      <w:r w:rsidRPr="00BD3671">
        <w:softHyphen/>
        <w:t>diabetic treatment of these patients could include metformin. The primary efficacy endpoint was the change in HbA1c from baseline to Week</w:t>
      </w:r>
      <w:r w:rsidR="00CD28D7">
        <w:t> </w:t>
      </w:r>
      <w:r w:rsidRPr="00BD3671">
        <w:t>12.</w:t>
      </w:r>
    </w:p>
    <w:p w14:paraId="7D0E5F4C" w14:textId="2E59FD50" w:rsidR="00464F20" w:rsidRDefault="00CD28D7" w:rsidP="00BD3671">
      <w:r>
        <w:t xml:space="preserve">Study </w:t>
      </w:r>
      <w:r w:rsidR="00464F20" w:rsidRPr="00BD3671">
        <w:t>GPGF enrolled 111 patients who had a mean age of 57.4</w:t>
      </w:r>
      <w:r>
        <w:t> </w:t>
      </w:r>
      <w:r w:rsidR="00464F20" w:rsidRPr="00BD3671">
        <w:t>years, T2DM duration of 9.13</w:t>
      </w:r>
      <w:r>
        <w:t> </w:t>
      </w:r>
      <w:r w:rsidR="00464F20" w:rsidRPr="00BD3671">
        <w:t>years, and baseline HbA1c of 8.35%. The glucose</w:t>
      </w:r>
      <w:r w:rsidR="005E279A">
        <w:noBreakHyphen/>
      </w:r>
      <w:r w:rsidR="00464F20" w:rsidRPr="00BD3671">
        <w:t>lowering effect in all tirzepatide groups was greater than the effect for placebo (0.2%), and numerically the largest with the dose of tirzepatide 1</w:t>
      </w:r>
      <w:r w:rsidR="009F6F50">
        <w:t>5 mg</w:t>
      </w:r>
      <w:r w:rsidR="00464F20" w:rsidRPr="00BD3671">
        <w:t>.</w:t>
      </w:r>
    </w:p>
    <w:p w14:paraId="6D9B472A" w14:textId="6B83E4DA" w:rsidR="005A6EC3" w:rsidRDefault="00CE626F" w:rsidP="00CE626F">
      <w:pPr>
        <w:pStyle w:val="TableTitle"/>
        <w:rPr>
          <w:highlight w:val="cyan"/>
        </w:rPr>
      </w:pPr>
      <w:r>
        <w:t xml:space="preserve">Table </w:t>
      </w:r>
      <w:r w:rsidR="002B0E47">
        <w:fldChar w:fldCharType="begin"/>
      </w:r>
      <w:r w:rsidR="002B0E47">
        <w:instrText xml:space="preserve"> SEQ Table \* ARABIC </w:instrText>
      </w:r>
      <w:r w:rsidR="002B0E47">
        <w:fldChar w:fldCharType="separate"/>
      </w:r>
      <w:r w:rsidR="008465DD">
        <w:rPr>
          <w:noProof/>
        </w:rPr>
        <w:t>14</w:t>
      </w:r>
      <w:r w:rsidR="002B0E47">
        <w:rPr>
          <w:noProof/>
        </w:rPr>
        <w:fldChar w:fldCharType="end"/>
      </w:r>
      <w:r>
        <w:t>: Study GPGF Summary of main results</w:t>
      </w:r>
    </w:p>
    <w:tbl>
      <w:tblPr>
        <w:tblStyle w:val="TableGrid"/>
        <w:tblW w:w="0" w:type="auto"/>
        <w:tblLook w:val="04A0" w:firstRow="1" w:lastRow="0" w:firstColumn="1" w:lastColumn="0" w:noHBand="0" w:noVBand="1"/>
      </w:tblPr>
      <w:tblGrid>
        <w:gridCol w:w="1510"/>
        <w:gridCol w:w="895"/>
        <w:gridCol w:w="2125"/>
        <w:gridCol w:w="852"/>
        <w:gridCol w:w="2168"/>
        <w:gridCol w:w="1510"/>
      </w:tblGrid>
      <w:tr w:rsidR="005A6EC3" w:rsidRPr="005E2C5E" w14:paraId="6413AF09" w14:textId="77777777" w:rsidTr="00CE626F">
        <w:trPr>
          <w:cantSplit/>
        </w:trPr>
        <w:tc>
          <w:tcPr>
            <w:tcW w:w="1510" w:type="dxa"/>
            <w:vMerge w:val="restart"/>
            <w:shd w:val="clear" w:color="auto" w:fill="DEEAF6" w:themeFill="accent5" w:themeFillTint="33"/>
          </w:tcPr>
          <w:p w14:paraId="646178E9" w14:textId="25458E2B" w:rsidR="005A6EC3" w:rsidRPr="005E2C5E" w:rsidRDefault="00CE626F" w:rsidP="005E2C5E">
            <w:pPr>
              <w:rPr>
                <w:b/>
                <w:bCs/>
              </w:rPr>
            </w:pPr>
            <w:r w:rsidRPr="005E2C5E">
              <w:rPr>
                <w:b/>
                <w:bCs/>
              </w:rPr>
              <w:t>Treatment</w:t>
            </w:r>
          </w:p>
        </w:tc>
        <w:tc>
          <w:tcPr>
            <w:tcW w:w="7550" w:type="dxa"/>
            <w:gridSpan w:val="5"/>
            <w:tcBorders>
              <w:bottom w:val="dotted" w:sz="4" w:space="0" w:color="auto"/>
            </w:tcBorders>
            <w:shd w:val="clear" w:color="auto" w:fill="DEEAF6" w:themeFill="accent5" w:themeFillTint="33"/>
          </w:tcPr>
          <w:p w14:paraId="3355225A" w14:textId="3A0816FD" w:rsidR="005A6EC3" w:rsidRPr="005E2C5E" w:rsidRDefault="00E87B3F" w:rsidP="005E2C5E">
            <w:pPr>
              <w:rPr>
                <w:b/>
                <w:bCs/>
              </w:rPr>
            </w:pPr>
            <w:r w:rsidRPr="005E2C5E">
              <w:rPr>
                <w:b/>
                <w:bCs/>
              </w:rPr>
              <w:t>Modified Intent</w:t>
            </w:r>
            <w:r w:rsidR="005E279A">
              <w:rPr>
                <w:b/>
                <w:bCs/>
              </w:rPr>
              <w:noBreakHyphen/>
            </w:r>
            <w:r w:rsidRPr="005E2C5E">
              <w:rPr>
                <w:b/>
                <w:bCs/>
              </w:rPr>
              <w:t>to</w:t>
            </w:r>
            <w:r w:rsidR="005E279A">
              <w:rPr>
                <w:b/>
                <w:bCs/>
              </w:rPr>
              <w:noBreakHyphen/>
            </w:r>
            <w:r w:rsidRPr="005E2C5E">
              <w:rPr>
                <w:b/>
                <w:bCs/>
              </w:rPr>
              <w:t>Treat</w:t>
            </w:r>
            <w:r w:rsidR="00CE626F" w:rsidRPr="005E2C5E">
              <w:rPr>
                <w:b/>
                <w:bCs/>
              </w:rPr>
              <w:t xml:space="preserve"> on Efficacy Analysis Set</w:t>
            </w:r>
          </w:p>
        </w:tc>
      </w:tr>
      <w:tr w:rsidR="005A6EC3" w:rsidRPr="005E2C5E" w14:paraId="7B4E6D2E" w14:textId="77777777" w:rsidTr="00CE626F">
        <w:trPr>
          <w:cantSplit/>
        </w:trPr>
        <w:tc>
          <w:tcPr>
            <w:tcW w:w="1510" w:type="dxa"/>
            <w:vMerge/>
            <w:shd w:val="clear" w:color="auto" w:fill="DEEAF6" w:themeFill="accent5" w:themeFillTint="33"/>
          </w:tcPr>
          <w:p w14:paraId="622ECC07" w14:textId="77777777" w:rsidR="005A6EC3" w:rsidRPr="005E2C5E" w:rsidRDefault="005A6EC3" w:rsidP="005E2C5E">
            <w:pPr>
              <w:rPr>
                <w:b/>
                <w:bCs/>
              </w:rPr>
            </w:pPr>
          </w:p>
        </w:tc>
        <w:tc>
          <w:tcPr>
            <w:tcW w:w="3020" w:type="dxa"/>
            <w:gridSpan w:val="2"/>
            <w:tcBorders>
              <w:top w:val="dotted" w:sz="4" w:space="0" w:color="auto"/>
              <w:bottom w:val="dotted" w:sz="4" w:space="0" w:color="auto"/>
            </w:tcBorders>
            <w:shd w:val="clear" w:color="auto" w:fill="DEEAF6" w:themeFill="accent5" w:themeFillTint="33"/>
          </w:tcPr>
          <w:p w14:paraId="576F7238" w14:textId="3919D553" w:rsidR="005A6EC3" w:rsidRPr="005E2C5E" w:rsidRDefault="00CE626F" w:rsidP="005E2C5E">
            <w:pPr>
              <w:rPr>
                <w:b/>
                <w:bCs/>
              </w:rPr>
            </w:pPr>
            <w:r w:rsidRPr="005E2C5E">
              <w:rPr>
                <w:b/>
                <w:bCs/>
              </w:rPr>
              <w:t xml:space="preserve">Baseline </w:t>
            </w:r>
            <w:r w:rsidR="008E0A17" w:rsidRPr="005E2C5E">
              <w:rPr>
                <w:b/>
                <w:bCs/>
              </w:rPr>
              <w:t>Hb</w:t>
            </w:r>
            <w:r w:rsidRPr="005E2C5E">
              <w:rPr>
                <w:b/>
                <w:bCs/>
              </w:rPr>
              <w:t xml:space="preserve">A1c (%) </w:t>
            </w:r>
          </w:p>
        </w:tc>
        <w:tc>
          <w:tcPr>
            <w:tcW w:w="3020" w:type="dxa"/>
            <w:gridSpan w:val="2"/>
            <w:tcBorders>
              <w:top w:val="dotted" w:sz="4" w:space="0" w:color="auto"/>
              <w:bottom w:val="dotted" w:sz="4" w:space="0" w:color="auto"/>
            </w:tcBorders>
            <w:shd w:val="clear" w:color="auto" w:fill="DEEAF6" w:themeFill="accent5" w:themeFillTint="33"/>
          </w:tcPr>
          <w:p w14:paraId="175BC5B6" w14:textId="523D4DF5" w:rsidR="005A6EC3" w:rsidRPr="005E2C5E" w:rsidRDefault="00CE626F" w:rsidP="005E2C5E">
            <w:pPr>
              <w:rPr>
                <w:b/>
                <w:bCs/>
              </w:rPr>
            </w:pPr>
            <w:r w:rsidRPr="005E2C5E">
              <w:rPr>
                <w:b/>
                <w:bCs/>
              </w:rPr>
              <w:t>Week 12</w:t>
            </w:r>
          </w:p>
        </w:tc>
        <w:tc>
          <w:tcPr>
            <w:tcW w:w="1510" w:type="dxa"/>
            <w:vMerge w:val="restart"/>
            <w:tcBorders>
              <w:top w:val="dotted" w:sz="4" w:space="0" w:color="auto"/>
            </w:tcBorders>
            <w:shd w:val="clear" w:color="auto" w:fill="DEEAF6" w:themeFill="accent5" w:themeFillTint="33"/>
          </w:tcPr>
          <w:p w14:paraId="36BC9289" w14:textId="6366B3F6" w:rsidR="005A6EC3" w:rsidRPr="005E2C5E" w:rsidRDefault="00CE626F" w:rsidP="005E2C5E">
            <w:pPr>
              <w:rPr>
                <w:b/>
                <w:bCs/>
              </w:rPr>
            </w:pPr>
            <w:r w:rsidRPr="005E2C5E">
              <w:rPr>
                <w:b/>
                <w:bCs/>
              </w:rPr>
              <w:t>p</w:t>
            </w:r>
            <w:r w:rsidR="005E279A">
              <w:rPr>
                <w:b/>
                <w:bCs/>
              </w:rPr>
              <w:noBreakHyphen/>
            </w:r>
            <w:r w:rsidRPr="005E2C5E">
              <w:rPr>
                <w:b/>
                <w:bCs/>
              </w:rPr>
              <w:t>Value</w:t>
            </w:r>
          </w:p>
        </w:tc>
      </w:tr>
      <w:tr w:rsidR="005A6EC3" w:rsidRPr="005E2C5E" w14:paraId="6BDC37E6" w14:textId="77777777" w:rsidTr="00E87B3F">
        <w:trPr>
          <w:cantSplit/>
        </w:trPr>
        <w:tc>
          <w:tcPr>
            <w:tcW w:w="1510" w:type="dxa"/>
            <w:vMerge/>
            <w:tcBorders>
              <w:bottom w:val="single" w:sz="4" w:space="0" w:color="auto"/>
            </w:tcBorders>
            <w:shd w:val="clear" w:color="auto" w:fill="DEEAF6" w:themeFill="accent5" w:themeFillTint="33"/>
          </w:tcPr>
          <w:p w14:paraId="0ABF6EA2" w14:textId="77777777" w:rsidR="005A6EC3" w:rsidRPr="005E2C5E" w:rsidRDefault="005A6EC3" w:rsidP="005E2C5E">
            <w:pPr>
              <w:rPr>
                <w:b/>
                <w:bCs/>
              </w:rPr>
            </w:pPr>
          </w:p>
        </w:tc>
        <w:tc>
          <w:tcPr>
            <w:tcW w:w="895" w:type="dxa"/>
            <w:tcBorders>
              <w:top w:val="dotted" w:sz="4" w:space="0" w:color="auto"/>
              <w:bottom w:val="single" w:sz="4" w:space="0" w:color="auto"/>
            </w:tcBorders>
            <w:shd w:val="clear" w:color="auto" w:fill="DEEAF6" w:themeFill="accent5" w:themeFillTint="33"/>
          </w:tcPr>
          <w:p w14:paraId="6D03E622" w14:textId="026BCCD7" w:rsidR="005A6EC3" w:rsidRPr="005E2C5E" w:rsidRDefault="00CE626F" w:rsidP="005E2C5E">
            <w:pPr>
              <w:rPr>
                <w:b/>
                <w:bCs/>
              </w:rPr>
            </w:pPr>
            <w:r w:rsidRPr="005E2C5E">
              <w:rPr>
                <w:b/>
                <w:bCs/>
              </w:rPr>
              <w:t>n</w:t>
            </w:r>
          </w:p>
        </w:tc>
        <w:tc>
          <w:tcPr>
            <w:tcW w:w="2125" w:type="dxa"/>
            <w:tcBorders>
              <w:top w:val="dotted" w:sz="4" w:space="0" w:color="auto"/>
              <w:bottom w:val="single" w:sz="4" w:space="0" w:color="auto"/>
            </w:tcBorders>
            <w:shd w:val="clear" w:color="auto" w:fill="DEEAF6" w:themeFill="accent5" w:themeFillTint="33"/>
          </w:tcPr>
          <w:p w14:paraId="49A0A9C7" w14:textId="7612CC37" w:rsidR="005A6EC3" w:rsidRPr="005E2C5E" w:rsidRDefault="008E0A17" w:rsidP="005E2C5E">
            <w:pPr>
              <w:rPr>
                <w:b/>
                <w:bCs/>
              </w:rPr>
            </w:pPr>
            <w:r w:rsidRPr="005E2C5E">
              <w:rPr>
                <w:b/>
                <w:bCs/>
              </w:rPr>
              <w:t>Least</w:t>
            </w:r>
            <w:r w:rsidR="005E279A">
              <w:rPr>
                <w:b/>
                <w:bCs/>
              </w:rPr>
              <w:noBreakHyphen/>
            </w:r>
            <w:r w:rsidRPr="005E2C5E">
              <w:rPr>
                <w:b/>
                <w:bCs/>
              </w:rPr>
              <w:t xml:space="preserve">squares mean </w:t>
            </w:r>
            <w:r w:rsidR="00CE626F" w:rsidRPr="005E2C5E">
              <w:rPr>
                <w:b/>
                <w:bCs/>
              </w:rPr>
              <w:t>[</w:t>
            </w:r>
            <w:r w:rsidRPr="005E2C5E">
              <w:rPr>
                <w:b/>
                <w:bCs/>
              </w:rPr>
              <w:t>standard error</w:t>
            </w:r>
            <w:r w:rsidR="00CE626F" w:rsidRPr="005E2C5E">
              <w:rPr>
                <w:b/>
                <w:bCs/>
              </w:rPr>
              <w:t>]</w:t>
            </w:r>
          </w:p>
        </w:tc>
        <w:tc>
          <w:tcPr>
            <w:tcW w:w="852" w:type="dxa"/>
            <w:tcBorders>
              <w:top w:val="dotted" w:sz="4" w:space="0" w:color="auto"/>
              <w:bottom w:val="single" w:sz="4" w:space="0" w:color="auto"/>
            </w:tcBorders>
            <w:shd w:val="clear" w:color="auto" w:fill="DEEAF6" w:themeFill="accent5" w:themeFillTint="33"/>
          </w:tcPr>
          <w:p w14:paraId="339E01D9" w14:textId="7C9E01E1" w:rsidR="005A6EC3" w:rsidRPr="005E2C5E" w:rsidRDefault="00CE626F" w:rsidP="005E2C5E">
            <w:pPr>
              <w:rPr>
                <w:b/>
                <w:bCs/>
              </w:rPr>
            </w:pPr>
            <w:r w:rsidRPr="005E2C5E">
              <w:rPr>
                <w:b/>
                <w:bCs/>
              </w:rPr>
              <w:t>n</w:t>
            </w:r>
          </w:p>
        </w:tc>
        <w:tc>
          <w:tcPr>
            <w:tcW w:w="2168" w:type="dxa"/>
            <w:tcBorders>
              <w:top w:val="dotted" w:sz="4" w:space="0" w:color="auto"/>
              <w:bottom w:val="single" w:sz="4" w:space="0" w:color="auto"/>
            </w:tcBorders>
            <w:shd w:val="clear" w:color="auto" w:fill="DEEAF6" w:themeFill="accent5" w:themeFillTint="33"/>
          </w:tcPr>
          <w:p w14:paraId="4FB9B168" w14:textId="4A3150BE" w:rsidR="005A6EC3" w:rsidRPr="005E2C5E" w:rsidRDefault="00E87B3F" w:rsidP="005E2C5E">
            <w:pPr>
              <w:rPr>
                <w:b/>
                <w:bCs/>
              </w:rPr>
            </w:pPr>
            <w:r w:rsidRPr="005E2C5E">
              <w:rPr>
                <w:b/>
                <w:bCs/>
              </w:rPr>
              <w:t>Least</w:t>
            </w:r>
            <w:r w:rsidR="005E279A">
              <w:rPr>
                <w:b/>
                <w:bCs/>
              </w:rPr>
              <w:noBreakHyphen/>
            </w:r>
            <w:r w:rsidRPr="005E2C5E">
              <w:rPr>
                <w:b/>
                <w:bCs/>
              </w:rPr>
              <w:t>squares mean change in Hb</w:t>
            </w:r>
            <w:r w:rsidR="00CE626F" w:rsidRPr="005E2C5E">
              <w:rPr>
                <w:b/>
                <w:bCs/>
              </w:rPr>
              <w:t>A1c [</w:t>
            </w:r>
            <w:r w:rsidRPr="005E2C5E">
              <w:rPr>
                <w:b/>
                <w:bCs/>
              </w:rPr>
              <w:t>standard error</w:t>
            </w:r>
            <w:r w:rsidR="00CE626F" w:rsidRPr="005E2C5E">
              <w:rPr>
                <w:b/>
                <w:bCs/>
              </w:rPr>
              <w:t>]</w:t>
            </w:r>
          </w:p>
        </w:tc>
        <w:tc>
          <w:tcPr>
            <w:tcW w:w="1510" w:type="dxa"/>
            <w:vMerge/>
            <w:tcBorders>
              <w:bottom w:val="single" w:sz="4" w:space="0" w:color="auto"/>
            </w:tcBorders>
            <w:shd w:val="clear" w:color="auto" w:fill="DEEAF6" w:themeFill="accent5" w:themeFillTint="33"/>
          </w:tcPr>
          <w:p w14:paraId="21D7B8E0" w14:textId="77777777" w:rsidR="005A6EC3" w:rsidRPr="005E2C5E" w:rsidRDefault="005A6EC3" w:rsidP="005E2C5E">
            <w:pPr>
              <w:rPr>
                <w:b/>
                <w:bCs/>
              </w:rPr>
            </w:pPr>
          </w:p>
        </w:tc>
      </w:tr>
      <w:tr w:rsidR="005A6EC3" w:rsidRPr="00E87B3F" w14:paraId="1F0AA4AD" w14:textId="77777777" w:rsidTr="00E87B3F">
        <w:trPr>
          <w:cantSplit/>
        </w:trPr>
        <w:tc>
          <w:tcPr>
            <w:tcW w:w="1510" w:type="dxa"/>
            <w:tcBorders>
              <w:bottom w:val="dotted" w:sz="4" w:space="0" w:color="auto"/>
            </w:tcBorders>
          </w:tcPr>
          <w:p w14:paraId="7A595A2D" w14:textId="228ACD00" w:rsidR="005A6EC3" w:rsidRPr="00E87B3F" w:rsidRDefault="00CE626F" w:rsidP="005E2C5E">
            <w:r w:rsidRPr="00E87B3F">
              <w:t>Placebo</w:t>
            </w:r>
          </w:p>
        </w:tc>
        <w:tc>
          <w:tcPr>
            <w:tcW w:w="895" w:type="dxa"/>
            <w:tcBorders>
              <w:bottom w:val="dotted" w:sz="4" w:space="0" w:color="auto"/>
            </w:tcBorders>
          </w:tcPr>
          <w:p w14:paraId="50E578A4" w14:textId="2E9CF8F2" w:rsidR="005A6EC3" w:rsidRPr="00E87B3F" w:rsidRDefault="00CE626F" w:rsidP="005E2C5E">
            <w:r w:rsidRPr="00E87B3F">
              <w:t>24</w:t>
            </w:r>
          </w:p>
        </w:tc>
        <w:tc>
          <w:tcPr>
            <w:tcW w:w="2125" w:type="dxa"/>
            <w:tcBorders>
              <w:bottom w:val="dotted" w:sz="4" w:space="0" w:color="auto"/>
            </w:tcBorders>
          </w:tcPr>
          <w:p w14:paraId="0E521501" w14:textId="431D4D50" w:rsidR="005A6EC3" w:rsidRPr="00E87B3F" w:rsidRDefault="00CE626F" w:rsidP="005E2C5E">
            <w:r w:rsidRPr="00E87B3F">
              <w:t>8.2 [0.22]</w:t>
            </w:r>
          </w:p>
        </w:tc>
        <w:tc>
          <w:tcPr>
            <w:tcW w:w="852" w:type="dxa"/>
            <w:tcBorders>
              <w:bottom w:val="dotted" w:sz="4" w:space="0" w:color="auto"/>
            </w:tcBorders>
          </w:tcPr>
          <w:p w14:paraId="7DFC90A4" w14:textId="6B2C9312" w:rsidR="005A6EC3" w:rsidRPr="00E87B3F" w:rsidRDefault="00CE626F" w:rsidP="005E2C5E">
            <w:r w:rsidRPr="00E87B3F">
              <w:t>20</w:t>
            </w:r>
          </w:p>
        </w:tc>
        <w:tc>
          <w:tcPr>
            <w:tcW w:w="2168" w:type="dxa"/>
            <w:tcBorders>
              <w:bottom w:val="dotted" w:sz="4" w:space="0" w:color="auto"/>
            </w:tcBorders>
          </w:tcPr>
          <w:p w14:paraId="5D45D624" w14:textId="64BACC0B" w:rsidR="005A6EC3" w:rsidRPr="00E87B3F" w:rsidRDefault="00E87B3F" w:rsidP="005E2C5E">
            <w:r>
              <w:t xml:space="preserve">   </w:t>
            </w:r>
            <w:r w:rsidR="00CE626F" w:rsidRPr="00E87B3F">
              <w:t>0.2 [0.21]</w:t>
            </w:r>
          </w:p>
        </w:tc>
        <w:tc>
          <w:tcPr>
            <w:tcW w:w="1510" w:type="dxa"/>
            <w:tcBorders>
              <w:bottom w:val="dotted" w:sz="4" w:space="0" w:color="auto"/>
            </w:tcBorders>
          </w:tcPr>
          <w:p w14:paraId="5B3518F0" w14:textId="77777777" w:rsidR="005A6EC3" w:rsidRPr="00E87B3F" w:rsidRDefault="005A6EC3" w:rsidP="005E2C5E"/>
        </w:tc>
      </w:tr>
      <w:tr w:rsidR="005A6EC3" w:rsidRPr="00E87B3F" w14:paraId="07708359" w14:textId="77777777" w:rsidTr="00E87B3F">
        <w:trPr>
          <w:cantSplit/>
        </w:trPr>
        <w:tc>
          <w:tcPr>
            <w:tcW w:w="1510" w:type="dxa"/>
            <w:tcBorders>
              <w:top w:val="dotted" w:sz="4" w:space="0" w:color="auto"/>
              <w:bottom w:val="dotted" w:sz="4" w:space="0" w:color="auto"/>
            </w:tcBorders>
          </w:tcPr>
          <w:p w14:paraId="765C537E" w14:textId="1357BDF2" w:rsidR="005A6EC3" w:rsidRPr="00E87B3F" w:rsidRDefault="00CE626F" w:rsidP="005E2C5E">
            <w:r w:rsidRPr="00E87B3F">
              <w:t>Group 1</w:t>
            </w:r>
          </w:p>
        </w:tc>
        <w:tc>
          <w:tcPr>
            <w:tcW w:w="895" w:type="dxa"/>
            <w:tcBorders>
              <w:top w:val="dotted" w:sz="4" w:space="0" w:color="auto"/>
              <w:bottom w:val="dotted" w:sz="4" w:space="0" w:color="auto"/>
            </w:tcBorders>
          </w:tcPr>
          <w:p w14:paraId="4EFBF006" w14:textId="4A72411D" w:rsidR="005A6EC3" w:rsidRPr="00E87B3F" w:rsidRDefault="00CE626F" w:rsidP="005E2C5E">
            <w:r w:rsidRPr="00E87B3F">
              <w:t>28</w:t>
            </w:r>
          </w:p>
        </w:tc>
        <w:tc>
          <w:tcPr>
            <w:tcW w:w="2125" w:type="dxa"/>
            <w:tcBorders>
              <w:top w:val="dotted" w:sz="4" w:space="0" w:color="auto"/>
              <w:bottom w:val="dotted" w:sz="4" w:space="0" w:color="auto"/>
            </w:tcBorders>
          </w:tcPr>
          <w:p w14:paraId="3233FBB5" w14:textId="040F7696" w:rsidR="005A6EC3" w:rsidRPr="00E87B3F" w:rsidRDefault="00CE626F" w:rsidP="005E2C5E">
            <w:r w:rsidRPr="00E87B3F">
              <w:t>8.5 [0.21]</w:t>
            </w:r>
          </w:p>
        </w:tc>
        <w:tc>
          <w:tcPr>
            <w:tcW w:w="852" w:type="dxa"/>
            <w:tcBorders>
              <w:top w:val="dotted" w:sz="4" w:space="0" w:color="auto"/>
              <w:bottom w:val="dotted" w:sz="4" w:space="0" w:color="auto"/>
            </w:tcBorders>
          </w:tcPr>
          <w:p w14:paraId="0F4C2D51" w14:textId="7A9F5B84" w:rsidR="005A6EC3" w:rsidRPr="00E87B3F" w:rsidRDefault="00CE626F" w:rsidP="005E2C5E">
            <w:r w:rsidRPr="00E87B3F">
              <w:t>23</w:t>
            </w:r>
          </w:p>
        </w:tc>
        <w:tc>
          <w:tcPr>
            <w:tcW w:w="2168" w:type="dxa"/>
            <w:tcBorders>
              <w:top w:val="dotted" w:sz="4" w:space="0" w:color="auto"/>
              <w:bottom w:val="dotted" w:sz="4" w:space="0" w:color="auto"/>
            </w:tcBorders>
          </w:tcPr>
          <w:p w14:paraId="787338BD" w14:textId="67D0ED17" w:rsidR="005A6EC3" w:rsidRPr="00E87B3F" w:rsidRDefault="00CE626F" w:rsidP="005E2C5E">
            <w:r w:rsidRPr="00E87B3F">
              <w:t>−2.0 [0.20]</w:t>
            </w:r>
          </w:p>
        </w:tc>
        <w:tc>
          <w:tcPr>
            <w:tcW w:w="1510" w:type="dxa"/>
            <w:vMerge w:val="restart"/>
            <w:tcBorders>
              <w:top w:val="dotted" w:sz="4" w:space="0" w:color="auto"/>
            </w:tcBorders>
          </w:tcPr>
          <w:p w14:paraId="2E092762" w14:textId="77777777" w:rsidR="005A6EC3" w:rsidRPr="00E87B3F" w:rsidRDefault="005A6EC3" w:rsidP="005E2C5E"/>
          <w:p w14:paraId="7754B354" w14:textId="1EE65AC4" w:rsidR="00CE626F" w:rsidRPr="00E87B3F" w:rsidRDefault="00E87B3F" w:rsidP="005E2C5E">
            <w:r w:rsidRPr="00E87B3F">
              <w:t>P</w:t>
            </w:r>
            <w:r w:rsidR="00CE626F" w:rsidRPr="00E87B3F">
              <w:t>&lt;0.001</w:t>
            </w:r>
          </w:p>
        </w:tc>
      </w:tr>
      <w:tr w:rsidR="005A6EC3" w:rsidRPr="00E87B3F" w14:paraId="332A78DD" w14:textId="77777777" w:rsidTr="00E87B3F">
        <w:trPr>
          <w:cantSplit/>
        </w:trPr>
        <w:tc>
          <w:tcPr>
            <w:tcW w:w="1510" w:type="dxa"/>
            <w:tcBorders>
              <w:top w:val="dotted" w:sz="4" w:space="0" w:color="auto"/>
              <w:bottom w:val="dotted" w:sz="4" w:space="0" w:color="auto"/>
            </w:tcBorders>
          </w:tcPr>
          <w:p w14:paraId="026B9B1E" w14:textId="59B7FF9F" w:rsidR="005A6EC3" w:rsidRPr="00E87B3F" w:rsidRDefault="00CE626F" w:rsidP="005E2C5E">
            <w:r w:rsidRPr="00E87B3F">
              <w:t>Group 2</w:t>
            </w:r>
          </w:p>
        </w:tc>
        <w:tc>
          <w:tcPr>
            <w:tcW w:w="895" w:type="dxa"/>
            <w:tcBorders>
              <w:top w:val="dotted" w:sz="4" w:space="0" w:color="auto"/>
              <w:bottom w:val="dotted" w:sz="4" w:space="0" w:color="auto"/>
            </w:tcBorders>
          </w:tcPr>
          <w:p w14:paraId="752A80B2" w14:textId="4A056CB8" w:rsidR="005A6EC3" w:rsidRPr="00E87B3F" w:rsidRDefault="00CE626F" w:rsidP="005E2C5E">
            <w:r w:rsidRPr="00E87B3F">
              <w:t>27</w:t>
            </w:r>
          </w:p>
        </w:tc>
        <w:tc>
          <w:tcPr>
            <w:tcW w:w="2125" w:type="dxa"/>
            <w:tcBorders>
              <w:top w:val="dotted" w:sz="4" w:space="0" w:color="auto"/>
              <w:bottom w:val="dotted" w:sz="4" w:space="0" w:color="auto"/>
            </w:tcBorders>
          </w:tcPr>
          <w:p w14:paraId="7A9832B6" w14:textId="103F05E7" w:rsidR="005A6EC3" w:rsidRPr="00E87B3F" w:rsidRDefault="00CE626F" w:rsidP="005E2C5E">
            <w:r w:rsidRPr="00E87B3F">
              <w:t>8.4 [0.21]</w:t>
            </w:r>
          </w:p>
        </w:tc>
        <w:tc>
          <w:tcPr>
            <w:tcW w:w="852" w:type="dxa"/>
            <w:tcBorders>
              <w:top w:val="dotted" w:sz="4" w:space="0" w:color="auto"/>
              <w:bottom w:val="dotted" w:sz="4" w:space="0" w:color="auto"/>
            </w:tcBorders>
          </w:tcPr>
          <w:p w14:paraId="3BDE5F3D" w14:textId="24D0D887" w:rsidR="005A6EC3" w:rsidRPr="00E87B3F" w:rsidRDefault="00CE626F" w:rsidP="005E2C5E">
            <w:r w:rsidRPr="00E87B3F">
              <w:t>26</w:t>
            </w:r>
          </w:p>
        </w:tc>
        <w:tc>
          <w:tcPr>
            <w:tcW w:w="2168" w:type="dxa"/>
            <w:tcBorders>
              <w:top w:val="dotted" w:sz="4" w:space="0" w:color="auto"/>
              <w:bottom w:val="dotted" w:sz="4" w:space="0" w:color="auto"/>
            </w:tcBorders>
          </w:tcPr>
          <w:p w14:paraId="5CF86905" w14:textId="393E37E6" w:rsidR="005A6EC3" w:rsidRPr="00E87B3F" w:rsidRDefault="00CE626F" w:rsidP="005E2C5E">
            <w:r w:rsidRPr="00E87B3F">
              <w:t>−1.8 [0.19]</w:t>
            </w:r>
          </w:p>
        </w:tc>
        <w:tc>
          <w:tcPr>
            <w:tcW w:w="1510" w:type="dxa"/>
            <w:vMerge/>
          </w:tcPr>
          <w:p w14:paraId="40E1D80E" w14:textId="77777777" w:rsidR="005A6EC3" w:rsidRPr="00E87B3F" w:rsidRDefault="005A6EC3" w:rsidP="005E2C5E"/>
        </w:tc>
      </w:tr>
      <w:tr w:rsidR="005A6EC3" w:rsidRPr="00E87B3F" w14:paraId="1EEE90EA" w14:textId="77777777" w:rsidTr="00E87B3F">
        <w:trPr>
          <w:cantSplit/>
        </w:trPr>
        <w:tc>
          <w:tcPr>
            <w:tcW w:w="1510" w:type="dxa"/>
            <w:tcBorders>
              <w:top w:val="dotted" w:sz="4" w:space="0" w:color="auto"/>
            </w:tcBorders>
          </w:tcPr>
          <w:p w14:paraId="7F6B7FB6" w14:textId="3F7660C8" w:rsidR="005A6EC3" w:rsidRPr="00E87B3F" w:rsidRDefault="00CE626F" w:rsidP="005E2C5E">
            <w:r w:rsidRPr="00E87B3F">
              <w:t>Group 3</w:t>
            </w:r>
          </w:p>
        </w:tc>
        <w:tc>
          <w:tcPr>
            <w:tcW w:w="895" w:type="dxa"/>
            <w:tcBorders>
              <w:top w:val="dotted" w:sz="4" w:space="0" w:color="auto"/>
            </w:tcBorders>
          </w:tcPr>
          <w:p w14:paraId="5A0F699E" w14:textId="2D7FC05E" w:rsidR="005A6EC3" w:rsidRPr="00E87B3F" w:rsidRDefault="00CE626F" w:rsidP="005E2C5E">
            <w:r w:rsidRPr="00E87B3F">
              <w:t>28</w:t>
            </w:r>
          </w:p>
        </w:tc>
        <w:tc>
          <w:tcPr>
            <w:tcW w:w="2125" w:type="dxa"/>
            <w:tcBorders>
              <w:top w:val="dotted" w:sz="4" w:space="0" w:color="auto"/>
            </w:tcBorders>
          </w:tcPr>
          <w:p w14:paraId="1C53C005" w14:textId="3FEA9EA6" w:rsidR="005A6EC3" w:rsidRPr="00E87B3F" w:rsidRDefault="00CE626F" w:rsidP="005E2C5E">
            <w:r w:rsidRPr="00E87B3F">
              <w:t>8.4 [0.21]</w:t>
            </w:r>
          </w:p>
        </w:tc>
        <w:tc>
          <w:tcPr>
            <w:tcW w:w="852" w:type="dxa"/>
            <w:tcBorders>
              <w:top w:val="dotted" w:sz="4" w:space="0" w:color="auto"/>
            </w:tcBorders>
          </w:tcPr>
          <w:p w14:paraId="53FA4FB0" w14:textId="192A6A80" w:rsidR="005A6EC3" w:rsidRPr="00E87B3F" w:rsidRDefault="00CE626F" w:rsidP="005E2C5E">
            <w:r w:rsidRPr="00E87B3F">
              <w:t>28</w:t>
            </w:r>
          </w:p>
        </w:tc>
        <w:tc>
          <w:tcPr>
            <w:tcW w:w="2168" w:type="dxa"/>
            <w:tcBorders>
              <w:top w:val="dotted" w:sz="4" w:space="0" w:color="auto"/>
            </w:tcBorders>
          </w:tcPr>
          <w:p w14:paraId="44D004E7" w14:textId="552485DD" w:rsidR="005A6EC3" w:rsidRPr="00E87B3F" w:rsidRDefault="00CE626F" w:rsidP="005E2C5E">
            <w:r w:rsidRPr="00E87B3F">
              <w:t>−1.7 [0.19]</w:t>
            </w:r>
          </w:p>
        </w:tc>
        <w:tc>
          <w:tcPr>
            <w:tcW w:w="1510" w:type="dxa"/>
            <w:vMerge/>
          </w:tcPr>
          <w:p w14:paraId="7B58F652" w14:textId="77777777" w:rsidR="005A6EC3" w:rsidRPr="00E87B3F" w:rsidRDefault="005A6EC3" w:rsidP="005E2C5E"/>
        </w:tc>
      </w:tr>
    </w:tbl>
    <w:p w14:paraId="2B0C95D1" w14:textId="77777777" w:rsidR="00F71A04" w:rsidRDefault="00F71A04" w:rsidP="00BD3671"/>
    <w:p w14:paraId="41C13734" w14:textId="502B5FF2" w:rsidR="00464F20" w:rsidRPr="00BD3671" w:rsidRDefault="00464F20" w:rsidP="00BD3671">
      <w:r w:rsidRPr="00BD3671">
        <w:t xml:space="preserve">Similar results in favour of tirzepatide were obtained for the responder rate, the change in </w:t>
      </w:r>
      <w:r w:rsidR="00CD28D7">
        <w:t>fasting plasma glucose</w:t>
      </w:r>
      <w:r w:rsidRPr="00BD3671">
        <w:t xml:space="preserve"> and body weight.</w:t>
      </w:r>
    </w:p>
    <w:p w14:paraId="2C6F905F" w14:textId="7394D06C" w:rsidR="00464F20" w:rsidRPr="00BD3671" w:rsidRDefault="00CD28D7" w:rsidP="00BD3671">
      <w:r>
        <w:t xml:space="preserve">Study </w:t>
      </w:r>
      <w:r w:rsidR="00464F20" w:rsidRPr="00BD3671">
        <w:t xml:space="preserve">GPGF revealed no prohibitive safety issue for the doses tested. In line with the findings from </w:t>
      </w:r>
      <w:r>
        <w:t>S</w:t>
      </w:r>
      <w:r w:rsidR="00464F20" w:rsidRPr="00BD3671">
        <w:t>tudy G</w:t>
      </w:r>
      <w:r w:rsidR="00CE626F">
        <w:t>P</w:t>
      </w:r>
      <w:r w:rsidR="00464F20" w:rsidRPr="00BD3671">
        <w:t>GB</w:t>
      </w:r>
      <w:r>
        <w:t xml:space="preserve">, </w:t>
      </w:r>
      <w:r w:rsidR="00464F20" w:rsidRPr="00BD3671">
        <w:t xml:space="preserve">the safety profile of tirzepatide observed in </w:t>
      </w:r>
      <w:r>
        <w:t xml:space="preserve">Study </w:t>
      </w:r>
      <w:r w:rsidR="00464F20" w:rsidRPr="00BD3671">
        <w:t>GPGF largely resembled the profile of GLP</w:t>
      </w:r>
      <w:r w:rsidR="005E279A">
        <w:noBreakHyphen/>
      </w:r>
      <w:r w:rsidR="00464F20" w:rsidRPr="00BD3671">
        <w:t>1 receptor</w:t>
      </w:r>
      <w:r w:rsidR="005E279A">
        <w:noBreakHyphen/>
      </w:r>
      <w:r w:rsidR="00464F20" w:rsidRPr="00BD3671">
        <w:t>agonists in general.</w:t>
      </w:r>
    </w:p>
    <w:p w14:paraId="4F02551E" w14:textId="2F0CA6DD" w:rsidR="00464F20" w:rsidRPr="00BD3671" w:rsidRDefault="00464F20" w:rsidP="00BD3671">
      <w:r w:rsidRPr="00BD3671">
        <w:lastRenderedPageBreak/>
        <w:t xml:space="preserve">Collectively, </w:t>
      </w:r>
      <w:r w:rsidR="00CD28D7">
        <w:t xml:space="preserve">the studies showed </w:t>
      </w:r>
      <w:r w:rsidRPr="00BD3671">
        <w:t xml:space="preserve">tirzepatide </w:t>
      </w:r>
      <w:r w:rsidR="00CD28D7">
        <w:t xml:space="preserve">has </w:t>
      </w:r>
      <w:r w:rsidRPr="00BD3671">
        <w:t>an acceptable tolerability up to a dose of 1</w:t>
      </w:r>
      <w:r w:rsidR="009F6F50">
        <w:t>5 mg</w:t>
      </w:r>
      <w:r w:rsidR="00CD28D7">
        <w:t xml:space="preserve"> once weekly</w:t>
      </w:r>
      <w:r w:rsidRPr="00BD3671">
        <w:t>. Step</w:t>
      </w:r>
      <w:r w:rsidR="005E279A">
        <w:noBreakHyphen/>
      </w:r>
      <w:r w:rsidRPr="00BD3671">
        <w:t xml:space="preserve">wise dose titration appeared to ameliorate the prevailing </w:t>
      </w:r>
      <w:r w:rsidR="00CD28D7">
        <w:t>gastrointestinal</w:t>
      </w:r>
      <w:r w:rsidRPr="00BD3671">
        <w:t xml:space="preserve"> AEs.</w:t>
      </w:r>
    </w:p>
    <w:p w14:paraId="274E0EE4" w14:textId="5E12E84F" w:rsidR="000E6D1A" w:rsidRPr="00464F20" w:rsidRDefault="002E7BD8" w:rsidP="002E7BD8">
      <w:pPr>
        <w:pStyle w:val="Heading4"/>
      </w:pPr>
      <w:bookmarkStart w:id="69" w:name="_Toc148961949"/>
      <w:bookmarkStart w:id="70" w:name="_Ref150776477"/>
      <w:r>
        <w:t>Safety</w:t>
      </w:r>
      <w:bookmarkEnd w:id="69"/>
      <w:bookmarkEnd w:id="70"/>
    </w:p>
    <w:p w14:paraId="2E7B1197" w14:textId="16671550" w:rsidR="002E7BD8" w:rsidRPr="002E7BD8" w:rsidRDefault="002E7BD8" w:rsidP="002E7BD8">
      <w:pPr>
        <w:pStyle w:val="Heading5"/>
      </w:pPr>
      <w:r w:rsidRPr="002E7BD8">
        <w:t>Exposure</w:t>
      </w:r>
    </w:p>
    <w:p w14:paraId="425E94F6" w14:textId="136A27DB" w:rsidR="002E7BD8" w:rsidRDefault="002E7BD8" w:rsidP="002E7BD8">
      <w:r w:rsidRPr="002E7BD8">
        <w:t>The safety evaluation was based on 19</w:t>
      </w:r>
      <w:r w:rsidR="004C4D44">
        <w:t> </w:t>
      </w:r>
      <w:r w:rsidRPr="002E7BD8">
        <w:t>clinical studies (cut</w:t>
      </w:r>
      <w:r w:rsidR="005E279A">
        <w:noBreakHyphen/>
      </w:r>
      <w:r w:rsidRPr="002E7BD8">
        <w:t>off date</w:t>
      </w:r>
      <w:r w:rsidR="004C4D44">
        <w:t xml:space="preserve"> </w:t>
      </w:r>
      <w:r w:rsidRPr="002E7BD8">
        <w:t>2</w:t>
      </w:r>
      <w:r w:rsidR="004C4D44">
        <w:t> </w:t>
      </w:r>
      <w:r w:rsidRPr="002E7BD8">
        <w:t>June 2021): 10</w:t>
      </w:r>
      <w:r w:rsidR="00E87B3F">
        <w:t> </w:t>
      </w:r>
      <w:r w:rsidRPr="002E7BD8">
        <w:t xml:space="preserve">biopharmaceutic and clinical pharmacology studies, 2 Phase </w:t>
      </w:r>
      <w:r w:rsidR="004C4D44">
        <w:t>II</w:t>
      </w:r>
      <w:r w:rsidRPr="002E7BD8">
        <w:t xml:space="preserve"> clinical studies, 5 global Phase</w:t>
      </w:r>
      <w:r w:rsidR="004C4D44">
        <w:t> III</w:t>
      </w:r>
      <w:r w:rsidRPr="002E7BD8">
        <w:t xml:space="preserve"> studies, and 2 regional Phase </w:t>
      </w:r>
      <w:r w:rsidR="004C4D44">
        <w:t>III</w:t>
      </w:r>
      <w:r w:rsidRPr="002E7BD8">
        <w:t xml:space="preserve"> studies conducted in Japan only</w:t>
      </w:r>
      <w:r w:rsidR="004C4D44">
        <w:t>,</w:t>
      </w:r>
      <w:r w:rsidRPr="002E7BD8">
        <w:t xml:space="preserve"> covering </w:t>
      </w:r>
      <w:r w:rsidR="004C4D44">
        <w:t>a</w:t>
      </w:r>
      <w:r w:rsidRPr="002E7BD8">
        <w:t xml:space="preserve"> spectrum of comparators and background antihyperglycemic therapy</w:t>
      </w:r>
      <w:r w:rsidR="004C4D44">
        <w:t xml:space="preserve"> </w:t>
      </w:r>
      <w:r w:rsidR="00E87B3F">
        <w:t xml:space="preserve">as summarised </w:t>
      </w:r>
      <w:r w:rsidR="008B4F5A">
        <w:t>below</w:t>
      </w:r>
      <w:r w:rsidR="00E87B3F">
        <w:t>.</w:t>
      </w:r>
    </w:p>
    <w:p w14:paraId="53C73B19" w14:textId="77777777" w:rsidR="008B4F5A" w:rsidRDefault="00E87B3F" w:rsidP="00E87B3F">
      <w:pPr>
        <w:pStyle w:val="ListBullet"/>
      </w:pPr>
      <w:r w:rsidRPr="00C24AEA">
        <w:t>Phase II studies</w:t>
      </w:r>
    </w:p>
    <w:p w14:paraId="247F6094" w14:textId="641F69C9" w:rsidR="00E87B3F" w:rsidRDefault="00E87B3F" w:rsidP="008B4F5A">
      <w:pPr>
        <w:pStyle w:val="ListBullet2"/>
      </w:pPr>
      <w:r>
        <w:t>Stud</w:t>
      </w:r>
      <w:r w:rsidR="008B4F5A">
        <w:t>y</w:t>
      </w:r>
      <w:r>
        <w:t xml:space="preserve"> </w:t>
      </w:r>
      <w:r w:rsidRPr="00C24AEA">
        <w:t xml:space="preserve">GPGB : </w:t>
      </w:r>
      <w:r w:rsidR="008B4F5A">
        <w:t>comparators of placebo and dulaglutide 1.5 mg once weekly, with nil background antidiabetic medication during the study</w:t>
      </w:r>
    </w:p>
    <w:p w14:paraId="7C6BABD5" w14:textId="309338F4" w:rsidR="008B4F5A" w:rsidRPr="00C24AEA" w:rsidRDefault="008B4F5A" w:rsidP="008B4F5A">
      <w:pPr>
        <w:pStyle w:val="ListBullet2"/>
      </w:pPr>
      <w:r>
        <w:t xml:space="preserve">Study </w:t>
      </w:r>
      <w:r w:rsidRPr="00C24AEA">
        <w:t xml:space="preserve">GPGF: </w:t>
      </w:r>
      <w:r>
        <w:t>comparator of placebo, with nil background antidiabetic medication during the study</w:t>
      </w:r>
    </w:p>
    <w:p w14:paraId="0C47E13C" w14:textId="3C986009" w:rsidR="008B4F5A" w:rsidRDefault="008B4F5A" w:rsidP="008B4F5A">
      <w:pPr>
        <w:pStyle w:val="ListBullet"/>
      </w:pPr>
      <w:r w:rsidRPr="00C24AEA">
        <w:t>Phase II</w:t>
      </w:r>
      <w:r>
        <w:t>I</w:t>
      </w:r>
      <w:r w:rsidRPr="00C24AEA">
        <w:t xml:space="preserve"> studies</w:t>
      </w:r>
    </w:p>
    <w:p w14:paraId="3CDA7816" w14:textId="6A87BF8B" w:rsidR="008B4F5A" w:rsidRDefault="00E87B3F" w:rsidP="008B4F5A">
      <w:pPr>
        <w:pStyle w:val="ListBullet2"/>
      </w:pPr>
      <w:r w:rsidRPr="00C24AEA">
        <w:t>SURPASS</w:t>
      </w:r>
      <w:r w:rsidR="005E279A">
        <w:noBreakHyphen/>
      </w:r>
      <w:r w:rsidRPr="00C24AEA">
        <w:t>1 (</w:t>
      </w:r>
      <w:r>
        <w:t xml:space="preserve">Study </w:t>
      </w:r>
      <w:r w:rsidRPr="00C24AEA">
        <w:t>GPGK)</w:t>
      </w:r>
      <w:r w:rsidR="008B4F5A">
        <w:t>: comparator of placebo, with nil background antidiabetic medication during the study</w:t>
      </w:r>
    </w:p>
    <w:p w14:paraId="21487FB2" w14:textId="74CC202B" w:rsidR="008B4F5A" w:rsidRDefault="00E87B3F" w:rsidP="008B4F5A">
      <w:pPr>
        <w:pStyle w:val="ListBullet2"/>
      </w:pPr>
      <w:r w:rsidRPr="00C24AEA">
        <w:t>SURPASS</w:t>
      </w:r>
      <w:r w:rsidR="005E279A">
        <w:noBreakHyphen/>
      </w:r>
      <w:r w:rsidRPr="00C24AEA">
        <w:t>2 (</w:t>
      </w:r>
      <w:r>
        <w:t xml:space="preserve">Study </w:t>
      </w:r>
      <w:r w:rsidRPr="00C24AEA">
        <w:t>GPGL)</w:t>
      </w:r>
      <w:r w:rsidR="001B6B98">
        <w:t>: comparator of semaglutide 1 mg once weekly, with background antidiabetic medication of metformin</w:t>
      </w:r>
    </w:p>
    <w:p w14:paraId="13216FA8" w14:textId="55FB084E" w:rsidR="008B4F5A" w:rsidRPr="006F6378" w:rsidRDefault="00E87B3F" w:rsidP="008B4F5A">
      <w:pPr>
        <w:pStyle w:val="ListBullet2"/>
      </w:pPr>
      <w:r w:rsidRPr="00C24AEA">
        <w:t>SURPASS</w:t>
      </w:r>
      <w:r w:rsidR="005E279A">
        <w:noBreakHyphen/>
      </w:r>
      <w:r w:rsidRPr="00C24AEA">
        <w:t>3 (</w:t>
      </w:r>
      <w:r>
        <w:t xml:space="preserve">Study </w:t>
      </w:r>
      <w:r w:rsidRPr="00C24AEA">
        <w:t>GPGH)</w:t>
      </w:r>
      <w:r w:rsidR="001B6B98">
        <w:t xml:space="preserve">: comparator of insulin degludec, with background </w:t>
      </w:r>
      <w:r w:rsidR="001B6B98" w:rsidRPr="006F6378">
        <w:t>antidiabetic medication during the study of metformin with or without SGLT2 inhibitor</w:t>
      </w:r>
    </w:p>
    <w:p w14:paraId="372B8780" w14:textId="1A7A8DC0" w:rsidR="008B4F5A" w:rsidRDefault="00E87B3F" w:rsidP="008B4F5A">
      <w:pPr>
        <w:pStyle w:val="ListBullet2"/>
      </w:pPr>
      <w:r w:rsidRPr="00C24AEA">
        <w:t>SURPASS</w:t>
      </w:r>
      <w:r w:rsidR="005E279A">
        <w:noBreakHyphen/>
      </w:r>
      <w:r w:rsidRPr="00C24AEA">
        <w:t>4 (</w:t>
      </w:r>
      <w:r>
        <w:t xml:space="preserve">Study </w:t>
      </w:r>
      <w:r w:rsidRPr="00C24AEA">
        <w:t>GPGM)</w:t>
      </w:r>
      <w:r w:rsidR="001B6B98">
        <w:t>: comparator of placebo, with background antidiabetic medication during the study of insulin glargine with or without metformin</w:t>
      </w:r>
    </w:p>
    <w:p w14:paraId="45A8D985" w14:textId="6A9CCA6D" w:rsidR="00E87B3F" w:rsidRPr="00C24AEA" w:rsidRDefault="00E87B3F" w:rsidP="008B4F5A">
      <w:pPr>
        <w:pStyle w:val="ListBullet2"/>
      </w:pPr>
      <w:r w:rsidRPr="00C24AEA">
        <w:t>SURPASS</w:t>
      </w:r>
      <w:r w:rsidR="005E279A">
        <w:noBreakHyphen/>
      </w:r>
      <w:r w:rsidRPr="00C24AEA">
        <w:t>5 (</w:t>
      </w:r>
      <w:r>
        <w:t xml:space="preserve">Study </w:t>
      </w:r>
      <w:r w:rsidRPr="00C24AEA">
        <w:t>GPGI)</w:t>
      </w:r>
      <w:r w:rsidR="008B4F5A">
        <w:t xml:space="preserve">: comparator of </w:t>
      </w:r>
      <w:r w:rsidR="001B6B98">
        <w:t>insulin glargine</w:t>
      </w:r>
      <w:r w:rsidR="008B4F5A">
        <w:t xml:space="preserve">, with background antidiabetic medication during the study of </w:t>
      </w:r>
      <w:r w:rsidR="001B6B98">
        <w:t>metformin with or without sulfonylurea or SGLT2 inhibitor</w:t>
      </w:r>
    </w:p>
    <w:p w14:paraId="51D56E81" w14:textId="1C0EA2F9" w:rsidR="008B4F5A" w:rsidRDefault="00E87B3F" w:rsidP="008B4F5A">
      <w:pPr>
        <w:pStyle w:val="ListBullet2"/>
      </w:pPr>
      <w:r w:rsidRPr="00C24AEA">
        <w:t>SURPASS J</w:t>
      </w:r>
      <w:r w:rsidR="005E279A">
        <w:noBreakHyphen/>
      </w:r>
      <w:r w:rsidRPr="00C24AEA">
        <w:t>mono (</w:t>
      </w:r>
      <w:r>
        <w:t xml:space="preserve">Study </w:t>
      </w:r>
      <w:r w:rsidRPr="00C24AEA">
        <w:t>GPGO)</w:t>
      </w:r>
      <w:r w:rsidR="002707F8">
        <w:t>:</w:t>
      </w:r>
      <w:r w:rsidR="002707F8" w:rsidRPr="002707F8">
        <w:t xml:space="preserve"> </w:t>
      </w:r>
      <w:r w:rsidR="002707F8">
        <w:t>comparator of dulaglutide 0.75 mg once weekly, with nil background antidiabetic medication during the study</w:t>
      </w:r>
    </w:p>
    <w:p w14:paraId="5BB4C26D" w14:textId="1D91383B" w:rsidR="00E87B3F" w:rsidRDefault="00E87B3F">
      <w:pPr>
        <w:pStyle w:val="ListBullet2"/>
      </w:pPr>
      <w:r w:rsidRPr="00C24AEA">
        <w:t>SURPASS J</w:t>
      </w:r>
      <w:r w:rsidR="005E279A">
        <w:noBreakHyphen/>
      </w:r>
      <w:r w:rsidRPr="00C24AEA">
        <w:t>combo (</w:t>
      </w:r>
      <w:r>
        <w:t xml:space="preserve">Study </w:t>
      </w:r>
      <w:r w:rsidRPr="00C24AEA">
        <w:t>GPGP)</w:t>
      </w:r>
      <w:r w:rsidR="002707F8">
        <w:t>: no control arm, with nil background antidiabetic medication during the study of metformin, SGLT2 inhibitor, alpha</w:t>
      </w:r>
      <w:r w:rsidR="005E279A">
        <w:noBreakHyphen/>
      </w:r>
      <w:r w:rsidR="002707F8">
        <w:t>glucosidase inhibitor, thiazolidinedione, sulfonylurea, or glinide.</w:t>
      </w:r>
    </w:p>
    <w:p w14:paraId="3BD947E9" w14:textId="6726E24F" w:rsidR="002E7BD8" w:rsidRPr="002E7BD8" w:rsidRDefault="002E7BD8" w:rsidP="002E7BD8">
      <w:r w:rsidRPr="002E7BD8">
        <w:t xml:space="preserve">In the 9 completed Phase </w:t>
      </w:r>
      <w:r w:rsidR="00854992">
        <w:t>II</w:t>
      </w:r>
      <w:r w:rsidR="00CB238A">
        <w:t xml:space="preserve"> and Phase </w:t>
      </w:r>
      <w:r w:rsidR="00854992">
        <w:t>III</w:t>
      </w:r>
      <w:r w:rsidRPr="002E7BD8">
        <w:t xml:space="preserve"> studies</w:t>
      </w:r>
      <w:r w:rsidR="00854992">
        <w:t>,</w:t>
      </w:r>
      <w:r w:rsidRPr="002E7BD8">
        <w:t xml:space="preserve"> 7</w:t>
      </w:r>
      <w:r w:rsidR="00854992">
        <w:t>,</w:t>
      </w:r>
      <w:r w:rsidRPr="002E7BD8">
        <w:t>769 patients received any study drug. Of those, 5</w:t>
      </w:r>
      <w:r w:rsidR="00854992">
        <w:t>,</w:t>
      </w:r>
      <w:r w:rsidRPr="002E7BD8">
        <w:t xml:space="preserve">415 patients received tirzepatide in the Phase </w:t>
      </w:r>
      <w:r w:rsidR="00854992">
        <w:t>II</w:t>
      </w:r>
      <w:r w:rsidRPr="002E7BD8">
        <w:t xml:space="preserve"> and </w:t>
      </w:r>
      <w:r w:rsidR="00854992">
        <w:t>III</w:t>
      </w:r>
      <w:r w:rsidRPr="002E7BD8">
        <w:t xml:space="preserve"> studies for 4833.1 patient</w:t>
      </w:r>
      <w:r w:rsidR="005E279A">
        <w:noBreakHyphen/>
      </w:r>
      <w:r w:rsidRPr="002E7BD8">
        <w:t xml:space="preserve">years. </w:t>
      </w:r>
      <w:r w:rsidR="00854992">
        <w:t xml:space="preserve">There were </w:t>
      </w:r>
      <w:r w:rsidRPr="002E7BD8">
        <w:t>2</w:t>
      </w:r>
      <w:r w:rsidR="00854992">
        <w:t>,</w:t>
      </w:r>
      <w:r w:rsidRPr="002E7BD8">
        <w:t xml:space="preserve">375 patients </w:t>
      </w:r>
      <w:r w:rsidR="00854992">
        <w:t xml:space="preserve">who </w:t>
      </w:r>
      <w:r w:rsidRPr="002E7BD8">
        <w:t xml:space="preserve">received tirzepatide for </w:t>
      </w:r>
      <w:r w:rsidR="00854992">
        <w:t xml:space="preserve">at least </w:t>
      </w:r>
      <w:r w:rsidRPr="002E7BD8">
        <w:t>52</w:t>
      </w:r>
      <w:r w:rsidR="00854992">
        <w:t> </w:t>
      </w:r>
      <w:r w:rsidRPr="002E7BD8">
        <w:t xml:space="preserve">weeks in the Phase </w:t>
      </w:r>
      <w:r w:rsidR="00854992">
        <w:t>II</w:t>
      </w:r>
      <w:r w:rsidR="00CB238A">
        <w:t xml:space="preserve"> and Phase </w:t>
      </w:r>
      <w:r w:rsidR="00854992">
        <w:t>III</w:t>
      </w:r>
      <w:r w:rsidRPr="002E7BD8">
        <w:t xml:space="preserve"> studies, with 535 receiving tirzepatide for </w:t>
      </w:r>
      <w:r w:rsidR="00854992">
        <w:t xml:space="preserve">at least </w:t>
      </w:r>
      <w:r w:rsidRPr="002E7BD8">
        <w:t>78</w:t>
      </w:r>
      <w:r w:rsidR="00854992">
        <w:t> </w:t>
      </w:r>
      <w:r w:rsidRPr="002E7BD8">
        <w:t>weeks.</w:t>
      </w:r>
    </w:p>
    <w:p w14:paraId="19A88FC9" w14:textId="59C4D75A" w:rsidR="002E7BD8" w:rsidRPr="002E7BD8" w:rsidRDefault="002E7BD8" w:rsidP="002E7BD8">
      <w:r w:rsidRPr="002E7BD8">
        <w:t>The treatment duration ranged from 12 to 26</w:t>
      </w:r>
      <w:r w:rsidR="00854992">
        <w:t> </w:t>
      </w:r>
      <w:r w:rsidRPr="002E7BD8">
        <w:t xml:space="preserve">weeks (Phase </w:t>
      </w:r>
      <w:r w:rsidR="00854992">
        <w:t>II</w:t>
      </w:r>
      <w:r w:rsidRPr="002E7BD8">
        <w:t xml:space="preserve"> studies), and from 40 to 104</w:t>
      </w:r>
      <w:r w:rsidR="00854992">
        <w:t> </w:t>
      </w:r>
      <w:r w:rsidRPr="002E7BD8">
        <w:t xml:space="preserve">weeks (Phase </w:t>
      </w:r>
      <w:r w:rsidR="00854992">
        <w:t>III</w:t>
      </w:r>
      <w:r w:rsidRPr="002E7BD8">
        <w:t xml:space="preserve"> studies) (all with a 4</w:t>
      </w:r>
      <w:r w:rsidR="00854992">
        <w:t xml:space="preserve"> </w:t>
      </w:r>
      <w:r w:rsidRPr="002E7BD8">
        <w:t>week safety follow</w:t>
      </w:r>
      <w:r w:rsidR="005E279A">
        <w:noBreakHyphen/>
      </w:r>
      <w:r w:rsidRPr="002E7BD8">
        <w:t>up).</w:t>
      </w:r>
    </w:p>
    <w:p w14:paraId="72A0D933" w14:textId="70F892F7" w:rsidR="002E7BD8" w:rsidRPr="002E7BD8" w:rsidRDefault="002E7BD8" w:rsidP="002E7BD8">
      <w:r w:rsidRPr="002707F8">
        <w:t>Assessment of cardiovascular safety was based on the CV Meta</w:t>
      </w:r>
      <w:r w:rsidR="005E279A">
        <w:noBreakHyphen/>
      </w:r>
      <w:r w:rsidRPr="002707F8">
        <w:t>Analysis Set comprising all</w:t>
      </w:r>
      <w:r w:rsidRPr="002E7BD8">
        <w:t xml:space="preserve"> placebo</w:t>
      </w:r>
      <w:r w:rsidR="005E279A">
        <w:noBreakHyphen/>
      </w:r>
      <w:r w:rsidRPr="002E7BD8">
        <w:t xml:space="preserve"> or active</w:t>
      </w:r>
      <w:r w:rsidR="005E279A">
        <w:noBreakHyphen/>
      </w:r>
      <w:r w:rsidRPr="002E7BD8">
        <w:t xml:space="preserve">controlled Phase </w:t>
      </w:r>
      <w:r w:rsidR="00854992">
        <w:t>II</w:t>
      </w:r>
      <w:r w:rsidR="00CB238A">
        <w:t xml:space="preserve"> and Phase </w:t>
      </w:r>
      <w:r w:rsidR="00854992">
        <w:t>III</w:t>
      </w:r>
      <w:r w:rsidRPr="002E7BD8">
        <w:t xml:space="preserve"> studies with a treatment period lasting </w:t>
      </w:r>
      <w:r w:rsidR="00854992">
        <w:t xml:space="preserve">at least </w:t>
      </w:r>
      <w:r w:rsidRPr="002E7BD8">
        <w:t>26 weeks.</w:t>
      </w:r>
    </w:p>
    <w:p w14:paraId="1FB968CC" w14:textId="0BA96626" w:rsidR="002E7BD8" w:rsidRPr="002E7BD8" w:rsidRDefault="002E7BD8" w:rsidP="00854992">
      <w:pPr>
        <w:pStyle w:val="Heading6"/>
      </w:pPr>
      <w:r w:rsidRPr="002E7BD8">
        <w:lastRenderedPageBreak/>
        <w:t>Primary safety analysis sets</w:t>
      </w:r>
    </w:p>
    <w:p w14:paraId="26F629E9" w14:textId="5182FDF1" w:rsidR="002E7BD8" w:rsidRPr="002E7BD8" w:rsidRDefault="002E7BD8" w:rsidP="002E7BD8">
      <w:r w:rsidRPr="002707F8">
        <w:t xml:space="preserve">The </w:t>
      </w:r>
      <w:r w:rsidR="00320553">
        <w:t>2</w:t>
      </w:r>
      <w:r w:rsidRPr="002707F8">
        <w:t xml:space="preserve"> primary analysis sets to detect drug and dose effects were the Phase </w:t>
      </w:r>
      <w:r w:rsidR="00854992" w:rsidRPr="002707F8">
        <w:t>III</w:t>
      </w:r>
      <w:r w:rsidRPr="002707F8">
        <w:t xml:space="preserve"> Placebo</w:t>
      </w:r>
      <w:r w:rsidR="005E279A">
        <w:noBreakHyphen/>
      </w:r>
      <w:r w:rsidRPr="002707F8">
        <w:t xml:space="preserve">Controlled Analysis Set (comparison against placebo) and the Phase </w:t>
      </w:r>
      <w:r w:rsidR="00854992" w:rsidRPr="002707F8">
        <w:t>III</w:t>
      </w:r>
      <w:r w:rsidRPr="002707F8">
        <w:t xml:space="preserve"> Dose Effect Analysis Set (comparison of the different tirzepatide doses).</w:t>
      </w:r>
    </w:p>
    <w:p w14:paraId="4CB29447" w14:textId="7CC0693D" w:rsidR="002E7BD8" w:rsidRPr="002E7BD8" w:rsidRDefault="002E7BD8" w:rsidP="00854992">
      <w:pPr>
        <w:pStyle w:val="Heading5"/>
      </w:pPr>
      <w:r w:rsidRPr="002E7BD8">
        <w:t>Adverse event overview</w:t>
      </w:r>
    </w:p>
    <w:p w14:paraId="61268BE3" w14:textId="3D2A46DC" w:rsidR="00854992" w:rsidRDefault="00854992" w:rsidP="00854992">
      <w:pPr>
        <w:pStyle w:val="Heading6"/>
      </w:pPr>
      <w:r w:rsidRPr="002E7BD8">
        <w:t xml:space="preserve">Phase </w:t>
      </w:r>
      <w:r>
        <w:t>III</w:t>
      </w:r>
      <w:r w:rsidRPr="002E7BD8">
        <w:t xml:space="preserve"> Placebo</w:t>
      </w:r>
      <w:r w:rsidR="005E279A">
        <w:noBreakHyphen/>
      </w:r>
      <w:r w:rsidR="00F71A04">
        <w:t>c</w:t>
      </w:r>
      <w:r w:rsidRPr="002E7BD8">
        <w:t xml:space="preserve">ontrolled </w:t>
      </w:r>
      <w:r w:rsidR="00F71A04">
        <w:t>a</w:t>
      </w:r>
      <w:r w:rsidRPr="002E7BD8">
        <w:t xml:space="preserve">nalysis </w:t>
      </w:r>
      <w:r w:rsidR="00F71A04">
        <w:t>s</w:t>
      </w:r>
      <w:r w:rsidRPr="002E7BD8">
        <w:t>et</w:t>
      </w:r>
    </w:p>
    <w:p w14:paraId="79EF5051" w14:textId="3D2F09E0" w:rsidR="002E7BD8" w:rsidRPr="002E7BD8" w:rsidRDefault="002E7BD8" w:rsidP="002E7BD8">
      <w:r w:rsidRPr="002707F8">
        <w:t xml:space="preserve">The percentage of patients with </w:t>
      </w:r>
      <w:r w:rsidR="002707F8" w:rsidRPr="002707F8">
        <w:t>serious adverse events (</w:t>
      </w:r>
      <w:r w:rsidRPr="002707F8">
        <w:t>SAEs</w:t>
      </w:r>
      <w:r w:rsidR="002707F8" w:rsidRPr="002707F8">
        <w:t>)</w:t>
      </w:r>
      <w:r w:rsidRPr="002707F8">
        <w:t xml:space="preserve"> and </w:t>
      </w:r>
      <w:r w:rsidR="002707F8" w:rsidRPr="002707F8">
        <w:t>treatment</w:t>
      </w:r>
      <w:r w:rsidR="005E279A">
        <w:noBreakHyphen/>
      </w:r>
      <w:r w:rsidR="002707F8" w:rsidRPr="002707F8">
        <w:t>emergent adverse events (</w:t>
      </w:r>
      <w:r w:rsidRPr="002707F8">
        <w:t>TEAEs</w:t>
      </w:r>
      <w:r w:rsidR="002707F8" w:rsidRPr="002707F8">
        <w:t>)</w:t>
      </w:r>
      <w:r w:rsidRPr="002707F8">
        <w:t xml:space="preserve"> was similar across tirzepatide doses, all </w:t>
      </w:r>
      <w:r w:rsidR="00854992" w:rsidRPr="002707F8">
        <w:t xml:space="preserve">tirzepatide </w:t>
      </w:r>
      <w:r w:rsidRPr="002707F8">
        <w:t>dose groups combined</w:t>
      </w:r>
      <w:r w:rsidRPr="002E7BD8">
        <w:t>, and placebo groups (</w:t>
      </w:r>
      <w:r w:rsidR="00477AA4">
        <w:fldChar w:fldCharType="begin"/>
      </w:r>
      <w:r w:rsidR="00477AA4">
        <w:instrText xml:space="preserve"> REF _Ref146619213 \h </w:instrText>
      </w:r>
      <w:r w:rsidR="00477AA4">
        <w:fldChar w:fldCharType="separate"/>
      </w:r>
      <w:r w:rsidR="008465DD">
        <w:t xml:space="preserve">Table </w:t>
      </w:r>
      <w:r w:rsidR="008465DD">
        <w:rPr>
          <w:noProof/>
        </w:rPr>
        <w:t>15</w:t>
      </w:r>
      <w:r w:rsidR="00477AA4">
        <w:fldChar w:fldCharType="end"/>
      </w:r>
      <w:r w:rsidRPr="002E7BD8">
        <w:t>).</w:t>
      </w:r>
    </w:p>
    <w:p w14:paraId="6CE91C2C" w14:textId="5A52B50C" w:rsidR="002E7BD8" w:rsidRPr="002E7BD8" w:rsidRDefault="00854992" w:rsidP="002E7BD8">
      <w:r>
        <w:t>Treatment</w:t>
      </w:r>
      <w:r w:rsidR="005E279A">
        <w:noBreakHyphen/>
      </w:r>
      <w:r>
        <w:t xml:space="preserve">emergent </w:t>
      </w:r>
      <w:r w:rsidR="002E7BD8" w:rsidRPr="002E7BD8">
        <w:t>AEs most frequently reported for tirzepatide</w:t>
      </w:r>
      <w:r w:rsidR="005E279A">
        <w:noBreakHyphen/>
      </w:r>
      <w:r w:rsidR="002E7BD8" w:rsidRPr="002E7BD8">
        <w:t xml:space="preserve">treated patients were </w:t>
      </w:r>
      <w:r>
        <w:t>g</w:t>
      </w:r>
      <w:r w:rsidR="002E7BD8" w:rsidRPr="002E7BD8">
        <w:t>astro</w:t>
      </w:r>
      <w:r w:rsidR="002E7BD8" w:rsidRPr="002E7BD8">
        <w:softHyphen/>
        <w:t xml:space="preserve">intestinal (GI) </w:t>
      </w:r>
      <w:r>
        <w:t>d</w:t>
      </w:r>
      <w:r w:rsidR="002E7BD8" w:rsidRPr="002E7BD8">
        <w:t xml:space="preserve">isorders (40.1% for </w:t>
      </w:r>
      <w:r w:rsidR="00477AA4" w:rsidRPr="002707F8">
        <w:t>all tirzepatide dose groups combined</w:t>
      </w:r>
      <w:r w:rsidR="00477AA4" w:rsidRPr="002E7BD8">
        <w:t xml:space="preserve"> </w:t>
      </w:r>
      <w:r w:rsidR="00A14C0F">
        <w:t>versus</w:t>
      </w:r>
      <w:r w:rsidR="002E7BD8" w:rsidRPr="002E7BD8">
        <w:t xml:space="preserve"> 20.4% for placebo). </w:t>
      </w:r>
      <w:r w:rsidR="00307B64">
        <w:t xml:space="preserve">Using MedDRA System </w:t>
      </w:r>
      <w:r w:rsidR="00307B64" w:rsidRPr="00307B64">
        <w:t>Organ Class (SOC) terms,</w:t>
      </w:r>
      <w:r w:rsidR="00307B64" w:rsidRPr="00307B64">
        <w:rPr>
          <w:rStyle w:val="FootnoteReference"/>
        </w:rPr>
        <w:footnoteReference w:id="16"/>
      </w:r>
      <w:r w:rsidR="00307B64" w:rsidRPr="00307B64">
        <w:t xml:space="preserve"> m</w:t>
      </w:r>
      <w:r w:rsidR="002E7BD8" w:rsidRPr="00307B64">
        <w:t>ost TEAEs in the G</w:t>
      </w:r>
      <w:r w:rsidR="002707F8" w:rsidRPr="00307B64">
        <w:t>astrointestinal</w:t>
      </w:r>
      <w:r w:rsidR="002E7BD8" w:rsidRPr="00307B64">
        <w:t xml:space="preserve"> Disorders SOC were reported as</w:t>
      </w:r>
      <w:r w:rsidR="002E7BD8" w:rsidRPr="002E7BD8">
        <w:t xml:space="preserve"> mild or moderate, with similar percentages reporting severe TEAEs across groups (1.1% and 0.9%, respectively) except for the following reported as severe:</w:t>
      </w:r>
    </w:p>
    <w:p w14:paraId="45EAC1CA" w14:textId="2FF8F28F" w:rsidR="002E7BD8" w:rsidRPr="002E7BD8" w:rsidRDefault="00757494" w:rsidP="00A14C0F">
      <w:pPr>
        <w:pStyle w:val="ListBullet"/>
      </w:pPr>
      <w:r>
        <w:t>n</w:t>
      </w:r>
      <w:r w:rsidR="002E7BD8" w:rsidRPr="002E7BD8">
        <w:t>ausea (</w:t>
      </w:r>
      <w:r w:rsidR="00477AA4" w:rsidRPr="002707F8">
        <w:t>all tirzepatide dose groups combined</w:t>
      </w:r>
      <w:r w:rsidR="002E7BD8" w:rsidRPr="002E7BD8">
        <w:t>, 0.3%; placebo, 0)</w:t>
      </w:r>
    </w:p>
    <w:p w14:paraId="5A193B52" w14:textId="16A953FE" w:rsidR="002E7BD8" w:rsidRPr="002E7BD8" w:rsidRDefault="00757494" w:rsidP="00A14C0F">
      <w:pPr>
        <w:pStyle w:val="ListBullet"/>
      </w:pPr>
      <w:r>
        <w:t>d</w:t>
      </w:r>
      <w:r w:rsidR="002E7BD8" w:rsidRPr="002E7BD8">
        <w:t>iarrh</w:t>
      </w:r>
      <w:r>
        <w:t>o</w:t>
      </w:r>
      <w:r w:rsidR="002E7BD8" w:rsidRPr="002E7BD8">
        <w:t>ea (</w:t>
      </w:r>
      <w:r w:rsidR="00477AA4" w:rsidRPr="002707F8">
        <w:t>all tirzepatide dose groups combined</w:t>
      </w:r>
      <w:r w:rsidR="002E7BD8" w:rsidRPr="002E7BD8">
        <w:t>, 0.4%; placebo, 0.4%)</w:t>
      </w:r>
    </w:p>
    <w:p w14:paraId="1505A9EF" w14:textId="685B4A34" w:rsidR="002E7BD8" w:rsidRPr="002E7BD8" w:rsidRDefault="00757494" w:rsidP="00A14C0F">
      <w:pPr>
        <w:pStyle w:val="ListBullet"/>
      </w:pPr>
      <w:r>
        <w:t>d</w:t>
      </w:r>
      <w:r w:rsidR="002E7BD8" w:rsidRPr="002E7BD8">
        <w:t>yspepsia (</w:t>
      </w:r>
      <w:r w:rsidR="00477AA4" w:rsidRPr="002707F8">
        <w:t>all tirzepatide dose groups combined</w:t>
      </w:r>
      <w:r w:rsidR="002E7BD8" w:rsidRPr="002E7BD8">
        <w:t>, 0.1%; placebo, 0.4%)</w:t>
      </w:r>
    </w:p>
    <w:p w14:paraId="1554F3F1" w14:textId="2E33FA91" w:rsidR="002E7BD8" w:rsidRPr="002E7BD8" w:rsidRDefault="00757494" w:rsidP="00A14C0F">
      <w:pPr>
        <w:pStyle w:val="ListBullet"/>
      </w:pPr>
      <w:r>
        <w:t>v</w:t>
      </w:r>
      <w:r w:rsidR="002E7BD8" w:rsidRPr="002E7BD8">
        <w:t>omiting (</w:t>
      </w:r>
      <w:r w:rsidR="00477AA4" w:rsidRPr="002707F8">
        <w:t>all tirzepatide dose groups combined</w:t>
      </w:r>
      <w:r w:rsidR="002E7BD8" w:rsidRPr="002E7BD8">
        <w:t>, 0.3%; placebo, 0).</w:t>
      </w:r>
    </w:p>
    <w:p w14:paraId="771F2E47" w14:textId="31F86E18" w:rsidR="002E7BD8" w:rsidRPr="002E7BD8" w:rsidRDefault="002E7BD8" w:rsidP="002E7BD8">
      <w:r w:rsidRPr="002E7BD8">
        <w:t>Other treatment differences with more events reported in tirzepatide</w:t>
      </w:r>
      <w:r w:rsidR="005E279A">
        <w:noBreakHyphen/>
      </w:r>
      <w:r w:rsidRPr="002E7BD8">
        <w:t>treated patients</w:t>
      </w:r>
      <w:r w:rsidR="00307B64">
        <w:t xml:space="preserve"> were</w:t>
      </w:r>
      <w:r w:rsidRPr="002E7BD8">
        <w:t>:</w:t>
      </w:r>
    </w:p>
    <w:p w14:paraId="023F4FCF" w14:textId="20B0A15D" w:rsidR="002E7BD8" w:rsidRPr="002E7BD8" w:rsidRDefault="00307B64" w:rsidP="00A14C0F">
      <w:pPr>
        <w:pStyle w:val="ListBullet"/>
      </w:pPr>
      <w:r>
        <w:t>g</w:t>
      </w:r>
      <w:r w:rsidR="002E7BD8" w:rsidRPr="002E7BD8">
        <w:t>eneral disorders and administration site conditions (</w:t>
      </w:r>
      <w:r w:rsidR="00477AA4" w:rsidRPr="002707F8">
        <w:t>all tirzepatide dose groups combined</w:t>
      </w:r>
      <w:r w:rsidR="002E7BD8" w:rsidRPr="002E7BD8">
        <w:t xml:space="preserve">, 8.8%; placebo, 3.8%) driven </w:t>
      </w:r>
      <w:r w:rsidR="002E7BD8" w:rsidRPr="00307B64">
        <w:t xml:space="preserve">primarily by the </w:t>
      </w:r>
      <w:r w:rsidR="000D2B5F" w:rsidRPr="00307B64">
        <w:t>Med</w:t>
      </w:r>
      <w:r w:rsidR="00FC2BEE">
        <w:t>DRA</w:t>
      </w:r>
      <w:r w:rsidR="000D2B5F" w:rsidRPr="00307B64">
        <w:t xml:space="preserve"> Preferred Terms (</w:t>
      </w:r>
      <w:r w:rsidR="002E7BD8" w:rsidRPr="00307B64">
        <w:t>PTs</w:t>
      </w:r>
      <w:r w:rsidR="000D2B5F" w:rsidRPr="00307B64">
        <w:t>)</w:t>
      </w:r>
      <w:r w:rsidR="000D2B5F" w:rsidRPr="00307B64">
        <w:rPr>
          <w:rStyle w:val="FootnoteReference"/>
        </w:rPr>
        <w:footnoteReference w:id="17"/>
      </w:r>
      <w:r w:rsidR="002E7BD8" w:rsidRPr="00307B64">
        <w:t xml:space="preserve"> injection site reactions (</w:t>
      </w:r>
      <w:r w:rsidR="00477AA4" w:rsidRPr="002707F8">
        <w:t>all tirzepatide dose groups combined</w:t>
      </w:r>
      <w:r w:rsidR="002E7BD8" w:rsidRPr="00307B64">
        <w:t>, 2.5%;</w:t>
      </w:r>
      <w:r w:rsidR="002E7BD8" w:rsidRPr="002E7BD8">
        <w:t xml:space="preserve"> placebo, 0%), fatigue (</w:t>
      </w:r>
      <w:r w:rsidR="00477AA4" w:rsidRPr="002707F8">
        <w:t>all tirzepatide dose groups combined</w:t>
      </w:r>
      <w:r w:rsidR="002E7BD8" w:rsidRPr="002E7BD8">
        <w:t>, 1.5%; placebo, 0%), and asthenia (</w:t>
      </w:r>
      <w:r w:rsidR="00477AA4" w:rsidRPr="002707F8">
        <w:t>all tirzepatide dose groups combined</w:t>
      </w:r>
      <w:r w:rsidR="002E7BD8" w:rsidRPr="002E7BD8">
        <w:t>, 1.3 %; placebo, 0%)</w:t>
      </w:r>
    </w:p>
    <w:p w14:paraId="51E56EF9" w14:textId="5EF97AEE" w:rsidR="002E7BD8" w:rsidRPr="002E7BD8" w:rsidRDefault="00307B64" w:rsidP="00A14C0F">
      <w:pPr>
        <w:pStyle w:val="ListBullet"/>
      </w:pPr>
      <w:r>
        <w:t>i</w:t>
      </w:r>
      <w:r w:rsidR="002E7BD8" w:rsidRPr="002E7BD8">
        <w:t>nvestigations (</w:t>
      </w:r>
      <w:r w:rsidR="00477AA4" w:rsidRPr="002707F8">
        <w:t>all tirzepatide dose groups combined</w:t>
      </w:r>
      <w:r w:rsidR="002E7BD8" w:rsidRPr="002E7BD8">
        <w:t>, 7.9%; placebo, 4.3%) driven primarily by the PTs lipase increased (</w:t>
      </w:r>
      <w:r w:rsidR="00477AA4" w:rsidRPr="002707F8">
        <w:t>all tirzepatide dose groups combined</w:t>
      </w:r>
      <w:r w:rsidR="002E7BD8" w:rsidRPr="002E7BD8">
        <w:t>, 3.2%; placebo, 2.6%), amylase increased (</w:t>
      </w:r>
      <w:r w:rsidR="00477AA4" w:rsidRPr="002707F8">
        <w:t>all tirzepatide dose groups combined</w:t>
      </w:r>
      <w:r w:rsidR="002E7BD8" w:rsidRPr="002E7BD8">
        <w:t>, 1.4%; placebo, 0.4%), blood calcitonin increased (</w:t>
      </w:r>
      <w:r w:rsidR="00477AA4" w:rsidRPr="002707F8">
        <w:t>all tirzepatide dose groups combined</w:t>
      </w:r>
      <w:r w:rsidR="002E7BD8" w:rsidRPr="002E7BD8">
        <w:t>, 1.1%; placebo, 0%), and heart rate increased (</w:t>
      </w:r>
      <w:r w:rsidR="00477AA4" w:rsidRPr="002707F8">
        <w:t>all tirzepatide dose groups combined</w:t>
      </w:r>
      <w:r w:rsidR="002E7BD8" w:rsidRPr="002E7BD8">
        <w:t>, 1.1%; placebo, 0.4%)</w:t>
      </w:r>
    </w:p>
    <w:p w14:paraId="69DF17D4" w14:textId="75EB6517" w:rsidR="002E7BD8" w:rsidRPr="002E7BD8" w:rsidRDefault="00307B64" w:rsidP="00A14C0F">
      <w:pPr>
        <w:pStyle w:val="ListBullet"/>
      </w:pPr>
      <w:r>
        <w:t>b</w:t>
      </w:r>
      <w:r w:rsidR="002E7BD8" w:rsidRPr="002E7BD8">
        <w:t xml:space="preserve">lood and </w:t>
      </w:r>
      <w:r>
        <w:t>l</w:t>
      </w:r>
      <w:r w:rsidR="002E7BD8" w:rsidRPr="002E7BD8">
        <w:t xml:space="preserve">ymphatic </w:t>
      </w:r>
      <w:r>
        <w:t>s</w:t>
      </w:r>
      <w:r w:rsidR="002E7BD8" w:rsidRPr="002E7BD8">
        <w:t xml:space="preserve">ystem </w:t>
      </w:r>
      <w:r>
        <w:t>d</w:t>
      </w:r>
      <w:r w:rsidR="002E7BD8" w:rsidRPr="002E7BD8">
        <w:t>isorders (</w:t>
      </w:r>
      <w:r w:rsidR="00477AA4" w:rsidRPr="002707F8">
        <w:t>all tirzepatide dose groups combined</w:t>
      </w:r>
      <w:r w:rsidR="002E7BD8" w:rsidRPr="002E7BD8">
        <w:t>, 2.8%; placebo, 0.4%) driven primarily by the PT anaemia (</w:t>
      </w:r>
      <w:r w:rsidR="00477AA4" w:rsidRPr="002707F8">
        <w:t>all tirzepatide dose groups combined</w:t>
      </w:r>
      <w:r w:rsidR="002E7BD8" w:rsidRPr="002E7BD8">
        <w:t>, 1.1%; placebo, 0%).</w:t>
      </w:r>
    </w:p>
    <w:p w14:paraId="2EA21AE6" w14:textId="156948DC" w:rsidR="002E7BD8" w:rsidRPr="002E7BD8" w:rsidRDefault="002E7BD8" w:rsidP="002E7BD8">
      <w:r w:rsidRPr="002E7BD8">
        <w:t>Other imbalances between tirzepatide</w:t>
      </w:r>
      <w:r w:rsidR="005E279A">
        <w:noBreakHyphen/>
      </w:r>
      <w:r w:rsidR="0076785B">
        <w:t>treated</w:t>
      </w:r>
      <w:r w:rsidRPr="002E7BD8">
        <w:t xml:space="preserve"> and placebo</w:t>
      </w:r>
      <w:r w:rsidR="005E279A">
        <w:noBreakHyphen/>
      </w:r>
      <w:r w:rsidRPr="002E7BD8">
        <w:t xml:space="preserve">treated patients with p&lt;0.05 or </w:t>
      </w:r>
      <w:r w:rsidR="00307B64">
        <w:t xml:space="preserve">odds ratio of </w:t>
      </w:r>
      <w:r w:rsidR="00A14C0F">
        <w:t xml:space="preserve">2 or </w:t>
      </w:r>
      <w:r w:rsidR="00307B64">
        <w:t>more</w:t>
      </w:r>
      <w:r w:rsidRPr="002E7BD8">
        <w:t xml:space="preserve"> were:</w:t>
      </w:r>
    </w:p>
    <w:p w14:paraId="1BEEBF33" w14:textId="0158E3AA" w:rsidR="002E7BD8" w:rsidRPr="002E7BD8" w:rsidRDefault="00307B64" w:rsidP="00A14C0F">
      <w:pPr>
        <w:pStyle w:val="ListBullet"/>
      </w:pPr>
      <w:r>
        <w:t>e</w:t>
      </w:r>
      <w:r w:rsidR="002E7BD8" w:rsidRPr="002E7BD8">
        <w:t>ructation (</w:t>
      </w:r>
      <w:r w:rsidR="00477AA4" w:rsidRPr="002707F8">
        <w:t>all tirzepatide dose groups combined</w:t>
      </w:r>
      <w:r w:rsidR="002E7BD8" w:rsidRPr="002E7BD8">
        <w:t>, 2.9%; placebo, 0.4%)</w:t>
      </w:r>
    </w:p>
    <w:p w14:paraId="3129D29B" w14:textId="3B79ACFE" w:rsidR="002E7BD8" w:rsidRPr="002E7BD8" w:rsidRDefault="00757494" w:rsidP="00A14C0F">
      <w:pPr>
        <w:pStyle w:val="ListBullet"/>
      </w:pPr>
      <w:r>
        <w:lastRenderedPageBreak/>
        <w:t>f</w:t>
      </w:r>
      <w:r w:rsidR="002E7BD8" w:rsidRPr="002E7BD8">
        <w:t>latulence (</w:t>
      </w:r>
      <w:r w:rsidR="00477AA4" w:rsidRPr="002707F8">
        <w:t>all tirzepatide dose groups combined</w:t>
      </w:r>
      <w:r w:rsidR="002E7BD8" w:rsidRPr="002E7BD8">
        <w:t>, 2.2%; placebo, 0%)</w:t>
      </w:r>
    </w:p>
    <w:p w14:paraId="2C815E4D" w14:textId="66C9A8DF" w:rsidR="002E7BD8" w:rsidRPr="002E7BD8" w:rsidRDefault="00757494" w:rsidP="00A14C0F">
      <w:pPr>
        <w:pStyle w:val="ListBullet"/>
      </w:pPr>
      <w:r>
        <w:t>a</w:t>
      </w:r>
      <w:r w:rsidR="002E7BD8" w:rsidRPr="002E7BD8">
        <w:t>bdominal pain (</w:t>
      </w:r>
      <w:r w:rsidR="00477AA4" w:rsidRPr="002707F8">
        <w:t>all tirzepatide dose groups combined</w:t>
      </w:r>
      <w:r w:rsidR="002E7BD8" w:rsidRPr="002E7BD8">
        <w:t>, 2.2%; placebo, 0.4%)</w:t>
      </w:r>
    </w:p>
    <w:p w14:paraId="7A0B6937" w14:textId="1ACA0C94" w:rsidR="002E7BD8" w:rsidRPr="002E7BD8" w:rsidRDefault="00757494" w:rsidP="00A14C0F">
      <w:pPr>
        <w:pStyle w:val="ListBullet"/>
      </w:pPr>
      <w:r>
        <w:t>g</w:t>
      </w:r>
      <w:r w:rsidR="002E7BD8" w:rsidRPr="002E7BD8">
        <w:t>astroesophageal reflux disease (</w:t>
      </w:r>
      <w:r w:rsidR="00477AA4" w:rsidRPr="002707F8">
        <w:t>all tirzepatide dose groups combined</w:t>
      </w:r>
      <w:r w:rsidR="002E7BD8" w:rsidRPr="002E7BD8">
        <w:t>, 1.9%; placebo, 0.4%)</w:t>
      </w:r>
    </w:p>
    <w:p w14:paraId="22D05A7E" w14:textId="0030F64E" w:rsidR="002E7BD8" w:rsidRPr="002E7BD8" w:rsidRDefault="00757494" w:rsidP="00A14C0F">
      <w:pPr>
        <w:pStyle w:val="ListBullet"/>
      </w:pPr>
      <w:r>
        <w:t>g</w:t>
      </w:r>
      <w:r w:rsidR="002E7BD8" w:rsidRPr="002E7BD8">
        <w:t>astritis (</w:t>
      </w:r>
      <w:r w:rsidR="00477AA4" w:rsidRPr="002707F8">
        <w:t>all tirzepatide dose groups combined</w:t>
      </w:r>
      <w:r w:rsidR="002E7BD8" w:rsidRPr="002E7BD8">
        <w:t>, 1.7%; placebo, 0.4%)</w:t>
      </w:r>
    </w:p>
    <w:p w14:paraId="2E2C62D3" w14:textId="1A8DF595" w:rsidR="002E7BD8" w:rsidRPr="002E7BD8" w:rsidRDefault="00757494" w:rsidP="00A14C0F">
      <w:pPr>
        <w:pStyle w:val="ListBullet"/>
      </w:pPr>
      <w:r>
        <w:t>a</w:t>
      </w:r>
      <w:r w:rsidR="002E7BD8" w:rsidRPr="002E7BD8">
        <w:t>bdominal distension (</w:t>
      </w:r>
      <w:r w:rsidR="00477AA4" w:rsidRPr="002707F8">
        <w:t>all tirzepatide dose groups combined</w:t>
      </w:r>
      <w:r w:rsidR="002E7BD8" w:rsidRPr="002E7BD8">
        <w:t>, 1.4%; placebo, 0.4%)</w:t>
      </w:r>
    </w:p>
    <w:p w14:paraId="77D80454" w14:textId="4E9D6966" w:rsidR="002E7BD8" w:rsidRPr="002E7BD8" w:rsidRDefault="00757494" w:rsidP="00A14C0F">
      <w:pPr>
        <w:pStyle w:val="ListBullet"/>
      </w:pPr>
      <w:r>
        <w:t>c</w:t>
      </w:r>
      <w:r w:rsidR="002E7BD8" w:rsidRPr="002E7BD8">
        <w:t>ontusion (</w:t>
      </w:r>
      <w:r w:rsidR="00477AA4" w:rsidRPr="002707F8">
        <w:t>all tirzepatide dose groups combined</w:t>
      </w:r>
      <w:r w:rsidR="002E7BD8" w:rsidRPr="002E7BD8">
        <w:t>, 1.1%; placebo, 0.4%)</w:t>
      </w:r>
    </w:p>
    <w:p w14:paraId="352AF5E4" w14:textId="72791695" w:rsidR="002E7BD8" w:rsidRPr="002E7BD8" w:rsidRDefault="00757494" w:rsidP="00A14C0F">
      <w:pPr>
        <w:pStyle w:val="ListBullet"/>
      </w:pPr>
      <w:r>
        <w:t>g</w:t>
      </w:r>
      <w:r w:rsidR="002E7BD8" w:rsidRPr="002E7BD8">
        <w:t>astroenteritis (</w:t>
      </w:r>
      <w:r w:rsidR="00477AA4" w:rsidRPr="002707F8">
        <w:t>all tirzepatide dose groups combined</w:t>
      </w:r>
      <w:r w:rsidR="002E7BD8" w:rsidRPr="002E7BD8">
        <w:t>, 1.1%; placebo, 0.4%)</w:t>
      </w:r>
    </w:p>
    <w:p w14:paraId="4C27EA8B" w14:textId="0233ABA9" w:rsidR="002E7BD8" w:rsidRPr="002E7BD8" w:rsidRDefault="00757494" w:rsidP="00A14C0F">
      <w:pPr>
        <w:pStyle w:val="ListBullet"/>
      </w:pPr>
      <w:r>
        <w:t>g</w:t>
      </w:r>
      <w:r w:rsidR="002E7BD8" w:rsidRPr="002E7BD8">
        <w:t>astrointestinal disorder (</w:t>
      </w:r>
      <w:r w:rsidR="00477AA4" w:rsidRPr="002707F8">
        <w:t>all tirzepatide dose groups combined</w:t>
      </w:r>
      <w:r w:rsidR="002E7BD8" w:rsidRPr="002E7BD8">
        <w:t>, 1.1%; placebo, 0%)</w:t>
      </w:r>
      <w:r w:rsidR="00A14C0F">
        <w:t>.</w:t>
      </w:r>
    </w:p>
    <w:p w14:paraId="232E2611" w14:textId="031CEA41" w:rsidR="00A14C0F" w:rsidRDefault="002E7BD8" w:rsidP="00A14C0F">
      <w:r w:rsidRPr="002E7BD8">
        <w:t xml:space="preserve">For anaemia, more patients in the </w:t>
      </w:r>
      <w:r w:rsidR="005E279A">
        <w:t>‘</w:t>
      </w:r>
      <w:r w:rsidR="00477AA4" w:rsidRPr="002707F8">
        <w:t>all tirzepatide dose groups combined</w:t>
      </w:r>
      <w:r w:rsidR="005E279A">
        <w:t>’</w:t>
      </w:r>
      <w:r w:rsidRPr="002E7BD8">
        <w:t xml:space="preserve"> group than in the placebo group (16.3% </w:t>
      </w:r>
      <w:r w:rsidR="00A14C0F">
        <w:t>versus</w:t>
      </w:r>
      <w:r w:rsidRPr="002E7BD8">
        <w:t xml:space="preserve"> </w:t>
      </w:r>
      <w:r w:rsidRPr="00431E03">
        <w:t xml:space="preserve">9.2%,) shifted from normal/high haemoglobin to low </w:t>
      </w:r>
      <w:r w:rsidR="005E279A">
        <w:t>haemoglobin</w:t>
      </w:r>
      <w:r w:rsidRPr="00431E03">
        <w:t xml:space="preserve"> in </w:t>
      </w:r>
      <w:r w:rsidR="00431E03" w:rsidRPr="00431E03">
        <w:t>the Phase III placebo</w:t>
      </w:r>
      <w:r w:rsidR="005E279A">
        <w:noBreakHyphen/>
      </w:r>
      <w:r w:rsidR="00431E03" w:rsidRPr="00431E03">
        <w:t>controlled analysis set</w:t>
      </w:r>
      <w:r w:rsidRPr="00431E03">
        <w:t>. No dose effect was seen in</w:t>
      </w:r>
      <w:r w:rsidR="00C26870">
        <w:t xml:space="preserve"> th</w:t>
      </w:r>
      <w:r w:rsidR="00C26870" w:rsidRPr="00C26870">
        <w:t>e Phase III dose effect analysis set</w:t>
      </w:r>
      <w:r w:rsidRPr="00C26870">
        <w:t xml:space="preserve"> (tirze</w:t>
      </w:r>
      <w:r w:rsidRPr="00431E03">
        <w:t xml:space="preserve">patide </w:t>
      </w:r>
      <w:r w:rsidR="009F6F50" w:rsidRPr="00431E03">
        <w:t>5 mg</w:t>
      </w:r>
      <w:r w:rsidRPr="00431E03">
        <w:t xml:space="preserve">, 13.96%; tirzepatide </w:t>
      </w:r>
      <w:r w:rsidR="009F6F50" w:rsidRPr="00431E03">
        <w:t>10 mg</w:t>
      </w:r>
      <w:r w:rsidRPr="00431E03">
        <w:t>, 14.44%; tirzepatide 1</w:t>
      </w:r>
      <w:r w:rsidR="009F6F50" w:rsidRPr="00431E03">
        <w:t>5 mg</w:t>
      </w:r>
      <w:r w:rsidRPr="00431E03">
        <w:t>, 15.61%). The clinical meaning of these findings is uncertain.</w:t>
      </w:r>
      <w:bookmarkStart w:id="71" w:name="_Ref144392709"/>
    </w:p>
    <w:p w14:paraId="41A042D6" w14:textId="77777777" w:rsidR="00961B2D" w:rsidRDefault="00854992" w:rsidP="00A14C0F">
      <w:pPr>
        <w:pStyle w:val="TableTitle"/>
      </w:pPr>
      <w:bookmarkStart w:id="72" w:name="_Ref146619213"/>
      <w:r>
        <w:t xml:space="preserve">Table </w:t>
      </w:r>
      <w:r w:rsidR="002B0E47">
        <w:fldChar w:fldCharType="begin"/>
      </w:r>
      <w:r w:rsidR="002B0E47">
        <w:instrText xml:space="preserve"> SEQ Table \* ARABIC </w:instrText>
      </w:r>
      <w:r w:rsidR="002B0E47">
        <w:fldChar w:fldCharType="separate"/>
      </w:r>
      <w:r w:rsidR="008465DD">
        <w:rPr>
          <w:noProof/>
        </w:rPr>
        <w:t>15</w:t>
      </w:r>
      <w:r w:rsidR="002B0E47">
        <w:rPr>
          <w:noProof/>
        </w:rPr>
        <w:fldChar w:fldCharType="end"/>
      </w:r>
      <w:bookmarkEnd w:id="71"/>
      <w:bookmarkEnd w:id="72"/>
      <w:r>
        <w:t xml:space="preserve">: </w:t>
      </w:r>
      <w:r w:rsidR="00757494">
        <w:t>Phase III placebo</w:t>
      </w:r>
      <w:r w:rsidR="005E279A">
        <w:noBreakHyphen/>
      </w:r>
      <w:r w:rsidR="00757494">
        <w:t xml:space="preserve">controlled analysis set </w:t>
      </w:r>
      <w:r>
        <w:t>Overview of adverse events</w:t>
      </w:r>
    </w:p>
    <w:p w14:paraId="4F7382B7" w14:textId="3D5C76E6" w:rsidR="002E7BD8" w:rsidRDefault="002E7BD8" w:rsidP="00961B2D">
      <w:r w:rsidRPr="002E7BD8">
        <w:rPr>
          <w:noProof/>
        </w:rPr>
        <w:drawing>
          <wp:inline distT="0" distB="0" distL="0" distR="0" wp14:anchorId="7084C8AF" wp14:editId="13A328AF">
            <wp:extent cx="5502303" cy="1609875"/>
            <wp:effectExtent l="0" t="0" r="3175" b="9525"/>
            <wp:docPr id="838" name="Picture 838" descr="Overview of adverse events in categories of death (1 subject of 235 in placebo group), serious adverse events, discontinuations from study or study drug to adverse event, and treatment-emergent adverse events. Data of tirzepatide 5mg, 10mg, 15md and all doses combined, and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838" descr="Overview of adverse events in categories of death (1 subject of 235 in placebo group), serious adverse events, discontinuations from study or study drug to adverse event, and treatment-emergent adverse events. Data of tirzepatide 5mg, 10mg, 15md and all doses combined, and placebo."/>
                    <pic:cNvPicPr/>
                  </pic:nvPicPr>
                  <pic:blipFill>
                    <a:blip r:embed="rId43"/>
                    <a:stretch>
                      <a:fillRect/>
                    </a:stretch>
                  </pic:blipFill>
                  <pic:spPr>
                    <a:xfrm>
                      <a:off x="0" y="0"/>
                      <a:ext cx="5567412" cy="1628925"/>
                    </a:xfrm>
                    <a:prstGeom prst="rect">
                      <a:avLst/>
                    </a:prstGeom>
                  </pic:spPr>
                </pic:pic>
              </a:graphicData>
            </a:graphic>
          </wp:inline>
        </w:drawing>
      </w:r>
    </w:p>
    <w:p w14:paraId="65F67C41" w14:textId="2886FE9E" w:rsidR="00AD6E2B" w:rsidRDefault="00AD6E2B" w:rsidP="00AD6E2B">
      <w:pPr>
        <w:pStyle w:val="TableDescription"/>
      </w:pPr>
      <w:r>
        <w:t>Abbreviations: AE = adverse event; N = number of patients in treatment group; n = number of patients with at least 1 AE per event type; SAE = serious adverse event; TEAE = treatment</w:t>
      </w:r>
      <w:r w:rsidR="005E279A">
        <w:noBreakHyphen/>
      </w:r>
      <w:r>
        <w:t>emergent adverse event; TZP = tirzepatide; TZP_ALL = all</w:t>
      </w:r>
      <w:r w:rsidRPr="00AD6E2B">
        <w:t xml:space="preserve"> </w:t>
      </w:r>
      <w:r w:rsidRPr="002707F8">
        <w:t>tirzepatide dose groups combined</w:t>
      </w:r>
      <w:r>
        <w:t>.</w:t>
      </w:r>
    </w:p>
    <w:p w14:paraId="3C09B6B6" w14:textId="77777777" w:rsidR="00AD6E2B" w:rsidRDefault="00AD6E2B" w:rsidP="00AD6E2B">
      <w:pPr>
        <w:pStyle w:val="TableDescription"/>
      </w:pPr>
      <w:r>
        <w:rPr>
          <w:sz w:val="16"/>
          <w:szCs w:val="16"/>
        </w:rPr>
        <w:t xml:space="preserve">a </w:t>
      </w:r>
      <w:r>
        <w:t>Patients may be counted in more than 1 category.</w:t>
      </w:r>
    </w:p>
    <w:p w14:paraId="5BB32993" w14:textId="77777777" w:rsidR="00AD6E2B" w:rsidRDefault="00AD6E2B" w:rsidP="00AD6E2B">
      <w:pPr>
        <w:pStyle w:val="TableDescription"/>
      </w:pPr>
      <w:r>
        <w:rPr>
          <w:sz w:val="16"/>
          <w:szCs w:val="16"/>
        </w:rPr>
        <w:t xml:space="preserve">b </w:t>
      </w:r>
      <w:r>
        <w:t>Deaths are also included as SAEs and discontinuations due to AEs.</w:t>
      </w:r>
    </w:p>
    <w:p w14:paraId="393A6600" w14:textId="721CD40A" w:rsidR="00A14C0F" w:rsidRDefault="00AD6E2B" w:rsidP="00AD6E2B">
      <w:pPr>
        <w:pStyle w:val="TableDescription"/>
      </w:pPr>
      <w:r>
        <w:rPr>
          <w:sz w:val="16"/>
          <w:szCs w:val="16"/>
        </w:rPr>
        <w:t xml:space="preserve">c </w:t>
      </w:r>
      <w:r>
        <w:t>P</w:t>
      </w:r>
      <w:r w:rsidR="005E279A">
        <w:noBreakHyphen/>
      </w:r>
      <w:r>
        <w:t>values are from Cochran</w:t>
      </w:r>
      <w:r w:rsidR="005E279A">
        <w:noBreakHyphen/>
      </w:r>
      <w:r>
        <w:t>Mantel</w:t>
      </w:r>
      <w:r w:rsidR="005E279A">
        <w:noBreakHyphen/>
      </w:r>
      <w:r>
        <w:t>Haenszel test of general association stratified by study.</w:t>
      </w:r>
    </w:p>
    <w:p w14:paraId="6CB68C6B" w14:textId="228B84D6" w:rsidR="00AD6E2B" w:rsidRPr="002E7BD8" w:rsidRDefault="00AD6E2B" w:rsidP="00AD6E2B">
      <w:pPr>
        <w:pStyle w:val="TableTitle"/>
      </w:pPr>
      <w:r>
        <w:t xml:space="preserve">Table </w:t>
      </w:r>
      <w:r w:rsidR="002B0E47">
        <w:fldChar w:fldCharType="begin"/>
      </w:r>
      <w:r w:rsidR="002B0E47">
        <w:instrText xml:space="preserve"> SEQ Table \* ARABIC </w:instrText>
      </w:r>
      <w:r w:rsidR="002B0E47">
        <w:fldChar w:fldCharType="separate"/>
      </w:r>
      <w:r w:rsidR="008465DD">
        <w:rPr>
          <w:noProof/>
        </w:rPr>
        <w:t>16</w:t>
      </w:r>
      <w:r w:rsidR="002B0E47">
        <w:rPr>
          <w:noProof/>
        </w:rPr>
        <w:fldChar w:fldCharType="end"/>
      </w:r>
      <w:r>
        <w:t>: Phase III placebo</w:t>
      </w:r>
      <w:r w:rsidR="005E279A">
        <w:noBreakHyphen/>
      </w:r>
      <w:r>
        <w:t>controlled analysis set</w:t>
      </w:r>
      <w:r w:rsidR="004F0DDA">
        <w:t xml:space="preserve"> t</w:t>
      </w:r>
      <w:r>
        <w:t>reatment</w:t>
      </w:r>
      <w:r w:rsidR="005E279A">
        <w:noBreakHyphen/>
      </w:r>
      <w:r>
        <w:t>emergent adverse events occurring in at least 5% of patients</w:t>
      </w:r>
    </w:p>
    <w:p w14:paraId="1D6A868A" w14:textId="48424321" w:rsidR="002E7BD8" w:rsidRDefault="002E7BD8" w:rsidP="002E7BD8">
      <w:pPr>
        <w:rPr>
          <w:highlight w:val="cyan"/>
        </w:rPr>
      </w:pPr>
      <w:r w:rsidRPr="00A14C0F">
        <w:rPr>
          <w:noProof/>
          <w:highlight w:val="cyan"/>
        </w:rPr>
        <w:drawing>
          <wp:inline distT="0" distB="0" distL="0" distR="0" wp14:anchorId="5E401549" wp14:editId="67A4EE72">
            <wp:extent cx="5327374" cy="1853925"/>
            <wp:effectExtent l="0" t="0" r="6985" b="0"/>
            <wp:docPr id="841" name="Picture 841" descr="Preferred terms of nausea, diarrhoea, nasopharyngitis, decreased appetite, dyspepsia vomiting, constipation, icreased lipase, and hyperglycaemia. Tabulated for tirzepatide 5mg, 10mg, 15mg, all doses, and placebo.&#10;&#10;&#10;&#10;&#10;&#10;&#10;&#10;&#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Picture 841" descr="Preferred terms of nausea, diarrhoea, nasopharyngitis, decreased appetite, dyspepsia vomiting, constipation, icreased lipase, and hyperglycaemia. Tabulated for tirzepatide 5mg, 10mg, 15mg, all doses, and placebo.&#10;&#10;&#10;&#10;&#10;&#10;&#10;&#10;&#10;&#10;&#10;&#10;&#10;&#10;&#10;"/>
                    <pic:cNvPicPr/>
                  </pic:nvPicPr>
                  <pic:blipFill>
                    <a:blip r:embed="rId44"/>
                    <a:stretch>
                      <a:fillRect/>
                    </a:stretch>
                  </pic:blipFill>
                  <pic:spPr>
                    <a:xfrm>
                      <a:off x="0" y="0"/>
                      <a:ext cx="5357472" cy="1864399"/>
                    </a:xfrm>
                    <a:prstGeom prst="rect">
                      <a:avLst/>
                    </a:prstGeom>
                  </pic:spPr>
                </pic:pic>
              </a:graphicData>
            </a:graphic>
          </wp:inline>
        </w:drawing>
      </w:r>
    </w:p>
    <w:p w14:paraId="5C6A63A9" w14:textId="5D73D683" w:rsidR="00AD6E2B" w:rsidRDefault="00AD6E2B" w:rsidP="00AD6E2B">
      <w:pPr>
        <w:pStyle w:val="TableDescription"/>
      </w:pPr>
      <w:r>
        <w:t>Abbreviation: N = number of patients in treatment group; n = number of patients with at least 1 treatment</w:t>
      </w:r>
      <w:r w:rsidR="005E279A">
        <w:noBreakHyphen/>
      </w:r>
      <w:r>
        <w:t>emergent adverse event; TZP = tirzepatide; TZP_ALL = all</w:t>
      </w:r>
      <w:r w:rsidRPr="00AD6E2B">
        <w:t xml:space="preserve"> </w:t>
      </w:r>
      <w:r w:rsidRPr="002707F8">
        <w:t>tirzepatide dose groups combined</w:t>
      </w:r>
      <w:r>
        <w:t>.</w:t>
      </w:r>
    </w:p>
    <w:p w14:paraId="032525FE" w14:textId="64DA18F9" w:rsidR="00AD6E2B" w:rsidRDefault="00AD6E2B" w:rsidP="00AD6E2B">
      <w:pPr>
        <w:pStyle w:val="TableDescription"/>
        <w:rPr>
          <w:highlight w:val="cyan"/>
        </w:rPr>
      </w:pPr>
      <w:r>
        <w:rPr>
          <w:sz w:val="16"/>
          <w:szCs w:val="16"/>
        </w:rPr>
        <w:t xml:space="preserve">a </w:t>
      </w:r>
      <w:r>
        <w:t>P</w:t>
      </w:r>
      <w:r w:rsidR="005E279A">
        <w:noBreakHyphen/>
      </w:r>
      <w:r>
        <w:t>values are from the Cochran</w:t>
      </w:r>
      <w:r w:rsidR="005E279A">
        <w:noBreakHyphen/>
      </w:r>
      <w:r>
        <w:t>Mantel</w:t>
      </w:r>
      <w:r w:rsidR="005E279A">
        <w:noBreakHyphen/>
      </w:r>
      <w:r>
        <w:t>Haenszel test of general association stratified by study.</w:t>
      </w:r>
    </w:p>
    <w:p w14:paraId="39B9BA74" w14:textId="0DC3BE45" w:rsidR="00C53FF7" w:rsidRDefault="00C53FF7" w:rsidP="00C53FF7">
      <w:pPr>
        <w:pStyle w:val="FigureTitle"/>
        <w:rPr>
          <w:highlight w:val="cyan"/>
        </w:rPr>
      </w:pPr>
      <w:r>
        <w:lastRenderedPageBreak/>
        <w:t xml:space="preserve">Figure </w:t>
      </w:r>
      <w:r w:rsidR="002B0E47">
        <w:fldChar w:fldCharType="begin"/>
      </w:r>
      <w:r w:rsidR="002B0E47">
        <w:instrText xml:space="preserve"> SEQ Figure \* ARABIC </w:instrText>
      </w:r>
      <w:r w:rsidR="002B0E47">
        <w:fldChar w:fldCharType="separate"/>
      </w:r>
      <w:r w:rsidR="008465DD">
        <w:rPr>
          <w:noProof/>
        </w:rPr>
        <w:t>11</w:t>
      </w:r>
      <w:r w:rsidR="002B0E47">
        <w:rPr>
          <w:noProof/>
        </w:rPr>
        <w:fldChar w:fldCharType="end"/>
      </w:r>
      <w:r>
        <w:t>: Phase III placebo</w:t>
      </w:r>
      <w:r w:rsidR="005E279A">
        <w:noBreakHyphen/>
      </w:r>
      <w:r>
        <w:t>controlled studies Plot of treatment</w:t>
      </w:r>
      <w:r w:rsidR="005E279A">
        <w:noBreakHyphen/>
      </w:r>
      <w:r>
        <w:t>emergent adverse events occurring in at least 5% of patients</w:t>
      </w:r>
    </w:p>
    <w:p w14:paraId="29DE2A45" w14:textId="3F79B4D4" w:rsidR="00C53FF7" w:rsidRDefault="00C53FF7" w:rsidP="002E7BD8">
      <w:pPr>
        <w:rPr>
          <w:highlight w:val="cyan"/>
        </w:rPr>
      </w:pPr>
      <w:r>
        <w:rPr>
          <w:noProof/>
        </w:rPr>
        <w:drawing>
          <wp:inline distT="0" distB="0" distL="0" distR="0" wp14:anchorId="3B1AF7C4" wp14:editId="18F6C7FC">
            <wp:extent cx="5526157" cy="4927236"/>
            <wp:effectExtent l="0" t="0" r="0" b="6985"/>
            <wp:docPr id="7" name="Picture 7" descr="Figure presented in 9 rows and 4 columns. Left hand column lists 9 adverse events. Second column depicts percentages of patients with the adverse event, which range from 0 to 20% and differs by comparator and tirzepatide dose. Third column shows odds ratio with confidence interval for the tirzepatide doses as a bar. Fourth column shows the odds ratio numer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presented in 9 rows and 4 columns. Left hand column lists 9 adverse events. Second column depicts percentages of patients with the adverse event, which range from 0 to 20% and differs by comparator and tirzepatide dose. Third column shows odds ratio with confidence interval for the tirzepatide doses as a bar. Fourth column shows the odds ratio numerically."/>
                    <pic:cNvPicPr/>
                  </pic:nvPicPr>
                  <pic:blipFill>
                    <a:blip r:embed="rId45"/>
                    <a:stretch>
                      <a:fillRect/>
                    </a:stretch>
                  </pic:blipFill>
                  <pic:spPr>
                    <a:xfrm>
                      <a:off x="0" y="0"/>
                      <a:ext cx="5533107" cy="4933433"/>
                    </a:xfrm>
                    <a:prstGeom prst="rect">
                      <a:avLst/>
                    </a:prstGeom>
                  </pic:spPr>
                </pic:pic>
              </a:graphicData>
            </a:graphic>
          </wp:inline>
        </w:drawing>
      </w:r>
    </w:p>
    <w:p w14:paraId="093946C0" w14:textId="77777777" w:rsidR="00C53FF7" w:rsidRDefault="00C53FF7" w:rsidP="00C53FF7">
      <w:pPr>
        <w:pStyle w:val="FigureDescription"/>
      </w:pPr>
      <w:r>
        <w:t>Abbreviations: CI = confidence interval; N = number of patients in treatment group; TZP = tirzepatide.</w:t>
      </w:r>
    </w:p>
    <w:p w14:paraId="1A59FD49" w14:textId="7387C3EE" w:rsidR="00C53FF7" w:rsidRDefault="00C53FF7" w:rsidP="00C53FF7">
      <w:pPr>
        <w:pStyle w:val="FigureDescription"/>
        <w:rPr>
          <w:highlight w:val="cyan"/>
        </w:rPr>
      </w:pPr>
      <w:r>
        <w:t>Note: Odds ratio is Mantel</w:t>
      </w:r>
      <w:r w:rsidR="005E279A">
        <w:noBreakHyphen/>
      </w:r>
      <w:r>
        <w:t>Haenszel odds ratio, stratified by study. Order of events is based on descending odds ratio in the TZP 15</w:t>
      </w:r>
      <w:r w:rsidR="005E279A">
        <w:noBreakHyphen/>
      </w:r>
      <w:r>
        <w:t>mg group.</w:t>
      </w:r>
    </w:p>
    <w:p w14:paraId="699CEDA7" w14:textId="3CA688E8" w:rsidR="00A14C0F" w:rsidRDefault="00A14C0F" w:rsidP="00A14C0F">
      <w:pPr>
        <w:pStyle w:val="Heading6"/>
      </w:pPr>
      <w:r w:rsidRPr="00A14C0F">
        <w:t>Phase III Dose Effect Analysis Set</w:t>
      </w:r>
    </w:p>
    <w:p w14:paraId="074DE346" w14:textId="468019FA" w:rsidR="002E7BD8" w:rsidRPr="002E7BD8" w:rsidRDefault="002E7BD8" w:rsidP="00A14C0F">
      <w:r w:rsidRPr="002E7BD8">
        <w:t>For TEAEs, there appeared to be an incremental increase with higher dose (</w:t>
      </w:r>
      <w:r w:rsidR="00A14C0F">
        <w:fldChar w:fldCharType="begin"/>
      </w:r>
      <w:r w:rsidR="00A14C0F">
        <w:instrText xml:space="preserve"> REF _Ref144393406 \h </w:instrText>
      </w:r>
      <w:r w:rsidR="00A14C0F">
        <w:fldChar w:fldCharType="separate"/>
      </w:r>
      <w:r w:rsidR="008465DD" w:rsidRPr="00C53FF7">
        <w:t xml:space="preserve">Table </w:t>
      </w:r>
      <w:r w:rsidR="008465DD">
        <w:rPr>
          <w:noProof/>
        </w:rPr>
        <w:t>17</w:t>
      </w:r>
      <w:r w:rsidR="00A14C0F">
        <w:fldChar w:fldCharType="end"/>
      </w:r>
      <w:r w:rsidRPr="002E7BD8">
        <w:t>).</w:t>
      </w:r>
    </w:p>
    <w:p w14:paraId="194AADE9" w14:textId="7F757B4B" w:rsidR="00A14C0F" w:rsidRPr="002E7BD8" w:rsidRDefault="00A14C0F" w:rsidP="00A14C0F">
      <w:pPr>
        <w:pStyle w:val="TableTitle"/>
      </w:pPr>
      <w:bookmarkStart w:id="73" w:name="_Ref144393406"/>
      <w:r w:rsidRPr="00C53FF7">
        <w:t xml:space="preserve">Table </w:t>
      </w:r>
      <w:r w:rsidR="002B0E47">
        <w:fldChar w:fldCharType="begin"/>
      </w:r>
      <w:r w:rsidR="002B0E47">
        <w:instrText xml:space="preserve"> SEQ Table \* ARABIC </w:instrText>
      </w:r>
      <w:r w:rsidR="002B0E47">
        <w:fldChar w:fldCharType="separate"/>
      </w:r>
      <w:r w:rsidR="008465DD">
        <w:rPr>
          <w:noProof/>
        </w:rPr>
        <w:t>17</w:t>
      </w:r>
      <w:r w:rsidR="002B0E47">
        <w:rPr>
          <w:noProof/>
        </w:rPr>
        <w:fldChar w:fldCharType="end"/>
      </w:r>
      <w:bookmarkEnd w:id="73"/>
      <w:r w:rsidRPr="00C53FF7">
        <w:t xml:space="preserve">: </w:t>
      </w:r>
      <w:r w:rsidR="00C53FF7" w:rsidRPr="00C53FF7">
        <w:t xml:space="preserve">Phase III dose effect analysis set </w:t>
      </w:r>
      <w:r w:rsidRPr="00C53FF7">
        <w:t>Overview of adverse events</w:t>
      </w:r>
      <w:r w:rsidR="002B0E47">
        <w:fldChar w:fldCharType="begin"/>
      </w:r>
      <w:r w:rsidR="002B0E47">
        <w:instrText xml:space="preserve"> DOCVARIABLE vault_nd_0fb298d7-0fef-4760-a10e-4cd8</w:instrText>
      </w:r>
      <w:r w:rsidR="002B0E47">
        <w:instrText xml:space="preserve">ecdf6d5e \* MERGEFORMAT </w:instrText>
      </w:r>
      <w:r w:rsidR="002B0E47">
        <w:fldChar w:fldCharType="separate"/>
      </w:r>
      <w:r w:rsidR="008465DD">
        <w:t xml:space="preserve"> </w:t>
      </w:r>
      <w:r w:rsidR="002B0E47">
        <w:fldChar w:fldCharType="end"/>
      </w:r>
    </w:p>
    <w:p w14:paraId="7DD07D12" w14:textId="30F8BBAD" w:rsidR="002E7BD8" w:rsidRDefault="002E7BD8" w:rsidP="002E7BD8">
      <w:r w:rsidRPr="002E7BD8">
        <w:rPr>
          <w:noProof/>
        </w:rPr>
        <w:drawing>
          <wp:inline distT="0" distB="0" distL="0" distR="0" wp14:anchorId="4C160DF4" wp14:editId="438E8E1A">
            <wp:extent cx="5731510" cy="1346518"/>
            <wp:effectExtent l="0" t="0" r="2540" b="6350"/>
            <wp:docPr id="839" name="Picture 839" descr="Overview of adverse events in categories of death (41 subjects of 51190, serious adverse events, discontinuation from study due to adverse event, discontinuation from study drug due to adverse event, and treatment-emergent adverse events. Data of tirzepatide 5mg, 10mg, 15md and all dose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Picture 839" descr="Overview of adverse events in categories of death (41 subjects of 51190, serious adverse events, discontinuation from study due to adverse event, discontinuation from study drug due to adverse event, and treatment-emergent adverse events. Data of tirzepatide 5mg, 10mg, 15md and all doses combined."/>
                    <pic:cNvPicPr/>
                  </pic:nvPicPr>
                  <pic:blipFill>
                    <a:blip r:embed="rId46"/>
                    <a:stretch>
                      <a:fillRect/>
                    </a:stretch>
                  </pic:blipFill>
                  <pic:spPr>
                    <a:xfrm>
                      <a:off x="0" y="0"/>
                      <a:ext cx="5731510" cy="1346518"/>
                    </a:xfrm>
                    <a:prstGeom prst="rect">
                      <a:avLst/>
                    </a:prstGeom>
                  </pic:spPr>
                </pic:pic>
              </a:graphicData>
            </a:graphic>
          </wp:inline>
        </w:drawing>
      </w:r>
    </w:p>
    <w:p w14:paraId="59FB192F" w14:textId="0451B1B9" w:rsidR="00C53FF7" w:rsidRDefault="00C53FF7" w:rsidP="00C53FF7">
      <w:pPr>
        <w:pStyle w:val="TableDescription"/>
      </w:pPr>
      <w:r>
        <w:t>Abbreviations: AE = adverse event; N = number of patients in treatment group; n = number of patients with at least 1 AE per event type; SAE = serious adverse event; TEAE = treatment</w:t>
      </w:r>
      <w:r w:rsidR="005E279A">
        <w:noBreakHyphen/>
      </w:r>
      <w:r>
        <w:t>emergent adverse event; TZP = tirzepatide; TZP_ALL = all</w:t>
      </w:r>
      <w:r w:rsidRPr="00AD6E2B">
        <w:t xml:space="preserve"> </w:t>
      </w:r>
      <w:r w:rsidRPr="002707F8">
        <w:t>tirzepatide dose groups combined</w:t>
      </w:r>
      <w:r>
        <w:t>.</w:t>
      </w:r>
      <w:r w:rsidR="00961B2D">
        <w:br/>
      </w:r>
      <w:r>
        <w:rPr>
          <w:sz w:val="16"/>
          <w:szCs w:val="16"/>
        </w:rPr>
        <w:t xml:space="preserve">a </w:t>
      </w:r>
      <w:r>
        <w:t>Patients may be counted in more than 1 category.</w:t>
      </w:r>
      <w:r w:rsidR="00961B2D">
        <w:br/>
      </w:r>
      <w:r>
        <w:rPr>
          <w:sz w:val="16"/>
          <w:szCs w:val="16"/>
        </w:rPr>
        <w:t xml:space="preserve">b </w:t>
      </w:r>
      <w:r>
        <w:t>Deaths are also included as SAEs and discontinuations due to AEs.</w:t>
      </w:r>
    </w:p>
    <w:p w14:paraId="425B12C0" w14:textId="4337E22B" w:rsidR="002E7BD8" w:rsidRPr="002E7BD8" w:rsidRDefault="002E7BD8" w:rsidP="002E7BD8">
      <w:r w:rsidRPr="002E7BD8">
        <w:lastRenderedPageBreak/>
        <w:t>The most frequently reported TEAEs were within the Gastrointestinal Disorders SOC (</w:t>
      </w:r>
      <w:r w:rsidR="009F6F50">
        <w:t>5 mg</w:t>
      </w:r>
      <w:r w:rsidRPr="002E7BD8">
        <w:t xml:space="preserve">, 38.04%; </w:t>
      </w:r>
      <w:r w:rsidR="009F6F50">
        <w:t>10 mg</w:t>
      </w:r>
      <w:r w:rsidRPr="002E7BD8">
        <w:t>, 43.83%; 1</w:t>
      </w:r>
      <w:r w:rsidR="009F6F50">
        <w:t>5 mg</w:t>
      </w:r>
      <w:r w:rsidRPr="002E7BD8">
        <w:t xml:space="preserve">, 48.78%) with an incremental increase with higher doses. The TEAEs that showed an incremental increase with higher dose groups were nausea, decreased </w:t>
      </w:r>
      <w:r w:rsidRPr="00433DC7">
        <w:t xml:space="preserve">appetite, </w:t>
      </w:r>
      <w:r w:rsidR="009F6F50" w:rsidRPr="00433DC7">
        <w:t xml:space="preserve">and </w:t>
      </w:r>
      <w:r w:rsidRPr="00433DC7">
        <w:t>vomiting</w:t>
      </w:r>
      <w:r w:rsidR="009F6F50" w:rsidRPr="00433DC7">
        <w:t xml:space="preserve"> (</w:t>
      </w:r>
      <w:r w:rsidR="00433DC7">
        <w:fldChar w:fldCharType="begin"/>
      </w:r>
      <w:r w:rsidR="00433DC7">
        <w:instrText xml:space="preserve"> REF _Ref148442306 \h </w:instrText>
      </w:r>
      <w:r w:rsidR="00433DC7">
        <w:fldChar w:fldCharType="separate"/>
      </w:r>
      <w:r w:rsidR="008465DD">
        <w:t xml:space="preserve">Table </w:t>
      </w:r>
      <w:r w:rsidR="008465DD">
        <w:rPr>
          <w:noProof/>
        </w:rPr>
        <w:t>18</w:t>
      </w:r>
      <w:r w:rsidR="00433DC7">
        <w:fldChar w:fldCharType="end"/>
      </w:r>
      <w:r w:rsidR="009F6F50" w:rsidRPr="00433DC7">
        <w:t>)</w:t>
      </w:r>
      <w:r w:rsidRPr="00433DC7">
        <w:t>.</w:t>
      </w:r>
    </w:p>
    <w:p w14:paraId="3AEB294A" w14:textId="0A4906EE" w:rsidR="002E7BD8" w:rsidRPr="002E7BD8" w:rsidRDefault="002E7BD8" w:rsidP="002E7BD8">
      <w:r w:rsidRPr="002E7BD8">
        <w:t xml:space="preserve">Other reported TEAEs </w:t>
      </w:r>
      <w:r w:rsidR="009F6F50">
        <w:t xml:space="preserve">affecting at least </w:t>
      </w:r>
      <w:r w:rsidRPr="002E7BD8">
        <w:t xml:space="preserve">5% </w:t>
      </w:r>
      <w:r w:rsidR="009F6F50">
        <w:t xml:space="preserve">of subjects </w:t>
      </w:r>
      <w:r w:rsidRPr="002E7BD8">
        <w:t>were in the following SOCs:</w:t>
      </w:r>
    </w:p>
    <w:p w14:paraId="6A9BD80B" w14:textId="5F536127" w:rsidR="002E7BD8" w:rsidRPr="002E7BD8" w:rsidRDefault="00C53FF7" w:rsidP="009F6F50">
      <w:pPr>
        <w:pStyle w:val="ListBullet"/>
      </w:pPr>
      <w:r>
        <w:t>i</w:t>
      </w:r>
      <w:r w:rsidR="002E7BD8" w:rsidRPr="002E7BD8">
        <w:t xml:space="preserve">nfections and </w:t>
      </w:r>
      <w:r>
        <w:t>i</w:t>
      </w:r>
      <w:r w:rsidR="002E7BD8" w:rsidRPr="002E7BD8">
        <w:t>nfestations (</w:t>
      </w:r>
      <w:r w:rsidR="009F6F50">
        <w:t>5 mg</w:t>
      </w:r>
      <w:r w:rsidR="002E7BD8" w:rsidRPr="002E7BD8">
        <w:t xml:space="preserve">, 25.28%; </w:t>
      </w:r>
      <w:r w:rsidR="009F6F50">
        <w:t>10 mg</w:t>
      </w:r>
      <w:r w:rsidR="002E7BD8" w:rsidRPr="002E7BD8">
        <w:t>, 23.03%; 1</w:t>
      </w:r>
      <w:r w:rsidR="009F6F50">
        <w:t>5 mg</w:t>
      </w:r>
      <w:r w:rsidR="002E7BD8" w:rsidRPr="002E7BD8">
        <w:t>, 23.37%)</w:t>
      </w:r>
    </w:p>
    <w:p w14:paraId="77BC07DE" w14:textId="55121815" w:rsidR="002E7BD8" w:rsidRPr="002E7BD8" w:rsidRDefault="00C53FF7" w:rsidP="009F6F50">
      <w:pPr>
        <w:pStyle w:val="ListBullet"/>
      </w:pPr>
      <w:r>
        <w:t>m</w:t>
      </w:r>
      <w:r w:rsidR="002E7BD8" w:rsidRPr="002E7BD8">
        <w:t xml:space="preserve">etabolism and </w:t>
      </w:r>
      <w:r>
        <w:t>n</w:t>
      </w:r>
      <w:r w:rsidR="002E7BD8" w:rsidRPr="002E7BD8">
        <w:t xml:space="preserve">utrition </w:t>
      </w:r>
      <w:r>
        <w:t>d</w:t>
      </w:r>
      <w:r w:rsidR="002E7BD8" w:rsidRPr="002E7BD8">
        <w:t>isorders (</w:t>
      </w:r>
      <w:r w:rsidR="009F6F50">
        <w:t>5 mg</w:t>
      </w:r>
      <w:r w:rsidR="002E7BD8" w:rsidRPr="002E7BD8">
        <w:t xml:space="preserve">, 13.87%; </w:t>
      </w:r>
      <w:r w:rsidR="009F6F50">
        <w:t>10 mg</w:t>
      </w:r>
      <w:r w:rsidR="002E7BD8" w:rsidRPr="002E7BD8">
        <w:t>, 15.86%; 1</w:t>
      </w:r>
      <w:r w:rsidR="009F6F50">
        <w:t>5 mg</w:t>
      </w:r>
      <w:r w:rsidR="002E7BD8" w:rsidRPr="002E7BD8">
        <w:t>, 16.96%)</w:t>
      </w:r>
    </w:p>
    <w:p w14:paraId="0386C2BE" w14:textId="7DCDCC18" w:rsidR="002E7BD8" w:rsidRPr="002E7BD8" w:rsidRDefault="00C53FF7" w:rsidP="009F6F50">
      <w:pPr>
        <w:pStyle w:val="ListBullet"/>
      </w:pPr>
      <w:r>
        <w:t>i</w:t>
      </w:r>
      <w:r w:rsidR="002E7BD8" w:rsidRPr="002E7BD8">
        <w:t>nvestigations (</w:t>
      </w:r>
      <w:r w:rsidR="009F6F50">
        <w:t>5 mg</w:t>
      </w:r>
      <w:r w:rsidR="002E7BD8" w:rsidRPr="002E7BD8">
        <w:t xml:space="preserve">, 10.64%; </w:t>
      </w:r>
      <w:r w:rsidR="009F6F50">
        <w:t>10 mg</w:t>
      </w:r>
      <w:r w:rsidR="002E7BD8" w:rsidRPr="002E7BD8">
        <w:t>, 11.93%; 1</w:t>
      </w:r>
      <w:r w:rsidR="009F6F50">
        <w:t>5 mg</w:t>
      </w:r>
      <w:r w:rsidR="002E7BD8" w:rsidRPr="002E7BD8">
        <w:t>, 13.58%) driven primarily by:</w:t>
      </w:r>
    </w:p>
    <w:p w14:paraId="63E9A67F" w14:textId="4E944F1A" w:rsidR="002E7BD8" w:rsidRPr="002E7BD8" w:rsidRDefault="00C53FF7" w:rsidP="009F6F50">
      <w:pPr>
        <w:pStyle w:val="ListBullet2"/>
      </w:pPr>
      <w:r>
        <w:t>l</w:t>
      </w:r>
      <w:r w:rsidR="002E7BD8" w:rsidRPr="002E7BD8">
        <w:t>ipase increased (</w:t>
      </w:r>
      <w:r w:rsidR="009F6F50">
        <w:t>5 mg</w:t>
      </w:r>
      <w:r w:rsidR="002E7BD8" w:rsidRPr="002E7BD8">
        <w:t xml:space="preserve">, 3.76%; </w:t>
      </w:r>
      <w:r w:rsidR="009F6F50">
        <w:t>10 mg</w:t>
      </w:r>
      <w:r w:rsidR="002E7BD8" w:rsidRPr="002E7BD8">
        <w:t>, 3.53%; 1</w:t>
      </w:r>
      <w:r w:rsidR="009F6F50">
        <w:t>5 mg</w:t>
      </w:r>
      <w:r w:rsidR="002E7BD8" w:rsidRPr="002E7BD8">
        <w:t>, 5.24%)</w:t>
      </w:r>
    </w:p>
    <w:p w14:paraId="15A54E2D" w14:textId="0FA23CCE" w:rsidR="002E7BD8" w:rsidRPr="002E7BD8" w:rsidRDefault="00C53FF7" w:rsidP="009F6F50">
      <w:pPr>
        <w:pStyle w:val="ListBullet2"/>
      </w:pPr>
      <w:r>
        <w:t>w</w:t>
      </w:r>
      <w:r w:rsidR="002E7BD8" w:rsidRPr="002E7BD8">
        <w:t>eight decreased (</w:t>
      </w:r>
      <w:r w:rsidR="009F6F50">
        <w:t>5 mg</w:t>
      </w:r>
      <w:r w:rsidR="002E7BD8" w:rsidRPr="002E7BD8">
        <w:t xml:space="preserve">, 1.47%; </w:t>
      </w:r>
      <w:r w:rsidR="009F6F50">
        <w:t>10 mg</w:t>
      </w:r>
      <w:r w:rsidR="002E7BD8" w:rsidRPr="002E7BD8">
        <w:t>, 2.17%; 1</w:t>
      </w:r>
      <w:r w:rsidR="009F6F50">
        <w:t>5 mg</w:t>
      </w:r>
      <w:r w:rsidR="002E7BD8" w:rsidRPr="002E7BD8">
        <w:t>, 2.45%)</w:t>
      </w:r>
    </w:p>
    <w:p w14:paraId="01B4C761" w14:textId="40E69370" w:rsidR="002E7BD8" w:rsidRPr="002E7BD8" w:rsidRDefault="00C53FF7" w:rsidP="009F6F50">
      <w:pPr>
        <w:pStyle w:val="ListBullet"/>
      </w:pPr>
      <w:r>
        <w:t>g</w:t>
      </w:r>
      <w:r w:rsidR="002E7BD8" w:rsidRPr="002E7BD8">
        <w:t xml:space="preserve">eneral </w:t>
      </w:r>
      <w:r>
        <w:t>d</w:t>
      </w:r>
      <w:r w:rsidR="002E7BD8" w:rsidRPr="002E7BD8">
        <w:t xml:space="preserve">isorders and </w:t>
      </w:r>
      <w:r>
        <w:t>a</w:t>
      </w:r>
      <w:r w:rsidR="002E7BD8" w:rsidRPr="002E7BD8">
        <w:t xml:space="preserve">dministration </w:t>
      </w:r>
      <w:r>
        <w:t>s</w:t>
      </w:r>
      <w:r w:rsidR="002E7BD8" w:rsidRPr="002E7BD8">
        <w:t xml:space="preserve">ite </w:t>
      </w:r>
      <w:r>
        <w:t>c</w:t>
      </w:r>
      <w:r w:rsidR="002E7BD8" w:rsidRPr="002E7BD8">
        <w:t>onditions (</w:t>
      </w:r>
      <w:r w:rsidR="009F6F50">
        <w:t>5 mg</w:t>
      </w:r>
      <w:r w:rsidR="002E7BD8" w:rsidRPr="002E7BD8">
        <w:t xml:space="preserve">, 8.29%; </w:t>
      </w:r>
      <w:r w:rsidR="009F6F50">
        <w:t>10 mg</w:t>
      </w:r>
      <w:r w:rsidR="002E7BD8" w:rsidRPr="002E7BD8">
        <w:t>, 9.81%; 1</w:t>
      </w:r>
      <w:r w:rsidR="009F6F50">
        <w:t>5 mg</w:t>
      </w:r>
      <w:r w:rsidR="002E7BD8" w:rsidRPr="002E7BD8">
        <w:t>, 13.00%) driven primarily by:</w:t>
      </w:r>
    </w:p>
    <w:p w14:paraId="0F517C1A" w14:textId="37D4ADF7" w:rsidR="002E7BD8" w:rsidRPr="002E7BD8" w:rsidRDefault="00C53FF7" w:rsidP="009F6F50">
      <w:pPr>
        <w:pStyle w:val="ListBullet2"/>
      </w:pPr>
      <w:r>
        <w:t>a</w:t>
      </w:r>
      <w:r w:rsidR="002E7BD8" w:rsidRPr="002E7BD8">
        <w:t>sthenia (</w:t>
      </w:r>
      <w:r w:rsidR="009F6F50">
        <w:t>5 mg</w:t>
      </w:r>
      <w:r w:rsidR="002E7BD8" w:rsidRPr="002E7BD8">
        <w:t xml:space="preserve">, 1.59%; </w:t>
      </w:r>
      <w:r w:rsidR="009F6F50">
        <w:t>10 mg</w:t>
      </w:r>
      <w:r w:rsidR="002E7BD8" w:rsidRPr="002E7BD8">
        <w:t>, 1.35%; 1</w:t>
      </w:r>
      <w:r w:rsidR="009F6F50">
        <w:t>5 mg</w:t>
      </w:r>
      <w:r w:rsidR="002E7BD8" w:rsidRPr="002E7BD8">
        <w:t>, 2.97%)</w:t>
      </w:r>
    </w:p>
    <w:p w14:paraId="4412BD33" w14:textId="4F07F91E" w:rsidR="002E7BD8" w:rsidRPr="002E7BD8" w:rsidRDefault="00C53FF7" w:rsidP="009F6F50">
      <w:pPr>
        <w:pStyle w:val="ListBullet2"/>
      </w:pPr>
      <w:r>
        <w:t>f</w:t>
      </w:r>
      <w:r w:rsidR="002E7BD8" w:rsidRPr="002E7BD8">
        <w:t>atigue (</w:t>
      </w:r>
      <w:r w:rsidR="009F6F50">
        <w:t>5 mg</w:t>
      </w:r>
      <w:r w:rsidR="002E7BD8" w:rsidRPr="002E7BD8">
        <w:t xml:space="preserve">, 1.29%; </w:t>
      </w:r>
      <w:r w:rsidR="009F6F50">
        <w:t>10 mg</w:t>
      </w:r>
      <w:r w:rsidR="002E7BD8" w:rsidRPr="002E7BD8">
        <w:t>, 1.65%; 1</w:t>
      </w:r>
      <w:r w:rsidR="009F6F50">
        <w:t>5 mg</w:t>
      </w:r>
      <w:r w:rsidR="002E7BD8" w:rsidRPr="002E7BD8">
        <w:t>, 2.27%)</w:t>
      </w:r>
    </w:p>
    <w:p w14:paraId="1DF13083" w14:textId="3A755F25" w:rsidR="002E7BD8" w:rsidRPr="002E7BD8" w:rsidRDefault="00C53FF7" w:rsidP="009F6F50">
      <w:pPr>
        <w:pStyle w:val="ListBullet2"/>
      </w:pPr>
      <w:r>
        <w:t>i</w:t>
      </w:r>
      <w:r w:rsidR="002E7BD8" w:rsidRPr="002E7BD8">
        <w:t>njection site reaction (</w:t>
      </w:r>
      <w:r w:rsidR="009F6F50">
        <w:t>5 mg</w:t>
      </w:r>
      <w:r w:rsidR="002E7BD8" w:rsidRPr="002E7BD8">
        <w:t xml:space="preserve">, 1.06%; </w:t>
      </w:r>
      <w:r w:rsidR="009F6F50">
        <w:t>10 mg</w:t>
      </w:r>
      <w:r w:rsidR="002E7BD8" w:rsidRPr="002E7BD8">
        <w:t>, 1.70%; 1</w:t>
      </w:r>
      <w:r w:rsidR="009F6F50">
        <w:t>5 mg</w:t>
      </w:r>
      <w:r w:rsidR="002E7BD8" w:rsidRPr="002E7BD8">
        <w:t>, 2.27%)</w:t>
      </w:r>
    </w:p>
    <w:p w14:paraId="48DEC30B" w14:textId="02C0D362" w:rsidR="002E7BD8" w:rsidRPr="002E7BD8" w:rsidRDefault="00C53FF7" w:rsidP="009F6F50">
      <w:pPr>
        <w:pStyle w:val="ListBullet"/>
      </w:pPr>
      <w:r>
        <w:t>n</w:t>
      </w:r>
      <w:r w:rsidR="002E7BD8" w:rsidRPr="002E7BD8">
        <w:t xml:space="preserve">ervous </w:t>
      </w:r>
      <w:r>
        <w:t>s</w:t>
      </w:r>
      <w:r w:rsidR="002E7BD8" w:rsidRPr="002E7BD8">
        <w:t xml:space="preserve">ystem </w:t>
      </w:r>
      <w:r>
        <w:t>d</w:t>
      </w:r>
      <w:r w:rsidR="002E7BD8" w:rsidRPr="002E7BD8">
        <w:t>isorders (</w:t>
      </w:r>
      <w:r w:rsidR="009F6F50">
        <w:t>5 mg</w:t>
      </w:r>
      <w:r w:rsidR="002E7BD8" w:rsidRPr="002E7BD8">
        <w:t xml:space="preserve">, 8.58%; </w:t>
      </w:r>
      <w:r w:rsidR="009F6F50">
        <w:t>10 mg</w:t>
      </w:r>
      <w:r w:rsidR="002E7BD8" w:rsidRPr="002E7BD8">
        <w:t>, 10.34%; 1</w:t>
      </w:r>
      <w:r w:rsidR="009F6F50">
        <w:t>5 mg</w:t>
      </w:r>
      <w:r w:rsidR="002E7BD8" w:rsidRPr="002E7BD8">
        <w:t xml:space="preserve">, 11.19%) driven primarily by </w:t>
      </w:r>
      <w:r>
        <w:t>d</w:t>
      </w:r>
      <w:r w:rsidR="002E7BD8" w:rsidRPr="002E7BD8">
        <w:t>izziness (</w:t>
      </w:r>
      <w:r w:rsidR="009F6F50">
        <w:t>5 mg</w:t>
      </w:r>
      <w:r w:rsidR="002E7BD8" w:rsidRPr="002E7BD8">
        <w:t xml:space="preserve">, 1.18%; </w:t>
      </w:r>
      <w:r w:rsidR="009F6F50">
        <w:t>10 mg</w:t>
      </w:r>
      <w:r w:rsidR="002E7BD8" w:rsidRPr="002E7BD8">
        <w:t>, 2.70%; 1</w:t>
      </w:r>
      <w:r w:rsidR="009F6F50">
        <w:t>5 mg</w:t>
      </w:r>
      <w:r w:rsidR="002E7BD8" w:rsidRPr="002E7BD8">
        <w:t>, 3.44%)</w:t>
      </w:r>
      <w:r w:rsidR="009F6F50">
        <w:t>.</w:t>
      </w:r>
    </w:p>
    <w:p w14:paraId="24ED5257" w14:textId="39AE9D5E" w:rsidR="002E7BD8" w:rsidRPr="002E7BD8" w:rsidRDefault="002E7BD8" w:rsidP="002E7BD8">
      <w:r w:rsidRPr="002E7BD8">
        <w:t xml:space="preserve">Other TEAEs </w:t>
      </w:r>
      <w:r w:rsidR="009F6F50">
        <w:t xml:space="preserve">affecting at least </w:t>
      </w:r>
      <w:r w:rsidRPr="002E7BD8">
        <w:t xml:space="preserve">1% </w:t>
      </w:r>
      <w:r w:rsidR="009F6F50">
        <w:t xml:space="preserve">of subjects </w:t>
      </w:r>
      <w:r w:rsidRPr="002E7BD8">
        <w:t>with a dose trend were:</w:t>
      </w:r>
    </w:p>
    <w:p w14:paraId="3F7CA92D" w14:textId="22B8EA44" w:rsidR="002E7BD8" w:rsidRPr="002E7BD8" w:rsidRDefault="002E7BD8" w:rsidP="009F6F50">
      <w:pPr>
        <w:pStyle w:val="ListBullet"/>
      </w:pPr>
      <w:r w:rsidRPr="002E7BD8">
        <w:t>Abdominal pain (</w:t>
      </w:r>
      <w:r w:rsidR="009F6F50">
        <w:t>5 mg</w:t>
      </w:r>
      <w:r w:rsidRPr="002E7BD8">
        <w:t xml:space="preserve">, 2.70%; </w:t>
      </w:r>
      <w:r w:rsidR="009F6F50">
        <w:t>10 mg</w:t>
      </w:r>
      <w:r w:rsidRPr="002E7BD8">
        <w:t>, 3.41%; 1</w:t>
      </w:r>
      <w:r w:rsidR="009F6F50">
        <w:t>5 mg</w:t>
      </w:r>
      <w:r w:rsidRPr="002E7BD8">
        <w:t>, 4.43%)</w:t>
      </w:r>
    </w:p>
    <w:p w14:paraId="2C72E776" w14:textId="3875CA21" w:rsidR="002E7BD8" w:rsidRPr="002E7BD8" w:rsidRDefault="002E7BD8" w:rsidP="009F6F50">
      <w:pPr>
        <w:pStyle w:val="ListBullet"/>
      </w:pPr>
      <w:r w:rsidRPr="002E7BD8">
        <w:t>Eructation (</w:t>
      </w:r>
      <w:r w:rsidR="009F6F50">
        <w:t>5 mg</w:t>
      </w:r>
      <w:r w:rsidRPr="002E7BD8">
        <w:t xml:space="preserve">, 2.12%; </w:t>
      </w:r>
      <w:r w:rsidR="009F6F50">
        <w:t>10 mg</w:t>
      </w:r>
      <w:r w:rsidRPr="002E7BD8">
        <w:t>, 2.94%; 1</w:t>
      </w:r>
      <w:r w:rsidR="009F6F50">
        <w:t>5 mg</w:t>
      </w:r>
      <w:r w:rsidRPr="002E7BD8">
        <w:t>, 3.50%)</w:t>
      </w:r>
    </w:p>
    <w:p w14:paraId="4F26519D" w14:textId="7FFA80C8" w:rsidR="002E7BD8" w:rsidRPr="002E7BD8" w:rsidRDefault="002E7BD8" w:rsidP="009F6F50">
      <w:pPr>
        <w:pStyle w:val="ListBullet"/>
      </w:pPr>
      <w:r w:rsidRPr="002E7BD8">
        <w:t>Gastroesophageal reflux disease (</w:t>
      </w:r>
      <w:r w:rsidR="009F6F50">
        <w:t>5 mg</w:t>
      </w:r>
      <w:r w:rsidRPr="002E7BD8">
        <w:t xml:space="preserve">, 1.59%; </w:t>
      </w:r>
      <w:r w:rsidR="009F6F50">
        <w:t>10 mg</w:t>
      </w:r>
      <w:r w:rsidRPr="002E7BD8">
        <w:t>, 2.53%; 1</w:t>
      </w:r>
      <w:r w:rsidR="009F6F50">
        <w:t>5 mg</w:t>
      </w:r>
      <w:r w:rsidRPr="002E7BD8">
        <w:t>, 2.68%)</w:t>
      </w:r>
      <w:r w:rsidR="009F6F50">
        <w:t>.</w:t>
      </w:r>
    </w:p>
    <w:p w14:paraId="652BE341" w14:textId="21B6530F" w:rsidR="001F786F" w:rsidRDefault="001F786F" w:rsidP="001F786F">
      <w:pPr>
        <w:pStyle w:val="TableTitle"/>
        <w:rPr>
          <w:highlight w:val="cyan"/>
        </w:rPr>
      </w:pPr>
      <w:bookmarkStart w:id="74" w:name="_Ref148442306"/>
      <w:r>
        <w:t xml:space="preserve">Table </w:t>
      </w:r>
      <w:r w:rsidR="002B0E47">
        <w:fldChar w:fldCharType="begin"/>
      </w:r>
      <w:r w:rsidR="002B0E47">
        <w:instrText xml:space="preserve"> SEQ Table \* ARABIC </w:instrText>
      </w:r>
      <w:r w:rsidR="002B0E47">
        <w:fldChar w:fldCharType="separate"/>
      </w:r>
      <w:r w:rsidR="008465DD">
        <w:rPr>
          <w:noProof/>
        </w:rPr>
        <w:t>18</w:t>
      </w:r>
      <w:r w:rsidR="002B0E47">
        <w:rPr>
          <w:noProof/>
        </w:rPr>
        <w:fldChar w:fldCharType="end"/>
      </w:r>
      <w:bookmarkEnd w:id="74"/>
      <w:r>
        <w:t>: Phase III dose effect analysis set Treatment</w:t>
      </w:r>
      <w:r w:rsidR="005E279A">
        <w:noBreakHyphen/>
      </w:r>
      <w:r>
        <w:t>emergent adverse events occurring in at least 5% of patients</w:t>
      </w:r>
    </w:p>
    <w:p w14:paraId="7EB983C7" w14:textId="6A9D1BF2" w:rsidR="001F786F" w:rsidRPr="001F786F" w:rsidRDefault="001F786F" w:rsidP="00961B2D">
      <w:pPr>
        <w:pStyle w:val="TableDescription"/>
      </w:pPr>
      <w:r>
        <w:rPr>
          <w:noProof/>
        </w:rPr>
        <w:drawing>
          <wp:inline distT="0" distB="0" distL="0" distR="0" wp14:anchorId="52308FF1" wp14:editId="43680459">
            <wp:extent cx="5759450" cy="1861185"/>
            <wp:effectExtent l="0" t="0" r="0" b="5715"/>
            <wp:docPr id="25" name="Picture 25" descr="Preferred terms of nausea, diarrhoea, decreased appetite, vomiting, dyspepsia, constipation, nasopharyngitis, and increased lipase. Tabulated for tirzepatide 5, 10, 15mg, and all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eferred terms of nausea, diarrhoea, decreased appetite, vomiting, dyspepsia, constipation, nasopharyngitis, and increased lipase. Tabulated for tirzepatide 5, 10, 15mg, and all doses"/>
                    <pic:cNvPicPr/>
                  </pic:nvPicPr>
                  <pic:blipFill>
                    <a:blip r:embed="rId47"/>
                    <a:stretch>
                      <a:fillRect/>
                    </a:stretch>
                  </pic:blipFill>
                  <pic:spPr>
                    <a:xfrm>
                      <a:off x="0" y="0"/>
                      <a:ext cx="5759450" cy="1861185"/>
                    </a:xfrm>
                    <a:prstGeom prst="rect">
                      <a:avLst/>
                    </a:prstGeom>
                  </pic:spPr>
                </pic:pic>
              </a:graphicData>
            </a:graphic>
          </wp:inline>
        </w:drawing>
      </w:r>
      <w:r w:rsidRPr="001F786F">
        <w:t>Abbreviation: N = number of patients in treatment group; n = number of patients with at least 1 treatment</w:t>
      </w:r>
      <w:r w:rsidR="005E279A">
        <w:noBreakHyphen/>
      </w:r>
      <w:r w:rsidRPr="001F786F">
        <w:t>emergent adverse event; TZP = tirzepatide; TZP_ALL = all tirzepatide dose groups combined.</w:t>
      </w:r>
    </w:p>
    <w:p w14:paraId="4972532D" w14:textId="132085C9" w:rsidR="009F6F50" w:rsidRPr="002E7BD8" w:rsidRDefault="009F6F50" w:rsidP="009F6F50">
      <w:pPr>
        <w:pStyle w:val="Heading5"/>
      </w:pPr>
      <w:r>
        <w:t>Treatment related a</w:t>
      </w:r>
      <w:r w:rsidRPr="002E7BD8">
        <w:t xml:space="preserve">dverse event </w:t>
      </w:r>
      <w:r>
        <w:t xml:space="preserve">(adverse drug reaction) </w:t>
      </w:r>
      <w:r w:rsidRPr="002E7BD8">
        <w:t>overview</w:t>
      </w:r>
    </w:p>
    <w:p w14:paraId="24702E3E" w14:textId="28460748" w:rsidR="002E7BD8" w:rsidRPr="001519CB" w:rsidRDefault="002E7BD8" w:rsidP="002E7BD8">
      <w:r w:rsidRPr="001519CB">
        <w:t>The sponsor</w:t>
      </w:r>
      <w:r w:rsidR="005E279A">
        <w:noBreakHyphen/>
      </w:r>
      <w:r w:rsidRPr="001519CB">
        <w:t>determined adverse drug reactions are listed in</w:t>
      </w:r>
      <w:r w:rsidR="009F6F50" w:rsidRPr="001519CB">
        <w:t xml:space="preserve"> </w:t>
      </w:r>
      <w:r w:rsidR="001519CB" w:rsidRPr="001519CB">
        <w:t>the following table.</w:t>
      </w:r>
    </w:p>
    <w:p w14:paraId="4233ECE7" w14:textId="00CE62FC" w:rsidR="00F71B4D" w:rsidRDefault="001519CB" w:rsidP="001519CB">
      <w:pPr>
        <w:pStyle w:val="TableTitle"/>
        <w:rPr>
          <w:highlight w:val="cyan"/>
        </w:rPr>
      </w:pPr>
      <w:r>
        <w:lastRenderedPageBreak/>
        <w:t xml:space="preserve">Table </w:t>
      </w:r>
      <w:r w:rsidR="002B0E47">
        <w:fldChar w:fldCharType="begin"/>
      </w:r>
      <w:r w:rsidR="002B0E47">
        <w:instrText xml:space="preserve"> SEQ Table \* ARABIC </w:instrText>
      </w:r>
      <w:r w:rsidR="002B0E47">
        <w:fldChar w:fldCharType="separate"/>
      </w:r>
      <w:r w:rsidR="008465DD">
        <w:rPr>
          <w:noProof/>
        </w:rPr>
        <w:t>19</w:t>
      </w:r>
      <w:r w:rsidR="002B0E47">
        <w:rPr>
          <w:noProof/>
        </w:rPr>
        <w:fldChar w:fldCharType="end"/>
      </w:r>
      <w:r>
        <w:t>: Overview of adverse drug reactions</w:t>
      </w:r>
    </w:p>
    <w:p w14:paraId="6BDBA218" w14:textId="5A59F3F4" w:rsidR="00F71B4D" w:rsidRDefault="00F71B4D" w:rsidP="002E7BD8">
      <w:pPr>
        <w:rPr>
          <w:highlight w:val="cyan"/>
        </w:rPr>
      </w:pPr>
      <w:r>
        <w:rPr>
          <w:noProof/>
        </w:rPr>
        <w:drawing>
          <wp:inline distT="0" distB="0" distL="0" distR="0" wp14:anchorId="25BB73D6" wp14:editId="2FEA1BC9">
            <wp:extent cx="5759450" cy="5107305"/>
            <wp:effectExtent l="0" t="0" r="0" b="0"/>
            <wp:docPr id="26" name="Picture 26" descr="Overview of adverse drug reactions based on frequency (very common, common, uncommon, rare, very rare) for the System Organ Classes of gastrointestinal disorders, general disorders and administration site conditions, and metabolism and nutrition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verview of adverse drug reactions based on frequency (very common, common, uncommon, rare, very rare) for the System Organ Classes of gastrointestinal disorders, general disorders and administration site conditions, and metabolism and nutrition disorders."/>
                    <pic:cNvPicPr/>
                  </pic:nvPicPr>
                  <pic:blipFill>
                    <a:blip r:embed="rId48"/>
                    <a:stretch>
                      <a:fillRect/>
                    </a:stretch>
                  </pic:blipFill>
                  <pic:spPr>
                    <a:xfrm>
                      <a:off x="0" y="0"/>
                      <a:ext cx="5759450" cy="5107305"/>
                    </a:xfrm>
                    <a:prstGeom prst="rect">
                      <a:avLst/>
                    </a:prstGeom>
                  </pic:spPr>
                </pic:pic>
              </a:graphicData>
            </a:graphic>
          </wp:inline>
        </w:drawing>
      </w:r>
    </w:p>
    <w:p w14:paraId="47F0B740" w14:textId="7F1B8B25" w:rsidR="00F71B4D" w:rsidRPr="00F71B4D" w:rsidRDefault="00F71B4D" w:rsidP="00F71B4D">
      <w:pPr>
        <w:pStyle w:val="TableDescription"/>
      </w:pPr>
      <w:r w:rsidRPr="00F71B4D">
        <w:t xml:space="preserve">Abbreviations: </w:t>
      </w:r>
      <w:r>
        <w:t xml:space="preserve">ADR = adverse drug reaction; </w:t>
      </w:r>
      <w:r w:rsidRPr="00F71B4D">
        <w:t>AE = adverse event; CDS = core data sheet; CSI = core safety information; N/A = not available; PT= preferred term</w:t>
      </w:r>
      <w:r>
        <w:t>; SGLT</w:t>
      </w:r>
      <w:r w:rsidR="005E279A">
        <w:noBreakHyphen/>
      </w:r>
      <w:r>
        <w:t>2i = s</w:t>
      </w:r>
      <w:r w:rsidRPr="007C64C2">
        <w:rPr>
          <w:szCs w:val="22"/>
        </w:rPr>
        <w:t>odium</w:t>
      </w:r>
      <w:r w:rsidR="005E279A">
        <w:rPr>
          <w:szCs w:val="22"/>
        </w:rPr>
        <w:noBreakHyphen/>
      </w:r>
      <w:r w:rsidRPr="007C64C2">
        <w:rPr>
          <w:szCs w:val="22"/>
        </w:rPr>
        <w:t>glucose co</w:t>
      </w:r>
      <w:r w:rsidR="005E279A">
        <w:rPr>
          <w:szCs w:val="22"/>
        </w:rPr>
        <w:noBreakHyphen/>
      </w:r>
      <w:r w:rsidRPr="007C64C2">
        <w:rPr>
          <w:szCs w:val="22"/>
        </w:rPr>
        <w:t>transporter 2</w:t>
      </w:r>
      <w:r>
        <w:rPr>
          <w:szCs w:val="22"/>
        </w:rPr>
        <w:t xml:space="preserve"> inhibitor; </w:t>
      </w:r>
      <w:r>
        <w:t>SU = sulfony</w:t>
      </w:r>
      <w:r w:rsidR="00FC2BEE">
        <w:t>l</w:t>
      </w:r>
      <w:r>
        <w:t>urea</w:t>
      </w:r>
      <w:r w:rsidRPr="00F71B4D">
        <w:t>.</w:t>
      </w:r>
    </w:p>
    <w:p w14:paraId="1282BB79" w14:textId="77777777" w:rsidR="00F71B4D" w:rsidRPr="00F71B4D" w:rsidRDefault="00F71B4D" w:rsidP="00F71B4D">
      <w:pPr>
        <w:pStyle w:val="TableDescription"/>
      </w:pPr>
      <w:r w:rsidRPr="00F71B4D">
        <w:t>a Clusters:</w:t>
      </w:r>
    </w:p>
    <w:p w14:paraId="3C5EDAC3" w14:textId="77777777" w:rsidR="00F71B4D" w:rsidRPr="00F71B4D" w:rsidRDefault="00F71B4D" w:rsidP="00F71B4D">
      <w:pPr>
        <w:pStyle w:val="TableDescription"/>
      </w:pPr>
      <w:r w:rsidRPr="00F71B4D">
        <w:t>Diarrhea: diarrhea, frequent bowel movements</w:t>
      </w:r>
    </w:p>
    <w:p w14:paraId="1DFB4CF6" w14:textId="77777777" w:rsidR="00F71B4D" w:rsidRPr="00F71B4D" w:rsidRDefault="00F71B4D" w:rsidP="00F71B4D">
      <w:pPr>
        <w:pStyle w:val="TableDescription"/>
      </w:pPr>
      <w:r w:rsidRPr="00F71B4D">
        <w:t>Abdominal Pain: abdominal pain, abdominal pain upper, abdominal discomfort, abdominal pain lower,</w:t>
      </w:r>
    </w:p>
    <w:p w14:paraId="4CC43A8E" w14:textId="77777777" w:rsidR="00F71B4D" w:rsidRPr="00F71B4D" w:rsidRDefault="00F71B4D" w:rsidP="00F71B4D">
      <w:pPr>
        <w:pStyle w:val="TableDescription"/>
      </w:pPr>
      <w:r w:rsidRPr="00F71B4D">
        <w:t>abdominal tenderness, gastrointestinal pain</w:t>
      </w:r>
    </w:p>
    <w:p w14:paraId="1F07347A" w14:textId="0307D57E" w:rsidR="00F71B4D" w:rsidRPr="00F71B4D" w:rsidRDefault="00F71B4D" w:rsidP="00F71B4D">
      <w:pPr>
        <w:pStyle w:val="TableDescription"/>
      </w:pPr>
      <w:r w:rsidRPr="00F71B4D">
        <w:t>Constipation: constipation, f</w:t>
      </w:r>
      <w:r>
        <w:t>a</w:t>
      </w:r>
      <w:r w:rsidRPr="00F71B4D">
        <w:t>eces hard</w:t>
      </w:r>
    </w:p>
    <w:p w14:paraId="7274EC75" w14:textId="77777777" w:rsidR="00F71B4D" w:rsidRPr="00F71B4D" w:rsidRDefault="00F71B4D" w:rsidP="00F71B4D">
      <w:pPr>
        <w:pStyle w:val="TableDescription"/>
      </w:pPr>
      <w:r w:rsidRPr="00F71B4D">
        <w:t>Fatigue: fatigue, asthenia, malaise, lethargy</w:t>
      </w:r>
    </w:p>
    <w:p w14:paraId="65BEAF7E" w14:textId="16D4F6AC" w:rsidR="00F71B4D" w:rsidRPr="00F71B4D" w:rsidRDefault="00F71B4D" w:rsidP="00F71B4D">
      <w:pPr>
        <w:pStyle w:val="TableDescription"/>
      </w:pPr>
      <w:r w:rsidRPr="00F71B4D">
        <w:t>Injection Site Reaction: injection site reaction, injection site erythema, injection site pruritus, injection site</w:t>
      </w:r>
      <w:r>
        <w:t xml:space="preserve"> </w:t>
      </w:r>
      <w:r w:rsidRPr="00F71B4D">
        <w:t>bruising, injection site hypersensitivity, injection site pain, injection site h</w:t>
      </w:r>
      <w:r>
        <w:t>a</w:t>
      </w:r>
      <w:r w:rsidRPr="00F71B4D">
        <w:t>emorrhage, injection site irritation,</w:t>
      </w:r>
      <w:r>
        <w:t xml:space="preserve"> </w:t>
      </w:r>
      <w:r w:rsidRPr="00F71B4D">
        <w:t xml:space="preserve">injection site rash, injection site dermatitis, injection site eczema, injection site mass, injection site </w:t>
      </w:r>
      <w:r>
        <w:t>o</w:t>
      </w:r>
      <w:r w:rsidRPr="00F71B4D">
        <w:t>edema,</w:t>
      </w:r>
      <w:r>
        <w:t xml:space="preserve"> </w:t>
      </w:r>
      <w:r w:rsidRPr="00F71B4D">
        <w:t>injection site swelling.</w:t>
      </w:r>
    </w:p>
    <w:p w14:paraId="55EFBECA" w14:textId="4A76B285" w:rsidR="00F71B4D" w:rsidRPr="00F71B4D" w:rsidRDefault="00F71B4D" w:rsidP="00F71B4D">
      <w:pPr>
        <w:pStyle w:val="TableDescription"/>
        <w:rPr>
          <w:highlight w:val="cyan"/>
        </w:rPr>
      </w:pPr>
      <w:r w:rsidRPr="0005094E">
        <w:t xml:space="preserve">b Hypoglycaemia with </w:t>
      </w:r>
      <w:r w:rsidR="0005094E">
        <w:t>blood glucose less than 3 mmol/L</w:t>
      </w:r>
      <w:r w:rsidRPr="0005094E">
        <w:t xml:space="preserve"> or severe. The frequency of hypoglycaemic episodes was based on individual</w:t>
      </w:r>
      <w:r>
        <w:t xml:space="preserve"> </w:t>
      </w:r>
      <w:r w:rsidRPr="00F71B4D">
        <w:t>study data dependent on background therapy. There were no cases reported in patients on tirzepatide</w:t>
      </w:r>
      <w:r>
        <w:t xml:space="preserve"> </w:t>
      </w:r>
      <w:r w:rsidRPr="00F71B4D">
        <w:t>monotherapy (Study GPGK).</w:t>
      </w:r>
    </w:p>
    <w:p w14:paraId="67744419" w14:textId="1825FEB5" w:rsidR="002E7BD8" w:rsidRDefault="002E7BD8" w:rsidP="009F6F50">
      <w:pPr>
        <w:pStyle w:val="Heading5"/>
      </w:pPr>
      <w:r w:rsidRPr="002E7BD8">
        <w:t>Deaths</w:t>
      </w:r>
    </w:p>
    <w:p w14:paraId="72655D54" w14:textId="5EB61009" w:rsidR="002E7BD8" w:rsidRPr="002E7BD8" w:rsidRDefault="00431E03" w:rsidP="002E7BD8">
      <w:r w:rsidRPr="00431E03">
        <w:t>Phase III placebo</w:t>
      </w:r>
      <w:r w:rsidR="005E279A">
        <w:noBreakHyphen/>
      </w:r>
      <w:r w:rsidRPr="00431E03">
        <w:t>controlled analysis set</w:t>
      </w:r>
      <w:r w:rsidR="002E7BD8" w:rsidRPr="002E7BD8">
        <w:t>: One death was reported in the placebo group.</w:t>
      </w:r>
    </w:p>
    <w:p w14:paraId="35BA4F16" w14:textId="09922461" w:rsidR="002E7BD8" w:rsidRPr="002E7BD8" w:rsidRDefault="00C26870" w:rsidP="002E7BD8">
      <w:r w:rsidRPr="00C26870">
        <w:t>Phase III dose effect analysis se</w:t>
      </w:r>
      <w:r w:rsidR="002E7BD8" w:rsidRPr="002E7BD8">
        <w:t>: Overall, 41 deaths were reported in tirzepatide</w:t>
      </w:r>
      <w:r w:rsidR="005E279A">
        <w:noBreakHyphen/>
      </w:r>
      <w:r w:rsidR="002E7BD8" w:rsidRPr="002E7BD8">
        <w:t xml:space="preserve">treated patients in the Phase </w:t>
      </w:r>
      <w:r>
        <w:t>III</w:t>
      </w:r>
      <w:r w:rsidR="002E7BD8" w:rsidRPr="002E7BD8">
        <w:t xml:space="preserve"> studies. During the Phase </w:t>
      </w:r>
      <w:r>
        <w:t>II and Phase III</w:t>
      </w:r>
      <w:r w:rsidR="002E7BD8" w:rsidRPr="002E7BD8">
        <w:t xml:space="preserve"> studies, 80 deaths occurred in patients </w:t>
      </w:r>
      <w:r w:rsidR="002E7BD8" w:rsidRPr="002E7BD8">
        <w:lastRenderedPageBreak/>
        <w:t xml:space="preserve">exposed to </w:t>
      </w:r>
      <w:r>
        <w:t>at least one</w:t>
      </w:r>
      <w:r w:rsidR="002E7BD8" w:rsidRPr="002E7BD8">
        <w:t xml:space="preserve"> dose of study drug: 41 (0.76%) in the tirzepatide groups and 39 (1.66%) in the comparator groups.</w:t>
      </w:r>
    </w:p>
    <w:p w14:paraId="4778C44D" w14:textId="04A91749" w:rsidR="002E7BD8" w:rsidRPr="002E7BD8" w:rsidRDefault="002E7BD8" w:rsidP="00C26870">
      <w:pPr>
        <w:pStyle w:val="Heading5"/>
      </w:pPr>
      <w:r w:rsidRPr="002E7BD8">
        <w:t>Serious adverse events</w:t>
      </w:r>
    </w:p>
    <w:p w14:paraId="7F0F987C" w14:textId="468A616C" w:rsidR="002E7BD8" w:rsidRPr="002E7BD8" w:rsidRDefault="00431E03" w:rsidP="002E7BD8">
      <w:r w:rsidRPr="00431E03">
        <w:t>Phase III placebo</w:t>
      </w:r>
      <w:r w:rsidR="005E279A">
        <w:noBreakHyphen/>
      </w:r>
      <w:r w:rsidRPr="00431E03">
        <w:t>controlled analysis set</w:t>
      </w:r>
      <w:r w:rsidR="002E7BD8" w:rsidRPr="002E7BD8">
        <w:t xml:space="preserve">: The percentage of patients with SAEs was similar across tirzepatide doses, </w:t>
      </w:r>
      <w:r w:rsidR="00477AA4" w:rsidRPr="002707F8">
        <w:t>all tirzepatide dose groups combined</w:t>
      </w:r>
      <w:r w:rsidR="002E7BD8" w:rsidRPr="002E7BD8">
        <w:t>, and placebo groups.</w:t>
      </w:r>
    </w:p>
    <w:p w14:paraId="1459B713" w14:textId="5698B22C" w:rsidR="002E7BD8" w:rsidRPr="002E7BD8" w:rsidRDefault="00C26870" w:rsidP="002E7BD8">
      <w:r w:rsidRPr="00C26870">
        <w:t>Phase III dose effect analysis se</w:t>
      </w:r>
      <w:r>
        <w:t>t</w:t>
      </w:r>
      <w:r w:rsidR="002E7BD8" w:rsidRPr="002E7BD8">
        <w:t>: The percentages of patients reporting SAEs due to an AE was similar across the 3 tirzepatide dose groups.</w:t>
      </w:r>
    </w:p>
    <w:p w14:paraId="50D10847" w14:textId="65EF0177" w:rsidR="002E7BD8" w:rsidRPr="002E7BD8" w:rsidRDefault="002E7BD8" w:rsidP="00C26870">
      <w:pPr>
        <w:pStyle w:val="Heading5"/>
      </w:pPr>
      <w:r w:rsidRPr="002E7BD8">
        <w:t>Discontinuations</w:t>
      </w:r>
    </w:p>
    <w:p w14:paraId="7E37645B" w14:textId="403EA464" w:rsidR="002E7BD8" w:rsidRDefault="00431E03" w:rsidP="002E7BD8">
      <w:r w:rsidRPr="00431E03">
        <w:t>Phase III placebo</w:t>
      </w:r>
      <w:r w:rsidR="005E279A">
        <w:noBreakHyphen/>
      </w:r>
      <w:r w:rsidR="005E279A">
        <w:noBreakHyphen/>
      </w:r>
      <w:r w:rsidRPr="00431E03">
        <w:t>controlled analysis set</w:t>
      </w:r>
      <w:r w:rsidR="002E7BD8" w:rsidRPr="002E7BD8">
        <w:t>: 1.4% of tirzepatide</w:t>
      </w:r>
      <w:r w:rsidR="005E279A">
        <w:noBreakHyphen/>
      </w:r>
      <w:r w:rsidR="002E7BD8" w:rsidRPr="002E7BD8">
        <w:t>treated patients and 0.9% of placebo</w:t>
      </w:r>
      <w:r w:rsidR="005E279A">
        <w:noBreakHyphen/>
      </w:r>
      <w:r w:rsidR="002E7BD8" w:rsidRPr="002E7BD8">
        <w:t xml:space="preserve">treated patients discontinued from the study due to an AE. The percentage of discontinuations from study drug due to an AE was higher in the </w:t>
      </w:r>
      <w:r w:rsidR="005E279A">
        <w:t>‘</w:t>
      </w:r>
      <w:r w:rsidR="00477AA4" w:rsidRPr="002707F8">
        <w:t>all tirzepatide dose groups combined</w:t>
      </w:r>
      <w:r w:rsidR="005E279A">
        <w:t>’</w:t>
      </w:r>
      <w:r w:rsidR="00477AA4" w:rsidRPr="002E7BD8">
        <w:t xml:space="preserve"> </w:t>
      </w:r>
      <w:r w:rsidR="002E7BD8" w:rsidRPr="002E7BD8">
        <w:t xml:space="preserve">(6.7%) group compared to placebo (2.6%). In most cases, this was due to </w:t>
      </w:r>
      <w:r w:rsidR="00C26870">
        <w:t>gastrointestinal disorders</w:t>
      </w:r>
      <w:r w:rsidR="002E7BD8" w:rsidRPr="002E7BD8">
        <w:t xml:space="preserve"> (5.0% v</w:t>
      </w:r>
      <w:r w:rsidR="00C26870">
        <w:t>ersus</w:t>
      </w:r>
      <w:r w:rsidR="002E7BD8" w:rsidRPr="002E7BD8">
        <w:t xml:space="preserve"> 0.4%) (</w:t>
      </w:r>
      <w:r w:rsidR="007B5E4B">
        <w:fldChar w:fldCharType="begin"/>
      </w:r>
      <w:r w:rsidR="007B5E4B">
        <w:instrText xml:space="preserve"> REF _Ref145514270 \h </w:instrText>
      </w:r>
      <w:r w:rsidR="007B5E4B">
        <w:fldChar w:fldCharType="separate"/>
      </w:r>
      <w:r w:rsidR="008465DD">
        <w:t xml:space="preserve">Table </w:t>
      </w:r>
      <w:r w:rsidR="008465DD">
        <w:rPr>
          <w:noProof/>
        </w:rPr>
        <w:t>20</w:t>
      </w:r>
      <w:r w:rsidR="007B5E4B">
        <w:fldChar w:fldCharType="end"/>
      </w:r>
      <w:r w:rsidR="002E7BD8" w:rsidRPr="002E7BD8">
        <w:t>). Additionally, there was an incremental increase in study drug discontinuation due to an AE with higher dose groups.</w:t>
      </w:r>
    </w:p>
    <w:p w14:paraId="4BBBE389" w14:textId="3E357063" w:rsidR="001519CB" w:rsidRPr="002E7BD8" w:rsidRDefault="001519CB" w:rsidP="001519CB">
      <w:pPr>
        <w:pStyle w:val="TableTitle"/>
      </w:pPr>
      <w:bookmarkStart w:id="75" w:name="_Ref145514270"/>
      <w:bookmarkStart w:id="76" w:name="_Ref145514263"/>
      <w:r>
        <w:t xml:space="preserve">Table </w:t>
      </w:r>
      <w:r w:rsidR="002B0E47">
        <w:fldChar w:fldCharType="begin"/>
      </w:r>
      <w:r w:rsidR="002B0E47">
        <w:instrText xml:space="preserve"> SEQ Table \* ARABIC </w:instrText>
      </w:r>
      <w:r w:rsidR="002B0E47">
        <w:fldChar w:fldCharType="separate"/>
      </w:r>
      <w:r w:rsidR="008465DD">
        <w:rPr>
          <w:noProof/>
        </w:rPr>
        <w:t>20</w:t>
      </w:r>
      <w:r w:rsidR="002B0E47">
        <w:rPr>
          <w:noProof/>
        </w:rPr>
        <w:fldChar w:fldCharType="end"/>
      </w:r>
      <w:bookmarkEnd w:id="75"/>
      <w:r>
        <w:t>: Phase II</w:t>
      </w:r>
      <w:r w:rsidR="007B5E4B">
        <w:t>I</w:t>
      </w:r>
      <w:r>
        <w:t xml:space="preserve"> placebo</w:t>
      </w:r>
      <w:r w:rsidR="005E279A">
        <w:noBreakHyphen/>
      </w:r>
      <w:r>
        <w:t>controlled analysis set Discontinuation from study drug due to adverse effects</w:t>
      </w:r>
      <w:bookmarkEnd w:id="76"/>
      <w:r w:rsidR="008B2B88">
        <w:fldChar w:fldCharType="begin"/>
      </w:r>
      <w:r w:rsidR="008B2B88">
        <w:instrText xml:space="preserve"> DOCVARIABLE vault_nd_0d7fbb6d-a30c-45a4-b385-5b71bff1e3db \* MERGEFORMAT </w:instrText>
      </w:r>
      <w:r w:rsidR="008B2B88">
        <w:fldChar w:fldCharType="separate"/>
      </w:r>
      <w:r w:rsidR="008465DD">
        <w:t xml:space="preserve"> </w:t>
      </w:r>
      <w:r w:rsidR="008B2B88">
        <w:fldChar w:fldCharType="end"/>
      </w:r>
    </w:p>
    <w:p w14:paraId="008CEB02" w14:textId="001C84BD" w:rsidR="002E7BD8" w:rsidRDefault="002E7BD8" w:rsidP="002E7BD8">
      <w:r w:rsidRPr="002E7BD8">
        <w:rPr>
          <w:noProof/>
        </w:rPr>
        <w:drawing>
          <wp:inline distT="0" distB="0" distL="0" distR="0" wp14:anchorId="34161558" wp14:editId="32BBB5D8">
            <wp:extent cx="5618901" cy="2355925"/>
            <wp:effectExtent l="0" t="0" r="1270" b="6350"/>
            <wp:docPr id="844" name="Picture 844" descr="Tabulation of System Organ Class Preferred Terms (all 9 terms are gastrointestinal disorders) against tirzrepatide dose (5, 10, 15mg, all doses) and placebo, and statistical p-value of all tirzepatide versus place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Picture 844" descr="Tabulation of System Organ Class Preferred Terms (all 9 terms are gastrointestinal disorders) against tirzrepatide dose (5, 10, 15mg, all doses) and placebo, and statistical p-value of all tirzepatide versus placebo.  "/>
                    <pic:cNvPicPr/>
                  </pic:nvPicPr>
                  <pic:blipFill>
                    <a:blip r:embed="rId49"/>
                    <a:stretch>
                      <a:fillRect/>
                    </a:stretch>
                  </pic:blipFill>
                  <pic:spPr>
                    <a:xfrm>
                      <a:off x="0" y="0"/>
                      <a:ext cx="5631351" cy="2361145"/>
                    </a:xfrm>
                    <a:prstGeom prst="rect">
                      <a:avLst/>
                    </a:prstGeom>
                  </pic:spPr>
                </pic:pic>
              </a:graphicData>
            </a:graphic>
          </wp:inline>
        </w:drawing>
      </w:r>
      <w:r w:rsidRPr="002E7BD8">
        <w:t>|</w:t>
      </w:r>
    </w:p>
    <w:p w14:paraId="05E44BE4" w14:textId="458BDD13" w:rsidR="001519CB" w:rsidRPr="001519CB" w:rsidRDefault="001519CB" w:rsidP="001519CB">
      <w:pPr>
        <w:pStyle w:val="TableDescription"/>
      </w:pPr>
      <w:r w:rsidRPr="001519CB">
        <w:t xml:space="preserve">Abbreviations: DCAE = discontinuation of study drug due to </w:t>
      </w:r>
      <w:r>
        <w:t>adverse event</w:t>
      </w:r>
      <w:r w:rsidRPr="001519CB">
        <w:t>; N = number</w:t>
      </w:r>
      <w:r>
        <w:t xml:space="preserve"> </w:t>
      </w:r>
      <w:r w:rsidRPr="001519CB">
        <w:t xml:space="preserve">of patients in treatment group; n = number of patients with at least 1 </w:t>
      </w:r>
      <w:r>
        <w:t>adverse event</w:t>
      </w:r>
      <w:r w:rsidRPr="001519CB">
        <w:t xml:space="preserve"> reported as the primary reason for</w:t>
      </w:r>
      <w:r>
        <w:t xml:space="preserve"> </w:t>
      </w:r>
      <w:r w:rsidRPr="001519CB">
        <w:t>permanent discontinuation of study drug; TZP = tirzepatide</w:t>
      </w:r>
      <w:r>
        <w:t>; TZP_ALL = all</w:t>
      </w:r>
      <w:r w:rsidRPr="00AD6E2B">
        <w:t xml:space="preserve"> </w:t>
      </w:r>
      <w:r w:rsidRPr="002707F8">
        <w:t>tirzepatide dose groups combined</w:t>
      </w:r>
      <w:r>
        <w:t>.</w:t>
      </w:r>
    </w:p>
    <w:p w14:paraId="611CE527" w14:textId="5F58E745" w:rsidR="001519CB" w:rsidRPr="001519CB" w:rsidRDefault="001519CB" w:rsidP="001519CB">
      <w:pPr>
        <w:pStyle w:val="TableDescription"/>
      </w:pPr>
      <w:r w:rsidRPr="001519CB">
        <w:t>a P</w:t>
      </w:r>
      <w:r w:rsidR="005E279A">
        <w:noBreakHyphen/>
      </w:r>
      <w:r w:rsidRPr="001519CB">
        <w:t>values are from Cochran</w:t>
      </w:r>
      <w:r w:rsidR="005E279A">
        <w:noBreakHyphen/>
      </w:r>
      <w:r w:rsidRPr="001519CB">
        <w:t>Mantel</w:t>
      </w:r>
      <w:r w:rsidR="005E279A">
        <w:noBreakHyphen/>
      </w:r>
      <w:r w:rsidRPr="001519CB">
        <w:t>Haenszel test of general association stratified by study.</w:t>
      </w:r>
    </w:p>
    <w:p w14:paraId="39205430" w14:textId="3AA49326" w:rsidR="002E7BD8" w:rsidRPr="002E7BD8" w:rsidRDefault="00C26870" w:rsidP="002E7BD8">
      <w:r w:rsidRPr="00C26870">
        <w:t>Phase III dose effect analysis se</w:t>
      </w:r>
      <w:r>
        <w:t>t</w:t>
      </w:r>
      <w:r w:rsidR="002E7BD8" w:rsidRPr="002E7BD8">
        <w:t>: The percentages of patients reporting discontinuations from study due to an AE was similar across the 3 tirzepatide dose groups.</w:t>
      </w:r>
    </w:p>
    <w:p w14:paraId="284A9294" w14:textId="1D182A0B" w:rsidR="002E7BD8" w:rsidRPr="002E7BD8" w:rsidRDefault="002E7BD8" w:rsidP="00CB238A">
      <w:pPr>
        <w:pStyle w:val="Heading5"/>
      </w:pPr>
      <w:r w:rsidRPr="002E7BD8">
        <w:t>Adverse events of special interest</w:t>
      </w:r>
      <w:bookmarkStart w:id="77" w:name="_Toc100700061"/>
      <w:bookmarkStart w:id="78" w:name="_Toc102574912"/>
      <w:bookmarkStart w:id="79" w:name="_Toc110427484"/>
    </w:p>
    <w:p w14:paraId="4FE5EE3D" w14:textId="70AD1C81" w:rsidR="002E7BD8" w:rsidRPr="002E7BD8" w:rsidRDefault="002E7BD8" w:rsidP="002E7BD8">
      <w:bookmarkStart w:id="80" w:name="_Toc100700066"/>
      <w:bookmarkStart w:id="81" w:name="_Toc102574917"/>
      <w:bookmarkStart w:id="82" w:name="_Toc110427489"/>
      <w:r w:rsidRPr="00DF6DE5">
        <w:rPr>
          <w:rStyle w:val="Heading7Char"/>
        </w:rPr>
        <w:t>Thyroid safety</w:t>
      </w:r>
      <w:bookmarkEnd w:id="80"/>
      <w:bookmarkEnd w:id="81"/>
      <w:bookmarkEnd w:id="82"/>
      <w:r w:rsidRPr="00DF6DE5">
        <w:rPr>
          <w:rStyle w:val="Heading7Char"/>
        </w:rPr>
        <w:t xml:space="preserve">: </w:t>
      </w:r>
      <w:r w:rsidRPr="002E7BD8">
        <w:t xml:space="preserve">No cases of </w:t>
      </w:r>
      <w:r w:rsidR="008A6319">
        <w:t>medullary thyroid cancer</w:t>
      </w:r>
      <w:r w:rsidRPr="002E7BD8">
        <w:t xml:space="preserve"> or C</w:t>
      </w:r>
      <w:r w:rsidR="005E279A">
        <w:noBreakHyphen/>
      </w:r>
      <w:r w:rsidRPr="002E7BD8">
        <w:t xml:space="preserve">cell hyperplasia were identified across all Phase </w:t>
      </w:r>
      <w:r w:rsidR="00CB238A">
        <w:t>II and Phase III</w:t>
      </w:r>
      <w:r w:rsidRPr="002E7BD8">
        <w:t xml:space="preserve"> studies. However, given their relatively short duration definitive conclusions cannot be made with regard to thyroid malignancy risks related to tirzepatide. Tirzepatide treatment was not associated with marked increases of calcitonin</w:t>
      </w:r>
      <w:r w:rsidR="007568CE">
        <w:t>.</w:t>
      </w:r>
    </w:p>
    <w:p w14:paraId="42F17606" w14:textId="3C2B63EB" w:rsidR="002E7BD8" w:rsidRPr="002E7BD8" w:rsidRDefault="002E7BD8" w:rsidP="002E7BD8">
      <w:r w:rsidRPr="00DF6DE5">
        <w:rPr>
          <w:rStyle w:val="Heading7Char"/>
        </w:rPr>
        <w:t>Malignancies:</w:t>
      </w:r>
      <w:r w:rsidRPr="002E7BD8">
        <w:t xml:space="preserve"> In all Phase </w:t>
      </w:r>
      <w:r w:rsidR="00CB238A">
        <w:t>II and Phase III</w:t>
      </w:r>
      <w:r w:rsidRPr="002E7BD8">
        <w:t xml:space="preserve"> studies (with 5</w:t>
      </w:r>
      <w:r w:rsidR="007568CE">
        <w:t>,</w:t>
      </w:r>
      <w:r w:rsidRPr="002E7BD8">
        <w:t>415 tirzepatide</w:t>
      </w:r>
      <w:r w:rsidR="005E279A">
        <w:noBreakHyphen/>
      </w:r>
      <w:r w:rsidRPr="002E7BD8">
        <w:t>treated patients) the incidences of malignancies were rather small: tirzepatide (1.02%), semaglutide (0.64%), insulin degludec (0.28%), insulin glargine (1.90%), dulaglutide (1.88%), and placebo (1.60%).</w:t>
      </w:r>
    </w:p>
    <w:p w14:paraId="4449922E" w14:textId="67A50D4E" w:rsidR="002E7BD8" w:rsidRPr="002E7BD8" w:rsidRDefault="002E7BD8" w:rsidP="002E7BD8">
      <w:r w:rsidRPr="002E7BD8">
        <w:lastRenderedPageBreak/>
        <w:t>There were 3 cases of pancreatic cancer, 2 in tirzepatide</w:t>
      </w:r>
      <w:r w:rsidR="005E279A">
        <w:noBreakHyphen/>
      </w:r>
      <w:r w:rsidRPr="002E7BD8">
        <w:t xml:space="preserve">treated patients and </w:t>
      </w:r>
      <w:r w:rsidR="007568CE">
        <w:t xml:space="preserve">one </w:t>
      </w:r>
      <w:r w:rsidRPr="002E7BD8">
        <w:t xml:space="preserve">in the placebo group (reported after study completion and not captured in the database). In addition, there was </w:t>
      </w:r>
      <w:r w:rsidR="007568CE">
        <w:t>one</w:t>
      </w:r>
      <w:r w:rsidRPr="002E7BD8">
        <w:t xml:space="preserve"> case reported as pancreatic neoplasm from the tirzepatide 10</w:t>
      </w:r>
      <w:r w:rsidR="007568CE">
        <w:t> </w:t>
      </w:r>
      <w:r w:rsidRPr="002E7BD8">
        <w:t>mg group that was a pancreatic cyst.</w:t>
      </w:r>
    </w:p>
    <w:p w14:paraId="5579CBEC" w14:textId="41FC487F" w:rsidR="002E7BD8" w:rsidRPr="002E7BD8" w:rsidRDefault="002E7BD8" w:rsidP="002E7BD8">
      <w:r w:rsidRPr="002E7BD8">
        <w:t>The sponsor is committed to further investigations of the potential for malignancies in the ongoing studies and post</w:t>
      </w:r>
      <w:r w:rsidR="005E279A">
        <w:noBreakHyphen/>
      </w:r>
      <w:r w:rsidRPr="002E7BD8">
        <w:t>marketing pharmacovigilance.</w:t>
      </w:r>
    </w:p>
    <w:p w14:paraId="3C90F513" w14:textId="0675FDD7" w:rsidR="002E7BD8" w:rsidRPr="002E7BD8" w:rsidRDefault="002E7BD8" w:rsidP="002E7BD8">
      <w:r w:rsidRPr="00DF6DE5">
        <w:rPr>
          <w:rStyle w:val="Heading7Char"/>
        </w:rPr>
        <w:t xml:space="preserve">Diabetic Retinopathy Complications: </w:t>
      </w:r>
      <w:r w:rsidRPr="002E7BD8">
        <w:t xml:space="preserve">Across the Phase </w:t>
      </w:r>
      <w:r w:rsidR="007568CE">
        <w:t>III</w:t>
      </w:r>
      <w:r w:rsidRPr="002E7BD8">
        <w:t xml:space="preserve"> trials, 18 (0.35%) tirzepatide</w:t>
      </w:r>
      <w:r w:rsidR="005E279A">
        <w:noBreakHyphen/>
      </w:r>
      <w:r w:rsidRPr="002E7BD8">
        <w:t>treated patients showed worsening of fundoscopic findings (none were SAEs). The incidence in individual trials rang</w:t>
      </w:r>
      <w:r w:rsidR="007568CE">
        <w:t>ed</w:t>
      </w:r>
      <w:r w:rsidRPr="002E7BD8">
        <w:t xml:space="preserve"> from 0% (</w:t>
      </w:r>
      <w:r w:rsidR="007568CE">
        <w:t xml:space="preserve">Study </w:t>
      </w:r>
      <w:r w:rsidRPr="002E7BD8">
        <w:t>GPGK) to 1.13% (</w:t>
      </w:r>
      <w:r w:rsidR="007568CE">
        <w:t xml:space="preserve">Study </w:t>
      </w:r>
      <w:r w:rsidRPr="002E7BD8">
        <w:t>GPGP) with no meaningful differences.</w:t>
      </w:r>
    </w:p>
    <w:p w14:paraId="2016B9AA" w14:textId="0909FCB7" w:rsidR="002E7BD8" w:rsidRPr="002E7BD8" w:rsidRDefault="002E7BD8" w:rsidP="002E7BD8">
      <w:r w:rsidRPr="002E7BD8">
        <w:t xml:space="preserve">A customised MedDRA search in </w:t>
      </w:r>
      <w:r w:rsidR="007568CE">
        <w:t xml:space="preserve">the </w:t>
      </w:r>
      <w:r w:rsidR="00431E03" w:rsidRPr="00431E03">
        <w:t>Phase III placebo</w:t>
      </w:r>
      <w:r w:rsidR="005E279A">
        <w:noBreakHyphen/>
      </w:r>
      <w:r w:rsidR="00431E03" w:rsidRPr="00431E03">
        <w:t>controlled analysis set</w:t>
      </w:r>
      <w:r w:rsidR="00431E03" w:rsidRPr="002E7BD8">
        <w:t xml:space="preserve"> </w:t>
      </w:r>
      <w:r w:rsidRPr="002E7BD8">
        <w:t>revealed no ‘potential diabetic retinopathy’ event in tirzepatide</w:t>
      </w:r>
      <w:r w:rsidR="007568CE">
        <w:t> </w:t>
      </w:r>
      <w:r w:rsidRPr="002E7BD8">
        <w:t xml:space="preserve">treated patients versus 2 </w:t>
      </w:r>
      <w:r w:rsidR="007568CE">
        <w:t xml:space="preserve">event </w:t>
      </w:r>
      <w:r w:rsidRPr="002E7BD8">
        <w:t>(0.9%) in</w:t>
      </w:r>
      <w:r w:rsidR="007568CE">
        <w:t xml:space="preserve"> the</w:t>
      </w:r>
      <w:r w:rsidRPr="002E7BD8">
        <w:t xml:space="preserve"> placebo control</w:t>
      </w:r>
      <w:r w:rsidR="007568CE">
        <w:t xml:space="preserve"> group</w:t>
      </w:r>
      <w:r w:rsidRPr="002E7BD8">
        <w:t xml:space="preserve">. The same search </w:t>
      </w:r>
      <w:r w:rsidR="00C26870">
        <w:t xml:space="preserve">in the </w:t>
      </w:r>
      <w:r w:rsidR="00C26870" w:rsidRPr="00C26870">
        <w:t>Phase III dose effect analysis se</w:t>
      </w:r>
      <w:r w:rsidR="00C26870">
        <w:t>t</w:t>
      </w:r>
      <w:r w:rsidRPr="002E7BD8">
        <w:t xml:space="preserve"> detected 37 (0.7%) tirzepatide</w:t>
      </w:r>
      <w:r w:rsidR="005E279A">
        <w:noBreakHyphen/>
      </w:r>
      <w:r w:rsidRPr="002E7BD8">
        <w:t>treated patients with potential diabetic retinopathy complication, but without dose</w:t>
      </w:r>
      <w:r w:rsidR="005E279A">
        <w:noBreakHyphen/>
      </w:r>
      <w:r w:rsidRPr="002E7BD8">
        <w:t xml:space="preserve">dependency. Four of those 37 </w:t>
      </w:r>
      <w:r w:rsidR="007568CE">
        <w:t>patient has</w:t>
      </w:r>
      <w:r w:rsidRPr="002E7BD8">
        <w:t xml:space="preserve"> serious or severe TEAEs.</w:t>
      </w:r>
    </w:p>
    <w:p w14:paraId="22DD677B" w14:textId="6772DC7F" w:rsidR="002E7BD8" w:rsidRPr="002E7BD8" w:rsidRDefault="002E7BD8" w:rsidP="002E7BD8">
      <w:r w:rsidRPr="002E7BD8">
        <w:t xml:space="preserve">An ongoing dedicated addendum study to </w:t>
      </w:r>
      <w:r w:rsidR="00AC500E" w:rsidRPr="0022010B">
        <w:t>Study I8F</w:t>
      </w:r>
      <w:r w:rsidR="005E279A">
        <w:noBreakHyphen/>
      </w:r>
      <w:r w:rsidR="00AC500E" w:rsidRPr="0022010B">
        <w:t>MC</w:t>
      </w:r>
      <w:r w:rsidR="005E279A">
        <w:noBreakHyphen/>
      </w:r>
      <w:r w:rsidR="00AC500E" w:rsidRPr="0022010B">
        <w:t>GPGN</w:t>
      </w:r>
      <w:r w:rsidRPr="002E7BD8">
        <w:t xml:space="preserve"> will further investigate this potential safety issue.</w:t>
      </w:r>
    </w:p>
    <w:p w14:paraId="22D7A06B" w14:textId="4A07F0D3" w:rsidR="002E7BD8" w:rsidRPr="002E7BD8" w:rsidRDefault="002E7BD8" w:rsidP="002E7BD8">
      <w:r w:rsidRPr="00DF6DE5">
        <w:rPr>
          <w:rStyle w:val="Heading7Char"/>
        </w:rPr>
        <w:t xml:space="preserve">Cardiac safety </w:t>
      </w:r>
      <w:r w:rsidR="007568CE" w:rsidRPr="00DF6DE5">
        <w:rPr>
          <w:rStyle w:val="Heading7Char"/>
        </w:rPr>
        <w:t xml:space="preserve">in </w:t>
      </w:r>
      <w:r w:rsidRPr="00DF6DE5">
        <w:rPr>
          <w:rStyle w:val="Heading7Char"/>
        </w:rPr>
        <w:t xml:space="preserve">Phase </w:t>
      </w:r>
      <w:r w:rsidR="007568CE" w:rsidRPr="00DF6DE5">
        <w:rPr>
          <w:rStyle w:val="Heading7Char"/>
        </w:rPr>
        <w:t>I and II studies</w:t>
      </w:r>
      <w:r w:rsidRPr="00DF6DE5">
        <w:rPr>
          <w:rStyle w:val="Heading7Char"/>
        </w:rPr>
        <w:t>:</w:t>
      </w:r>
      <w:r w:rsidRPr="002E7BD8">
        <w:t xml:space="preserve"> No</w:t>
      </w:r>
      <w:r w:rsidR="007568CE">
        <w:t xml:space="preserve"> thorough </w:t>
      </w:r>
      <w:r w:rsidRPr="002E7BD8">
        <w:t>QT study investigating the effect of supratherapeutic tirzepatide doses on cardiac repolarisation was conducted. Instead, a concentration effect analysis was performed.</w:t>
      </w:r>
    </w:p>
    <w:p w14:paraId="4531EE54" w14:textId="0134F63A" w:rsidR="002E7BD8" w:rsidRPr="002E7BD8" w:rsidRDefault="002E7BD8" w:rsidP="006A4028">
      <w:pPr>
        <w:pStyle w:val="ListBullet"/>
      </w:pPr>
      <w:r w:rsidRPr="00B403C3">
        <w:t>As per ICH E14 guidance,</w:t>
      </w:r>
      <w:r w:rsidR="009B3344" w:rsidRPr="00B403C3">
        <w:rPr>
          <w:rStyle w:val="FootnoteReference"/>
        </w:rPr>
        <w:footnoteReference w:id="18"/>
      </w:r>
      <w:r w:rsidRPr="00B403C3">
        <w:t xml:space="preserve"> a concentration effect analysis for QTcF and PR interval based on</w:t>
      </w:r>
      <w:r w:rsidRPr="002E7BD8">
        <w:t xml:space="preserve"> data from Phase </w:t>
      </w:r>
      <w:r w:rsidR="007568CE">
        <w:t>I</w:t>
      </w:r>
      <w:r w:rsidRPr="002E7BD8">
        <w:t xml:space="preserve"> and Phase </w:t>
      </w:r>
      <w:r w:rsidR="007568CE">
        <w:t>II</w:t>
      </w:r>
      <w:r w:rsidRPr="002E7BD8">
        <w:t xml:space="preserve"> studies was performed.</w:t>
      </w:r>
      <w:r w:rsidR="00521C62">
        <w:rPr>
          <w:rStyle w:val="FootnoteReference"/>
        </w:rPr>
        <w:footnoteReference w:id="19"/>
      </w:r>
      <w:r w:rsidRPr="002E7BD8">
        <w:t xml:space="preserve"> Using the data from healthy participants and patients with T2DM who were given either placebo or tirzepatide in Phase </w:t>
      </w:r>
      <w:r w:rsidR="006A4028">
        <w:t>I</w:t>
      </w:r>
      <w:r w:rsidRPr="002E7BD8">
        <w:t xml:space="preserve"> Study GPGA and Phase </w:t>
      </w:r>
      <w:r w:rsidR="006A4028">
        <w:t>II</w:t>
      </w:r>
      <w:r w:rsidRPr="002E7BD8">
        <w:t xml:space="preserve"> Studies GPGB and GPGF and a direct response linear mixed effects model, the relationship between</w:t>
      </w:r>
      <w:r w:rsidR="006A4028">
        <w:t xml:space="preserve"> changes in </w:t>
      </w:r>
      <w:r w:rsidRPr="002E7BD8">
        <w:t>QTcF or the PR interval and tirzepatide concentration was investigated. Overall, this analysis suggests the absence of an unacceptable prolongation in cardiac repolarisation or any impact on PR interval compared to placebo across the therapeutic dose range of tirzepatide.</w:t>
      </w:r>
    </w:p>
    <w:p w14:paraId="2790F4F8" w14:textId="72E01064" w:rsidR="002E7BD8" w:rsidRPr="002E7BD8" w:rsidRDefault="002E7BD8" w:rsidP="006A4028">
      <w:pPr>
        <w:pStyle w:val="ListBullet"/>
      </w:pPr>
      <w:r w:rsidRPr="002E7BD8">
        <w:t>The relationships of QTcF and PR intervals matched by date to the observed tirzepatide concentration at Week</w:t>
      </w:r>
      <w:r w:rsidR="006A4028">
        <w:t> </w:t>
      </w:r>
      <w:r w:rsidRPr="002E7BD8">
        <w:t>40 and Week</w:t>
      </w:r>
      <w:r w:rsidR="006A4028">
        <w:t> </w:t>
      </w:r>
      <w:r w:rsidRPr="002E7BD8">
        <w:t xml:space="preserve">52 in the Phase </w:t>
      </w:r>
      <w:r w:rsidR="006A4028">
        <w:t>III</w:t>
      </w:r>
      <w:r w:rsidRPr="002E7BD8">
        <w:t xml:space="preserve"> studies were assessed. Overall, the QTcF and PR intervals were within clinically acceptable limits.</w:t>
      </w:r>
    </w:p>
    <w:p w14:paraId="7F128982" w14:textId="3C81D8D7" w:rsidR="002E7BD8" w:rsidRPr="002E7BD8" w:rsidRDefault="002E7BD8" w:rsidP="006A4028">
      <w:pPr>
        <w:pStyle w:val="ListBullet"/>
      </w:pPr>
      <w:r w:rsidRPr="002E7BD8">
        <w:t>Transient heart rate increases were observed following tirzepatide treatment, particularly during the early dose</w:t>
      </w:r>
      <w:r w:rsidR="005E279A">
        <w:noBreakHyphen/>
      </w:r>
      <w:r w:rsidRPr="002E7BD8">
        <w:t>escalation period, using linear regression analysis.</w:t>
      </w:r>
    </w:p>
    <w:p w14:paraId="05324202" w14:textId="31AFB130" w:rsidR="002E7BD8" w:rsidRPr="002E7BD8" w:rsidRDefault="002E7BD8" w:rsidP="006A4028">
      <w:pPr>
        <w:pStyle w:val="ListBullet"/>
      </w:pPr>
      <w:r w:rsidRPr="002E7BD8">
        <w:t>With regard to supratherapeutic dosing, the sponsor identified 31 of 5</w:t>
      </w:r>
      <w:r w:rsidR="006A4028">
        <w:t>,</w:t>
      </w:r>
      <w:r w:rsidRPr="002E7BD8">
        <w:t xml:space="preserve">415 patients </w:t>
      </w:r>
      <w:r w:rsidR="006A4028">
        <w:t>who</w:t>
      </w:r>
      <w:r w:rsidRPr="002E7BD8">
        <w:t xml:space="preserve"> received an overdose defined as taking more than 1</w:t>
      </w:r>
      <w:r w:rsidR="009F6F50">
        <w:t>5 mg</w:t>
      </w:r>
      <w:r w:rsidRPr="002E7BD8">
        <w:t xml:space="preserve"> of tirzepatide in less than 72</w:t>
      </w:r>
      <w:r w:rsidR="006A4028">
        <w:t> </w:t>
      </w:r>
      <w:r w:rsidRPr="002E7BD8">
        <w:t>hours and these cases were not associated with cardiac safety concerns.</w:t>
      </w:r>
    </w:p>
    <w:p w14:paraId="741AEAEA" w14:textId="2D870A4E" w:rsidR="002E7BD8" w:rsidRPr="002E7BD8" w:rsidRDefault="002E7BD8" w:rsidP="002E7BD8">
      <w:r w:rsidRPr="00DF6DE5">
        <w:rPr>
          <w:rStyle w:val="Heading7Char"/>
        </w:rPr>
        <w:t xml:space="preserve">Cardiac safety </w:t>
      </w:r>
      <w:r w:rsidR="006A4028" w:rsidRPr="00DF6DE5">
        <w:rPr>
          <w:rStyle w:val="Heading7Char"/>
        </w:rPr>
        <w:t>in</w:t>
      </w:r>
      <w:r w:rsidRPr="00DF6DE5">
        <w:rPr>
          <w:rStyle w:val="Heading7Char"/>
        </w:rPr>
        <w:t xml:space="preserve"> Phase </w:t>
      </w:r>
      <w:r w:rsidR="00CB238A" w:rsidRPr="00DF6DE5">
        <w:rPr>
          <w:rStyle w:val="Heading7Char"/>
        </w:rPr>
        <w:t>II and Phase III</w:t>
      </w:r>
      <w:r w:rsidRPr="00DF6DE5">
        <w:rPr>
          <w:rStyle w:val="Heading7Char"/>
        </w:rPr>
        <w:t xml:space="preserve">: </w:t>
      </w:r>
      <w:r w:rsidRPr="002E7BD8">
        <w:t xml:space="preserve">The </w:t>
      </w:r>
      <w:r w:rsidR="001C1947">
        <w:t>Cardiovascular</w:t>
      </w:r>
      <w:r w:rsidRPr="002E7BD8">
        <w:t xml:space="preserve"> Meta</w:t>
      </w:r>
      <w:r w:rsidR="005E279A">
        <w:noBreakHyphen/>
      </w:r>
      <w:r w:rsidRPr="002E7BD8">
        <w:t>Analysis Set comprised all placebo</w:t>
      </w:r>
      <w:r w:rsidR="005E279A">
        <w:noBreakHyphen/>
      </w:r>
      <w:r w:rsidR="006A4028">
        <w:t xml:space="preserve">controlled </w:t>
      </w:r>
      <w:r w:rsidRPr="002E7BD8">
        <w:t>or active</w:t>
      </w:r>
      <w:r w:rsidR="005E279A">
        <w:noBreakHyphen/>
      </w:r>
      <w:r w:rsidRPr="002E7BD8">
        <w:t xml:space="preserve">controlled Phase </w:t>
      </w:r>
      <w:r w:rsidR="00CB238A">
        <w:t>II and Phase III</w:t>
      </w:r>
      <w:r w:rsidRPr="002E7BD8">
        <w:t xml:space="preserve"> studies with a treatment period </w:t>
      </w:r>
      <w:r w:rsidRPr="002E7BD8">
        <w:lastRenderedPageBreak/>
        <w:t xml:space="preserve">lasting </w:t>
      </w:r>
      <w:r w:rsidR="006A4028">
        <w:t xml:space="preserve">at least </w:t>
      </w:r>
      <w:r w:rsidRPr="002E7BD8">
        <w:t>26</w:t>
      </w:r>
      <w:r w:rsidR="006A4028">
        <w:t> </w:t>
      </w:r>
      <w:r w:rsidRPr="002E7BD8">
        <w:t>weeks. The CV meta</w:t>
      </w:r>
      <w:r w:rsidR="005E279A">
        <w:noBreakHyphen/>
      </w:r>
      <w:r w:rsidRPr="002E7BD8">
        <w:t>analysis included patients with a wide variety of T2DM disease stages, background antidiabetic medications, and renal impairment.</w:t>
      </w:r>
    </w:p>
    <w:p w14:paraId="47B308F2" w14:textId="3B9EB98D" w:rsidR="002E7BD8" w:rsidRPr="002E7BD8" w:rsidRDefault="002E7BD8" w:rsidP="002E7BD8">
      <w:r w:rsidRPr="002E7BD8">
        <w:t>The primary endpoint was a 4</w:t>
      </w:r>
      <w:r w:rsidR="006A4028">
        <w:t xml:space="preserve"> </w:t>
      </w:r>
      <w:r w:rsidRPr="002E7BD8">
        <w:t>point</w:t>
      </w:r>
      <w:r w:rsidR="001C1947">
        <w:t xml:space="preserve"> composite clinical endpoint </w:t>
      </w:r>
      <w:r w:rsidR="00D4434B">
        <w:t xml:space="preserve">of </w:t>
      </w:r>
      <w:r w:rsidR="00B403C3">
        <w:t>major adverse cardiovascular event</w:t>
      </w:r>
      <w:r w:rsidR="00D4434B">
        <w:t>s</w:t>
      </w:r>
      <w:r w:rsidR="001C1947">
        <w:t xml:space="preserve"> (MACE) of cardiovascular </w:t>
      </w:r>
      <w:r w:rsidRPr="002E7BD8">
        <w:t xml:space="preserve">death, myocardial infarction, stroke, </w:t>
      </w:r>
      <w:r w:rsidR="001C1947">
        <w:t xml:space="preserve">and </w:t>
      </w:r>
      <w:r w:rsidRPr="002E7BD8">
        <w:t>hospitalisation for unstable angina.</w:t>
      </w:r>
    </w:p>
    <w:p w14:paraId="3A6B0228" w14:textId="2D84DE2B" w:rsidR="002E7BD8" w:rsidRPr="002E7BD8" w:rsidRDefault="002E7BD8" w:rsidP="002E7BD8">
      <w:r w:rsidRPr="002E7BD8">
        <w:t>Baseline demographics and CV risk characteristics in the integrated analysis population were comparable between the pooled tirzepatide group and pooled comparator group.</w:t>
      </w:r>
    </w:p>
    <w:p w14:paraId="363E94FE" w14:textId="30A322E3" w:rsidR="002E7BD8" w:rsidRPr="002E7BD8" w:rsidRDefault="002E7BD8" w:rsidP="002E7BD8">
      <w:r w:rsidRPr="00D4434B">
        <w:t>The final analysis used 142 primary endpoint events (adjudicated 4</w:t>
      </w:r>
      <w:r w:rsidR="006A4028" w:rsidRPr="00D4434B">
        <w:t xml:space="preserve"> </w:t>
      </w:r>
      <w:r w:rsidRPr="00D4434B">
        <w:t xml:space="preserve">point MACE). The </w:t>
      </w:r>
      <w:r w:rsidR="00D4434B" w:rsidRPr="00D4434B">
        <w:t>hazard ratio</w:t>
      </w:r>
      <w:r w:rsidRPr="00D4434B">
        <w:t xml:space="preserve"> [95% CI] for primary endpoint was 0.80 [0.57, 1.11]. SURPASS</w:t>
      </w:r>
      <w:r w:rsidR="005E279A">
        <w:noBreakHyphen/>
      </w:r>
      <w:r w:rsidRPr="00D4434B">
        <w:t>4 (</w:t>
      </w:r>
      <w:r w:rsidR="006A4028" w:rsidRPr="00D4434B">
        <w:t xml:space="preserve">Study </w:t>
      </w:r>
      <w:r w:rsidRPr="00D4434B">
        <w:t>GPGM) provided the majority of events (109</w:t>
      </w:r>
      <w:r w:rsidR="006A4028" w:rsidRPr="00D4434B">
        <w:t xml:space="preserve">) </w:t>
      </w:r>
      <w:r w:rsidRPr="00D4434B">
        <w:t xml:space="preserve">with a study </w:t>
      </w:r>
      <w:r w:rsidR="00D4434B" w:rsidRPr="00D4434B">
        <w:t>hazard ratio</w:t>
      </w:r>
      <w:r w:rsidRPr="00D4434B">
        <w:t xml:space="preserve"> [95% CI] of 0.74 [0.51, 1.08].</w:t>
      </w:r>
    </w:p>
    <w:p w14:paraId="19E6B3A9" w14:textId="574C4690" w:rsidR="002E7BD8" w:rsidRPr="002E7BD8" w:rsidRDefault="002E7BD8" w:rsidP="002E7BD8">
      <w:r w:rsidRPr="002E7BD8">
        <w:t xml:space="preserve">In Phase </w:t>
      </w:r>
      <w:r w:rsidR="006A4028">
        <w:t>III</w:t>
      </w:r>
      <w:r w:rsidRPr="002E7BD8">
        <w:t xml:space="preserve"> trials, small differences in PR interval (</w:t>
      </w:r>
      <w:r w:rsidR="006A4028">
        <w:t>tirzepatide versus</w:t>
      </w:r>
      <w:r w:rsidRPr="002E7BD8">
        <w:t xml:space="preserve"> placebo) were observed (2.7 to 4.5</w:t>
      </w:r>
      <w:r w:rsidR="006A4028">
        <w:t> </w:t>
      </w:r>
      <w:r w:rsidRPr="002E7BD8">
        <w:t xml:space="preserve">ms) but </w:t>
      </w:r>
      <w:r w:rsidR="006A4028">
        <w:t xml:space="preserve">were </w:t>
      </w:r>
      <w:r w:rsidRPr="002E7BD8">
        <w:t>not considered clinically meaningful.</w:t>
      </w:r>
    </w:p>
    <w:p w14:paraId="428716A3" w14:textId="6A072AC3" w:rsidR="002E7BD8" w:rsidRPr="002E7BD8" w:rsidRDefault="002E7BD8" w:rsidP="002E7BD8">
      <w:r w:rsidRPr="00781210">
        <w:t>An evaluator</w:t>
      </w:r>
      <w:r w:rsidR="005E279A">
        <w:noBreakHyphen/>
      </w:r>
      <w:r w:rsidRPr="00781210">
        <w:t xml:space="preserve">requested analysis of MACE in </w:t>
      </w:r>
      <w:r w:rsidR="00DC2C5A" w:rsidRPr="00781210">
        <w:t xml:space="preserve">the </w:t>
      </w:r>
      <w:r w:rsidRPr="00781210">
        <w:t>placebo</w:t>
      </w:r>
      <w:r w:rsidR="005E279A">
        <w:noBreakHyphen/>
      </w:r>
      <w:r w:rsidRPr="00781210">
        <w:t xml:space="preserve">controlled </w:t>
      </w:r>
      <w:r w:rsidR="00B558B0" w:rsidRPr="00781210">
        <w:t>S</w:t>
      </w:r>
      <w:r w:rsidRPr="00781210">
        <w:t>tudies GPGK and GPGI revealed 4 MACE events</w:t>
      </w:r>
      <w:r w:rsidR="00781210" w:rsidRPr="00781210">
        <w:t xml:space="preserve">, </w:t>
      </w:r>
      <w:r w:rsidRPr="00781210">
        <w:t>insufficient for meaningful statistical analyses.</w:t>
      </w:r>
    </w:p>
    <w:p w14:paraId="537C468D" w14:textId="1A8C088E" w:rsidR="002E7BD8" w:rsidRPr="002E7BD8" w:rsidRDefault="002E7BD8" w:rsidP="002E7BD8">
      <w:r w:rsidRPr="0022010B">
        <w:t xml:space="preserve">Additional data on </w:t>
      </w:r>
      <w:r w:rsidR="00781210" w:rsidRPr="0022010B">
        <w:t>cardiovascular</w:t>
      </w:r>
      <w:r w:rsidRPr="0022010B">
        <w:t xml:space="preserve"> safety will be provided from the currently ongoing </w:t>
      </w:r>
      <w:r w:rsidR="005C5D5E" w:rsidRPr="0022010B">
        <w:t>SURPASS</w:t>
      </w:r>
      <w:r w:rsidR="00AC500E">
        <w:t xml:space="preserve"> cardiovascular outcome trial</w:t>
      </w:r>
      <w:r w:rsidRPr="0022010B">
        <w:t xml:space="preserve"> (Study I8F</w:t>
      </w:r>
      <w:r w:rsidR="005E279A">
        <w:noBreakHyphen/>
      </w:r>
      <w:r w:rsidRPr="0022010B">
        <w:t>MC</w:t>
      </w:r>
      <w:r w:rsidR="005E279A">
        <w:noBreakHyphen/>
      </w:r>
      <w:r w:rsidRPr="0022010B">
        <w:t>GPGN) using dulaglutide as an active comparator.</w:t>
      </w:r>
    </w:p>
    <w:p w14:paraId="61AB792B" w14:textId="287DC501" w:rsidR="002E7BD8" w:rsidRPr="002E7BD8" w:rsidRDefault="002E7BD8" w:rsidP="002E7BD8">
      <w:r w:rsidRPr="00DF6DE5">
        <w:rPr>
          <w:rStyle w:val="Heading7Char"/>
        </w:rPr>
        <w:t>Gastrointestinal</w:t>
      </w:r>
      <w:bookmarkEnd w:id="77"/>
      <w:bookmarkEnd w:id="78"/>
      <w:bookmarkEnd w:id="79"/>
      <w:r w:rsidRPr="00DF6DE5">
        <w:rPr>
          <w:rStyle w:val="Heading7Char"/>
        </w:rPr>
        <w:t>:</w:t>
      </w:r>
      <w:r w:rsidRPr="0022010B">
        <w:t xml:space="preserve"> generally common </w:t>
      </w:r>
      <w:r w:rsidR="0022010B" w:rsidRPr="0022010B">
        <w:t>with</w:t>
      </w:r>
      <w:r w:rsidRPr="0022010B">
        <w:t xml:space="preserve"> GLP</w:t>
      </w:r>
      <w:r w:rsidR="005E279A">
        <w:noBreakHyphen/>
      </w:r>
      <w:r w:rsidRPr="0022010B">
        <w:t>1</w:t>
      </w:r>
      <w:r w:rsidR="0022010B" w:rsidRPr="0022010B">
        <w:t xml:space="preserve"> receptor agonists</w:t>
      </w:r>
      <w:r w:rsidRPr="0022010B">
        <w:t>, gastrointestinal adverse</w:t>
      </w:r>
      <w:r w:rsidRPr="002E7BD8">
        <w:t xml:space="preserve"> events were the most common TEAEs reported with tirzepatide. The prevalence of nausea, vomiting, or diarrhoea was 5% to 10% throughout (mostly mild or moderate) resulting in dose</w:t>
      </w:r>
      <w:r w:rsidR="005E279A">
        <w:noBreakHyphen/>
      </w:r>
      <w:r w:rsidRPr="002E7BD8">
        <w:t>dependent permanent treatment discontinuation rates from 3% to 7%. The incidence was highest during the dose</w:t>
      </w:r>
      <w:r w:rsidR="005E279A">
        <w:noBreakHyphen/>
      </w:r>
      <w:r w:rsidRPr="002E7BD8">
        <w:t>escalation period of tirzepatide and saturated after reaching the maintenance dose at Week</w:t>
      </w:r>
      <w:r w:rsidR="00B558B0">
        <w:t> </w:t>
      </w:r>
      <w:r w:rsidRPr="002E7BD8">
        <w:t>24 (</w:t>
      </w:r>
      <w:r w:rsidR="00B558B0">
        <w:fldChar w:fldCharType="begin"/>
      </w:r>
      <w:r w:rsidR="00B558B0">
        <w:instrText xml:space="preserve"> REF _Ref144713320 \h </w:instrText>
      </w:r>
      <w:r w:rsidR="00B558B0">
        <w:fldChar w:fldCharType="separate"/>
      </w:r>
      <w:r w:rsidR="008465DD">
        <w:t xml:space="preserve">Figure </w:t>
      </w:r>
      <w:r w:rsidR="008465DD">
        <w:rPr>
          <w:noProof/>
        </w:rPr>
        <w:t>12</w:t>
      </w:r>
      <w:r w:rsidR="00B558B0">
        <w:fldChar w:fldCharType="end"/>
      </w:r>
      <w:r w:rsidRPr="002E7BD8">
        <w:t>).</w:t>
      </w:r>
    </w:p>
    <w:p w14:paraId="0A5460AF" w14:textId="795253D9" w:rsidR="002E7BD8" w:rsidRDefault="002E7BD8" w:rsidP="002E7BD8">
      <w:r w:rsidRPr="002E7BD8">
        <w:t xml:space="preserve">In Phase </w:t>
      </w:r>
      <w:r w:rsidR="00B558B0">
        <w:t>III S</w:t>
      </w:r>
      <w:r w:rsidRPr="002E7BD8">
        <w:t>tudy GPGL (SURPASS</w:t>
      </w:r>
      <w:r w:rsidR="005E279A">
        <w:noBreakHyphen/>
      </w:r>
      <w:r w:rsidRPr="002E7BD8">
        <w:t xml:space="preserve">2), </w:t>
      </w:r>
      <w:r w:rsidR="00B558B0">
        <w:t>gastrointestinal</w:t>
      </w:r>
      <w:r w:rsidRPr="002E7BD8">
        <w:t xml:space="preserve"> AEs were similar between groups, but the rate of permanent study drug discontinuation due to </w:t>
      </w:r>
      <w:r w:rsidR="00B558B0">
        <w:t>gastrointestinal</w:t>
      </w:r>
      <w:r w:rsidRPr="002E7BD8">
        <w:t xml:space="preserve"> AEs was slightly higher with tirzepatide </w:t>
      </w:r>
      <w:r w:rsidR="009F6F50">
        <w:t>10 mg</w:t>
      </w:r>
      <w:r w:rsidRPr="002E7BD8">
        <w:t xml:space="preserve"> and 1</w:t>
      </w:r>
      <w:r w:rsidR="009F6F50">
        <w:t>5 mg</w:t>
      </w:r>
      <w:r w:rsidRPr="002E7BD8">
        <w:t xml:space="preserve"> (each 4.3%) than with semaglutide 1</w:t>
      </w:r>
      <w:r w:rsidR="00B558B0">
        <w:t> </w:t>
      </w:r>
      <w:r w:rsidRPr="002E7BD8">
        <w:t>mg (3.2%). In SURPASS J</w:t>
      </w:r>
      <w:r w:rsidR="005E279A">
        <w:noBreakHyphen/>
      </w:r>
      <w:r w:rsidRPr="002E7BD8">
        <w:t>mono (</w:t>
      </w:r>
      <w:r w:rsidR="00B558B0">
        <w:t xml:space="preserve">Study </w:t>
      </w:r>
      <w:r w:rsidRPr="002E7BD8">
        <w:t>GPGO) in a Japanese population this was more pronounced: 6.9% for tirzepatide 1</w:t>
      </w:r>
      <w:r w:rsidR="009F6F50">
        <w:t>5 mg</w:t>
      </w:r>
      <w:r w:rsidRPr="002E7BD8">
        <w:t xml:space="preserve"> v</w:t>
      </w:r>
      <w:r w:rsidR="00B558B0">
        <w:t>ersus</w:t>
      </w:r>
      <w:r w:rsidRPr="002E7BD8">
        <w:t xml:space="preserve"> 0.6% </w:t>
      </w:r>
      <w:r w:rsidR="00B558B0">
        <w:t xml:space="preserve">for </w:t>
      </w:r>
      <w:r w:rsidRPr="002E7BD8">
        <w:t>dulaglutide 0.7</w:t>
      </w:r>
      <w:r w:rsidR="009F6F50">
        <w:t>5 mg</w:t>
      </w:r>
      <w:r w:rsidRPr="002E7BD8">
        <w:t>.</w:t>
      </w:r>
    </w:p>
    <w:p w14:paraId="68145631" w14:textId="77777777" w:rsidR="00961B2D" w:rsidRDefault="00B558B0" w:rsidP="0022010B">
      <w:pPr>
        <w:pStyle w:val="FigureTitle"/>
      </w:pPr>
      <w:bookmarkStart w:id="83" w:name="_Ref144713320"/>
      <w:bookmarkStart w:id="84" w:name="_Ref144713311"/>
      <w:r>
        <w:t xml:space="preserve">Figure </w:t>
      </w:r>
      <w:r w:rsidR="002B0E47">
        <w:fldChar w:fldCharType="begin"/>
      </w:r>
      <w:r w:rsidR="002B0E47">
        <w:instrText xml:space="preserve"> SEQ Figure \* ARABIC </w:instrText>
      </w:r>
      <w:r w:rsidR="002B0E47">
        <w:fldChar w:fldCharType="separate"/>
      </w:r>
      <w:r w:rsidR="008465DD">
        <w:rPr>
          <w:noProof/>
        </w:rPr>
        <w:t>12</w:t>
      </w:r>
      <w:r w:rsidR="002B0E47">
        <w:rPr>
          <w:noProof/>
        </w:rPr>
        <w:fldChar w:fldCharType="end"/>
      </w:r>
      <w:bookmarkEnd w:id="83"/>
      <w:r>
        <w:t>: Phase II</w:t>
      </w:r>
      <w:r w:rsidR="0022010B">
        <w:t>I dose effect analysis set</w:t>
      </w:r>
      <w:r w:rsidR="000637CD">
        <w:t xml:space="preserve"> showing t</w:t>
      </w:r>
      <w:r>
        <w:t>ime to onset of nausea, vomiting and diarrhoea</w:t>
      </w:r>
      <w:bookmarkEnd w:id="84"/>
    </w:p>
    <w:p w14:paraId="620DC8ED" w14:textId="137419F4" w:rsidR="002E7BD8" w:rsidRDefault="002E7BD8" w:rsidP="00961B2D">
      <w:r w:rsidRPr="002E7BD8">
        <w:rPr>
          <w:noProof/>
        </w:rPr>
        <w:drawing>
          <wp:inline distT="0" distB="0" distL="0" distR="0" wp14:anchorId="2F1395C5" wp14:editId="4A8338E6">
            <wp:extent cx="4738978" cy="2526273"/>
            <wp:effectExtent l="0" t="0" r="5080" b="7620"/>
            <wp:docPr id="846" name="Picture 846" descr="Figure is a graph. X axis is time since first dose, ranging from 0 to 52 weeks. Y axis if cumulative probability, ranging from 0 to 0.35. The graph has 3 curves for the 3 strengths of tirzepa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Grafik 846" descr="Figure is a graph. X axis is time since first dose, ranging from 0 to 52 weeks. Y axis if cumulative probability, ranging from 0 to 0.35. The graph has 3 curves for the 3 strengths of tirzepatide."/>
                    <pic:cNvPicPr/>
                  </pic:nvPicPr>
                  <pic:blipFill rotWithShape="1">
                    <a:blip r:embed="rId50"/>
                    <a:srcRect b="8341"/>
                    <a:stretch/>
                  </pic:blipFill>
                  <pic:spPr bwMode="auto">
                    <a:xfrm>
                      <a:off x="0" y="0"/>
                      <a:ext cx="4837082" cy="2578570"/>
                    </a:xfrm>
                    <a:prstGeom prst="rect">
                      <a:avLst/>
                    </a:prstGeom>
                    <a:ln>
                      <a:noFill/>
                    </a:ln>
                    <a:extLst>
                      <a:ext uri="{53640926-AAD7-44D8-BBD7-CCE9431645EC}">
                        <a14:shadowObscured xmlns:a14="http://schemas.microsoft.com/office/drawing/2010/main"/>
                      </a:ext>
                    </a:extLst>
                  </pic:spPr>
                </pic:pic>
              </a:graphicData>
            </a:graphic>
          </wp:inline>
        </w:drawing>
      </w:r>
      <w:r w:rsidR="002B0E47">
        <w:fldChar w:fldCharType="begin"/>
      </w:r>
      <w:r w:rsidR="002B0E47">
        <w:instrText xml:space="preserve"> DOCVARIABLE vault_nd_65ad39d9-27da-4188-ac1f-4df2035320f0 \* MERGEFORMAT </w:instrText>
      </w:r>
      <w:r w:rsidR="002B0E47">
        <w:fldChar w:fldCharType="separate"/>
      </w:r>
      <w:r w:rsidR="008465DD">
        <w:t xml:space="preserve"> </w:t>
      </w:r>
      <w:r w:rsidR="002B0E47">
        <w:fldChar w:fldCharType="end"/>
      </w:r>
    </w:p>
    <w:p w14:paraId="47F88B4D" w14:textId="13392EE1" w:rsidR="00B558B0" w:rsidRPr="002E7BD8" w:rsidRDefault="00B558B0" w:rsidP="00B558B0">
      <w:pPr>
        <w:pStyle w:val="FigureDescription"/>
      </w:pPr>
      <w:r>
        <w:t>Abbreviation: TZP = tirzepatide</w:t>
      </w:r>
    </w:p>
    <w:p w14:paraId="0F9F6519" w14:textId="32EC1F42" w:rsidR="002E7BD8" w:rsidRPr="002E7BD8" w:rsidRDefault="002E7BD8" w:rsidP="00961B2D">
      <w:pPr>
        <w:pageBreakBefore/>
      </w:pPr>
      <w:bookmarkStart w:id="85" w:name="_Toc100700062"/>
      <w:bookmarkStart w:id="86" w:name="_Toc102574913"/>
      <w:bookmarkStart w:id="87" w:name="_Toc110427485"/>
      <w:r w:rsidRPr="00DF6DE5">
        <w:rPr>
          <w:rStyle w:val="Heading7Char"/>
        </w:rPr>
        <w:lastRenderedPageBreak/>
        <w:t>Dehydration</w:t>
      </w:r>
      <w:bookmarkEnd w:id="85"/>
      <w:bookmarkEnd w:id="86"/>
      <w:bookmarkEnd w:id="87"/>
      <w:r w:rsidRPr="00DF6DE5">
        <w:rPr>
          <w:rStyle w:val="Heading7Char"/>
        </w:rPr>
        <w:t xml:space="preserve">: </w:t>
      </w:r>
      <w:r w:rsidRPr="002E7BD8">
        <w:t xml:space="preserve">In </w:t>
      </w:r>
      <w:r w:rsidR="00B558B0">
        <w:t xml:space="preserve">the </w:t>
      </w:r>
      <w:r w:rsidR="00431E03" w:rsidRPr="00431E03">
        <w:t>Phase III placebo</w:t>
      </w:r>
      <w:r w:rsidR="005E279A">
        <w:noBreakHyphen/>
      </w:r>
      <w:r w:rsidR="00431E03" w:rsidRPr="00431E03">
        <w:t>controlled analysis set</w:t>
      </w:r>
      <w:r w:rsidRPr="002E7BD8">
        <w:t>, no treatment</w:t>
      </w:r>
      <w:r w:rsidR="005E279A">
        <w:noBreakHyphen/>
      </w:r>
      <w:r w:rsidRPr="002E7BD8">
        <w:t xml:space="preserve">emergent </w:t>
      </w:r>
      <w:r w:rsidRPr="0013658A">
        <w:t xml:space="preserve">dehydration events occurred, and the incidence was low in </w:t>
      </w:r>
      <w:r w:rsidR="00C26870" w:rsidRPr="0013658A">
        <w:t>the Phase III dose effect analysis set</w:t>
      </w:r>
      <w:r w:rsidR="0022010B" w:rsidRPr="0013658A">
        <w:t xml:space="preserve"> with </w:t>
      </w:r>
      <w:r w:rsidRPr="0013658A">
        <w:t xml:space="preserve">16 </w:t>
      </w:r>
      <w:r w:rsidR="0022010B" w:rsidRPr="0013658A">
        <w:t>event (</w:t>
      </w:r>
      <w:r w:rsidRPr="0013658A">
        <w:t>0.31%</w:t>
      </w:r>
      <w:r w:rsidR="0022010B" w:rsidRPr="0013658A">
        <w:t>)</w:t>
      </w:r>
      <w:r w:rsidRPr="0013658A">
        <w:t xml:space="preserve"> overall</w:t>
      </w:r>
      <w:r w:rsidR="0022010B" w:rsidRPr="0013658A">
        <w:t xml:space="preserve">, with </w:t>
      </w:r>
      <w:r w:rsidRPr="0013658A">
        <w:t xml:space="preserve">5 </w:t>
      </w:r>
      <w:r w:rsidR="0022010B" w:rsidRPr="0013658A">
        <w:t>(</w:t>
      </w:r>
      <w:r w:rsidRPr="0013658A">
        <w:t>0.29%</w:t>
      </w:r>
      <w:r w:rsidR="0022010B" w:rsidRPr="0013658A">
        <w:t>)</w:t>
      </w:r>
      <w:r w:rsidRPr="0013658A">
        <w:t xml:space="preserve"> events </w:t>
      </w:r>
      <w:r w:rsidR="0022010B" w:rsidRPr="0013658A">
        <w:t xml:space="preserve">in patients taking tirzepatide </w:t>
      </w:r>
      <w:r w:rsidR="009F6F50" w:rsidRPr="0013658A">
        <w:t>5 mg</w:t>
      </w:r>
      <w:r w:rsidRPr="0013658A">
        <w:t>, 3</w:t>
      </w:r>
      <w:r w:rsidR="0022010B" w:rsidRPr="0013658A">
        <w:t> events (</w:t>
      </w:r>
      <w:r w:rsidRPr="0013658A">
        <w:t>0.18%</w:t>
      </w:r>
      <w:r w:rsidR="0022010B" w:rsidRPr="0013658A">
        <w:t xml:space="preserve">) in patients taking tirzepatide </w:t>
      </w:r>
      <w:r w:rsidR="009F6F50" w:rsidRPr="0013658A">
        <w:t>10 mg</w:t>
      </w:r>
      <w:r w:rsidRPr="0013658A">
        <w:t xml:space="preserve">, and 8 </w:t>
      </w:r>
      <w:r w:rsidR="0022010B" w:rsidRPr="0013658A">
        <w:t>events (</w:t>
      </w:r>
      <w:r w:rsidRPr="0013658A">
        <w:t>0.47%</w:t>
      </w:r>
      <w:r w:rsidR="0022010B" w:rsidRPr="0013658A">
        <w:t>) in patients taking tirzepatide</w:t>
      </w:r>
      <w:r w:rsidRPr="0013658A">
        <w:t xml:space="preserve"> </w:t>
      </w:r>
      <w:r w:rsidR="0013658A" w:rsidRPr="0013658A">
        <w:t>1</w:t>
      </w:r>
      <w:r w:rsidR="009F6F50" w:rsidRPr="0013658A">
        <w:t>5 mg</w:t>
      </w:r>
      <w:r w:rsidRPr="0013658A">
        <w:t xml:space="preserve">. </w:t>
      </w:r>
      <w:r w:rsidR="00B558B0" w:rsidRPr="0013658A">
        <w:t>Three</w:t>
      </w:r>
      <w:r w:rsidRPr="0013658A">
        <w:t xml:space="preserve"> of the 16 events were serious or severe. Most cases of dehydration had a multifactorial aetiology (12 </w:t>
      </w:r>
      <w:r w:rsidR="00B558B0" w:rsidRPr="0013658A">
        <w:t xml:space="preserve">in patients </w:t>
      </w:r>
      <w:r w:rsidRPr="0013658A">
        <w:t xml:space="preserve">with chronic kidney disease at baseline and 8 </w:t>
      </w:r>
      <w:r w:rsidR="00B558B0" w:rsidRPr="0013658A">
        <w:t>in</w:t>
      </w:r>
      <w:r w:rsidR="00B558B0">
        <w:t xml:space="preserve"> patients </w:t>
      </w:r>
      <w:r w:rsidRPr="002E7BD8">
        <w:t>with acute infection in temporal coincidence).</w:t>
      </w:r>
    </w:p>
    <w:p w14:paraId="70F629B3" w14:textId="2954DEAB" w:rsidR="002E7BD8" w:rsidRPr="002E7BD8" w:rsidRDefault="002E7BD8" w:rsidP="002E7BD8">
      <w:bookmarkStart w:id="88" w:name="_Toc100700063"/>
      <w:bookmarkStart w:id="89" w:name="_Toc102574914"/>
      <w:bookmarkStart w:id="90" w:name="_Toc110427486"/>
      <w:r w:rsidRPr="00DF6DE5">
        <w:rPr>
          <w:rStyle w:val="Heading7Char"/>
        </w:rPr>
        <w:t>Renal safety</w:t>
      </w:r>
      <w:bookmarkEnd w:id="88"/>
      <w:bookmarkEnd w:id="89"/>
      <w:bookmarkEnd w:id="90"/>
      <w:r w:rsidRPr="00DF6DE5">
        <w:rPr>
          <w:rStyle w:val="Heading7Char"/>
        </w:rPr>
        <w:t>:</w:t>
      </w:r>
      <w:r w:rsidRPr="002E7BD8">
        <w:t xml:space="preserve"> 65 (1.27%) tirzepatide</w:t>
      </w:r>
      <w:r w:rsidR="005E279A">
        <w:noBreakHyphen/>
      </w:r>
      <w:r w:rsidRPr="002E7BD8">
        <w:t>treated patients reported a treatment</w:t>
      </w:r>
      <w:r w:rsidR="005E279A">
        <w:noBreakHyphen/>
      </w:r>
      <w:r w:rsidRPr="002E7BD8">
        <w:t>emergent renal event without dose</w:t>
      </w:r>
      <w:r w:rsidR="005E279A">
        <w:noBreakHyphen/>
      </w:r>
      <w:r w:rsidRPr="002E7BD8">
        <w:t>dependency (</w:t>
      </w:r>
      <w:r w:rsidR="00C26870" w:rsidRPr="00C26870">
        <w:t>Phase III dose effect analysis se</w:t>
      </w:r>
      <w:r w:rsidR="00C26870">
        <w:t>t</w:t>
      </w:r>
      <w:r w:rsidRPr="002E7BD8">
        <w:t>). At Week</w:t>
      </w:r>
      <w:r w:rsidR="005A0752">
        <w:t> </w:t>
      </w:r>
      <w:r w:rsidRPr="002E7BD8">
        <w:t xml:space="preserve">40, the drop in </w:t>
      </w:r>
      <w:r w:rsidRPr="0013658A">
        <w:t xml:space="preserve">eGFR from baseline was slightly larger in the tirzepatide groups. </w:t>
      </w:r>
      <w:r w:rsidR="005A0752" w:rsidRPr="0013658A">
        <w:t xml:space="preserve">However, </w:t>
      </w:r>
      <w:r w:rsidRPr="0013658A">
        <w:t>the proportions of</w:t>
      </w:r>
      <w:r w:rsidRPr="002E7BD8">
        <w:t xml:space="preserve"> tirzepatide</w:t>
      </w:r>
      <w:r w:rsidR="005E279A">
        <w:noBreakHyphen/>
      </w:r>
      <w:r w:rsidRPr="002E7BD8">
        <w:t xml:space="preserve">treated patients maintaining their eGFR category or shifting to a lower eGFR category were comparable to those in the </w:t>
      </w:r>
      <w:r w:rsidR="00431E03" w:rsidRPr="00431E03">
        <w:t>Phase III placebo</w:t>
      </w:r>
      <w:r w:rsidR="005E279A">
        <w:noBreakHyphen/>
      </w:r>
      <w:r w:rsidR="00431E03" w:rsidRPr="00431E03">
        <w:t>controlled analysis set</w:t>
      </w:r>
      <w:r w:rsidR="00431E03" w:rsidRPr="002E7BD8">
        <w:t xml:space="preserve"> </w:t>
      </w:r>
      <w:r w:rsidRPr="002E7BD8">
        <w:t xml:space="preserve">as well as across the </w:t>
      </w:r>
      <w:r w:rsidR="00320553">
        <w:t>3</w:t>
      </w:r>
      <w:r w:rsidRPr="002E7BD8">
        <w:t xml:space="preserve"> tirzepatide dose groups (</w:t>
      </w:r>
      <w:r w:rsidR="00C26870" w:rsidRPr="00C26870">
        <w:t>Phase III dose effect analysis se</w:t>
      </w:r>
      <w:r w:rsidR="00C26870">
        <w:t>t</w:t>
      </w:r>
      <w:r w:rsidRPr="002E7BD8">
        <w:t>). The urine albumin</w:t>
      </w:r>
      <w:r w:rsidR="005E279A">
        <w:noBreakHyphen/>
      </w:r>
      <w:r w:rsidRPr="002E7BD8">
        <w:t xml:space="preserve">creatinine ratio decreased in all tirzepatide groups, while it increased for placebo </w:t>
      </w:r>
      <w:r w:rsidR="00431E03">
        <w:t xml:space="preserve">in the </w:t>
      </w:r>
      <w:r w:rsidR="00431E03" w:rsidRPr="00431E03">
        <w:t>Phase III placebo</w:t>
      </w:r>
      <w:r w:rsidR="005E279A">
        <w:noBreakHyphen/>
      </w:r>
      <w:r w:rsidR="00431E03" w:rsidRPr="00431E03">
        <w:t>controlled analysis set</w:t>
      </w:r>
      <w:r w:rsidRPr="002E7BD8">
        <w:t>.</w:t>
      </w:r>
    </w:p>
    <w:p w14:paraId="2EAAAC05" w14:textId="52EF521A" w:rsidR="002E7BD8" w:rsidRPr="002E7BD8" w:rsidRDefault="002E7BD8" w:rsidP="002E7BD8">
      <w:bookmarkStart w:id="91" w:name="_Toc100700064"/>
      <w:bookmarkStart w:id="92" w:name="_Toc102574915"/>
      <w:bookmarkStart w:id="93" w:name="_Toc110427487"/>
      <w:r w:rsidRPr="00DF6DE5">
        <w:rPr>
          <w:rStyle w:val="Heading7Char"/>
        </w:rPr>
        <w:t>Metabolic acidosis</w:t>
      </w:r>
      <w:bookmarkEnd w:id="91"/>
      <w:bookmarkEnd w:id="92"/>
      <w:bookmarkEnd w:id="93"/>
      <w:r w:rsidRPr="00DF6DE5">
        <w:rPr>
          <w:rStyle w:val="Heading7Char"/>
        </w:rPr>
        <w:t xml:space="preserve">: </w:t>
      </w:r>
      <w:r w:rsidRPr="002E7BD8">
        <w:t xml:space="preserve">Overall, 3 metabolic acidosis TEAEs occurred across Phase </w:t>
      </w:r>
      <w:r w:rsidR="005A0752">
        <w:t>II</w:t>
      </w:r>
      <w:r w:rsidRPr="002E7BD8">
        <w:t xml:space="preserve"> and </w:t>
      </w:r>
      <w:r w:rsidR="005A0752">
        <w:t>III</w:t>
      </w:r>
      <w:r w:rsidRPr="002E7BD8">
        <w:t xml:space="preserve"> studies, unlikely related to study drug</w:t>
      </w:r>
      <w:bookmarkStart w:id="94" w:name="_Toc100700065"/>
      <w:bookmarkStart w:id="95" w:name="_Toc102574916"/>
      <w:bookmarkStart w:id="96" w:name="_Toc110427488"/>
      <w:r w:rsidRPr="002E7BD8">
        <w:t>.</w:t>
      </w:r>
    </w:p>
    <w:p w14:paraId="6495F62F" w14:textId="22DE33B2" w:rsidR="002E7BD8" w:rsidRPr="002E7BD8" w:rsidRDefault="002E7BD8" w:rsidP="002E7BD8">
      <w:r w:rsidRPr="00DF6DE5">
        <w:rPr>
          <w:rStyle w:val="Heading7Char"/>
        </w:rPr>
        <w:t>Exocrine pancreas safety</w:t>
      </w:r>
      <w:bookmarkEnd w:id="94"/>
      <w:bookmarkEnd w:id="95"/>
      <w:bookmarkEnd w:id="96"/>
      <w:r w:rsidRPr="00DF6DE5">
        <w:rPr>
          <w:rStyle w:val="Heading7Char"/>
        </w:rPr>
        <w:t>:</w:t>
      </w:r>
      <w:r w:rsidRPr="002E7BD8">
        <w:t xml:space="preserve"> Overall, 64 events of suspected pancreatitis occurred in 61 (1.13%) tirzepatide</w:t>
      </w:r>
      <w:r w:rsidR="005E279A">
        <w:noBreakHyphen/>
      </w:r>
      <w:r w:rsidRPr="002E7BD8">
        <w:t xml:space="preserve">treated patients. </w:t>
      </w:r>
      <w:r w:rsidR="005A0752">
        <w:t>Fourteen</w:t>
      </w:r>
      <w:r w:rsidRPr="002E7BD8">
        <w:t xml:space="preserve"> events of acute pancreatitis (mild to moderate severity) in 13 (0.24%) tirzepatide</w:t>
      </w:r>
      <w:r w:rsidR="005E279A">
        <w:noBreakHyphen/>
      </w:r>
      <w:r w:rsidRPr="002E7BD8">
        <w:t>treated patients were adjudication</w:t>
      </w:r>
      <w:r w:rsidR="005E279A">
        <w:noBreakHyphen/>
      </w:r>
      <w:r w:rsidRPr="002E7BD8">
        <w:t>confirmed (no cases adjudicated as chronic pancreatitis or unknown) and comparable across the dose groups. However, pancreatic enzyme elevations were numerically largest in the tirzepatide 1</w:t>
      </w:r>
      <w:r w:rsidR="009F6F50">
        <w:t>5 mg</w:t>
      </w:r>
      <w:r w:rsidRPr="002E7BD8">
        <w:t xml:space="preserve"> group.</w:t>
      </w:r>
    </w:p>
    <w:p w14:paraId="68125605" w14:textId="78420C2B" w:rsidR="002E7BD8" w:rsidRPr="002E7BD8" w:rsidRDefault="002E7BD8" w:rsidP="002E7BD8">
      <w:r w:rsidRPr="002E7BD8">
        <w:t>Exposure</w:t>
      </w:r>
      <w:r w:rsidR="005E279A">
        <w:noBreakHyphen/>
      </w:r>
      <w:r w:rsidRPr="002E7BD8">
        <w:t>adjusted incidence rate (patients/100 patient</w:t>
      </w:r>
      <w:r w:rsidR="005E279A">
        <w:noBreakHyphen/>
      </w:r>
      <w:r w:rsidRPr="002E7BD8">
        <w:t>years) for treatment</w:t>
      </w:r>
      <w:r w:rsidR="005E279A">
        <w:noBreakHyphen/>
      </w:r>
      <w:r w:rsidRPr="002E7BD8">
        <w:t>emergent adjudication</w:t>
      </w:r>
      <w:r w:rsidR="005E279A">
        <w:noBreakHyphen/>
      </w:r>
      <w:r w:rsidRPr="002E7BD8">
        <w:t>confirmed pancreatitis was 0.23 patients per 100 patient</w:t>
      </w:r>
      <w:r w:rsidR="005E279A">
        <w:noBreakHyphen/>
      </w:r>
      <w:r w:rsidRPr="002E7BD8">
        <w:t xml:space="preserve">years for </w:t>
      </w:r>
      <w:r w:rsidR="00FE427D">
        <w:t>tirzepatide</w:t>
      </w:r>
      <w:r w:rsidRPr="002E7BD8">
        <w:t xml:space="preserve"> (all doses) and 0.14 patients per 100 patient</w:t>
      </w:r>
      <w:r w:rsidR="005E279A">
        <w:noBreakHyphen/>
      </w:r>
      <w:r w:rsidRPr="002E7BD8">
        <w:t>years for the pooled comparators.</w:t>
      </w:r>
    </w:p>
    <w:p w14:paraId="227ADBB4" w14:textId="71A88C3F" w:rsidR="002E7BD8" w:rsidRPr="002E7BD8" w:rsidRDefault="002E7BD8" w:rsidP="002E7BD8">
      <w:r w:rsidRPr="00DF6DE5">
        <w:rPr>
          <w:rStyle w:val="Heading7Char"/>
        </w:rPr>
        <w:t>Hypoglycaemia:</w:t>
      </w:r>
      <w:r w:rsidRPr="005825D6">
        <w:t xml:space="preserve"> E</w:t>
      </w:r>
      <w:r w:rsidR="005825D6" w:rsidRPr="005825D6">
        <w:t>uropean Association for the Study of Diabetes (E</w:t>
      </w:r>
      <w:r w:rsidRPr="005825D6">
        <w:t>ASD</w:t>
      </w:r>
      <w:r w:rsidR="005825D6" w:rsidRPr="005825D6">
        <w:t>)</w:t>
      </w:r>
      <w:r w:rsidRPr="005825D6">
        <w:t xml:space="preserve"> guidance typically</w:t>
      </w:r>
      <w:r w:rsidRPr="002E7BD8">
        <w:t xml:space="preserve"> distinguishes 3 hypoglycaemia levels: Level 1</w:t>
      </w:r>
      <w:r w:rsidR="000C3295">
        <w:t xml:space="preserve"> as</w:t>
      </w:r>
      <w:r w:rsidRPr="002E7BD8">
        <w:t xml:space="preserve"> </w:t>
      </w:r>
      <w:r w:rsidR="00FE427D">
        <w:t>blood glucose</w:t>
      </w:r>
      <w:r w:rsidRPr="002E7BD8">
        <w:t xml:space="preserve"> </w:t>
      </w:r>
      <w:r w:rsidR="00FE427D">
        <w:t xml:space="preserve">at or below </w:t>
      </w:r>
      <w:r w:rsidRPr="002E7BD8">
        <w:t>3.9</w:t>
      </w:r>
      <w:r w:rsidR="00FE427D">
        <w:t> </w:t>
      </w:r>
      <w:r w:rsidRPr="002E7BD8">
        <w:t>mmol/L; Level 2</w:t>
      </w:r>
      <w:r w:rsidR="000C3295">
        <w:t xml:space="preserve"> as</w:t>
      </w:r>
      <w:r w:rsidR="00FE427D">
        <w:t xml:space="preserve"> blood glucose below </w:t>
      </w:r>
      <w:r w:rsidRPr="002E7BD8">
        <w:t>3.0</w:t>
      </w:r>
      <w:r w:rsidR="00FE427D">
        <w:t> </w:t>
      </w:r>
      <w:r w:rsidRPr="002E7BD8">
        <w:t>mmol/L; and Level 3</w:t>
      </w:r>
      <w:r w:rsidR="00FE427D">
        <w:t xml:space="preserve"> (</w:t>
      </w:r>
      <w:r w:rsidRPr="002E7BD8">
        <w:t>severe hypoglycaemia)</w:t>
      </w:r>
      <w:r w:rsidR="000C3295">
        <w:t xml:space="preserve"> as</w:t>
      </w:r>
      <w:r w:rsidR="00FE427D">
        <w:t xml:space="preserve"> </w:t>
      </w:r>
      <w:r w:rsidRPr="002E7BD8">
        <w:t xml:space="preserve">any </w:t>
      </w:r>
      <w:r w:rsidR="00FE427D">
        <w:t>blood glucose</w:t>
      </w:r>
      <w:r w:rsidRPr="002E7BD8">
        <w:t xml:space="preserve"> value associated with severe cognitive impairment requiring external assistance for recovery.</w:t>
      </w:r>
    </w:p>
    <w:p w14:paraId="5E4B52B8" w14:textId="74010691" w:rsidR="002E7BD8" w:rsidRPr="002E7BD8" w:rsidRDefault="002E7BD8" w:rsidP="002E7BD8">
      <w:r w:rsidRPr="002E7BD8">
        <w:t xml:space="preserve">In all Phase </w:t>
      </w:r>
      <w:r w:rsidR="00CB238A">
        <w:t>II and Phase III</w:t>
      </w:r>
      <w:r w:rsidRPr="002E7BD8">
        <w:t xml:space="preserve"> trials, 12 episodes of severe hypoglycaemia (in 10 patients) occurred. </w:t>
      </w:r>
      <w:r w:rsidR="00FE427D">
        <w:t xml:space="preserve">Five episodes </w:t>
      </w:r>
      <w:r w:rsidRPr="002E7BD8">
        <w:t xml:space="preserve">were on background therapies with insulin glargine or </w:t>
      </w:r>
      <w:r w:rsidR="005825D6">
        <w:t>sulfonylurea</w:t>
      </w:r>
      <w:r w:rsidRPr="002E7BD8">
        <w:t>. The risk of severe hypoglycaemia was comparable to that of semaglutide (</w:t>
      </w:r>
      <w:r w:rsidR="00FE427D">
        <w:t xml:space="preserve">Study </w:t>
      </w:r>
      <w:r w:rsidRPr="002E7BD8">
        <w:t>GPGL (SURPASS</w:t>
      </w:r>
      <w:r w:rsidR="005E279A">
        <w:noBreakHyphen/>
      </w:r>
      <w:r w:rsidRPr="002E7BD8">
        <w:t xml:space="preserve">2)). </w:t>
      </w:r>
      <w:r w:rsidRPr="00C92A31">
        <w:t>E</w:t>
      </w:r>
      <w:r w:rsidR="00C92A31" w:rsidRPr="00C92A31">
        <w:t>ASD</w:t>
      </w:r>
      <w:r w:rsidRPr="00C92A31">
        <w:t xml:space="preserve"> Level 2 or 3 events were numerically more frequent in tirzepatide</w:t>
      </w:r>
      <w:r w:rsidR="005E279A">
        <w:noBreakHyphen/>
      </w:r>
      <w:r w:rsidRPr="00C92A31">
        <w:t xml:space="preserve">treated </w:t>
      </w:r>
      <w:r w:rsidR="005825D6" w:rsidRPr="00C92A31">
        <w:t>patients</w:t>
      </w:r>
      <w:r w:rsidR="005825D6">
        <w:t xml:space="preserve"> </w:t>
      </w:r>
      <w:r w:rsidRPr="002E7BD8">
        <w:t xml:space="preserve">(especially in </w:t>
      </w:r>
      <w:r w:rsidR="005825D6">
        <w:t xml:space="preserve">patients taking </w:t>
      </w:r>
      <w:r w:rsidRPr="002E7BD8">
        <w:t>1</w:t>
      </w:r>
      <w:r w:rsidR="009F6F50">
        <w:t>5 mg</w:t>
      </w:r>
      <w:r w:rsidRPr="002E7BD8">
        <w:t xml:space="preserve"> </w:t>
      </w:r>
      <w:r w:rsidR="005825D6">
        <w:t>tirzepatide</w:t>
      </w:r>
      <w:r w:rsidRPr="002E7BD8">
        <w:t>) versus GLP</w:t>
      </w:r>
      <w:r w:rsidR="005E279A">
        <w:noBreakHyphen/>
      </w:r>
      <w:r w:rsidRPr="002E7BD8">
        <w:t>1</w:t>
      </w:r>
      <w:r w:rsidR="005825D6">
        <w:t xml:space="preserve"> </w:t>
      </w:r>
      <w:r w:rsidR="005825D6" w:rsidRPr="002E7BD8">
        <w:t>receptor agonist</w:t>
      </w:r>
      <w:r w:rsidR="005E279A">
        <w:noBreakHyphen/>
      </w:r>
      <w:r w:rsidRPr="002E7BD8">
        <w:t>treated patients (</w:t>
      </w:r>
      <w:r w:rsidR="00FE427D">
        <w:t xml:space="preserve">Study </w:t>
      </w:r>
      <w:r w:rsidRPr="002E7BD8">
        <w:t>GPGL (SURPASS</w:t>
      </w:r>
      <w:r w:rsidR="005E279A">
        <w:noBreakHyphen/>
      </w:r>
      <w:r w:rsidRPr="002E7BD8">
        <w:t xml:space="preserve">2) and </w:t>
      </w:r>
      <w:r w:rsidR="00FE427D">
        <w:t xml:space="preserve">Study </w:t>
      </w:r>
      <w:r w:rsidRPr="002E7BD8">
        <w:t>GPGO (SURPASS</w:t>
      </w:r>
      <w:r w:rsidR="005E279A">
        <w:noBreakHyphen/>
      </w:r>
      <w:r w:rsidRPr="002E7BD8">
        <w:t>J combo)).</w:t>
      </w:r>
    </w:p>
    <w:p w14:paraId="0AB13DE1" w14:textId="6665EEA5" w:rsidR="002E7BD8" w:rsidRPr="002E7BD8" w:rsidRDefault="002E7BD8" w:rsidP="002E7BD8">
      <w:r w:rsidRPr="002E7BD8">
        <w:t>EASD Level 2 or 3 events were further analysed with regard to their diurnal relationship (nocturnal events). E</w:t>
      </w:r>
      <w:r w:rsidR="00C92A31">
        <w:t>ASD</w:t>
      </w:r>
      <w:r w:rsidRPr="002E7BD8">
        <w:t xml:space="preserve"> Level 2 or 3 events were comparable between treatment groups and potentially numerically lower in tirzepatide</w:t>
      </w:r>
      <w:r w:rsidR="005E279A">
        <w:noBreakHyphen/>
      </w:r>
      <w:r w:rsidRPr="002E7BD8">
        <w:t>treated patients.</w:t>
      </w:r>
    </w:p>
    <w:p w14:paraId="4C9F9CD5" w14:textId="6F81AFC1" w:rsidR="002E7BD8" w:rsidRPr="002E7BD8" w:rsidRDefault="002E7BD8" w:rsidP="002E7BD8">
      <w:bookmarkStart w:id="97" w:name="_Toc100700069"/>
      <w:bookmarkStart w:id="98" w:name="_Toc102574920"/>
      <w:bookmarkStart w:id="99" w:name="_Toc110427492"/>
      <w:r w:rsidRPr="00DF6DE5">
        <w:rPr>
          <w:rStyle w:val="Heading7Char"/>
        </w:rPr>
        <w:t>Amputation and peripheral revascularisation</w:t>
      </w:r>
      <w:bookmarkEnd w:id="97"/>
      <w:bookmarkEnd w:id="98"/>
      <w:bookmarkEnd w:id="99"/>
      <w:r w:rsidRPr="00DF6DE5">
        <w:rPr>
          <w:rStyle w:val="Heading7Char"/>
        </w:rPr>
        <w:t xml:space="preserve">: </w:t>
      </w:r>
      <w:r w:rsidRPr="002E7BD8">
        <w:t xml:space="preserve">No TEAEs were identified based on the prespecified MedDRA search. Outside of the MedDRA search, 21 amputation cases (13 for </w:t>
      </w:r>
      <w:r w:rsidR="00D240D5">
        <w:t>tirzepatide</w:t>
      </w:r>
      <w:r w:rsidRPr="002E7BD8">
        <w:t>, 2 for insulin degludec, and 6 for insulin glargine), and 11 peripheral revascularisation cases (8</w:t>
      </w:r>
      <w:r w:rsidR="005825D6">
        <w:t> cases (</w:t>
      </w:r>
      <w:r w:rsidRPr="002E7BD8">
        <w:t>0.15%</w:t>
      </w:r>
      <w:r w:rsidR="005825D6">
        <w:t>)</w:t>
      </w:r>
      <w:r w:rsidRPr="002E7BD8">
        <w:t xml:space="preserve"> for </w:t>
      </w:r>
      <w:r w:rsidR="00D240D5">
        <w:t>tirzepatide</w:t>
      </w:r>
      <w:r w:rsidRPr="002E7BD8">
        <w:t>, 1</w:t>
      </w:r>
      <w:r w:rsidR="005825D6">
        <w:t> case (</w:t>
      </w:r>
      <w:r w:rsidRPr="002E7BD8">
        <w:t>0.21%</w:t>
      </w:r>
      <w:r w:rsidR="005825D6">
        <w:t>)</w:t>
      </w:r>
      <w:r w:rsidRPr="002E7BD8">
        <w:t xml:space="preserve"> for semaglutide, and 2</w:t>
      </w:r>
      <w:r w:rsidR="005825D6">
        <w:t> cases (</w:t>
      </w:r>
      <w:r w:rsidRPr="002E7BD8">
        <w:t>0.20%</w:t>
      </w:r>
      <w:r w:rsidR="005825D6">
        <w:t>)</w:t>
      </w:r>
      <w:r w:rsidRPr="002E7BD8">
        <w:t xml:space="preserve"> for insulin glargine) were identified. All except </w:t>
      </w:r>
      <w:r w:rsidR="00D240D5">
        <w:t>one</w:t>
      </w:r>
      <w:r w:rsidRPr="002E7BD8">
        <w:t xml:space="preserve"> patient had pre</w:t>
      </w:r>
      <w:r w:rsidR="005E279A">
        <w:noBreakHyphen/>
      </w:r>
      <w:r w:rsidRPr="002E7BD8">
        <w:t xml:space="preserve">existing peripheral vascular disease. The incidence rate of peripheral revascularisation was 0.14 and 0.4 events per 100 </w:t>
      </w:r>
      <w:r w:rsidRPr="002E7BD8">
        <w:lastRenderedPageBreak/>
        <w:t>patient</w:t>
      </w:r>
      <w:r w:rsidR="005E279A">
        <w:noBreakHyphen/>
      </w:r>
      <w:r w:rsidRPr="002E7BD8">
        <w:t>years, in tirzepatide</w:t>
      </w:r>
      <w:r w:rsidR="005E279A">
        <w:noBreakHyphen/>
      </w:r>
      <w:r w:rsidRPr="002E7BD8">
        <w:t>treated patients, and T2DM patients in general</w:t>
      </w:r>
      <w:r w:rsidR="00242C0F">
        <w:t xml:space="preserve">, </w:t>
      </w:r>
      <w:r w:rsidR="00242C0F" w:rsidRPr="00C0746D">
        <w:t xml:space="preserve">according to </w:t>
      </w:r>
      <w:r w:rsidRPr="00C0746D">
        <w:t>IBM MarketScan database.</w:t>
      </w:r>
      <w:r w:rsidR="00242C0F" w:rsidRPr="00C0746D">
        <w:rPr>
          <w:rStyle w:val="FootnoteReference"/>
        </w:rPr>
        <w:footnoteReference w:id="20"/>
      </w:r>
    </w:p>
    <w:p w14:paraId="225064C8" w14:textId="37EF10FA" w:rsidR="002E7BD8" w:rsidRPr="002E7BD8" w:rsidRDefault="002E7BD8" w:rsidP="002E7BD8">
      <w:bookmarkStart w:id="100" w:name="_Toc100700070"/>
      <w:bookmarkStart w:id="101" w:name="_Toc102574921"/>
      <w:bookmarkStart w:id="102" w:name="_Toc110427493"/>
      <w:r w:rsidRPr="00DF6DE5">
        <w:rPr>
          <w:rStyle w:val="Heading7Char"/>
        </w:rPr>
        <w:t>Hypersensitivity</w:t>
      </w:r>
      <w:bookmarkEnd w:id="100"/>
      <w:bookmarkEnd w:id="101"/>
      <w:bookmarkEnd w:id="102"/>
      <w:r w:rsidRPr="00DF6DE5">
        <w:rPr>
          <w:rStyle w:val="Heading7Char"/>
        </w:rPr>
        <w:t xml:space="preserve">: </w:t>
      </w:r>
      <w:r w:rsidRPr="002E7BD8">
        <w:t>No anaphylactic reactions were observed. The percentage of patients reporting potential immediate hypersensitivity reactions was similar in tirzepatide</w:t>
      </w:r>
      <w:r w:rsidR="005E279A">
        <w:noBreakHyphen/>
      </w:r>
      <w:r w:rsidR="00D240D5">
        <w:t>treated</w:t>
      </w:r>
      <w:r w:rsidRPr="002E7BD8">
        <w:t xml:space="preserve"> and placebo</w:t>
      </w:r>
      <w:r w:rsidR="005E279A">
        <w:noBreakHyphen/>
      </w:r>
      <w:r w:rsidRPr="002E7BD8">
        <w:t>treated patients (0.6% v</w:t>
      </w:r>
      <w:r w:rsidR="00D240D5">
        <w:t>ersus</w:t>
      </w:r>
      <w:r w:rsidRPr="002E7BD8">
        <w:t xml:space="preserve"> 0.4%) but increased in tirzepatide patients for non</w:t>
      </w:r>
      <w:r w:rsidR="005E279A">
        <w:noBreakHyphen/>
      </w:r>
      <w:r w:rsidRPr="002E7BD8">
        <w:t>immediate reactions (2.6% v</w:t>
      </w:r>
      <w:r w:rsidR="00D240D5">
        <w:t>ersus</w:t>
      </w:r>
      <w:r w:rsidRPr="002E7BD8">
        <w:t xml:space="preserve"> 1.3%), driven by allergic rhinitis. There was no evidence for dose dependence.</w:t>
      </w:r>
    </w:p>
    <w:p w14:paraId="0137187D" w14:textId="712F5694" w:rsidR="002E7BD8" w:rsidRPr="002E7BD8" w:rsidRDefault="002E7BD8" w:rsidP="002E7BD8">
      <w:bookmarkStart w:id="103" w:name="_Toc100700071"/>
      <w:bookmarkStart w:id="104" w:name="_Toc102574922"/>
      <w:bookmarkStart w:id="105" w:name="_Toc110427494"/>
      <w:r w:rsidRPr="00DF6DE5">
        <w:rPr>
          <w:rStyle w:val="Heading7Char"/>
        </w:rPr>
        <w:t>Injection site reactions</w:t>
      </w:r>
      <w:bookmarkEnd w:id="103"/>
      <w:bookmarkEnd w:id="104"/>
      <w:bookmarkEnd w:id="105"/>
      <w:r w:rsidRPr="00DF6DE5">
        <w:rPr>
          <w:rStyle w:val="Heading7Char"/>
        </w:rPr>
        <w:t>:</w:t>
      </w:r>
      <w:r w:rsidRPr="002E7BD8">
        <w:t xml:space="preserve"> A higher percentage </w:t>
      </w:r>
      <w:r w:rsidR="00D240D5">
        <w:t xml:space="preserve">of injection site reactions </w:t>
      </w:r>
      <w:r w:rsidRPr="002E7BD8">
        <w:t>occurred in tirzepatide</w:t>
      </w:r>
      <w:r w:rsidR="005E279A">
        <w:noBreakHyphen/>
      </w:r>
      <w:r w:rsidRPr="002E7BD8">
        <w:t>treated patients (3.2% v</w:t>
      </w:r>
      <w:r w:rsidR="00D240D5">
        <w:t>ersus</w:t>
      </w:r>
      <w:r w:rsidRPr="002E7BD8">
        <w:t xml:space="preserve"> 0.4% for placebo). This also correlated with the tirzepatide dose (</w:t>
      </w:r>
      <w:r w:rsidR="00AE0977">
        <w:t xml:space="preserve">1.94% for </w:t>
      </w:r>
      <w:r w:rsidR="00D240D5">
        <w:t>tirzepatide</w:t>
      </w:r>
      <w:r w:rsidRPr="002E7BD8">
        <w:t xml:space="preserve"> </w:t>
      </w:r>
      <w:r w:rsidR="009F6F50">
        <w:t>5 mg</w:t>
      </w:r>
      <w:r w:rsidRPr="002E7BD8">
        <w:t xml:space="preserve">; </w:t>
      </w:r>
      <w:r w:rsidR="00AE0977">
        <w:t xml:space="preserve">2.70% for </w:t>
      </w:r>
      <w:r w:rsidR="00D240D5">
        <w:t xml:space="preserve">tirzepatide </w:t>
      </w:r>
      <w:r w:rsidR="009F6F50">
        <w:t>10 mg</w:t>
      </w:r>
      <w:r w:rsidRPr="002E7BD8">
        <w:t xml:space="preserve">; </w:t>
      </w:r>
      <w:r w:rsidR="00AE0977">
        <w:t xml:space="preserve">3.50% for </w:t>
      </w:r>
      <w:r w:rsidR="00D240D5">
        <w:t xml:space="preserve">tirzepatide </w:t>
      </w:r>
      <w:r w:rsidRPr="002E7BD8">
        <w:t>1</w:t>
      </w:r>
      <w:r w:rsidR="009F6F50">
        <w:t>5 mg</w:t>
      </w:r>
      <w:r w:rsidRPr="002E7BD8">
        <w:t>). I</w:t>
      </w:r>
      <w:r w:rsidR="00D240D5">
        <w:t>njection site reactions</w:t>
      </w:r>
      <w:r w:rsidRPr="002E7BD8">
        <w:t xml:space="preserve"> caused discontinuation of the study drug in 4</w:t>
      </w:r>
      <w:r w:rsidR="00AE0977">
        <w:t> </w:t>
      </w:r>
      <w:r w:rsidRPr="002E7BD8">
        <w:t>tirzepatide</w:t>
      </w:r>
      <w:r w:rsidR="005E279A">
        <w:noBreakHyphen/>
      </w:r>
      <w:r w:rsidRPr="002E7BD8">
        <w:t>treated patients</w:t>
      </w:r>
      <w:r w:rsidR="00AE0977">
        <w:t xml:space="preserve"> </w:t>
      </w:r>
      <w:r w:rsidR="00AE0977" w:rsidRPr="002E7BD8">
        <w:t>(0.08%)</w:t>
      </w:r>
      <w:r w:rsidRPr="002E7BD8">
        <w:t>. No</w:t>
      </w:r>
      <w:r w:rsidR="00AE0977">
        <w:t xml:space="preserve"> injection site reaction was</w:t>
      </w:r>
      <w:r w:rsidRPr="002E7BD8">
        <w:t xml:space="preserve"> severe or serious. Based on </w:t>
      </w:r>
      <w:r w:rsidR="00AE0977">
        <w:t>electronic case report form</w:t>
      </w:r>
      <w:r w:rsidRPr="002E7BD8">
        <w:t xml:space="preserve"> information, the majority of </w:t>
      </w:r>
      <w:r w:rsidR="00D240D5">
        <w:t>injection site reaction</w:t>
      </w:r>
      <w:r w:rsidRPr="002E7BD8">
        <w:t xml:space="preserve"> patients experienced 2 </w:t>
      </w:r>
      <w:r w:rsidR="00D240D5">
        <w:t xml:space="preserve">or more </w:t>
      </w:r>
      <w:r w:rsidRPr="002E7BD8">
        <w:t xml:space="preserve">such events and </w:t>
      </w:r>
      <w:r w:rsidR="00D240D5">
        <w:t xml:space="preserve">these </w:t>
      </w:r>
      <w:r w:rsidRPr="002E7BD8">
        <w:t xml:space="preserve">occurred </w:t>
      </w:r>
      <w:r w:rsidR="00D240D5">
        <w:t xml:space="preserve">between </w:t>
      </w:r>
      <w:r w:rsidRPr="002E7BD8">
        <w:t>6</w:t>
      </w:r>
      <w:r w:rsidR="00D240D5">
        <w:t> </w:t>
      </w:r>
      <w:r w:rsidRPr="002E7BD8">
        <w:t xml:space="preserve">hours </w:t>
      </w:r>
      <w:r w:rsidR="00D240D5">
        <w:t>and</w:t>
      </w:r>
      <w:r w:rsidRPr="002E7BD8">
        <w:t xml:space="preserve"> 14</w:t>
      </w:r>
      <w:r w:rsidR="00D240D5">
        <w:t> </w:t>
      </w:r>
      <w:r w:rsidRPr="002E7BD8">
        <w:t xml:space="preserve">days after tirzepatide injection. The </w:t>
      </w:r>
      <w:r w:rsidRPr="005B6F8B">
        <w:t xml:space="preserve">most common symptoms were erythema and pruritus. The number of patients reporting </w:t>
      </w:r>
      <w:r w:rsidR="00D240D5" w:rsidRPr="005B6F8B">
        <w:t xml:space="preserve">more than </w:t>
      </w:r>
      <w:r w:rsidR="005B6F8B" w:rsidRPr="005B6F8B">
        <w:t xml:space="preserve">5 </w:t>
      </w:r>
      <w:r w:rsidRPr="005B6F8B">
        <w:t>events increased with higher tirzepatide dose. Collectively, the findings support an association, but no critical safety concern.</w:t>
      </w:r>
    </w:p>
    <w:p w14:paraId="39B31FFE" w14:textId="1028BB96" w:rsidR="002E7BD8" w:rsidRPr="002E7BD8" w:rsidRDefault="002E7BD8" w:rsidP="002E7BD8">
      <w:r w:rsidRPr="00DF6DE5">
        <w:rPr>
          <w:rStyle w:val="Heading7Char"/>
        </w:rPr>
        <w:t xml:space="preserve">Hepatobiliary Disorders: </w:t>
      </w:r>
      <w:r w:rsidRPr="002E7BD8">
        <w:t xml:space="preserve">In </w:t>
      </w:r>
      <w:r w:rsidR="00431E03">
        <w:t xml:space="preserve">the </w:t>
      </w:r>
      <w:r w:rsidR="00431E03" w:rsidRPr="00431E03">
        <w:t>Phase III placebo</w:t>
      </w:r>
      <w:r w:rsidR="005E279A">
        <w:noBreakHyphen/>
      </w:r>
      <w:r w:rsidR="00431E03" w:rsidRPr="00431E03">
        <w:t>controlled analysis set</w:t>
      </w:r>
      <w:r w:rsidRPr="002E7BD8">
        <w:t>, the incidences of hepatobiliary events were comparable between tirzepatide and placebo groups (1.7% v</w:t>
      </w:r>
      <w:r w:rsidR="00D240D5">
        <w:t>ersus</w:t>
      </w:r>
      <w:r w:rsidRPr="002E7BD8">
        <w:t xml:space="preserve"> 1.3%). </w:t>
      </w:r>
      <w:r w:rsidR="00D240D5">
        <w:t>The m</w:t>
      </w:r>
      <w:r w:rsidRPr="002E7BD8">
        <w:t xml:space="preserve">ost common </w:t>
      </w:r>
      <w:r w:rsidR="00D240D5">
        <w:t xml:space="preserve">disorders </w:t>
      </w:r>
      <w:r w:rsidRPr="002E7BD8">
        <w:t>were hepatic steatosis, cholelithiasis, and elevation of hepatic enzyme. Treatment</w:t>
      </w:r>
      <w:r w:rsidR="005E279A">
        <w:noBreakHyphen/>
      </w:r>
      <w:r w:rsidRPr="002E7BD8">
        <w:t>emergent gallbladder</w:t>
      </w:r>
      <w:r w:rsidR="005E279A">
        <w:noBreakHyphen/>
      </w:r>
      <w:r w:rsidRPr="002E7BD8">
        <w:t>related disorders were reported in 4</w:t>
      </w:r>
      <w:r w:rsidR="00AE0977">
        <w:t> </w:t>
      </w:r>
      <w:r w:rsidRPr="002E7BD8">
        <w:t>tirzepatide</w:t>
      </w:r>
      <w:r w:rsidR="005E279A">
        <w:noBreakHyphen/>
      </w:r>
      <w:r w:rsidRPr="002E7BD8">
        <w:t>treated patients</w:t>
      </w:r>
      <w:r w:rsidR="00AE0977" w:rsidRPr="002E7BD8">
        <w:t xml:space="preserve"> (0.6%)</w:t>
      </w:r>
      <w:r w:rsidRPr="002E7BD8">
        <w:t xml:space="preserve"> v</w:t>
      </w:r>
      <w:r w:rsidR="00D240D5">
        <w:t>ersus</w:t>
      </w:r>
      <w:r w:rsidRPr="002E7BD8">
        <w:t xml:space="preserve"> none in placebo.</w:t>
      </w:r>
    </w:p>
    <w:p w14:paraId="27DF300A" w14:textId="465BF382" w:rsidR="002E7BD8" w:rsidRPr="002E7BD8" w:rsidRDefault="002E7BD8" w:rsidP="002E7BD8">
      <w:r w:rsidRPr="002E7BD8">
        <w:t xml:space="preserve">In </w:t>
      </w:r>
      <w:r w:rsidR="00C26870">
        <w:t xml:space="preserve">the </w:t>
      </w:r>
      <w:r w:rsidR="00C26870" w:rsidRPr="00C26870">
        <w:t>Phase III dose effect analysis se</w:t>
      </w:r>
      <w:r w:rsidR="00C26870">
        <w:t>t</w:t>
      </w:r>
      <w:r w:rsidRPr="002E7BD8">
        <w:t>, 51</w:t>
      </w:r>
      <w:r w:rsidR="00AE0977">
        <w:t> </w:t>
      </w:r>
      <w:r w:rsidRPr="002E7BD8">
        <w:t>tirzepatide</w:t>
      </w:r>
      <w:r w:rsidR="005E279A">
        <w:noBreakHyphen/>
      </w:r>
      <w:r w:rsidRPr="002E7BD8">
        <w:t>treated patients</w:t>
      </w:r>
      <w:r w:rsidR="00AE0977" w:rsidRPr="002E7BD8">
        <w:t xml:space="preserve"> (1%) </w:t>
      </w:r>
      <w:r w:rsidRPr="002E7BD8">
        <w:t>reported treatment</w:t>
      </w:r>
      <w:r w:rsidR="005E279A">
        <w:noBreakHyphen/>
      </w:r>
      <w:r w:rsidRPr="002E7BD8">
        <w:t>emergent gallbladder disorders, without dose</w:t>
      </w:r>
      <w:r w:rsidR="005E279A">
        <w:noBreakHyphen/>
      </w:r>
      <w:r w:rsidRPr="002E7BD8">
        <w:t xml:space="preserve">dependence. Cholelithiasis was the most common </w:t>
      </w:r>
      <w:r w:rsidR="00D240D5">
        <w:t>disorder</w:t>
      </w:r>
      <w:r w:rsidR="00AE0977">
        <w:t xml:space="preserve">, at </w:t>
      </w:r>
      <w:r w:rsidRPr="002E7BD8">
        <w:t>0.55 events per 100</w:t>
      </w:r>
      <w:r w:rsidR="00AE0977">
        <w:t> </w:t>
      </w:r>
      <w:r w:rsidRPr="002E7BD8">
        <w:t>patient</w:t>
      </w:r>
      <w:r w:rsidR="005E279A">
        <w:noBreakHyphen/>
      </w:r>
      <w:r w:rsidRPr="002E7BD8">
        <w:t>years, a rate lower than in T2DM populations from historical comparisons. No correlation between cholelithiasis and weight reduction was observed.</w:t>
      </w:r>
    </w:p>
    <w:p w14:paraId="3842A9A1" w14:textId="2DDA42CF" w:rsidR="002E7BD8" w:rsidRPr="002E7BD8" w:rsidRDefault="002E7BD8" w:rsidP="002E7BD8">
      <w:r w:rsidRPr="002D16EF">
        <w:t xml:space="preserve">Tirzepatide treatment resulted in a mean decrease in </w:t>
      </w:r>
      <w:r w:rsidR="002D16EF" w:rsidRPr="002D16EF">
        <w:t>alanine aminotransferase</w:t>
      </w:r>
      <w:r w:rsidRPr="002D16EF">
        <w:t xml:space="preserve"> and </w:t>
      </w:r>
      <w:r w:rsidR="002D16EF" w:rsidRPr="002D16EF">
        <w:t>aspartate aminotransferase</w:t>
      </w:r>
      <w:r w:rsidRPr="002D16EF">
        <w:t xml:space="preserve">, but the percentage of patients with </w:t>
      </w:r>
      <w:r w:rsidR="002D16EF" w:rsidRPr="002D16EF">
        <w:t>alanine aminotransferase</w:t>
      </w:r>
      <w:r w:rsidRPr="002D16EF">
        <w:t xml:space="preserve"> or </w:t>
      </w:r>
      <w:r w:rsidR="002D16EF" w:rsidRPr="002D16EF">
        <w:t>aspartate aminotransferase</w:t>
      </w:r>
      <w:r w:rsidRPr="002D16EF">
        <w:t xml:space="preserve"> </w:t>
      </w:r>
      <w:r w:rsidR="00D240D5" w:rsidRPr="002D16EF">
        <w:t>at or exceeding 3 times upper limit of normal</w:t>
      </w:r>
      <w:r w:rsidRPr="002D16EF">
        <w:t xml:space="preserve"> was similar in tirzepatide</w:t>
      </w:r>
      <w:r w:rsidR="005E279A">
        <w:noBreakHyphen/>
      </w:r>
      <w:r w:rsidR="006F6456" w:rsidRPr="002D16EF">
        <w:t>treated</w:t>
      </w:r>
      <w:r w:rsidRPr="002D16EF">
        <w:t xml:space="preserve"> and placebo</w:t>
      </w:r>
      <w:r w:rsidR="005E279A">
        <w:noBreakHyphen/>
      </w:r>
      <w:r w:rsidRPr="002D16EF">
        <w:t>treated patients, and there was no difference across the</w:t>
      </w:r>
      <w:r w:rsidRPr="002E7BD8">
        <w:t xml:space="preserve"> 3</w:t>
      </w:r>
      <w:r w:rsidR="002D16EF">
        <w:t> </w:t>
      </w:r>
      <w:r w:rsidRPr="002E7BD8">
        <w:t>tirzepatide dose groups in</w:t>
      </w:r>
      <w:r w:rsidR="00C26870">
        <w:t xml:space="preserve"> the </w:t>
      </w:r>
      <w:r w:rsidR="00C26870" w:rsidRPr="00C26870">
        <w:t>Phase III dose effect analysis se</w:t>
      </w:r>
      <w:r w:rsidR="00C26870">
        <w:t>t</w:t>
      </w:r>
      <w:r w:rsidRPr="002E7BD8">
        <w:t xml:space="preserve">. Furthermore, there were no </w:t>
      </w:r>
      <w:r w:rsidRPr="00417BEB">
        <w:t xml:space="preserve">cases of Hy’s law across all Phase </w:t>
      </w:r>
      <w:r w:rsidR="00CB238A" w:rsidRPr="00417BEB">
        <w:t>II and Phase III</w:t>
      </w:r>
      <w:r w:rsidRPr="00417BEB">
        <w:t xml:space="preserve"> studies.</w:t>
      </w:r>
      <w:r w:rsidR="00417BEB" w:rsidRPr="00417BEB">
        <w:rPr>
          <w:rStyle w:val="FootnoteReference"/>
        </w:rPr>
        <w:footnoteReference w:id="21"/>
      </w:r>
    </w:p>
    <w:p w14:paraId="6C644658" w14:textId="2D340423" w:rsidR="002E7BD8" w:rsidRPr="002E7BD8" w:rsidRDefault="002E7BD8" w:rsidP="002E7BD8">
      <w:r w:rsidRPr="00DF6DE5">
        <w:rPr>
          <w:rStyle w:val="Heading7Char"/>
        </w:rPr>
        <w:t xml:space="preserve">Major Depressive Disorders/Suicidal Ideation: </w:t>
      </w:r>
      <w:r w:rsidR="00431E03">
        <w:t xml:space="preserve">The </w:t>
      </w:r>
      <w:r w:rsidR="00431E03" w:rsidRPr="00431E03">
        <w:t>Phase III placebo</w:t>
      </w:r>
      <w:r w:rsidR="005E279A">
        <w:noBreakHyphen/>
      </w:r>
      <w:r w:rsidR="00431E03" w:rsidRPr="00431E03">
        <w:t>controlled analysis set</w:t>
      </w:r>
      <w:r w:rsidR="00431E03" w:rsidRPr="002E7BD8">
        <w:t xml:space="preserve"> </w:t>
      </w:r>
      <w:r w:rsidRPr="002E7BD8">
        <w:t>revealed no meaningful imbalances in the frequency of ‘depression and suicide</w:t>
      </w:r>
      <w:r w:rsidR="002D16EF">
        <w:t xml:space="preserve"> or </w:t>
      </w:r>
      <w:r w:rsidRPr="002E7BD8">
        <w:t>self</w:t>
      </w:r>
      <w:r w:rsidR="005E279A">
        <w:noBreakHyphen/>
      </w:r>
      <w:r w:rsidRPr="002E7BD8">
        <w:t xml:space="preserve">injury’ TEAEs. The incidence was </w:t>
      </w:r>
      <w:r w:rsidR="006F6456">
        <w:t xml:space="preserve">less than </w:t>
      </w:r>
      <w:r w:rsidRPr="002E7BD8">
        <w:t xml:space="preserve">1% across all groups </w:t>
      </w:r>
      <w:r w:rsidR="00431E03">
        <w:t xml:space="preserve">in the </w:t>
      </w:r>
      <w:r w:rsidR="00431E03" w:rsidRPr="00431E03">
        <w:t>Phase III placebo</w:t>
      </w:r>
      <w:r w:rsidR="005E279A">
        <w:noBreakHyphen/>
      </w:r>
      <w:r w:rsidR="00431E03" w:rsidRPr="00431E03">
        <w:t>controlled analysis set</w:t>
      </w:r>
      <w:r w:rsidRPr="002E7BD8">
        <w:t xml:space="preserve">. In </w:t>
      </w:r>
      <w:r w:rsidR="00C26870">
        <w:t xml:space="preserve">the </w:t>
      </w:r>
      <w:r w:rsidR="00C26870" w:rsidRPr="00C26870">
        <w:t>Phase III dose effect analysis se</w:t>
      </w:r>
      <w:r w:rsidR="00C26870">
        <w:t>t</w:t>
      </w:r>
      <w:r w:rsidRPr="002E7BD8">
        <w:t>, the highest incidence was in the tirzepatide 1</w:t>
      </w:r>
      <w:r w:rsidR="009F6F50">
        <w:t>5 mg</w:t>
      </w:r>
      <w:r w:rsidRPr="002E7BD8">
        <w:t xml:space="preserve"> group (1.28% v</w:t>
      </w:r>
      <w:r w:rsidR="006F6456">
        <w:t>ersu</w:t>
      </w:r>
      <w:r w:rsidRPr="002E7BD8">
        <w:t>s 0.78% in placebo). There was no definite dose</w:t>
      </w:r>
      <w:r w:rsidR="005E279A">
        <w:noBreakHyphen/>
      </w:r>
      <w:r w:rsidRPr="002E7BD8">
        <w:t xml:space="preserve">dependency. </w:t>
      </w:r>
      <w:r w:rsidR="0036479C">
        <w:t>Three</w:t>
      </w:r>
      <w:r w:rsidRPr="002E7BD8">
        <w:t xml:space="preserve"> of the 4 serious events of suicide</w:t>
      </w:r>
      <w:r w:rsidR="002D16EF">
        <w:t xml:space="preserve"> or </w:t>
      </w:r>
      <w:r w:rsidRPr="002E7BD8">
        <w:t>self</w:t>
      </w:r>
      <w:r w:rsidR="005E279A">
        <w:noBreakHyphen/>
      </w:r>
      <w:r w:rsidRPr="002E7BD8">
        <w:t>injury reported for tirzepatide</w:t>
      </w:r>
      <w:r w:rsidR="005E279A">
        <w:noBreakHyphen/>
      </w:r>
      <w:r w:rsidRPr="002E7BD8">
        <w:t>treated patients occurred in the tirzepatide 1</w:t>
      </w:r>
      <w:r w:rsidR="009F6F50">
        <w:t>5 mg</w:t>
      </w:r>
      <w:r w:rsidRPr="002E7BD8">
        <w:t xml:space="preserve"> group (incidence 0.17%). For 3 of the 4 patients reporting ‘depression and suicide</w:t>
      </w:r>
      <w:r w:rsidR="002D16EF">
        <w:t xml:space="preserve"> or </w:t>
      </w:r>
      <w:r w:rsidRPr="002E7BD8">
        <w:t>self</w:t>
      </w:r>
      <w:r w:rsidR="005E279A">
        <w:noBreakHyphen/>
      </w:r>
      <w:r w:rsidRPr="002E7BD8">
        <w:t xml:space="preserve">injury’ TEAEs, a depression at baseline or current depressive disorder was </w:t>
      </w:r>
      <w:r w:rsidRPr="002E7BD8">
        <w:lastRenderedPageBreak/>
        <w:t>known.</w:t>
      </w:r>
      <w:r w:rsidR="002D16EF">
        <w:t xml:space="preserve"> </w:t>
      </w:r>
      <w:r w:rsidRPr="002E7BD8">
        <w:t>There appears to be a weak signal in the highest tirzepatide dose of 1</w:t>
      </w:r>
      <w:r w:rsidR="009F6F50">
        <w:t>5 mg</w:t>
      </w:r>
      <w:r w:rsidRPr="002E7BD8">
        <w:t xml:space="preserve">, but </w:t>
      </w:r>
      <w:r w:rsidR="006F6456">
        <w:t xml:space="preserve">this </w:t>
      </w:r>
      <w:r w:rsidRPr="002E7BD8">
        <w:t>may not be clinically relevant.</w:t>
      </w:r>
    </w:p>
    <w:p w14:paraId="5DEB8CC9" w14:textId="7E2A569F" w:rsidR="002E7BD8" w:rsidRPr="002E7BD8" w:rsidRDefault="002E7BD8" w:rsidP="002E7BD8">
      <w:r w:rsidRPr="00DF6DE5">
        <w:rPr>
          <w:rStyle w:val="Heading7Char"/>
        </w:rPr>
        <w:t xml:space="preserve">Spermatogenesis: </w:t>
      </w:r>
      <w:r w:rsidRPr="002E7BD8">
        <w:t>GLP</w:t>
      </w:r>
      <w:r w:rsidR="005E279A">
        <w:noBreakHyphen/>
      </w:r>
      <w:r w:rsidRPr="002E7BD8">
        <w:t>1 receptor agonists may have a negative effect on spermatogenesis. This aspect was not investigated</w:t>
      </w:r>
      <w:r w:rsidRPr="006F6456">
        <w:rPr>
          <w:i/>
          <w:iCs/>
        </w:rPr>
        <w:t xml:space="preserve"> in vivo</w:t>
      </w:r>
      <w:r w:rsidRPr="002E7BD8">
        <w:t xml:space="preserve"> as part of the clinical studies. No evidence of a tirzepatide</w:t>
      </w:r>
      <w:r w:rsidR="005E279A">
        <w:noBreakHyphen/>
      </w:r>
      <w:r w:rsidRPr="002E7BD8">
        <w:t>dependant effect on spermatogenesis w</w:t>
      </w:r>
      <w:r w:rsidR="006F6456">
        <w:t>as</w:t>
      </w:r>
      <w:r w:rsidRPr="002E7BD8">
        <w:t xml:space="preserve"> observed in rats.</w:t>
      </w:r>
    </w:p>
    <w:p w14:paraId="3084EDBC" w14:textId="7C37C1C6" w:rsidR="002E7BD8" w:rsidRPr="006345D0" w:rsidRDefault="002E7BD8" w:rsidP="006345D0">
      <w:pPr>
        <w:pStyle w:val="Heading4"/>
      </w:pPr>
      <w:bookmarkStart w:id="106" w:name="_Toc148961950"/>
      <w:r w:rsidRPr="006345D0">
        <w:t xml:space="preserve">Immunogenicity and </w:t>
      </w:r>
      <w:r w:rsidR="006F6456" w:rsidRPr="006345D0">
        <w:t>antidrug antibodies</w:t>
      </w:r>
      <w:bookmarkEnd w:id="106"/>
    </w:p>
    <w:p w14:paraId="76A122A8" w14:textId="1DAC2D8B" w:rsidR="002E7BD8" w:rsidRPr="002E7BD8" w:rsidRDefault="006F6456" w:rsidP="002E7BD8">
      <w:r>
        <w:t>T</w:t>
      </w:r>
      <w:r w:rsidR="002E7BD8" w:rsidRPr="002E7BD8">
        <w:t xml:space="preserve">here was a marked increase in the percentage of </w:t>
      </w:r>
      <w:r>
        <w:t>treatment</w:t>
      </w:r>
      <w:r w:rsidR="005E279A">
        <w:noBreakHyphen/>
      </w:r>
      <w:r>
        <w:t>emergent</w:t>
      </w:r>
      <w:r w:rsidR="002E7BD8" w:rsidRPr="002E7BD8">
        <w:t xml:space="preserve"> ADA</w:t>
      </w:r>
      <w:r w:rsidR="005E279A">
        <w:noBreakHyphen/>
      </w:r>
      <w:r>
        <w:t>positive</w:t>
      </w:r>
      <w:r w:rsidR="002E7BD8" w:rsidRPr="002E7BD8">
        <w:t xml:space="preserve"> patients in the tirzepatide groups compared to placebo. The percentage of </w:t>
      </w:r>
      <w:r>
        <w:t>treatment</w:t>
      </w:r>
      <w:r w:rsidR="005E279A">
        <w:noBreakHyphen/>
      </w:r>
      <w:r>
        <w:t>emergent</w:t>
      </w:r>
      <w:r w:rsidRPr="002E7BD8">
        <w:t xml:space="preserve"> ADA</w:t>
      </w:r>
      <w:r w:rsidR="005E279A">
        <w:noBreakHyphen/>
      </w:r>
      <w:r>
        <w:t>positive</w:t>
      </w:r>
      <w:r w:rsidR="002E7BD8" w:rsidRPr="002E7BD8">
        <w:t xml:space="preserve"> patients was similar across the 3 tirzepatide dose groups. Hypersensitivity reactions occurred with similar frequencies in </w:t>
      </w:r>
      <w:r>
        <w:t>treatment</w:t>
      </w:r>
      <w:r w:rsidR="005E279A">
        <w:noBreakHyphen/>
      </w:r>
      <w:r>
        <w:t>emergent</w:t>
      </w:r>
      <w:r w:rsidRPr="002E7BD8">
        <w:t xml:space="preserve"> ADA</w:t>
      </w:r>
      <w:r w:rsidR="005E279A">
        <w:noBreakHyphen/>
      </w:r>
      <w:r>
        <w:t>positive</w:t>
      </w:r>
      <w:r w:rsidR="002E7BD8" w:rsidRPr="002E7BD8">
        <w:t xml:space="preserve"> and </w:t>
      </w:r>
      <w:r>
        <w:t>treatment</w:t>
      </w:r>
      <w:r w:rsidR="005E279A">
        <w:noBreakHyphen/>
      </w:r>
      <w:r>
        <w:t>emergent</w:t>
      </w:r>
      <w:r w:rsidRPr="002E7BD8">
        <w:t xml:space="preserve"> ADA</w:t>
      </w:r>
      <w:r w:rsidR="005E279A">
        <w:noBreakHyphen/>
      </w:r>
      <w:r>
        <w:t>negative</w:t>
      </w:r>
      <w:r w:rsidR="002E7BD8" w:rsidRPr="002E7BD8">
        <w:t xml:space="preserve"> patients. Injection site reactions were more frequent in </w:t>
      </w:r>
      <w:r>
        <w:t>treatment</w:t>
      </w:r>
      <w:r w:rsidR="005E279A">
        <w:noBreakHyphen/>
      </w:r>
      <w:r>
        <w:t>emergent</w:t>
      </w:r>
      <w:r w:rsidRPr="002E7BD8">
        <w:t xml:space="preserve"> ADA</w:t>
      </w:r>
      <w:r w:rsidR="005E279A">
        <w:noBreakHyphen/>
      </w:r>
      <w:r>
        <w:t>positive</w:t>
      </w:r>
      <w:r w:rsidR="002E7BD8" w:rsidRPr="002E7BD8">
        <w:t xml:space="preserve"> than </w:t>
      </w:r>
      <w:r>
        <w:t>treatment</w:t>
      </w:r>
      <w:r w:rsidR="005E279A">
        <w:noBreakHyphen/>
      </w:r>
      <w:r>
        <w:t>emergent</w:t>
      </w:r>
      <w:r w:rsidRPr="002E7BD8">
        <w:t xml:space="preserve"> ADA</w:t>
      </w:r>
      <w:r w:rsidR="005E279A">
        <w:noBreakHyphen/>
      </w:r>
      <w:r>
        <w:t>negative</w:t>
      </w:r>
      <w:r w:rsidR="002E7BD8" w:rsidRPr="002E7BD8">
        <w:t xml:space="preserve"> patients. All of these events were non</w:t>
      </w:r>
      <w:r w:rsidR="005E279A">
        <w:noBreakHyphen/>
      </w:r>
      <w:r w:rsidR="002E7BD8" w:rsidRPr="002E7BD8">
        <w:t>serious and non</w:t>
      </w:r>
      <w:r w:rsidR="005E279A">
        <w:noBreakHyphen/>
      </w:r>
      <w:r w:rsidR="002E7BD8" w:rsidRPr="002E7BD8">
        <w:t>severe.</w:t>
      </w:r>
    </w:p>
    <w:p w14:paraId="1EBB6D50" w14:textId="715BDF78" w:rsidR="002E7BD8" w:rsidRPr="002E7BD8" w:rsidRDefault="002E7BD8" w:rsidP="006345D0">
      <w:pPr>
        <w:pStyle w:val="Heading4"/>
      </w:pPr>
      <w:bookmarkStart w:id="107" w:name="_Toc148961951"/>
      <w:r w:rsidRPr="002E7BD8">
        <w:t>Post</w:t>
      </w:r>
      <w:r w:rsidR="005E279A">
        <w:noBreakHyphen/>
      </w:r>
      <w:r w:rsidRPr="002E7BD8">
        <w:t>market experience</w:t>
      </w:r>
      <w:bookmarkEnd w:id="107"/>
    </w:p>
    <w:p w14:paraId="175D474B" w14:textId="77777777" w:rsidR="002E7BD8" w:rsidRPr="002E7BD8" w:rsidRDefault="002E7BD8" w:rsidP="002E7BD8">
      <w:r w:rsidRPr="002E7BD8">
        <w:t>No data available.</w:t>
      </w:r>
    </w:p>
    <w:p w14:paraId="2858B006" w14:textId="00A2C06A" w:rsidR="00C22214" w:rsidRDefault="00C22214" w:rsidP="00C22214">
      <w:pPr>
        <w:pStyle w:val="Heading3"/>
        <w:rPr>
          <w:lang w:eastAsia="en-AU"/>
        </w:rPr>
      </w:pPr>
      <w:bookmarkStart w:id="108" w:name="_Toc314842514"/>
      <w:bookmarkStart w:id="109" w:name="_Toc103679298"/>
      <w:bookmarkStart w:id="110" w:name="_Toc148961952"/>
      <w:r>
        <w:rPr>
          <w:lang w:eastAsia="en-AU"/>
        </w:rPr>
        <w:t>Risk management plan</w:t>
      </w:r>
      <w:bookmarkEnd w:id="108"/>
      <w:bookmarkEnd w:id="109"/>
      <w:bookmarkEnd w:id="110"/>
    </w:p>
    <w:p w14:paraId="2589648C" w14:textId="0BADBFEC" w:rsidR="002E6486" w:rsidRPr="0036479C" w:rsidRDefault="002E6486" w:rsidP="002E6486">
      <w:bookmarkStart w:id="111" w:name="_Toc247691531"/>
      <w:bookmarkStart w:id="112" w:name="_Toc314842515"/>
      <w:r w:rsidRPr="0036479C">
        <w:rPr>
          <w:szCs w:val="24"/>
        </w:rPr>
        <w:t>The sponsor</w:t>
      </w:r>
      <w:r w:rsidRPr="0036479C">
        <w:t xml:space="preserve"> submitted draft </w:t>
      </w:r>
      <w:r w:rsidR="0036479C" w:rsidRPr="0036479C">
        <w:t>European (</w:t>
      </w:r>
      <w:r w:rsidRPr="0036479C">
        <w:t>EU</w:t>
      </w:r>
      <w:r w:rsidR="0036479C" w:rsidRPr="0036479C">
        <w:t xml:space="preserve">) risk management plan (RMP) </w:t>
      </w:r>
      <w:r w:rsidRPr="0036479C">
        <w:t>version</w:t>
      </w:r>
      <w:r w:rsidR="0036479C" w:rsidRPr="0036479C">
        <w:t> </w:t>
      </w:r>
      <w:r w:rsidRPr="0036479C">
        <w:t xml:space="preserve">0.1 (12 September 2021; </w:t>
      </w:r>
      <w:r w:rsidR="0036479C" w:rsidRPr="0036479C">
        <w:t>data lock point</w:t>
      </w:r>
      <w:r w:rsidRPr="0036479C">
        <w:t xml:space="preserve"> 2 June 2021) and </w:t>
      </w:r>
      <w:r w:rsidR="0036479C" w:rsidRPr="0036479C">
        <w:t>Australia specific annex (</w:t>
      </w:r>
      <w:r w:rsidRPr="0036479C">
        <w:t>ASA</w:t>
      </w:r>
      <w:r w:rsidR="0036479C" w:rsidRPr="0036479C">
        <w:t>)</w:t>
      </w:r>
      <w:r w:rsidRPr="0036479C">
        <w:t xml:space="preserve"> version</w:t>
      </w:r>
      <w:r w:rsidR="0036479C" w:rsidRPr="0036479C">
        <w:t> </w:t>
      </w:r>
      <w:r w:rsidRPr="0036479C">
        <w:t>1.0 (26 October 2021) in support of this application. At</w:t>
      </w:r>
      <w:r w:rsidRPr="0036479C">
        <w:rPr>
          <w:szCs w:val="24"/>
        </w:rPr>
        <w:t xml:space="preserve"> round 2 the sponsor submitted EU</w:t>
      </w:r>
      <w:r w:rsidR="002D16EF">
        <w:rPr>
          <w:szCs w:val="24"/>
        </w:rPr>
        <w:t xml:space="preserve"> </w:t>
      </w:r>
      <w:r w:rsidRPr="0036479C">
        <w:rPr>
          <w:szCs w:val="24"/>
        </w:rPr>
        <w:t>RMP</w:t>
      </w:r>
      <w:r w:rsidRPr="0036479C">
        <w:t xml:space="preserve"> </w:t>
      </w:r>
      <w:r w:rsidRPr="0036479C">
        <w:rPr>
          <w:szCs w:val="24"/>
        </w:rPr>
        <w:t>version</w:t>
      </w:r>
      <w:r w:rsidR="0036479C" w:rsidRPr="0036479C">
        <w:rPr>
          <w:szCs w:val="24"/>
        </w:rPr>
        <w:t> </w:t>
      </w:r>
      <w:r w:rsidRPr="0036479C">
        <w:rPr>
          <w:szCs w:val="24"/>
        </w:rPr>
        <w:t>0.3 (27</w:t>
      </w:r>
      <w:r w:rsidR="00F44A98" w:rsidRPr="0036479C">
        <w:rPr>
          <w:szCs w:val="24"/>
        </w:rPr>
        <w:t> </w:t>
      </w:r>
      <w:r w:rsidRPr="0036479C">
        <w:rPr>
          <w:szCs w:val="24"/>
        </w:rPr>
        <w:t xml:space="preserve">June 2022; </w:t>
      </w:r>
      <w:r w:rsidR="0036479C" w:rsidRPr="0036479C">
        <w:rPr>
          <w:szCs w:val="24"/>
        </w:rPr>
        <w:t>data lock point</w:t>
      </w:r>
      <w:r w:rsidRPr="0036479C">
        <w:rPr>
          <w:szCs w:val="24"/>
        </w:rPr>
        <w:t xml:space="preserve"> 2</w:t>
      </w:r>
      <w:r w:rsidR="0036479C" w:rsidRPr="0036479C">
        <w:rPr>
          <w:szCs w:val="24"/>
        </w:rPr>
        <w:t> </w:t>
      </w:r>
      <w:r w:rsidRPr="0036479C">
        <w:rPr>
          <w:szCs w:val="24"/>
        </w:rPr>
        <w:t>June 2021) and ASA version</w:t>
      </w:r>
      <w:r w:rsidR="0036479C" w:rsidRPr="0036479C">
        <w:rPr>
          <w:szCs w:val="24"/>
        </w:rPr>
        <w:t> </w:t>
      </w:r>
      <w:r w:rsidRPr="0036479C">
        <w:rPr>
          <w:szCs w:val="24"/>
        </w:rPr>
        <w:t>1.1 (12</w:t>
      </w:r>
      <w:r w:rsidR="00F44A98" w:rsidRPr="0036479C">
        <w:rPr>
          <w:szCs w:val="24"/>
        </w:rPr>
        <w:t> </w:t>
      </w:r>
      <w:r w:rsidRPr="0036479C">
        <w:rPr>
          <w:szCs w:val="24"/>
        </w:rPr>
        <w:t>August 2022).</w:t>
      </w:r>
    </w:p>
    <w:p w14:paraId="2297821B" w14:textId="4BE0345E" w:rsidR="002D16EF" w:rsidRDefault="002D16EF" w:rsidP="00C22214">
      <w:pPr>
        <w:rPr>
          <w:szCs w:val="22"/>
        </w:rPr>
      </w:pPr>
      <w:r>
        <w:rPr>
          <w:szCs w:val="22"/>
        </w:rPr>
        <w:t>S</w:t>
      </w:r>
      <w:r w:rsidR="00C22214" w:rsidRPr="00BD5DBD">
        <w:rPr>
          <w:szCs w:val="22"/>
        </w:rPr>
        <w:t>afety concerns and their associated risk monitoring and mitigation strategies are summarised in</w:t>
      </w:r>
      <w:r w:rsidR="006F6456">
        <w:rPr>
          <w:szCs w:val="22"/>
        </w:rPr>
        <w:t xml:space="preserve"> </w:t>
      </w:r>
      <w:r w:rsidR="006F6456">
        <w:rPr>
          <w:szCs w:val="22"/>
        </w:rPr>
        <w:fldChar w:fldCharType="begin"/>
      </w:r>
      <w:r w:rsidR="006F6456">
        <w:rPr>
          <w:szCs w:val="22"/>
        </w:rPr>
        <w:instrText xml:space="preserve"> REF _Ref97629131 \h </w:instrText>
      </w:r>
      <w:r w:rsidR="006F6456">
        <w:rPr>
          <w:szCs w:val="22"/>
        </w:rPr>
      </w:r>
      <w:r w:rsidR="006F6456">
        <w:rPr>
          <w:szCs w:val="22"/>
        </w:rPr>
        <w:fldChar w:fldCharType="separate"/>
      </w:r>
      <w:r w:rsidR="008465DD">
        <w:t xml:space="preserve">Table </w:t>
      </w:r>
      <w:r w:rsidR="008465DD">
        <w:rPr>
          <w:noProof/>
        </w:rPr>
        <w:t>21</w:t>
      </w:r>
      <w:r w:rsidR="006F6456">
        <w:rPr>
          <w:szCs w:val="22"/>
        </w:rPr>
        <w:fldChar w:fldCharType="end"/>
      </w:r>
      <w:r w:rsidR="008C49C6" w:rsidRPr="003B149C">
        <w:rPr>
          <w:szCs w:val="22"/>
        </w:rPr>
        <w:t>.</w:t>
      </w:r>
    </w:p>
    <w:p w14:paraId="39F3CD1D" w14:textId="2C05A43A" w:rsidR="0072003B" w:rsidRPr="00BD5DBD" w:rsidRDefault="0072003B" w:rsidP="00C22214">
      <w:pPr>
        <w:rPr>
          <w:szCs w:val="22"/>
        </w:rPr>
      </w:pPr>
      <w:r w:rsidRPr="00BD5DBD">
        <w:rPr>
          <w:szCs w:val="22"/>
        </w:rPr>
        <w:t>The TGA</w:t>
      </w:r>
      <w:r w:rsidR="00C07551" w:rsidRPr="00BD5DBD">
        <w:rPr>
          <w:szCs w:val="22"/>
        </w:rPr>
        <w:t xml:space="preserve"> may</w:t>
      </w:r>
      <w:r w:rsidRPr="00BD5DBD">
        <w:rPr>
          <w:szCs w:val="22"/>
        </w:rPr>
        <w:t xml:space="preserve"> request an updated RMP at any stage of a product's life</w:t>
      </w:r>
      <w:r w:rsidR="005E279A">
        <w:rPr>
          <w:szCs w:val="22"/>
        </w:rPr>
        <w:noBreakHyphen/>
      </w:r>
      <w:r w:rsidRPr="00BD5DBD">
        <w:rPr>
          <w:szCs w:val="22"/>
        </w:rPr>
        <w:t>cycle, during both the pre</w:t>
      </w:r>
      <w:r w:rsidR="005E279A">
        <w:rPr>
          <w:szCs w:val="22"/>
        </w:rPr>
        <w:noBreakHyphen/>
      </w:r>
      <w:r w:rsidRPr="00BD5DBD">
        <w:rPr>
          <w:szCs w:val="22"/>
        </w:rPr>
        <w:t>approval and post</w:t>
      </w:r>
      <w:r w:rsidR="005E279A">
        <w:rPr>
          <w:szCs w:val="22"/>
        </w:rPr>
        <w:noBreakHyphen/>
      </w:r>
      <w:r w:rsidRPr="00BD5DBD">
        <w:rPr>
          <w:szCs w:val="22"/>
        </w:rPr>
        <w:t>approval phases.</w:t>
      </w:r>
    </w:p>
    <w:p w14:paraId="163D7EA2" w14:textId="2E410FD8" w:rsidR="006F6456" w:rsidRDefault="00C22214" w:rsidP="00961B2D">
      <w:pPr>
        <w:pStyle w:val="TableTitle"/>
        <w:pageBreakBefore/>
      </w:pPr>
      <w:bookmarkStart w:id="113" w:name="_Ref97629131"/>
      <w:r>
        <w:lastRenderedPageBreak/>
        <w:t xml:space="preserve">Table </w:t>
      </w:r>
      <w:r w:rsidR="002B0E47">
        <w:fldChar w:fldCharType="begin"/>
      </w:r>
      <w:r w:rsidR="002B0E47">
        <w:instrText xml:space="preserve"> SEQ Table \* ARABIC </w:instrText>
      </w:r>
      <w:r w:rsidR="002B0E47">
        <w:fldChar w:fldCharType="separate"/>
      </w:r>
      <w:r w:rsidR="008465DD">
        <w:rPr>
          <w:noProof/>
        </w:rPr>
        <w:t>21</w:t>
      </w:r>
      <w:r w:rsidR="002B0E47">
        <w:rPr>
          <w:noProof/>
        </w:rPr>
        <w:fldChar w:fldCharType="end"/>
      </w:r>
      <w:bookmarkEnd w:id="113"/>
      <w:r>
        <w:t>: Summary of safety concerns</w:t>
      </w:r>
    </w:p>
    <w:tbl>
      <w:tblPr>
        <w:tblStyle w:val="TableTGAblue2023"/>
        <w:tblW w:w="9067" w:type="dxa"/>
        <w:tblLayout w:type="fixed"/>
        <w:tblLook w:val="04A0" w:firstRow="1" w:lastRow="0" w:firstColumn="1" w:lastColumn="0" w:noHBand="0" w:noVBand="1"/>
      </w:tblPr>
      <w:tblGrid>
        <w:gridCol w:w="1838"/>
        <w:gridCol w:w="1843"/>
        <w:gridCol w:w="1276"/>
        <w:gridCol w:w="1417"/>
        <w:gridCol w:w="1276"/>
        <w:gridCol w:w="1417"/>
      </w:tblGrid>
      <w:tr w:rsidR="006F6456" w:rsidRPr="00D01DDB" w14:paraId="089AC008" w14:textId="77777777" w:rsidTr="005E2C5E">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681" w:type="dxa"/>
            <w:gridSpan w:val="2"/>
            <w:vMerge w:val="restart"/>
          </w:tcPr>
          <w:p w14:paraId="577C7CCB" w14:textId="77777777" w:rsidR="006F6456" w:rsidRPr="00D01DDB" w:rsidRDefault="006F6456" w:rsidP="005E2C5E">
            <w:r>
              <w:t>Safety concern</w:t>
            </w:r>
          </w:p>
        </w:tc>
        <w:tc>
          <w:tcPr>
            <w:tcW w:w="2693" w:type="dxa"/>
            <w:gridSpan w:val="2"/>
          </w:tcPr>
          <w:p w14:paraId="5DCC582D" w14:textId="77777777" w:rsidR="006F6456" w:rsidRPr="00D01DDB" w:rsidRDefault="006F6456" w:rsidP="005E2C5E">
            <w:pPr>
              <w:cnfStyle w:val="100000000000" w:firstRow="1" w:lastRow="0" w:firstColumn="0" w:lastColumn="0" w:oddVBand="0" w:evenVBand="0" w:oddHBand="0" w:evenHBand="0" w:firstRowFirstColumn="0" w:firstRowLastColumn="0" w:lastRowFirstColumn="0" w:lastRowLastColumn="0"/>
            </w:pPr>
            <w:r>
              <w:t>Pharmacovigilance</w:t>
            </w:r>
          </w:p>
        </w:tc>
        <w:tc>
          <w:tcPr>
            <w:tcW w:w="2693" w:type="dxa"/>
            <w:gridSpan w:val="2"/>
          </w:tcPr>
          <w:p w14:paraId="035FADCA" w14:textId="77777777" w:rsidR="006F6456" w:rsidRPr="00D01DDB" w:rsidRDefault="006F6456" w:rsidP="005E2C5E">
            <w:pPr>
              <w:cnfStyle w:val="100000000000" w:firstRow="1" w:lastRow="0" w:firstColumn="0" w:lastColumn="0" w:oddVBand="0" w:evenVBand="0" w:oddHBand="0" w:evenHBand="0" w:firstRowFirstColumn="0" w:firstRowLastColumn="0" w:lastRowFirstColumn="0" w:lastRowLastColumn="0"/>
            </w:pPr>
            <w:r>
              <w:t>Risk minimisation</w:t>
            </w:r>
          </w:p>
        </w:tc>
      </w:tr>
      <w:tr w:rsidR="0037492C" w:rsidRPr="00D01DDB" w14:paraId="3775A1F8" w14:textId="77777777" w:rsidTr="005E2C5E">
        <w:trPr>
          <w:trHeight w:val="386"/>
        </w:trPr>
        <w:tc>
          <w:tcPr>
            <w:cnfStyle w:val="001000000000" w:firstRow="0" w:lastRow="0" w:firstColumn="1" w:lastColumn="0" w:oddVBand="0" w:evenVBand="0" w:oddHBand="0" w:evenHBand="0" w:firstRowFirstColumn="0" w:firstRowLastColumn="0" w:lastRowFirstColumn="0" w:lastRowLastColumn="0"/>
            <w:tcW w:w="3681" w:type="dxa"/>
            <w:gridSpan w:val="2"/>
            <w:vMerge/>
          </w:tcPr>
          <w:p w14:paraId="33C59560" w14:textId="77777777" w:rsidR="006F6456" w:rsidRPr="00D01DDB" w:rsidRDefault="006F6456" w:rsidP="005E2C5E"/>
        </w:tc>
        <w:tc>
          <w:tcPr>
            <w:tcW w:w="1276" w:type="dxa"/>
            <w:shd w:val="clear" w:color="auto" w:fill="DEEAF6"/>
          </w:tcPr>
          <w:p w14:paraId="3E004CA1" w14:textId="77777777" w:rsidR="006F6456" w:rsidRPr="0070770A" w:rsidRDefault="006F6456" w:rsidP="005E2C5E">
            <w:pPr>
              <w:cnfStyle w:val="000000000000" w:firstRow="0" w:lastRow="0" w:firstColumn="0" w:lastColumn="0" w:oddVBand="0" w:evenVBand="0" w:oddHBand="0" w:evenHBand="0" w:firstRowFirstColumn="0" w:firstRowLastColumn="0" w:lastRowFirstColumn="0" w:lastRowLastColumn="0"/>
            </w:pPr>
            <w:r w:rsidRPr="0070770A">
              <w:t>Routine</w:t>
            </w:r>
          </w:p>
        </w:tc>
        <w:tc>
          <w:tcPr>
            <w:tcW w:w="1417" w:type="dxa"/>
            <w:shd w:val="clear" w:color="auto" w:fill="DEEAF6"/>
          </w:tcPr>
          <w:p w14:paraId="2C88A4A4" w14:textId="77777777" w:rsidR="006F6456" w:rsidRPr="0070770A" w:rsidRDefault="006F6456" w:rsidP="005E2C5E">
            <w:pPr>
              <w:cnfStyle w:val="000000000000" w:firstRow="0" w:lastRow="0" w:firstColumn="0" w:lastColumn="0" w:oddVBand="0" w:evenVBand="0" w:oddHBand="0" w:evenHBand="0" w:firstRowFirstColumn="0" w:firstRowLastColumn="0" w:lastRowFirstColumn="0" w:lastRowLastColumn="0"/>
            </w:pPr>
            <w:r w:rsidRPr="0070770A">
              <w:t>Additional</w:t>
            </w:r>
          </w:p>
        </w:tc>
        <w:tc>
          <w:tcPr>
            <w:tcW w:w="1276" w:type="dxa"/>
            <w:shd w:val="clear" w:color="auto" w:fill="DEEAF6"/>
          </w:tcPr>
          <w:p w14:paraId="1120ED7D" w14:textId="77777777" w:rsidR="006F6456" w:rsidRPr="0070770A" w:rsidRDefault="006F6456" w:rsidP="005E2C5E">
            <w:pPr>
              <w:cnfStyle w:val="000000000000" w:firstRow="0" w:lastRow="0" w:firstColumn="0" w:lastColumn="0" w:oddVBand="0" w:evenVBand="0" w:oddHBand="0" w:evenHBand="0" w:firstRowFirstColumn="0" w:firstRowLastColumn="0" w:lastRowFirstColumn="0" w:lastRowLastColumn="0"/>
            </w:pPr>
            <w:r w:rsidRPr="0070770A">
              <w:t>Routine</w:t>
            </w:r>
          </w:p>
        </w:tc>
        <w:tc>
          <w:tcPr>
            <w:tcW w:w="1417" w:type="dxa"/>
            <w:shd w:val="clear" w:color="auto" w:fill="DEEAF6"/>
          </w:tcPr>
          <w:p w14:paraId="374399F2" w14:textId="77777777" w:rsidR="006F6456" w:rsidRPr="0070770A" w:rsidRDefault="006F6456" w:rsidP="005E2C5E">
            <w:pPr>
              <w:cnfStyle w:val="000000000000" w:firstRow="0" w:lastRow="0" w:firstColumn="0" w:lastColumn="0" w:oddVBand="0" w:evenVBand="0" w:oddHBand="0" w:evenHBand="0" w:firstRowFirstColumn="0" w:firstRowLastColumn="0" w:lastRowFirstColumn="0" w:lastRowLastColumn="0"/>
            </w:pPr>
            <w:r w:rsidRPr="0070770A">
              <w:t>Additional</w:t>
            </w:r>
          </w:p>
        </w:tc>
      </w:tr>
      <w:tr w:rsidR="0037492C" w:rsidRPr="0037492C" w14:paraId="548A1776" w14:textId="77777777" w:rsidTr="005E2C5E">
        <w:trPr>
          <w:trHeight w:val="386"/>
        </w:trPr>
        <w:tc>
          <w:tcPr>
            <w:cnfStyle w:val="001000000000" w:firstRow="0" w:lastRow="0" w:firstColumn="1" w:lastColumn="0" w:oddVBand="0" w:evenVBand="0" w:oddHBand="0" w:evenHBand="0" w:firstRowFirstColumn="0" w:firstRowLastColumn="0" w:lastRowFirstColumn="0" w:lastRowLastColumn="0"/>
            <w:tcW w:w="1838" w:type="dxa"/>
          </w:tcPr>
          <w:p w14:paraId="36D384C1" w14:textId="77777777" w:rsidR="006F6456" w:rsidRPr="0037492C" w:rsidRDefault="006F6456" w:rsidP="005E2C5E">
            <w:pPr>
              <w:rPr>
                <w:bCs/>
              </w:rPr>
            </w:pPr>
            <w:r w:rsidRPr="0037492C">
              <w:rPr>
                <w:bCs/>
              </w:rPr>
              <w:t>Important identified risks</w:t>
            </w:r>
          </w:p>
        </w:tc>
        <w:tc>
          <w:tcPr>
            <w:tcW w:w="1843" w:type="dxa"/>
          </w:tcPr>
          <w:p w14:paraId="6B98BBE6" w14:textId="7B42229E" w:rsidR="006F6456" w:rsidRPr="00903634" w:rsidRDefault="0037492C" w:rsidP="005E2C5E">
            <w:pPr>
              <w:cnfStyle w:val="000000000000" w:firstRow="0" w:lastRow="0" w:firstColumn="0" w:lastColumn="0" w:oddVBand="0" w:evenVBand="0" w:oddHBand="0" w:evenHBand="0" w:firstRowFirstColumn="0" w:firstRowLastColumn="0" w:lastRowFirstColumn="0" w:lastRowLastColumn="0"/>
              <w:rPr>
                <w:i/>
                <w:iCs/>
              </w:rPr>
            </w:pPr>
            <w:r w:rsidRPr="00903634">
              <w:rPr>
                <w:i/>
                <w:iCs/>
              </w:rPr>
              <w:t>Nil</w:t>
            </w:r>
          </w:p>
        </w:tc>
        <w:tc>
          <w:tcPr>
            <w:tcW w:w="1276" w:type="dxa"/>
            <w:vAlign w:val="center"/>
          </w:tcPr>
          <w:p w14:paraId="5D6D53F3" w14:textId="172C351D" w:rsidR="006F6456" w:rsidRPr="0037492C" w:rsidRDefault="006F6456" w:rsidP="005E2C5E">
            <w:pPr>
              <w:jc w:val="center"/>
              <w:cnfStyle w:val="000000000000" w:firstRow="0" w:lastRow="0" w:firstColumn="0" w:lastColumn="0" w:oddVBand="0" w:evenVBand="0" w:oddHBand="0" w:evenHBand="0" w:firstRowFirstColumn="0" w:firstRowLastColumn="0" w:lastRowFirstColumn="0" w:lastRowLastColumn="0"/>
            </w:pPr>
          </w:p>
        </w:tc>
        <w:tc>
          <w:tcPr>
            <w:tcW w:w="1417" w:type="dxa"/>
            <w:vAlign w:val="center"/>
          </w:tcPr>
          <w:p w14:paraId="463A729C" w14:textId="4D60D730" w:rsidR="006F6456" w:rsidRPr="0037492C" w:rsidRDefault="006F6456" w:rsidP="005E2C5E">
            <w:pPr>
              <w:jc w:val="center"/>
              <w:cnfStyle w:val="000000000000" w:firstRow="0" w:lastRow="0" w:firstColumn="0" w:lastColumn="0" w:oddVBand="0" w:evenVBand="0" w:oddHBand="0" w:evenHBand="0" w:firstRowFirstColumn="0" w:firstRowLastColumn="0" w:lastRowFirstColumn="0" w:lastRowLastColumn="0"/>
            </w:pPr>
          </w:p>
        </w:tc>
        <w:tc>
          <w:tcPr>
            <w:tcW w:w="1276" w:type="dxa"/>
            <w:vAlign w:val="center"/>
          </w:tcPr>
          <w:p w14:paraId="4B4BA2A3" w14:textId="5D9C39C3" w:rsidR="006F6456" w:rsidRPr="0037492C" w:rsidRDefault="006F6456" w:rsidP="005E2C5E">
            <w:pPr>
              <w:jc w:val="center"/>
              <w:cnfStyle w:val="000000000000" w:firstRow="0" w:lastRow="0" w:firstColumn="0" w:lastColumn="0" w:oddVBand="0" w:evenVBand="0" w:oddHBand="0" w:evenHBand="0" w:firstRowFirstColumn="0" w:firstRowLastColumn="0" w:lastRowFirstColumn="0" w:lastRowLastColumn="0"/>
            </w:pPr>
          </w:p>
        </w:tc>
        <w:tc>
          <w:tcPr>
            <w:tcW w:w="1417" w:type="dxa"/>
            <w:vAlign w:val="center"/>
          </w:tcPr>
          <w:p w14:paraId="2FAB2A7F" w14:textId="3336EFD9" w:rsidR="006F6456" w:rsidRPr="0037492C" w:rsidRDefault="006F6456" w:rsidP="005E2C5E">
            <w:pPr>
              <w:jc w:val="center"/>
              <w:cnfStyle w:val="000000000000" w:firstRow="0" w:lastRow="0" w:firstColumn="0" w:lastColumn="0" w:oddVBand="0" w:evenVBand="0" w:oddHBand="0" w:evenHBand="0" w:firstRowFirstColumn="0" w:firstRowLastColumn="0" w:lastRowFirstColumn="0" w:lastRowLastColumn="0"/>
            </w:pPr>
          </w:p>
        </w:tc>
      </w:tr>
      <w:tr w:rsidR="0037492C" w:rsidRPr="0037492C" w14:paraId="1514DF30" w14:textId="77777777" w:rsidTr="005E2C5E">
        <w:trPr>
          <w:trHeight w:val="386"/>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5C28497B" w14:textId="77777777" w:rsidR="0037492C" w:rsidRPr="0037492C" w:rsidRDefault="0037492C" w:rsidP="005E2C5E">
            <w:pPr>
              <w:rPr>
                <w:bCs/>
              </w:rPr>
            </w:pPr>
            <w:r w:rsidRPr="0037492C">
              <w:rPr>
                <w:bCs/>
              </w:rPr>
              <w:t>Important potential risks</w:t>
            </w:r>
          </w:p>
        </w:tc>
        <w:tc>
          <w:tcPr>
            <w:tcW w:w="1843" w:type="dxa"/>
          </w:tcPr>
          <w:p w14:paraId="1097D0BF" w14:textId="6F7A0941" w:rsidR="0037492C" w:rsidRPr="0037492C" w:rsidRDefault="0037492C" w:rsidP="005E2C5E">
            <w:pPr>
              <w:cnfStyle w:val="000000000000" w:firstRow="0" w:lastRow="0" w:firstColumn="0" w:lastColumn="0" w:oddVBand="0" w:evenVBand="0" w:oddHBand="0" w:evenHBand="0" w:firstRowFirstColumn="0" w:firstRowLastColumn="0" w:lastRowFirstColumn="0" w:lastRowLastColumn="0"/>
            </w:pPr>
            <w:r w:rsidRPr="0037492C">
              <w:t>Thyroid C</w:t>
            </w:r>
            <w:r w:rsidR="005E279A">
              <w:noBreakHyphen/>
            </w:r>
            <w:r w:rsidRPr="0037492C">
              <w:t>cell tumours</w:t>
            </w:r>
          </w:p>
        </w:tc>
        <w:tc>
          <w:tcPr>
            <w:tcW w:w="1276" w:type="dxa"/>
            <w:vAlign w:val="center"/>
          </w:tcPr>
          <w:p w14:paraId="2B2FF9CB" w14:textId="1D7F442A" w:rsidR="0037492C" w:rsidRPr="0037492C" w:rsidRDefault="0037492C" w:rsidP="005E2C5E">
            <w:pPr>
              <w:jc w:val="center"/>
              <w:cnfStyle w:val="000000000000" w:firstRow="0" w:lastRow="0" w:firstColumn="0" w:lastColumn="0" w:oddVBand="0" w:evenVBand="0" w:oddHBand="0" w:evenHBand="0" w:firstRowFirstColumn="0" w:firstRowLastColumn="0" w:lastRowFirstColumn="0" w:lastRowLastColumn="0"/>
            </w:pPr>
            <w:r w:rsidRPr="0037492C">
              <w:rPr>
                <w:rFonts w:ascii="Wingdings" w:eastAsia="Wingdings" w:hAnsi="Wingdings" w:cs="Wingdings"/>
              </w:rPr>
              <w:sym w:font="Wingdings" w:char="F0FC"/>
            </w:r>
            <w:r w:rsidRPr="0037492C">
              <w:t>*</w:t>
            </w:r>
          </w:p>
        </w:tc>
        <w:tc>
          <w:tcPr>
            <w:tcW w:w="1417" w:type="dxa"/>
            <w:vAlign w:val="center"/>
          </w:tcPr>
          <w:p w14:paraId="6A8EA262" w14:textId="640AB660" w:rsidR="0037492C" w:rsidRPr="0037492C" w:rsidRDefault="0037492C" w:rsidP="005E2C5E">
            <w:pPr>
              <w:jc w:val="center"/>
              <w:cnfStyle w:val="000000000000" w:firstRow="0" w:lastRow="0" w:firstColumn="0" w:lastColumn="0" w:oddVBand="0" w:evenVBand="0" w:oddHBand="0" w:evenHBand="0" w:firstRowFirstColumn="0" w:firstRowLastColumn="0" w:lastRowFirstColumn="0" w:lastRowLastColumn="0"/>
            </w:pPr>
            <w:r w:rsidRPr="0037492C">
              <w:rPr>
                <w:rFonts w:ascii="Wingdings" w:eastAsia="Wingdings" w:hAnsi="Wingdings" w:cs="Wingdings"/>
              </w:rPr>
              <w:sym w:font="Wingdings" w:char="F0FC"/>
            </w:r>
            <w:r>
              <w:t>†</w:t>
            </w:r>
          </w:p>
        </w:tc>
        <w:tc>
          <w:tcPr>
            <w:tcW w:w="1276" w:type="dxa"/>
            <w:vAlign w:val="center"/>
          </w:tcPr>
          <w:p w14:paraId="7CF867EF" w14:textId="77777777" w:rsidR="0037492C" w:rsidRPr="0037492C" w:rsidRDefault="0037492C" w:rsidP="005E2C5E">
            <w:pPr>
              <w:jc w:val="center"/>
              <w:cnfStyle w:val="000000000000" w:firstRow="0" w:lastRow="0" w:firstColumn="0" w:lastColumn="0" w:oddVBand="0" w:evenVBand="0" w:oddHBand="0" w:evenHBand="0" w:firstRowFirstColumn="0" w:firstRowLastColumn="0" w:lastRowFirstColumn="0" w:lastRowLastColumn="0"/>
            </w:pPr>
            <w:r w:rsidRPr="0037492C">
              <w:rPr>
                <w:rFonts w:ascii="Wingdings" w:eastAsia="Wingdings" w:hAnsi="Wingdings" w:cs="Wingdings"/>
              </w:rPr>
              <w:sym w:font="Wingdings" w:char="F0FC"/>
            </w:r>
          </w:p>
        </w:tc>
        <w:tc>
          <w:tcPr>
            <w:tcW w:w="1417" w:type="dxa"/>
            <w:vAlign w:val="center"/>
          </w:tcPr>
          <w:p w14:paraId="60B82FF6" w14:textId="37C1E7B1" w:rsidR="0037492C" w:rsidRPr="0037492C" w:rsidRDefault="005E279A" w:rsidP="005E2C5E">
            <w:pPr>
              <w:jc w:val="center"/>
              <w:cnfStyle w:val="000000000000" w:firstRow="0" w:lastRow="0" w:firstColumn="0" w:lastColumn="0" w:oddVBand="0" w:evenVBand="0" w:oddHBand="0" w:evenHBand="0" w:firstRowFirstColumn="0" w:firstRowLastColumn="0" w:lastRowFirstColumn="0" w:lastRowLastColumn="0"/>
            </w:pPr>
            <w:r>
              <w:noBreakHyphen/>
            </w:r>
          </w:p>
        </w:tc>
      </w:tr>
      <w:tr w:rsidR="0037492C" w:rsidRPr="0037492C" w14:paraId="27C2A4B7" w14:textId="77777777" w:rsidTr="005E2C5E">
        <w:trPr>
          <w:trHeight w:val="386"/>
        </w:trPr>
        <w:tc>
          <w:tcPr>
            <w:cnfStyle w:val="001000000000" w:firstRow="0" w:lastRow="0" w:firstColumn="1" w:lastColumn="0" w:oddVBand="0" w:evenVBand="0" w:oddHBand="0" w:evenHBand="0" w:firstRowFirstColumn="0" w:firstRowLastColumn="0" w:lastRowFirstColumn="0" w:lastRowLastColumn="0"/>
            <w:tcW w:w="1838" w:type="dxa"/>
            <w:vMerge/>
          </w:tcPr>
          <w:p w14:paraId="78A879F9" w14:textId="77777777" w:rsidR="0037492C" w:rsidRPr="0037492C" w:rsidRDefault="0037492C" w:rsidP="005E2C5E">
            <w:pPr>
              <w:rPr>
                <w:bCs/>
              </w:rPr>
            </w:pPr>
          </w:p>
        </w:tc>
        <w:tc>
          <w:tcPr>
            <w:tcW w:w="1843" w:type="dxa"/>
          </w:tcPr>
          <w:p w14:paraId="725C41E9" w14:textId="5961AADF" w:rsidR="0037492C" w:rsidRPr="0037492C" w:rsidRDefault="0037492C" w:rsidP="005E2C5E">
            <w:pPr>
              <w:cnfStyle w:val="000000000000" w:firstRow="0" w:lastRow="0" w:firstColumn="0" w:lastColumn="0" w:oddVBand="0" w:evenVBand="0" w:oddHBand="0" w:evenHBand="0" w:firstRowFirstColumn="0" w:firstRowLastColumn="0" w:lastRowFirstColumn="0" w:lastRowLastColumn="0"/>
            </w:pPr>
            <w:r w:rsidRPr="0037492C">
              <w:t>Pancreatic malignancy</w:t>
            </w:r>
          </w:p>
        </w:tc>
        <w:tc>
          <w:tcPr>
            <w:tcW w:w="1276" w:type="dxa"/>
            <w:vAlign w:val="center"/>
          </w:tcPr>
          <w:p w14:paraId="58597C9B" w14:textId="3666C205" w:rsidR="0037492C" w:rsidRPr="0037492C" w:rsidRDefault="0037492C" w:rsidP="005E2C5E">
            <w:pPr>
              <w:jc w:val="center"/>
              <w:cnfStyle w:val="000000000000" w:firstRow="0" w:lastRow="0" w:firstColumn="0" w:lastColumn="0" w:oddVBand="0" w:evenVBand="0" w:oddHBand="0" w:evenHBand="0" w:firstRowFirstColumn="0" w:firstRowLastColumn="0" w:lastRowFirstColumn="0" w:lastRowLastColumn="0"/>
            </w:pPr>
            <w:r w:rsidRPr="0037492C">
              <w:rPr>
                <w:rFonts w:ascii="Wingdings" w:eastAsia="Wingdings" w:hAnsi="Wingdings" w:cs="Wingdings"/>
              </w:rPr>
              <w:sym w:font="Wingdings" w:char="F0FC"/>
            </w:r>
            <w:r w:rsidRPr="0037492C">
              <w:t>*</w:t>
            </w:r>
          </w:p>
        </w:tc>
        <w:tc>
          <w:tcPr>
            <w:tcW w:w="1417" w:type="dxa"/>
            <w:vAlign w:val="center"/>
          </w:tcPr>
          <w:p w14:paraId="7C0E34F9" w14:textId="0A037372" w:rsidR="0037492C" w:rsidRPr="0037492C" w:rsidRDefault="0037492C" w:rsidP="005E2C5E">
            <w:pPr>
              <w:jc w:val="center"/>
              <w:cnfStyle w:val="000000000000" w:firstRow="0" w:lastRow="0" w:firstColumn="0" w:lastColumn="0" w:oddVBand="0" w:evenVBand="0" w:oddHBand="0" w:evenHBand="0" w:firstRowFirstColumn="0" w:firstRowLastColumn="0" w:lastRowFirstColumn="0" w:lastRowLastColumn="0"/>
            </w:pPr>
            <w:r w:rsidRPr="0037492C">
              <w:rPr>
                <w:rFonts w:ascii="Wingdings" w:eastAsia="Wingdings" w:hAnsi="Wingdings" w:cs="Wingdings"/>
              </w:rPr>
              <w:sym w:font="Wingdings" w:char="F0FC"/>
            </w:r>
            <w:r>
              <w:t>‡</w:t>
            </w:r>
          </w:p>
        </w:tc>
        <w:tc>
          <w:tcPr>
            <w:tcW w:w="1276" w:type="dxa"/>
            <w:vAlign w:val="center"/>
          </w:tcPr>
          <w:p w14:paraId="48133F86" w14:textId="24E24C7E" w:rsidR="0037492C" w:rsidRPr="0037492C" w:rsidRDefault="005E279A" w:rsidP="005E2C5E">
            <w:pPr>
              <w:jc w:val="center"/>
              <w:cnfStyle w:val="000000000000" w:firstRow="0" w:lastRow="0" w:firstColumn="0" w:lastColumn="0" w:oddVBand="0" w:evenVBand="0" w:oddHBand="0" w:evenHBand="0" w:firstRowFirstColumn="0" w:firstRowLastColumn="0" w:lastRowFirstColumn="0" w:lastRowLastColumn="0"/>
            </w:pPr>
            <w:r>
              <w:noBreakHyphen/>
            </w:r>
          </w:p>
        </w:tc>
        <w:tc>
          <w:tcPr>
            <w:tcW w:w="1417" w:type="dxa"/>
            <w:vAlign w:val="center"/>
          </w:tcPr>
          <w:p w14:paraId="2578D651" w14:textId="189D336D" w:rsidR="0037492C" w:rsidRPr="0037492C" w:rsidRDefault="005E279A" w:rsidP="005E2C5E">
            <w:pPr>
              <w:jc w:val="center"/>
              <w:cnfStyle w:val="000000000000" w:firstRow="0" w:lastRow="0" w:firstColumn="0" w:lastColumn="0" w:oddVBand="0" w:evenVBand="0" w:oddHBand="0" w:evenHBand="0" w:firstRowFirstColumn="0" w:firstRowLastColumn="0" w:lastRowFirstColumn="0" w:lastRowLastColumn="0"/>
            </w:pPr>
            <w:r>
              <w:noBreakHyphen/>
            </w:r>
          </w:p>
        </w:tc>
      </w:tr>
      <w:tr w:rsidR="0037492C" w:rsidRPr="0037492C" w14:paraId="666B7375" w14:textId="77777777" w:rsidTr="005E2C5E">
        <w:trPr>
          <w:trHeight w:val="386"/>
        </w:trPr>
        <w:tc>
          <w:tcPr>
            <w:cnfStyle w:val="001000000000" w:firstRow="0" w:lastRow="0" w:firstColumn="1" w:lastColumn="0" w:oddVBand="0" w:evenVBand="0" w:oddHBand="0" w:evenHBand="0" w:firstRowFirstColumn="0" w:firstRowLastColumn="0" w:lastRowFirstColumn="0" w:lastRowLastColumn="0"/>
            <w:tcW w:w="1838" w:type="dxa"/>
            <w:vMerge/>
          </w:tcPr>
          <w:p w14:paraId="5DF2C967" w14:textId="77777777" w:rsidR="0037492C" w:rsidRPr="0037492C" w:rsidRDefault="0037492C" w:rsidP="005E2C5E">
            <w:pPr>
              <w:rPr>
                <w:bCs/>
              </w:rPr>
            </w:pPr>
          </w:p>
        </w:tc>
        <w:tc>
          <w:tcPr>
            <w:tcW w:w="1843" w:type="dxa"/>
          </w:tcPr>
          <w:p w14:paraId="46256ACE" w14:textId="74E61FA2" w:rsidR="0037492C" w:rsidRPr="0037492C" w:rsidRDefault="0037492C" w:rsidP="005E2C5E">
            <w:pPr>
              <w:cnfStyle w:val="000000000000" w:firstRow="0" w:lastRow="0" w:firstColumn="0" w:lastColumn="0" w:oddVBand="0" w:evenVBand="0" w:oddHBand="0" w:evenHBand="0" w:firstRowFirstColumn="0" w:firstRowLastColumn="0" w:lastRowFirstColumn="0" w:lastRowLastColumn="0"/>
            </w:pPr>
            <w:r w:rsidRPr="0037492C">
              <w:t>Diabetic retinopathy complications</w:t>
            </w:r>
          </w:p>
        </w:tc>
        <w:tc>
          <w:tcPr>
            <w:tcW w:w="1276" w:type="dxa"/>
            <w:vAlign w:val="center"/>
          </w:tcPr>
          <w:p w14:paraId="247F3A61" w14:textId="79C17D74" w:rsidR="0037492C" w:rsidRPr="0037492C" w:rsidRDefault="0037492C" w:rsidP="005E2C5E">
            <w:pPr>
              <w:jc w:val="center"/>
              <w:cnfStyle w:val="000000000000" w:firstRow="0" w:lastRow="0" w:firstColumn="0" w:lastColumn="0" w:oddVBand="0" w:evenVBand="0" w:oddHBand="0" w:evenHBand="0" w:firstRowFirstColumn="0" w:firstRowLastColumn="0" w:lastRowFirstColumn="0" w:lastRowLastColumn="0"/>
            </w:pPr>
            <w:r w:rsidRPr="0037492C">
              <w:rPr>
                <w:rFonts w:ascii="Wingdings" w:eastAsia="Wingdings" w:hAnsi="Wingdings" w:cs="Wingdings"/>
              </w:rPr>
              <w:sym w:font="Wingdings" w:char="F0FC"/>
            </w:r>
          </w:p>
        </w:tc>
        <w:tc>
          <w:tcPr>
            <w:tcW w:w="1417" w:type="dxa"/>
            <w:vAlign w:val="center"/>
          </w:tcPr>
          <w:p w14:paraId="3FEF510A" w14:textId="4170857A" w:rsidR="0037492C" w:rsidRPr="0037492C" w:rsidRDefault="0037492C" w:rsidP="005E2C5E">
            <w:pPr>
              <w:jc w:val="center"/>
              <w:cnfStyle w:val="000000000000" w:firstRow="0" w:lastRow="0" w:firstColumn="0" w:lastColumn="0" w:oddVBand="0" w:evenVBand="0" w:oddHBand="0" w:evenHBand="0" w:firstRowFirstColumn="0" w:firstRowLastColumn="0" w:lastRowFirstColumn="0" w:lastRowLastColumn="0"/>
            </w:pPr>
            <w:r w:rsidRPr="0037492C">
              <w:rPr>
                <w:rFonts w:ascii="Wingdings" w:eastAsia="Wingdings" w:hAnsi="Wingdings" w:cs="Wingdings"/>
              </w:rPr>
              <w:sym w:font="Wingdings" w:char="F0FC"/>
            </w:r>
            <w:r>
              <w:t>§</w:t>
            </w:r>
          </w:p>
        </w:tc>
        <w:tc>
          <w:tcPr>
            <w:tcW w:w="1276" w:type="dxa"/>
            <w:vAlign w:val="center"/>
          </w:tcPr>
          <w:p w14:paraId="5B04B024" w14:textId="428A56C6" w:rsidR="0037492C" w:rsidRPr="0037492C" w:rsidRDefault="0037492C" w:rsidP="005E2C5E">
            <w:pPr>
              <w:jc w:val="center"/>
              <w:cnfStyle w:val="000000000000" w:firstRow="0" w:lastRow="0" w:firstColumn="0" w:lastColumn="0" w:oddVBand="0" w:evenVBand="0" w:oddHBand="0" w:evenHBand="0" w:firstRowFirstColumn="0" w:firstRowLastColumn="0" w:lastRowFirstColumn="0" w:lastRowLastColumn="0"/>
            </w:pPr>
            <w:r w:rsidRPr="0037492C">
              <w:rPr>
                <w:rFonts w:ascii="Wingdings" w:eastAsia="Wingdings" w:hAnsi="Wingdings" w:cs="Wingdings"/>
              </w:rPr>
              <w:sym w:font="Wingdings" w:char="F0FC"/>
            </w:r>
          </w:p>
        </w:tc>
        <w:tc>
          <w:tcPr>
            <w:tcW w:w="1417" w:type="dxa"/>
            <w:vAlign w:val="center"/>
          </w:tcPr>
          <w:p w14:paraId="5DE6482B" w14:textId="61CA922B" w:rsidR="0037492C" w:rsidRPr="0037492C" w:rsidRDefault="005E279A" w:rsidP="005E2C5E">
            <w:pPr>
              <w:jc w:val="center"/>
              <w:cnfStyle w:val="000000000000" w:firstRow="0" w:lastRow="0" w:firstColumn="0" w:lastColumn="0" w:oddVBand="0" w:evenVBand="0" w:oddHBand="0" w:evenHBand="0" w:firstRowFirstColumn="0" w:firstRowLastColumn="0" w:lastRowFirstColumn="0" w:lastRowLastColumn="0"/>
            </w:pPr>
            <w:r>
              <w:noBreakHyphen/>
            </w:r>
          </w:p>
        </w:tc>
      </w:tr>
      <w:tr w:rsidR="0037492C" w:rsidRPr="0037492C" w14:paraId="2FB04139" w14:textId="77777777" w:rsidTr="005E2C5E">
        <w:trPr>
          <w:trHeight w:val="386"/>
        </w:trPr>
        <w:tc>
          <w:tcPr>
            <w:cnfStyle w:val="001000000000" w:firstRow="0" w:lastRow="0" w:firstColumn="1" w:lastColumn="0" w:oddVBand="0" w:evenVBand="0" w:oddHBand="0" w:evenHBand="0" w:firstRowFirstColumn="0" w:firstRowLastColumn="0" w:lastRowFirstColumn="0" w:lastRowLastColumn="0"/>
            <w:tcW w:w="1838" w:type="dxa"/>
          </w:tcPr>
          <w:p w14:paraId="5CC300B7" w14:textId="77777777" w:rsidR="006F6456" w:rsidRPr="0037492C" w:rsidRDefault="006F6456" w:rsidP="005E2C5E">
            <w:pPr>
              <w:rPr>
                <w:bCs/>
              </w:rPr>
            </w:pPr>
            <w:r w:rsidRPr="0037492C">
              <w:rPr>
                <w:bCs/>
              </w:rPr>
              <w:t>Missing information</w:t>
            </w:r>
          </w:p>
        </w:tc>
        <w:tc>
          <w:tcPr>
            <w:tcW w:w="1843" w:type="dxa"/>
          </w:tcPr>
          <w:p w14:paraId="3FFF42E0" w14:textId="7F9AD495" w:rsidR="006F6456" w:rsidRPr="0037492C" w:rsidRDefault="0037492C" w:rsidP="005E2C5E">
            <w:pPr>
              <w:cnfStyle w:val="000000000000" w:firstRow="0" w:lastRow="0" w:firstColumn="0" w:lastColumn="0" w:oddVBand="0" w:evenVBand="0" w:oddHBand="0" w:evenHBand="0" w:firstRowFirstColumn="0" w:firstRowLastColumn="0" w:lastRowFirstColumn="0" w:lastRowLastColumn="0"/>
            </w:pPr>
            <w:r w:rsidRPr="0037492C">
              <w:t>Use in pregnancy and lactation</w:t>
            </w:r>
          </w:p>
        </w:tc>
        <w:tc>
          <w:tcPr>
            <w:tcW w:w="1276" w:type="dxa"/>
            <w:vAlign w:val="center"/>
          </w:tcPr>
          <w:p w14:paraId="3EB54F69" w14:textId="639582A2" w:rsidR="006F6456" w:rsidRPr="0037492C" w:rsidRDefault="0037492C" w:rsidP="005E2C5E">
            <w:pPr>
              <w:jc w:val="center"/>
              <w:cnfStyle w:val="000000000000" w:firstRow="0" w:lastRow="0" w:firstColumn="0" w:lastColumn="0" w:oddVBand="0" w:evenVBand="0" w:oddHBand="0" w:evenHBand="0" w:firstRowFirstColumn="0" w:firstRowLastColumn="0" w:lastRowFirstColumn="0" w:lastRowLastColumn="0"/>
            </w:pPr>
            <w:r w:rsidRPr="0037492C">
              <w:rPr>
                <w:rFonts w:ascii="Wingdings" w:eastAsia="Wingdings" w:hAnsi="Wingdings" w:cs="Wingdings"/>
              </w:rPr>
              <w:sym w:font="Wingdings" w:char="F0FC"/>
            </w:r>
            <w:r w:rsidRPr="0037492C">
              <w:t>*</w:t>
            </w:r>
          </w:p>
        </w:tc>
        <w:tc>
          <w:tcPr>
            <w:tcW w:w="1417" w:type="dxa"/>
            <w:vAlign w:val="center"/>
          </w:tcPr>
          <w:p w14:paraId="4CB44649" w14:textId="335676F4" w:rsidR="006F6456" w:rsidRPr="0037492C" w:rsidRDefault="005E279A" w:rsidP="005E2C5E">
            <w:pPr>
              <w:jc w:val="center"/>
              <w:cnfStyle w:val="000000000000" w:firstRow="0" w:lastRow="0" w:firstColumn="0" w:lastColumn="0" w:oddVBand="0" w:evenVBand="0" w:oddHBand="0" w:evenHBand="0" w:firstRowFirstColumn="0" w:firstRowLastColumn="0" w:lastRowFirstColumn="0" w:lastRowLastColumn="0"/>
            </w:pPr>
            <w:r>
              <w:noBreakHyphen/>
            </w:r>
          </w:p>
        </w:tc>
        <w:tc>
          <w:tcPr>
            <w:tcW w:w="1276" w:type="dxa"/>
            <w:vAlign w:val="center"/>
          </w:tcPr>
          <w:p w14:paraId="3AF941E0" w14:textId="77777777" w:rsidR="006F6456" w:rsidRPr="0037492C" w:rsidRDefault="006F6456" w:rsidP="005E2C5E">
            <w:pPr>
              <w:jc w:val="center"/>
              <w:cnfStyle w:val="000000000000" w:firstRow="0" w:lastRow="0" w:firstColumn="0" w:lastColumn="0" w:oddVBand="0" w:evenVBand="0" w:oddHBand="0" w:evenHBand="0" w:firstRowFirstColumn="0" w:firstRowLastColumn="0" w:lastRowFirstColumn="0" w:lastRowLastColumn="0"/>
            </w:pPr>
            <w:r w:rsidRPr="0037492C">
              <w:rPr>
                <w:rFonts w:ascii="Wingdings" w:eastAsia="Wingdings" w:hAnsi="Wingdings" w:cs="Wingdings"/>
              </w:rPr>
              <w:sym w:font="Wingdings" w:char="F0FC"/>
            </w:r>
          </w:p>
        </w:tc>
        <w:tc>
          <w:tcPr>
            <w:tcW w:w="1417" w:type="dxa"/>
            <w:vAlign w:val="center"/>
          </w:tcPr>
          <w:p w14:paraId="076102AC" w14:textId="171E47BC" w:rsidR="006F6456" w:rsidRPr="0037492C" w:rsidRDefault="005E279A" w:rsidP="005E2C5E">
            <w:pPr>
              <w:jc w:val="center"/>
              <w:cnfStyle w:val="000000000000" w:firstRow="0" w:lastRow="0" w:firstColumn="0" w:lastColumn="0" w:oddVBand="0" w:evenVBand="0" w:oddHBand="0" w:evenHBand="0" w:firstRowFirstColumn="0" w:firstRowLastColumn="0" w:lastRowFirstColumn="0" w:lastRowLastColumn="0"/>
            </w:pPr>
            <w:r>
              <w:noBreakHyphen/>
            </w:r>
          </w:p>
        </w:tc>
      </w:tr>
    </w:tbl>
    <w:p w14:paraId="21EA000B" w14:textId="7FB2A9A5" w:rsidR="0037492C" w:rsidRPr="00326820" w:rsidRDefault="0037492C" w:rsidP="0037492C">
      <w:pPr>
        <w:pStyle w:val="TableDescription"/>
      </w:pPr>
      <w:r w:rsidRPr="00326820">
        <w:rPr>
          <w:rFonts w:asciiTheme="majorHAnsi" w:hAnsiTheme="majorHAnsi"/>
          <w:szCs w:val="20"/>
        </w:rPr>
        <w:t xml:space="preserve">* </w:t>
      </w:r>
      <w:r w:rsidRPr="00326820">
        <w:t>Specific adverse reaction follow</w:t>
      </w:r>
      <w:r w:rsidR="005E279A">
        <w:noBreakHyphen/>
      </w:r>
      <w:r w:rsidRPr="00326820">
        <w:t>up questionnaires</w:t>
      </w:r>
    </w:p>
    <w:p w14:paraId="291072F3" w14:textId="77777777" w:rsidR="0037492C" w:rsidRPr="00326820" w:rsidRDefault="0037492C" w:rsidP="0037492C">
      <w:pPr>
        <w:pStyle w:val="TableDescription"/>
      </w:pPr>
      <w:r w:rsidRPr="00326820">
        <w:t>† Medullary Thyroid Carcinoma Surveillance Study</w:t>
      </w:r>
    </w:p>
    <w:p w14:paraId="77169CA8" w14:textId="77777777" w:rsidR="0037492C" w:rsidRPr="00326820" w:rsidRDefault="0037492C" w:rsidP="0037492C">
      <w:pPr>
        <w:pStyle w:val="TableDescription"/>
      </w:pPr>
      <w:r w:rsidRPr="00326820">
        <w:t>‡ Pancreatic Malignancy Study</w:t>
      </w:r>
    </w:p>
    <w:p w14:paraId="3984C4B4" w14:textId="52CA9C0D" w:rsidR="0037492C" w:rsidRDefault="0037492C" w:rsidP="0037492C">
      <w:pPr>
        <w:pStyle w:val="TableDescription"/>
      </w:pPr>
      <w:r w:rsidRPr="00326820">
        <w:t xml:space="preserve">§ Retinopathy addendum to </w:t>
      </w:r>
      <w:r w:rsidR="00AC500E" w:rsidRPr="0022010B">
        <w:t>Study I8F</w:t>
      </w:r>
      <w:r w:rsidR="005E279A">
        <w:noBreakHyphen/>
      </w:r>
      <w:r w:rsidR="00AC500E" w:rsidRPr="0022010B">
        <w:t>MC</w:t>
      </w:r>
      <w:r w:rsidR="005E279A">
        <w:noBreakHyphen/>
      </w:r>
      <w:r w:rsidR="00AC500E" w:rsidRPr="0022010B">
        <w:t>GPGN</w:t>
      </w:r>
    </w:p>
    <w:p w14:paraId="557C7801" w14:textId="690FDAEA" w:rsidR="00903634" w:rsidRPr="00903634" w:rsidRDefault="00903634" w:rsidP="00903634">
      <w:r w:rsidRPr="00903634">
        <w:t>The proposed summary of safety concerns in the draft EU</w:t>
      </w:r>
      <w:r w:rsidR="00526338">
        <w:t xml:space="preserve"> </w:t>
      </w:r>
      <w:r w:rsidRPr="00903634">
        <w:t xml:space="preserve">RMP and ASA </w:t>
      </w:r>
      <w:r w:rsidR="00526338">
        <w:t>were</w:t>
      </w:r>
      <w:r w:rsidRPr="00903634">
        <w:t xml:space="preserve"> the same. At round</w:t>
      </w:r>
      <w:r w:rsidR="00526338">
        <w:t> </w:t>
      </w:r>
      <w:r w:rsidRPr="00903634">
        <w:t>1 the sponsor was asked to add</w:t>
      </w:r>
      <w:r w:rsidR="00526338">
        <w:t xml:space="preserve"> the following</w:t>
      </w:r>
      <w:r w:rsidRPr="00903634">
        <w:t xml:space="preserve"> safety concerns </w:t>
      </w:r>
      <w:r w:rsidR="00526338">
        <w:t xml:space="preserve">as missing information </w:t>
      </w:r>
      <w:r w:rsidRPr="00903634">
        <w:t>in the ASA</w:t>
      </w:r>
      <w:r>
        <w:t>:</w:t>
      </w:r>
      <w:r w:rsidRPr="00903634">
        <w:t xml:space="preserve"> </w:t>
      </w:r>
      <w:r>
        <w:t>‘</w:t>
      </w:r>
      <w:r w:rsidRPr="00903634">
        <w:t>Use in pregnant and lactating women</w:t>
      </w:r>
      <w:r>
        <w:t>’</w:t>
      </w:r>
      <w:r w:rsidRPr="00903634">
        <w:t xml:space="preserve">, </w:t>
      </w:r>
      <w:r>
        <w:t>‘</w:t>
      </w:r>
      <w:r w:rsidR="00526338">
        <w:t>u</w:t>
      </w:r>
      <w:r w:rsidRPr="00903634">
        <w:t>se in children and adolescents</w:t>
      </w:r>
      <w:r>
        <w:t>’</w:t>
      </w:r>
      <w:r w:rsidRPr="00903634">
        <w:t xml:space="preserve">, </w:t>
      </w:r>
      <w:r>
        <w:t>‘</w:t>
      </w:r>
      <w:r w:rsidR="00526338">
        <w:t>l</w:t>
      </w:r>
      <w:r w:rsidRPr="00903634">
        <w:t>ong</w:t>
      </w:r>
      <w:r w:rsidR="005E279A">
        <w:noBreakHyphen/>
      </w:r>
      <w:r w:rsidRPr="00903634">
        <w:t>term safety</w:t>
      </w:r>
      <w:r>
        <w:t>’</w:t>
      </w:r>
      <w:r w:rsidRPr="00903634">
        <w:t xml:space="preserve">, </w:t>
      </w:r>
      <w:r>
        <w:t>‘</w:t>
      </w:r>
      <w:r w:rsidR="00526338">
        <w:t>o</w:t>
      </w:r>
      <w:r w:rsidRPr="00903634">
        <w:t>ff</w:t>
      </w:r>
      <w:r w:rsidR="005E279A">
        <w:noBreakHyphen/>
      </w:r>
      <w:r w:rsidRPr="00903634">
        <w:t>label use for weight reduction</w:t>
      </w:r>
      <w:r>
        <w:t>’</w:t>
      </w:r>
      <w:r w:rsidRPr="00903634">
        <w:t xml:space="preserve"> and </w:t>
      </w:r>
      <w:r>
        <w:t>‘</w:t>
      </w:r>
      <w:r w:rsidR="00526338">
        <w:t>g</w:t>
      </w:r>
      <w:r>
        <w:t xml:space="preserve">astrointestinal </w:t>
      </w:r>
      <w:r w:rsidRPr="00903634">
        <w:t>reactions leading to deterioration in renal function, including acute renal failure</w:t>
      </w:r>
      <w:r>
        <w:t>’</w:t>
      </w:r>
      <w:r w:rsidR="00526338">
        <w:t xml:space="preserve">. </w:t>
      </w:r>
      <w:r w:rsidRPr="00903634">
        <w:t>At round 2 the sponsor added the important potential risk of ‘diabetic retinopathy complications’ and the missing information ‘use in pregnancy and lactation’ to the summary of safety concerns. The safety specification aligns with the EU</w:t>
      </w:r>
      <w:r w:rsidR="005E279A">
        <w:noBreakHyphen/>
      </w:r>
      <w:r w:rsidRPr="00903634">
        <w:t>RMP and is acceptable.</w:t>
      </w:r>
    </w:p>
    <w:p w14:paraId="47B0B8B0" w14:textId="71C66AB5" w:rsidR="00903634" w:rsidRPr="00903634" w:rsidRDefault="00903634" w:rsidP="00903634">
      <w:r w:rsidRPr="00903634">
        <w:t>Routine pharmacovigilance activities are proposed, and these activities are aligned in the EU</w:t>
      </w:r>
      <w:r w:rsidR="00526338">
        <w:t xml:space="preserve"> </w:t>
      </w:r>
      <w:r w:rsidRPr="00903634">
        <w:t>RMP and ASA, including use of specific adverse event follow</w:t>
      </w:r>
      <w:r w:rsidR="005E279A">
        <w:noBreakHyphen/>
      </w:r>
      <w:r w:rsidRPr="00903634">
        <w:t>up questionnaires for the important potential risks of ‘thyroid C</w:t>
      </w:r>
      <w:r w:rsidR="005E279A">
        <w:noBreakHyphen/>
      </w:r>
      <w:r w:rsidRPr="00903634">
        <w:t>cell tumours’ and ‘pancreatic malignancy’. No additional pharmacovigilance activities are proposed.</w:t>
      </w:r>
      <w:r w:rsidR="00526338">
        <w:t xml:space="preserve"> </w:t>
      </w:r>
      <w:r w:rsidRPr="00903634">
        <w:t>At round 2 the sponsor also included questionnaires for the new missing information</w:t>
      </w:r>
      <w:r>
        <w:t xml:space="preserve"> safety concern ‘</w:t>
      </w:r>
      <w:r w:rsidR="00526338">
        <w:t>u</w:t>
      </w:r>
      <w:r>
        <w:t>se in pregnancy and lactation’</w:t>
      </w:r>
      <w:r w:rsidRPr="00903634">
        <w:t xml:space="preserve">. Additional pharmacovigilance </w:t>
      </w:r>
      <w:r>
        <w:t>activities have</w:t>
      </w:r>
      <w:r w:rsidRPr="00903634">
        <w:t xml:space="preserve"> been included in the EU</w:t>
      </w:r>
      <w:r w:rsidR="00526338">
        <w:t xml:space="preserve"> </w:t>
      </w:r>
      <w:r w:rsidRPr="00903634">
        <w:t>RMP for all important potential risks. The sponsor is requested to include these studies in the ASA in a post</w:t>
      </w:r>
      <w:r w:rsidR="00526338">
        <w:t> </w:t>
      </w:r>
      <w:r w:rsidRPr="00903634">
        <w:t>market update. The pharmacovigilance plan is acceptable.</w:t>
      </w:r>
    </w:p>
    <w:p w14:paraId="03C963F0" w14:textId="58BC939E" w:rsidR="00903634" w:rsidRDefault="00903634" w:rsidP="00903634">
      <w:r w:rsidRPr="00903634">
        <w:t>Routine risk minimisation is proposed in the EU</w:t>
      </w:r>
      <w:r w:rsidR="00526338">
        <w:t xml:space="preserve"> </w:t>
      </w:r>
      <w:r w:rsidRPr="00903634">
        <w:t>RMP and ASA. No additional risk minimisation activities are proposed.</w:t>
      </w:r>
      <w:r w:rsidR="00526338">
        <w:t xml:space="preserve"> </w:t>
      </w:r>
      <w:r w:rsidRPr="00903634">
        <w:t xml:space="preserve">At </w:t>
      </w:r>
      <w:r w:rsidR="00AB5ABC">
        <w:t>r</w:t>
      </w:r>
      <w:r w:rsidRPr="00903634">
        <w:t>ound 1, the sponsor was asked to respond to clarification questions on the PI and CMI.</w:t>
      </w:r>
      <w:r w:rsidR="009B514E">
        <w:t xml:space="preserve"> </w:t>
      </w:r>
      <w:r w:rsidRPr="00903634">
        <w:t xml:space="preserve">At </w:t>
      </w:r>
      <w:r w:rsidR="00AB5ABC">
        <w:t>r</w:t>
      </w:r>
      <w:r w:rsidRPr="00903634">
        <w:t>ound 2, the PI align</w:t>
      </w:r>
      <w:r w:rsidR="00526338">
        <w:t>ed</w:t>
      </w:r>
      <w:r w:rsidRPr="00903634">
        <w:t xml:space="preserve"> with the </w:t>
      </w:r>
      <w:r w:rsidR="009B514E">
        <w:t>European Summary of Product Characteristics</w:t>
      </w:r>
      <w:r w:rsidRPr="00903634">
        <w:t xml:space="preserve"> and with the PIs of other similar products in Australia. The CMI and instructions for use will be included in the product packaging. Routine risk minimisation is proposed for the new safety concerns. The ‘instructions for use’ document links to a video which should be submitted for review prior to marketing of Mounjaro in Australia. The risk minimisation plan is acceptable.</w:t>
      </w:r>
    </w:p>
    <w:p w14:paraId="20F98E4A" w14:textId="557804CA" w:rsidR="004374AB" w:rsidRPr="00903634" w:rsidRDefault="004374AB" w:rsidP="004374AB">
      <w:r>
        <w:lastRenderedPageBreak/>
        <w:t>The RMP evaluation r</w:t>
      </w:r>
      <w:r w:rsidRPr="00903634">
        <w:t>ecommended conditions of registration</w:t>
      </w:r>
      <w:r>
        <w:t xml:space="preserve"> relating to the risk management plan, requirement for </w:t>
      </w:r>
      <w:r w:rsidRPr="00903634">
        <w:t>periodic safety update reports</w:t>
      </w:r>
      <w:r w:rsidR="00AB5ABC">
        <w:t>,</w:t>
      </w:r>
      <w:r>
        <w:t xml:space="preserve"> and inclusion </w:t>
      </w:r>
      <w:r w:rsidR="00AB5ABC">
        <w:t xml:space="preserve">of the product </w:t>
      </w:r>
      <w:r>
        <w:t xml:space="preserve">in the </w:t>
      </w:r>
      <w:r w:rsidRPr="00903634">
        <w:t>Black Triangle Scheme</w:t>
      </w:r>
      <w:r>
        <w:t>.</w:t>
      </w:r>
    </w:p>
    <w:p w14:paraId="600BA15D" w14:textId="195E372D" w:rsidR="00903634" w:rsidRPr="006345D0" w:rsidRDefault="00903634" w:rsidP="006345D0">
      <w:pPr>
        <w:pStyle w:val="Heading4"/>
      </w:pPr>
      <w:bookmarkStart w:id="114" w:name="_Toc148961953"/>
      <w:r w:rsidRPr="006345D0">
        <w:t>Product information</w:t>
      </w:r>
      <w:bookmarkEnd w:id="114"/>
    </w:p>
    <w:p w14:paraId="3E81C884" w14:textId="4FF1F939" w:rsidR="005506DC" w:rsidRDefault="00903634" w:rsidP="00903634">
      <w:r w:rsidRPr="00903634">
        <w:t>The nonclinical evaluat</w:t>
      </w:r>
      <w:r w:rsidR="009B514E">
        <w:t>ion</w:t>
      </w:r>
      <w:r w:rsidRPr="00903634">
        <w:t xml:space="preserve"> consider</w:t>
      </w:r>
      <w:r w:rsidR="009B514E">
        <w:t>ed</w:t>
      </w:r>
      <w:r w:rsidRPr="00903634">
        <w:t xml:space="preserve"> the safety specification to adequately reflect nonclinical study findings. However, there are no routine risk minimisation measures for the important potential risk ‘thyroid C</w:t>
      </w:r>
      <w:r w:rsidR="005E279A">
        <w:noBreakHyphen/>
      </w:r>
      <w:r w:rsidRPr="00903634">
        <w:t>cell tumours’</w:t>
      </w:r>
      <w:r w:rsidR="005506DC">
        <w:t xml:space="preserve">. The sponsor was </w:t>
      </w:r>
      <w:r w:rsidRPr="00903634">
        <w:t>request</w:t>
      </w:r>
      <w:r w:rsidR="005506DC">
        <w:t>ed</w:t>
      </w:r>
      <w:r w:rsidR="009B514E">
        <w:t xml:space="preserve"> to </w:t>
      </w:r>
      <w:r w:rsidR="005506DC">
        <w:t xml:space="preserve">revise </w:t>
      </w:r>
      <w:r w:rsidRPr="00903634">
        <w:t>the PI to align with other GLP</w:t>
      </w:r>
      <w:r w:rsidR="005E279A">
        <w:noBreakHyphen/>
      </w:r>
      <w:r w:rsidRPr="00903634">
        <w:t xml:space="preserve">1 receptor agonists and include information about carcinogenic potential in the </w:t>
      </w:r>
      <w:r w:rsidRPr="00AC500E">
        <w:t>‘Preclinical Data’ section of the PI.</w:t>
      </w:r>
    </w:p>
    <w:p w14:paraId="393A48F3" w14:textId="70CE899A" w:rsidR="00903634" w:rsidRPr="00903634" w:rsidRDefault="00903634" w:rsidP="00903634">
      <w:r w:rsidRPr="00903634">
        <w:t>The Australian PI for other similar products also includes the following further comments:</w:t>
      </w:r>
    </w:p>
    <w:p w14:paraId="0C0D55CB" w14:textId="4F208693" w:rsidR="00903634" w:rsidRPr="00AB5ABC" w:rsidRDefault="00903634" w:rsidP="009B514E">
      <w:pPr>
        <w:ind w:left="720"/>
        <w:rPr>
          <w:sz w:val="20"/>
        </w:rPr>
      </w:pPr>
      <w:r w:rsidRPr="00AB5ABC">
        <w:rPr>
          <w:sz w:val="20"/>
        </w:rPr>
        <w:t>The findings in mice and rats are mediated by a specific GLP</w:t>
      </w:r>
      <w:r w:rsidR="005E279A">
        <w:rPr>
          <w:sz w:val="20"/>
        </w:rPr>
        <w:noBreakHyphen/>
      </w:r>
      <w:r w:rsidRPr="00AB5ABC">
        <w:rPr>
          <w:sz w:val="20"/>
        </w:rPr>
        <w:t>1 receptor</w:t>
      </w:r>
      <w:r w:rsidR="005E279A">
        <w:rPr>
          <w:sz w:val="20"/>
        </w:rPr>
        <w:noBreakHyphen/>
      </w:r>
      <w:r w:rsidRPr="00AB5ABC">
        <w:rPr>
          <w:sz w:val="20"/>
        </w:rPr>
        <w:t>mediated mechanism to which rodents are particularly sensitive. The relevance for humans is likely to be low but cannot presently be completely excluded.</w:t>
      </w:r>
    </w:p>
    <w:p w14:paraId="76A0F31B" w14:textId="3B96F7B7" w:rsidR="00903634" w:rsidRPr="00903634" w:rsidRDefault="00903634" w:rsidP="00903634">
      <w:r w:rsidRPr="00903634">
        <w:t xml:space="preserve">This discrepancy </w:t>
      </w:r>
      <w:r w:rsidR="009B514E">
        <w:t>was</w:t>
      </w:r>
      <w:r w:rsidRPr="00903634">
        <w:t xml:space="preserve"> referred to the </w:t>
      </w:r>
      <w:r w:rsidR="009B514E">
        <w:t>D</w:t>
      </w:r>
      <w:r w:rsidRPr="00903634">
        <w:t>elegate for review and decision.</w:t>
      </w:r>
    </w:p>
    <w:p w14:paraId="179B5304" w14:textId="2DD79610" w:rsidR="00903634" w:rsidRPr="00903634" w:rsidRDefault="00903634" w:rsidP="00903634">
      <w:r w:rsidRPr="00903634">
        <w:t>The clinical evaluat</w:t>
      </w:r>
      <w:r w:rsidR="009B514E">
        <w:t>ion did</w:t>
      </w:r>
      <w:r w:rsidRPr="00903634">
        <w:t xml:space="preserve"> not comment on the RMP, however the clinical evaluation report has been reviewed for issues relevant to the safety specification. The clinical evaluat</w:t>
      </w:r>
      <w:r w:rsidR="009B514E">
        <w:t>ion</w:t>
      </w:r>
      <w:r w:rsidRPr="00903634">
        <w:t xml:space="preserve"> consider</w:t>
      </w:r>
      <w:r w:rsidR="009B514E">
        <w:t>ed</w:t>
      </w:r>
      <w:r w:rsidRPr="00903634">
        <w:t xml:space="preserve"> the safety profile of tirzepatide to be fairly typical of other GLP</w:t>
      </w:r>
      <w:r w:rsidR="005E279A">
        <w:noBreakHyphen/>
      </w:r>
      <w:r w:rsidRPr="00903634">
        <w:t>1 receptor agonists. Swissmedic request</w:t>
      </w:r>
      <w:r w:rsidR="009B514E">
        <w:t>ed</w:t>
      </w:r>
      <w:r w:rsidRPr="00903634">
        <w:t xml:space="preserve"> the following warnings to be included in the product information:</w:t>
      </w:r>
    </w:p>
    <w:p w14:paraId="3CCC6BD6" w14:textId="70B95340" w:rsidR="00903634" w:rsidRPr="00903634" w:rsidRDefault="00903634" w:rsidP="004374AB">
      <w:pPr>
        <w:pStyle w:val="ListBullet"/>
      </w:pPr>
      <w:r w:rsidRPr="00903634">
        <w:t>potential risk of medullary thyroid cancer</w:t>
      </w:r>
    </w:p>
    <w:p w14:paraId="0951D11B" w14:textId="10BBAFC5" w:rsidR="00903634" w:rsidRPr="00903634" w:rsidRDefault="00903634" w:rsidP="004374AB">
      <w:pPr>
        <w:pStyle w:val="ListBullet"/>
      </w:pPr>
      <w:r w:rsidRPr="00903634">
        <w:t>potential worsening of diabetic retinopathy following initiation of treatment</w:t>
      </w:r>
    </w:p>
    <w:p w14:paraId="22CF9C8D" w14:textId="77777777" w:rsidR="00903634" w:rsidRPr="00903634" w:rsidRDefault="00903634" w:rsidP="004374AB">
      <w:pPr>
        <w:pStyle w:val="ListBullet"/>
      </w:pPr>
      <w:r w:rsidRPr="00903634">
        <w:t>acute gall bladder disease.</w:t>
      </w:r>
    </w:p>
    <w:p w14:paraId="11B5995A" w14:textId="42A4A36D" w:rsidR="00903634" w:rsidRDefault="00903634" w:rsidP="00903634">
      <w:r w:rsidRPr="00903634">
        <w:t xml:space="preserve">The Australian PI includes information about thyroid cancer and diabetic retinopathy but not gallbladder disease. Information on gallbladder disease is not included in the </w:t>
      </w:r>
      <w:r w:rsidR="004374AB">
        <w:t>European Summary of Product Characteristics</w:t>
      </w:r>
      <w:r w:rsidRPr="00903634">
        <w:t xml:space="preserve"> for Mounjaro or for other GLP</w:t>
      </w:r>
      <w:r w:rsidR="005E279A">
        <w:noBreakHyphen/>
      </w:r>
      <w:r w:rsidRPr="00903634">
        <w:t xml:space="preserve">1 receptor agonists. This issue </w:t>
      </w:r>
      <w:r w:rsidR="004374AB">
        <w:t>was</w:t>
      </w:r>
      <w:r w:rsidRPr="00903634">
        <w:t xml:space="preserve"> referred to the </w:t>
      </w:r>
      <w:r w:rsidR="004374AB">
        <w:t>D</w:t>
      </w:r>
      <w:r w:rsidRPr="00903634">
        <w:t>elegate for review and decision.</w:t>
      </w:r>
    </w:p>
    <w:p w14:paraId="74A4F87F" w14:textId="411E6E9B" w:rsidR="00C22214" w:rsidRPr="006345D0" w:rsidRDefault="00C22214" w:rsidP="006345D0">
      <w:pPr>
        <w:pStyle w:val="Heading3"/>
      </w:pPr>
      <w:bookmarkStart w:id="115" w:name="_Toc103679299"/>
      <w:bookmarkStart w:id="116" w:name="_Toc148961954"/>
      <w:r w:rsidRPr="006345D0">
        <w:t>Risk</w:t>
      </w:r>
      <w:r w:rsidR="005E279A">
        <w:noBreakHyphen/>
      </w:r>
      <w:r w:rsidRPr="006345D0">
        <w:t>benefit analysis</w:t>
      </w:r>
      <w:bookmarkEnd w:id="111"/>
      <w:bookmarkEnd w:id="112"/>
      <w:bookmarkEnd w:id="115"/>
      <w:bookmarkEnd w:id="116"/>
    </w:p>
    <w:p w14:paraId="77DE2655" w14:textId="5EBE6C3B" w:rsidR="00C22214" w:rsidRPr="006345D0" w:rsidRDefault="00C22214" w:rsidP="006345D0">
      <w:pPr>
        <w:pStyle w:val="Heading4"/>
      </w:pPr>
      <w:bookmarkStart w:id="117" w:name="_Toc98931932"/>
      <w:bookmarkStart w:id="118" w:name="_Toc148961955"/>
      <w:r w:rsidRPr="006345D0">
        <w:t>Delegate’s considerations</w:t>
      </w:r>
      <w:bookmarkEnd w:id="117"/>
      <w:bookmarkEnd w:id="118"/>
    </w:p>
    <w:p w14:paraId="704B1433" w14:textId="4A4AED6C" w:rsidR="004374AB" w:rsidRPr="006345D0" w:rsidRDefault="004374AB" w:rsidP="006345D0">
      <w:pPr>
        <w:pStyle w:val="Heading5"/>
      </w:pPr>
      <w:r w:rsidRPr="006345D0">
        <w:t>Regulatory context</w:t>
      </w:r>
    </w:p>
    <w:p w14:paraId="0B52D4BA" w14:textId="4785FA43" w:rsidR="004374AB" w:rsidRPr="004374AB" w:rsidRDefault="004374AB" w:rsidP="004374AB">
      <w:r>
        <w:t>Type 2 diabetes mellitus (</w:t>
      </w:r>
      <w:r w:rsidRPr="004374AB">
        <w:t>T2DM</w:t>
      </w:r>
      <w:r>
        <w:t>)</w:t>
      </w:r>
      <w:r w:rsidRPr="004374AB">
        <w:t xml:space="preserve"> is a progressive disease typically associated with a stepwise intensification of treatments. </w:t>
      </w:r>
      <w:r w:rsidRPr="00AC500E">
        <w:t xml:space="preserve">Novel medications </w:t>
      </w:r>
      <w:r w:rsidR="00C92A31">
        <w:t>should ideally demonstrate</w:t>
      </w:r>
      <w:r w:rsidRPr="00AC500E">
        <w:t xml:space="preserve"> a robust and sustained glucose</w:t>
      </w:r>
      <w:r w:rsidR="005E279A">
        <w:noBreakHyphen/>
      </w:r>
      <w:r w:rsidRPr="00AC500E">
        <w:t>lowering effect at different stages of the disease, ideally in combination with benefits related to CV risk, kidney function, or body weight.</w:t>
      </w:r>
      <w:r w:rsidRPr="004374AB">
        <w:t xml:space="preserve"> In addition, slowing down or reversing progressive insulin resistance is desirable.</w:t>
      </w:r>
    </w:p>
    <w:p w14:paraId="03B7A224" w14:textId="1BE6EECE" w:rsidR="004374AB" w:rsidRPr="006345D0" w:rsidRDefault="004374AB" w:rsidP="006345D0">
      <w:pPr>
        <w:pStyle w:val="Heading5"/>
      </w:pPr>
      <w:r w:rsidRPr="006345D0">
        <w:t>Clinical data</w:t>
      </w:r>
    </w:p>
    <w:p w14:paraId="36D3E5E4" w14:textId="05641F8B" w:rsidR="004374AB" w:rsidRPr="006345D0" w:rsidRDefault="004374AB" w:rsidP="006345D0">
      <w:pPr>
        <w:pStyle w:val="Heading6"/>
      </w:pPr>
      <w:r w:rsidRPr="006345D0">
        <w:t>Pharmacology</w:t>
      </w:r>
    </w:p>
    <w:p w14:paraId="7A27391C" w14:textId="5D686770" w:rsidR="004374AB" w:rsidRPr="004374AB" w:rsidRDefault="004374AB" w:rsidP="004374AB">
      <w:r w:rsidRPr="004374AB">
        <w:t>The clinical pharmacology data were comprehensive. The pharmacokinetic and pharmacodynamic properties of tirzepatide were comparable to those of other GLP</w:t>
      </w:r>
      <w:r w:rsidR="005E279A">
        <w:noBreakHyphen/>
      </w:r>
      <w:r w:rsidRPr="004374AB">
        <w:t xml:space="preserve">1 receptor agonists. Population pharmacokinetic analyses suggested that no dose adjustments are </w:t>
      </w:r>
      <w:r w:rsidRPr="004374AB">
        <w:lastRenderedPageBreak/>
        <w:t>necessary based on body weight, age, sex, and race. The</w:t>
      </w:r>
      <w:r>
        <w:t xml:space="preserve"> drug</w:t>
      </w:r>
      <w:r w:rsidR="005E279A">
        <w:noBreakHyphen/>
      </w:r>
      <w:r>
        <w:t>drug interaction</w:t>
      </w:r>
      <w:r w:rsidRPr="004374AB">
        <w:t xml:space="preserve"> risk can be considered low. No unacceptable prolongation in cardiac repolarisation or any impact on PR interval compared to placebo was observed across the therapeutic dose range of tirzepatide. To </w:t>
      </w:r>
      <w:r w:rsidRPr="00AC500E">
        <w:t>further characterise cardiovascular safety</w:t>
      </w:r>
      <w:r w:rsidR="00AC500E" w:rsidRPr="00AC500E">
        <w:t xml:space="preserve"> a cardiovascular outcome trial</w:t>
      </w:r>
      <w:r w:rsidRPr="00AC500E">
        <w:t>, Study</w:t>
      </w:r>
      <w:r w:rsidR="00AC500E" w:rsidRPr="00AC500E">
        <w:t xml:space="preserve"> I8F</w:t>
      </w:r>
      <w:r w:rsidR="005E279A">
        <w:noBreakHyphen/>
      </w:r>
      <w:r w:rsidR="00AC500E" w:rsidRPr="00AC500E">
        <w:t>MC</w:t>
      </w:r>
      <w:r w:rsidR="005E279A">
        <w:noBreakHyphen/>
      </w:r>
      <w:r w:rsidR="00AC500E" w:rsidRPr="00AC500E">
        <w:t xml:space="preserve">GPGN, </w:t>
      </w:r>
      <w:r w:rsidRPr="00AC500E">
        <w:t>is</w:t>
      </w:r>
      <w:r w:rsidRPr="004374AB">
        <w:t xml:space="preserve"> ongoing.</w:t>
      </w:r>
    </w:p>
    <w:p w14:paraId="32328B95" w14:textId="6D1ACEA4" w:rsidR="004374AB" w:rsidRPr="006345D0" w:rsidRDefault="004374AB" w:rsidP="006345D0">
      <w:pPr>
        <w:pStyle w:val="Heading6"/>
      </w:pPr>
      <w:r w:rsidRPr="006345D0">
        <w:t>Efficacy</w:t>
      </w:r>
    </w:p>
    <w:p w14:paraId="5821A998" w14:textId="095523C9" w:rsidR="004374AB" w:rsidRPr="004374AB" w:rsidRDefault="004374AB" w:rsidP="004374AB">
      <w:r w:rsidRPr="004374AB">
        <w:t xml:space="preserve">Tirzepatide treatment showed favourable efficacy </w:t>
      </w:r>
      <w:proofErr w:type="gramStart"/>
      <w:r w:rsidRPr="004374AB">
        <w:t>with regard to</w:t>
      </w:r>
      <w:proofErr w:type="gramEnd"/>
      <w:r w:rsidRPr="004374AB">
        <w:t xml:space="preserve"> reductions in HbA1c and body weight (</w:t>
      </w:r>
      <w:r>
        <w:fldChar w:fldCharType="begin"/>
      </w:r>
      <w:r>
        <w:instrText xml:space="preserve"> REF _Ref144377141 \h </w:instrText>
      </w:r>
      <w:r>
        <w:fldChar w:fldCharType="separate"/>
      </w:r>
      <w:r w:rsidR="008465DD">
        <w:t xml:space="preserve">Table </w:t>
      </w:r>
      <w:r w:rsidR="008465DD">
        <w:rPr>
          <w:noProof/>
        </w:rPr>
        <w:t>8</w:t>
      </w:r>
      <w:r>
        <w:fldChar w:fldCharType="end"/>
      </w:r>
      <w:r w:rsidRPr="004374AB">
        <w:t>). This finding was consistent across patient populations with different disease</w:t>
      </w:r>
      <w:r w:rsidR="005E279A">
        <w:noBreakHyphen/>
      </w:r>
      <w:r w:rsidRPr="004374AB">
        <w:t xml:space="preserve">related baseline characteristics including duration of T2DM (mean </w:t>
      </w:r>
      <w:r>
        <w:t xml:space="preserve">approximately </w:t>
      </w:r>
      <w:r w:rsidRPr="004374AB">
        <w:t>4.7</w:t>
      </w:r>
      <w:r>
        <w:t> years</w:t>
      </w:r>
      <w:r w:rsidRPr="004374AB">
        <w:t xml:space="preserve"> to </w:t>
      </w:r>
      <w:r>
        <w:t xml:space="preserve">approximately </w:t>
      </w:r>
      <w:r w:rsidRPr="004374AB">
        <w:t>13.3</w:t>
      </w:r>
      <w:r>
        <w:t> </w:t>
      </w:r>
      <w:r w:rsidRPr="004374AB">
        <w:t>years), background antihyperglycemic treatment, and CV risk. The treatment effect on HbA1c and body weight was consistent across major subgroups. The clinical relevance of potential differences in efficacy for specific subgroups (age, BMI, race) observed across the Phase</w:t>
      </w:r>
      <w:r>
        <w:t xml:space="preserve"> III</w:t>
      </w:r>
      <w:r w:rsidRPr="004374AB">
        <w:t xml:space="preserve"> trials remains uncertain.</w:t>
      </w:r>
    </w:p>
    <w:p w14:paraId="1E741D96" w14:textId="696B0BE7" w:rsidR="004374AB" w:rsidRPr="004374AB" w:rsidRDefault="004374AB" w:rsidP="004374AB">
      <w:r w:rsidRPr="004374AB">
        <w:t xml:space="preserve">In the SURPASS clinical trials, patients were randomly assigned one of the </w:t>
      </w:r>
      <w:r w:rsidR="00320553">
        <w:t>3</w:t>
      </w:r>
      <w:r w:rsidRPr="004374AB">
        <w:t xml:space="preserve"> maintenance doses. In clinical practice, an individualised dosing approach will likely lead to more favourable results.</w:t>
      </w:r>
    </w:p>
    <w:p w14:paraId="679FD683" w14:textId="224A7F4F" w:rsidR="004374AB" w:rsidRPr="004374AB" w:rsidRDefault="004374AB" w:rsidP="004374AB">
      <w:r w:rsidRPr="004374AB">
        <w:t>The clinical trial program had appropriate comparators. However, in SURPASS</w:t>
      </w:r>
      <w:r w:rsidR="005E279A">
        <w:noBreakHyphen/>
      </w:r>
      <w:r w:rsidRPr="004374AB">
        <w:t>2, for semaglutide, the full dosing range was not used, but restricted to a maximum of 1</w:t>
      </w:r>
      <w:r>
        <w:t> </w:t>
      </w:r>
      <w:r w:rsidRPr="004374AB">
        <w:t xml:space="preserve">mg </w:t>
      </w:r>
      <w:r>
        <w:t>once weekly</w:t>
      </w:r>
      <w:r w:rsidRPr="004374AB">
        <w:t>. Higher doses of semaglutide (</w:t>
      </w:r>
      <w:r>
        <w:t xml:space="preserve">for example, </w:t>
      </w:r>
      <w:r w:rsidRPr="004374AB">
        <w:t>2</w:t>
      </w:r>
      <w:r>
        <w:t> </w:t>
      </w:r>
      <w:r w:rsidRPr="004374AB">
        <w:t xml:space="preserve">mg </w:t>
      </w:r>
      <w:r>
        <w:t>once weekly</w:t>
      </w:r>
      <w:r w:rsidRPr="004374AB">
        <w:t>) may have led to a different outcome</w:t>
      </w:r>
      <w:r w:rsidR="00B54020">
        <w:t>.</w:t>
      </w:r>
      <w:r w:rsidR="006C1B11">
        <w:rPr>
          <w:rStyle w:val="FootnoteReference"/>
        </w:rPr>
        <w:footnoteReference w:id="22"/>
      </w:r>
    </w:p>
    <w:p w14:paraId="79F54351" w14:textId="1F02B066" w:rsidR="004374AB" w:rsidRDefault="004374AB" w:rsidP="004374AB">
      <w:r w:rsidRPr="004374AB">
        <w:t>With regard to tirzepatide dosing</w:t>
      </w:r>
      <w:r w:rsidR="00D849FD">
        <w:t xml:space="preserve">, </w:t>
      </w:r>
      <w:r w:rsidRPr="004374AB">
        <w:t>5</w:t>
      </w:r>
      <w:r w:rsidR="00D849FD">
        <w:t> </w:t>
      </w:r>
      <w:r w:rsidRPr="004374AB">
        <w:t>mg, 10</w:t>
      </w:r>
      <w:r w:rsidR="00D849FD">
        <w:t> </w:t>
      </w:r>
      <w:r w:rsidRPr="004374AB">
        <w:t>mg, and 15</w:t>
      </w:r>
      <w:r w:rsidR="00D849FD">
        <w:t> </w:t>
      </w:r>
      <w:r w:rsidRPr="004374AB">
        <w:t xml:space="preserve">mg </w:t>
      </w:r>
      <w:r w:rsidR="00D849FD">
        <w:t>once weekly</w:t>
      </w:r>
      <w:r w:rsidRPr="004374AB">
        <w:t xml:space="preserve"> doses were tested in the clinical trial program based on the Phase </w:t>
      </w:r>
      <w:r w:rsidR="00D849FD">
        <w:t>II</w:t>
      </w:r>
      <w:r w:rsidRPr="004374AB">
        <w:t xml:space="preserve"> dose finding studies. In</w:t>
      </w:r>
      <w:r w:rsidR="005E279A">
        <w:noBreakHyphen/>
      </w:r>
      <w:r w:rsidRPr="004374AB">
        <w:t>between doses (</w:t>
      </w:r>
      <w:r w:rsidR="00D849FD">
        <w:t>for example,</w:t>
      </w:r>
      <w:r w:rsidRPr="004374AB">
        <w:t xml:space="preserve"> 7.5</w:t>
      </w:r>
      <w:r w:rsidR="00D849FD">
        <w:t> </w:t>
      </w:r>
      <w:r w:rsidRPr="004374AB">
        <w:t xml:space="preserve">mg </w:t>
      </w:r>
      <w:r w:rsidR="00D849FD">
        <w:t>once weekly</w:t>
      </w:r>
      <w:r w:rsidRPr="004374AB">
        <w:t xml:space="preserve">) appeared not to have been considered in Phase </w:t>
      </w:r>
      <w:r w:rsidR="00D849FD">
        <w:t>III</w:t>
      </w:r>
      <w:r w:rsidR="006345D0">
        <w:t xml:space="preserve"> trials</w:t>
      </w:r>
      <w:r w:rsidRPr="004374AB">
        <w:t>.</w:t>
      </w:r>
    </w:p>
    <w:p w14:paraId="51247190" w14:textId="4AB488E4" w:rsidR="004374AB" w:rsidRPr="004374AB" w:rsidRDefault="004374AB" w:rsidP="004374AB">
      <w:r w:rsidRPr="004374AB">
        <w:t>The clinical evaluat</w:t>
      </w:r>
      <w:r w:rsidR="00EB44E5">
        <w:t>ion</w:t>
      </w:r>
      <w:r w:rsidRPr="004374AB">
        <w:t xml:space="preserve"> raised the issue of the potential non</w:t>
      </w:r>
      <w:r w:rsidR="005E279A">
        <w:noBreakHyphen/>
      </w:r>
      <w:r w:rsidRPr="004374AB">
        <w:t xml:space="preserve">necessity of a </w:t>
      </w:r>
      <w:r w:rsidR="00EB44E5">
        <w:t xml:space="preserve">tirzepatide </w:t>
      </w:r>
      <w:r w:rsidRPr="004374AB">
        <w:t>15</w:t>
      </w:r>
      <w:r w:rsidR="00EB44E5">
        <w:t> </w:t>
      </w:r>
      <w:r w:rsidRPr="004374AB">
        <w:t xml:space="preserve">mg </w:t>
      </w:r>
      <w:r w:rsidR="00EB44E5">
        <w:t>once weekly</w:t>
      </w:r>
      <w:r w:rsidRPr="004374AB">
        <w:t xml:space="preserve"> dose given that for HbA1c endpoints, there appears to be not necessarily a benefit compared to </w:t>
      </w:r>
      <w:r w:rsidR="00EB44E5">
        <w:t>tirzepatide</w:t>
      </w:r>
      <w:r w:rsidRPr="004374AB">
        <w:t xml:space="preserve"> 10</w:t>
      </w:r>
      <w:r w:rsidR="006345D0">
        <w:t> </w:t>
      </w:r>
      <w:r w:rsidRPr="004374AB">
        <w:t xml:space="preserve">mg </w:t>
      </w:r>
      <w:r w:rsidR="00EB44E5">
        <w:t>once weekly</w:t>
      </w:r>
      <w:r w:rsidRPr="004374AB">
        <w:t xml:space="preserve"> dose, in particular in the placebo</w:t>
      </w:r>
      <w:r w:rsidR="005E279A">
        <w:noBreakHyphen/>
      </w:r>
      <w:r w:rsidRPr="004374AB">
        <w:t>controlled studies SURPASS</w:t>
      </w:r>
      <w:r w:rsidR="005E279A">
        <w:noBreakHyphen/>
      </w:r>
      <w:r w:rsidRPr="004374AB">
        <w:t xml:space="preserve">1 and </w:t>
      </w:r>
      <w:r w:rsidR="00EB44E5">
        <w:t>SURPASS</w:t>
      </w:r>
      <w:r w:rsidR="005E279A">
        <w:noBreakHyphen/>
      </w:r>
      <w:r w:rsidRPr="004374AB">
        <w:t xml:space="preserve">5. Efficacy results for different doses of tirzepatide were not statistically tested. Furthermore, </w:t>
      </w:r>
      <w:r w:rsidR="00EB44E5">
        <w:t>treatment</w:t>
      </w:r>
      <w:r w:rsidR="005E279A">
        <w:noBreakHyphen/>
      </w:r>
      <w:r w:rsidR="00EB44E5">
        <w:t xml:space="preserve">emergent </w:t>
      </w:r>
      <w:r w:rsidRPr="004374AB">
        <w:t>AEs appeared to be dose</w:t>
      </w:r>
      <w:r w:rsidR="005E279A">
        <w:noBreakHyphen/>
      </w:r>
      <w:r w:rsidRPr="004374AB">
        <w:t xml:space="preserve">dependent. The sponsor provided a comprehensive response to this </w:t>
      </w:r>
      <w:r w:rsidR="00EB44E5">
        <w:t xml:space="preserve">point, </w:t>
      </w:r>
      <w:r w:rsidRPr="004374AB">
        <w:t xml:space="preserve">mainly based on greatest numerical weight loss seen in the </w:t>
      </w:r>
      <w:r w:rsidR="00EB44E5">
        <w:t xml:space="preserve">tirzepatide </w:t>
      </w:r>
      <w:r w:rsidRPr="004374AB">
        <w:t>15</w:t>
      </w:r>
      <w:r w:rsidR="00EB44E5">
        <w:t> </w:t>
      </w:r>
      <w:r w:rsidRPr="004374AB">
        <w:t xml:space="preserve">mg </w:t>
      </w:r>
      <w:r w:rsidR="00EB44E5">
        <w:t>once weekly</w:t>
      </w:r>
      <w:r w:rsidRPr="004374AB">
        <w:t xml:space="preserve"> group. Furthermore, the </w:t>
      </w:r>
      <w:bookmarkStart w:id="119" w:name="_Hlk118190214"/>
      <w:r w:rsidRPr="004374AB">
        <w:t xml:space="preserve">maintenance doses in the SURPASS trials were randomly assigned to the study participants </w:t>
      </w:r>
      <w:bookmarkEnd w:id="119"/>
      <w:r w:rsidRPr="004374AB">
        <w:t>and were not based on individual patients’ needs. T</w:t>
      </w:r>
      <w:r w:rsidR="00EB44E5">
        <w:t xml:space="preserve">irzepatide </w:t>
      </w:r>
      <w:r w:rsidRPr="004374AB">
        <w:t>15</w:t>
      </w:r>
      <w:r w:rsidR="00EB44E5">
        <w:t> </w:t>
      </w:r>
      <w:r w:rsidRPr="004374AB">
        <w:t xml:space="preserve">mg </w:t>
      </w:r>
      <w:r w:rsidR="00EB44E5">
        <w:t>once weekly</w:t>
      </w:r>
      <w:r w:rsidRPr="004374AB">
        <w:t xml:space="preserve"> dose </w:t>
      </w:r>
      <w:r w:rsidR="00EB44E5">
        <w:t>will</w:t>
      </w:r>
      <w:r w:rsidRPr="004374AB">
        <w:t xml:space="preserve"> likely be used in a minority of patients but should be available to prescribers as an option.</w:t>
      </w:r>
    </w:p>
    <w:p w14:paraId="7E2573F4" w14:textId="4131C881" w:rsidR="004374AB" w:rsidRPr="006345D0" w:rsidRDefault="004374AB" w:rsidP="006345D0">
      <w:pPr>
        <w:pStyle w:val="Heading6"/>
      </w:pPr>
      <w:r w:rsidRPr="006345D0">
        <w:t>Safety</w:t>
      </w:r>
    </w:p>
    <w:p w14:paraId="7DDE6540" w14:textId="541BA2D4" w:rsidR="004374AB" w:rsidRPr="004374AB" w:rsidRDefault="004374AB" w:rsidP="004374AB">
      <w:r w:rsidRPr="004374AB">
        <w:t>The safety profile of tirzepatide</w:t>
      </w:r>
      <w:r w:rsidR="001F491F">
        <w:t>,</w:t>
      </w:r>
      <w:r w:rsidRPr="004374AB">
        <w:t xml:space="preserve"> established in an extensive clinical program</w:t>
      </w:r>
      <w:r w:rsidR="001F491F">
        <w:t>,</w:t>
      </w:r>
      <w:r w:rsidRPr="004374AB">
        <w:t xml:space="preserve"> was similar to the known </w:t>
      </w:r>
      <w:r w:rsidR="009D4E65">
        <w:t xml:space="preserve">profile for </w:t>
      </w:r>
      <w:r w:rsidRPr="004374AB">
        <w:t>GLP</w:t>
      </w:r>
      <w:r w:rsidR="005E279A">
        <w:noBreakHyphen/>
      </w:r>
      <w:r w:rsidRPr="004374AB">
        <w:t>1</w:t>
      </w:r>
      <w:r w:rsidR="009D4E65">
        <w:t xml:space="preserve"> receptor agonists</w:t>
      </w:r>
      <w:r w:rsidRPr="004374AB">
        <w:t xml:space="preserve">. It was dominated by gastrointestinal adverse events, mainly nausea, emesis, and diarrhoea. </w:t>
      </w:r>
      <w:r w:rsidR="009D4E65">
        <w:t>S</w:t>
      </w:r>
      <w:r w:rsidRPr="004374AB">
        <w:t xml:space="preserve">everity was mostly mild to moderate, and incidence </w:t>
      </w:r>
      <w:r w:rsidR="009D4E65">
        <w:t xml:space="preserve">was </w:t>
      </w:r>
      <w:r w:rsidRPr="004374AB">
        <w:t>greatest immediately after initiation and typically decreas</w:t>
      </w:r>
      <w:r w:rsidR="009D4E65">
        <w:t>ed</w:t>
      </w:r>
      <w:r w:rsidRPr="004374AB">
        <w:t xml:space="preserve"> towards the end of the dose</w:t>
      </w:r>
      <w:r w:rsidR="005E279A">
        <w:noBreakHyphen/>
      </w:r>
      <w:r w:rsidRPr="004374AB">
        <w:t>escalation period. The modified dose</w:t>
      </w:r>
      <w:r w:rsidR="005E279A">
        <w:noBreakHyphen/>
      </w:r>
      <w:r w:rsidRPr="004374AB">
        <w:t xml:space="preserve">escalation scheme used in the Phase </w:t>
      </w:r>
      <w:r w:rsidR="00EB44E5">
        <w:t>III</w:t>
      </w:r>
      <w:r w:rsidRPr="004374AB">
        <w:t xml:space="preserve"> studies improved the </w:t>
      </w:r>
      <w:r w:rsidR="00EB44E5">
        <w:t>gastrointestinal</w:t>
      </w:r>
      <w:r w:rsidRPr="004374AB">
        <w:t xml:space="preserve"> tolerability compared with that observed in the Phase </w:t>
      </w:r>
      <w:r w:rsidR="00EB44E5">
        <w:t>II S</w:t>
      </w:r>
      <w:r w:rsidRPr="004374AB">
        <w:t>tudy GPGB.</w:t>
      </w:r>
    </w:p>
    <w:p w14:paraId="57DF5424" w14:textId="43428272" w:rsidR="004374AB" w:rsidRPr="004374AB" w:rsidRDefault="004374AB" w:rsidP="004374AB">
      <w:r w:rsidRPr="004374AB">
        <w:lastRenderedPageBreak/>
        <w:t>Tirzepatide</w:t>
      </w:r>
      <w:r w:rsidR="00EB44E5">
        <w:t xml:space="preserve"> </w:t>
      </w:r>
      <w:r w:rsidRPr="004374AB">
        <w:t>treatment of T2DM is associated with a small risk of hypoglycaemia comparable with, but potentially slightly exceeding</w:t>
      </w:r>
      <w:r w:rsidR="00EB44E5">
        <w:t>,</w:t>
      </w:r>
      <w:r w:rsidRPr="004374AB">
        <w:t xml:space="preserve"> the risk of other marketed GLP</w:t>
      </w:r>
      <w:r w:rsidR="005E279A">
        <w:noBreakHyphen/>
      </w:r>
      <w:r w:rsidRPr="004374AB">
        <w:t>1</w:t>
      </w:r>
      <w:r w:rsidR="009D4E65">
        <w:t xml:space="preserve"> receptor agonists</w:t>
      </w:r>
      <w:r w:rsidRPr="004374AB">
        <w:t>. Severe hypoglycaemia events were rare.</w:t>
      </w:r>
    </w:p>
    <w:p w14:paraId="2DABC7B7" w14:textId="6A062287" w:rsidR="004374AB" w:rsidRPr="004374AB" w:rsidRDefault="004374AB" w:rsidP="004374AB">
      <w:r w:rsidRPr="004374AB">
        <w:t>Exposure</w:t>
      </w:r>
      <w:r w:rsidR="005E279A">
        <w:noBreakHyphen/>
      </w:r>
      <w:r w:rsidRPr="004374AB">
        <w:t>adjusted incidence rates for adjudication</w:t>
      </w:r>
      <w:r w:rsidR="005E279A">
        <w:noBreakHyphen/>
      </w:r>
      <w:r w:rsidRPr="004374AB">
        <w:t>confirmed treatment</w:t>
      </w:r>
      <w:r w:rsidR="005E279A">
        <w:noBreakHyphen/>
      </w:r>
      <w:r w:rsidRPr="004374AB">
        <w:t>emergent pancreatitis in tirzepatide</w:t>
      </w:r>
      <w:r w:rsidR="005E279A">
        <w:noBreakHyphen/>
      </w:r>
      <w:r w:rsidRPr="004374AB">
        <w:t>treated patients was low, but increased compared to pooled comparators (0.23 v</w:t>
      </w:r>
      <w:r w:rsidR="00EB44E5">
        <w:t>ersus</w:t>
      </w:r>
      <w:r w:rsidRPr="004374AB">
        <w:t xml:space="preserve"> 0.14 patients per 100 patient</w:t>
      </w:r>
      <w:r w:rsidR="005E279A">
        <w:noBreakHyphen/>
      </w:r>
      <w:r w:rsidRPr="004374AB">
        <w:t>years). Tirzepatide was associated with increases in p</w:t>
      </w:r>
      <w:r w:rsidR="005E279A">
        <w:noBreakHyphen/>
      </w:r>
      <w:r w:rsidRPr="004374AB">
        <w:t>amylase and lipase (most prominent in the tirzepatide 15</w:t>
      </w:r>
      <w:r w:rsidR="00EB44E5">
        <w:t> </w:t>
      </w:r>
      <w:r w:rsidRPr="004374AB">
        <w:t>mg group) and similar to those observed for GLP</w:t>
      </w:r>
      <w:r w:rsidR="005E279A">
        <w:noBreakHyphen/>
      </w:r>
      <w:r w:rsidRPr="004374AB">
        <w:t>1</w:t>
      </w:r>
      <w:r w:rsidR="009D4E65">
        <w:t xml:space="preserve"> receptor agonist</w:t>
      </w:r>
      <w:r w:rsidRPr="004374AB">
        <w:t xml:space="preserve"> comparators.</w:t>
      </w:r>
    </w:p>
    <w:p w14:paraId="32197AC4" w14:textId="388F849D" w:rsidR="004374AB" w:rsidRPr="004374AB" w:rsidRDefault="004374AB" w:rsidP="004374AB">
      <w:r w:rsidRPr="004374AB">
        <w:t>Tirzepatide treatment</w:t>
      </w:r>
      <w:r w:rsidR="005E279A">
        <w:noBreakHyphen/>
      </w:r>
      <w:r w:rsidRPr="004374AB">
        <w:t>emergent renal events occurred at an incidence of 1.27% without dose</w:t>
      </w:r>
      <w:r w:rsidR="00EB44E5">
        <w:t xml:space="preserve"> </w:t>
      </w:r>
      <w:r w:rsidRPr="004374AB">
        <w:t>dependency. There was no critical imbalance compared to any of the comparators including placebo (</w:t>
      </w:r>
      <w:r w:rsidR="00EB44E5">
        <w:t>Phase III placebo</w:t>
      </w:r>
      <w:r w:rsidR="005E279A">
        <w:noBreakHyphen/>
      </w:r>
      <w:r w:rsidR="00EB44E5">
        <w:t>controlled analysis set</w:t>
      </w:r>
      <w:r w:rsidRPr="004374AB">
        <w:t>). Compared with placebo, tirzepatide</w:t>
      </w:r>
      <w:r w:rsidR="00EB44E5">
        <w:t xml:space="preserve"> </w:t>
      </w:r>
      <w:r w:rsidRPr="004374AB">
        <w:t xml:space="preserve">treatment was associated </w:t>
      </w:r>
      <w:r w:rsidR="00EB44E5">
        <w:t xml:space="preserve">with </w:t>
      </w:r>
      <w:r w:rsidRPr="004374AB">
        <w:t>a larger eGFR decline which was not dose</w:t>
      </w:r>
      <w:r w:rsidR="005E279A">
        <w:noBreakHyphen/>
      </w:r>
      <w:r w:rsidRPr="004374AB">
        <w:t xml:space="preserve">dependent, but at the </w:t>
      </w:r>
      <w:r w:rsidRPr="007623FE">
        <w:t xml:space="preserve">same time, all doses of tirzepatide improved </w:t>
      </w:r>
      <w:r w:rsidR="00EB44E5" w:rsidRPr="007623FE">
        <w:rPr>
          <w:lang w:val="en-GB"/>
        </w:rPr>
        <w:t>urine albumin</w:t>
      </w:r>
      <w:r w:rsidR="005E279A">
        <w:rPr>
          <w:lang w:val="en-GB"/>
        </w:rPr>
        <w:noBreakHyphen/>
      </w:r>
      <w:r w:rsidR="00EB44E5" w:rsidRPr="007623FE">
        <w:rPr>
          <w:lang w:val="en-GB"/>
        </w:rPr>
        <w:t>creatinine ratio</w:t>
      </w:r>
      <w:r w:rsidRPr="007623FE">
        <w:t xml:space="preserve">, while </w:t>
      </w:r>
      <w:r w:rsidR="00EB44E5" w:rsidRPr="007623FE">
        <w:t>this ratio</w:t>
      </w:r>
      <w:r w:rsidR="00EB44E5">
        <w:t xml:space="preserve"> </w:t>
      </w:r>
      <w:r w:rsidRPr="004374AB">
        <w:t>worsened in placebo control. The clinical relevance of this remains uncertain.</w:t>
      </w:r>
    </w:p>
    <w:p w14:paraId="16878F64" w14:textId="36EA657F" w:rsidR="004374AB" w:rsidRPr="004374AB" w:rsidRDefault="004374AB" w:rsidP="004374AB">
      <w:r w:rsidRPr="004374AB">
        <w:t xml:space="preserve">There was no clear association of tirzepatide treatment with diabetic retinopathy progression. An ongoing dedicated addendum study to </w:t>
      </w:r>
      <w:r w:rsidR="00AC500E" w:rsidRPr="0022010B">
        <w:t>Study I8F</w:t>
      </w:r>
      <w:r w:rsidR="005E279A">
        <w:noBreakHyphen/>
      </w:r>
      <w:r w:rsidR="00AC500E" w:rsidRPr="0022010B">
        <w:t>MC</w:t>
      </w:r>
      <w:r w:rsidR="005E279A">
        <w:noBreakHyphen/>
      </w:r>
      <w:r w:rsidR="00AC500E" w:rsidRPr="0022010B">
        <w:t>GPGN</w:t>
      </w:r>
      <w:r w:rsidR="00AC500E">
        <w:t xml:space="preserve"> (a cardiovascular outcome trial</w:t>
      </w:r>
      <w:r w:rsidR="00AC500E" w:rsidRPr="0022010B">
        <w:t>)</w:t>
      </w:r>
      <w:r w:rsidRPr="004374AB">
        <w:t xml:space="preserve"> will further investigate this issue.</w:t>
      </w:r>
    </w:p>
    <w:p w14:paraId="6994AF2A" w14:textId="59448796" w:rsidR="004374AB" w:rsidRPr="004374AB" w:rsidRDefault="004374AB" w:rsidP="004374AB">
      <w:r w:rsidRPr="004374AB">
        <w:t xml:space="preserve">The safety data from the Phase </w:t>
      </w:r>
      <w:r w:rsidR="007123CE">
        <w:t>II and Phase III</w:t>
      </w:r>
      <w:r w:rsidRPr="004374AB">
        <w:t xml:space="preserve"> studies provided no evidence for an increased </w:t>
      </w:r>
      <w:r w:rsidRPr="008A6319">
        <w:t>risk of medullary thyroid cancer or C</w:t>
      </w:r>
      <w:r w:rsidR="005E279A">
        <w:noBreakHyphen/>
      </w:r>
      <w:r w:rsidRPr="008A6319">
        <w:t xml:space="preserve">cell hyperplasia with tirzepatide treatment, which has been observed in rats exposed to the drug. The Phase </w:t>
      </w:r>
      <w:r w:rsidR="007123CE" w:rsidRPr="008A6319">
        <w:t>II and Phase III</w:t>
      </w:r>
      <w:r w:rsidRPr="008A6319">
        <w:t xml:space="preserve"> programs did not examine patients with </w:t>
      </w:r>
      <w:r w:rsidR="007123CE" w:rsidRPr="008A6319">
        <w:t xml:space="preserve">medullary thyroid cancer </w:t>
      </w:r>
      <w:r w:rsidRPr="008A6319">
        <w:t>or multiple endocrine neoplasia syndrome type</w:t>
      </w:r>
      <w:r w:rsidR="007123CE" w:rsidRPr="008A6319">
        <w:t> </w:t>
      </w:r>
      <w:r w:rsidRPr="008A6319">
        <w:t xml:space="preserve">2. The PI </w:t>
      </w:r>
      <w:r w:rsidRPr="009D4E65">
        <w:t xml:space="preserve">statement </w:t>
      </w:r>
      <w:r w:rsidR="007123CE" w:rsidRPr="009D4E65">
        <w:t xml:space="preserve">(as at </w:t>
      </w:r>
      <w:r w:rsidR="009D4E65" w:rsidRPr="009D4E65">
        <w:t>31 October 2022</w:t>
      </w:r>
      <w:r w:rsidR="007123CE" w:rsidRPr="009D4E65">
        <w:t xml:space="preserve">, the date of the Delegate’s Overview) </w:t>
      </w:r>
      <w:r w:rsidRPr="009D4E65">
        <w:t xml:space="preserve">on </w:t>
      </w:r>
      <w:r w:rsidR="007123CE" w:rsidRPr="009D4E65">
        <w:t>medullary thyroid cancer and multiple endocrine neoplasia syndrome type 2</w:t>
      </w:r>
      <w:r w:rsidRPr="009D4E65">
        <w:t xml:space="preserve"> is not sufficient and needs to be</w:t>
      </w:r>
      <w:r w:rsidRPr="004374AB">
        <w:t xml:space="preserve"> strengthened.</w:t>
      </w:r>
    </w:p>
    <w:p w14:paraId="0810D52C" w14:textId="0249A1B1" w:rsidR="004374AB" w:rsidRPr="004374AB" w:rsidRDefault="004374AB" w:rsidP="004374AB">
      <w:r w:rsidRPr="004374AB">
        <w:t>Approximately 50% of tirzepatide</w:t>
      </w:r>
      <w:r w:rsidR="005E279A">
        <w:noBreakHyphen/>
      </w:r>
      <w:r w:rsidRPr="004374AB">
        <w:t xml:space="preserve">treated patients were </w:t>
      </w:r>
      <w:r w:rsidR="007123CE">
        <w:t>treatment</w:t>
      </w:r>
      <w:r w:rsidR="005E279A">
        <w:noBreakHyphen/>
      </w:r>
      <w:r w:rsidR="007123CE">
        <w:t>emergent</w:t>
      </w:r>
      <w:r w:rsidRPr="004374AB">
        <w:t xml:space="preserve"> ADA</w:t>
      </w:r>
      <w:r w:rsidR="005E279A">
        <w:noBreakHyphen/>
      </w:r>
      <w:r w:rsidR="007123CE">
        <w:t>positive</w:t>
      </w:r>
      <w:r w:rsidRPr="004374AB">
        <w:t xml:space="preserve"> post</w:t>
      </w:r>
      <w:r w:rsidR="005E279A">
        <w:noBreakHyphen/>
      </w:r>
      <w:r w:rsidRPr="004374AB">
        <w:t>baseline with no evident association with hypersensitivity reactions</w:t>
      </w:r>
      <w:r w:rsidR="009D4E65">
        <w:t xml:space="preserve">, with a </w:t>
      </w:r>
      <w:r w:rsidRPr="004374AB">
        <w:t xml:space="preserve">similar frequency in </w:t>
      </w:r>
      <w:r w:rsidR="007123CE">
        <w:t>treatment</w:t>
      </w:r>
      <w:r w:rsidR="005E279A">
        <w:noBreakHyphen/>
      </w:r>
      <w:r w:rsidR="007123CE">
        <w:t>emergent</w:t>
      </w:r>
      <w:r w:rsidR="007123CE" w:rsidRPr="004374AB">
        <w:t xml:space="preserve"> ADA</w:t>
      </w:r>
      <w:r w:rsidR="005E279A">
        <w:noBreakHyphen/>
      </w:r>
      <w:r w:rsidR="007123CE">
        <w:t>positive</w:t>
      </w:r>
      <w:r w:rsidR="007123CE" w:rsidRPr="004374AB">
        <w:t xml:space="preserve"> </w:t>
      </w:r>
      <w:r w:rsidRPr="004374AB">
        <w:t xml:space="preserve">and </w:t>
      </w:r>
      <w:r w:rsidR="007123CE">
        <w:t>treatment</w:t>
      </w:r>
      <w:r w:rsidR="005E279A">
        <w:noBreakHyphen/>
      </w:r>
      <w:r w:rsidR="007123CE">
        <w:t>emergent</w:t>
      </w:r>
      <w:r w:rsidR="007123CE" w:rsidRPr="004374AB">
        <w:t xml:space="preserve"> ADA</w:t>
      </w:r>
      <w:r w:rsidR="005E279A">
        <w:noBreakHyphen/>
      </w:r>
      <w:r w:rsidR="007123CE">
        <w:t>negative</w:t>
      </w:r>
      <w:r w:rsidRPr="004374AB">
        <w:t xml:space="preserve"> patients. However, injection site reactions were more frequent in </w:t>
      </w:r>
      <w:r w:rsidR="007123CE">
        <w:t>treatment</w:t>
      </w:r>
      <w:r w:rsidR="005E279A">
        <w:noBreakHyphen/>
      </w:r>
      <w:r w:rsidR="007123CE">
        <w:t>emergent</w:t>
      </w:r>
      <w:r w:rsidR="007123CE" w:rsidRPr="004374AB">
        <w:t xml:space="preserve"> ADA</w:t>
      </w:r>
      <w:r w:rsidR="005E279A">
        <w:noBreakHyphen/>
      </w:r>
      <w:r w:rsidR="007123CE">
        <w:t>positive</w:t>
      </w:r>
      <w:r w:rsidR="007123CE" w:rsidRPr="004374AB">
        <w:t xml:space="preserve"> </w:t>
      </w:r>
      <w:r w:rsidRPr="004374AB">
        <w:t xml:space="preserve">patients than </w:t>
      </w:r>
      <w:r w:rsidR="007123CE">
        <w:t>treatment</w:t>
      </w:r>
      <w:r w:rsidR="005E279A">
        <w:noBreakHyphen/>
      </w:r>
      <w:r w:rsidR="007123CE">
        <w:t>emergent</w:t>
      </w:r>
      <w:r w:rsidR="007123CE" w:rsidRPr="004374AB">
        <w:t xml:space="preserve"> ADA</w:t>
      </w:r>
      <w:r w:rsidR="005E279A">
        <w:noBreakHyphen/>
      </w:r>
      <w:r w:rsidR="007123CE">
        <w:t>negative</w:t>
      </w:r>
      <w:r w:rsidRPr="004374AB">
        <w:t xml:space="preserve"> patients, but all injection site reactions were no</w:t>
      </w:r>
      <w:r w:rsidR="009D4E65">
        <w:t xml:space="preserve">t </w:t>
      </w:r>
      <w:r w:rsidRPr="004374AB">
        <w:t xml:space="preserve">serious </w:t>
      </w:r>
      <w:r w:rsidR="009D4E65">
        <w:t xml:space="preserve">or </w:t>
      </w:r>
      <w:r w:rsidRPr="004374AB">
        <w:t>severe.</w:t>
      </w:r>
    </w:p>
    <w:p w14:paraId="08CEB694" w14:textId="109B4CD5" w:rsidR="004374AB" w:rsidRPr="004374AB" w:rsidRDefault="004374AB" w:rsidP="004374AB">
      <w:r w:rsidRPr="007623FE">
        <w:t>No safety data related to bone function and muscle disorders (</w:t>
      </w:r>
      <w:r w:rsidR="007123CE" w:rsidRPr="007623FE">
        <w:t xml:space="preserve">for example, </w:t>
      </w:r>
      <w:r w:rsidR="007623FE" w:rsidRPr="007623FE">
        <w:t xml:space="preserve">creatine kinase </w:t>
      </w:r>
      <w:r w:rsidRPr="007623FE">
        <w:t>increase) have been described. However, a meta</w:t>
      </w:r>
      <w:r w:rsidR="005E279A">
        <w:noBreakHyphen/>
      </w:r>
      <w:r w:rsidRPr="007623FE">
        <w:t>analysis for GLP</w:t>
      </w:r>
      <w:r w:rsidR="005E279A">
        <w:noBreakHyphen/>
      </w:r>
      <w:r w:rsidRPr="007623FE">
        <w:t>1</w:t>
      </w:r>
      <w:r w:rsidR="009D4E65" w:rsidRPr="007623FE">
        <w:t xml:space="preserve"> receptor agonists</w:t>
      </w:r>
      <w:r w:rsidRPr="007623FE">
        <w:t xml:space="preserve"> and preclinical data for tirzepatide suggested no harmful effects on bone function.</w:t>
      </w:r>
    </w:p>
    <w:p w14:paraId="7D3F0B14" w14:textId="30DF524F" w:rsidR="004374AB" w:rsidRPr="004374AB" w:rsidRDefault="004374AB" w:rsidP="004374AB">
      <w:r w:rsidRPr="004374AB">
        <w:t>The placebo</w:t>
      </w:r>
      <w:r w:rsidR="005E279A">
        <w:noBreakHyphen/>
      </w:r>
      <w:r w:rsidRPr="004374AB">
        <w:t xml:space="preserve">controlled Phase </w:t>
      </w:r>
      <w:r w:rsidR="007123CE">
        <w:t>II and Phase III</w:t>
      </w:r>
      <w:r w:rsidRPr="004374AB">
        <w:t xml:space="preserve"> studies revealed a minor imbalance for acute gall bladder disease AEs. The clinical relevance is uncertain, but the PI should contain an appropriate warning (not present in the proposed PI</w:t>
      </w:r>
      <w:r w:rsidR="007123CE">
        <w:t xml:space="preserve"> as at </w:t>
      </w:r>
      <w:r w:rsidR="009D4E65">
        <w:t>31 October 2022</w:t>
      </w:r>
      <w:r w:rsidR="007123CE">
        <w:t>, the date of the Delegate’s Overview</w:t>
      </w:r>
      <w:r w:rsidRPr="004374AB">
        <w:t>).</w:t>
      </w:r>
    </w:p>
    <w:p w14:paraId="7698EAC2" w14:textId="77777777" w:rsidR="004374AB" w:rsidRPr="004374AB" w:rsidRDefault="004374AB" w:rsidP="004374AB">
      <w:r w:rsidRPr="004374AB">
        <w:t>Worsening of diabetic retinopathy with rapid improvement in systemic glucose control has been described in the literature, including in T2DM patients. Given that tirzepatide was associated with typically reaching glycaemic targets sooner than comparator drugs, there should be an appropriate warning statement in the PI.</w:t>
      </w:r>
    </w:p>
    <w:p w14:paraId="63731547" w14:textId="0809E99B" w:rsidR="004374AB" w:rsidRPr="004374AB" w:rsidRDefault="004374AB" w:rsidP="004374AB">
      <w:r w:rsidRPr="006B248A">
        <w:t>Oral contraceptives co</w:t>
      </w:r>
      <w:r w:rsidR="005E279A">
        <w:noBreakHyphen/>
      </w:r>
      <w:r w:rsidRPr="006B248A">
        <w:t>administered with tirzepatide led to an AUC decrease which was more</w:t>
      </w:r>
      <w:r w:rsidRPr="004374AB">
        <w:t xml:space="preserve"> pronounced compared to other GLP</w:t>
      </w:r>
      <w:r w:rsidR="005E279A">
        <w:noBreakHyphen/>
      </w:r>
      <w:r w:rsidRPr="004374AB">
        <w:t>1 receptor agonists.</w:t>
      </w:r>
    </w:p>
    <w:p w14:paraId="510427EC" w14:textId="7F538958" w:rsidR="004374AB" w:rsidRPr="004374AB" w:rsidRDefault="004374AB" w:rsidP="004374AB">
      <w:r w:rsidRPr="004374AB">
        <w:t>The safety profile of tirzepatide is comparable to other GLP</w:t>
      </w:r>
      <w:r w:rsidR="005E279A">
        <w:noBreakHyphen/>
      </w:r>
      <w:r w:rsidRPr="004374AB">
        <w:t>1</w:t>
      </w:r>
      <w:r w:rsidR="006B248A">
        <w:t xml:space="preserve"> receptor agonists</w:t>
      </w:r>
      <w:r w:rsidRPr="004374AB">
        <w:t>. No additional critical or prohibitive safety signal has been detected.</w:t>
      </w:r>
    </w:p>
    <w:p w14:paraId="277C6E7D" w14:textId="65C2D6B4" w:rsidR="004374AB" w:rsidRPr="006345D0" w:rsidRDefault="004374AB" w:rsidP="006345D0">
      <w:pPr>
        <w:pStyle w:val="Heading6"/>
      </w:pPr>
      <w:r w:rsidRPr="006345D0">
        <w:lastRenderedPageBreak/>
        <w:t>Labelling issues</w:t>
      </w:r>
    </w:p>
    <w:p w14:paraId="6BA77E82" w14:textId="42C8E1FB" w:rsidR="004374AB" w:rsidRDefault="004374AB" w:rsidP="004374AB">
      <w:r w:rsidRPr="004374AB">
        <w:t>As outlined above, appropriate labelling (PI statements) with regard to co</w:t>
      </w:r>
      <w:r w:rsidR="005E279A">
        <w:noBreakHyphen/>
      </w:r>
      <w:r w:rsidRPr="004374AB">
        <w:t xml:space="preserve">administered oral </w:t>
      </w:r>
      <w:r w:rsidRPr="006B248A">
        <w:t>contraceptives, worsening of diabetic retinopathy,</w:t>
      </w:r>
      <w:r w:rsidR="007123CE" w:rsidRPr="006B248A">
        <w:t xml:space="preserve"> medullary thyroid cancer and multiple</w:t>
      </w:r>
      <w:r w:rsidR="007123CE" w:rsidRPr="004374AB">
        <w:t xml:space="preserve"> endocrine neoplasia syndrome type</w:t>
      </w:r>
      <w:r w:rsidR="007123CE">
        <w:t> </w:t>
      </w:r>
      <w:r w:rsidR="007123CE" w:rsidRPr="004374AB">
        <w:t>2</w:t>
      </w:r>
      <w:r w:rsidR="007123CE">
        <w:t xml:space="preserve">, </w:t>
      </w:r>
      <w:r w:rsidRPr="004374AB">
        <w:t>and cholecystitis should be implemented. These risks have been acknowledged as Important Potential Risks in the RMP.</w:t>
      </w:r>
    </w:p>
    <w:p w14:paraId="2606967B" w14:textId="7EB3B44B" w:rsidR="00A81B7B" w:rsidRDefault="00A81B7B" w:rsidP="00A81B7B">
      <w:pPr>
        <w:pStyle w:val="Heading4"/>
      </w:pPr>
      <w:bookmarkStart w:id="120" w:name="_Toc148961956"/>
      <w:r w:rsidRPr="00D23139">
        <w:t>Proposed action</w:t>
      </w:r>
      <w:bookmarkEnd w:id="120"/>
    </w:p>
    <w:p w14:paraId="782CD0B5" w14:textId="2F922FD4" w:rsidR="004374AB" w:rsidRPr="004374AB" w:rsidRDefault="004374AB" w:rsidP="004374AB">
      <w:r w:rsidRPr="004374AB">
        <w:t>At this stage, the benefit</w:t>
      </w:r>
      <w:r w:rsidR="005E279A">
        <w:noBreakHyphen/>
      </w:r>
      <w:r w:rsidRPr="004374AB">
        <w:t>risk ratio is considered positive, subject to relevant outstanding issues to be satisfactorily addressed. This includes pharmacovigilance and risk minimisation activities (</w:t>
      </w:r>
      <w:r w:rsidR="00A81B7B">
        <w:t xml:space="preserve">for example, </w:t>
      </w:r>
      <w:r w:rsidRPr="004374AB">
        <w:t xml:space="preserve">implementation of the </w:t>
      </w:r>
      <w:r w:rsidR="00A81B7B">
        <w:t xml:space="preserve">PI changes </w:t>
      </w:r>
      <w:r w:rsidRPr="004374AB">
        <w:t xml:space="preserve">proposed </w:t>
      </w:r>
      <w:r w:rsidR="00A81B7B">
        <w:t xml:space="preserve">by the Delegate, </w:t>
      </w:r>
      <w:r w:rsidRPr="004374AB">
        <w:t xml:space="preserve">including </w:t>
      </w:r>
      <w:r w:rsidRPr="006B248A">
        <w:t xml:space="preserve">precautionary statements on oral contraceptives, </w:t>
      </w:r>
      <w:r w:rsidR="00A81B7B" w:rsidRPr="006B248A">
        <w:t>medullary thyroid cancer and multiple</w:t>
      </w:r>
      <w:r w:rsidR="00A81B7B" w:rsidRPr="004374AB">
        <w:t xml:space="preserve"> endocrine neoplasia syndrome type</w:t>
      </w:r>
      <w:r w:rsidR="00A81B7B">
        <w:t> </w:t>
      </w:r>
      <w:r w:rsidR="00A81B7B" w:rsidRPr="004374AB">
        <w:t>2</w:t>
      </w:r>
      <w:r w:rsidR="00A81B7B">
        <w:t xml:space="preserve">, </w:t>
      </w:r>
      <w:r w:rsidRPr="004374AB">
        <w:t>acute cholecystitis, and diabetic retinopathy).</w:t>
      </w:r>
    </w:p>
    <w:p w14:paraId="6A4FB161" w14:textId="4F189995" w:rsidR="004374AB" w:rsidRPr="004374AB" w:rsidRDefault="004374AB" w:rsidP="007123CE">
      <w:pPr>
        <w:pStyle w:val="Heading5"/>
      </w:pPr>
      <w:r w:rsidRPr="004374AB">
        <w:t>Proposed indication</w:t>
      </w:r>
    </w:p>
    <w:p w14:paraId="0E54B95F" w14:textId="47B8183A" w:rsidR="004374AB" w:rsidRPr="004374AB" w:rsidRDefault="004374AB" w:rsidP="004374AB">
      <w:r w:rsidRPr="004374AB">
        <w:t xml:space="preserve">The </w:t>
      </w:r>
      <w:r w:rsidR="00A81B7B">
        <w:t xml:space="preserve">indication </w:t>
      </w:r>
      <w:r w:rsidRPr="004374AB">
        <w:t xml:space="preserve">proposed </w:t>
      </w:r>
      <w:r w:rsidR="00A81B7B">
        <w:t xml:space="preserve">by the sponsor </w:t>
      </w:r>
      <w:r w:rsidRPr="004374AB">
        <w:t>is:</w:t>
      </w:r>
    </w:p>
    <w:p w14:paraId="635830E6" w14:textId="44272A0D" w:rsidR="004374AB" w:rsidRPr="00A81B7B" w:rsidRDefault="004374AB" w:rsidP="004374AB">
      <w:pPr>
        <w:rPr>
          <w:i/>
          <w:iCs/>
        </w:rPr>
      </w:pPr>
      <w:r w:rsidRPr="00A81B7B">
        <w:rPr>
          <w:i/>
          <w:iCs/>
        </w:rPr>
        <w:t>M</w:t>
      </w:r>
      <w:r w:rsidR="00A81B7B" w:rsidRPr="00A81B7B">
        <w:rPr>
          <w:i/>
          <w:iCs/>
        </w:rPr>
        <w:t>ounjaro</w:t>
      </w:r>
      <w:r w:rsidRPr="00A81B7B">
        <w:rPr>
          <w:i/>
          <w:iCs/>
        </w:rPr>
        <w:t xml:space="preserve"> is indicated for the treatment of adults with type 2 diabetes mellitus as an adjunct to diet and exercise</w:t>
      </w:r>
    </w:p>
    <w:p w14:paraId="4958DB05" w14:textId="02B19B66" w:rsidR="004374AB" w:rsidRPr="00A81B7B" w:rsidRDefault="004374AB" w:rsidP="00A81B7B">
      <w:pPr>
        <w:pStyle w:val="ListBullet"/>
        <w:rPr>
          <w:i/>
          <w:iCs/>
        </w:rPr>
      </w:pPr>
      <w:r w:rsidRPr="00A81B7B">
        <w:rPr>
          <w:i/>
          <w:iCs/>
        </w:rPr>
        <w:t>as monotherapy when metformin is not tolerated or contraindicated.</w:t>
      </w:r>
    </w:p>
    <w:p w14:paraId="70D72522" w14:textId="7BEC0538" w:rsidR="004374AB" w:rsidRPr="00A81B7B" w:rsidRDefault="004374AB" w:rsidP="00A81B7B">
      <w:pPr>
        <w:pStyle w:val="ListBullet"/>
        <w:rPr>
          <w:i/>
          <w:iCs/>
        </w:rPr>
      </w:pPr>
      <w:r w:rsidRPr="00A81B7B">
        <w:rPr>
          <w:i/>
          <w:iCs/>
        </w:rPr>
        <w:t>in addition to other medicinal products for the treatment of type 2 diabetes.</w:t>
      </w:r>
    </w:p>
    <w:p w14:paraId="08B86CC9" w14:textId="77777777" w:rsidR="004374AB" w:rsidRPr="004374AB" w:rsidRDefault="004374AB" w:rsidP="004374AB">
      <w:r w:rsidRPr="004374AB">
        <w:t>Based on the data available, a more precise and desirable indication would be:</w:t>
      </w:r>
    </w:p>
    <w:p w14:paraId="26320FFF" w14:textId="02DF48C9" w:rsidR="004374AB" w:rsidRPr="00A81B7B" w:rsidRDefault="004374AB" w:rsidP="004374AB">
      <w:pPr>
        <w:rPr>
          <w:i/>
          <w:iCs/>
        </w:rPr>
      </w:pPr>
      <w:r w:rsidRPr="00A81B7B">
        <w:rPr>
          <w:i/>
          <w:iCs/>
        </w:rPr>
        <w:t>M</w:t>
      </w:r>
      <w:r w:rsidR="00A81B7B" w:rsidRPr="00A81B7B">
        <w:rPr>
          <w:i/>
          <w:iCs/>
        </w:rPr>
        <w:t>ounjaro</w:t>
      </w:r>
      <w:r w:rsidRPr="00A81B7B">
        <w:rPr>
          <w:i/>
          <w:iCs/>
        </w:rPr>
        <w:t xml:space="preserve"> is indicated for the treatment of adults with insufficiently controlled type 2 diabetes mellitus as an adjunct to diet and exercise:</w:t>
      </w:r>
    </w:p>
    <w:p w14:paraId="699C6D38" w14:textId="62CEEF7D" w:rsidR="004374AB" w:rsidRPr="00A81B7B" w:rsidRDefault="004374AB" w:rsidP="00A81B7B">
      <w:pPr>
        <w:pStyle w:val="ListBullet"/>
        <w:rPr>
          <w:i/>
          <w:iCs/>
        </w:rPr>
      </w:pPr>
      <w:r w:rsidRPr="00A81B7B">
        <w:rPr>
          <w:i/>
          <w:iCs/>
        </w:rPr>
        <w:t>as monotherapy when metformin is not tolerated or contraindicated.</w:t>
      </w:r>
    </w:p>
    <w:p w14:paraId="3116F767" w14:textId="5368FC19" w:rsidR="004374AB" w:rsidRPr="00A81B7B" w:rsidRDefault="004374AB" w:rsidP="00A81B7B">
      <w:pPr>
        <w:pStyle w:val="ListBullet"/>
        <w:rPr>
          <w:i/>
          <w:iCs/>
        </w:rPr>
      </w:pPr>
      <w:r w:rsidRPr="00A81B7B">
        <w:rPr>
          <w:i/>
          <w:iCs/>
        </w:rPr>
        <w:t>in addition to other medicinal products for the treatment of type 2 diabetes.</w:t>
      </w:r>
    </w:p>
    <w:p w14:paraId="591E0022" w14:textId="77777777" w:rsidR="004374AB" w:rsidRPr="004374AB" w:rsidRDefault="004374AB" w:rsidP="004374AB">
      <w:r w:rsidRPr="004374AB">
        <w:t>Furthermore, this would align with the indication wording of comparable antidiabetics.</w:t>
      </w:r>
    </w:p>
    <w:p w14:paraId="318CFABC" w14:textId="7DC8B82D" w:rsidR="00C22214" w:rsidRPr="00F73346" w:rsidRDefault="00C22214" w:rsidP="00C22214">
      <w:pPr>
        <w:pStyle w:val="Heading4"/>
      </w:pPr>
      <w:bookmarkStart w:id="121" w:name="_Toc98931936"/>
      <w:bookmarkStart w:id="122" w:name="_Toc148961957"/>
      <w:bookmarkStart w:id="123" w:name="_Toc247691532"/>
      <w:bookmarkStart w:id="124" w:name="_Toc314842516"/>
      <w:r w:rsidRPr="00F73346">
        <w:t>Advisory Committee considerations</w:t>
      </w:r>
      <w:bookmarkEnd w:id="121"/>
      <w:bookmarkEnd w:id="122"/>
    </w:p>
    <w:p w14:paraId="087BB9CB" w14:textId="0BDF15EE" w:rsidR="00C22214" w:rsidRPr="00BD5DBD" w:rsidRDefault="00C22214" w:rsidP="00C22214">
      <w:pPr>
        <w:rPr>
          <w:bCs/>
          <w:szCs w:val="22"/>
        </w:rPr>
      </w:pPr>
      <w:r w:rsidRPr="00BD5DBD">
        <w:rPr>
          <w:bCs/>
          <w:szCs w:val="22"/>
        </w:rPr>
        <w:t>The</w:t>
      </w:r>
      <w:r w:rsidR="00A34D19">
        <w:rPr>
          <w:bCs/>
          <w:szCs w:val="22"/>
        </w:rPr>
        <w:t xml:space="preserve"> </w:t>
      </w:r>
      <w:hyperlink r:id="rId51" w:history="1">
        <w:r w:rsidR="00A34D19">
          <w:rPr>
            <w:rStyle w:val="Hyperlink"/>
          </w:rPr>
          <w:t>Advisory Committee on Medicines (ACM)</w:t>
        </w:r>
      </w:hyperlink>
      <w:r w:rsidRPr="00BD5DBD">
        <w:rPr>
          <w:bCs/>
          <w:szCs w:val="22"/>
        </w:rPr>
        <w:t xml:space="preserve"> having considered the evaluations and the Delegate’s overview, as well as the sponsor’s response to these documents, advised the following.</w:t>
      </w:r>
    </w:p>
    <w:p w14:paraId="0D935CC4" w14:textId="125B5DBD" w:rsidR="00C22214" w:rsidRPr="00F73346" w:rsidRDefault="00C22214" w:rsidP="00C22214">
      <w:pPr>
        <w:pStyle w:val="Heading5"/>
      </w:pPr>
      <w:r w:rsidRPr="00F73346">
        <w:t>Specific advice to the Delegate</w:t>
      </w:r>
      <w:r w:rsidR="002B0E47">
        <w:fldChar w:fldCharType="begin"/>
      </w:r>
      <w:r w:rsidR="002B0E47">
        <w:instrText xml:space="preserve"> DOCVARIABLE vault_nd_9ca647ed-a68e-493c-b137-f4cc83f1d4d8 \* MERGEFORMAT </w:instrText>
      </w:r>
      <w:r w:rsidR="002B0E47">
        <w:fldChar w:fldCharType="separate"/>
      </w:r>
      <w:r w:rsidR="008465DD">
        <w:t xml:space="preserve"> </w:t>
      </w:r>
      <w:r w:rsidR="002B0E47">
        <w:fldChar w:fldCharType="end"/>
      </w:r>
    </w:p>
    <w:p w14:paraId="47E5A026" w14:textId="74305787" w:rsidR="006A252B" w:rsidRPr="00B8778A" w:rsidRDefault="006A252B" w:rsidP="00B8778A">
      <w:pPr>
        <w:pStyle w:val="Numberbullet0"/>
        <w:rPr>
          <w:b/>
          <w:bCs/>
          <w:i/>
          <w:iCs/>
        </w:rPr>
      </w:pPr>
      <w:r w:rsidRPr="00B8778A">
        <w:rPr>
          <w:b/>
          <w:bCs/>
          <w:i/>
          <w:iCs/>
        </w:rPr>
        <w:t>Can the ACM comment on whether there are sufficient data for a T2DM indication and whether the indication wording is appropriate?</w:t>
      </w:r>
    </w:p>
    <w:p w14:paraId="4F3DA4E6" w14:textId="77777777" w:rsidR="006A252B" w:rsidRDefault="006A252B" w:rsidP="006A252B">
      <w:r>
        <w:t>The ACM advised that there are sufficient data for the T2DM indication in the wording proposed by the Delegate.</w:t>
      </w:r>
    </w:p>
    <w:p w14:paraId="0AEBF642" w14:textId="1641A319" w:rsidR="006A252B" w:rsidRDefault="006A252B" w:rsidP="006A252B">
      <w:r>
        <w:t>Inclusion of ‘insufficiently controlled’ in the indication was supported. This aligns with the approved indication in Europe and other medicines of this type, including other GLP</w:t>
      </w:r>
      <w:r w:rsidR="005E279A">
        <w:noBreakHyphen/>
      </w:r>
      <w:r>
        <w:t>1 receptor agonists.</w:t>
      </w:r>
    </w:p>
    <w:p w14:paraId="1952E845" w14:textId="58CDF73A" w:rsidR="006A252B" w:rsidRPr="00B8778A" w:rsidRDefault="006A252B" w:rsidP="00B8778A">
      <w:pPr>
        <w:pStyle w:val="Numberbullet0"/>
        <w:rPr>
          <w:b/>
          <w:bCs/>
          <w:i/>
          <w:iCs/>
        </w:rPr>
      </w:pPr>
      <w:r w:rsidRPr="00B8778A">
        <w:rPr>
          <w:b/>
          <w:bCs/>
          <w:i/>
          <w:iCs/>
        </w:rPr>
        <w:t>In the currently proposed PI, statements with regard to the following are not present or considered insufficient. Can the ACM comment on the inclusion of relevant statements in the PI?</w:t>
      </w:r>
    </w:p>
    <w:p w14:paraId="1CA54B94" w14:textId="6CED645C" w:rsidR="006A252B" w:rsidRPr="00B8778A" w:rsidRDefault="006A252B" w:rsidP="00B8778A">
      <w:pPr>
        <w:pStyle w:val="Numberbullet2"/>
        <w:rPr>
          <w:b/>
          <w:bCs/>
          <w:i/>
          <w:iCs/>
        </w:rPr>
      </w:pPr>
      <w:r w:rsidRPr="00B8778A">
        <w:rPr>
          <w:b/>
          <w:bCs/>
          <w:i/>
          <w:iCs/>
        </w:rPr>
        <w:lastRenderedPageBreak/>
        <w:t>Co</w:t>
      </w:r>
      <w:r w:rsidR="005E279A">
        <w:rPr>
          <w:b/>
          <w:bCs/>
          <w:i/>
          <w:iCs/>
        </w:rPr>
        <w:noBreakHyphen/>
      </w:r>
      <w:r w:rsidRPr="00B8778A">
        <w:rPr>
          <w:b/>
          <w:bCs/>
          <w:i/>
          <w:iCs/>
        </w:rPr>
        <w:t>administration of oral contraceptives: currently no recommendation with regard to switching to a non</w:t>
      </w:r>
      <w:r w:rsidR="005E279A">
        <w:rPr>
          <w:b/>
          <w:bCs/>
          <w:i/>
          <w:iCs/>
        </w:rPr>
        <w:noBreakHyphen/>
      </w:r>
      <w:r w:rsidRPr="00B8778A">
        <w:rPr>
          <w:b/>
          <w:bCs/>
          <w:i/>
          <w:iCs/>
        </w:rPr>
        <w:t>oral contraceptive method, or adding a barrier method for 4 weeks after initiation and for 4 weeks after each dose escalation.</w:t>
      </w:r>
    </w:p>
    <w:p w14:paraId="0C511C33" w14:textId="77777777" w:rsidR="006A252B" w:rsidRDefault="006A252B" w:rsidP="006A252B">
      <w:r>
        <w:t>The ACM advised that the PI should provide a precaution that a woman’s current contraceptive choices should be reviewed at the initiation of tirzepatide (and the commencement of treatment for T2DM generally) and that contraceptive choices should be individualised to the patient’s needs.</w:t>
      </w:r>
    </w:p>
    <w:p w14:paraId="1EB3832E" w14:textId="77777777" w:rsidR="006A252B" w:rsidRDefault="006A252B" w:rsidP="006A252B">
      <w:r>
        <w:t>Noting the range of contraceptive choices available, the ACM advised that no particular alternative method(s) should be recommended in the PI.</w:t>
      </w:r>
    </w:p>
    <w:p w14:paraId="67BC4D75" w14:textId="273BAAD2" w:rsidR="006A252B" w:rsidRDefault="006A252B" w:rsidP="006A252B">
      <w:r>
        <w:t xml:space="preserve">The ACM noted that specific data are likely to be available on the effectiveness of </w:t>
      </w:r>
      <w:r w:rsidR="006B248A">
        <w:t>oral contraceptives</w:t>
      </w:r>
      <w:r>
        <w:t xml:space="preserve"> when there is an approximately 20% reduction in exposure to the </w:t>
      </w:r>
      <w:r w:rsidR="006B248A">
        <w:t>oral contraceptive</w:t>
      </w:r>
      <w:r>
        <w:t>.</w:t>
      </w:r>
    </w:p>
    <w:p w14:paraId="3DF461DD" w14:textId="1E60989B" w:rsidR="006A252B" w:rsidRDefault="006A252B" w:rsidP="006A252B">
      <w:r>
        <w:t>The ACM noted that the PI advises women of childbearing potential to use contraception during treatment with tirzepatide and that tirzepatide is Pregnancy Category D.</w:t>
      </w:r>
    </w:p>
    <w:p w14:paraId="635B2563" w14:textId="0B99B691" w:rsidR="006A252B" w:rsidRPr="00B8778A" w:rsidRDefault="006A252B" w:rsidP="00B8778A">
      <w:pPr>
        <w:pStyle w:val="Numberbullet2"/>
        <w:rPr>
          <w:b/>
          <w:bCs/>
          <w:i/>
          <w:iCs/>
        </w:rPr>
      </w:pPr>
      <w:r w:rsidRPr="00B8778A">
        <w:rPr>
          <w:b/>
          <w:bCs/>
          <w:i/>
          <w:iCs/>
        </w:rPr>
        <w:t>Worsening of diabetic retinopathy: no statement; the worsening is not inherently associated with tirzepatide, but with rapid improvement in systemic glucose control</w:t>
      </w:r>
    </w:p>
    <w:p w14:paraId="3AB63975" w14:textId="33FFFA1C" w:rsidR="006A252B" w:rsidRDefault="006A252B" w:rsidP="006A252B">
      <w:r>
        <w:t>The ACM advised the worsening of diabetic retinopathy that occurs with rapid improvement in systemic glucose control (generally, within 3</w:t>
      </w:r>
      <w:r w:rsidR="000033D1">
        <w:t> </w:t>
      </w:r>
      <w:r>
        <w:t>months) should be included as a special warning in the PI. Such a statement should be in place for all medicines in the class.</w:t>
      </w:r>
    </w:p>
    <w:p w14:paraId="7BC705F5" w14:textId="466E2BF8" w:rsidR="006A252B" w:rsidRPr="00B8778A" w:rsidRDefault="006A252B" w:rsidP="00B8778A">
      <w:pPr>
        <w:pStyle w:val="Numberbullet2"/>
        <w:rPr>
          <w:b/>
          <w:bCs/>
          <w:i/>
          <w:iCs/>
        </w:rPr>
      </w:pPr>
      <w:r w:rsidRPr="00B8778A">
        <w:rPr>
          <w:b/>
          <w:bCs/>
          <w:i/>
          <w:iCs/>
        </w:rPr>
        <w:t>medullary thyroid cancer and multiple endocrine neoplasia type 2: no statement</w:t>
      </w:r>
    </w:p>
    <w:p w14:paraId="1D3C7AA6" w14:textId="6A3014EE" w:rsidR="006A252B" w:rsidRDefault="006A252B" w:rsidP="006A252B">
      <w:r>
        <w:t>The ACM advised that appropriate statements could be added to the PI, which would be consistent with the inclusion in the Risk Management Plan of ‘Thyroid C</w:t>
      </w:r>
      <w:r w:rsidR="005E279A">
        <w:noBreakHyphen/>
      </w:r>
      <w:r>
        <w:t>cell tumours’ as an important potential risk requiring a Medullary Thyroid Carcinoma Surveillance Study.</w:t>
      </w:r>
    </w:p>
    <w:p w14:paraId="3439E27C" w14:textId="77777777" w:rsidR="006A252B" w:rsidRDefault="006A252B" w:rsidP="006A252B">
      <w:r>
        <w:t>However, at this time, in the absence of data for tirzepatide, there is no basis to differentiate the warning for tirzepatide from other similar agents.</w:t>
      </w:r>
    </w:p>
    <w:p w14:paraId="2BB28105" w14:textId="3D8D91E1" w:rsidR="006A252B" w:rsidRPr="00B8778A" w:rsidRDefault="006A252B" w:rsidP="00B8778A">
      <w:pPr>
        <w:pStyle w:val="Numberbullet2"/>
        <w:rPr>
          <w:b/>
          <w:bCs/>
          <w:i/>
          <w:iCs/>
        </w:rPr>
      </w:pPr>
      <w:r w:rsidRPr="00B8778A">
        <w:rPr>
          <w:b/>
          <w:bCs/>
          <w:i/>
          <w:iCs/>
        </w:rPr>
        <w:t>Cholecystitis: no statement.</w:t>
      </w:r>
    </w:p>
    <w:p w14:paraId="7A0C6BB6" w14:textId="519FE3DF" w:rsidR="006A252B" w:rsidRDefault="006A252B" w:rsidP="006A252B">
      <w:r w:rsidRPr="006B248A">
        <w:t>The ACM noted that ‘cholelithiasis’ will be added to the tabulation of adverse effect in the PI, as advised in the pre</w:t>
      </w:r>
      <w:r w:rsidR="005E279A">
        <w:noBreakHyphen/>
      </w:r>
      <w:r w:rsidRPr="006B248A">
        <w:t>ACM update from the sponsor. This is appropriate.</w:t>
      </w:r>
    </w:p>
    <w:p w14:paraId="5291EA2A" w14:textId="184E8864" w:rsidR="00C22214" w:rsidRPr="00F73346" w:rsidRDefault="00C22214" w:rsidP="00C22214">
      <w:pPr>
        <w:pStyle w:val="Heading5"/>
      </w:pPr>
      <w:r w:rsidRPr="00F73346">
        <w:t>Conclusion</w:t>
      </w:r>
    </w:p>
    <w:p w14:paraId="22C24593" w14:textId="7DF5D40D" w:rsidR="006A252B" w:rsidRDefault="006A252B" w:rsidP="006A252B">
      <w:r>
        <w:t>The ACM considered this product to have an overall positive benefit</w:t>
      </w:r>
      <w:r w:rsidR="005E279A">
        <w:noBreakHyphen/>
      </w:r>
      <w:r>
        <w:t>risk profile for the indication:</w:t>
      </w:r>
    </w:p>
    <w:p w14:paraId="11F3EF79" w14:textId="77777777" w:rsidR="006A252B" w:rsidRPr="006B248A" w:rsidRDefault="006A252B" w:rsidP="006B248A">
      <w:pPr>
        <w:rPr>
          <w:i/>
          <w:iCs/>
        </w:rPr>
      </w:pPr>
      <w:r w:rsidRPr="006B248A">
        <w:rPr>
          <w:i/>
          <w:iCs/>
        </w:rPr>
        <w:t>For the treatment of adults with insufficiently controlled type 2 diabetes mellitus as an adjunct to diet and exercise:</w:t>
      </w:r>
    </w:p>
    <w:p w14:paraId="5636AAFB" w14:textId="649F88E6" w:rsidR="006A252B" w:rsidRPr="006B248A" w:rsidRDefault="006A252B" w:rsidP="006B248A">
      <w:pPr>
        <w:pStyle w:val="ListBullet2"/>
        <w:numPr>
          <w:ilvl w:val="2"/>
          <w:numId w:val="1"/>
        </w:numPr>
        <w:ind w:left="360"/>
        <w:rPr>
          <w:i/>
          <w:iCs/>
        </w:rPr>
      </w:pPr>
      <w:r w:rsidRPr="006B248A">
        <w:rPr>
          <w:i/>
          <w:iCs/>
        </w:rPr>
        <w:t>as monotherapy when metformin is not tolerated or contraindicated</w:t>
      </w:r>
    </w:p>
    <w:p w14:paraId="0A4A379A" w14:textId="462F38FF" w:rsidR="006A252B" w:rsidRPr="006B248A" w:rsidRDefault="006A252B" w:rsidP="006B248A">
      <w:pPr>
        <w:pStyle w:val="ListBullet2"/>
        <w:numPr>
          <w:ilvl w:val="2"/>
          <w:numId w:val="1"/>
        </w:numPr>
        <w:ind w:left="360"/>
        <w:rPr>
          <w:i/>
          <w:iCs/>
        </w:rPr>
      </w:pPr>
      <w:r w:rsidRPr="006B248A">
        <w:rPr>
          <w:i/>
          <w:iCs/>
        </w:rPr>
        <w:t>in addition to other medicinal products for the treatment of type 2 diabetes.</w:t>
      </w:r>
    </w:p>
    <w:p w14:paraId="307F236C" w14:textId="2B8DF4A3" w:rsidR="00C22214" w:rsidRPr="002E238E" w:rsidRDefault="00C22214" w:rsidP="00C22214">
      <w:pPr>
        <w:pStyle w:val="Heading2"/>
      </w:pPr>
      <w:bookmarkStart w:id="125" w:name="_Toc103679300"/>
      <w:bookmarkStart w:id="126" w:name="_Toc148961958"/>
      <w:r>
        <w:t>Outcome</w:t>
      </w:r>
      <w:bookmarkEnd w:id="123"/>
      <w:bookmarkEnd w:id="124"/>
      <w:bookmarkEnd w:id="125"/>
      <w:bookmarkEnd w:id="126"/>
    </w:p>
    <w:p w14:paraId="4EF22939" w14:textId="5AD4E218" w:rsidR="00C22214" w:rsidRPr="00BD5DBD" w:rsidRDefault="00C22214" w:rsidP="006C67EE">
      <w:r w:rsidRPr="00BD5DBD">
        <w:t xml:space="preserve">Based on a review of quality, safety, and efficacy, the TGA approved the registration of </w:t>
      </w:r>
      <w:r w:rsidR="00E51592">
        <w:t>Mounjaro</w:t>
      </w:r>
      <w:r w:rsidR="00E51592" w:rsidRPr="00BD5DBD">
        <w:t xml:space="preserve"> (</w:t>
      </w:r>
      <w:r w:rsidR="00E51592">
        <w:t>tirzepatide</w:t>
      </w:r>
      <w:r w:rsidR="00E51592" w:rsidRPr="00BD5DBD">
        <w:t xml:space="preserve">) </w:t>
      </w:r>
      <w:r w:rsidR="00E51592">
        <w:t xml:space="preserve">in 6 </w:t>
      </w:r>
      <w:r w:rsidR="00E51592" w:rsidRPr="00BD5DBD">
        <w:t>strength</w:t>
      </w:r>
      <w:r w:rsidR="00E51592">
        <w:t>s (2.</w:t>
      </w:r>
      <w:r w:rsidR="009F6F50">
        <w:t>5 mg</w:t>
      </w:r>
      <w:r w:rsidR="00E51592">
        <w:t xml:space="preserve">/0.5 mL, </w:t>
      </w:r>
      <w:r w:rsidR="009F6F50">
        <w:t>5 mg</w:t>
      </w:r>
      <w:r w:rsidR="00E51592">
        <w:t>/0.5 mL, 7.</w:t>
      </w:r>
      <w:r w:rsidR="009F6F50">
        <w:t>5 mg</w:t>
      </w:r>
      <w:r w:rsidR="00E51592">
        <w:t xml:space="preserve">/0.5 mL, </w:t>
      </w:r>
      <w:r w:rsidR="009F6F50">
        <w:t>10 mg</w:t>
      </w:r>
      <w:r w:rsidR="00E51592">
        <w:t>/0.5 mL, 12.</w:t>
      </w:r>
      <w:r w:rsidR="009F6F50">
        <w:t>5 mg</w:t>
      </w:r>
      <w:r w:rsidR="00E51592">
        <w:t>/0.5 mL, 1</w:t>
      </w:r>
      <w:r w:rsidR="009F6F50">
        <w:t>5 mg</w:t>
      </w:r>
      <w:r w:rsidR="00E51592">
        <w:t>/0.5 mL)</w:t>
      </w:r>
      <w:r w:rsidR="00E51592" w:rsidRPr="00BD5DBD">
        <w:t xml:space="preserve"> </w:t>
      </w:r>
      <w:r w:rsidR="00E51592">
        <w:t>of solution for injection in pre</w:t>
      </w:r>
      <w:r w:rsidR="005E279A">
        <w:noBreakHyphen/>
      </w:r>
      <w:r w:rsidR="00E51592">
        <w:t>filled pens</w:t>
      </w:r>
      <w:r w:rsidRPr="00BD5DBD">
        <w:t>, indicated for:</w:t>
      </w:r>
    </w:p>
    <w:p w14:paraId="0124FB19" w14:textId="2463F6AD" w:rsidR="00E51592" w:rsidRPr="00E51592" w:rsidRDefault="00E51592" w:rsidP="00205FAD">
      <w:pPr>
        <w:keepNext/>
        <w:rPr>
          <w:i/>
          <w:iCs/>
        </w:rPr>
      </w:pPr>
      <w:r w:rsidRPr="00E51592">
        <w:rPr>
          <w:i/>
          <w:iCs/>
        </w:rPr>
        <w:lastRenderedPageBreak/>
        <w:t>Mounjaro is indicated for the treatment of adults with insufficiently controlled type 2 diabetes mellitus as an adjunct to diet and exercise</w:t>
      </w:r>
    </w:p>
    <w:p w14:paraId="02C19DF7" w14:textId="699F1760" w:rsidR="00E51592" w:rsidRPr="00AB5ABC" w:rsidRDefault="00E51592" w:rsidP="00205FAD">
      <w:pPr>
        <w:pStyle w:val="ListBullet"/>
        <w:keepNext/>
        <w:rPr>
          <w:i/>
          <w:iCs/>
        </w:rPr>
      </w:pPr>
      <w:r w:rsidRPr="00AB5ABC">
        <w:rPr>
          <w:i/>
          <w:iCs/>
        </w:rPr>
        <w:t>as monotherapy when metformin is not tolerated or contraindicated</w:t>
      </w:r>
    </w:p>
    <w:p w14:paraId="3070543E" w14:textId="1750A115" w:rsidR="00E51592" w:rsidRPr="00AB5ABC" w:rsidRDefault="00E51592" w:rsidP="006C67EE">
      <w:pPr>
        <w:pStyle w:val="ListBullet"/>
        <w:rPr>
          <w:i/>
          <w:iCs/>
        </w:rPr>
      </w:pPr>
      <w:r w:rsidRPr="00AB5ABC">
        <w:rPr>
          <w:i/>
          <w:iCs/>
        </w:rPr>
        <w:t>in addition to other medicinal products for the treatment of type 2 diabetes.</w:t>
      </w:r>
    </w:p>
    <w:p w14:paraId="0D732DA4" w14:textId="7FEEDFD0" w:rsidR="00854D98" w:rsidRPr="00D23139" w:rsidRDefault="00854D98" w:rsidP="00854D98">
      <w:pPr>
        <w:pStyle w:val="Heading3"/>
      </w:pPr>
      <w:bookmarkStart w:id="127" w:name="_Toc103679301"/>
      <w:bookmarkStart w:id="128" w:name="_Toc148961959"/>
      <w:r w:rsidRPr="00D23139">
        <w:t>Specific conditions of registration applying to these goods</w:t>
      </w:r>
      <w:bookmarkEnd w:id="127"/>
      <w:bookmarkEnd w:id="128"/>
    </w:p>
    <w:p w14:paraId="6E5A3092" w14:textId="48244A6A" w:rsidR="00A81B7B" w:rsidRPr="00A81B7B" w:rsidRDefault="00A81B7B" w:rsidP="00A81B7B">
      <w:pPr>
        <w:pStyle w:val="ListBullet"/>
      </w:pPr>
      <w:r w:rsidRPr="00A81B7B">
        <w:t>M</w:t>
      </w:r>
      <w:r>
        <w:t>ounjaro</w:t>
      </w:r>
      <w:r w:rsidRPr="00A81B7B">
        <w:t xml:space="preserve"> (tirzepatide) is to be included in the Black Triangle Scheme. The PI and CMI for M</w:t>
      </w:r>
      <w:r>
        <w:t>ounjaro</w:t>
      </w:r>
      <w:r w:rsidRPr="00A81B7B">
        <w:t xml:space="preserve"> must include the black triangle symbol and mandatory accompanying text for </w:t>
      </w:r>
      <w:r>
        <w:t>5 </w:t>
      </w:r>
      <w:r w:rsidRPr="00A81B7B">
        <w:t>years, which starts from the date that the sponsor notifies the TGA of supply of the product.</w:t>
      </w:r>
    </w:p>
    <w:p w14:paraId="1506543E" w14:textId="544DB0E2" w:rsidR="00A81B7B" w:rsidRPr="00A81B7B" w:rsidRDefault="00A81B7B" w:rsidP="00A81B7B">
      <w:pPr>
        <w:pStyle w:val="ListBullet"/>
      </w:pPr>
      <w:r w:rsidRPr="00A81B7B">
        <w:t xml:space="preserve">The </w:t>
      </w:r>
      <w:r>
        <w:t>t</w:t>
      </w:r>
      <w:r w:rsidRPr="00A81B7B">
        <w:t xml:space="preserve">irzepatide </w:t>
      </w:r>
      <w:r>
        <w:t>European risk management plan</w:t>
      </w:r>
      <w:r w:rsidRPr="00A81B7B">
        <w:t xml:space="preserve"> (RMP) (version 0.3, dated 27</w:t>
      </w:r>
      <w:r>
        <w:t> </w:t>
      </w:r>
      <w:r w:rsidRPr="00A81B7B">
        <w:t>June 2022, data lock point 2</w:t>
      </w:r>
      <w:r>
        <w:t> </w:t>
      </w:r>
      <w:r w:rsidRPr="00A81B7B">
        <w:t xml:space="preserve">June 2021), with Australia </w:t>
      </w:r>
      <w:r>
        <w:t>s</w:t>
      </w:r>
      <w:r w:rsidRPr="00A81B7B">
        <w:t xml:space="preserve">pecific </w:t>
      </w:r>
      <w:r>
        <w:t>a</w:t>
      </w:r>
      <w:r w:rsidRPr="00A81B7B">
        <w:t>nnex (version 1.1, dated 12</w:t>
      </w:r>
      <w:r>
        <w:t> </w:t>
      </w:r>
      <w:r w:rsidRPr="00A81B7B">
        <w:t>August 2022), included with submission PM</w:t>
      </w:r>
      <w:r w:rsidR="005E279A">
        <w:noBreakHyphen/>
      </w:r>
      <w:r w:rsidRPr="00A81B7B">
        <w:t>2021</w:t>
      </w:r>
      <w:r w:rsidR="005E279A">
        <w:noBreakHyphen/>
      </w:r>
      <w:r w:rsidRPr="00A81B7B">
        <w:t>05212</w:t>
      </w:r>
      <w:r w:rsidR="005E279A">
        <w:noBreakHyphen/>
      </w:r>
      <w:r w:rsidRPr="00A81B7B">
        <w:t>1</w:t>
      </w:r>
      <w:r w:rsidR="005E279A">
        <w:noBreakHyphen/>
      </w:r>
      <w:r w:rsidRPr="00A81B7B">
        <w:t>5, to be revised to the satisfaction of the TGA, and any subsequent revisions, will be implemented in Australia.</w:t>
      </w:r>
    </w:p>
    <w:p w14:paraId="05056126" w14:textId="61F77399" w:rsidR="00A81B7B" w:rsidRPr="00A81B7B" w:rsidRDefault="00A81B7B" w:rsidP="00A81B7B">
      <w:pPr>
        <w:ind w:left="360"/>
      </w:pPr>
      <w:r w:rsidRPr="00A81B7B">
        <w:t>An obligatory component of risk management plans is routine pharmacovigilance. Routine pharmacovigilance includes the submission of periodic safety update reports (PSURs).</w:t>
      </w:r>
    </w:p>
    <w:p w14:paraId="100A880E" w14:textId="0AF462DB" w:rsidR="00A81B7B" w:rsidRPr="00A81B7B" w:rsidRDefault="00A81B7B" w:rsidP="00A81B7B">
      <w:pPr>
        <w:ind w:left="360"/>
      </w:pPr>
      <w:r w:rsidRPr="00A81B7B">
        <w:t>Unless agreed separately between the supplier who is the recipient of the approval and the TGA, the first report must be submitted to TGA no later than 15 calendar months after the date of th</w:t>
      </w:r>
      <w:r w:rsidR="00D90CDD">
        <w:t>e</w:t>
      </w:r>
      <w:r w:rsidRPr="00A81B7B">
        <w:t xml:space="preserve"> approval letter. The subsequent reports must be submitted no less frequently than annually from the date of the first submitted report until the period covered by such reports is not less than </w:t>
      </w:r>
      <w:r w:rsidR="008F4E1A">
        <w:t>3</w:t>
      </w:r>
      <w:r w:rsidRPr="00A81B7B">
        <w:t xml:space="preserve"> years from the date of th</w:t>
      </w:r>
      <w:r w:rsidR="008F4E1A">
        <w:t>e</w:t>
      </w:r>
      <w:r w:rsidRPr="00A81B7B">
        <w:t xml:space="preserve"> approval letter. The annual submission may be made up of </w:t>
      </w:r>
      <w:r w:rsidR="00320553">
        <w:t>2</w:t>
      </w:r>
      <w:r w:rsidRPr="00A81B7B">
        <w:t xml:space="preserve"> PSURs each covering </w:t>
      </w:r>
      <w:r w:rsidR="008F4E1A">
        <w:t>6</w:t>
      </w:r>
      <w:r w:rsidRPr="00A81B7B">
        <w:t xml:space="preserve"> months. If the sponsor wishes, the </w:t>
      </w:r>
      <w:r w:rsidR="008F4E1A">
        <w:t>6</w:t>
      </w:r>
      <w:r w:rsidR="005E279A">
        <w:noBreakHyphen/>
      </w:r>
      <w:r w:rsidRPr="00A81B7B">
        <w:t>monthly reports may be submitted separately as they become available.</w:t>
      </w:r>
    </w:p>
    <w:p w14:paraId="7F1233CF" w14:textId="4687971E" w:rsidR="00A81B7B" w:rsidRPr="00A81B7B" w:rsidRDefault="00A81B7B" w:rsidP="00A81B7B">
      <w:pPr>
        <w:ind w:left="360"/>
      </w:pPr>
      <w:r w:rsidRPr="00A81B7B">
        <w:t xml:space="preserve">If the product is approved in the EU during the </w:t>
      </w:r>
      <w:r w:rsidR="008F4E1A">
        <w:t>3</w:t>
      </w:r>
      <w:r w:rsidR="005E279A">
        <w:noBreakHyphen/>
      </w:r>
      <w:r w:rsidRPr="00A81B7B">
        <w:t xml:space="preserve">year period, reports can be provided in line with the published list of EU reference dates no less frequently than annually from the date of the first submitted report until the period covered by such reports is not less than </w:t>
      </w:r>
      <w:r w:rsidR="008F4E1A">
        <w:t>3</w:t>
      </w:r>
      <w:r w:rsidRPr="00A81B7B">
        <w:t xml:space="preserve"> years from the date of th</w:t>
      </w:r>
      <w:r w:rsidR="00D90CDD">
        <w:t>e</w:t>
      </w:r>
      <w:r w:rsidRPr="00A81B7B">
        <w:t xml:space="preserve"> approval letter.</w:t>
      </w:r>
    </w:p>
    <w:p w14:paraId="5F255C77" w14:textId="5ABD4379" w:rsidR="00A81B7B" w:rsidRPr="00A81B7B" w:rsidRDefault="00A81B7B" w:rsidP="00A81B7B">
      <w:pPr>
        <w:ind w:left="360"/>
      </w:pPr>
      <w:r w:rsidRPr="00A81B7B">
        <w:t xml:space="preserve">The reports are to at least meet the requirements for PSURs as described in the European Medicines Agency’s Guideline on </w:t>
      </w:r>
      <w:r w:rsidR="00D90CDD">
        <w:t>G</w:t>
      </w:r>
      <w:r w:rsidRPr="00A81B7B">
        <w:t xml:space="preserve">ood </w:t>
      </w:r>
      <w:r w:rsidR="00D90CDD">
        <w:t>P</w:t>
      </w:r>
      <w:r w:rsidRPr="00A81B7B">
        <w:t xml:space="preserve">harmacovigilance </w:t>
      </w:r>
      <w:r w:rsidR="00D90CDD">
        <w:t>P</w:t>
      </w:r>
      <w:r w:rsidRPr="00A81B7B">
        <w:t>ractices (GVP) Module VII</w:t>
      </w:r>
      <w:r w:rsidR="005E279A">
        <w:noBreakHyphen/>
      </w:r>
      <w:r w:rsidRPr="00A81B7B">
        <w:t>periodic safety update report (Rev</w:t>
      </w:r>
      <w:r w:rsidR="00D90CDD">
        <w:t>ision</w:t>
      </w:r>
      <w:r w:rsidRPr="00A81B7B">
        <w:t xml:space="preserve"> 1), Part VII.B Structures and processes. Note that submission of a PSUR does not constitute an application to vary the registration. Each report must have been prepared within</w:t>
      </w:r>
      <w:r w:rsidR="008F4E1A">
        <w:t xml:space="preserve"> 90</w:t>
      </w:r>
      <w:r w:rsidRPr="00A81B7B">
        <w:t xml:space="preserve"> calendar days of the data lock point for that report.</w:t>
      </w:r>
    </w:p>
    <w:p w14:paraId="451DC3FC" w14:textId="0A0D1D29" w:rsidR="00C22214" w:rsidRDefault="00C22214" w:rsidP="00C22214">
      <w:pPr>
        <w:pStyle w:val="Heading2"/>
      </w:pPr>
      <w:bookmarkStart w:id="129" w:name="_Toc103679303"/>
      <w:bookmarkStart w:id="130" w:name="_Toc148961960"/>
      <w:r>
        <w:t>Attachment 1. Product Information</w:t>
      </w:r>
      <w:bookmarkEnd w:id="129"/>
      <w:bookmarkEnd w:id="130"/>
    </w:p>
    <w:p w14:paraId="21F47164" w14:textId="25932E3C" w:rsidR="00C22214" w:rsidRPr="00BD5DBD" w:rsidRDefault="00C22214" w:rsidP="00C22214">
      <w:pPr>
        <w:rPr>
          <w:szCs w:val="22"/>
        </w:rPr>
      </w:pPr>
      <w:r w:rsidRPr="00BD5DBD">
        <w:rPr>
          <w:szCs w:val="22"/>
        </w:rPr>
        <w:t xml:space="preserve">The PI for </w:t>
      </w:r>
      <w:r w:rsidR="00D90CDD">
        <w:rPr>
          <w:szCs w:val="22"/>
        </w:rPr>
        <w:t>Mounjaro</w:t>
      </w:r>
      <w:r w:rsidRPr="00BD5DBD">
        <w:rPr>
          <w:szCs w:val="22"/>
        </w:rPr>
        <w:t xml:space="preserve"> approved with the submission which is described in this AusPAR is at Attachment 1. </w:t>
      </w:r>
      <w:r w:rsidR="00F969D1">
        <w:rPr>
          <w:szCs w:val="22"/>
        </w:rPr>
        <w:t xml:space="preserve">It may have been superseded. </w:t>
      </w:r>
      <w:r w:rsidRPr="00BD5DBD">
        <w:rPr>
          <w:szCs w:val="22"/>
        </w:rPr>
        <w:t xml:space="preserve">For the most recent PI, please refer to the TGA </w:t>
      </w:r>
      <w:hyperlink r:id="rId52" w:history="1">
        <w:r w:rsidRPr="00BD5DBD">
          <w:rPr>
            <w:rStyle w:val="Hyperlink"/>
            <w:szCs w:val="22"/>
          </w:rPr>
          <w:t>PI/CMI search facility.</w:t>
        </w:r>
      </w:hyperlink>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C473D6">
          <w:headerReference w:type="default" r:id="rId53"/>
          <w:footerReference w:type="default" r:id="rId54"/>
          <w:pgSz w:w="11906" w:h="16838" w:code="9"/>
          <w:pgMar w:top="1134" w:right="1418" w:bottom="1418"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45847CDB" w:rsidR="00F02AEC" w:rsidRDefault="00F02AEC">
            <w:pPr>
              <w:pStyle w:val="Address"/>
              <w:jc w:val="center"/>
              <w:rPr>
                <w:sz w:val="22"/>
                <w:szCs w:val="22"/>
              </w:rPr>
            </w:pPr>
            <w:r w:rsidRPr="00215D48">
              <w:t xml:space="preserve">Email: </w:t>
            </w:r>
            <w:hyperlink r:id="rId55" w:history="1">
              <w:r w:rsidRPr="00215D48">
                <w:rPr>
                  <w:rStyle w:val="Hyperlink"/>
                </w:rPr>
                <w:t>info@tga.gov.au</w:t>
              </w:r>
            </w:hyperlink>
            <w:r w:rsidRPr="00215D48">
              <w:t xml:space="preserve">  Phone: 1800 020 653  Fax: </w:t>
            </w:r>
            <w:r w:rsidRPr="00BA0DFC">
              <w:t>02 6203 1605</w:t>
            </w:r>
          </w:p>
          <w:p w14:paraId="4533D80F" w14:textId="2B55EDD7" w:rsidR="00F02AEC" w:rsidRPr="00215D48" w:rsidRDefault="002B0E47">
            <w:pPr>
              <w:pStyle w:val="Address"/>
              <w:jc w:val="center"/>
              <w:rPr>
                <w:rStyle w:val="Hyperlink"/>
                <w:b/>
                <w:color w:val="auto"/>
                <w:sz w:val="22"/>
              </w:rPr>
            </w:pPr>
            <w:hyperlink r:id="rId56"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7"/>
      <w:footerReference w:type="first" r:id="rId5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AED48" w14:textId="77777777" w:rsidR="00F02FE7" w:rsidRDefault="00F02FE7" w:rsidP="00F02AEC">
      <w:pPr>
        <w:spacing w:after="0" w:line="240" w:lineRule="auto"/>
      </w:pPr>
      <w:r>
        <w:separator/>
      </w:r>
    </w:p>
  </w:endnote>
  <w:endnote w:type="continuationSeparator" w:id="0">
    <w:p w14:paraId="7363DE31" w14:textId="77777777" w:rsidR="00F02FE7" w:rsidRDefault="00F02FE7" w:rsidP="00F02AEC">
      <w:pPr>
        <w:spacing w:after="0" w:line="240" w:lineRule="auto"/>
      </w:pPr>
      <w:r>
        <w:continuationSeparator/>
      </w:r>
    </w:p>
  </w:endnote>
  <w:endnote w:type="continuationNotice" w:id="1">
    <w:p w14:paraId="6A9FB740" w14:textId="77777777" w:rsidR="00F02FE7" w:rsidRDefault="00F02F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Bahnschrift SemiLigh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Klee One"/>
    <w:panose1 w:val="00000000000000000000"/>
    <w:charset w:val="80"/>
    <w:family w:val="auto"/>
    <w:notTrueType/>
    <w:pitch w:val="default"/>
    <w:sig w:usb0="00000083" w:usb1="08070000" w:usb2="00000010" w:usb3="00000000" w:csb0="00020009"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2B0E47">
                <w:fldChar w:fldCharType="begin"/>
              </w:r>
              <w:r w:rsidR="002B0E47">
                <w:instrText xml:space="preserve"> NUMPAGES  </w:instrText>
              </w:r>
              <w:r w:rsidR="002B0E47">
                <w:fldChar w:fldCharType="separate"/>
              </w:r>
              <w:r>
                <w:rPr>
                  <w:noProof/>
                </w:rPr>
                <w:t>2</w:t>
              </w:r>
              <w:r w:rsidR="002B0E4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31B5C2B0" w:rsidR="00C944D2" w:rsidRPr="004A3084" w:rsidRDefault="007452E8" w:rsidP="007452E8">
          <w:pPr>
            <w:pStyle w:val="Footer"/>
          </w:pPr>
          <w:r w:rsidRPr="00487162">
            <w:t>AusPA</w:t>
          </w:r>
          <w:r>
            <w:t xml:space="preserve">R </w:t>
          </w:r>
          <w:r w:rsidR="005E279A">
            <w:noBreakHyphen/>
          </w:r>
          <w:r>
            <w:t xml:space="preserve"> </w:t>
          </w:r>
          <w:r w:rsidR="006D52DC">
            <w:t>Mounjaro</w:t>
          </w:r>
          <w:r>
            <w:t xml:space="preserve"> </w:t>
          </w:r>
          <w:r w:rsidR="005E279A">
            <w:noBreakHyphen/>
          </w:r>
          <w:r w:rsidRPr="00460036">
            <w:t xml:space="preserve"> </w:t>
          </w:r>
          <w:r w:rsidR="006D52DC">
            <w:t>tirzepatide</w:t>
          </w:r>
          <w:r w:rsidRPr="00460036">
            <w:t xml:space="preserve"> </w:t>
          </w:r>
          <w:r w:rsidR="006D52DC">
            <w:t>–</w:t>
          </w:r>
          <w:r>
            <w:t xml:space="preserve"> </w:t>
          </w:r>
          <w:r w:rsidR="006D52DC">
            <w:t>Eli Lilly Australia Pty Ltd</w:t>
          </w:r>
          <w:r>
            <w:t xml:space="preserve"> </w:t>
          </w:r>
          <w:r w:rsidR="005E279A">
            <w:noBreakHyphen/>
          </w:r>
          <w:r>
            <w:t xml:space="preserve"> PM</w:t>
          </w:r>
          <w:r w:rsidR="005E279A">
            <w:noBreakHyphen/>
          </w:r>
          <w:r>
            <w:t>202</w:t>
          </w:r>
          <w:r w:rsidR="006D52DC">
            <w:t>1</w:t>
          </w:r>
          <w:r w:rsidR="005E279A">
            <w:noBreakHyphen/>
          </w:r>
          <w:r w:rsidR="006D52DC">
            <w:t>05212</w:t>
          </w:r>
          <w:r w:rsidR="005E279A">
            <w:noBreakHyphen/>
          </w:r>
          <w:r w:rsidR="006D52DC">
            <w:t>1</w:t>
          </w:r>
          <w:r w:rsidR="005E279A">
            <w:noBreakHyphen/>
          </w:r>
          <w:r w:rsidR="006D52DC">
            <w:t>5</w:t>
          </w:r>
          <w:r>
            <w:br/>
          </w:r>
          <w:r w:rsidR="00175FBF">
            <w:t>Final</w:t>
          </w:r>
          <w:r w:rsidR="006D52DC">
            <w:t xml:space="preserve"> – </w:t>
          </w:r>
          <w:r w:rsidR="009D5FF2">
            <w:t>13</w:t>
          </w:r>
          <w:r w:rsidR="00175FBF">
            <w:t xml:space="preserve"> November</w:t>
          </w:r>
          <w:r w:rsidR="006D52DC">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2B0E47">
                <w:fldChar w:fldCharType="begin"/>
              </w:r>
              <w:r w:rsidR="002B0E47">
                <w:instrText xml:space="preserve"> NUMPAGES  </w:instrText>
              </w:r>
              <w:r w:rsidR="002B0E47">
                <w:fldChar w:fldCharType="separate"/>
              </w:r>
              <w:r w:rsidR="006D6B44">
                <w:rPr>
                  <w:noProof/>
                </w:rPr>
                <w:t>17</w:t>
              </w:r>
              <w:r w:rsidR="002B0E4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E89EA" w14:textId="77777777" w:rsidR="00F02FE7" w:rsidRDefault="00F02FE7" w:rsidP="00F02AEC">
      <w:pPr>
        <w:spacing w:after="0" w:line="240" w:lineRule="auto"/>
      </w:pPr>
      <w:r>
        <w:separator/>
      </w:r>
    </w:p>
  </w:footnote>
  <w:footnote w:type="continuationSeparator" w:id="0">
    <w:p w14:paraId="78D4AA55" w14:textId="77777777" w:rsidR="00F02FE7" w:rsidRDefault="00F02FE7" w:rsidP="00F02AEC">
      <w:pPr>
        <w:spacing w:after="0" w:line="240" w:lineRule="auto"/>
      </w:pPr>
      <w:r>
        <w:continuationSeparator/>
      </w:r>
    </w:p>
  </w:footnote>
  <w:footnote w:type="continuationNotice" w:id="1">
    <w:p w14:paraId="7C85B3DA" w14:textId="77777777" w:rsidR="00F02FE7" w:rsidRDefault="00F02FE7">
      <w:pPr>
        <w:spacing w:after="0" w:line="240" w:lineRule="auto"/>
      </w:pPr>
    </w:p>
  </w:footnote>
  <w:footnote w:id="2">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3">
    <w:p w14:paraId="047F45C0" w14:textId="6DF3734D" w:rsidR="00A96F1A" w:rsidRDefault="00A96F1A">
      <w:pPr>
        <w:pStyle w:val="FootnoteText"/>
      </w:pPr>
      <w:r>
        <w:rPr>
          <w:rStyle w:val="FootnoteReference"/>
        </w:rPr>
        <w:footnoteRef/>
      </w:r>
      <w:r>
        <w:t xml:space="preserve"> </w:t>
      </w:r>
      <w:r w:rsidR="00F70C03">
        <w:t xml:space="preserve">Liraglutide was first </w:t>
      </w:r>
      <w:r w:rsidR="00CD4A3B">
        <w:t>registered in Australia on 26 August 2010</w:t>
      </w:r>
      <w:r w:rsidR="00F70C03">
        <w:t xml:space="preserve"> (ARTG number</w:t>
      </w:r>
      <w:r w:rsidR="00CD4A3B">
        <w:t>: 153980</w:t>
      </w:r>
      <w:r w:rsidR="00F70C03">
        <w:t>)</w:t>
      </w:r>
      <w:r w:rsidR="00CD4A3B">
        <w:t>.</w:t>
      </w:r>
    </w:p>
  </w:footnote>
  <w:footnote w:id="4">
    <w:p w14:paraId="6246F213" w14:textId="6034648E" w:rsidR="006408A4" w:rsidRDefault="006408A4">
      <w:pPr>
        <w:pStyle w:val="FootnoteText"/>
      </w:pPr>
      <w:r>
        <w:rPr>
          <w:rStyle w:val="FootnoteReference"/>
        </w:rPr>
        <w:footnoteRef/>
      </w:r>
      <w:r>
        <w:t xml:space="preserve"> Dulaglutide was first registered </w:t>
      </w:r>
      <w:r w:rsidR="00CD4A3B">
        <w:t>in Australia on 19 January 2015</w:t>
      </w:r>
      <w:r>
        <w:t xml:space="preserve"> (ARTG number</w:t>
      </w:r>
      <w:r w:rsidR="00CD4A3B">
        <w:t>: 217965</w:t>
      </w:r>
      <w:r>
        <w:t>)</w:t>
      </w:r>
      <w:r w:rsidR="00CD4A3B">
        <w:t>.</w:t>
      </w:r>
    </w:p>
  </w:footnote>
  <w:footnote w:id="5">
    <w:p w14:paraId="1D3809C9" w14:textId="77777777" w:rsidR="00CD4A3B" w:rsidRDefault="00CD4A3B" w:rsidP="00CD4A3B">
      <w:pPr>
        <w:pStyle w:val="FootnoteText"/>
      </w:pPr>
      <w:r>
        <w:rPr>
          <w:rStyle w:val="FootnoteReference"/>
        </w:rPr>
        <w:footnoteRef/>
      </w:r>
      <w:r>
        <w:t xml:space="preserve"> Semaglutide was first registered in Australia on 28 August 2019 (ARTG number: 308324).</w:t>
      </w:r>
    </w:p>
  </w:footnote>
  <w:footnote w:id="6">
    <w:p w14:paraId="66B46010" w14:textId="5B0D503E" w:rsidR="002E5B1F" w:rsidRDefault="002E5B1F">
      <w:pPr>
        <w:pStyle w:val="FootnoteText"/>
      </w:pPr>
      <w:r>
        <w:rPr>
          <w:rStyle w:val="FootnoteReference"/>
        </w:rPr>
        <w:footnoteRef/>
      </w:r>
      <w:r>
        <w:t xml:space="preserve"> </w:t>
      </w:r>
      <w:r w:rsidR="00EE3C4E">
        <w:t>In this report the ‘</w:t>
      </w:r>
      <w:r w:rsidR="00EE3C4E" w:rsidRPr="00C133A3">
        <w:t>Delegate</w:t>
      </w:r>
      <w:r w:rsidR="00EE3C4E">
        <w:t>’</w:t>
      </w:r>
      <w:r w:rsidR="00EE3C4E" w:rsidRPr="00C133A3">
        <w:t xml:space="preserve"> </w:t>
      </w:r>
      <w:r w:rsidR="00EE3C4E">
        <w:t xml:space="preserve">is the </w:t>
      </w:r>
      <w:r w:rsidR="00EE3C4E" w:rsidRPr="00C133A3">
        <w:t>Delegate of the Secretary of the Department of Health and Aged Care who approved the product under section 25 of the Act.</w:t>
      </w:r>
    </w:p>
  </w:footnote>
  <w:footnote w:id="7">
    <w:p w14:paraId="7CA9B741" w14:textId="6A77941D" w:rsidR="00F273D5" w:rsidRDefault="00F273D5">
      <w:pPr>
        <w:pStyle w:val="FootnoteText"/>
      </w:pPr>
      <w:r>
        <w:rPr>
          <w:rStyle w:val="FootnoteReference"/>
        </w:rPr>
        <w:footnoteRef/>
      </w:r>
      <w:r>
        <w:t xml:space="preserve"> </w:t>
      </w:r>
      <w:r w:rsidR="002222CC" w:rsidRPr="002222CC">
        <w:t>The </w:t>
      </w:r>
      <w:r w:rsidR="002222CC" w:rsidRPr="002222CC">
        <w:rPr>
          <w:b/>
          <w:bCs/>
        </w:rPr>
        <w:t>International Council for Harmonisation</w:t>
      </w:r>
      <w:r w:rsidR="002222CC" w:rsidRPr="002222CC">
        <w:t xml:space="preserve"> of Technical Requirements for Registration of Pharmaceuticals for Human Use (ICH) brings together regulatory authorities and the pharmaceutical industry. It makes recommendations towards achieving greater harmonisation in the interpretation and application of technical guidelines and requirements for pharmaceutical product registration.</w:t>
      </w:r>
    </w:p>
  </w:footnote>
  <w:footnote w:id="8">
    <w:p w14:paraId="64FCDAD0" w14:textId="27B0EDA6" w:rsidR="00A90BD3" w:rsidRDefault="00A90BD3" w:rsidP="00A33967">
      <w:pPr>
        <w:pStyle w:val="FootnoteText"/>
      </w:pPr>
      <w:r>
        <w:rPr>
          <w:rStyle w:val="FootnoteReference"/>
        </w:rPr>
        <w:footnoteRef/>
      </w:r>
      <w:r>
        <w:t xml:space="preserve"> </w:t>
      </w:r>
      <w:r w:rsidR="00A33967">
        <w:t>ICH guideline M3 (Revision 2) on non</w:t>
      </w:r>
      <w:r w:rsidR="005E279A">
        <w:noBreakHyphen/>
      </w:r>
      <w:r w:rsidR="00A33967">
        <w:t>clinical safety studies for the conduct of human clinical trials and marketing authorisation for pharmaceuticals. EMA/CPMP/ICH/286/1995</w:t>
      </w:r>
      <w:r w:rsidR="00B54020">
        <w:t>.</w:t>
      </w:r>
    </w:p>
  </w:footnote>
  <w:footnote w:id="9">
    <w:p w14:paraId="45B66F03" w14:textId="4999B94B" w:rsidR="00E97FD2" w:rsidRDefault="00E97FD2">
      <w:pPr>
        <w:pStyle w:val="FootnoteText"/>
      </w:pPr>
      <w:r>
        <w:rPr>
          <w:rStyle w:val="FootnoteReference"/>
        </w:rPr>
        <w:footnoteRef/>
      </w:r>
      <w:r>
        <w:t xml:space="preserve"> </w:t>
      </w:r>
      <w:r w:rsidRPr="00754FB1">
        <w:t xml:space="preserve">ICH </w:t>
      </w:r>
      <w:r w:rsidR="00AE49D5">
        <w:t xml:space="preserve">guideline </w:t>
      </w:r>
      <w:r w:rsidRPr="00754FB1">
        <w:t>S6 (R</w:t>
      </w:r>
      <w:r w:rsidR="00AE49D5">
        <w:t xml:space="preserve">evision </w:t>
      </w:r>
      <w:r w:rsidRPr="00754FB1">
        <w:t>1)</w:t>
      </w:r>
      <w:r w:rsidR="00AE49D5" w:rsidRPr="00AE49D5">
        <w:t xml:space="preserve"> Preclinical safety evaluation of biotechnology</w:t>
      </w:r>
      <w:r w:rsidR="005E279A">
        <w:noBreakHyphen/>
      </w:r>
      <w:r w:rsidR="00AE49D5" w:rsidRPr="00AE49D5">
        <w:t>derived pharmaceuticals</w:t>
      </w:r>
      <w:r w:rsidR="00AE49D5">
        <w:t>. EMA/CHMP/ICH/731268/1998</w:t>
      </w:r>
      <w:r w:rsidR="00B54020">
        <w:t>.</w:t>
      </w:r>
    </w:p>
  </w:footnote>
  <w:footnote w:id="10">
    <w:p w14:paraId="24F842C7" w14:textId="14B6709C" w:rsidR="00BA7A71" w:rsidRDefault="00BA7A71">
      <w:pPr>
        <w:pStyle w:val="FootnoteText"/>
      </w:pPr>
      <w:r>
        <w:rPr>
          <w:rStyle w:val="FootnoteReference"/>
        </w:rPr>
        <w:footnoteRef/>
      </w:r>
      <w:r>
        <w:t xml:space="preserve"> </w:t>
      </w:r>
      <w:r w:rsidR="00142F4D">
        <w:t xml:space="preserve">Prescribing medicines in pregnancy </w:t>
      </w:r>
      <w:r>
        <w:t xml:space="preserve">Category D: </w:t>
      </w:r>
      <w:r w:rsidRPr="00F82615">
        <w:rPr>
          <w:szCs w:val="22"/>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1">
    <w:p w14:paraId="54D85985" w14:textId="735DF832" w:rsidR="00A33967" w:rsidRDefault="00A33967">
      <w:pPr>
        <w:pStyle w:val="FootnoteText"/>
      </w:pPr>
      <w:r>
        <w:rPr>
          <w:rStyle w:val="FootnoteReference"/>
        </w:rPr>
        <w:footnoteRef/>
      </w:r>
      <w:r>
        <w:t xml:space="preserve"> </w:t>
      </w:r>
      <w:r w:rsidRPr="00A33967">
        <w:t>Haemoglobin A1c or glycated haemoglobin (</w:t>
      </w:r>
      <w:r w:rsidRPr="00A33967">
        <w:rPr>
          <w:b/>
          <w:bCs/>
        </w:rPr>
        <w:t>HbA1c</w:t>
      </w:r>
      <w:r w:rsidRPr="00A33967">
        <w:t xml:space="preserve">) is a minor component of haemoglobin chemically linked to glucose. Levels of HbA1c vary and are relative to the overall blood glucose concentration. Unlike a blood glucose concentration, levels of HbA1c are not influenced by daily fluctuations in the blood glucose concentration but reflect the average glucose levels over the prior 6 to 8 weeks. Measurement of HbA1c is used in the diagnosis of diabetes mellitus and is </w:t>
      </w:r>
      <w:r>
        <w:t xml:space="preserve">a </w:t>
      </w:r>
      <w:r w:rsidRPr="00A33967">
        <w:t>useful indicator of how well the blood glucose level has been controlled in the recent past and may be used to monitor the effects of diet, exercise, and drug therapy on blood glucose in patients with diabetes. In healthy people without diabetes, the HbA1c level is less than 7</w:t>
      </w:r>
      <w:r w:rsidR="009E3F10">
        <w:t>%</w:t>
      </w:r>
      <w:r w:rsidRPr="00A33967">
        <w:t xml:space="preserve"> of total haemoglobin.</w:t>
      </w:r>
    </w:p>
  </w:footnote>
  <w:footnote w:id="12">
    <w:p w14:paraId="02CDAC91" w14:textId="4E296F89" w:rsidR="00925272" w:rsidRDefault="00925272">
      <w:pPr>
        <w:pStyle w:val="FootnoteText"/>
      </w:pPr>
      <w:r>
        <w:rPr>
          <w:rStyle w:val="FootnoteReference"/>
        </w:rPr>
        <w:footnoteRef/>
      </w:r>
      <w:r>
        <w:t xml:space="preserve"> </w:t>
      </w:r>
      <w:r w:rsidR="001A3C22">
        <w:t>Min T, Bain SC. The role of tirzepatide, dual GIP and GLP</w:t>
      </w:r>
      <w:r w:rsidR="005E279A">
        <w:noBreakHyphen/>
      </w:r>
      <w:r w:rsidR="001A3C22">
        <w:t>1 receptor agonist, in the management of type</w:t>
      </w:r>
      <w:r w:rsidR="00C27E49">
        <w:t xml:space="preserve"> 2 diabetes: the SURPASS clinical trials. </w:t>
      </w:r>
      <w:r w:rsidR="00C27E49" w:rsidRPr="00C27E49">
        <w:rPr>
          <w:i/>
          <w:iCs/>
        </w:rPr>
        <w:t>Diabetes Ther</w:t>
      </w:r>
      <w:r w:rsidR="00C27E49">
        <w:rPr>
          <w:i/>
          <w:iCs/>
        </w:rPr>
        <w:t xml:space="preserve"> </w:t>
      </w:r>
      <w:r w:rsidR="00907AF5" w:rsidRPr="00907AF5">
        <w:t>2021</w:t>
      </w:r>
      <w:r w:rsidR="00A03176">
        <w:t xml:space="preserve">; </w:t>
      </w:r>
      <w:r w:rsidR="00907AF5" w:rsidRPr="00907AF5">
        <w:t>12(1):</w:t>
      </w:r>
      <w:r w:rsidR="00A03176">
        <w:t xml:space="preserve"> </w:t>
      </w:r>
      <w:r w:rsidR="00907AF5" w:rsidRPr="00907AF5">
        <w:t>143</w:t>
      </w:r>
      <w:r w:rsidR="005E279A">
        <w:noBreakHyphen/>
      </w:r>
      <w:r w:rsidR="00907AF5" w:rsidRPr="00907AF5">
        <w:t>157. doi: 10.1007/s13300</w:t>
      </w:r>
      <w:r w:rsidR="005E279A">
        <w:noBreakHyphen/>
      </w:r>
      <w:r w:rsidR="00907AF5" w:rsidRPr="00907AF5">
        <w:t>020</w:t>
      </w:r>
      <w:r w:rsidR="005E279A">
        <w:noBreakHyphen/>
      </w:r>
      <w:r w:rsidR="00907AF5" w:rsidRPr="00907AF5">
        <w:t>00981</w:t>
      </w:r>
      <w:r w:rsidR="005E279A">
        <w:noBreakHyphen/>
      </w:r>
      <w:r w:rsidR="00907AF5" w:rsidRPr="00907AF5">
        <w:t>0</w:t>
      </w:r>
      <w:r w:rsidR="00B54020">
        <w:t>.</w:t>
      </w:r>
    </w:p>
  </w:footnote>
  <w:footnote w:id="13">
    <w:p w14:paraId="52F769B8" w14:textId="571D4633" w:rsidR="009A6608" w:rsidRDefault="009A6608" w:rsidP="009A6608">
      <w:pPr>
        <w:pStyle w:val="FootnoteText"/>
      </w:pPr>
      <w:r>
        <w:rPr>
          <w:rStyle w:val="FootnoteReference"/>
        </w:rPr>
        <w:footnoteRef/>
      </w:r>
      <w:r>
        <w:t xml:space="preserve"> Clamp disposition index (cDI) is defined as the product of the M</w:t>
      </w:r>
      <w:r w:rsidR="005E279A">
        <w:noBreakHyphen/>
      </w:r>
      <w:r>
        <w:t>value derived from the hyperinsulinaemic euglycaemic clamp over the last 30 minutes and total insulin secretion (ISR</w:t>
      </w:r>
      <w:r w:rsidRPr="009A6608">
        <w:rPr>
          <w:vertAlign w:val="subscript"/>
        </w:rPr>
        <w:t>0</w:t>
      </w:r>
      <w:r w:rsidR="005E279A">
        <w:rPr>
          <w:vertAlign w:val="subscript"/>
        </w:rPr>
        <w:noBreakHyphen/>
      </w:r>
      <w:r w:rsidRPr="009A6608">
        <w:rPr>
          <w:vertAlign w:val="subscript"/>
        </w:rPr>
        <w:t>120min</w:t>
      </w:r>
      <w:r>
        <w:t>) derived from the insulin secretion rate based on C</w:t>
      </w:r>
      <w:r w:rsidR="005E279A">
        <w:noBreakHyphen/>
      </w:r>
      <w:r>
        <w:t>peptide using the using the deconvolution technique divided by the total glucose AUC</w:t>
      </w:r>
      <w:r w:rsidRPr="009A6608">
        <w:rPr>
          <w:vertAlign w:val="subscript"/>
        </w:rPr>
        <w:t>0</w:t>
      </w:r>
      <w:r w:rsidR="005E279A">
        <w:rPr>
          <w:vertAlign w:val="subscript"/>
        </w:rPr>
        <w:noBreakHyphen/>
      </w:r>
      <w:r w:rsidRPr="009A6608">
        <w:rPr>
          <w:vertAlign w:val="subscript"/>
        </w:rPr>
        <w:t>120min</w:t>
      </w:r>
      <w:r>
        <w:t xml:space="preserve"> from the hyperglyc</w:t>
      </w:r>
      <w:r w:rsidR="00FC2BEE">
        <w:t>a</w:t>
      </w:r>
      <w:r>
        <w:t>emic clamp portion of the study: cDI = [(ISR</w:t>
      </w:r>
      <w:r w:rsidRPr="009A6608">
        <w:rPr>
          <w:vertAlign w:val="subscript"/>
        </w:rPr>
        <w:t>0</w:t>
      </w:r>
      <w:r w:rsidR="005E279A">
        <w:rPr>
          <w:vertAlign w:val="subscript"/>
        </w:rPr>
        <w:noBreakHyphen/>
      </w:r>
      <w:r w:rsidRPr="009A6608">
        <w:rPr>
          <w:vertAlign w:val="subscript"/>
        </w:rPr>
        <w:t>120min</w:t>
      </w:r>
      <w:r>
        <w:t>)/(glucose AUC</w:t>
      </w:r>
      <w:r w:rsidRPr="009A6608">
        <w:rPr>
          <w:vertAlign w:val="subscript"/>
        </w:rPr>
        <w:t>0</w:t>
      </w:r>
      <w:r w:rsidR="005E279A">
        <w:rPr>
          <w:vertAlign w:val="subscript"/>
        </w:rPr>
        <w:noBreakHyphen/>
      </w:r>
      <w:r w:rsidRPr="009A6608">
        <w:rPr>
          <w:vertAlign w:val="subscript"/>
        </w:rPr>
        <w:t>120min</w:t>
      </w:r>
      <w:r>
        <w:t>)] × M</w:t>
      </w:r>
      <w:r w:rsidR="005E279A">
        <w:noBreakHyphen/>
      </w:r>
      <w:r>
        <w:t>value</w:t>
      </w:r>
      <w:r w:rsidR="00B54020">
        <w:t>.</w:t>
      </w:r>
    </w:p>
  </w:footnote>
  <w:footnote w:id="14">
    <w:p w14:paraId="27C22F70" w14:textId="60102BB7" w:rsidR="00A33967" w:rsidRDefault="00A33967">
      <w:pPr>
        <w:pStyle w:val="FootnoteText"/>
      </w:pPr>
      <w:r w:rsidRPr="00182466">
        <w:rPr>
          <w:rStyle w:val="FootnoteReference"/>
        </w:rPr>
        <w:footnoteRef/>
      </w:r>
      <w:r w:rsidRPr="00182466">
        <w:t xml:space="preserve"> The</w:t>
      </w:r>
      <w:r w:rsidRPr="00182466">
        <w:rPr>
          <w:b/>
          <w:bCs/>
        </w:rPr>
        <w:t xml:space="preserve"> QT interva</w:t>
      </w:r>
      <w:r w:rsidRPr="00182466">
        <w:t>l is the time from the start of the Q wave to the end of the T wave</w:t>
      </w:r>
      <w:r w:rsidR="00182466" w:rsidRPr="00182466">
        <w:t xml:space="preserve"> of an electrocardiogram</w:t>
      </w:r>
      <w:r w:rsidRPr="00182466">
        <w:t>. It represents the time taken for ventricular depolarisation and repolarisation, effectively the period of ventricular systole from ventricular isovolumetric contraction to isovolumetric relaxation. The QT shortens at faster heart rates. An abnormally prolonged QT is associated with an increased risk of ventricular arrhythmias, especially Torsades de Pointes.</w:t>
      </w:r>
    </w:p>
  </w:footnote>
  <w:footnote w:id="15">
    <w:p w14:paraId="5C26F883" w14:textId="3B8B458F" w:rsidR="00A33967" w:rsidRDefault="00A33967">
      <w:pPr>
        <w:pStyle w:val="FootnoteText"/>
      </w:pPr>
      <w:r>
        <w:rPr>
          <w:rStyle w:val="FootnoteReference"/>
        </w:rPr>
        <w:footnoteRef/>
      </w:r>
      <w:r>
        <w:t xml:space="preserve"> </w:t>
      </w:r>
      <w:r w:rsidRPr="00A33967">
        <w:t xml:space="preserve">Randomised clinical trials analysed by the </w:t>
      </w:r>
      <w:r w:rsidRPr="00A33967">
        <w:rPr>
          <w:b/>
          <w:bCs/>
        </w:rPr>
        <w:t>intent</w:t>
      </w:r>
      <w:r w:rsidR="005E279A">
        <w:rPr>
          <w:b/>
          <w:bCs/>
        </w:rPr>
        <w:noBreakHyphen/>
      </w:r>
      <w:r w:rsidRPr="00A33967">
        <w:rPr>
          <w:b/>
          <w:bCs/>
        </w:rPr>
        <w:t>to</w:t>
      </w:r>
      <w:r w:rsidR="005E279A">
        <w:rPr>
          <w:b/>
          <w:bCs/>
        </w:rPr>
        <w:noBreakHyphen/>
      </w:r>
      <w:r w:rsidRPr="00A33967">
        <w:rPr>
          <w:b/>
          <w:bCs/>
        </w:rPr>
        <w:t>treat (ITT)</w:t>
      </w:r>
      <w:r w:rsidRPr="00A33967">
        <w:t xml:space="preserve"> approach provide the unbiased comparisons among the treatment groups. In the ITT population, none of the patients are excluded and the patients are analysed according to the randomisation scheme.</w:t>
      </w:r>
    </w:p>
  </w:footnote>
  <w:footnote w:id="16">
    <w:p w14:paraId="0202A46C" w14:textId="2C07E5F7" w:rsidR="00307B64" w:rsidRDefault="00307B64">
      <w:pPr>
        <w:pStyle w:val="FootnoteText"/>
      </w:pPr>
      <w:r>
        <w:rPr>
          <w:rStyle w:val="FootnoteReference"/>
        </w:rPr>
        <w:footnoteRef/>
      </w:r>
      <w:r>
        <w:t xml:space="preserve"> The </w:t>
      </w:r>
      <w:r w:rsidRPr="000D2B5F">
        <w:rPr>
          <w:b/>
          <w:bCs/>
        </w:rPr>
        <w:t>Medical Dictionary for Regulatory Activities (MedDRA)</w:t>
      </w:r>
      <w:r>
        <w:t xml:space="preserve"> is an internationally used set of terms relating to medical conditions, medicines and medical devices. It was created to assist regulators to share information. It is also used by industry, academics, health professionals and other organisations that communicate medical information. In MedDRA, System Organ Classes (SOC) is the highest (most general) level grouped by aetiology, manifestation site or purpose. There are 27 terms at the SOC level.</w:t>
      </w:r>
    </w:p>
  </w:footnote>
  <w:footnote w:id="17">
    <w:p w14:paraId="6768C5A8" w14:textId="1B40319B" w:rsidR="000D2B5F" w:rsidRDefault="000D2B5F" w:rsidP="000D2B5F">
      <w:pPr>
        <w:pStyle w:val="FootnoteText"/>
      </w:pPr>
      <w:r>
        <w:rPr>
          <w:rStyle w:val="FootnoteReference"/>
        </w:rPr>
        <w:footnoteRef/>
      </w:r>
      <w:r>
        <w:t xml:space="preserve"> In MedDRA, Preferred Terms (PT) are single concepts for symptoms, signs, disease diagnosis, therapeutic indications, investigations, procedures, and characteristics. There are over 20,000 Preferred Terms.</w:t>
      </w:r>
    </w:p>
  </w:footnote>
  <w:footnote w:id="18">
    <w:p w14:paraId="457BEDE6" w14:textId="68F85317" w:rsidR="009B3344" w:rsidRDefault="009B3344" w:rsidP="009B3344">
      <w:pPr>
        <w:pStyle w:val="FootnoteText"/>
      </w:pPr>
      <w:r>
        <w:rPr>
          <w:rStyle w:val="FootnoteReference"/>
        </w:rPr>
        <w:footnoteRef/>
      </w:r>
      <w:r>
        <w:t xml:space="preserve"> </w:t>
      </w:r>
      <w:r w:rsidRPr="009B3344">
        <w:t xml:space="preserve">ICH </w:t>
      </w:r>
      <w:r>
        <w:t xml:space="preserve">note for guidance </w:t>
      </w:r>
      <w:r w:rsidRPr="009B3344">
        <w:t>E14</w:t>
      </w:r>
      <w:r>
        <w:t xml:space="preserve"> The Clinical Evaluation of QT/QTc Interval Prolongation and Proarrhythmic Potential for Non</w:t>
      </w:r>
      <w:r w:rsidR="005E279A">
        <w:noBreakHyphen/>
      </w:r>
      <w:r>
        <w:t>Antiarrhythmic Drugs. CHMP/ICH/2/04.</w:t>
      </w:r>
    </w:p>
  </w:footnote>
  <w:footnote w:id="19">
    <w:p w14:paraId="6F8CAEED" w14:textId="70A86FF9" w:rsidR="00B403C3" w:rsidRDefault="00521C62" w:rsidP="00B403C3">
      <w:pPr>
        <w:pStyle w:val="FootnoteText"/>
      </w:pPr>
      <w:r>
        <w:rPr>
          <w:rStyle w:val="FootnoteReference"/>
        </w:rPr>
        <w:footnoteRef/>
      </w:r>
      <w:r>
        <w:t xml:space="preserve"> The QT interval is the time from the start of the QRS wave complex to the end of the corresponding T wave on an electrocardiogram. The corrected QT interval (QTc) estimates the QT interval at a standard heart rate. This allows comparison of QT values over time at different heart rates and improves detection of patients at increased risk of arrhythmias. The QTcF is the QT interval corrected for heart rate according to Fridericia’s formula.</w:t>
      </w:r>
      <w:r w:rsidR="00987C1E">
        <w:t xml:space="preserve"> </w:t>
      </w:r>
      <w:r w:rsidR="00B403C3">
        <w:t>The PR interval is the period that extends from the beginning of the P wave (the onset of atrial depolarization) until the beginning of the QRS complex (the onset of ventricular depolarization)</w:t>
      </w:r>
      <w:r w:rsidR="00987C1E">
        <w:t xml:space="preserve"> on an electrocardiogram</w:t>
      </w:r>
      <w:r w:rsidR="00B403C3">
        <w:t>.</w:t>
      </w:r>
    </w:p>
  </w:footnote>
  <w:footnote w:id="20">
    <w:p w14:paraId="1194A3C8" w14:textId="0E2DF5CA" w:rsidR="00242C0F" w:rsidRPr="00C0746D" w:rsidRDefault="00242C0F" w:rsidP="00C0746D">
      <w:pPr>
        <w:pStyle w:val="FootnoteText"/>
        <w:rPr>
          <w:rStyle w:val="FootnoteTextChar"/>
        </w:rPr>
      </w:pPr>
      <w:r>
        <w:rPr>
          <w:rStyle w:val="FootnoteReference"/>
        </w:rPr>
        <w:footnoteRef/>
      </w:r>
      <w:r>
        <w:t xml:space="preserve"> </w:t>
      </w:r>
      <w:r w:rsidRPr="00C0746D">
        <w:rPr>
          <w:rStyle w:val="FootnoteTextChar"/>
        </w:rPr>
        <w:t xml:space="preserve">IBM MarketScan </w:t>
      </w:r>
      <w:r w:rsidR="00C0746D" w:rsidRPr="00C0746D">
        <w:rPr>
          <w:rStyle w:val="FootnoteTextChar"/>
        </w:rPr>
        <w:t>databases integrate deidentified US patient</w:t>
      </w:r>
      <w:r w:rsidR="005E279A">
        <w:rPr>
          <w:rStyle w:val="FootnoteTextChar"/>
        </w:rPr>
        <w:noBreakHyphen/>
      </w:r>
      <w:r w:rsidR="00C0746D" w:rsidRPr="00C0746D">
        <w:rPr>
          <w:rStyle w:val="FootnoteTextChar"/>
        </w:rPr>
        <w:t xml:space="preserve">level health data with other data for research purposes. </w:t>
      </w:r>
      <w:r w:rsidRPr="00C0746D">
        <w:rPr>
          <w:rStyle w:val="FootnoteTextChar"/>
        </w:rPr>
        <w:t>Between 2015</w:t>
      </w:r>
      <w:r w:rsidR="005E279A">
        <w:rPr>
          <w:rStyle w:val="FootnoteTextChar"/>
        </w:rPr>
        <w:noBreakHyphen/>
      </w:r>
      <w:r w:rsidRPr="00C0746D">
        <w:rPr>
          <w:rStyle w:val="FootnoteTextChar"/>
        </w:rPr>
        <w:t xml:space="preserve">2020, administrative claims of about 5 million adults with T2DM and 60 million adults without diabetes </w:t>
      </w:r>
      <w:r w:rsidR="00C0746D" w:rsidRPr="00C0746D">
        <w:rPr>
          <w:rStyle w:val="FootnoteTextChar"/>
        </w:rPr>
        <w:t>contributed data.</w:t>
      </w:r>
    </w:p>
  </w:footnote>
  <w:footnote w:id="21">
    <w:p w14:paraId="20A5C447" w14:textId="116AA320" w:rsidR="00417BEB" w:rsidRDefault="00417BEB" w:rsidP="00417BEB">
      <w:pPr>
        <w:pStyle w:val="FootnoteText"/>
      </w:pPr>
      <w:r>
        <w:rPr>
          <w:rStyle w:val="FootnoteReference"/>
        </w:rPr>
        <w:footnoteRef/>
      </w:r>
      <w:r>
        <w:t xml:space="preserve"> Hy's law is a rule of thumb that a patient is at high risk of a fatal drug</w:t>
      </w:r>
      <w:r w:rsidR="005E279A">
        <w:noBreakHyphen/>
      </w:r>
      <w:r>
        <w:t xml:space="preserve">induced liver injury if given a medication that causes hepatocellular injury with jaundice. Criteria </w:t>
      </w:r>
      <w:proofErr w:type="gramStart"/>
      <w:r>
        <w:t>are:</w:t>
      </w:r>
      <w:proofErr w:type="gramEnd"/>
      <w:r>
        <w:t xml:space="preserve"> evidence of hepatocellular injury with a rise in alanine aminotransferase (ALT) and/or aspartate aminotransferase (AST) more than 3</w:t>
      </w:r>
      <w:r w:rsidR="005E279A">
        <w:noBreakHyphen/>
      </w:r>
      <w:r>
        <w:t>fold the upper limit of normal (ULN) and total bilirubin more than 2</w:t>
      </w:r>
      <w:r w:rsidR="005E279A">
        <w:noBreakHyphen/>
      </w:r>
      <w:r>
        <w:t xml:space="preserve">fold ULN, and no other reason to explain </w:t>
      </w:r>
      <w:r w:rsidR="00034987">
        <w:t xml:space="preserve">the </w:t>
      </w:r>
      <w:r>
        <w:t>rise in aminotransferases and total bilirubin.</w:t>
      </w:r>
    </w:p>
  </w:footnote>
  <w:footnote w:id="22">
    <w:p w14:paraId="5E7ABD9C" w14:textId="4300C83C" w:rsidR="006C1B11" w:rsidRDefault="006C1B11">
      <w:pPr>
        <w:pStyle w:val="FootnoteText"/>
      </w:pPr>
      <w:r w:rsidRPr="006C1B11">
        <w:rPr>
          <w:rStyle w:val="FootnoteReference"/>
        </w:rPr>
        <w:footnoteRef/>
      </w:r>
      <w:r w:rsidRPr="00DF6DE5">
        <w:rPr>
          <w:vertAlign w:val="superscript"/>
        </w:rPr>
        <w:t xml:space="preserve"> </w:t>
      </w:r>
      <w:r w:rsidRPr="006C1B11">
        <w:rPr>
          <w:rStyle w:val="cf01"/>
          <w:rFonts w:ascii="Cambria" w:hAnsi="Cambria" w:cs="Times New Roman"/>
          <w:sz w:val="17"/>
          <w:szCs w:val="20"/>
        </w:rPr>
        <w:t xml:space="preserve">At the time of the conduct of the </w:t>
      </w:r>
      <w:r w:rsidR="00DF6DE5">
        <w:rPr>
          <w:rStyle w:val="cf01"/>
          <w:rFonts w:ascii="Cambria" w:hAnsi="Cambria" w:cs="Times New Roman"/>
          <w:sz w:val="17"/>
          <w:szCs w:val="20"/>
        </w:rPr>
        <w:t>SURPASS</w:t>
      </w:r>
      <w:r w:rsidR="005E279A">
        <w:rPr>
          <w:rStyle w:val="cf01"/>
          <w:rFonts w:ascii="Cambria" w:hAnsi="Cambria" w:cs="Times New Roman"/>
          <w:sz w:val="17"/>
          <w:szCs w:val="20"/>
        </w:rPr>
        <w:noBreakHyphen/>
      </w:r>
      <w:r w:rsidR="00DF6DE5">
        <w:rPr>
          <w:rStyle w:val="cf01"/>
          <w:rFonts w:ascii="Cambria" w:hAnsi="Cambria" w:cs="Times New Roman"/>
          <w:sz w:val="17"/>
          <w:szCs w:val="20"/>
        </w:rPr>
        <w:t xml:space="preserve">2 </w:t>
      </w:r>
      <w:r w:rsidRPr="006C1B11">
        <w:rPr>
          <w:rStyle w:val="cf01"/>
          <w:rFonts w:ascii="Cambria" w:hAnsi="Cambria" w:cs="Times New Roman"/>
          <w:sz w:val="17"/>
          <w:szCs w:val="20"/>
        </w:rPr>
        <w:t>trial the maximal dose approved of semaglutide for treatment of T2D</w:t>
      </w:r>
      <w:r>
        <w:rPr>
          <w:rStyle w:val="cf01"/>
          <w:rFonts w:ascii="Cambria" w:hAnsi="Cambria" w:cs="Times New Roman"/>
          <w:sz w:val="17"/>
          <w:szCs w:val="20"/>
        </w:rPr>
        <w:t>M</w:t>
      </w:r>
      <w:r w:rsidRPr="006C1B11">
        <w:rPr>
          <w:rStyle w:val="cf01"/>
          <w:rFonts w:ascii="Cambria" w:hAnsi="Cambria" w:cs="Times New Roman"/>
          <w:sz w:val="17"/>
          <w:szCs w:val="20"/>
        </w:rPr>
        <w:t xml:space="preserve"> </w:t>
      </w:r>
      <w:proofErr w:type="spellStart"/>
      <w:r w:rsidRPr="006C1B11">
        <w:rPr>
          <w:rStyle w:val="cf01"/>
          <w:rFonts w:ascii="Cambria" w:hAnsi="Cambria" w:cs="Times New Roman"/>
          <w:sz w:val="17"/>
          <w:szCs w:val="20"/>
        </w:rPr>
        <w:t>world wide</w:t>
      </w:r>
      <w:proofErr w:type="spellEnd"/>
      <w:r w:rsidRPr="006C1B11">
        <w:rPr>
          <w:rStyle w:val="cf01"/>
          <w:rFonts w:ascii="Cambria" w:hAnsi="Cambria" w:cs="Times New Roman"/>
          <w:sz w:val="17"/>
          <w:szCs w:val="20"/>
        </w:rPr>
        <w:t xml:space="preserve"> was 1</w:t>
      </w:r>
      <w:r>
        <w:rPr>
          <w:rStyle w:val="cf01"/>
          <w:rFonts w:ascii="Cambria" w:hAnsi="Cambria" w:cs="Times New Roman"/>
          <w:sz w:val="17"/>
          <w:szCs w:val="20"/>
        </w:rPr>
        <w:t> </w:t>
      </w:r>
      <w:r w:rsidRPr="006C1B11">
        <w:rPr>
          <w:rStyle w:val="cf01"/>
          <w:rFonts w:ascii="Cambria" w:hAnsi="Cambria" w:cs="Times New Roman"/>
          <w:sz w:val="17"/>
          <w:szCs w:val="20"/>
        </w:rPr>
        <w:t>mg</w:t>
      </w:r>
      <w:r w:rsidR="00C67425">
        <w:rPr>
          <w:rStyle w:val="cf01"/>
          <w:rFonts w:ascii="Cambria" w:hAnsi="Cambria" w:cs="Times New Roman"/>
          <w:sz w:val="17"/>
          <w:szCs w:val="20"/>
        </w:rPr>
        <w:t xml:space="preserve"> once weekly</w:t>
      </w:r>
      <w:r w:rsidRPr="006C1B11">
        <w:rPr>
          <w:rStyle w:val="cf01"/>
          <w:rFonts w:ascii="Cambria" w:hAnsi="Cambria" w:cs="Times New Roman"/>
          <w:sz w:val="17"/>
          <w:szCs w:val="20"/>
        </w:rPr>
        <w:t>.</w:t>
      </w:r>
      <w:r>
        <w:rPr>
          <w:rStyle w:val="cf01"/>
          <w:rFonts w:ascii="Cambria" w:hAnsi="Cambria" w:cs="Times New Roman"/>
          <w:sz w:val="17"/>
          <w:szCs w:val="20"/>
        </w:rPr>
        <w:t xml:space="preserve"> </w:t>
      </w:r>
      <w:r>
        <w:t>The maximum recommended dosage is now 2 mg once weekly in the European Union, USA</w:t>
      </w:r>
      <w:r w:rsidR="00C67425">
        <w:t xml:space="preserve"> </w:t>
      </w:r>
      <w:r w:rsidR="0083597A">
        <w:t xml:space="preserve">(approved October 2022) </w:t>
      </w:r>
      <w:r w:rsidR="00C67425">
        <w:t>and</w:t>
      </w:r>
      <w:r>
        <w:t xml:space="preserve"> Canada.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2B0E47"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F53A0"/>
    <w:multiLevelType w:val="hybridMultilevel"/>
    <w:tmpl w:val="631468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4B49A3"/>
    <w:multiLevelType w:val="hybridMultilevel"/>
    <w:tmpl w:val="6268BCD6"/>
    <w:lvl w:ilvl="0" w:tplc="0407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C5100C9"/>
    <w:multiLevelType w:val="hybridMultilevel"/>
    <w:tmpl w:val="1B18F0F8"/>
    <w:lvl w:ilvl="0" w:tplc="E46A4810">
      <w:numFmt w:val="bullet"/>
      <w:lvlText w:val="•"/>
      <w:lvlJc w:val="left"/>
      <w:pPr>
        <w:ind w:left="360" w:hanging="360"/>
      </w:pPr>
      <w:rPr>
        <w:rFonts w:ascii="Cambria" w:eastAsia="Cambria"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FA23067"/>
    <w:multiLevelType w:val="hybridMultilevel"/>
    <w:tmpl w:val="4D88B9E8"/>
    <w:lvl w:ilvl="0" w:tplc="E46A4810">
      <w:numFmt w:val="bullet"/>
      <w:lvlText w:val="•"/>
      <w:lvlJc w:val="left"/>
      <w:pPr>
        <w:ind w:left="360" w:hanging="360"/>
      </w:pPr>
      <w:rPr>
        <w:rFonts w:ascii="Cambria" w:eastAsia="Cambria"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30DC19AF"/>
    <w:multiLevelType w:val="hybridMultilevel"/>
    <w:tmpl w:val="EE54A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4B4BCB"/>
    <w:multiLevelType w:val="hybridMultilevel"/>
    <w:tmpl w:val="EA507FAC"/>
    <w:lvl w:ilvl="0" w:tplc="56C8B402">
      <w:start w:val="1"/>
      <w:numFmt w:val="bullet"/>
      <w:lvlText w:val=""/>
      <w:lvlJc w:val="left"/>
      <w:pPr>
        <w:ind w:left="720" w:hanging="360"/>
      </w:pPr>
      <w:rPr>
        <w:rFonts w:ascii="Symbol" w:hAnsi="Symbol"/>
      </w:rPr>
    </w:lvl>
    <w:lvl w:ilvl="1" w:tplc="4EA2EBEA">
      <w:start w:val="1"/>
      <w:numFmt w:val="bullet"/>
      <w:lvlText w:val=""/>
      <w:lvlJc w:val="left"/>
      <w:pPr>
        <w:ind w:left="720" w:hanging="360"/>
      </w:pPr>
      <w:rPr>
        <w:rFonts w:ascii="Symbol" w:hAnsi="Symbol"/>
      </w:rPr>
    </w:lvl>
    <w:lvl w:ilvl="2" w:tplc="F2F073B0">
      <w:start w:val="1"/>
      <w:numFmt w:val="bullet"/>
      <w:lvlText w:val=""/>
      <w:lvlJc w:val="left"/>
      <w:pPr>
        <w:ind w:left="720" w:hanging="360"/>
      </w:pPr>
      <w:rPr>
        <w:rFonts w:ascii="Symbol" w:hAnsi="Symbol"/>
      </w:rPr>
    </w:lvl>
    <w:lvl w:ilvl="3" w:tplc="B12A116A">
      <w:start w:val="1"/>
      <w:numFmt w:val="bullet"/>
      <w:lvlText w:val=""/>
      <w:lvlJc w:val="left"/>
      <w:pPr>
        <w:ind w:left="720" w:hanging="360"/>
      </w:pPr>
      <w:rPr>
        <w:rFonts w:ascii="Symbol" w:hAnsi="Symbol"/>
      </w:rPr>
    </w:lvl>
    <w:lvl w:ilvl="4" w:tplc="72A0E780">
      <w:start w:val="1"/>
      <w:numFmt w:val="bullet"/>
      <w:lvlText w:val=""/>
      <w:lvlJc w:val="left"/>
      <w:pPr>
        <w:ind w:left="720" w:hanging="360"/>
      </w:pPr>
      <w:rPr>
        <w:rFonts w:ascii="Symbol" w:hAnsi="Symbol"/>
      </w:rPr>
    </w:lvl>
    <w:lvl w:ilvl="5" w:tplc="BE06A37A">
      <w:start w:val="1"/>
      <w:numFmt w:val="bullet"/>
      <w:lvlText w:val=""/>
      <w:lvlJc w:val="left"/>
      <w:pPr>
        <w:ind w:left="720" w:hanging="360"/>
      </w:pPr>
      <w:rPr>
        <w:rFonts w:ascii="Symbol" w:hAnsi="Symbol"/>
      </w:rPr>
    </w:lvl>
    <w:lvl w:ilvl="6" w:tplc="014C0008">
      <w:start w:val="1"/>
      <w:numFmt w:val="bullet"/>
      <w:lvlText w:val=""/>
      <w:lvlJc w:val="left"/>
      <w:pPr>
        <w:ind w:left="720" w:hanging="360"/>
      </w:pPr>
      <w:rPr>
        <w:rFonts w:ascii="Symbol" w:hAnsi="Symbol"/>
      </w:rPr>
    </w:lvl>
    <w:lvl w:ilvl="7" w:tplc="75689768">
      <w:start w:val="1"/>
      <w:numFmt w:val="bullet"/>
      <w:lvlText w:val=""/>
      <w:lvlJc w:val="left"/>
      <w:pPr>
        <w:ind w:left="720" w:hanging="360"/>
      </w:pPr>
      <w:rPr>
        <w:rFonts w:ascii="Symbol" w:hAnsi="Symbol"/>
      </w:rPr>
    </w:lvl>
    <w:lvl w:ilvl="8" w:tplc="03124C78">
      <w:start w:val="1"/>
      <w:numFmt w:val="bullet"/>
      <w:lvlText w:val=""/>
      <w:lvlJc w:val="left"/>
      <w:pPr>
        <w:ind w:left="720" w:hanging="360"/>
      </w:pPr>
      <w:rPr>
        <w:rFonts w:ascii="Symbol" w:hAnsi="Symbol"/>
      </w:rPr>
    </w:lvl>
  </w:abstractNum>
  <w:abstractNum w:abstractNumId="11" w15:restartNumberingAfterBreak="0">
    <w:nsid w:val="489B15D7"/>
    <w:multiLevelType w:val="hybridMultilevel"/>
    <w:tmpl w:val="08E0C346"/>
    <w:lvl w:ilvl="0" w:tplc="0A7A2538">
      <w:start w:val="1"/>
      <w:numFmt w:val="bullet"/>
      <w:pStyle w:val="Bulletpoint"/>
      <w:lvlText w:val=""/>
      <w:lvlJc w:val="left"/>
      <w:pPr>
        <w:tabs>
          <w:tab w:val="num" w:pos="369"/>
        </w:tabs>
        <w:ind w:left="369" w:hanging="227"/>
      </w:pPr>
      <w:rPr>
        <w:rFonts w:ascii="Symbol" w:hAnsi="Symbol" w:hint="default"/>
        <w:color w:val="000000" w:themeColor="text1"/>
        <w:position w:val="0"/>
        <w:sz w:val="22"/>
        <w:szCs w:val="22"/>
      </w:rPr>
    </w:lvl>
    <w:lvl w:ilvl="1" w:tplc="F4D2A784">
      <w:start w:val="1"/>
      <w:numFmt w:val="bullet"/>
      <w:lvlText w:val="o"/>
      <w:lvlJc w:val="left"/>
      <w:pPr>
        <w:tabs>
          <w:tab w:val="num" w:pos="1440"/>
        </w:tabs>
        <w:ind w:left="1440" w:hanging="360"/>
      </w:pPr>
      <w:rPr>
        <w:rFonts w:ascii="Courier New" w:hAnsi="Courier New" w:cs="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80B4148"/>
    <w:multiLevelType w:val="hybridMultilevel"/>
    <w:tmpl w:val="4BEAB2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EC61EA"/>
    <w:multiLevelType w:val="hybridMultilevel"/>
    <w:tmpl w:val="4088348A"/>
    <w:lvl w:ilvl="0" w:tplc="E46A4810">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B035A9"/>
    <w:multiLevelType w:val="hybridMultilevel"/>
    <w:tmpl w:val="BB7C296C"/>
    <w:lvl w:ilvl="0" w:tplc="E46A4810">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091609"/>
    <w:multiLevelType w:val="hybridMultilevel"/>
    <w:tmpl w:val="22080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E54206"/>
    <w:multiLevelType w:val="hybridMultilevel"/>
    <w:tmpl w:val="34262248"/>
    <w:lvl w:ilvl="0" w:tplc="0C090001">
      <w:start w:val="1"/>
      <w:numFmt w:val="bullet"/>
      <w:lvlText w:val=""/>
      <w:lvlJc w:val="left"/>
      <w:pPr>
        <w:ind w:left="796" w:hanging="360"/>
      </w:pPr>
      <w:rPr>
        <w:rFonts w:ascii="Symbol" w:hAnsi="Symbol" w:hint="default"/>
      </w:rPr>
    </w:lvl>
    <w:lvl w:ilvl="1" w:tplc="0C090003">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num w:numId="1" w16cid:durableId="2015064087">
    <w:abstractNumId w:val="5"/>
  </w:num>
  <w:num w:numId="2" w16cid:durableId="1971280140">
    <w:abstractNumId w:val="3"/>
  </w:num>
  <w:num w:numId="3" w16cid:durableId="145442539">
    <w:abstractNumId w:val="4"/>
  </w:num>
  <w:num w:numId="4" w16cid:durableId="1657296360">
    <w:abstractNumId w:val="13"/>
  </w:num>
  <w:num w:numId="5" w16cid:durableId="64690176">
    <w:abstractNumId w:val="8"/>
  </w:num>
  <w:num w:numId="6" w16cid:durableId="361639729">
    <w:abstractNumId w:val="12"/>
  </w:num>
  <w:num w:numId="7" w16cid:durableId="355235109">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955675893">
    <w:abstractNumId w:val="2"/>
  </w:num>
  <w:num w:numId="9" w16cid:durableId="296034003">
    <w:abstractNumId w:val="11"/>
  </w:num>
  <w:num w:numId="10" w16cid:durableId="406615794">
    <w:abstractNumId w:val="6"/>
  </w:num>
  <w:num w:numId="11" w16cid:durableId="1486044006">
    <w:abstractNumId w:val="15"/>
  </w:num>
  <w:num w:numId="12" w16cid:durableId="1628269893">
    <w:abstractNumId w:val="16"/>
  </w:num>
  <w:num w:numId="13" w16cid:durableId="2064717918">
    <w:abstractNumId w:val="7"/>
  </w:num>
  <w:num w:numId="14" w16cid:durableId="375007966">
    <w:abstractNumId w:val="17"/>
  </w:num>
  <w:num w:numId="15" w16cid:durableId="457838444">
    <w:abstractNumId w:val="0"/>
  </w:num>
  <w:num w:numId="16" w16cid:durableId="1843549559">
    <w:abstractNumId w:val="14"/>
  </w:num>
  <w:num w:numId="17" w16cid:durableId="341395593">
    <w:abstractNumId w:val="9"/>
  </w:num>
  <w:num w:numId="18" w16cid:durableId="234903553">
    <w:abstractNumId w:val="1"/>
  </w:num>
  <w:num w:numId="19" w16cid:durableId="391999263">
    <w:abstractNumId w:val="10"/>
  </w:num>
  <w:num w:numId="20" w16cid:durableId="1619919938">
    <w:abstractNumId w:val="18"/>
  </w:num>
  <w:num w:numId="21" w16cid:durableId="12377836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10999e6-adb2-4dc3-8a4c-19570d1d1d46" w:val=" "/>
    <w:docVar w:name="vault_nd_04c74f44-4a3d-410e-bea9-8bb242c904a5" w:val=" "/>
    <w:docVar w:name="vault_nd_04cceb9c-c4b1-43c9-9648-3f24b47bea45" w:val=" "/>
    <w:docVar w:name="vault_nd_04f926b3-5059-4a25-95c6-e76e8dce7e24" w:val=" "/>
    <w:docVar w:name="vault_nd_0784cc6b-9a10-4698-b049-00ec91bdff6e" w:val=" "/>
    <w:docVar w:name="vault_nd_0ab2456e-25a4-481e-9b68-cdab702bcc3b" w:val=" "/>
    <w:docVar w:name="vault_nd_0baefcb8-9cd7-41d2-9ea0-3e648e7d9fb8" w:val=" "/>
    <w:docVar w:name="vault_nd_0bccfa5d-e06c-4641-9b65-def4bb3cb580" w:val=" "/>
    <w:docVar w:name="vault_nd_0d7fbb6d-a30c-45a4-b385-5b71bff1e3db" w:val=" "/>
    <w:docVar w:name="vault_nd_0f6b5f25-21b8-45be-8d19-144e05d05236" w:val=" "/>
    <w:docVar w:name="vault_nd_0fb298d7-0fef-4760-a10e-4cd8ecdf6d5e" w:val=" "/>
    <w:docVar w:name="vault_nd_0ffde24e-4ab6-43db-9923-71a53137a114" w:val=" "/>
    <w:docVar w:name="vault_nd_1823f7da-684d-43ff-bab7-5675d3e09475" w:val=" "/>
    <w:docVar w:name="vault_nd_19e2419b-246d-4680-88f6-d9329c20d1b0" w:val=" "/>
    <w:docVar w:name="vault_nd_1b6ba104-edff-40b8-b6c5-e0b7a909551d" w:val=" "/>
    <w:docVar w:name="vault_nd_1c585049-beb0-4bed-856b-9391f0aa3ad7" w:val=" "/>
    <w:docVar w:name="vault_nd_1cb2cf8f-df17-42ce-acf8-999b57c069d1" w:val=" "/>
    <w:docVar w:name="vault_nd_1d383ade-246e-4dd7-ab57-0ca65a61c66f" w:val=" "/>
    <w:docVar w:name="vault_nd_1fe123aa-894c-4929-ad02-f835b1770041" w:val=" "/>
    <w:docVar w:name="vault_nd_23b594d6-dff8-403c-985a-a390bfc56efe" w:val=" "/>
    <w:docVar w:name="vault_nd_28159276-c125-4aae-960f-1fb8c8a631bd" w:val=" "/>
    <w:docVar w:name="vault_nd_28695d24-9ff0-474f-b35d-9a08e3099100" w:val=" "/>
    <w:docVar w:name="vault_nd_2e575a9a-cdb3-429d-8fee-c2c1b8f79988" w:val=" "/>
    <w:docVar w:name="vault_nd_301643d6-1973-46e1-8bf6-22138a3cb90d" w:val=" "/>
    <w:docVar w:name="vault_nd_3173f557-9b93-4cc9-a960-04463216b941" w:val=" "/>
    <w:docVar w:name="vault_nd_31bbb53f-e1f6-459f-a406-da252c7d8949" w:val=" "/>
    <w:docVar w:name="vault_nd_32ba5725-2a9b-4c13-947d-c354694b80f1" w:val=" "/>
    <w:docVar w:name="vault_nd_32efbac6-59b4-4f66-9d6f-0103d5f3635b" w:val=" "/>
    <w:docVar w:name="vault_nd_34c3b891-c858-4c87-af21-9a0fa5791b45" w:val=" "/>
    <w:docVar w:name="vault_nd_34f3d309-3925-47f9-90d3-fa221954dfa7" w:val=" "/>
    <w:docVar w:name="vault_nd_39753c4e-3be5-4df3-b178-af0b5f57d940" w:val=" "/>
    <w:docVar w:name="vault_nd_3d4c6318-0589-4306-925c-a786d65e2591" w:val=" "/>
    <w:docVar w:name="vault_nd_3e6937bb-1acf-45f0-ac18-6d258e55de6a" w:val=" "/>
    <w:docVar w:name="vault_nd_3ed9d962-6d2a-4642-b5af-4522efa8c933" w:val=" "/>
    <w:docVar w:name="vault_nd_4122bc3d-6987-4374-9aa2-cd80a5c69f6b" w:val=" "/>
    <w:docVar w:name="vault_nd_46e6c351-deae-41d2-bebf-80cbfcf2b2be" w:val=" "/>
    <w:docVar w:name="vault_nd_4706b36a-77ab-4e9f-86de-057e447e12f9" w:val=" "/>
    <w:docVar w:name="vault_nd_48a1ca4e-c983-4efe-98e5-4584729bb107" w:val=" "/>
    <w:docVar w:name="vault_nd_4c1b9ed7-f37b-4e80-9faa-ea5f36432d9d" w:val=" "/>
    <w:docVar w:name="vault_nd_4c767b1a-e4d3-47cd-b413-d3a62adf494e" w:val=" "/>
    <w:docVar w:name="vault_nd_5547f888-8bba-43c8-99bc-56364a5e2198" w:val=" "/>
    <w:docVar w:name="vault_nd_55c549e8-6453-4fcd-8541-d8658039e16c" w:val=" "/>
    <w:docVar w:name="vault_nd_5854d7f7-e886-4b6a-8d01-6ec1ec5e251f" w:val=" "/>
    <w:docVar w:name="vault_nd_59bdbb2b-98aa-42b0-bdc4-c3fd625a5474" w:val=" "/>
    <w:docVar w:name="vault_nd_5de75469-3476-439a-a866-148435ae4803" w:val=" "/>
    <w:docVar w:name="vault_nd_5f504663-1f7b-4fc1-981a-fb261f6c5ce3" w:val=" "/>
    <w:docVar w:name="vault_nd_6288c726-7366-4946-85b0-44086019e4f8" w:val=" "/>
    <w:docVar w:name="vault_nd_6473c3e6-59b5-4e54-adac-0cc3c9a316f5" w:val=" "/>
    <w:docVar w:name="vault_nd_6500765f-9b19-44c6-9ac4-3da74686de7f" w:val=" "/>
    <w:docVar w:name="vault_nd_65ad39d9-27da-4188-ac1f-4df2035320f0" w:val=" "/>
    <w:docVar w:name="vault_nd_65f9a058-f44c-4d16-b900-e3bf43453b0a" w:val=" "/>
    <w:docVar w:name="vault_nd_66b53dc6-fa30-4a25-b654-3b931a869fa7" w:val=" "/>
    <w:docVar w:name="vault_nd_73b0a22a-024b-4945-89cb-e85e5abb5691" w:val=" "/>
    <w:docVar w:name="vault_nd_75fb7c4b-cf56-4a99-80ff-833036f028d3" w:val=" "/>
    <w:docVar w:name="vault_nd_762f2cf4-deaf-4a34-b5f2-ec72b2e1b4a9" w:val=" "/>
    <w:docVar w:name="vault_nd_79cd35de-c642-4a6c-85aa-5fd23b1f4f83" w:val=" "/>
    <w:docVar w:name="vault_nd_7e96f554-9012-47c2-b12b-f33f349d580e" w:val=" "/>
    <w:docVar w:name="vault_nd_7fe7b3b1-0aa6-411a-b22b-15c4ac296d0d" w:val=" "/>
    <w:docVar w:name="vault_nd_804507f2-2747-4d26-a5ed-8e517d4c2b9e" w:val=" "/>
    <w:docVar w:name="vault_nd_85013680-3b71-45b5-8c0b-792d44076c98" w:val=" "/>
    <w:docVar w:name="vault_nd_86435a31-8980-46ce-ab17-72d0a4bbffd8" w:val=" "/>
    <w:docVar w:name="vault_nd_86559e52-dd1a-45ad-a2d6-1d86b85dc2c8" w:val=" "/>
    <w:docVar w:name="vault_nd_8a4eaebc-e372-41e0-882d-7537dcce5873" w:val=" "/>
    <w:docVar w:name="vault_nd_8a9c881f-140f-4c15-9b33-c0458547752e" w:val=" "/>
    <w:docVar w:name="vault_nd_8e101da7-c01a-446d-a960-1112c1f08515" w:val=" "/>
    <w:docVar w:name="vault_nd_8e1173c4-8e09-4fd7-a9da-a3b583f99542" w:val=" "/>
    <w:docVar w:name="vault_nd_8f248f33-19f0-48a4-9f0f-8419f4650a43" w:val=" "/>
    <w:docVar w:name="vault_nd_8f73f428-ef34-4bac-978a-d7c35fc2fe9f" w:val=" "/>
    <w:docVar w:name="vault_nd_8fc39636-3ad7-4664-907e-2afe22113a0b" w:val=" "/>
    <w:docVar w:name="vault_nd_90bef46b-d9bc-4992-aee6-3d11cf242221" w:val=" "/>
    <w:docVar w:name="vault_nd_91540b33-a99d-46fb-b647-937abcb87d33" w:val=" "/>
    <w:docVar w:name="vault_nd_91f14bce-b0c9-401c-b889-1257bf560e02" w:val=" "/>
    <w:docVar w:name="vault_nd_952c7dc4-f1a4-40b1-833f-ac223a4fb4be" w:val=" "/>
    <w:docVar w:name="vault_nd_98e0ec7f-0db7-441a-b2ab-fa9b271e26b6" w:val=" "/>
    <w:docVar w:name="vault_nd_998c2ec5-320d-489a-9aee-c75cae5bc290" w:val=" "/>
    <w:docVar w:name="vault_nd_9ad3bac3-1e3b-4d7d-a9a4-284f75c161bd" w:val=" "/>
    <w:docVar w:name="vault_nd_9ca647ed-a68e-493c-b137-f4cc83f1d4d8" w:val=" "/>
    <w:docVar w:name="vault_nd_9f2e3bba-96a5-440e-a93e-1207be6fa7b1" w:val=" "/>
    <w:docVar w:name="vault_nd_a26c6edd-2bce-4dfe-9b09-2157edd82239" w:val=" "/>
    <w:docVar w:name="vault_nd_a3ceec26-4398-4af3-bb1b-964921ddaad3" w:val=" "/>
    <w:docVar w:name="vault_nd_a70b84bc-ff84-47f8-a405-943a071b5477" w:val=" "/>
    <w:docVar w:name="vault_nd_a7116762-f9f5-49e1-9a94-cf335ed4e5e9" w:val=" "/>
    <w:docVar w:name="vault_nd_a77f00a0-dfb7-4aa7-ba57-08aab19bc30a" w:val=" "/>
    <w:docVar w:name="vault_nd_a96cd961-f125-423e-87b0-efbd425d7eae" w:val=" "/>
    <w:docVar w:name="vault_nd_b23978eb-19f3-43ac-ba6d-a82464b0fabe" w:val=" "/>
    <w:docVar w:name="vault_nd_b2fada7b-1b20-4c48-a92d-21ab27326fa9" w:val=" "/>
    <w:docVar w:name="vault_nd_b457851c-333b-44e2-9971-0a77a7c52f12" w:val=" "/>
    <w:docVar w:name="vault_nd_b5279d1b-eb34-4d3e-869c-426cb88a1c3b" w:val=" "/>
    <w:docVar w:name="vault_nd_ba5ba175-cae6-4ca6-a93d-f3ff345b3b3d" w:val=" "/>
    <w:docVar w:name="vault_nd_bb220afc-d9f1-426b-94d0-4be5114603f5" w:val=" "/>
    <w:docVar w:name="vault_nd_bbf742b4-9066-44a4-b78a-f207d93ab83c" w:val=" "/>
    <w:docVar w:name="vault_nd_bc3534c4-26ba-44dc-8b4f-17dd0bb1e9f4" w:val=" "/>
    <w:docVar w:name="vault_nd_bef0f62f-267b-434b-bb3d-b48e61e0f26f" w:val=" "/>
    <w:docVar w:name="vault_nd_c0c4e408-12f1-4590-b3e5-70eff34caed4" w:val=" "/>
    <w:docVar w:name="vault_nd_c41dbeca-fc40-4bcc-8197-8d5bc8773222" w:val=" "/>
    <w:docVar w:name="vault_nd_c5e65a89-fdba-4024-bade-598eba2042a7" w:val=" "/>
    <w:docVar w:name="vault_nd_c77b6d5c-9840-4a67-928b-351eadd02609" w:val=" "/>
    <w:docVar w:name="vault_nd_c9adcae1-de2a-4789-85c5-77c12be31090" w:val=" "/>
    <w:docVar w:name="vault_nd_cd6d1739-6d56-4898-90a2-c84f66a73e7c" w:val=" "/>
    <w:docVar w:name="vault_nd_ce77f716-31c8-45ab-957f-c83fcfa40bd7" w:val=" "/>
    <w:docVar w:name="vault_nd_cfbe3bc0-1fd1-48ed-9a98-0abae9fa848a" w:val=" "/>
    <w:docVar w:name="vault_nd_d37327c8-db91-46c7-b340-2e9b18295e10" w:val=" "/>
    <w:docVar w:name="vault_nd_d589df45-6a14-4409-91d4-84358f1eaada" w:val=" "/>
    <w:docVar w:name="vault_nd_d5abb00f-0896-4b68-bb3e-45ca55ffa1e2" w:val=" "/>
    <w:docVar w:name="vault_nd_d904a7d0-b5f9-4be3-a324-c63de9b67cbb" w:val=" "/>
    <w:docVar w:name="vault_nd_d937ffd0-19d1-4bd7-b564-d9a13e0b895b" w:val=" "/>
    <w:docVar w:name="vault_nd_dda9090b-0f78-4540-b345-309fbf7a0ada" w:val=" "/>
    <w:docVar w:name="vault_nd_e1ed6a6c-5f56-440b-9546-0e85f36124fe" w:val=" "/>
    <w:docVar w:name="vault_nd_e4cb4d71-c702-4077-8111-a68d65fc3d1f" w:val=" "/>
    <w:docVar w:name="vault_nd_e5329858-1a2b-4491-ab04-995c853b8ed9" w:val=" "/>
    <w:docVar w:name="vault_nd_ea223f42-4301-475a-88bb-022f9f74866f" w:val=" "/>
    <w:docVar w:name="vault_nd_f0cc1d75-074e-47df-b62d-18979cef2ab8" w:val=" "/>
    <w:docVar w:name="vault_nd_f3651e27-e5e3-4a04-bcbc-c54ecada7b3e" w:val=" "/>
    <w:docVar w:name="vault_nd_f59824a7-a026-4858-94d4-b42b54326323" w:val=" "/>
    <w:docVar w:name="vault_nd_f61097a2-d5b3-4032-92a7-0cd9502bf206" w:val=" "/>
    <w:docVar w:name="vault_nd_faba7faa-f20e-45b9-a540-41915368315e" w:val=" "/>
    <w:docVar w:name="vault_nd_fb1c12c1-971b-43c0-b7ac-3d4355d946a6" w:val=" "/>
    <w:docVar w:name="vault_nd_fb2be2f6-8ecf-4038-944c-b322ad45dbbf" w:val=" "/>
    <w:docVar w:name="vault_nd_fdbb7818-0ae1-43fd-9775-a9d7108416f3" w:val=" "/>
    <w:docVar w:name="vault_nd_fde38e69-b872-4086-8744-29e9ca23bff8" w:val=" "/>
    <w:docVar w:name="vault_nd_ff3e03e2-db13-4813-958a-0f4c4f90204c" w:val=" "/>
  </w:docVars>
  <w:rsids>
    <w:rsidRoot w:val="00346EC2"/>
    <w:rsid w:val="000019C5"/>
    <w:rsid w:val="00002DEA"/>
    <w:rsid w:val="00003384"/>
    <w:rsid w:val="000033D1"/>
    <w:rsid w:val="0000572F"/>
    <w:rsid w:val="00006C75"/>
    <w:rsid w:val="0000770C"/>
    <w:rsid w:val="0002306A"/>
    <w:rsid w:val="00034987"/>
    <w:rsid w:val="00036344"/>
    <w:rsid w:val="00036F81"/>
    <w:rsid w:val="0005094E"/>
    <w:rsid w:val="0005217A"/>
    <w:rsid w:val="00053D30"/>
    <w:rsid w:val="00053DBE"/>
    <w:rsid w:val="000549A4"/>
    <w:rsid w:val="000612C3"/>
    <w:rsid w:val="000637CD"/>
    <w:rsid w:val="00063EF3"/>
    <w:rsid w:val="000644B3"/>
    <w:rsid w:val="00064F18"/>
    <w:rsid w:val="00072036"/>
    <w:rsid w:val="00075730"/>
    <w:rsid w:val="00077844"/>
    <w:rsid w:val="00080255"/>
    <w:rsid w:val="0008138E"/>
    <w:rsid w:val="00092A4F"/>
    <w:rsid w:val="00093A76"/>
    <w:rsid w:val="00094B81"/>
    <w:rsid w:val="000975AA"/>
    <w:rsid w:val="000A1980"/>
    <w:rsid w:val="000A2EB0"/>
    <w:rsid w:val="000B1FE3"/>
    <w:rsid w:val="000B24AE"/>
    <w:rsid w:val="000B2AAC"/>
    <w:rsid w:val="000C3295"/>
    <w:rsid w:val="000C4063"/>
    <w:rsid w:val="000C55C5"/>
    <w:rsid w:val="000C60AC"/>
    <w:rsid w:val="000C6F8E"/>
    <w:rsid w:val="000D18AB"/>
    <w:rsid w:val="000D2B5F"/>
    <w:rsid w:val="000D64FF"/>
    <w:rsid w:val="000D7934"/>
    <w:rsid w:val="000D7BD2"/>
    <w:rsid w:val="000E2471"/>
    <w:rsid w:val="000E4304"/>
    <w:rsid w:val="000E6D1A"/>
    <w:rsid w:val="000F210F"/>
    <w:rsid w:val="000F666A"/>
    <w:rsid w:val="0010196D"/>
    <w:rsid w:val="00101FB1"/>
    <w:rsid w:val="001069E1"/>
    <w:rsid w:val="00107AC7"/>
    <w:rsid w:val="00111E4B"/>
    <w:rsid w:val="00116213"/>
    <w:rsid w:val="00121BCB"/>
    <w:rsid w:val="00123BD2"/>
    <w:rsid w:val="0012473C"/>
    <w:rsid w:val="0012521C"/>
    <w:rsid w:val="0013132F"/>
    <w:rsid w:val="0013528C"/>
    <w:rsid w:val="0013658A"/>
    <w:rsid w:val="00142F4D"/>
    <w:rsid w:val="0014356E"/>
    <w:rsid w:val="001519CB"/>
    <w:rsid w:val="0015227C"/>
    <w:rsid w:val="0015309E"/>
    <w:rsid w:val="00155B34"/>
    <w:rsid w:val="00165D28"/>
    <w:rsid w:val="00165FB1"/>
    <w:rsid w:val="00173E37"/>
    <w:rsid w:val="00174356"/>
    <w:rsid w:val="00174D93"/>
    <w:rsid w:val="00175CD8"/>
    <w:rsid w:val="00175FBF"/>
    <w:rsid w:val="00180855"/>
    <w:rsid w:val="00182466"/>
    <w:rsid w:val="00184DA4"/>
    <w:rsid w:val="001869E2"/>
    <w:rsid w:val="001919F2"/>
    <w:rsid w:val="0019321D"/>
    <w:rsid w:val="0019341A"/>
    <w:rsid w:val="00195DC0"/>
    <w:rsid w:val="00195E72"/>
    <w:rsid w:val="001A178A"/>
    <w:rsid w:val="001A24B2"/>
    <w:rsid w:val="001A3C22"/>
    <w:rsid w:val="001A43D2"/>
    <w:rsid w:val="001B10BF"/>
    <w:rsid w:val="001B6B98"/>
    <w:rsid w:val="001B7BA4"/>
    <w:rsid w:val="001C1947"/>
    <w:rsid w:val="001C1C2E"/>
    <w:rsid w:val="001D0A91"/>
    <w:rsid w:val="001D2D65"/>
    <w:rsid w:val="001D3B7F"/>
    <w:rsid w:val="001D41A6"/>
    <w:rsid w:val="001D5C4F"/>
    <w:rsid w:val="001E0116"/>
    <w:rsid w:val="001E661D"/>
    <w:rsid w:val="001E7BD9"/>
    <w:rsid w:val="001F26F1"/>
    <w:rsid w:val="001F3CAE"/>
    <w:rsid w:val="001F491F"/>
    <w:rsid w:val="001F4F78"/>
    <w:rsid w:val="001F76D8"/>
    <w:rsid w:val="001F786F"/>
    <w:rsid w:val="0020369B"/>
    <w:rsid w:val="00205FAD"/>
    <w:rsid w:val="002138C0"/>
    <w:rsid w:val="0022010B"/>
    <w:rsid w:val="002222CC"/>
    <w:rsid w:val="00226F39"/>
    <w:rsid w:val="00241B60"/>
    <w:rsid w:val="00242C0F"/>
    <w:rsid w:val="00245481"/>
    <w:rsid w:val="00252569"/>
    <w:rsid w:val="00255B0D"/>
    <w:rsid w:val="00257E1E"/>
    <w:rsid w:val="0026500F"/>
    <w:rsid w:val="002707F8"/>
    <w:rsid w:val="00273BA9"/>
    <w:rsid w:val="002867BF"/>
    <w:rsid w:val="002939D2"/>
    <w:rsid w:val="002A18EC"/>
    <w:rsid w:val="002A7D6A"/>
    <w:rsid w:val="002B0E47"/>
    <w:rsid w:val="002B4074"/>
    <w:rsid w:val="002B538D"/>
    <w:rsid w:val="002B6853"/>
    <w:rsid w:val="002C26CC"/>
    <w:rsid w:val="002C5E29"/>
    <w:rsid w:val="002D16EF"/>
    <w:rsid w:val="002D5155"/>
    <w:rsid w:val="002D7127"/>
    <w:rsid w:val="002D78F4"/>
    <w:rsid w:val="002E5B1F"/>
    <w:rsid w:val="002E6486"/>
    <w:rsid w:val="002E6CD4"/>
    <w:rsid w:val="002E7BD8"/>
    <w:rsid w:val="002E7C4C"/>
    <w:rsid w:val="002F5560"/>
    <w:rsid w:val="002F7864"/>
    <w:rsid w:val="003008D8"/>
    <w:rsid w:val="00303959"/>
    <w:rsid w:val="00307B64"/>
    <w:rsid w:val="00310781"/>
    <w:rsid w:val="00311492"/>
    <w:rsid w:val="00312AC3"/>
    <w:rsid w:val="00313247"/>
    <w:rsid w:val="00314430"/>
    <w:rsid w:val="00317664"/>
    <w:rsid w:val="003176F6"/>
    <w:rsid w:val="00317FA7"/>
    <w:rsid w:val="00320553"/>
    <w:rsid w:val="00324B33"/>
    <w:rsid w:val="00333EEC"/>
    <w:rsid w:val="0033433A"/>
    <w:rsid w:val="0034082A"/>
    <w:rsid w:val="00341C0E"/>
    <w:rsid w:val="00343780"/>
    <w:rsid w:val="00343D29"/>
    <w:rsid w:val="00344CC8"/>
    <w:rsid w:val="00345B4E"/>
    <w:rsid w:val="00346EC2"/>
    <w:rsid w:val="003476EB"/>
    <w:rsid w:val="00347A8F"/>
    <w:rsid w:val="0035236E"/>
    <w:rsid w:val="00353972"/>
    <w:rsid w:val="0035444D"/>
    <w:rsid w:val="003638BB"/>
    <w:rsid w:val="0036479C"/>
    <w:rsid w:val="00365351"/>
    <w:rsid w:val="003740CB"/>
    <w:rsid w:val="0037441D"/>
    <w:rsid w:val="0037492C"/>
    <w:rsid w:val="00375035"/>
    <w:rsid w:val="00376CC8"/>
    <w:rsid w:val="00377077"/>
    <w:rsid w:val="00382BC7"/>
    <w:rsid w:val="00382C20"/>
    <w:rsid w:val="00387F1A"/>
    <w:rsid w:val="00395140"/>
    <w:rsid w:val="003B0441"/>
    <w:rsid w:val="003B149C"/>
    <w:rsid w:val="003B416D"/>
    <w:rsid w:val="003B64C1"/>
    <w:rsid w:val="003C2EB7"/>
    <w:rsid w:val="003C369F"/>
    <w:rsid w:val="003C393D"/>
    <w:rsid w:val="003C70F3"/>
    <w:rsid w:val="003D5725"/>
    <w:rsid w:val="003D6990"/>
    <w:rsid w:val="003D7184"/>
    <w:rsid w:val="003D71A1"/>
    <w:rsid w:val="003E175C"/>
    <w:rsid w:val="003E4A27"/>
    <w:rsid w:val="003E6809"/>
    <w:rsid w:val="003F0DC0"/>
    <w:rsid w:val="003F1484"/>
    <w:rsid w:val="003F2A18"/>
    <w:rsid w:val="003F4010"/>
    <w:rsid w:val="003F7616"/>
    <w:rsid w:val="00401041"/>
    <w:rsid w:val="00406A9A"/>
    <w:rsid w:val="004076B2"/>
    <w:rsid w:val="004133E7"/>
    <w:rsid w:val="00414731"/>
    <w:rsid w:val="0041688F"/>
    <w:rsid w:val="00416922"/>
    <w:rsid w:val="00417BEB"/>
    <w:rsid w:val="0042376F"/>
    <w:rsid w:val="004246B8"/>
    <w:rsid w:val="0042523A"/>
    <w:rsid w:val="00431E03"/>
    <w:rsid w:val="00433318"/>
    <w:rsid w:val="00433DC7"/>
    <w:rsid w:val="004374AB"/>
    <w:rsid w:val="0044220F"/>
    <w:rsid w:val="0044601D"/>
    <w:rsid w:val="00446B25"/>
    <w:rsid w:val="004511EE"/>
    <w:rsid w:val="0045648F"/>
    <w:rsid w:val="00456CC1"/>
    <w:rsid w:val="00462AB6"/>
    <w:rsid w:val="00464F20"/>
    <w:rsid w:val="00466BCE"/>
    <w:rsid w:val="004745BF"/>
    <w:rsid w:val="00475769"/>
    <w:rsid w:val="004766C2"/>
    <w:rsid w:val="00477AA4"/>
    <w:rsid w:val="00477C4E"/>
    <w:rsid w:val="00480E44"/>
    <w:rsid w:val="00484B5A"/>
    <w:rsid w:val="00490B09"/>
    <w:rsid w:val="00491A55"/>
    <w:rsid w:val="00497906"/>
    <w:rsid w:val="004B0384"/>
    <w:rsid w:val="004B2803"/>
    <w:rsid w:val="004B3081"/>
    <w:rsid w:val="004B3E2B"/>
    <w:rsid w:val="004B504F"/>
    <w:rsid w:val="004C19A9"/>
    <w:rsid w:val="004C37ED"/>
    <w:rsid w:val="004C4859"/>
    <w:rsid w:val="004C4D44"/>
    <w:rsid w:val="004D61A8"/>
    <w:rsid w:val="004D700E"/>
    <w:rsid w:val="004E0C3C"/>
    <w:rsid w:val="004E56F3"/>
    <w:rsid w:val="004E7120"/>
    <w:rsid w:val="004F0DDA"/>
    <w:rsid w:val="004F3DDD"/>
    <w:rsid w:val="004F57D4"/>
    <w:rsid w:val="005123A9"/>
    <w:rsid w:val="00514E8A"/>
    <w:rsid w:val="0051617A"/>
    <w:rsid w:val="00521C62"/>
    <w:rsid w:val="005254C3"/>
    <w:rsid w:val="00526338"/>
    <w:rsid w:val="00527728"/>
    <w:rsid w:val="005356AD"/>
    <w:rsid w:val="00535DFE"/>
    <w:rsid w:val="00536033"/>
    <w:rsid w:val="0054378D"/>
    <w:rsid w:val="0054445B"/>
    <w:rsid w:val="005506DC"/>
    <w:rsid w:val="0055325C"/>
    <w:rsid w:val="00562F42"/>
    <w:rsid w:val="00565454"/>
    <w:rsid w:val="00565796"/>
    <w:rsid w:val="00566AED"/>
    <w:rsid w:val="005671BB"/>
    <w:rsid w:val="0056766D"/>
    <w:rsid w:val="00574BD3"/>
    <w:rsid w:val="00581BB9"/>
    <w:rsid w:val="005825D6"/>
    <w:rsid w:val="0058575E"/>
    <w:rsid w:val="0058783C"/>
    <w:rsid w:val="005911AE"/>
    <w:rsid w:val="0059313A"/>
    <w:rsid w:val="005975CA"/>
    <w:rsid w:val="005A0752"/>
    <w:rsid w:val="005A0B4E"/>
    <w:rsid w:val="005A5921"/>
    <w:rsid w:val="005A6EC3"/>
    <w:rsid w:val="005B023F"/>
    <w:rsid w:val="005B1C60"/>
    <w:rsid w:val="005B32B2"/>
    <w:rsid w:val="005B3D74"/>
    <w:rsid w:val="005B6F8B"/>
    <w:rsid w:val="005C5B61"/>
    <w:rsid w:val="005C5D5E"/>
    <w:rsid w:val="005D07D5"/>
    <w:rsid w:val="005D1F69"/>
    <w:rsid w:val="005D2089"/>
    <w:rsid w:val="005D4744"/>
    <w:rsid w:val="005D50AD"/>
    <w:rsid w:val="005D7514"/>
    <w:rsid w:val="005E1A7B"/>
    <w:rsid w:val="005E279A"/>
    <w:rsid w:val="005E2C5E"/>
    <w:rsid w:val="005E457C"/>
    <w:rsid w:val="005E49BB"/>
    <w:rsid w:val="005F12D8"/>
    <w:rsid w:val="005F2A91"/>
    <w:rsid w:val="005F3247"/>
    <w:rsid w:val="005F5C97"/>
    <w:rsid w:val="00603BCC"/>
    <w:rsid w:val="006072A3"/>
    <w:rsid w:val="0061040B"/>
    <w:rsid w:val="006121AA"/>
    <w:rsid w:val="00613128"/>
    <w:rsid w:val="006144B4"/>
    <w:rsid w:val="0062078D"/>
    <w:rsid w:val="00621803"/>
    <w:rsid w:val="006222EE"/>
    <w:rsid w:val="00622D8B"/>
    <w:rsid w:val="00623237"/>
    <w:rsid w:val="0062520D"/>
    <w:rsid w:val="0062521A"/>
    <w:rsid w:val="006277A1"/>
    <w:rsid w:val="00633576"/>
    <w:rsid w:val="006345D0"/>
    <w:rsid w:val="006351D9"/>
    <w:rsid w:val="00636DFF"/>
    <w:rsid w:val="00637130"/>
    <w:rsid w:val="00637F0E"/>
    <w:rsid w:val="006408A4"/>
    <w:rsid w:val="00641BB2"/>
    <w:rsid w:val="006423F2"/>
    <w:rsid w:val="00650FD2"/>
    <w:rsid w:val="00657183"/>
    <w:rsid w:val="00657350"/>
    <w:rsid w:val="00672248"/>
    <w:rsid w:val="00681BC2"/>
    <w:rsid w:val="006871EE"/>
    <w:rsid w:val="006906D9"/>
    <w:rsid w:val="00692CCD"/>
    <w:rsid w:val="00695282"/>
    <w:rsid w:val="006A1F0B"/>
    <w:rsid w:val="006A252B"/>
    <w:rsid w:val="006A277A"/>
    <w:rsid w:val="006A2805"/>
    <w:rsid w:val="006A4028"/>
    <w:rsid w:val="006B248A"/>
    <w:rsid w:val="006B6FB8"/>
    <w:rsid w:val="006C0E72"/>
    <w:rsid w:val="006C15AE"/>
    <w:rsid w:val="006C1B11"/>
    <w:rsid w:val="006C67EE"/>
    <w:rsid w:val="006C6880"/>
    <w:rsid w:val="006D51B7"/>
    <w:rsid w:val="006D52DC"/>
    <w:rsid w:val="006D6B44"/>
    <w:rsid w:val="006E2E7E"/>
    <w:rsid w:val="006E3193"/>
    <w:rsid w:val="006E386F"/>
    <w:rsid w:val="006E511A"/>
    <w:rsid w:val="006F6378"/>
    <w:rsid w:val="006F6456"/>
    <w:rsid w:val="007005CE"/>
    <w:rsid w:val="00701A08"/>
    <w:rsid w:val="00705541"/>
    <w:rsid w:val="0070636A"/>
    <w:rsid w:val="007066DE"/>
    <w:rsid w:val="007072A1"/>
    <w:rsid w:val="00707C5F"/>
    <w:rsid w:val="00707E5B"/>
    <w:rsid w:val="007100E7"/>
    <w:rsid w:val="00710469"/>
    <w:rsid w:val="00710BC5"/>
    <w:rsid w:val="007123CE"/>
    <w:rsid w:val="0072003B"/>
    <w:rsid w:val="00722996"/>
    <w:rsid w:val="00723282"/>
    <w:rsid w:val="00724153"/>
    <w:rsid w:val="00725E71"/>
    <w:rsid w:val="007271EB"/>
    <w:rsid w:val="00730809"/>
    <w:rsid w:val="00730FCF"/>
    <w:rsid w:val="007357B9"/>
    <w:rsid w:val="00741BC1"/>
    <w:rsid w:val="0074431B"/>
    <w:rsid w:val="007452E8"/>
    <w:rsid w:val="00746990"/>
    <w:rsid w:val="00747813"/>
    <w:rsid w:val="00750D70"/>
    <w:rsid w:val="00753F17"/>
    <w:rsid w:val="0075488D"/>
    <w:rsid w:val="007553E7"/>
    <w:rsid w:val="007568CE"/>
    <w:rsid w:val="00757494"/>
    <w:rsid w:val="007575C8"/>
    <w:rsid w:val="007623FE"/>
    <w:rsid w:val="0076348A"/>
    <w:rsid w:val="0076785B"/>
    <w:rsid w:val="00781210"/>
    <w:rsid w:val="0078725C"/>
    <w:rsid w:val="007903A6"/>
    <w:rsid w:val="00790ACA"/>
    <w:rsid w:val="00793272"/>
    <w:rsid w:val="007957C8"/>
    <w:rsid w:val="007A0FD6"/>
    <w:rsid w:val="007A1A79"/>
    <w:rsid w:val="007A607F"/>
    <w:rsid w:val="007A6186"/>
    <w:rsid w:val="007A7763"/>
    <w:rsid w:val="007B04DE"/>
    <w:rsid w:val="007B4A13"/>
    <w:rsid w:val="007B5E4B"/>
    <w:rsid w:val="007C0A71"/>
    <w:rsid w:val="007C0DBC"/>
    <w:rsid w:val="007C57BC"/>
    <w:rsid w:val="007C64C2"/>
    <w:rsid w:val="007D1391"/>
    <w:rsid w:val="007D4138"/>
    <w:rsid w:val="007E1673"/>
    <w:rsid w:val="007E7892"/>
    <w:rsid w:val="007F0A77"/>
    <w:rsid w:val="007F4327"/>
    <w:rsid w:val="007F439D"/>
    <w:rsid w:val="007F50D3"/>
    <w:rsid w:val="007F6244"/>
    <w:rsid w:val="008004D3"/>
    <w:rsid w:val="00801344"/>
    <w:rsid w:val="00802EB1"/>
    <w:rsid w:val="008037D5"/>
    <w:rsid w:val="00815F2E"/>
    <w:rsid w:val="00816745"/>
    <w:rsid w:val="00823AFE"/>
    <w:rsid w:val="00824995"/>
    <w:rsid w:val="008329DB"/>
    <w:rsid w:val="0083597A"/>
    <w:rsid w:val="008361C5"/>
    <w:rsid w:val="0083628F"/>
    <w:rsid w:val="00837AB9"/>
    <w:rsid w:val="0084100B"/>
    <w:rsid w:val="00844A67"/>
    <w:rsid w:val="008465DD"/>
    <w:rsid w:val="00846E9D"/>
    <w:rsid w:val="00847A17"/>
    <w:rsid w:val="00850637"/>
    <w:rsid w:val="00854992"/>
    <w:rsid w:val="00854D98"/>
    <w:rsid w:val="00855B3F"/>
    <w:rsid w:val="00860B29"/>
    <w:rsid w:val="008621DE"/>
    <w:rsid w:val="00865AEC"/>
    <w:rsid w:val="00871BF1"/>
    <w:rsid w:val="00874E88"/>
    <w:rsid w:val="008804CF"/>
    <w:rsid w:val="00887547"/>
    <w:rsid w:val="00895A33"/>
    <w:rsid w:val="00895C06"/>
    <w:rsid w:val="008964B3"/>
    <w:rsid w:val="008A1892"/>
    <w:rsid w:val="008A3CDA"/>
    <w:rsid w:val="008A6319"/>
    <w:rsid w:val="008B0E29"/>
    <w:rsid w:val="008B2B88"/>
    <w:rsid w:val="008B3FCD"/>
    <w:rsid w:val="008B4F5A"/>
    <w:rsid w:val="008C49C6"/>
    <w:rsid w:val="008C754C"/>
    <w:rsid w:val="008D6A54"/>
    <w:rsid w:val="008D7447"/>
    <w:rsid w:val="008D7781"/>
    <w:rsid w:val="008E0A17"/>
    <w:rsid w:val="008E1DCA"/>
    <w:rsid w:val="008E233B"/>
    <w:rsid w:val="008E3FD3"/>
    <w:rsid w:val="008E5325"/>
    <w:rsid w:val="008E5445"/>
    <w:rsid w:val="008E715C"/>
    <w:rsid w:val="008F318D"/>
    <w:rsid w:val="008F4317"/>
    <w:rsid w:val="008F4E1A"/>
    <w:rsid w:val="008F7B58"/>
    <w:rsid w:val="00903634"/>
    <w:rsid w:val="00903758"/>
    <w:rsid w:val="00903E65"/>
    <w:rsid w:val="00903F51"/>
    <w:rsid w:val="0090605E"/>
    <w:rsid w:val="00907AF5"/>
    <w:rsid w:val="009108CE"/>
    <w:rsid w:val="00913D97"/>
    <w:rsid w:val="00915A9F"/>
    <w:rsid w:val="009174F0"/>
    <w:rsid w:val="00925272"/>
    <w:rsid w:val="00927523"/>
    <w:rsid w:val="00930D58"/>
    <w:rsid w:val="0093332C"/>
    <w:rsid w:val="00935A2C"/>
    <w:rsid w:val="0093699C"/>
    <w:rsid w:val="0094373C"/>
    <w:rsid w:val="00943A82"/>
    <w:rsid w:val="0094436F"/>
    <w:rsid w:val="009471A8"/>
    <w:rsid w:val="009471E5"/>
    <w:rsid w:val="00947557"/>
    <w:rsid w:val="00961B2D"/>
    <w:rsid w:val="0096572C"/>
    <w:rsid w:val="00966EF1"/>
    <w:rsid w:val="009675E4"/>
    <w:rsid w:val="009678D1"/>
    <w:rsid w:val="00972423"/>
    <w:rsid w:val="00972F04"/>
    <w:rsid w:val="009766A8"/>
    <w:rsid w:val="00976D12"/>
    <w:rsid w:val="009815B6"/>
    <w:rsid w:val="00981CA2"/>
    <w:rsid w:val="0098279B"/>
    <w:rsid w:val="0098350E"/>
    <w:rsid w:val="00983F76"/>
    <w:rsid w:val="009845FA"/>
    <w:rsid w:val="0098462D"/>
    <w:rsid w:val="00987C1E"/>
    <w:rsid w:val="009900F5"/>
    <w:rsid w:val="00994FA0"/>
    <w:rsid w:val="00996FA5"/>
    <w:rsid w:val="009A0D6C"/>
    <w:rsid w:val="009A0EC9"/>
    <w:rsid w:val="009A6608"/>
    <w:rsid w:val="009A7F13"/>
    <w:rsid w:val="009B0914"/>
    <w:rsid w:val="009B0987"/>
    <w:rsid w:val="009B3344"/>
    <w:rsid w:val="009B352E"/>
    <w:rsid w:val="009B4B43"/>
    <w:rsid w:val="009B514E"/>
    <w:rsid w:val="009B643E"/>
    <w:rsid w:val="009B7A71"/>
    <w:rsid w:val="009C33EB"/>
    <w:rsid w:val="009C3E29"/>
    <w:rsid w:val="009C5957"/>
    <w:rsid w:val="009C7B12"/>
    <w:rsid w:val="009D057C"/>
    <w:rsid w:val="009D1ECF"/>
    <w:rsid w:val="009D4129"/>
    <w:rsid w:val="009D4E65"/>
    <w:rsid w:val="009D554F"/>
    <w:rsid w:val="009D5FF2"/>
    <w:rsid w:val="009D670B"/>
    <w:rsid w:val="009E0359"/>
    <w:rsid w:val="009E3F10"/>
    <w:rsid w:val="009E531C"/>
    <w:rsid w:val="009E6F8C"/>
    <w:rsid w:val="009F0C83"/>
    <w:rsid w:val="009F0F05"/>
    <w:rsid w:val="009F21D4"/>
    <w:rsid w:val="009F6F50"/>
    <w:rsid w:val="00A0058C"/>
    <w:rsid w:val="00A01C56"/>
    <w:rsid w:val="00A03176"/>
    <w:rsid w:val="00A0585B"/>
    <w:rsid w:val="00A13227"/>
    <w:rsid w:val="00A14C0F"/>
    <w:rsid w:val="00A16016"/>
    <w:rsid w:val="00A1747E"/>
    <w:rsid w:val="00A20D0B"/>
    <w:rsid w:val="00A30361"/>
    <w:rsid w:val="00A337E8"/>
    <w:rsid w:val="00A33967"/>
    <w:rsid w:val="00A34D19"/>
    <w:rsid w:val="00A358E7"/>
    <w:rsid w:val="00A36215"/>
    <w:rsid w:val="00A40AFB"/>
    <w:rsid w:val="00A40BF3"/>
    <w:rsid w:val="00A51A2D"/>
    <w:rsid w:val="00A52B69"/>
    <w:rsid w:val="00A53237"/>
    <w:rsid w:val="00A550DB"/>
    <w:rsid w:val="00A62EF0"/>
    <w:rsid w:val="00A63D9B"/>
    <w:rsid w:val="00A7288E"/>
    <w:rsid w:val="00A72BD6"/>
    <w:rsid w:val="00A7608F"/>
    <w:rsid w:val="00A76457"/>
    <w:rsid w:val="00A81B7B"/>
    <w:rsid w:val="00A82D0F"/>
    <w:rsid w:val="00A8345B"/>
    <w:rsid w:val="00A84911"/>
    <w:rsid w:val="00A90BD3"/>
    <w:rsid w:val="00A91373"/>
    <w:rsid w:val="00A939EB"/>
    <w:rsid w:val="00A93CB7"/>
    <w:rsid w:val="00A93DC6"/>
    <w:rsid w:val="00A957E0"/>
    <w:rsid w:val="00A96F1A"/>
    <w:rsid w:val="00A97FBB"/>
    <w:rsid w:val="00AA2F75"/>
    <w:rsid w:val="00AA71C3"/>
    <w:rsid w:val="00AA7422"/>
    <w:rsid w:val="00AA7584"/>
    <w:rsid w:val="00AB27AC"/>
    <w:rsid w:val="00AB316F"/>
    <w:rsid w:val="00AB36B5"/>
    <w:rsid w:val="00AB4BA8"/>
    <w:rsid w:val="00AB5ABC"/>
    <w:rsid w:val="00AB7CBF"/>
    <w:rsid w:val="00AC1082"/>
    <w:rsid w:val="00AC35E4"/>
    <w:rsid w:val="00AC3FDD"/>
    <w:rsid w:val="00AC500E"/>
    <w:rsid w:val="00AC701A"/>
    <w:rsid w:val="00AD1CC8"/>
    <w:rsid w:val="00AD5767"/>
    <w:rsid w:val="00AD6E2B"/>
    <w:rsid w:val="00AE0977"/>
    <w:rsid w:val="00AE1947"/>
    <w:rsid w:val="00AE2E6E"/>
    <w:rsid w:val="00AE49D5"/>
    <w:rsid w:val="00AE5620"/>
    <w:rsid w:val="00AE5ACE"/>
    <w:rsid w:val="00AF2B44"/>
    <w:rsid w:val="00AF2EF7"/>
    <w:rsid w:val="00AF37CC"/>
    <w:rsid w:val="00AF6382"/>
    <w:rsid w:val="00B03F77"/>
    <w:rsid w:val="00B05174"/>
    <w:rsid w:val="00B1190B"/>
    <w:rsid w:val="00B143CD"/>
    <w:rsid w:val="00B15355"/>
    <w:rsid w:val="00B25382"/>
    <w:rsid w:val="00B262FF"/>
    <w:rsid w:val="00B27F72"/>
    <w:rsid w:val="00B30739"/>
    <w:rsid w:val="00B31FF9"/>
    <w:rsid w:val="00B35E0F"/>
    <w:rsid w:val="00B367E0"/>
    <w:rsid w:val="00B403C3"/>
    <w:rsid w:val="00B41403"/>
    <w:rsid w:val="00B46BC0"/>
    <w:rsid w:val="00B52095"/>
    <w:rsid w:val="00B54020"/>
    <w:rsid w:val="00B55681"/>
    <w:rsid w:val="00B558B0"/>
    <w:rsid w:val="00B56450"/>
    <w:rsid w:val="00B57291"/>
    <w:rsid w:val="00B61556"/>
    <w:rsid w:val="00B62B4F"/>
    <w:rsid w:val="00B646DD"/>
    <w:rsid w:val="00B67760"/>
    <w:rsid w:val="00B70329"/>
    <w:rsid w:val="00B829A1"/>
    <w:rsid w:val="00B83420"/>
    <w:rsid w:val="00B8778A"/>
    <w:rsid w:val="00B92A61"/>
    <w:rsid w:val="00B92FE3"/>
    <w:rsid w:val="00B945E3"/>
    <w:rsid w:val="00B967FF"/>
    <w:rsid w:val="00BA130A"/>
    <w:rsid w:val="00BA5456"/>
    <w:rsid w:val="00BA7A71"/>
    <w:rsid w:val="00BA7F7D"/>
    <w:rsid w:val="00BB1C14"/>
    <w:rsid w:val="00BB1E78"/>
    <w:rsid w:val="00BC1F90"/>
    <w:rsid w:val="00BC41F1"/>
    <w:rsid w:val="00BC57F8"/>
    <w:rsid w:val="00BD07DF"/>
    <w:rsid w:val="00BD0A60"/>
    <w:rsid w:val="00BD3671"/>
    <w:rsid w:val="00BD38E7"/>
    <w:rsid w:val="00BD440D"/>
    <w:rsid w:val="00BD4E65"/>
    <w:rsid w:val="00BD5308"/>
    <w:rsid w:val="00BD5DBD"/>
    <w:rsid w:val="00BD72FC"/>
    <w:rsid w:val="00BE1835"/>
    <w:rsid w:val="00BE6D4A"/>
    <w:rsid w:val="00BF33AC"/>
    <w:rsid w:val="00BF4638"/>
    <w:rsid w:val="00C0746D"/>
    <w:rsid w:val="00C07551"/>
    <w:rsid w:val="00C07F5E"/>
    <w:rsid w:val="00C17648"/>
    <w:rsid w:val="00C21E24"/>
    <w:rsid w:val="00C220A3"/>
    <w:rsid w:val="00C22214"/>
    <w:rsid w:val="00C24AEA"/>
    <w:rsid w:val="00C25170"/>
    <w:rsid w:val="00C26870"/>
    <w:rsid w:val="00C26DB5"/>
    <w:rsid w:val="00C27E49"/>
    <w:rsid w:val="00C314A6"/>
    <w:rsid w:val="00C32C3B"/>
    <w:rsid w:val="00C40501"/>
    <w:rsid w:val="00C407AB"/>
    <w:rsid w:val="00C42CC2"/>
    <w:rsid w:val="00C444D6"/>
    <w:rsid w:val="00C44A20"/>
    <w:rsid w:val="00C45B7D"/>
    <w:rsid w:val="00C473D6"/>
    <w:rsid w:val="00C509AF"/>
    <w:rsid w:val="00C53FF7"/>
    <w:rsid w:val="00C545D2"/>
    <w:rsid w:val="00C54699"/>
    <w:rsid w:val="00C570FF"/>
    <w:rsid w:val="00C61CCF"/>
    <w:rsid w:val="00C61D19"/>
    <w:rsid w:val="00C652F5"/>
    <w:rsid w:val="00C6574E"/>
    <w:rsid w:val="00C67425"/>
    <w:rsid w:val="00C71D46"/>
    <w:rsid w:val="00C71FC4"/>
    <w:rsid w:val="00C73651"/>
    <w:rsid w:val="00C816C6"/>
    <w:rsid w:val="00C85E14"/>
    <w:rsid w:val="00C90E50"/>
    <w:rsid w:val="00C92A31"/>
    <w:rsid w:val="00C944D2"/>
    <w:rsid w:val="00CA096D"/>
    <w:rsid w:val="00CA09F4"/>
    <w:rsid w:val="00CB0550"/>
    <w:rsid w:val="00CB110C"/>
    <w:rsid w:val="00CB238A"/>
    <w:rsid w:val="00CB47AF"/>
    <w:rsid w:val="00CB4F9A"/>
    <w:rsid w:val="00CB5088"/>
    <w:rsid w:val="00CB55A7"/>
    <w:rsid w:val="00CB5978"/>
    <w:rsid w:val="00CB63D6"/>
    <w:rsid w:val="00CB6D49"/>
    <w:rsid w:val="00CC38FD"/>
    <w:rsid w:val="00CC58F6"/>
    <w:rsid w:val="00CD1DF8"/>
    <w:rsid w:val="00CD27BB"/>
    <w:rsid w:val="00CD28D7"/>
    <w:rsid w:val="00CD31DF"/>
    <w:rsid w:val="00CD4A3B"/>
    <w:rsid w:val="00CE1886"/>
    <w:rsid w:val="00CE2191"/>
    <w:rsid w:val="00CE2499"/>
    <w:rsid w:val="00CE4B85"/>
    <w:rsid w:val="00CE60B7"/>
    <w:rsid w:val="00CE626F"/>
    <w:rsid w:val="00CF2526"/>
    <w:rsid w:val="00D01DDB"/>
    <w:rsid w:val="00D03434"/>
    <w:rsid w:val="00D03776"/>
    <w:rsid w:val="00D037B4"/>
    <w:rsid w:val="00D078BE"/>
    <w:rsid w:val="00D13F8A"/>
    <w:rsid w:val="00D14CF5"/>
    <w:rsid w:val="00D17D58"/>
    <w:rsid w:val="00D22A37"/>
    <w:rsid w:val="00D23D94"/>
    <w:rsid w:val="00D240D5"/>
    <w:rsid w:val="00D24224"/>
    <w:rsid w:val="00D26F35"/>
    <w:rsid w:val="00D358A8"/>
    <w:rsid w:val="00D35987"/>
    <w:rsid w:val="00D412D4"/>
    <w:rsid w:val="00D41FE0"/>
    <w:rsid w:val="00D4434B"/>
    <w:rsid w:val="00D52DF3"/>
    <w:rsid w:val="00D62877"/>
    <w:rsid w:val="00D62CC3"/>
    <w:rsid w:val="00D63760"/>
    <w:rsid w:val="00D753DE"/>
    <w:rsid w:val="00D75B6D"/>
    <w:rsid w:val="00D76B71"/>
    <w:rsid w:val="00D81579"/>
    <w:rsid w:val="00D849FD"/>
    <w:rsid w:val="00D864ED"/>
    <w:rsid w:val="00D90CDD"/>
    <w:rsid w:val="00D9103E"/>
    <w:rsid w:val="00D91385"/>
    <w:rsid w:val="00D918D5"/>
    <w:rsid w:val="00D92945"/>
    <w:rsid w:val="00D944C0"/>
    <w:rsid w:val="00D94C8E"/>
    <w:rsid w:val="00DB192C"/>
    <w:rsid w:val="00DB1CF3"/>
    <w:rsid w:val="00DB7036"/>
    <w:rsid w:val="00DC019E"/>
    <w:rsid w:val="00DC0FD8"/>
    <w:rsid w:val="00DC2C5A"/>
    <w:rsid w:val="00DD3D02"/>
    <w:rsid w:val="00DE1601"/>
    <w:rsid w:val="00DE54BB"/>
    <w:rsid w:val="00DE788F"/>
    <w:rsid w:val="00DF0AA7"/>
    <w:rsid w:val="00DF37AB"/>
    <w:rsid w:val="00DF4173"/>
    <w:rsid w:val="00DF5BFE"/>
    <w:rsid w:val="00DF6DE5"/>
    <w:rsid w:val="00DF7A7B"/>
    <w:rsid w:val="00E006E3"/>
    <w:rsid w:val="00E04CE2"/>
    <w:rsid w:val="00E050B0"/>
    <w:rsid w:val="00E14132"/>
    <w:rsid w:val="00E154A4"/>
    <w:rsid w:val="00E167E0"/>
    <w:rsid w:val="00E178D2"/>
    <w:rsid w:val="00E2256D"/>
    <w:rsid w:val="00E33D30"/>
    <w:rsid w:val="00E35985"/>
    <w:rsid w:val="00E36294"/>
    <w:rsid w:val="00E3712F"/>
    <w:rsid w:val="00E429AF"/>
    <w:rsid w:val="00E42F15"/>
    <w:rsid w:val="00E4308F"/>
    <w:rsid w:val="00E47E0C"/>
    <w:rsid w:val="00E51592"/>
    <w:rsid w:val="00E51813"/>
    <w:rsid w:val="00E53D3F"/>
    <w:rsid w:val="00E55049"/>
    <w:rsid w:val="00E5579B"/>
    <w:rsid w:val="00E6129C"/>
    <w:rsid w:val="00E77CF1"/>
    <w:rsid w:val="00E803FB"/>
    <w:rsid w:val="00E8172F"/>
    <w:rsid w:val="00E86080"/>
    <w:rsid w:val="00E8683E"/>
    <w:rsid w:val="00E87B3F"/>
    <w:rsid w:val="00E91110"/>
    <w:rsid w:val="00E94300"/>
    <w:rsid w:val="00E97FD2"/>
    <w:rsid w:val="00EA133F"/>
    <w:rsid w:val="00EA5817"/>
    <w:rsid w:val="00EA6D78"/>
    <w:rsid w:val="00EB44E5"/>
    <w:rsid w:val="00EB478F"/>
    <w:rsid w:val="00EB56AE"/>
    <w:rsid w:val="00EC4AEC"/>
    <w:rsid w:val="00EC58F2"/>
    <w:rsid w:val="00ED0E46"/>
    <w:rsid w:val="00EE3C4E"/>
    <w:rsid w:val="00EE46C3"/>
    <w:rsid w:val="00EF6480"/>
    <w:rsid w:val="00EF653B"/>
    <w:rsid w:val="00EF74D1"/>
    <w:rsid w:val="00F02AEC"/>
    <w:rsid w:val="00F02FE7"/>
    <w:rsid w:val="00F03987"/>
    <w:rsid w:val="00F03EE6"/>
    <w:rsid w:val="00F115AC"/>
    <w:rsid w:val="00F14885"/>
    <w:rsid w:val="00F157FC"/>
    <w:rsid w:val="00F16282"/>
    <w:rsid w:val="00F22E3F"/>
    <w:rsid w:val="00F23AD3"/>
    <w:rsid w:val="00F273D5"/>
    <w:rsid w:val="00F3023F"/>
    <w:rsid w:val="00F302D9"/>
    <w:rsid w:val="00F304FB"/>
    <w:rsid w:val="00F30AF3"/>
    <w:rsid w:val="00F31517"/>
    <w:rsid w:val="00F31CE2"/>
    <w:rsid w:val="00F324AE"/>
    <w:rsid w:val="00F33EAF"/>
    <w:rsid w:val="00F435A6"/>
    <w:rsid w:val="00F44A98"/>
    <w:rsid w:val="00F45372"/>
    <w:rsid w:val="00F50C2B"/>
    <w:rsid w:val="00F5301B"/>
    <w:rsid w:val="00F55A7C"/>
    <w:rsid w:val="00F6008D"/>
    <w:rsid w:val="00F632C9"/>
    <w:rsid w:val="00F657B4"/>
    <w:rsid w:val="00F66A56"/>
    <w:rsid w:val="00F6779F"/>
    <w:rsid w:val="00F70C03"/>
    <w:rsid w:val="00F71A04"/>
    <w:rsid w:val="00F71B4D"/>
    <w:rsid w:val="00F72054"/>
    <w:rsid w:val="00F72C55"/>
    <w:rsid w:val="00F80007"/>
    <w:rsid w:val="00F825AF"/>
    <w:rsid w:val="00F82615"/>
    <w:rsid w:val="00F8316F"/>
    <w:rsid w:val="00F851FD"/>
    <w:rsid w:val="00F865A7"/>
    <w:rsid w:val="00F93712"/>
    <w:rsid w:val="00F969D1"/>
    <w:rsid w:val="00FA0754"/>
    <w:rsid w:val="00FA1BC9"/>
    <w:rsid w:val="00FA302A"/>
    <w:rsid w:val="00FA49C3"/>
    <w:rsid w:val="00FA7052"/>
    <w:rsid w:val="00FB12EB"/>
    <w:rsid w:val="00FB236E"/>
    <w:rsid w:val="00FB2511"/>
    <w:rsid w:val="00FB58CB"/>
    <w:rsid w:val="00FC0071"/>
    <w:rsid w:val="00FC1A36"/>
    <w:rsid w:val="00FC2BEE"/>
    <w:rsid w:val="00FC3EE0"/>
    <w:rsid w:val="00FC5E6F"/>
    <w:rsid w:val="00FC6F56"/>
    <w:rsid w:val="00FC7E13"/>
    <w:rsid w:val="00FD0338"/>
    <w:rsid w:val="00FE087C"/>
    <w:rsid w:val="00FE3B1B"/>
    <w:rsid w:val="00FE427D"/>
    <w:rsid w:val="00FE534A"/>
    <w:rsid w:val="00FE5F13"/>
    <w:rsid w:val="00FF5D53"/>
    <w:rsid w:val="00FF7BE5"/>
    <w:rsid w:val="184453E6"/>
    <w:rsid w:val="25FF37EC"/>
    <w:rsid w:val="2B25C070"/>
    <w:rsid w:val="36CFEBE4"/>
    <w:rsid w:val="55D21D00"/>
    <w:rsid w:val="60346E48"/>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4C024"/>
  <w15:chartTrackingRefBased/>
  <w15:docId w15:val="{E42BF803-3623-4464-9B4D-A8232CE0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636DF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B92A6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uiPriority w:val="9"/>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SemiLight" w:hAnsi="Bahnschrift SemiLight"/>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C473D6"/>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Bulletlist">
    <w:name w:val="Bullet list"/>
    <w:basedOn w:val="Normal"/>
    <w:link w:val="BulletlistChar"/>
    <w:qFormat/>
    <w:rsid w:val="002E6486"/>
    <w:pPr>
      <w:numPr>
        <w:numId w:val="8"/>
      </w:numPr>
      <w:spacing w:after="180" w:line="252" w:lineRule="auto"/>
      <w:ind w:left="426" w:hanging="284"/>
    </w:pPr>
    <w:rPr>
      <w:rFonts w:eastAsia="Times New Roman" w:cs="Times New Roman"/>
      <w:snapToGrid w:val="0"/>
      <w:kern w:val="2"/>
      <w:sz w:val="23"/>
      <w:szCs w:val="22"/>
    </w:rPr>
  </w:style>
  <w:style w:type="character" w:customStyle="1" w:styleId="BulletlistChar">
    <w:name w:val="Bullet list Char"/>
    <w:basedOn w:val="DefaultParagraphFont"/>
    <w:link w:val="Bulletlist"/>
    <w:rsid w:val="002E6486"/>
    <w:rPr>
      <w:rFonts w:ascii="Cambria" w:eastAsia="Times New Roman" w:hAnsi="Cambria" w:cs="Times New Roman"/>
      <w:snapToGrid w:val="0"/>
      <w:kern w:val="2"/>
      <w:sz w:val="23"/>
      <w:szCs w:val="22"/>
    </w:rPr>
  </w:style>
  <w:style w:type="paragraph" w:styleId="BodyText">
    <w:name w:val="Body Text"/>
    <w:basedOn w:val="Normal"/>
    <w:link w:val="BodyTextChar"/>
    <w:rsid w:val="00633576"/>
    <w:pPr>
      <w:spacing w:line="240" w:lineRule="auto"/>
      <w:jc w:val="both"/>
    </w:pPr>
    <w:rPr>
      <w:rFonts w:ascii="Times New Roman" w:eastAsia="Times New Roman" w:hAnsi="Times New Roman" w:cs="Times New Roman"/>
      <w:lang w:val="en-CA" w:eastAsia="en-CA"/>
    </w:rPr>
  </w:style>
  <w:style w:type="character" w:customStyle="1" w:styleId="BodyTextChar">
    <w:name w:val="Body Text Char"/>
    <w:basedOn w:val="DefaultParagraphFont"/>
    <w:link w:val="BodyText"/>
    <w:rsid w:val="00633576"/>
    <w:rPr>
      <w:rFonts w:ascii="Times New Roman" w:eastAsia="Times New Roman" w:hAnsi="Times New Roman" w:cs="Times New Roman"/>
      <w:sz w:val="22"/>
      <w:lang w:val="en-CA" w:eastAsia="en-CA"/>
    </w:rPr>
  </w:style>
  <w:style w:type="character" w:customStyle="1" w:styleId="fontstyle01">
    <w:name w:val="fontstyle01"/>
    <w:basedOn w:val="DefaultParagraphFont"/>
    <w:rsid w:val="00633576"/>
    <w:rPr>
      <w:rFonts w:ascii="TimesNewRomanPSMT" w:hAnsi="TimesNewRomanPSMT" w:hint="default"/>
      <w:b w:val="0"/>
      <w:bCs w:val="0"/>
      <w:i w:val="0"/>
      <w:iCs w:val="0"/>
      <w:color w:val="000000"/>
      <w:sz w:val="24"/>
      <w:szCs w:val="24"/>
    </w:rPr>
  </w:style>
  <w:style w:type="paragraph" w:customStyle="1" w:styleId="Default">
    <w:name w:val="Default"/>
    <w:rsid w:val="00184DA4"/>
    <w:pPr>
      <w:autoSpaceDE w:val="0"/>
      <w:autoSpaceDN w:val="0"/>
      <w:adjustRightInd w:val="0"/>
      <w:spacing w:after="0" w:line="240" w:lineRule="auto"/>
    </w:pPr>
    <w:rPr>
      <w:rFonts w:ascii="Cambria" w:hAnsi="Cambria" w:cs="Cambria"/>
      <w:color w:val="000000"/>
      <w:sz w:val="24"/>
      <w:szCs w:val="24"/>
    </w:rPr>
  </w:style>
  <w:style w:type="paragraph" w:customStyle="1" w:styleId="Bulletpoint">
    <w:name w:val="Bullet point"/>
    <w:basedOn w:val="Normal"/>
    <w:rsid w:val="0045648F"/>
    <w:pPr>
      <w:numPr>
        <w:numId w:val="9"/>
      </w:numPr>
      <w:tabs>
        <w:tab w:val="left" w:pos="397"/>
      </w:tabs>
      <w:spacing w:after="180" w:line="252" w:lineRule="auto"/>
    </w:pPr>
    <w:rPr>
      <w:rFonts w:eastAsia="Times New Roman" w:cs="Times New Roman"/>
      <w:snapToGrid w:val="0"/>
      <w:kern w:val="16"/>
      <w:szCs w:val="24"/>
    </w:rPr>
  </w:style>
  <w:style w:type="paragraph" w:styleId="ListParagraph">
    <w:name w:val="List Paragraph"/>
    <w:basedOn w:val="Normal"/>
    <w:link w:val="ListParagraphChar"/>
    <w:uiPriority w:val="34"/>
    <w:qFormat/>
    <w:rsid w:val="000F666A"/>
    <w:pPr>
      <w:adjustRightInd w:val="0"/>
      <w:snapToGrid w:val="0"/>
      <w:spacing w:before="180" w:after="180" w:line="240" w:lineRule="atLeast"/>
      <w:ind w:left="720"/>
      <w:contextualSpacing/>
    </w:pPr>
    <w:rPr>
      <w:rFonts w:eastAsia="MS Mincho" w:cs="Times New Roman"/>
      <w:lang w:eastAsia="ja-JP"/>
    </w:rPr>
  </w:style>
  <w:style w:type="character" w:customStyle="1" w:styleId="ListParagraphChar">
    <w:name w:val="List Paragraph Char"/>
    <w:basedOn w:val="DefaultParagraphFont"/>
    <w:link w:val="ListParagraph"/>
    <w:uiPriority w:val="34"/>
    <w:rsid w:val="000F666A"/>
    <w:rPr>
      <w:rFonts w:ascii="Cambria" w:eastAsia="MS Mincho" w:hAnsi="Cambria" w:cs="Times New Roman"/>
      <w:sz w:val="22"/>
      <w:lang w:eastAsia="ja-JP"/>
    </w:rPr>
  </w:style>
  <w:style w:type="character" w:customStyle="1" w:styleId="Heading7Char">
    <w:name w:val="Heading 7 Char"/>
    <w:basedOn w:val="DefaultParagraphFont"/>
    <w:link w:val="Heading7"/>
    <w:uiPriority w:val="9"/>
    <w:rsid w:val="00636DFF"/>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B92A61"/>
    <w:rPr>
      <w:rFonts w:asciiTheme="majorHAnsi" w:eastAsiaTheme="majorEastAsia" w:hAnsiTheme="majorHAnsi" w:cstheme="majorBidi"/>
      <w:color w:val="272727" w:themeColor="text1" w:themeTint="D8"/>
      <w:sz w:val="21"/>
      <w:szCs w:val="21"/>
    </w:rPr>
  </w:style>
  <w:style w:type="paragraph" w:customStyle="1" w:styleId="Tabletext0">
    <w:name w:val="Table text"/>
    <w:basedOn w:val="Normal"/>
    <w:link w:val="TabletextChar"/>
    <w:qFormat/>
    <w:rsid w:val="0037492C"/>
    <w:pPr>
      <w:spacing w:before="120" w:line="240" w:lineRule="atLeast"/>
    </w:pPr>
    <w:rPr>
      <w:rFonts w:eastAsia="Cambria" w:cs="Times New Roman"/>
      <w:sz w:val="19"/>
      <w:szCs w:val="22"/>
    </w:rPr>
  </w:style>
  <w:style w:type="character" w:customStyle="1" w:styleId="TabletextChar">
    <w:name w:val="Table text Char"/>
    <w:basedOn w:val="DefaultParagraphFont"/>
    <w:link w:val="Tabletext0"/>
    <w:rsid w:val="0037492C"/>
    <w:rPr>
      <w:rFonts w:ascii="Cambria" w:eastAsia="Cambria" w:hAnsi="Cambria" w:cs="Times New Roman"/>
      <w:sz w:val="19"/>
      <w:szCs w:val="22"/>
    </w:rPr>
  </w:style>
  <w:style w:type="character" w:styleId="Mention">
    <w:name w:val="Mention"/>
    <w:basedOn w:val="DefaultParagraphFont"/>
    <w:uiPriority w:val="99"/>
    <w:unhideWhenUsed/>
    <w:rsid w:val="0062521A"/>
    <w:rPr>
      <w:color w:val="2B579A"/>
      <w:shd w:val="clear" w:color="auto" w:fill="E1DFDD"/>
    </w:rPr>
  </w:style>
  <w:style w:type="character" w:customStyle="1" w:styleId="cf01">
    <w:name w:val="cf01"/>
    <w:basedOn w:val="DefaultParagraphFont"/>
    <w:rsid w:val="0062521A"/>
    <w:rPr>
      <w:rFonts w:ascii="Segoe UI" w:hAnsi="Segoe UI" w:cs="Segoe UI" w:hint="default"/>
      <w:sz w:val="18"/>
      <w:szCs w:val="18"/>
    </w:rPr>
  </w:style>
  <w:style w:type="paragraph" w:customStyle="1" w:styleId="pf1">
    <w:name w:val="pf1"/>
    <w:basedOn w:val="Normal"/>
    <w:rsid w:val="00DC0FD8"/>
    <w:pPr>
      <w:spacing w:before="100" w:beforeAutospacing="1" w:after="100" w:afterAutospacing="1" w:line="240" w:lineRule="auto"/>
      <w:ind w:left="360"/>
    </w:pPr>
    <w:rPr>
      <w:rFonts w:ascii="Times New Roman" w:eastAsia="Times New Roman" w:hAnsi="Times New Roman" w:cs="Times New Roman"/>
      <w:sz w:val="24"/>
      <w:szCs w:val="24"/>
      <w:lang w:eastAsia="en-AU"/>
    </w:rPr>
  </w:style>
  <w:style w:type="paragraph" w:customStyle="1" w:styleId="pf2">
    <w:name w:val="pf2"/>
    <w:basedOn w:val="Normal"/>
    <w:rsid w:val="00DC0FD8"/>
    <w:pPr>
      <w:spacing w:before="100" w:beforeAutospacing="1" w:after="100" w:afterAutospacing="1" w:line="240" w:lineRule="auto"/>
      <w:ind w:left="720"/>
    </w:pPr>
    <w:rPr>
      <w:rFonts w:ascii="Times New Roman" w:eastAsia="Times New Roman" w:hAnsi="Times New Roman" w:cs="Times New Roman"/>
      <w:sz w:val="24"/>
      <w:szCs w:val="24"/>
      <w:lang w:eastAsia="en-AU"/>
    </w:rPr>
  </w:style>
  <w:style w:type="paragraph" w:customStyle="1" w:styleId="pf0">
    <w:name w:val="pf0"/>
    <w:basedOn w:val="Normal"/>
    <w:rsid w:val="00DC0FD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DC0FD8"/>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71474450">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2084718047">
      <w:bodyDiv w:val="1"/>
      <w:marLeft w:val="0"/>
      <w:marRight w:val="0"/>
      <w:marTop w:val="0"/>
      <w:marBottom w:val="0"/>
      <w:divBdr>
        <w:top w:val="none" w:sz="0" w:space="0" w:color="auto"/>
        <w:left w:val="none" w:sz="0" w:space="0" w:color="auto"/>
        <w:bottom w:val="none" w:sz="0" w:space="0" w:color="auto"/>
        <w:right w:val="none" w:sz="0" w:space="0" w:color="auto"/>
      </w:divBdr>
    </w:div>
    <w:div w:id="211408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how-we-regulate/monitoring-safety-and-shortages/report-adverse-event-or-incident/report-adverse-events-medicines-and-biologicals/black-triangle-scheme"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s://www.tga.gov.au/black-triangle-schem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tga.gov.au/committee/advisory-committee-medicines-ac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ga.gov.au/resources/resource/guidance/australian-public-assessment-report-auspar-guidance" TargetMode="External"/><Relationship Id="rId20" Type="http://schemas.openxmlformats.org/officeDocument/2006/relationships/hyperlink" Target="https://www.tga.gov.au/australian-public-assessment-report-auspar-guidance" TargetMode="External"/><Relationship Id="rId29" Type="http://schemas.openxmlformats.org/officeDocument/2006/relationships/image" Target="media/image12.emf"/><Relationship Id="rId41" Type="http://schemas.openxmlformats.org/officeDocument/2006/relationships/image" Target="media/image24.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3.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image" Target="media/image32.png"/><Relationship Id="rId57"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tga.gov.au/international-activities/australia-canada-singapore-switzerland-united-kingdom-access-consortium"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www.tga.gov.au/picmi-search-facility"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www.tga.gov.au/how-we-regulate/supply-therapeutic-good-0/supply-prescription-medicine/application-process/prescription-medicines-registration-process" TargetMode="External"/><Relationship Id="rId8" Type="http://schemas.openxmlformats.org/officeDocument/2006/relationships/webSettings" Target="webSettings.xml"/><Relationship Id="rId51" Type="http://schemas.openxmlformats.org/officeDocument/2006/relationships/hyperlink" Target="https://www.tga.gov.au/about-tga/advisory-bodies-and-committees/advisory-committee-medicines-acm"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BC68CE8531B74FBA8B3C3E9F781CB0" ma:contentTypeVersion="7" ma:contentTypeDescription="Create a new document." ma:contentTypeScope="" ma:versionID="9cdc1fd87bf3cb84abad3e6bdb7ce0b1">
  <xsd:schema xmlns:xsd="http://www.w3.org/2001/XMLSchema" xmlns:xs="http://www.w3.org/2001/XMLSchema" xmlns:p="http://schemas.microsoft.com/office/2006/metadata/properties" xmlns:ns2="10bda268-b5be-4629-8734-09314cbfd9d0" xmlns:ns3="f278d3d2-3e06-4fea-a17e-d6dc72656a20" targetNamespace="http://schemas.microsoft.com/office/2006/metadata/properties" ma:root="true" ma:fieldsID="4c2b433aa8d15af80ff16ded992a32c0" ns2:_="" ns3:_="">
    <xsd:import namespace="10bda268-b5be-4629-8734-09314cbfd9d0"/>
    <xsd:import namespace="f278d3d2-3e06-4fea-a17e-d6dc72656a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da268-b5be-4629-8734-09314cbfd9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78d3d2-3e06-4fea-a17e-d6dc72656a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0bda268-b5be-4629-8734-09314cbfd9d0">
      <UserInfo>
        <DisplayName>Kylee Alma</DisplayName>
        <AccountId>4684</AccountId>
        <AccountType/>
      </UserInfo>
      <UserInfo>
        <DisplayName>Bradley Hilton Curtis</DisplayName>
        <AccountId>5510</AccountId>
        <AccountType/>
      </UserInfo>
      <UserInfo>
        <DisplayName>Carly Anderson</DisplayName>
        <AccountId>1715</AccountId>
        <AccountType/>
      </UserInfo>
      <UserInfo>
        <DisplayName>Wei Wang</DisplayName>
        <AccountId>744</AccountId>
        <AccountType/>
      </UserInfo>
      <UserInfo>
        <DisplayName>David V Ceryak</DisplayName>
        <AccountId>2819</AccountId>
        <AccountType/>
      </UserInfo>
      <UserInfo>
        <DisplayName>Katie C. Singer</DisplayName>
        <AccountId>534</AccountId>
        <AccountType/>
      </UserInfo>
      <UserInfo>
        <DisplayName>Maegan Michele Hollingsworth</DisplayName>
        <AccountId>149</AccountId>
        <AccountType/>
      </UserInfo>
      <UserInfo>
        <DisplayName>Laura Fernandez</DisplayName>
        <AccountId>2909</AccountId>
        <AccountType/>
      </UserInfo>
      <UserInfo>
        <DisplayName>Syed Wasi Hassan</DisplayName>
        <AccountId>2811</AccountId>
        <AccountType/>
      </UserInfo>
      <UserInfo>
        <DisplayName>Shweta Urva</DisplayName>
        <AccountId>2233</AccountId>
        <AccountType/>
      </UserInfo>
      <UserInfo>
        <DisplayName>Hirenkumar Patel</DisplayName>
        <AccountId>2830</AccountId>
        <AccountType/>
      </UserInfo>
      <UserInfo>
        <DisplayName>Lukasz Biernat</DisplayName>
        <AccountId>49</AccountId>
        <AccountType/>
      </UserInfo>
      <UserInfo>
        <DisplayName>Trina Louise Backstrom</DisplayName>
        <AccountId>5529</AccountId>
        <AccountType/>
      </UserInfo>
    </SharedWithUsers>
  </documentManagement>
</p:properties>
</file>

<file path=customXml/itemProps1.xml><?xml version="1.0" encoding="utf-8"?>
<ds:datastoreItem xmlns:ds="http://schemas.openxmlformats.org/officeDocument/2006/customXml" ds:itemID="{2B6ABA32-8842-41E9-A7DD-0FD1777C1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da268-b5be-4629-8734-09314cbfd9d0"/>
    <ds:schemaRef ds:uri="f278d3d2-3e06-4fea-a17e-d6dc72656a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24A8C0-5889-4701-BEB8-49381D32F7B3}">
  <ds:schemaRefs>
    <ds:schemaRef ds:uri="http://schemas.openxmlformats.org/officeDocument/2006/bibliography"/>
  </ds:schemaRefs>
</ds:datastoreItem>
</file>

<file path=customXml/itemProps3.xml><?xml version="1.0" encoding="utf-8"?>
<ds:datastoreItem xmlns:ds="http://schemas.openxmlformats.org/officeDocument/2006/customXml" ds:itemID="{10BBF8A5-A0DC-4EF8-ACBC-9695E574EF94}">
  <ds:schemaRefs>
    <ds:schemaRef ds:uri="http://schemas.microsoft.com/sharepoint/v3/contenttype/forms"/>
  </ds:schemaRefs>
</ds:datastoreItem>
</file>

<file path=customXml/itemProps4.xml><?xml version="1.0" encoding="utf-8"?>
<ds:datastoreItem xmlns:ds="http://schemas.openxmlformats.org/officeDocument/2006/customXml" ds:itemID="{AA68A167-586B-4685-981E-5ECC3BCC7AED}">
  <ds:schemaRefs>
    <ds:schemaRef ds:uri="http://schemas.microsoft.com/office/2006/metadata/properties"/>
    <ds:schemaRef ds:uri="http://schemas.microsoft.com/office/infopath/2007/PartnerControls"/>
    <ds:schemaRef ds:uri="10bda268-b5be-4629-8734-09314cbfd9d0"/>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54</Pages>
  <Words>16140</Words>
  <Characters>98100</Characters>
  <Application>Microsoft Office Word</Application>
  <DocSecurity>0</DocSecurity>
  <Lines>817</Lines>
  <Paragraphs>228</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114012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Mounjaro</dc:title>
  <dc:subject>Prescription medicines</dc:subject>
  <dc:creator>Therapeutic Goods Administration</dc:creator>
  <cp:keywords/>
  <dc:description/>
  <cp:lastModifiedBy>LACK, Janet</cp:lastModifiedBy>
  <cp:revision>3</cp:revision>
  <dcterms:created xsi:type="dcterms:W3CDTF">2023-11-15T03:04:00Z</dcterms:created>
  <dcterms:modified xsi:type="dcterms:W3CDTF">2023-11-15T03:28:00Z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0x010100A5BC68CE8531B74FBA8B3C3E9F781CB0</vt:lpwstr>
  </property>
</Properties>
</file>