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3D0E682" w14:textId="2225D21C" w:rsidR="00661390" w:rsidRPr="005F7046" w:rsidRDefault="000A7393" w:rsidP="000E37DF">
      <w:pPr>
        <w:rPr>
          <w:rStyle w:val="Hyperlink"/>
          <w:lang w:val="en-AU"/>
        </w:rPr>
      </w:pPr>
      <w:r w:rsidRPr="005F7046">
        <w:rPr>
          <w:noProof/>
          <w:lang w:val="en-AU"/>
        </w:rPr>
        <mc:AlternateContent>
          <mc:Choice Requires="wps">
            <w:drawing>
              <wp:inline distT="0" distB="0" distL="0" distR="0" wp14:anchorId="3178E4FC" wp14:editId="05F56028">
                <wp:extent cx="361950" cy="51879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518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0D8CF1" w14:textId="77777777" w:rsidR="00492F26" w:rsidRPr="00BC565F" w:rsidRDefault="00492F26" w:rsidP="00661390">
                            <w:pPr>
                              <w:rPr>
                                <w:rFonts w:ascii="Wingdings 3" w:hAnsi="Wingdings 3" w:hint="eastAsia"/>
                                <w:sz w:val="58"/>
                                <w:szCs w:val="58"/>
                              </w:rPr>
                            </w:pPr>
                            <w:r w:rsidRPr="00BC565F">
                              <w:rPr>
                                <w:rFonts w:ascii="SimSun" w:eastAsia="SimSun" w:hAnsi="SimSun" w:cs="Arial" w:hint="eastAsia"/>
                                <w:sz w:val="58"/>
                                <w:szCs w:val="58"/>
                              </w:rPr>
                              <w:t>▼</w:t>
                            </w:r>
                          </w:p>
                        </w:txbxContent>
                      </wps:txbx>
                      <wps:bodyPr rot="0" vert="horz" wrap="square" lIns="0" tIns="0" rIns="0" bIns="0" anchor="t" anchorCtr="0" upright="1">
                        <a:noAutofit/>
                      </wps:bodyPr>
                    </wps:wsp>
                  </a:graphicData>
                </a:graphic>
              </wp:inline>
            </w:drawing>
          </mc:Choice>
          <mc:Fallback>
            <w:pict>
              <v:shapetype w14:anchorId="3178E4FC" id="_x0000_t202" coordsize="21600,21600" o:spt="202" path="m,l,21600r21600,l21600,xe">
                <v:stroke joinstyle="miter"/>
                <v:path gradientshapeok="t" o:connecttype="rect"/>
              </v:shapetype>
              <v:shape id="Text Box 1" o:spid="_x0000_s1026" type="#_x0000_t202" style="width:28.5pt;height:4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" stroked="f">
                <v:textbox inset="0,0,0,0">
                  <w:txbxContent>
                    <w:p w14:paraId="010D8CF1" w14:textId="77777777" w:rsidR="00492F26" w:rsidRPr="00BC565F" w:rsidRDefault="00492F26" w:rsidP="00661390">
                      <w:pPr>
                        <w:rPr>
                          <w:rFonts w:ascii="Wingdings 3" w:hAnsi="Wingdings 3" w:hint="eastAsia"/>
                          <w:sz w:val="58"/>
                          <w:szCs w:val="58"/>
                        </w:rPr>
                      </w:pPr>
                      <w:r w:rsidRPr="00BC565F">
                        <w:rPr>
                          <w:rFonts w:ascii="SimSun" w:eastAsia="SimSun" w:hAnsi="SimSun" w:cs="Arial" w:hint="eastAsia"/>
                          <w:sz w:val="58"/>
                          <w:szCs w:val="58"/>
                        </w:rPr>
                        <w:t>▼</w:t>
                      </w:r>
                    </w:p>
                  </w:txbxContent>
                </v:textbox>
                <w10:anchorlock/>
              </v:shape>
            </w:pict>
          </mc:Fallback>
        </mc:AlternateContent>
      </w:r>
      <w:r w:rsidR="00661390" w:rsidRPr="005F7046">
        <w:rPr>
          <w:lang w:val="en-AU"/>
        </w:rPr>
        <w:t xml:space="preserve">This medicinal product is subject to additional monitoring in Australia. This will allow quick identification of new safety information. Healthcare professionals are asked to report any suspected adverse events at </w:t>
      </w:r>
      <w:hyperlink r:id="rId11" w:history="1">
        <w:r w:rsidR="00661390" w:rsidRPr="005F7046">
          <w:rPr>
            <w:rStyle w:val="Hyperlink"/>
            <w:lang w:val="en-AU"/>
          </w:rPr>
          <w:t>https://www.tga.gov.au/reporting-problems</w:t>
        </w:r>
      </w:hyperlink>
    </w:p>
    <w:p w14:paraId="30280AA1" w14:textId="66693168" w:rsidR="00FD1F94" w:rsidRPr="005F7046" w:rsidRDefault="00FD1F94" w:rsidP="0009713A">
      <w:pPr>
        <w:pStyle w:val="Heading1"/>
        <w:pageBreakBefore w:val="0"/>
        <w:numPr>
          <w:ilvl w:val="0"/>
          <w:numId w:val="0"/>
        </w:numPr>
        <w:jc w:val="center"/>
        <w:rPr>
          <w:lang w:val="en-AU"/>
        </w:rPr>
      </w:pPr>
      <w:bookmarkStart w:id="0" w:name="_Ref511916954"/>
      <w:r w:rsidRPr="005F7046">
        <w:rPr>
          <w:lang w:val="en-AU"/>
        </w:rPr>
        <w:t xml:space="preserve">AUSTRALIAN </w:t>
      </w:r>
      <w:r w:rsidR="00BC565F" w:rsidRPr="005F7046">
        <w:rPr>
          <w:caps w:val="0"/>
          <w:lang w:val="en-AU"/>
        </w:rPr>
        <w:t>PRODUCT INFORMATION</w:t>
      </w:r>
      <w:r w:rsidRPr="005F7046">
        <w:rPr>
          <w:lang w:val="en-AU"/>
        </w:rPr>
        <w:t xml:space="preserve"> </w:t>
      </w:r>
      <w:r w:rsidR="007120F8" w:rsidRPr="005F7046">
        <w:rPr>
          <w:lang w:val="en-AU"/>
        </w:rPr>
        <w:t xml:space="preserve">– </w:t>
      </w:r>
      <w:bookmarkEnd w:id="0"/>
      <w:r w:rsidR="00225FBC" w:rsidRPr="005F7046">
        <w:rPr>
          <w:lang w:val="en-AU"/>
        </w:rPr>
        <w:t>Letybo</w:t>
      </w:r>
      <w:r w:rsidR="00E34C09" w:rsidRPr="005F7046">
        <w:rPr>
          <w:vertAlign w:val="superscript"/>
          <w:lang w:val="en-AU"/>
        </w:rPr>
        <w:t>®</w:t>
      </w:r>
    </w:p>
    <w:p w14:paraId="1FCF2935" w14:textId="28422EED" w:rsidR="00E34C09" w:rsidRPr="005F7046" w:rsidRDefault="00E34C09" w:rsidP="0009713A">
      <w:pPr>
        <w:jc w:val="center"/>
        <w:rPr>
          <w:szCs w:val="28"/>
          <w:lang w:val="en-AU"/>
        </w:rPr>
      </w:pPr>
      <w:r w:rsidRPr="005F7046">
        <w:rPr>
          <w:sz w:val="28"/>
          <w:szCs w:val="28"/>
          <w:lang w:val="en-AU"/>
        </w:rPr>
        <w:t>(</w:t>
      </w:r>
      <w:r w:rsidRPr="005F7046">
        <w:rPr>
          <w:b/>
          <w:bCs/>
          <w:sz w:val="28"/>
          <w:szCs w:val="28"/>
          <w:lang w:val="en-AU"/>
        </w:rPr>
        <w:t>letibotulinumtoxinA</w:t>
      </w:r>
      <w:r w:rsidRPr="005F7046">
        <w:rPr>
          <w:sz w:val="28"/>
          <w:szCs w:val="28"/>
          <w:lang w:val="en-AU"/>
        </w:rPr>
        <w:t xml:space="preserve">) </w:t>
      </w:r>
      <w:r w:rsidRPr="004F523F">
        <w:rPr>
          <w:b/>
          <w:bCs/>
          <w:sz w:val="28"/>
          <w:szCs w:val="28"/>
          <w:lang w:val="en-AU"/>
        </w:rPr>
        <w:t>powder for injection</w:t>
      </w:r>
    </w:p>
    <w:p w14:paraId="1F08C7E3" w14:textId="7C55D584" w:rsidR="00FD1F94" w:rsidRPr="005F7046" w:rsidRDefault="00FD1F94" w:rsidP="0009713A">
      <w:pPr>
        <w:pStyle w:val="Heading1"/>
        <w:pageBreakBefore w:val="0"/>
        <w:ind w:left="677" w:hanging="677"/>
        <w:rPr>
          <w:lang w:val="en-AU"/>
        </w:rPr>
      </w:pPr>
      <w:r w:rsidRPr="005F7046">
        <w:rPr>
          <w:lang w:val="en-AU"/>
        </w:rPr>
        <w:t>NAME OF THE MEDICINE</w:t>
      </w:r>
    </w:p>
    <w:p w14:paraId="03ED14A1" w14:textId="695AC5DF" w:rsidR="006E3E0D" w:rsidRPr="005F7046" w:rsidRDefault="00E34C09" w:rsidP="006E3E0D">
      <w:pPr>
        <w:rPr>
          <w:lang w:val="en-AU"/>
        </w:rPr>
      </w:pPr>
      <w:bookmarkStart w:id="1" w:name="_Hlk70000718"/>
      <w:r w:rsidRPr="005F7046">
        <w:rPr>
          <w:color w:val="auto"/>
          <w:szCs w:val="22"/>
          <w:lang w:val="en-AU"/>
        </w:rPr>
        <w:t>L</w:t>
      </w:r>
      <w:r w:rsidR="006E3E0D" w:rsidRPr="005F7046">
        <w:rPr>
          <w:color w:val="auto"/>
          <w:szCs w:val="22"/>
          <w:lang w:val="en-AU"/>
        </w:rPr>
        <w:t>etibotulinumtoxinA</w:t>
      </w:r>
      <w:bookmarkEnd w:id="1"/>
    </w:p>
    <w:p w14:paraId="459ACCA9" w14:textId="4CE41803" w:rsidR="00FD1F94" w:rsidRPr="005F7046" w:rsidRDefault="00FD1F94" w:rsidP="00B97A3A">
      <w:pPr>
        <w:pStyle w:val="Heading1"/>
        <w:pageBreakBefore w:val="0"/>
        <w:rPr>
          <w:lang w:val="en-AU"/>
        </w:rPr>
      </w:pPr>
      <w:bookmarkStart w:id="2" w:name="_Ref511901938"/>
      <w:r w:rsidRPr="005F7046">
        <w:rPr>
          <w:lang w:val="en-AU"/>
        </w:rPr>
        <w:t>QUALITATIVE AND QUANTITATIVE COMPOSITION</w:t>
      </w:r>
      <w:bookmarkEnd w:id="2"/>
    </w:p>
    <w:p w14:paraId="56771652" w14:textId="5CAAD79A" w:rsidR="00225FBC" w:rsidRDefault="00225FBC" w:rsidP="00225FBC">
      <w:pPr>
        <w:rPr>
          <w:bCs/>
          <w:szCs w:val="22"/>
          <w:lang w:val="en-AU"/>
        </w:rPr>
      </w:pPr>
      <w:r w:rsidRPr="005F7046">
        <w:rPr>
          <w:szCs w:val="22"/>
          <w:lang w:val="en-AU"/>
        </w:rPr>
        <w:t>Each vial of L</w:t>
      </w:r>
      <w:r w:rsidR="00B369BA" w:rsidRPr="005F7046">
        <w:rPr>
          <w:szCs w:val="22"/>
          <w:lang w:val="en-AU"/>
        </w:rPr>
        <w:t>ETYBO</w:t>
      </w:r>
      <w:r w:rsidRPr="005F7046">
        <w:rPr>
          <w:szCs w:val="22"/>
          <w:lang w:val="en-AU"/>
        </w:rPr>
        <w:t xml:space="preserve"> </w:t>
      </w:r>
      <w:r w:rsidR="00E34C09" w:rsidRPr="005F7046">
        <w:rPr>
          <w:szCs w:val="22"/>
          <w:lang w:val="en-AU"/>
        </w:rPr>
        <w:t xml:space="preserve">powder for injection </w:t>
      </w:r>
      <w:r w:rsidRPr="005F7046">
        <w:rPr>
          <w:szCs w:val="22"/>
          <w:lang w:val="en-AU"/>
        </w:rPr>
        <w:t xml:space="preserve">contains 50 or 100 units (U) of </w:t>
      </w:r>
      <w:bookmarkStart w:id="3" w:name="_Hlk69910048"/>
      <w:r w:rsidRPr="005F7046">
        <w:rPr>
          <w:szCs w:val="22"/>
          <w:lang w:val="en-AU"/>
        </w:rPr>
        <w:t>letibotulinumtoxinA</w:t>
      </w:r>
      <w:bookmarkEnd w:id="3"/>
      <w:r w:rsidR="00301BA5" w:rsidRPr="005F7046">
        <w:rPr>
          <w:szCs w:val="22"/>
          <w:lang w:val="en-AU"/>
        </w:rPr>
        <w:t xml:space="preserve">, </w:t>
      </w:r>
      <w:r w:rsidR="00301BA5" w:rsidRPr="005F7046">
        <w:rPr>
          <w:bCs/>
          <w:szCs w:val="22"/>
          <w:lang w:val="en-AU"/>
        </w:rPr>
        <w:t>albumin (0.25 or 0.5 mg) and sodium chloride (0.45 or 0.</w:t>
      </w:r>
      <w:r w:rsidR="00885290" w:rsidRPr="005F7046">
        <w:rPr>
          <w:bCs/>
          <w:szCs w:val="22"/>
          <w:lang w:val="en-AU"/>
        </w:rPr>
        <w:t>9 </w:t>
      </w:r>
      <w:r w:rsidR="00301BA5" w:rsidRPr="005F7046">
        <w:rPr>
          <w:bCs/>
          <w:szCs w:val="22"/>
          <w:lang w:val="en-AU"/>
        </w:rPr>
        <w:t>mg) in a sterile, freeze-dried form without a preservative.</w:t>
      </w:r>
    </w:p>
    <w:p w14:paraId="206FFEE5" w14:textId="211E129A" w:rsidR="0019275E" w:rsidRPr="005F7046" w:rsidRDefault="0086535A" w:rsidP="0019275E">
      <w:pPr>
        <w:rPr>
          <w:lang w:val="en-AU"/>
        </w:rPr>
      </w:pPr>
      <w:r>
        <w:rPr>
          <w:bCs/>
          <w:szCs w:val="22"/>
          <w:lang w:val="en-AU"/>
        </w:rPr>
        <w:t xml:space="preserve">LetibotulinumtoxinA </w:t>
      </w:r>
      <w:r w:rsidR="00E84172">
        <w:rPr>
          <w:bCs/>
          <w:szCs w:val="22"/>
          <w:lang w:val="en-AU"/>
        </w:rPr>
        <w:t xml:space="preserve">is a </w:t>
      </w:r>
      <w:r w:rsidR="00E84172" w:rsidRPr="004050E8">
        <w:t xml:space="preserve">900 </w:t>
      </w:r>
      <w:proofErr w:type="spellStart"/>
      <w:r w:rsidR="00E84172" w:rsidRPr="004050E8">
        <w:t>kD</w:t>
      </w:r>
      <w:proofErr w:type="spellEnd"/>
      <w:r w:rsidR="00E84172" w:rsidRPr="004050E8">
        <w:t xml:space="preserve"> molecular weight complex consisting of the </w:t>
      </w:r>
      <w:r w:rsidR="00E84172" w:rsidRPr="005F7046">
        <w:rPr>
          <w:rFonts w:eastAsia="SimSun"/>
          <w:i/>
          <w:iCs/>
          <w:sz w:val="23"/>
          <w:szCs w:val="23"/>
          <w:lang w:val="en-AU" w:eastAsia="en-AU"/>
        </w:rPr>
        <w:t xml:space="preserve">Clostridium botulinum </w:t>
      </w:r>
      <w:r w:rsidR="00E84172" w:rsidRPr="005F7046">
        <w:rPr>
          <w:rFonts w:eastAsia="SimSun"/>
          <w:sz w:val="23"/>
          <w:szCs w:val="23"/>
          <w:lang w:val="en-AU" w:eastAsia="en-AU"/>
        </w:rPr>
        <w:t>type</w:t>
      </w:r>
      <w:r w:rsidR="00E84172">
        <w:rPr>
          <w:rFonts w:eastAsia="SimSun"/>
          <w:sz w:val="23"/>
          <w:szCs w:val="23"/>
          <w:lang w:val="en-AU" w:eastAsia="en-AU"/>
        </w:rPr>
        <w:t> </w:t>
      </w:r>
      <w:r w:rsidR="00E84172" w:rsidRPr="005F7046">
        <w:rPr>
          <w:rFonts w:eastAsia="SimSun"/>
          <w:sz w:val="23"/>
          <w:szCs w:val="23"/>
          <w:lang w:val="en-AU" w:eastAsia="en-AU"/>
        </w:rPr>
        <w:t>A neurotoxin</w:t>
      </w:r>
      <w:r w:rsidR="00E84172" w:rsidRPr="004050E8">
        <w:t xml:space="preserve"> and several accessory</w:t>
      </w:r>
      <w:r w:rsidR="0019275E" w:rsidRPr="005F7046">
        <w:rPr>
          <w:rFonts w:eastAsia="SimSun"/>
          <w:sz w:val="23"/>
          <w:szCs w:val="23"/>
          <w:lang w:val="en-AU" w:eastAsia="en-AU"/>
        </w:rPr>
        <w:t xml:space="preserve"> proteins.</w:t>
      </w:r>
    </w:p>
    <w:p w14:paraId="6A06F462" w14:textId="26F3AD6C" w:rsidR="00A7374A" w:rsidRPr="005F7046" w:rsidRDefault="00A7374A" w:rsidP="00A7374A">
      <w:pPr>
        <w:rPr>
          <w:lang w:val="en-AU"/>
        </w:rPr>
      </w:pPr>
      <w:r w:rsidRPr="005F7046">
        <w:rPr>
          <w:lang w:val="en-AU"/>
        </w:rPr>
        <w:t xml:space="preserve">For the full list of excipients, see Section </w:t>
      </w:r>
      <w:r w:rsidR="007F6635" w:rsidRPr="005F7046">
        <w:rPr>
          <w:lang w:val="en-AU"/>
        </w:rPr>
        <w:fldChar w:fldCharType="begin"/>
      </w:r>
      <w:r w:rsidR="007F6635" w:rsidRPr="005F7046">
        <w:rPr>
          <w:lang w:val="en-AU"/>
        </w:rPr>
        <w:instrText xml:space="preserve"> REF _Ref45709874 \r \h  \* MERGEFORMAT </w:instrText>
      </w:r>
      <w:r w:rsidR="007F6635" w:rsidRPr="005F7046">
        <w:rPr>
          <w:lang w:val="en-AU"/>
        </w:rPr>
      </w:r>
      <w:r w:rsidR="007F6635" w:rsidRPr="005F7046">
        <w:rPr>
          <w:lang w:val="en-AU"/>
        </w:rPr>
        <w:fldChar w:fldCharType="separate"/>
      </w:r>
      <w:r w:rsidR="000700B0">
        <w:rPr>
          <w:lang w:val="en-AU"/>
        </w:rPr>
        <w:t>6.1</w:t>
      </w:r>
      <w:r w:rsidR="007F6635" w:rsidRPr="005F7046">
        <w:rPr>
          <w:lang w:val="en-AU"/>
        </w:rPr>
        <w:fldChar w:fldCharType="end"/>
      </w:r>
      <w:r w:rsidR="007F6635" w:rsidRPr="005F7046">
        <w:rPr>
          <w:lang w:val="en-AU"/>
        </w:rPr>
        <w:t xml:space="preserve"> </w:t>
      </w:r>
      <w:r w:rsidR="007F6635" w:rsidRPr="005F7046">
        <w:rPr>
          <w:lang w:val="en-AU"/>
        </w:rPr>
        <w:fldChar w:fldCharType="begin"/>
      </w:r>
      <w:r w:rsidR="007F6635" w:rsidRPr="005F7046">
        <w:rPr>
          <w:lang w:val="en-AU"/>
        </w:rPr>
        <w:instrText xml:space="preserve"> REF _Ref45709874 \h  \* MERGEFORMAT </w:instrText>
      </w:r>
      <w:r w:rsidR="007F6635" w:rsidRPr="005F7046">
        <w:rPr>
          <w:lang w:val="en-AU"/>
        </w:rPr>
      </w:r>
      <w:r w:rsidR="007F6635" w:rsidRPr="005F7046">
        <w:rPr>
          <w:lang w:val="en-AU"/>
        </w:rPr>
        <w:fldChar w:fldCharType="separate"/>
      </w:r>
      <w:r w:rsidR="000700B0" w:rsidRPr="005F7046">
        <w:rPr>
          <w:lang w:val="en-AU"/>
        </w:rPr>
        <w:t>LIST OF EXCIPIENTS</w:t>
      </w:r>
      <w:r w:rsidR="007F6635" w:rsidRPr="005F7046">
        <w:rPr>
          <w:lang w:val="en-AU"/>
        </w:rPr>
        <w:fldChar w:fldCharType="end"/>
      </w:r>
      <w:r w:rsidRPr="005F7046">
        <w:rPr>
          <w:lang w:val="en-AU"/>
        </w:rPr>
        <w:t>.</w:t>
      </w:r>
    </w:p>
    <w:p w14:paraId="723CAA67" w14:textId="77777777" w:rsidR="00FD1F94" w:rsidRPr="005F7046" w:rsidRDefault="00FD1F94" w:rsidP="00B97A3A">
      <w:pPr>
        <w:pStyle w:val="Heading1"/>
        <w:pageBreakBefore w:val="0"/>
        <w:rPr>
          <w:lang w:val="en-AU"/>
        </w:rPr>
      </w:pPr>
      <w:r w:rsidRPr="005F7046">
        <w:rPr>
          <w:lang w:val="en-AU"/>
        </w:rPr>
        <w:t>PHARMACEUTICAL FORM</w:t>
      </w:r>
    </w:p>
    <w:p w14:paraId="04748C7D" w14:textId="19BC67C1" w:rsidR="004F1996" w:rsidRPr="005F7046" w:rsidRDefault="00B369BA" w:rsidP="00093471">
      <w:pPr>
        <w:spacing w:before="120"/>
        <w:rPr>
          <w:lang w:val="en-AU"/>
        </w:rPr>
      </w:pPr>
      <w:bookmarkStart w:id="4" w:name="page2"/>
      <w:bookmarkEnd w:id="4"/>
      <w:r w:rsidRPr="005F7046">
        <w:rPr>
          <w:lang w:val="en-AU"/>
        </w:rPr>
        <w:t xml:space="preserve">LETYBO 50 U or 100 U is a white </w:t>
      </w:r>
      <w:r w:rsidR="00301BA5" w:rsidRPr="005F7046">
        <w:rPr>
          <w:lang w:val="en-AU"/>
        </w:rPr>
        <w:t>freeze-dried</w:t>
      </w:r>
      <w:r w:rsidRPr="005F7046">
        <w:rPr>
          <w:lang w:val="en-AU"/>
        </w:rPr>
        <w:t xml:space="preserve"> p</w:t>
      </w:r>
      <w:r w:rsidR="00225FBC" w:rsidRPr="005F7046">
        <w:rPr>
          <w:lang w:val="en-AU"/>
        </w:rPr>
        <w:t xml:space="preserve">owder </w:t>
      </w:r>
      <w:r w:rsidR="0019275E" w:rsidRPr="009D136D">
        <w:rPr>
          <w:lang w:val="en-AU"/>
        </w:rPr>
        <w:t>for injection</w:t>
      </w:r>
      <w:r w:rsidRPr="009D136D">
        <w:rPr>
          <w:lang w:val="en-AU"/>
        </w:rPr>
        <w:t xml:space="preserve"> in a clear glass vial</w:t>
      </w:r>
      <w:r w:rsidR="00225FBC" w:rsidRPr="005F7046">
        <w:rPr>
          <w:lang w:val="en-AU"/>
        </w:rPr>
        <w:t>.</w:t>
      </w:r>
    </w:p>
    <w:p w14:paraId="47CCBDB7" w14:textId="77777777" w:rsidR="00FD1F94" w:rsidRPr="005F7046" w:rsidRDefault="00FD1F94" w:rsidP="00B97A3A">
      <w:pPr>
        <w:pStyle w:val="Heading1"/>
        <w:pageBreakBefore w:val="0"/>
        <w:rPr>
          <w:lang w:val="en-AU"/>
        </w:rPr>
      </w:pPr>
      <w:r w:rsidRPr="005F7046">
        <w:rPr>
          <w:lang w:val="en-AU"/>
        </w:rPr>
        <w:t>CLINICAL PARTICULARS</w:t>
      </w:r>
    </w:p>
    <w:p w14:paraId="1496FA69" w14:textId="77777777" w:rsidR="00FD1F94" w:rsidRPr="005F7046" w:rsidRDefault="00FD1F94" w:rsidP="00124389">
      <w:pPr>
        <w:pStyle w:val="Heading2"/>
        <w:rPr>
          <w:lang w:val="en-AU"/>
        </w:rPr>
      </w:pPr>
      <w:r w:rsidRPr="005F7046">
        <w:rPr>
          <w:lang w:val="en-AU"/>
        </w:rPr>
        <w:t>THERAPEUTIC INDICATIONS</w:t>
      </w:r>
    </w:p>
    <w:p w14:paraId="0A76A74B" w14:textId="4C587A17" w:rsidR="00735384" w:rsidRPr="005F7046" w:rsidRDefault="00093471">
      <w:pPr>
        <w:spacing w:before="120"/>
        <w:rPr>
          <w:noProof/>
          <w:lang w:val="en-AU"/>
        </w:rPr>
      </w:pPr>
      <w:r w:rsidRPr="005F7046">
        <w:rPr>
          <w:noProof/>
          <w:lang w:val="en-AU"/>
        </w:rPr>
        <w:t>L</w:t>
      </w:r>
      <w:r w:rsidR="00301BA5" w:rsidRPr="005F7046">
        <w:rPr>
          <w:noProof/>
          <w:lang w:val="en-AU"/>
        </w:rPr>
        <w:t>ETYBO</w:t>
      </w:r>
      <w:r w:rsidR="00225FBC" w:rsidRPr="005F7046">
        <w:rPr>
          <w:noProof/>
          <w:lang w:val="en-AU"/>
        </w:rPr>
        <w:t xml:space="preserve"> is indicated </w:t>
      </w:r>
      <w:r w:rsidR="0019275E" w:rsidRPr="005F7046">
        <w:rPr>
          <w:noProof/>
          <w:lang w:val="en-AU"/>
        </w:rPr>
        <w:t>for</w:t>
      </w:r>
      <w:r w:rsidR="00EF22E0">
        <w:rPr>
          <w:noProof/>
          <w:lang w:val="en-AU"/>
        </w:rPr>
        <w:t xml:space="preserve"> the</w:t>
      </w:r>
      <w:r w:rsidR="0019275E" w:rsidRPr="005F7046">
        <w:rPr>
          <w:noProof/>
          <w:lang w:val="en-AU"/>
        </w:rPr>
        <w:t xml:space="preserve"> </w:t>
      </w:r>
      <w:r w:rsidR="00006663">
        <w:rPr>
          <w:noProof/>
          <w:lang w:val="en-AU"/>
        </w:rPr>
        <w:t xml:space="preserve">temporary improvement in the appearance of moderate to severe </w:t>
      </w:r>
      <w:r w:rsidR="0019275E" w:rsidRPr="005F7046">
        <w:rPr>
          <w:noProof/>
          <w:lang w:val="en-AU"/>
        </w:rPr>
        <w:t xml:space="preserve">glabellar </w:t>
      </w:r>
      <w:r w:rsidR="00301BA5" w:rsidRPr="005F7046">
        <w:rPr>
          <w:noProof/>
          <w:lang w:val="en-AU"/>
        </w:rPr>
        <w:t xml:space="preserve">frown </w:t>
      </w:r>
      <w:r w:rsidR="0019275E" w:rsidRPr="005F7046">
        <w:rPr>
          <w:noProof/>
          <w:lang w:val="en-AU"/>
        </w:rPr>
        <w:t>lines</w:t>
      </w:r>
      <w:r w:rsidR="002C3BAA">
        <w:rPr>
          <w:noProof/>
          <w:lang w:val="en-AU"/>
        </w:rPr>
        <w:t xml:space="preserve"> in adults</w:t>
      </w:r>
      <w:r w:rsidR="00225FBC" w:rsidRPr="005F7046">
        <w:rPr>
          <w:noProof/>
          <w:lang w:val="en-AU"/>
        </w:rPr>
        <w:t>.</w:t>
      </w:r>
    </w:p>
    <w:p w14:paraId="42171120" w14:textId="088B33C0" w:rsidR="00FD1F94" w:rsidRPr="005F7046" w:rsidRDefault="00FD1F94" w:rsidP="00124389">
      <w:pPr>
        <w:pStyle w:val="Heading2"/>
        <w:rPr>
          <w:lang w:val="en-AU"/>
        </w:rPr>
      </w:pPr>
      <w:bookmarkStart w:id="5" w:name="_Ref511901540"/>
      <w:r w:rsidRPr="005F7046">
        <w:rPr>
          <w:lang w:val="en-AU"/>
        </w:rPr>
        <w:t>DOSE AND METHOD OF ADMINISTRATION</w:t>
      </w:r>
      <w:bookmarkEnd w:id="5"/>
    </w:p>
    <w:p w14:paraId="25FF84AB" w14:textId="79508F35" w:rsidR="00225FBC" w:rsidRPr="005F7046" w:rsidRDefault="00093471" w:rsidP="0009713A">
      <w:pPr>
        <w:spacing w:after="120"/>
        <w:rPr>
          <w:lang w:val="en-AU" w:eastAsia="de-AT"/>
        </w:rPr>
      </w:pPr>
      <w:r w:rsidRPr="005F7046">
        <w:rPr>
          <w:lang w:val="en-AU" w:eastAsia="de-AT"/>
        </w:rPr>
        <w:t>L</w:t>
      </w:r>
      <w:r w:rsidR="00301BA5" w:rsidRPr="005F7046">
        <w:rPr>
          <w:lang w:val="en-AU" w:eastAsia="de-AT"/>
        </w:rPr>
        <w:t>ETYBO</w:t>
      </w:r>
      <w:r w:rsidR="001A7657" w:rsidRPr="005F7046">
        <w:rPr>
          <w:lang w:val="en-AU" w:eastAsia="de-AT"/>
        </w:rPr>
        <w:t xml:space="preserve"> </w:t>
      </w:r>
      <w:r w:rsidR="00A12F46">
        <w:rPr>
          <w:lang w:val="en-AU" w:eastAsia="de-AT"/>
        </w:rPr>
        <w:t xml:space="preserve">should </w:t>
      </w:r>
      <w:r w:rsidR="001A7657" w:rsidRPr="005F7046">
        <w:rPr>
          <w:lang w:val="en-AU" w:eastAsia="de-AT"/>
        </w:rPr>
        <w:t>only be administered by medical practitioners with suitable qualifications and proven experience in the application of botulinum toxin and in the use of the necessary equipment.</w:t>
      </w:r>
    </w:p>
    <w:p w14:paraId="1D7C48A7" w14:textId="2C7F2FAB" w:rsidR="0027786D" w:rsidRPr="005F7046" w:rsidRDefault="0027786D" w:rsidP="0009713A">
      <w:pPr>
        <w:spacing w:after="120"/>
        <w:rPr>
          <w:b/>
          <w:lang w:val="en-AU" w:eastAsia="de-AT"/>
        </w:rPr>
      </w:pPr>
      <w:r w:rsidRPr="005F7046">
        <w:rPr>
          <w:b/>
          <w:lang w:val="en-AU" w:eastAsia="de-AT"/>
        </w:rPr>
        <w:t>Reconstitution</w:t>
      </w:r>
    </w:p>
    <w:p w14:paraId="13A6AD0C" w14:textId="77777777" w:rsidR="0027786D" w:rsidRPr="005F7046" w:rsidRDefault="0027786D" w:rsidP="0009713A">
      <w:pPr>
        <w:spacing w:after="120"/>
        <w:rPr>
          <w:lang w:val="en-AU" w:eastAsia="de-AT"/>
        </w:rPr>
      </w:pPr>
      <w:r w:rsidRPr="005F7046">
        <w:rPr>
          <w:lang w:val="en-AU" w:eastAsia="de-AT"/>
        </w:rPr>
        <w:t xml:space="preserve">Product is for single use in one patient only. Discard any residue. </w:t>
      </w:r>
    </w:p>
    <w:p w14:paraId="55E9A6BD" w14:textId="58430B84" w:rsidR="001A7657" w:rsidRPr="005F7046" w:rsidRDefault="0027786D" w:rsidP="0009713A">
      <w:pPr>
        <w:spacing w:after="120"/>
        <w:rPr>
          <w:lang w:val="en-AU" w:eastAsia="de-AT"/>
        </w:rPr>
      </w:pPr>
      <w:r w:rsidRPr="005F7046">
        <w:rPr>
          <w:lang w:val="en-AU" w:eastAsia="de-AT"/>
        </w:rPr>
        <w:lastRenderedPageBreak/>
        <w:t xml:space="preserve">LETYBO is reconstituted prior to use with </w:t>
      </w:r>
      <w:r w:rsidR="0040639D" w:rsidRPr="005F7046">
        <w:rPr>
          <w:lang w:val="en-AU" w:eastAsia="de-AT"/>
        </w:rPr>
        <w:t xml:space="preserve">preservative-free </w:t>
      </w:r>
      <w:r w:rsidRPr="005F7046">
        <w:rPr>
          <w:lang w:val="en-AU" w:eastAsia="de-AT"/>
        </w:rPr>
        <w:t>sodium chloride 9 mg/mL (0.9%) solution for injection. A suitable sterile needle should be used for administration.</w:t>
      </w:r>
    </w:p>
    <w:p w14:paraId="56FE5E8C" w14:textId="0ACD2B4F" w:rsidR="0040639D" w:rsidRPr="005F7046" w:rsidRDefault="0040639D" w:rsidP="0009713A">
      <w:pPr>
        <w:spacing w:after="120"/>
        <w:rPr>
          <w:lang w:val="en-AU" w:eastAsia="de-AT"/>
        </w:rPr>
      </w:pPr>
      <w:r w:rsidRPr="005F7046">
        <w:rPr>
          <w:lang w:val="en-AU" w:eastAsia="de-AT"/>
        </w:rPr>
        <w:t xml:space="preserve">It is good practice to reconstitute the vial content and prepare the syringe over plastic-lined paper towels to catch any spillage. Sodium chloride 9 mg/mL (0.9%) solution for injection is drawn up into a syringe and must be injected gently into the vial </w:t>
      </w:r>
      <w:r w:rsidR="002326FA" w:rsidRPr="005F7046">
        <w:rPr>
          <w:lang w:val="en-AU" w:eastAsia="de-AT"/>
        </w:rPr>
        <w:t>(</w:t>
      </w:r>
      <w:r w:rsidRPr="005F7046">
        <w:rPr>
          <w:lang w:val="en-AU" w:eastAsia="de-AT"/>
        </w:rPr>
        <w:t>to avoid foam/bubble formation or vigorous agitation which may cause</w:t>
      </w:r>
      <w:r w:rsidR="0086535A">
        <w:rPr>
          <w:lang w:val="en-AU" w:eastAsia="de-AT"/>
        </w:rPr>
        <w:t xml:space="preserve"> toxin protein</w:t>
      </w:r>
      <w:r w:rsidRPr="005F7046">
        <w:rPr>
          <w:lang w:val="en-AU" w:eastAsia="de-AT"/>
        </w:rPr>
        <w:t xml:space="preserve"> denaturation</w:t>
      </w:r>
      <w:r w:rsidR="002326FA" w:rsidRPr="005F7046">
        <w:rPr>
          <w:lang w:val="en-AU" w:eastAsia="de-AT"/>
        </w:rPr>
        <w:t>)</w:t>
      </w:r>
      <w:r w:rsidR="002326FA" w:rsidRPr="005F7046">
        <w:rPr>
          <w:rFonts w:eastAsiaTheme="minorHAnsi" w:cstheme="minorBidi"/>
          <w:color w:val="auto"/>
          <w:sz w:val="20"/>
          <w:szCs w:val="22"/>
          <w:lang w:val="en-AU"/>
        </w:rPr>
        <w:t xml:space="preserve"> </w:t>
      </w:r>
      <w:r w:rsidR="002326FA" w:rsidRPr="005F7046">
        <w:rPr>
          <w:lang w:val="en-AU" w:eastAsia="de-AT"/>
        </w:rPr>
        <w:t xml:space="preserve">to obtain a reconstituted solution at a concentration of 4 Units/0.1 mL and a total treatment dose of 20 Units in 0.5 mL (see Table 1). </w:t>
      </w:r>
      <w:r w:rsidRPr="005F7046">
        <w:rPr>
          <w:lang w:val="en-AU" w:eastAsia="de-AT"/>
        </w:rPr>
        <w:t xml:space="preserve"> The vial must be discarded if the vacuum does not pull the solvent into the vial. Reconstituted </w:t>
      </w:r>
      <w:r w:rsidR="002326FA" w:rsidRPr="005F7046">
        <w:rPr>
          <w:lang w:val="en-AU" w:eastAsia="de-AT"/>
        </w:rPr>
        <w:t>LETYBO</w:t>
      </w:r>
      <w:r w:rsidRPr="005F7046">
        <w:rPr>
          <w:lang w:val="en-AU" w:eastAsia="de-AT"/>
        </w:rPr>
        <w:t xml:space="preserve"> is a clear, colourless solution practically free of particulate matter. Prior to use, the vial should be visually inspected to ensure the product is free from foreign particulate matter.</w:t>
      </w:r>
    </w:p>
    <w:p w14:paraId="3AF58970" w14:textId="2CA95584" w:rsidR="0040639D" w:rsidRPr="005F7046" w:rsidRDefault="002326FA" w:rsidP="0009713A">
      <w:pPr>
        <w:spacing w:after="120"/>
        <w:rPr>
          <w:lang w:val="en-AU" w:eastAsia="de-AT"/>
        </w:rPr>
      </w:pPr>
      <w:bookmarkStart w:id="6" w:name="_Hlk69996790"/>
      <w:r w:rsidRPr="005F7046">
        <w:rPr>
          <w:lang w:val="en-AU" w:eastAsia="de-AT"/>
        </w:rPr>
        <w:t>LETYBO</w:t>
      </w:r>
      <w:bookmarkEnd w:id="6"/>
      <w:r w:rsidR="0040639D" w:rsidRPr="005F7046">
        <w:rPr>
          <w:lang w:val="en-AU" w:eastAsia="de-AT"/>
        </w:rPr>
        <w:t xml:space="preserve"> must not be used if the reconstituted solution has a cloudy appearance or contains particulate matter.</w:t>
      </w:r>
      <w:r w:rsidR="0040639D" w:rsidRPr="005F7046" w:rsidDel="009B6455">
        <w:rPr>
          <w:lang w:val="en-AU" w:eastAsia="de-AT"/>
        </w:rPr>
        <w:t xml:space="preserve"> </w:t>
      </w:r>
    </w:p>
    <w:p w14:paraId="1F5DA011" w14:textId="77777777" w:rsidR="0040639D" w:rsidRPr="005F7046" w:rsidRDefault="0040639D" w:rsidP="0009713A">
      <w:pPr>
        <w:spacing w:after="120"/>
        <w:rPr>
          <w:lang w:val="en-AU" w:eastAsia="de-AT"/>
        </w:rPr>
      </w:pPr>
      <w:r w:rsidRPr="005F7046">
        <w:rPr>
          <w:lang w:val="en-AU" w:eastAsia="de-AT"/>
        </w:rPr>
        <w:t>Any solution for injection that has been stored for more than 24 hours as well as any residual unused solution for injection must be discarded.</w:t>
      </w:r>
    </w:p>
    <w:p w14:paraId="13862A27" w14:textId="168531AA" w:rsidR="0040639D" w:rsidRPr="005F7046" w:rsidRDefault="002326FA" w:rsidP="0009713A">
      <w:pPr>
        <w:spacing w:after="120"/>
        <w:rPr>
          <w:lang w:val="en-AU" w:eastAsia="de-AT"/>
        </w:rPr>
      </w:pPr>
      <w:r w:rsidRPr="005F7046">
        <w:rPr>
          <w:lang w:val="en-AU" w:eastAsia="de-AT"/>
        </w:rPr>
        <w:t xml:space="preserve">LETYBO should be administered within 24 hours after reconstitution. During this </w:t>
      </w:r>
      <w:proofErr w:type="gramStart"/>
      <w:r w:rsidRPr="005F7046">
        <w:rPr>
          <w:lang w:val="en-AU" w:eastAsia="de-AT"/>
        </w:rPr>
        <w:t>time period</w:t>
      </w:r>
      <w:proofErr w:type="gramEnd"/>
      <w:r w:rsidRPr="005F7046">
        <w:rPr>
          <w:lang w:val="en-AU" w:eastAsia="de-AT"/>
        </w:rPr>
        <w:t>, unused reconstituted LETYBO should be stored in a refrigerator between 2°C to 8°C in the original carton to protect from light for up to 24 hours until time of use. Do not freeze reconstituted LETYBO.</w:t>
      </w:r>
    </w:p>
    <w:p w14:paraId="29868730" w14:textId="3EEF721E" w:rsidR="002326FA" w:rsidRPr="005F7046" w:rsidRDefault="002326FA" w:rsidP="0009713A">
      <w:pPr>
        <w:keepNext/>
        <w:keepLines/>
        <w:widowControl w:val="0"/>
        <w:spacing w:after="120"/>
        <w:rPr>
          <w:rFonts w:eastAsiaTheme="minorHAnsi" w:cstheme="minorBidi"/>
          <w:b/>
          <w:bCs/>
          <w:color w:val="auto"/>
          <w:lang w:val="en-AU"/>
        </w:rPr>
      </w:pPr>
      <w:r w:rsidRPr="005F7046">
        <w:rPr>
          <w:rFonts w:eastAsiaTheme="minorHAnsi" w:cstheme="minorBidi"/>
          <w:b/>
          <w:bCs/>
          <w:color w:val="auto"/>
          <w:lang w:val="en-AU"/>
        </w:rPr>
        <w:t>Table 1:</w:t>
      </w:r>
      <w:r w:rsidRPr="005F7046">
        <w:rPr>
          <w:rFonts w:eastAsiaTheme="minorHAnsi" w:cstheme="minorBidi"/>
          <w:b/>
          <w:bCs/>
          <w:color w:val="auto"/>
          <w:lang w:val="en-AU"/>
        </w:rPr>
        <w:tab/>
      </w:r>
      <w:r w:rsidR="00001332" w:rsidRPr="005F7046">
        <w:rPr>
          <w:rFonts w:eastAsiaTheme="minorHAnsi" w:cstheme="minorBidi"/>
          <w:b/>
          <w:bCs/>
          <w:color w:val="auto"/>
          <w:lang w:val="en-AU"/>
        </w:rPr>
        <w:tab/>
      </w:r>
      <w:r w:rsidRPr="005F7046">
        <w:rPr>
          <w:rFonts w:eastAsiaTheme="minorHAnsi" w:cstheme="minorBidi"/>
          <w:b/>
          <w:bCs/>
          <w:color w:val="auto"/>
          <w:lang w:val="en-AU"/>
        </w:rPr>
        <w:t>Dilution Instructions for LETBO Vials (50 and 100 Units)</w:t>
      </w:r>
    </w:p>
    <w:tbl>
      <w:tblPr>
        <w:tblStyle w:val="TableGrid1"/>
        <w:tblW w:w="0" w:type="auto"/>
        <w:tblLayout w:type="fixed"/>
        <w:tblLook w:val="04A0" w:firstRow="1" w:lastRow="0" w:firstColumn="1" w:lastColumn="0" w:noHBand="0" w:noVBand="1"/>
      </w:tblPr>
      <w:tblGrid>
        <w:gridCol w:w="1002"/>
        <w:gridCol w:w="2610"/>
        <w:gridCol w:w="3128"/>
      </w:tblGrid>
      <w:tr w:rsidR="002326FA" w:rsidRPr="005F7046" w14:paraId="614111DC" w14:textId="77777777" w:rsidTr="002326FA">
        <w:tc>
          <w:tcPr>
            <w:tcW w:w="1002" w:type="dxa"/>
          </w:tcPr>
          <w:p w14:paraId="28FCF263" w14:textId="77777777" w:rsidR="002326FA" w:rsidRPr="005F7046" w:rsidRDefault="002326FA" w:rsidP="002326FA">
            <w:pPr>
              <w:keepNext/>
              <w:keepLines/>
              <w:widowControl w:val="0"/>
              <w:spacing w:before="40" w:after="40"/>
              <w:rPr>
                <w:rFonts w:eastAsia="Times New Roman"/>
                <w:b/>
                <w:bCs/>
                <w:color w:val="auto"/>
                <w:lang w:val="en-AU" w:eastAsia="de-DE"/>
              </w:rPr>
            </w:pPr>
            <w:r w:rsidRPr="005F7046">
              <w:rPr>
                <w:rFonts w:eastAsia="Times New Roman"/>
                <w:b/>
                <w:bCs/>
                <w:color w:val="auto"/>
                <w:lang w:val="en-AU" w:eastAsia="de-DE"/>
              </w:rPr>
              <w:t>Vial</w:t>
            </w:r>
          </w:p>
        </w:tc>
        <w:tc>
          <w:tcPr>
            <w:tcW w:w="2610" w:type="dxa"/>
          </w:tcPr>
          <w:p w14:paraId="0AEB916A" w14:textId="77777777" w:rsidR="002326FA" w:rsidRPr="005F7046" w:rsidRDefault="002326FA" w:rsidP="002326FA">
            <w:pPr>
              <w:keepNext/>
              <w:keepLines/>
              <w:widowControl w:val="0"/>
              <w:spacing w:before="40" w:after="40"/>
              <w:rPr>
                <w:rFonts w:eastAsia="Times New Roman"/>
                <w:b/>
                <w:bCs/>
                <w:color w:val="auto"/>
                <w:lang w:val="en-AU" w:eastAsia="de-DE"/>
              </w:rPr>
            </w:pPr>
            <w:r w:rsidRPr="005F7046">
              <w:rPr>
                <w:rFonts w:eastAsia="Times New Roman"/>
                <w:b/>
                <w:bCs/>
                <w:color w:val="auto"/>
                <w:lang w:val="en-AU" w:eastAsia="de-DE"/>
              </w:rPr>
              <w:t>Amount of Diluent* Added</w:t>
            </w:r>
          </w:p>
        </w:tc>
        <w:tc>
          <w:tcPr>
            <w:tcW w:w="3128" w:type="dxa"/>
          </w:tcPr>
          <w:p w14:paraId="0A3653FF" w14:textId="77777777" w:rsidR="002326FA" w:rsidRPr="005F7046" w:rsidRDefault="002326FA" w:rsidP="002326FA">
            <w:pPr>
              <w:keepNext/>
              <w:keepLines/>
              <w:widowControl w:val="0"/>
              <w:spacing w:before="40" w:after="40"/>
              <w:rPr>
                <w:rFonts w:eastAsia="Times New Roman"/>
                <w:b/>
                <w:bCs/>
                <w:color w:val="auto"/>
                <w:lang w:val="en-AU" w:eastAsia="de-DE"/>
              </w:rPr>
            </w:pPr>
            <w:r w:rsidRPr="005F7046">
              <w:rPr>
                <w:rFonts w:eastAsia="Times New Roman"/>
                <w:b/>
                <w:bCs/>
                <w:color w:val="auto"/>
                <w:lang w:val="en-AU" w:eastAsia="de-DE"/>
              </w:rPr>
              <w:t>Resulting Dose Units per 0.1 mL</w:t>
            </w:r>
          </w:p>
        </w:tc>
      </w:tr>
      <w:tr w:rsidR="002326FA" w:rsidRPr="005F7046" w14:paraId="60BE5C10" w14:textId="77777777" w:rsidTr="002326FA">
        <w:tc>
          <w:tcPr>
            <w:tcW w:w="1002" w:type="dxa"/>
          </w:tcPr>
          <w:p w14:paraId="185715EB" w14:textId="77777777" w:rsidR="002326FA" w:rsidRPr="005F7046" w:rsidRDefault="002326FA" w:rsidP="002326FA">
            <w:pPr>
              <w:keepNext/>
              <w:keepLines/>
              <w:widowControl w:val="0"/>
              <w:spacing w:before="40" w:after="40"/>
              <w:rPr>
                <w:rFonts w:eastAsia="Times New Roman"/>
                <w:color w:val="auto"/>
                <w:lang w:val="en-AU" w:eastAsia="de-DE"/>
              </w:rPr>
            </w:pPr>
            <w:r w:rsidRPr="005F7046">
              <w:rPr>
                <w:rFonts w:eastAsia="Times New Roman"/>
                <w:color w:val="auto"/>
                <w:lang w:val="en-AU" w:eastAsia="de-DE"/>
              </w:rPr>
              <w:t>50 Units</w:t>
            </w:r>
          </w:p>
        </w:tc>
        <w:tc>
          <w:tcPr>
            <w:tcW w:w="2610" w:type="dxa"/>
          </w:tcPr>
          <w:p w14:paraId="5FF0888C" w14:textId="77777777" w:rsidR="002326FA" w:rsidRPr="005F7046" w:rsidRDefault="002326FA" w:rsidP="002326FA">
            <w:pPr>
              <w:keepNext/>
              <w:keepLines/>
              <w:widowControl w:val="0"/>
              <w:spacing w:before="40" w:after="40"/>
              <w:rPr>
                <w:rFonts w:eastAsia="Times New Roman"/>
                <w:color w:val="auto"/>
                <w:lang w:val="en-AU" w:eastAsia="de-DE"/>
              </w:rPr>
            </w:pPr>
            <w:r w:rsidRPr="005F7046">
              <w:rPr>
                <w:rFonts w:eastAsia="Times New Roman"/>
                <w:color w:val="auto"/>
                <w:lang w:val="en-AU" w:eastAsia="de-DE"/>
              </w:rPr>
              <w:t>1.25 mL</w:t>
            </w:r>
          </w:p>
        </w:tc>
        <w:tc>
          <w:tcPr>
            <w:tcW w:w="3128" w:type="dxa"/>
          </w:tcPr>
          <w:p w14:paraId="29B35B32" w14:textId="77777777" w:rsidR="002326FA" w:rsidRPr="005F7046" w:rsidRDefault="002326FA" w:rsidP="002326FA">
            <w:pPr>
              <w:keepNext/>
              <w:keepLines/>
              <w:widowControl w:val="0"/>
              <w:spacing w:before="40" w:after="40"/>
              <w:rPr>
                <w:rFonts w:eastAsia="Times New Roman"/>
                <w:color w:val="auto"/>
                <w:lang w:val="en-AU" w:eastAsia="de-DE"/>
              </w:rPr>
            </w:pPr>
            <w:r w:rsidRPr="005F7046">
              <w:rPr>
                <w:rFonts w:eastAsia="Times New Roman"/>
                <w:color w:val="auto"/>
                <w:lang w:val="en-AU" w:eastAsia="de-DE"/>
              </w:rPr>
              <w:t>4 Units</w:t>
            </w:r>
          </w:p>
        </w:tc>
      </w:tr>
      <w:tr w:rsidR="002326FA" w:rsidRPr="005F7046" w14:paraId="681D10A4" w14:textId="77777777" w:rsidTr="002326FA">
        <w:tc>
          <w:tcPr>
            <w:tcW w:w="1002" w:type="dxa"/>
          </w:tcPr>
          <w:p w14:paraId="01DEB5EC" w14:textId="77777777" w:rsidR="002326FA" w:rsidRPr="005F7046" w:rsidRDefault="002326FA" w:rsidP="002326FA">
            <w:pPr>
              <w:keepNext/>
              <w:keepLines/>
              <w:widowControl w:val="0"/>
              <w:spacing w:before="40" w:after="40"/>
              <w:rPr>
                <w:rFonts w:eastAsia="Times New Roman"/>
                <w:color w:val="auto"/>
                <w:lang w:val="en-AU" w:eastAsia="de-DE"/>
              </w:rPr>
            </w:pPr>
            <w:r w:rsidRPr="005F7046">
              <w:rPr>
                <w:rFonts w:eastAsia="Times New Roman"/>
                <w:color w:val="auto"/>
                <w:lang w:val="en-AU" w:eastAsia="de-DE"/>
              </w:rPr>
              <w:t>100 Units</w:t>
            </w:r>
          </w:p>
        </w:tc>
        <w:tc>
          <w:tcPr>
            <w:tcW w:w="2610" w:type="dxa"/>
          </w:tcPr>
          <w:p w14:paraId="57F5C59F" w14:textId="77777777" w:rsidR="002326FA" w:rsidRPr="005F7046" w:rsidRDefault="002326FA" w:rsidP="002326FA">
            <w:pPr>
              <w:keepNext/>
              <w:keepLines/>
              <w:widowControl w:val="0"/>
              <w:spacing w:before="40" w:after="40"/>
              <w:rPr>
                <w:rFonts w:eastAsia="Times New Roman"/>
                <w:color w:val="auto"/>
                <w:lang w:val="en-AU" w:eastAsia="de-DE"/>
              </w:rPr>
            </w:pPr>
            <w:r w:rsidRPr="005F7046">
              <w:rPr>
                <w:rFonts w:eastAsia="Times New Roman"/>
                <w:color w:val="auto"/>
                <w:lang w:val="en-AU" w:eastAsia="de-DE"/>
              </w:rPr>
              <w:t>2.5 mL</w:t>
            </w:r>
          </w:p>
        </w:tc>
        <w:tc>
          <w:tcPr>
            <w:tcW w:w="3128" w:type="dxa"/>
          </w:tcPr>
          <w:p w14:paraId="0AAB4906" w14:textId="77777777" w:rsidR="002326FA" w:rsidRPr="005F7046" w:rsidRDefault="002326FA" w:rsidP="002326FA">
            <w:pPr>
              <w:keepNext/>
              <w:keepLines/>
              <w:widowControl w:val="0"/>
              <w:spacing w:before="40" w:after="40"/>
              <w:rPr>
                <w:rFonts w:eastAsia="Times New Roman"/>
                <w:color w:val="auto"/>
                <w:lang w:val="en-AU" w:eastAsia="de-DE"/>
              </w:rPr>
            </w:pPr>
            <w:r w:rsidRPr="005F7046">
              <w:rPr>
                <w:rFonts w:eastAsia="Times New Roman"/>
                <w:color w:val="auto"/>
                <w:lang w:val="en-AU" w:eastAsia="de-DE"/>
              </w:rPr>
              <w:t>4 Units</w:t>
            </w:r>
          </w:p>
        </w:tc>
      </w:tr>
    </w:tbl>
    <w:p w14:paraId="7383006F" w14:textId="198FF2C8" w:rsidR="003E6C59" w:rsidRPr="005F7046" w:rsidRDefault="002326FA" w:rsidP="0009713A">
      <w:pPr>
        <w:spacing w:before="120" w:after="240"/>
        <w:rPr>
          <w:rFonts w:eastAsiaTheme="minorHAnsi" w:cstheme="minorBidi"/>
          <w:color w:val="auto"/>
          <w:sz w:val="20"/>
          <w:szCs w:val="22"/>
          <w:lang w:val="en-AU"/>
        </w:rPr>
      </w:pPr>
      <w:r w:rsidRPr="005F7046">
        <w:rPr>
          <w:rFonts w:eastAsiaTheme="minorHAnsi" w:cstheme="minorBidi"/>
          <w:color w:val="auto"/>
          <w:sz w:val="20"/>
          <w:szCs w:val="22"/>
          <w:lang w:val="en-AU"/>
        </w:rPr>
        <w:t>*Preservative-free 0.9% Sodium Chloride</w:t>
      </w:r>
      <w:r w:rsidR="0086535A">
        <w:rPr>
          <w:rFonts w:eastAsiaTheme="minorHAnsi" w:cstheme="minorBidi"/>
          <w:color w:val="auto"/>
          <w:sz w:val="20"/>
          <w:szCs w:val="22"/>
          <w:lang w:val="en-AU"/>
        </w:rPr>
        <w:t xml:space="preserve"> for</w:t>
      </w:r>
      <w:r w:rsidRPr="005F7046">
        <w:rPr>
          <w:rFonts w:eastAsiaTheme="minorHAnsi" w:cstheme="minorBidi"/>
          <w:color w:val="auto"/>
          <w:sz w:val="20"/>
          <w:szCs w:val="22"/>
          <w:lang w:val="en-AU"/>
        </w:rPr>
        <w:t xml:space="preserve"> Injection</w:t>
      </w:r>
    </w:p>
    <w:p w14:paraId="0ECEF631" w14:textId="77427E85" w:rsidR="002326FA" w:rsidRPr="005F7046" w:rsidRDefault="003E6C59" w:rsidP="0027786D">
      <w:pPr>
        <w:spacing w:before="120"/>
        <w:rPr>
          <w:rFonts w:eastAsia="MS Gothic"/>
          <w:bCs/>
          <w:color w:val="auto"/>
          <w:kern w:val="32"/>
          <w:lang w:val="en-AU" w:eastAsia="de-AT"/>
        </w:rPr>
      </w:pPr>
      <w:r w:rsidRPr="005F7046">
        <w:rPr>
          <w:rFonts w:eastAsia="MS Gothic"/>
          <w:bCs/>
          <w:color w:val="auto"/>
          <w:kern w:val="32"/>
          <w:lang w:val="en-AU" w:eastAsia="de-AT"/>
        </w:rPr>
        <w:t>Reconstituted LETYBO is intended for intramuscular injection.</w:t>
      </w:r>
    </w:p>
    <w:p w14:paraId="2AB35861" w14:textId="6409C6A1" w:rsidR="00124389" w:rsidRPr="005F7046" w:rsidRDefault="00124389" w:rsidP="00885290">
      <w:pPr>
        <w:spacing w:after="120"/>
        <w:rPr>
          <w:b/>
          <w:lang w:val="en-AU" w:eastAsia="de-AT"/>
        </w:rPr>
      </w:pPr>
      <w:r w:rsidRPr="005F7046">
        <w:rPr>
          <w:b/>
          <w:lang w:val="en-AU" w:eastAsia="de-AT"/>
        </w:rPr>
        <w:t>Dosage</w:t>
      </w:r>
    </w:p>
    <w:p w14:paraId="0C1275D2" w14:textId="6F45A390" w:rsidR="003E6C59" w:rsidRPr="005F7046" w:rsidRDefault="003E6C59" w:rsidP="0009713A">
      <w:pPr>
        <w:spacing w:after="120"/>
        <w:rPr>
          <w:lang w:val="en-AU"/>
        </w:rPr>
      </w:pPr>
      <w:r w:rsidRPr="005F7046">
        <w:rPr>
          <w:lang w:val="en-AU"/>
        </w:rPr>
        <w:t>The optimum dose and number of injection sites in the treated muscle(s) should be individualised for each patient and determined by the treating doctor.</w:t>
      </w:r>
    </w:p>
    <w:p w14:paraId="72229A1E" w14:textId="7536F225" w:rsidR="003E6C59" w:rsidRPr="005F7046" w:rsidRDefault="003E6C59" w:rsidP="0009713A">
      <w:pPr>
        <w:spacing w:after="120"/>
        <w:rPr>
          <w:lang w:val="en-AU"/>
        </w:rPr>
      </w:pPr>
      <w:r w:rsidRPr="005F7046">
        <w:rPr>
          <w:lang w:val="en-AU"/>
        </w:rPr>
        <w:t xml:space="preserve">Dose per injection site: 4 units into each of the 5 injection sites: two injections in each corrugator muscle and one injection in the procerus muscle (Figure </w:t>
      </w:r>
      <w:r w:rsidR="00A12F46">
        <w:rPr>
          <w:lang w:val="en-AU"/>
        </w:rPr>
        <w:t>1</w:t>
      </w:r>
      <w:r w:rsidRPr="005F7046">
        <w:rPr>
          <w:lang w:val="en-AU"/>
        </w:rPr>
        <w:t>).</w:t>
      </w:r>
    </w:p>
    <w:p w14:paraId="06657349" w14:textId="77777777" w:rsidR="008F298A" w:rsidRPr="005F7046" w:rsidRDefault="008F298A" w:rsidP="008F298A">
      <w:pPr>
        <w:spacing w:after="120"/>
        <w:rPr>
          <w:lang w:val="en-AU"/>
        </w:rPr>
      </w:pPr>
      <w:r w:rsidRPr="005F7046">
        <w:rPr>
          <w:lang w:val="en-AU"/>
        </w:rPr>
        <w:t xml:space="preserve">The standard dose is 20 units. </w:t>
      </w:r>
    </w:p>
    <w:p w14:paraId="1C97CEAB" w14:textId="77777777" w:rsidR="00680D9E" w:rsidRPr="00315FA2" w:rsidRDefault="00680D9E" w:rsidP="00680D9E">
      <w:pPr>
        <w:spacing w:before="120"/>
        <w:rPr>
          <w:lang w:val="en-AU"/>
        </w:rPr>
      </w:pPr>
      <w:r w:rsidRPr="00315FA2">
        <w:rPr>
          <w:lang w:val="en-AU"/>
        </w:rPr>
        <w:t xml:space="preserve">Botulinum toxin units are not interchangeable from one product to another. </w:t>
      </w:r>
    </w:p>
    <w:p w14:paraId="2C389705" w14:textId="58F025A6" w:rsidR="003963AA" w:rsidRDefault="003E6C59" w:rsidP="0009713A">
      <w:pPr>
        <w:spacing w:after="120"/>
        <w:rPr>
          <w:lang w:val="en-AU"/>
        </w:rPr>
      </w:pPr>
      <w:r w:rsidRPr="005F7046">
        <w:rPr>
          <w:lang w:val="en-AU"/>
        </w:rPr>
        <w:t>The intervals between treatments</w:t>
      </w:r>
      <w:r w:rsidR="00115020" w:rsidRPr="005F7046">
        <w:rPr>
          <w:lang w:val="en-AU"/>
        </w:rPr>
        <w:t xml:space="preserve"> should be</w:t>
      </w:r>
      <w:r w:rsidRPr="005F7046">
        <w:rPr>
          <w:lang w:val="en-AU"/>
        </w:rPr>
        <w:t xml:space="preserve"> ≥ </w:t>
      </w:r>
      <w:r w:rsidR="003963AA">
        <w:rPr>
          <w:lang w:val="en-AU"/>
        </w:rPr>
        <w:t>12 weeks</w:t>
      </w:r>
      <w:r w:rsidRPr="005F7046">
        <w:rPr>
          <w:lang w:val="en-AU"/>
        </w:rPr>
        <w:t>.</w:t>
      </w:r>
      <w:r w:rsidR="0055524D">
        <w:rPr>
          <w:lang w:val="en-AU"/>
        </w:rPr>
        <w:t xml:space="preserve"> </w:t>
      </w:r>
      <w:r w:rsidR="003963AA">
        <w:rPr>
          <w:lang w:val="en-AU"/>
        </w:rPr>
        <w:t xml:space="preserve">The efficacy and safety of repeat injections of LETYBO beyond 48 weeks has not been evaluated. </w:t>
      </w:r>
    </w:p>
    <w:p w14:paraId="52F92E33" w14:textId="671A0F2B" w:rsidR="003963AA" w:rsidRPr="005F7046" w:rsidRDefault="006B1413" w:rsidP="006B1413">
      <w:pPr>
        <w:tabs>
          <w:tab w:val="left" w:pos="3749"/>
        </w:tabs>
        <w:spacing w:after="120"/>
        <w:rPr>
          <w:lang w:val="en-AU"/>
        </w:rPr>
      </w:pPr>
      <w:r>
        <w:rPr>
          <w:lang w:val="en-AU"/>
        </w:rPr>
        <w:lastRenderedPageBreak/>
        <w:tab/>
      </w:r>
    </w:p>
    <w:p w14:paraId="73A6B283" w14:textId="77777777" w:rsidR="004215C6" w:rsidRPr="005F7046" w:rsidRDefault="004215C6" w:rsidP="004215C6">
      <w:pPr>
        <w:spacing w:before="120"/>
        <w:rPr>
          <w:lang w:val="en-AU"/>
        </w:rPr>
      </w:pPr>
      <w:r w:rsidRPr="005F7046">
        <w:rPr>
          <w:noProof/>
          <w:lang w:val="en-AU"/>
        </w:rPr>
        <w:drawing>
          <wp:inline distT="0" distB="0" distL="0" distR="0" wp14:anchorId="77D9234A" wp14:editId="602BB6EE">
            <wp:extent cx="4204970" cy="2973705"/>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04970" cy="2973705"/>
                    </a:xfrm>
                    <a:prstGeom prst="rect">
                      <a:avLst/>
                    </a:prstGeom>
                    <a:noFill/>
                    <a:ln>
                      <a:noFill/>
                    </a:ln>
                  </pic:spPr>
                </pic:pic>
              </a:graphicData>
            </a:graphic>
          </wp:inline>
        </w:drawing>
      </w:r>
    </w:p>
    <w:p w14:paraId="2898686A" w14:textId="2C5C8F39" w:rsidR="00225FBC" w:rsidRPr="005F7046" w:rsidRDefault="004215C6" w:rsidP="00225FBC">
      <w:pPr>
        <w:tabs>
          <w:tab w:val="left" w:pos="0"/>
        </w:tabs>
        <w:rPr>
          <w:szCs w:val="22"/>
          <w:lang w:val="en-AU"/>
        </w:rPr>
      </w:pPr>
      <w:r w:rsidRPr="005F7046">
        <w:rPr>
          <w:b/>
          <w:bCs/>
          <w:lang w:val="en-AU"/>
        </w:rPr>
        <w:t>Figure 1:</w:t>
      </w:r>
      <w:r w:rsidRPr="005F7046">
        <w:rPr>
          <w:b/>
          <w:bCs/>
          <w:lang w:val="en-AU"/>
        </w:rPr>
        <w:tab/>
        <w:t>LETYBO Sites (x) for Intramuscular Injection</w:t>
      </w:r>
      <w:r w:rsidRPr="005F7046" w:rsidDel="003E6C59">
        <w:rPr>
          <w:lang w:val="en-AU"/>
        </w:rPr>
        <w:t xml:space="preserve"> </w:t>
      </w:r>
    </w:p>
    <w:p w14:paraId="09B4C9B5" w14:textId="6AA504A8" w:rsidR="005307DC" w:rsidRPr="005F7046" w:rsidRDefault="005307DC" w:rsidP="00885290">
      <w:pPr>
        <w:spacing w:after="120"/>
        <w:rPr>
          <w:b/>
          <w:lang w:val="en-AU" w:eastAsia="de-AT"/>
        </w:rPr>
      </w:pPr>
      <w:r w:rsidRPr="005F7046">
        <w:rPr>
          <w:b/>
          <w:lang w:val="en-AU" w:eastAsia="de-AT"/>
        </w:rPr>
        <w:t>Method of Administration</w:t>
      </w:r>
    </w:p>
    <w:p w14:paraId="53C39A8B" w14:textId="357DB1FF" w:rsidR="004215C6" w:rsidRPr="003963AA" w:rsidRDefault="00880744" w:rsidP="003963AA">
      <w:r w:rsidRPr="005F7046">
        <w:rPr>
          <w:lang w:val="en-AU"/>
        </w:rPr>
        <w:t xml:space="preserve">To reduce the risk of blepharoptosis, injections near the </w:t>
      </w:r>
      <w:proofErr w:type="spellStart"/>
      <w:r w:rsidRPr="005F7046">
        <w:rPr>
          <w:lang w:val="en-AU"/>
        </w:rPr>
        <w:t>levator</w:t>
      </w:r>
      <w:proofErr w:type="spellEnd"/>
      <w:r w:rsidRPr="005F7046">
        <w:rPr>
          <w:lang w:val="en-AU"/>
        </w:rPr>
        <w:t xml:space="preserve"> palpebrae superioris and into the cranial portion of the orbicularis oculi should be avoided</w:t>
      </w:r>
      <w:bookmarkStart w:id="7" w:name="_Hlk112403503"/>
      <w:r w:rsidR="003963AA">
        <w:rPr>
          <w:lang w:val="en-AU"/>
        </w:rPr>
        <w:t xml:space="preserve">, particularly in patients with large brow depressor complexes. When injecting into two sites of each corrugator </w:t>
      </w:r>
      <w:proofErr w:type="spellStart"/>
      <w:r w:rsidR="003963AA">
        <w:rPr>
          <w:lang w:val="en-AU"/>
        </w:rPr>
        <w:t>supercilii</w:t>
      </w:r>
      <w:proofErr w:type="spellEnd"/>
      <w:r w:rsidR="003963AA">
        <w:rPr>
          <w:lang w:val="en-AU"/>
        </w:rPr>
        <w:t xml:space="preserve"> muscle, the first injection should be made right above the medial margin of eyebrows. The second injection </w:t>
      </w:r>
      <w:r w:rsidR="00FA2A97">
        <w:rPr>
          <w:lang w:val="en-AU"/>
        </w:rPr>
        <w:t>should</w:t>
      </w:r>
      <w:r w:rsidR="003963AA">
        <w:rPr>
          <w:lang w:val="en-AU"/>
        </w:rPr>
        <w:t xml:space="preserve"> be made approximately 1 cm above the supraorbital ridge (rigid bony boundaries palpable above the upper part of the upper eyelid) where midlines of the eyebrows meet. The injection site of the procerus muscle is just above the midline of the nasal bridge where horizontal wrinkles are made between the medial ends of the eyebrows. </w:t>
      </w:r>
      <w:bookmarkEnd w:id="7"/>
      <w:r w:rsidR="003963AA">
        <w:rPr>
          <w:lang w:val="en-AU"/>
        </w:rPr>
        <w:t xml:space="preserve">Injections need to be made with caution to avoid intravascular injection. Before injecting, a thumb or an index finger can be placed firmly below the orbital rim to prevent effusion of the medicinal product to this area. The needle needs to be oriented superiorly and medially. </w:t>
      </w:r>
    </w:p>
    <w:p w14:paraId="6D7DB245" w14:textId="4BF0DC09" w:rsidR="00D51B7C" w:rsidRPr="005F7046" w:rsidRDefault="00D51B7C" w:rsidP="0009713A">
      <w:pPr>
        <w:keepNext/>
        <w:keepLines/>
        <w:spacing w:after="120"/>
        <w:rPr>
          <w:b/>
          <w:bCs/>
          <w:lang w:val="en-AU"/>
        </w:rPr>
      </w:pPr>
      <w:r w:rsidRPr="005F7046">
        <w:rPr>
          <w:b/>
          <w:bCs/>
          <w:lang w:val="en-AU"/>
        </w:rPr>
        <w:t>Recommendations should any incident occur during the handling of botulinum toxin</w:t>
      </w:r>
    </w:p>
    <w:p w14:paraId="0A2CE327" w14:textId="3EA46D50" w:rsidR="00D51B7C" w:rsidRPr="005F7046" w:rsidRDefault="00D51B7C" w:rsidP="004456E7">
      <w:pPr>
        <w:pStyle w:val="C-BodyText"/>
        <w:keepNext/>
        <w:keepLines/>
        <w:widowControl w:val="0"/>
        <w:numPr>
          <w:ilvl w:val="0"/>
          <w:numId w:val="8"/>
        </w:numPr>
        <w:spacing w:before="0" w:after="0" w:line="240" w:lineRule="auto"/>
        <w:ind w:left="567" w:hanging="567"/>
        <w:rPr>
          <w:szCs w:val="24"/>
          <w:lang w:val="en-AU"/>
        </w:rPr>
      </w:pPr>
      <w:r w:rsidRPr="005F7046">
        <w:rPr>
          <w:szCs w:val="24"/>
          <w:lang w:val="en-AU"/>
        </w:rPr>
        <w:t xml:space="preserve">Any spills of the product must be wiped up: either using absorbent material impregnated with </w:t>
      </w:r>
      <w:r w:rsidR="004456E7" w:rsidRPr="005F7046">
        <w:rPr>
          <w:szCs w:val="24"/>
          <w:lang w:val="en-AU"/>
        </w:rPr>
        <w:t xml:space="preserve">any of the </w:t>
      </w:r>
      <w:r w:rsidR="004456E7" w:rsidRPr="00315FA2">
        <w:rPr>
          <w:sz w:val="22"/>
          <w:szCs w:val="22"/>
          <w:lang w:val="en-AU"/>
        </w:rPr>
        <w:t xml:space="preserve">solutions listed in Section 6.6 (SPECIAL PRECAUTIONS FOR DISPOSAL) </w:t>
      </w:r>
      <w:r w:rsidRPr="005F7046">
        <w:rPr>
          <w:szCs w:val="24"/>
          <w:lang w:val="en-AU"/>
        </w:rPr>
        <w:t>in case of the powder, or with dry, absorbent material in case of reconstituted product.</w:t>
      </w:r>
    </w:p>
    <w:p w14:paraId="7712F9CD" w14:textId="4502767F" w:rsidR="00D51B7C" w:rsidRPr="005F7046" w:rsidRDefault="00D51B7C" w:rsidP="00B36A97">
      <w:pPr>
        <w:pStyle w:val="C-BodyText"/>
        <w:widowControl w:val="0"/>
        <w:numPr>
          <w:ilvl w:val="0"/>
          <w:numId w:val="8"/>
        </w:numPr>
        <w:spacing w:before="0" w:after="0" w:line="240" w:lineRule="auto"/>
        <w:ind w:left="567" w:hanging="567"/>
        <w:rPr>
          <w:szCs w:val="24"/>
          <w:lang w:val="en-AU"/>
        </w:rPr>
      </w:pPr>
      <w:r w:rsidRPr="005F7046">
        <w:rPr>
          <w:szCs w:val="24"/>
          <w:lang w:val="en-AU"/>
        </w:rPr>
        <w:t xml:space="preserve">The contaminated surfaces should be cleaned using absorbent material impregnated with </w:t>
      </w:r>
      <w:r w:rsidR="004456E7" w:rsidRPr="005F7046">
        <w:rPr>
          <w:szCs w:val="24"/>
          <w:lang w:val="en-AU"/>
        </w:rPr>
        <w:t xml:space="preserve">any of the </w:t>
      </w:r>
      <w:r w:rsidR="004456E7" w:rsidRPr="00315FA2">
        <w:rPr>
          <w:sz w:val="22"/>
          <w:szCs w:val="22"/>
          <w:lang w:val="en-AU"/>
        </w:rPr>
        <w:t>solutions listed in Section 6.6 (SPECIAL PRECAUTIONS FOR DISPOSAL)</w:t>
      </w:r>
      <w:r w:rsidRPr="005F7046">
        <w:rPr>
          <w:szCs w:val="24"/>
          <w:lang w:val="en-AU"/>
        </w:rPr>
        <w:t>, then dried.</w:t>
      </w:r>
    </w:p>
    <w:p w14:paraId="2E0614E0" w14:textId="1188CD7E" w:rsidR="00D51B7C" w:rsidRPr="005F7046" w:rsidRDefault="00D51B7C" w:rsidP="00B36A97">
      <w:pPr>
        <w:pStyle w:val="C-BodyText"/>
        <w:widowControl w:val="0"/>
        <w:numPr>
          <w:ilvl w:val="0"/>
          <w:numId w:val="8"/>
        </w:numPr>
        <w:spacing w:before="0" w:after="0" w:line="240" w:lineRule="auto"/>
        <w:ind w:left="567" w:hanging="567"/>
        <w:rPr>
          <w:szCs w:val="24"/>
          <w:lang w:val="en-AU"/>
        </w:rPr>
      </w:pPr>
      <w:r w:rsidRPr="005F7046">
        <w:rPr>
          <w:szCs w:val="24"/>
          <w:lang w:val="en-AU"/>
        </w:rPr>
        <w:t>If a vial is broken, proceed as mentioned above by carefully collecting the pieces of broken glass and wiping up the product, avoiding any cuts to the skin.</w:t>
      </w:r>
    </w:p>
    <w:p w14:paraId="3A5BA254" w14:textId="1D3D67A3" w:rsidR="00D51B7C" w:rsidRPr="005F7046" w:rsidRDefault="00D51B7C" w:rsidP="00B36A97">
      <w:pPr>
        <w:pStyle w:val="C-BodyText"/>
        <w:widowControl w:val="0"/>
        <w:numPr>
          <w:ilvl w:val="0"/>
          <w:numId w:val="8"/>
        </w:numPr>
        <w:spacing w:before="0" w:after="0" w:line="240" w:lineRule="auto"/>
        <w:ind w:left="567" w:hanging="567"/>
        <w:rPr>
          <w:szCs w:val="24"/>
          <w:lang w:val="en-AU"/>
        </w:rPr>
      </w:pPr>
      <w:r w:rsidRPr="005F7046">
        <w:rPr>
          <w:szCs w:val="24"/>
          <w:lang w:val="en-AU"/>
        </w:rPr>
        <w:t xml:space="preserve">If the product </w:t>
      </w:r>
      <w:proofErr w:type="gramStart"/>
      <w:r w:rsidRPr="005F7046">
        <w:rPr>
          <w:szCs w:val="24"/>
          <w:lang w:val="en-AU"/>
        </w:rPr>
        <w:t>comes into contact with</w:t>
      </w:r>
      <w:proofErr w:type="gramEnd"/>
      <w:r w:rsidRPr="005F7046">
        <w:rPr>
          <w:szCs w:val="24"/>
          <w:lang w:val="en-AU"/>
        </w:rPr>
        <w:t xml:space="preserve"> the skin</w:t>
      </w:r>
      <w:r w:rsidR="009070D1" w:rsidRPr="005F7046">
        <w:rPr>
          <w:szCs w:val="24"/>
          <w:lang w:val="en-AU"/>
        </w:rPr>
        <w:t>,</w:t>
      </w:r>
      <w:r w:rsidRPr="005F7046">
        <w:rPr>
          <w:szCs w:val="24"/>
          <w:lang w:val="en-AU"/>
        </w:rPr>
        <w:t xml:space="preserve"> rinse abundantly with water.</w:t>
      </w:r>
    </w:p>
    <w:p w14:paraId="686F38E5" w14:textId="57BDA2C4" w:rsidR="00D51B7C" w:rsidRPr="005F7046" w:rsidRDefault="00D51B7C" w:rsidP="00B36A97">
      <w:pPr>
        <w:pStyle w:val="C-BodyText"/>
        <w:widowControl w:val="0"/>
        <w:numPr>
          <w:ilvl w:val="0"/>
          <w:numId w:val="8"/>
        </w:numPr>
        <w:spacing w:before="0" w:after="0" w:line="240" w:lineRule="auto"/>
        <w:ind w:left="567" w:hanging="567"/>
        <w:rPr>
          <w:szCs w:val="24"/>
          <w:lang w:val="en-AU"/>
        </w:rPr>
      </w:pPr>
      <w:r w:rsidRPr="005F7046">
        <w:rPr>
          <w:szCs w:val="24"/>
          <w:lang w:val="en-AU"/>
        </w:rPr>
        <w:t xml:space="preserve">If </w:t>
      </w:r>
      <w:r w:rsidR="00B50D95" w:rsidRPr="005F7046">
        <w:rPr>
          <w:szCs w:val="24"/>
          <w:lang w:val="en-AU"/>
        </w:rPr>
        <w:t xml:space="preserve">the </w:t>
      </w:r>
      <w:r w:rsidRPr="005F7046">
        <w:rPr>
          <w:szCs w:val="24"/>
          <w:lang w:val="en-AU"/>
        </w:rPr>
        <w:t xml:space="preserve">product </w:t>
      </w:r>
      <w:r w:rsidR="009070D1" w:rsidRPr="005F7046">
        <w:rPr>
          <w:szCs w:val="24"/>
          <w:lang w:val="en-AU"/>
        </w:rPr>
        <w:t>gets into</w:t>
      </w:r>
      <w:r w:rsidRPr="005F7046">
        <w:rPr>
          <w:szCs w:val="24"/>
          <w:lang w:val="en-AU"/>
        </w:rPr>
        <w:t xml:space="preserve"> the eyes, rinse thoroughly with plenty of water or with an ophthalmic eyewash solution.</w:t>
      </w:r>
    </w:p>
    <w:p w14:paraId="1604318E" w14:textId="211A2F24" w:rsidR="006E3E0D" w:rsidRPr="005F7046" w:rsidRDefault="00D51B7C" w:rsidP="006E3E0D">
      <w:pPr>
        <w:pStyle w:val="C-BodyText"/>
        <w:widowControl w:val="0"/>
        <w:numPr>
          <w:ilvl w:val="0"/>
          <w:numId w:val="8"/>
        </w:numPr>
        <w:spacing w:before="0" w:after="0" w:line="240" w:lineRule="auto"/>
        <w:ind w:left="567" w:hanging="567"/>
        <w:rPr>
          <w:szCs w:val="24"/>
          <w:lang w:val="en-AU"/>
        </w:rPr>
      </w:pPr>
      <w:r w:rsidRPr="005F7046">
        <w:rPr>
          <w:lang w:val="en-AU"/>
        </w:rPr>
        <w:t xml:space="preserve">If product </w:t>
      </w:r>
      <w:proofErr w:type="gramStart"/>
      <w:r w:rsidR="009070D1" w:rsidRPr="005F7046">
        <w:rPr>
          <w:lang w:val="en-AU"/>
        </w:rPr>
        <w:t>comes</w:t>
      </w:r>
      <w:r w:rsidRPr="005F7046">
        <w:rPr>
          <w:lang w:val="en-AU"/>
        </w:rPr>
        <w:t xml:space="preserve"> into contact with</w:t>
      </w:r>
      <w:proofErr w:type="gramEnd"/>
      <w:r w:rsidRPr="005F7046">
        <w:rPr>
          <w:lang w:val="en-AU"/>
        </w:rPr>
        <w:t xml:space="preserve"> a wound, cut or broken skin, rinse thoroughly with plenty of water and take the appropriate medical steps according to the dose injected</w:t>
      </w:r>
      <w:r w:rsidR="009070D1" w:rsidRPr="005F7046">
        <w:rPr>
          <w:lang w:val="en-AU"/>
        </w:rPr>
        <w:t>.</w:t>
      </w:r>
    </w:p>
    <w:p w14:paraId="26C434DD" w14:textId="133D54D7" w:rsidR="00FD1F94" w:rsidRPr="005F7046" w:rsidRDefault="00FD1F94" w:rsidP="0009713A">
      <w:pPr>
        <w:pStyle w:val="Heading2"/>
        <w:spacing w:before="240" w:after="120"/>
        <w:rPr>
          <w:lang w:val="en-AU"/>
        </w:rPr>
      </w:pPr>
      <w:r w:rsidRPr="005F7046">
        <w:rPr>
          <w:lang w:val="en-AU"/>
        </w:rPr>
        <w:lastRenderedPageBreak/>
        <w:t>CONTRAINDICATIONS</w:t>
      </w:r>
    </w:p>
    <w:p w14:paraId="2610B4E4" w14:textId="46363490" w:rsidR="00586F14" w:rsidRPr="005F7046" w:rsidRDefault="00FF59B1" w:rsidP="0009713A">
      <w:pPr>
        <w:spacing w:after="120"/>
        <w:rPr>
          <w:lang w:val="en-AU"/>
        </w:rPr>
      </w:pPr>
      <w:r w:rsidRPr="005F7046">
        <w:rPr>
          <w:lang w:val="en-AU"/>
        </w:rPr>
        <w:t>Hypersensitivity to the active substance or to any of the excipients</w:t>
      </w:r>
      <w:r w:rsidR="00084852" w:rsidRPr="005F7046">
        <w:rPr>
          <w:lang w:val="en-AU"/>
        </w:rPr>
        <w:t>.</w:t>
      </w:r>
      <w:r w:rsidRPr="005F7046">
        <w:rPr>
          <w:lang w:val="en-AU"/>
        </w:rPr>
        <w:t xml:space="preserve"> </w:t>
      </w:r>
    </w:p>
    <w:p w14:paraId="69F84E4A" w14:textId="77777777" w:rsidR="00586F14" w:rsidRPr="005F7046" w:rsidRDefault="00586F14" w:rsidP="0009713A">
      <w:pPr>
        <w:spacing w:after="120"/>
        <w:rPr>
          <w:lang w:val="en-AU"/>
        </w:rPr>
      </w:pPr>
      <w:r w:rsidRPr="005F7046">
        <w:rPr>
          <w:lang w:val="en-AU"/>
        </w:rPr>
        <w:t>Generalised disorders of muscle activity (</w:t>
      </w:r>
      <w:proofErr w:type="gramStart"/>
      <w:r w:rsidRPr="005F7046">
        <w:rPr>
          <w:lang w:val="en-AU"/>
        </w:rPr>
        <w:t>e.g.</w:t>
      </w:r>
      <w:proofErr w:type="gramEnd"/>
      <w:r w:rsidRPr="005F7046">
        <w:rPr>
          <w:lang w:val="en-AU"/>
        </w:rPr>
        <w:t xml:space="preserve"> myasthenia gravis, Lambert-Eaton syndrome, amyotrophic lateral sclerosis).</w:t>
      </w:r>
    </w:p>
    <w:p w14:paraId="3B682999" w14:textId="05654220" w:rsidR="00586F14" w:rsidRPr="005F7046" w:rsidRDefault="00084852" w:rsidP="0009713A">
      <w:pPr>
        <w:spacing w:after="120"/>
        <w:rPr>
          <w:lang w:val="en-AU"/>
        </w:rPr>
      </w:pPr>
      <w:r w:rsidRPr="005F7046">
        <w:rPr>
          <w:lang w:val="en-AU"/>
        </w:rPr>
        <w:t>I</w:t>
      </w:r>
      <w:r w:rsidR="00586F14" w:rsidRPr="005F7046">
        <w:rPr>
          <w:lang w:val="en-AU"/>
        </w:rPr>
        <w:t>nfection or inflammation at the proposed injection sites.</w:t>
      </w:r>
    </w:p>
    <w:p w14:paraId="18D7D644" w14:textId="00B3493F" w:rsidR="00FD1F94" w:rsidRPr="005F7046" w:rsidRDefault="00FD1F94" w:rsidP="0009713A">
      <w:pPr>
        <w:pStyle w:val="Heading2"/>
        <w:spacing w:before="240" w:after="120"/>
        <w:rPr>
          <w:lang w:val="en-AU"/>
        </w:rPr>
      </w:pPr>
      <w:bookmarkStart w:id="8" w:name="_Ref45713299"/>
      <w:r w:rsidRPr="005F7046">
        <w:rPr>
          <w:lang w:val="en-AU"/>
        </w:rPr>
        <w:t>SPECIAL WARNINGS AND PRECAUTIONS FOR USE</w:t>
      </w:r>
      <w:bookmarkEnd w:id="8"/>
    </w:p>
    <w:p w14:paraId="374AC91A" w14:textId="77777777" w:rsidR="008F298A" w:rsidRPr="00315FA2" w:rsidRDefault="008F298A" w:rsidP="00315FA2">
      <w:pPr>
        <w:keepNext/>
        <w:keepLines/>
        <w:spacing w:after="120"/>
        <w:rPr>
          <w:rFonts w:ascii="Arial" w:hAnsi="Arial" w:cs="Arial"/>
          <w:b/>
          <w:bCs/>
          <w:sz w:val="22"/>
          <w:szCs w:val="22"/>
          <w:lang w:val="en-AU"/>
        </w:rPr>
      </w:pPr>
      <w:r w:rsidRPr="00315FA2">
        <w:rPr>
          <w:rFonts w:ascii="Arial" w:hAnsi="Arial" w:cs="Arial"/>
          <w:b/>
          <w:bCs/>
          <w:sz w:val="22"/>
          <w:szCs w:val="22"/>
          <w:lang w:val="en-AU"/>
        </w:rPr>
        <w:t xml:space="preserve">Lack of interchangeability between botulinum toxin products </w:t>
      </w:r>
    </w:p>
    <w:p w14:paraId="2BB60F5C" w14:textId="5B02D52E" w:rsidR="008F298A" w:rsidRPr="00315FA2" w:rsidRDefault="0045294C" w:rsidP="00315FA2">
      <w:pPr>
        <w:spacing w:after="120"/>
        <w:rPr>
          <w:szCs w:val="22"/>
          <w:lang w:val="en-AU"/>
        </w:rPr>
      </w:pPr>
      <w:r>
        <w:rPr>
          <w:szCs w:val="22"/>
          <w:lang w:val="en-AU"/>
        </w:rPr>
        <w:t>The potency units of LETYBO are specific to the preparation and assay method utilised. They are not interchangeable with the other preparations of botulinum toxin products and, therefore units of biological activity of LETYBO cannot be compared to or converted into units of any other botulinum toxin products assessed with any other specific assay method (see Section 4.2 DOSE AND METHOD OF ADMINSTRATION).</w:t>
      </w:r>
      <w:r w:rsidR="008F298A" w:rsidRPr="00315FA2">
        <w:rPr>
          <w:szCs w:val="22"/>
          <w:lang w:val="en-AU"/>
        </w:rPr>
        <w:t xml:space="preserve"> </w:t>
      </w:r>
    </w:p>
    <w:p w14:paraId="07EA9FE5" w14:textId="13A4935D" w:rsidR="00EB0CAD" w:rsidRPr="005F7046" w:rsidRDefault="00EB0CAD" w:rsidP="0009713A">
      <w:pPr>
        <w:keepNext/>
        <w:keepLines/>
        <w:spacing w:after="120"/>
        <w:rPr>
          <w:rFonts w:ascii="Arial" w:hAnsi="Arial" w:cs="Arial"/>
          <w:b/>
          <w:bCs/>
          <w:sz w:val="22"/>
          <w:szCs w:val="22"/>
          <w:lang w:val="en-AU"/>
        </w:rPr>
      </w:pPr>
      <w:r w:rsidRPr="005F7046">
        <w:rPr>
          <w:rFonts w:ascii="Arial" w:hAnsi="Arial" w:cs="Arial"/>
          <w:b/>
          <w:bCs/>
          <w:sz w:val="22"/>
          <w:szCs w:val="22"/>
          <w:lang w:val="en-AU"/>
        </w:rPr>
        <w:t>General</w:t>
      </w:r>
    </w:p>
    <w:p w14:paraId="07750564" w14:textId="6F56BA35" w:rsidR="00EB0CAD" w:rsidRPr="005F7046" w:rsidRDefault="00EB0CAD" w:rsidP="0009713A">
      <w:pPr>
        <w:spacing w:after="120"/>
        <w:rPr>
          <w:szCs w:val="22"/>
          <w:lang w:val="en-AU"/>
        </w:rPr>
      </w:pPr>
      <w:r w:rsidRPr="005F7046">
        <w:rPr>
          <w:szCs w:val="22"/>
          <w:lang w:val="en-AU"/>
        </w:rPr>
        <w:t xml:space="preserve">The anatomy of muscles and the surrounding vascular and nervous structures in the glabellar region, and any alterations to the anatomy due to prior surgical procedures, must be understood prior to administering </w:t>
      </w:r>
      <w:r w:rsidR="000B2D3E">
        <w:rPr>
          <w:szCs w:val="22"/>
          <w:lang w:val="en-AU"/>
        </w:rPr>
        <w:t>LETYBO</w:t>
      </w:r>
      <w:r w:rsidRPr="005F7046">
        <w:rPr>
          <w:szCs w:val="22"/>
          <w:lang w:val="en-AU"/>
        </w:rPr>
        <w:t>. Injection into vulnerable anatomic structures must be avoided.</w:t>
      </w:r>
    </w:p>
    <w:p w14:paraId="08286EA5" w14:textId="47F6BDC8" w:rsidR="00EB0CAD" w:rsidRPr="005F7046" w:rsidRDefault="00EB0CAD" w:rsidP="0009713A">
      <w:pPr>
        <w:spacing w:after="120"/>
        <w:rPr>
          <w:szCs w:val="22"/>
          <w:lang w:val="en-AU"/>
        </w:rPr>
      </w:pPr>
      <w:bookmarkStart w:id="9" w:name="_Hlk10551641"/>
      <w:r w:rsidRPr="005F7046">
        <w:rPr>
          <w:szCs w:val="22"/>
          <w:lang w:val="en-AU"/>
        </w:rPr>
        <w:t xml:space="preserve">Caution should be taken when </w:t>
      </w:r>
      <w:r w:rsidR="000B2D3E">
        <w:rPr>
          <w:szCs w:val="22"/>
          <w:lang w:val="en-AU"/>
        </w:rPr>
        <w:t>LETYBO</w:t>
      </w:r>
      <w:r w:rsidRPr="005F7046">
        <w:rPr>
          <w:szCs w:val="22"/>
          <w:lang w:val="en-AU"/>
        </w:rPr>
        <w:t xml:space="preserve"> is used when the targeted muscle shows excessive weakness or atrophy.</w:t>
      </w:r>
      <w:bookmarkEnd w:id="9"/>
    </w:p>
    <w:p w14:paraId="2ACD423E" w14:textId="291A6927" w:rsidR="006E3E0D" w:rsidRPr="005F7046" w:rsidRDefault="006E3E0D" w:rsidP="0009713A">
      <w:pPr>
        <w:spacing w:after="120"/>
        <w:rPr>
          <w:szCs w:val="22"/>
          <w:lang w:val="en-AU"/>
        </w:rPr>
      </w:pPr>
      <w:r w:rsidRPr="005F7046">
        <w:rPr>
          <w:szCs w:val="22"/>
          <w:lang w:val="en-AU"/>
        </w:rPr>
        <w:t xml:space="preserve">Care should be taken to ensure that </w:t>
      </w:r>
      <w:r w:rsidR="000B2D3E">
        <w:rPr>
          <w:szCs w:val="22"/>
          <w:lang w:val="en-AU"/>
        </w:rPr>
        <w:t>LETYBO</w:t>
      </w:r>
      <w:r w:rsidRPr="005F7046">
        <w:rPr>
          <w:szCs w:val="22"/>
          <w:lang w:val="en-AU"/>
        </w:rPr>
        <w:t xml:space="preserve"> is not injected into a blood vessel.</w:t>
      </w:r>
    </w:p>
    <w:p w14:paraId="01A61861" w14:textId="77777777" w:rsidR="00EB0CAD" w:rsidRPr="005F7046" w:rsidRDefault="00EB0CAD" w:rsidP="0009713A">
      <w:pPr>
        <w:spacing w:after="120"/>
        <w:rPr>
          <w:rFonts w:ascii="Arial" w:hAnsi="Arial" w:cs="Arial"/>
          <w:b/>
          <w:bCs/>
          <w:noProof/>
          <w:sz w:val="22"/>
          <w:szCs w:val="22"/>
          <w:lang w:val="en-AU"/>
        </w:rPr>
      </w:pPr>
      <w:r w:rsidRPr="005F7046">
        <w:rPr>
          <w:rFonts w:ascii="Arial" w:hAnsi="Arial" w:cs="Arial"/>
          <w:b/>
          <w:bCs/>
          <w:noProof/>
          <w:sz w:val="22"/>
          <w:szCs w:val="22"/>
          <w:lang w:val="en-AU"/>
        </w:rPr>
        <w:t>Procedure-related events</w:t>
      </w:r>
    </w:p>
    <w:p w14:paraId="754BA331" w14:textId="16B92B51" w:rsidR="00A47C83" w:rsidRPr="005F7046" w:rsidRDefault="00EB0CAD" w:rsidP="0009713A">
      <w:pPr>
        <w:spacing w:after="120"/>
        <w:rPr>
          <w:noProof/>
          <w:szCs w:val="22"/>
          <w:lang w:val="en-AU"/>
        </w:rPr>
      </w:pPr>
      <w:r w:rsidRPr="005F7046">
        <w:rPr>
          <w:szCs w:val="22"/>
          <w:lang w:val="en-AU"/>
        </w:rPr>
        <w:t>Needle</w:t>
      </w:r>
      <w:r w:rsidRPr="005F7046">
        <w:rPr>
          <w:noProof/>
          <w:szCs w:val="22"/>
          <w:lang w:val="en-AU"/>
        </w:rPr>
        <w:t>-related pain and/or anxiety have resulted in vasovagal responses, including transient symptomatic hypotension and syncope after treatment with other botulinum toxins.</w:t>
      </w:r>
    </w:p>
    <w:p w14:paraId="191079F5" w14:textId="77777777" w:rsidR="00EB0CAD" w:rsidRPr="005F7046" w:rsidRDefault="00EB0CAD" w:rsidP="0009713A">
      <w:pPr>
        <w:spacing w:after="120"/>
        <w:rPr>
          <w:rFonts w:ascii="Arial" w:hAnsi="Arial" w:cs="Arial"/>
          <w:b/>
          <w:bCs/>
          <w:noProof/>
          <w:sz w:val="22"/>
          <w:szCs w:val="22"/>
          <w:lang w:val="en-AU"/>
        </w:rPr>
      </w:pPr>
      <w:r w:rsidRPr="005F7046">
        <w:rPr>
          <w:rFonts w:ascii="Arial" w:hAnsi="Arial" w:cs="Arial"/>
          <w:b/>
          <w:bCs/>
          <w:noProof/>
          <w:sz w:val="22"/>
          <w:szCs w:val="22"/>
          <w:lang w:val="en-AU"/>
        </w:rPr>
        <w:t>Pre-existing neuromuscular disorders</w:t>
      </w:r>
    </w:p>
    <w:p w14:paraId="7303E178" w14:textId="45ED7651" w:rsidR="00EB0CAD" w:rsidRPr="005F7046" w:rsidRDefault="00EB0CAD" w:rsidP="0009713A">
      <w:pPr>
        <w:spacing w:after="120"/>
        <w:rPr>
          <w:szCs w:val="22"/>
          <w:lang w:val="en-AU"/>
        </w:rPr>
      </w:pPr>
      <w:r w:rsidRPr="005F7046">
        <w:rPr>
          <w:szCs w:val="22"/>
          <w:lang w:val="en-AU"/>
        </w:rPr>
        <w:t>Patients with unrecognised neuromuscular disorders may be at increased risk of clinically significant systemic effects including severe dysphagia and respiratory compromise from typical doses of botulinum</w:t>
      </w:r>
      <w:r w:rsidR="00FA2A97">
        <w:rPr>
          <w:szCs w:val="22"/>
          <w:lang w:val="en-AU"/>
        </w:rPr>
        <w:t xml:space="preserve"> </w:t>
      </w:r>
      <w:r w:rsidRPr="005F7046">
        <w:rPr>
          <w:szCs w:val="22"/>
          <w:lang w:val="en-AU"/>
        </w:rPr>
        <w:t>toxin</w:t>
      </w:r>
      <w:r w:rsidR="00FA2A97">
        <w:rPr>
          <w:szCs w:val="22"/>
          <w:lang w:val="en-AU"/>
        </w:rPr>
        <w:t xml:space="preserve"> </w:t>
      </w:r>
      <w:r w:rsidRPr="005F7046">
        <w:rPr>
          <w:szCs w:val="22"/>
          <w:lang w:val="en-AU"/>
        </w:rPr>
        <w:t xml:space="preserve">type A. </w:t>
      </w:r>
    </w:p>
    <w:p w14:paraId="76EDB2CC" w14:textId="77777777" w:rsidR="00EB0CAD" w:rsidRPr="005F7046" w:rsidRDefault="00EB0CAD" w:rsidP="0009713A">
      <w:pPr>
        <w:spacing w:after="120"/>
        <w:rPr>
          <w:rFonts w:ascii="Arial" w:hAnsi="Arial" w:cs="Arial"/>
          <w:b/>
          <w:bCs/>
          <w:sz w:val="22"/>
          <w:szCs w:val="22"/>
          <w:lang w:val="en-AU"/>
        </w:rPr>
      </w:pPr>
      <w:r w:rsidRPr="005F7046">
        <w:rPr>
          <w:rFonts w:ascii="Arial" w:hAnsi="Arial" w:cs="Arial"/>
          <w:b/>
          <w:bCs/>
          <w:noProof/>
          <w:sz w:val="22"/>
          <w:szCs w:val="22"/>
          <w:lang w:val="en-AU"/>
        </w:rPr>
        <w:t>Hypersensitivity</w:t>
      </w:r>
      <w:r w:rsidRPr="005F7046">
        <w:rPr>
          <w:rFonts w:ascii="Arial" w:hAnsi="Arial" w:cs="Arial"/>
          <w:b/>
          <w:bCs/>
          <w:sz w:val="22"/>
          <w:szCs w:val="22"/>
          <w:lang w:val="en-AU"/>
        </w:rPr>
        <w:t xml:space="preserve"> reactions </w:t>
      </w:r>
    </w:p>
    <w:p w14:paraId="1E1F09BE" w14:textId="79DC238B" w:rsidR="00EB0CAD" w:rsidRPr="005F7046" w:rsidRDefault="00EB0CAD" w:rsidP="0009713A">
      <w:pPr>
        <w:spacing w:after="120"/>
        <w:rPr>
          <w:szCs w:val="22"/>
          <w:lang w:val="en-AU"/>
        </w:rPr>
      </w:pPr>
      <w:r w:rsidRPr="005F7046">
        <w:rPr>
          <w:szCs w:val="22"/>
          <w:lang w:val="en-AU"/>
        </w:rPr>
        <w:t>An anaphylactic reaction may occur very rarely after injection of botulinum</w:t>
      </w:r>
      <w:r w:rsidR="00FA2A97">
        <w:rPr>
          <w:szCs w:val="22"/>
          <w:lang w:val="en-AU"/>
        </w:rPr>
        <w:t xml:space="preserve"> </w:t>
      </w:r>
      <w:r w:rsidRPr="005F7046">
        <w:rPr>
          <w:szCs w:val="22"/>
          <w:lang w:val="en-AU"/>
        </w:rPr>
        <w:t>toxin</w:t>
      </w:r>
      <w:r w:rsidR="00FA2A97">
        <w:rPr>
          <w:szCs w:val="22"/>
          <w:lang w:val="en-AU"/>
        </w:rPr>
        <w:t xml:space="preserve"> </w:t>
      </w:r>
      <w:r w:rsidR="006E3E0D" w:rsidRPr="005F7046">
        <w:rPr>
          <w:szCs w:val="22"/>
          <w:lang w:val="en-AU"/>
        </w:rPr>
        <w:t>type A</w:t>
      </w:r>
      <w:r w:rsidRPr="005F7046">
        <w:rPr>
          <w:szCs w:val="22"/>
          <w:lang w:val="en-AU"/>
        </w:rPr>
        <w:t>. Epinephrine (adrenaline</w:t>
      </w:r>
      <w:proofErr w:type="gramStart"/>
      <w:r w:rsidRPr="005F7046">
        <w:rPr>
          <w:szCs w:val="22"/>
          <w:lang w:val="en-AU"/>
        </w:rPr>
        <w:t>)</w:t>
      </w:r>
      <w:proofErr w:type="gramEnd"/>
      <w:r w:rsidRPr="005F7046">
        <w:rPr>
          <w:szCs w:val="22"/>
          <w:lang w:val="en-AU"/>
        </w:rPr>
        <w:t xml:space="preserve"> or any other anti-anaphylactic measures should therefore be available. </w:t>
      </w:r>
    </w:p>
    <w:p w14:paraId="27C57120" w14:textId="77777777" w:rsidR="00EB0CAD" w:rsidRPr="005F7046" w:rsidRDefault="00EB0CAD" w:rsidP="0009713A">
      <w:pPr>
        <w:spacing w:after="120"/>
        <w:rPr>
          <w:rFonts w:ascii="Arial" w:hAnsi="Arial" w:cs="Arial"/>
          <w:b/>
          <w:bCs/>
          <w:sz w:val="22"/>
          <w:szCs w:val="22"/>
          <w:lang w:val="en-AU"/>
        </w:rPr>
      </w:pPr>
      <w:r w:rsidRPr="008F298A">
        <w:rPr>
          <w:rFonts w:ascii="Arial" w:hAnsi="Arial" w:cs="Arial"/>
          <w:b/>
          <w:bCs/>
          <w:sz w:val="22"/>
          <w:szCs w:val="22"/>
          <w:lang w:val="en-AU"/>
        </w:rPr>
        <w:t xml:space="preserve">Local or </w:t>
      </w:r>
      <w:r w:rsidRPr="008F298A">
        <w:rPr>
          <w:rFonts w:ascii="Arial" w:hAnsi="Arial" w:cs="Arial"/>
          <w:b/>
          <w:bCs/>
          <w:noProof/>
          <w:sz w:val="22"/>
          <w:szCs w:val="22"/>
          <w:lang w:val="en-AU"/>
        </w:rPr>
        <w:t>distant</w:t>
      </w:r>
      <w:r w:rsidRPr="008F298A">
        <w:rPr>
          <w:rFonts w:ascii="Arial" w:hAnsi="Arial" w:cs="Arial"/>
          <w:b/>
          <w:bCs/>
          <w:sz w:val="22"/>
          <w:szCs w:val="22"/>
          <w:lang w:val="en-AU"/>
        </w:rPr>
        <w:t xml:space="preserve"> spread of toxin effects</w:t>
      </w:r>
      <w:r w:rsidRPr="005F7046">
        <w:rPr>
          <w:rFonts w:ascii="Arial" w:hAnsi="Arial" w:cs="Arial"/>
          <w:b/>
          <w:bCs/>
          <w:sz w:val="22"/>
          <w:szCs w:val="22"/>
          <w:lang w:val="en-AU"/>
        </w:rPr>
        <w:t xml:space="preserve"> </w:t>
      </w:r>
    </w:p>
    <w:p w14:paraId="5BC618EB" w14:textId="3F6AB5D1" w:rsidR="00EB0CAD" w:rsidRPr="005F7046" w:rsidRDefault="00EB0CAD" w:rsidP="0009713A">
      <w:pPr>
        <w:spacing w:after="120"/>
        <w:rPr>
          <w:szCs w:val="22"/>
          <w:lang w:val="en-AU"/>
        </w:rPr>
      </w:pPr>
      <w:r w:rsidRPr="005F7046">
        <w:rPr>
          <w:szCs w:val="22"/>
          <w:lang w:val="en-AU"/>
        </w:rPr>
        <w:t>Adverse reactions possibly related to the spread of toxin distant from the site of administration have been reported very rarely with botulinum</w:t>
      </w:r>
      <w:r w:rsidR="00FA2A97">
        <w:rPr>
          <w:szCs w:val="22"/>
          <w:lang w:val="en-AU"/>
        </w:rPr>
        <w:t xml:space="preserve"> </w:t>
      </w:r>
      <w:r w:rsidRPr="005F7046">
        <w:rPr>
          <w:szCs w:val="22"/>
          <w:lang w:val="en-AU"/>
        </w:rPr>
        <w:t>toxin</w:t>
      </w:r>
      <w:r w:rsidR="00FA2A97">
        <w:rPr>
          <w:szCs w:val="22"/>
          <w:lang w:val="en-AU"/>
        </w:rPr>
        <w:t xml:space="preserve"> </w:t>
      </w:r>
      <w:r w:rsidR="006E3E0D" w:rsidRPr="005F7046">
        <w:rPr>
          <w:szCs w:val="22"/>
          <w:lang w:val="en-AU"/>
        </w:rPr>
        <w:t xml:space="preserve">type A </w:t>
      </w:r>
      <w:r w:rsidRPr="005F7046">
        <w:rPr>
          <w:szCs w:val="22"/>
          <w:lang w:val="en-AU"/>
        </w:rPr>
        <w:t>(</w:t>
      </w:r>
      <w:r w:rsidRPr="00315FA2">
        <w:rPr>
          <w:szCs w:val="22"/>
          <w:lang w:val="en-AU"/>
        </w:rPr>
        <w:t xml:space="preserve">see </w:t>
      </w:r>
      <w:r w:rsidR="008F298A" w:rsidRPr="00315FA2">
        <w:rPr>
          <w:szCs w:val="22"/>
          <w:lang w:val="en-AU"/>
        </w:rPr>
        <w:t xml:space="preserve">Section </w:t>
      </w:r>
      <w:r w:rsidRPr="00315FA2">
        <w:rPr>
          <w:szCs w:val="22"/>
          <w:lang w:val="en-AU"/>
        </w:rPr>
        <w:t>4.8</w:t>
      </w:r>
      <w:r w:rsidR="008F298A">
        <w:rPr>
          <w:szCs w:val="22"/>
          <w:lang w:val="en-AU"/>
        </w:rPr>
        <w:t xml:space="preserve"> ADVERSE </w:t>
      </w:r>
      <w:r w:rsidR="008F298A">
        <w:rPr>
          <w:szCs w:val="22"/>
          <w:lang w:val="en-AU"/>
        </w:rPr>
        <w:lastRenderedPageBreak/>
        <w:t>EFFECTS</w:t>
      </w:r>
      <w:r w:rsidRPr="005F7046">
        <w:rPr>
          <w:szCs w:val="22"/>
          <w:lang w:val="en-AU"/>
        </w:rPr>
        <w:t xml:space="preserve">). Patients treated with therapeutic doses may experience exaggerated muscle weakness. </w:t>
      </w:r>
    </w:p>
    <w:p w14:paraId="580C435A" w14:textId="033554A3" w:rsidR="00EB0CAD" w:rsidRPr="005F7046" w:rsidRDefault="00EB0CAD" w:rsidP="0009713A">
      <w:pPr>
        <w:spacing w:after="120"/>
        <w:rPr>
          <w:szCs w:val="22"/>
          <w:lang w:val="en-AU"/>
        </w:rPr>
      </w:pPr>
      <w:r w:rsidRPr="005F7046">
        <w:rPr>
          <w:szCs w:val="22"/>
          <w:lang w:val="en-AU"/>
        </w:rPr>
        <w:t xml:space="preserve">Swallowing and breathing difficulties are serious and can result in death. Injection of </w:t>
      </w:r>
      <w:r w:rsidR="000B2D3E">
        <w:rPr>
          <w:szCs w:val="22"/>
          <w:lang w:val="en-AU"/>
        </w:rPr>
        <w:t>LETYBO</w:t>
      </w:r>
      <w:r w:rsidRPr="005F7046">
        <w:rPr>
          <w:szCs w:val="22"/>
          <w:lang w:val="en-AU"/>
        </w:rPr>
        <w:t xml:space="preserve"> is not recommended in patients with a history of dysphagia and aspiration. </w:t>
      </w:r>
    </w:p>
    <w:p w14:paraId="0A6B5CFA" w14:textId="05C7BD23" w:rsidR="00EB0CAD" w:rsidRPr="005F7046" w:rsidRDefault="00EB0CAD" w:rsidP="0009713A">
      <w:pPr>
        <w:spacing w:after="120"/>
        <w:rPr>
          <w:szCs w:val="22"/>
          <w:lang w:val="en-AU"/>
        </w:rPr>
      </w:pPr>
      <w:r w:rsidRPr="005F7046">
        <w:rPr>
          <w:szCs w:val="22"/>
          <w:lang w:val="en-AU"/>
        </w:rPr>
        <w:t xml:space="preserve">Patients should be advised to seek immediate medical care if swallowing, </w:t>
      </w:r>
      <w:proofErr w:type="gramStart"/>
      <w:r w:rsidRPr="005F7046">
        <w:rPr>
          <w:szCs w:val="22"/>
          <w:lang w:val="en-AU"/>
        </w:rPr>
        <w:t>speech</w:t>
      </w:r>
      <w:proofErr w:type="gramEnd"/>
      <w:r w:rsidRPr="005F7046">
        <w:rPr>
          <w:szCs w:val="22"/>
          <w:lang w:val="en-AU"/>
        </w:rPr>
        <w:t xml:space="preserve"> or respiratory disorders arise.</w:t>
      </w:r>
    </w:p>
    <w:p w14:paraId="5C8B7EEE" w14:textId="7AB3A5B9" w:rsidR="008F298A" w:rsidRPr="005F7046" w:rsidRDefault="008F298A" w:rsidP="008F298A">
      <w:pPr>
        <w:spacing w:after="120"/>
        <w:rPr>
          <w:szCs w:val="22"/>
          <w:lang w:val="en-AU"/>
        </w:rPr>
      </w:pPr>
      <w:r w:rsidRPr="005F7046">
        <w:rPr>
          <w:szCs w:val="22"/>
          <w:lang w:val="en-AU"/>
        </w:rPr>
        <w:t>There is a risk of eyelid ptosis following treatment</w:t>
      </w:r>
      <w:r w:rsidRPr="008F298A">
        <w:rPr>
          <w:szCs w:val="22"/>
          <w:lang w:val="en-AU"/>
        </w:rPr>
        <w:t xml:space="preserve">. </w:t>
      </w:r>
      <w:r w:rsidRPr="00315FA2">
        <w:rPr>
          <w:szCs w:val="22"/>
          <w:lang w:val="en-AU"/>
        </w:rPr>
        <w:t>See Section 4.2</w:t>
      </w:r>
      <w:r w:rsidRPr="008F298A">
        <w:rPr>
          <w:szCs w:val="22"/>
          <w:lang w:val="en-AU"/>
        </w:rPr>
        <w:t xml:space="preserve"> DOSE AND METHOD OF ADMINISTRATIION for instructions on how to minimise this risk.</w:t>
      </w:r>
    </w:p>
    <w:p w14:paraId="53DA9C4A" w14:textId="77777777" w:rsidR="00EB0CAD" w:rsidRPr="005F7046" w:rsidRDefault="00EB0CAD" w:rsidP="0009713A">
      <w:pPr>
        <w:spacing w:after="120"/>
        <w:rPr>
          <w:rFonts w:ascii="Arial" w:hAnsi="Arial" w:cs="Arial"/>
          <w:b/>
          <w:bCs/>
          <w:sz w:val="22"/>
          <w:szCs w:val="22"/>
          <w:lang w:val="en-AU"/>
        </w:rPr>
      </w:pPr>
      <w:r w:rsidRPr="005F7046">
        <w:rPr>
          <w:rFonts w:ascii="Arial" w:hAnsi="Arial" w:cs="Arial"/>
          <w:b/>
          <w:bCs/>
          <w:sz w:val="22"/>
          <w:szCs w:val="22"/>
          <w:lang w:val="en-AU"/>
        </w:rPr>
        <w:t xml:space="preserve">Antibody </w:t>
      </w:r>
      <w:r w:rsidRPr="005F7046">
        <w:rPr>
          <w:rFonts w:ascii="Arial" w:hAnsi="Arial" w:cs="Arial"/>
          <w:b/>
          <w:bCs/>
          <w:noProof/>
          <w:sz w:val="22"/>
          <w:szCs w:val="22"/>
          <w:lang w:val="en-AU"/>
        </w:rPr>
        <w:t>formation</w:t>
      </w:r>
    </w:p>
    <w:p w14:paraId="6D6AE90B" w14:textId="29ECE0BF" w:rsidR="008F2572" w:rsidRDefault="008702F2" w:rsidP="001A666B">
      <w:pPr>
        <w:spacing w:after="120"/>
        <w:rPr>
          <w:szCs w:val="22"/>
          <w:lang w:val="en-AU"/>
        </w:rPr>
      </w:pPr>
      <w:r w:rsidRPr="005F7046">
        <w:rPr>
          <w:szCs w:val="22"/>
          <w:lang w:val="en-AU"/>
        </w:rPr>
        <w:t>As with all therapeutic proteins, there is a potential for immunogenicity</w:t>
      </w:r>
      <w:r w:rsidR="0055524D">
        <w:rPr>
          <w:szCs w:val="22"/>
          <w:lang w:val="en-AU"/>
        </w:rPr>
        <w:t>. The</w:t>
      </w:r>
      <w:r w:rsidRPr="005F7046">
        <w:rPr>
          <w:szCs w:val="22"/>
          <w:lang w:val="en-AU"/>
        </w:rPr>
        <w:t xml:space="preserve"> formation of neutralising antibodies to botulinum</w:t>
      </w:r>
      <w:r w:rsidR="00FA2A97">
        <w:rPr>
          <w:szCs w:val="22"/>
          <w:lang w:val="en-AU"/>
        </w:rPr>
        <w:t xml:space="preserve"> </w:t>
      </w:r>
      <w:r w:rsidRPr="005F7046">
        <w:rPr>
          <w:szCs w:val="22"/>
          <w:lang w:val="en-AU"/>
        </w:rPr>
        <w:t>toxin</w:t>
      </w:r>
      <w:r w:rsidR="00FA2A97">
        <w:rPr>
          <w:szCs w:val="22"/>
          <w:lang w:val="en-AU"/>
        </w:rPr>
        <w:t xml:space="preserve"> </w:t>
      </w:r>
      <w:r w:rsidR="0086535A">
        <w:rPr>
          <w:szCs w:val="22"/>
          <w:lang w:val="en-AU"/>
        </w:rPr>
        <w:t xml:space="preserve">type </w:t>
      </w:r>
      <w:r w:rsidRPr="005F7046">
        <w:rPr>
          <w:szCs w:val="22"/>
          <w:lang w:val="en-AU"/>
        </w:rPr>
        <w:t xml:space="preserve">A may reduce the effectiveness of treatment by inactivating the biological activity of the toxin. The critical factors for neutralising antibody formation have not been well characterised. Too frequent doses may increase the risk of antibody formation, which can result in treatment failure. The potential for antibody formation may be minimised by injecting with the lowest effective dose given at the longest feasible intervals between injections. </w:t>
      </w:r>
    </w:p>
    <w:p w14:paraId="597666C3" w14:textId="7F76BED9" w:rsidR="00FA2A97" w:rsidRPr="005F7046" w:rsidRDefault="0086535A" w:rsidP="001A666B">
      <w:pPr>
        <w:spacing w:after="120"/>
        <w:rPr>
          <w:szCs w:val="22"/>
          <w:lang w:val="en-AU"/>
        </w:rPr>
      </w:pPr>
      <w:r>
        <w:rPr>
          <w:szCs w:val="22"/>
          <w:lang w:val="en-AU"/>
        </w:rPr>
        <w:t>No neutrali</w:t>
      </w:r>
      <w:r w:rsidR="0078336C">
        <w:rPr>
          <w:szCs w:val="22"/>
          <w:lang w:val="en-AU"/>
        </w:rPr>
        <w:t>s</w:t>
      </w:r>
      <w:r>
        <w:rPr>
          <w:szCs w:val="22"/>
          <w:lang w:val="en-AU"/>
        </w:rPr>
        <w:t>ing anti-drug antibodies were detected in subjects receiving up to 4 treatments with LETYBO in the phase 3 clinical studies.</w:t>
      </w:r>
    </w:p>
    <w:p w14:paraId="375A9B4F" w14:textId="377CE6B9" w:rsidR="00EB0CAD" w:rsidRPr="005F7046" w:rsidRDefault="00EB0CAD" w:rsidP="0009713A">
      <w:pPr>
        <w:spacing w:after="120"/>
        <w:rPr>
          <w:rFonts w:ascii="Arial" w:eastAsia="SimSun" w:hAnsi="Arial" w:cs="Arial"/>
          <w:b/>
          <w:bCs/>
          <w:sz w:val="22"/>
          <w:szCs w:val="22"/>
          <w:lang w:val="en-AU" w:eastAsia="de-AT"/>
        </w:rPr>
      </w:pPr>
      <w:r w:rsidRPr="005F7046">
        <w:rPr>
          <w:rFonts w:ascii="Arial" w:eastAsia="SimSun" w:hAnsi="Arial" w:cs="Arial"/>
          <w:b/>
          <w:bCs/>
          <w:sz w:val="22"/>
          <w:szCs w:val="22"/>
          <w:lang w:val="en-AU" w:eastAsia="de-AT"/>
        </w:rPr>
        <w:t xml:space="preserve">Bleeding </w:t>
      </w:r>
      <w:r w:rsidRPr="005F7046">
        <w:rPr>
          <w:rFonts w:ascii="Arial" w:hAnsi="Arial" w:cs="Arial"/>
          <w:b/>
          <w:bCs/>
          <w:noProof/>
          <w:sz w:val="22"/>
          <w:szCs w:val="22"/>
          <w:lang w:val="en-AU"/>
        </w:rPr>
        <w:t>disorders</w:t>
      </w:r>
      <w:r w:rsidRPr="005F7046">
        <w:rPr>
          <w:rFonts w:ascii="Arial" w:eastAsia="SimSun" w:hAnsi="Arial" w:cs="Arial"/>
          <w:b/>
          <w:bCs/>
          <w:sz w:val="22"/>
          <w:szCs w:val="22"/>
          <w:lang w:val="en-AU" w:eastAsia="de-AT"/>
        </w:rPr>
        <w:t xml:space="preserve"> </w:t>
      </w:r>
    </w:p>
    <w:p w14:paraId="18B5D1E2" w14:textId="5176ED53" w:rsidR="00EB0CAD" w:rsidRPr="005F7046" w:rsidRDefault="00EB0CAD" w:rsidP="0009713A">
      <w:pPr>
        <w:spacing w:after="120"/>
        <w:rPr>
          <w:szCs w:val="22"/>
          <w:lang w:val="en-AU"/>
        </w:rPr>
      </w:pPr>
      <w:r w:rsidRPr="005F7046">
        <w:rPr>
          <w:rFonts w:eastAsia="SimSun"/>
          <w:szCs w:val="22"/>
          <w:lang w:val="en-AU" w:eastAsia="de-AT"/>
        </w:rPr>
        <w:t xml:space="preserve">Caution should be exercised when </w:t>
      </w:r>
      <w:r w:rsidR="000B2D3E">
        <w:rPr>
          <w:szCs w:val="22"/>
          <w:lang w:val="en-AU"/>
        </w:rPr>
        <w:t>LETYBO</w:t>
      </w:r>
      <w:r w:rsidRPr="005F7046">
        <w:rPr>
          <w:rFonts w:eastAsia="SimSun"/>
          <w:szCs w:val="22"/>
          <w:lang w:val="en-AU" w:eastAsia="de-AT"/>
        </w:rPr>
        <w:t xml:space="preserve"> is used in patients with bleeding disorders as injection may lead to bruising.</w:t>
      </w:r>
    </w:p>
    <w:p w14:paraId="09CA43CD" w14:textId="77777777" w:rsidR="00E84172" w:rsidRPr="00315FA2" w:rsidRDefault="00E84172" w:rsidP="00315FA2">
      <w:pPr>
        <w:spacing w:after="120"/>
        <w:rPr>
          <w:rFonts w:ascii="Arial" w:hAnsi="Arial" w:cs="Arial"/>
          <w:b/>
          <w:bCs/>
          <w:sz w:val="22"/>
          <w:szCs w:val="22"/>
          <w:lang w:eastAsia="de-AT"/>
        </w:rPr>
      </w:pPr>
      <w:r w:rsidRPr="00315FA2">
        <w:rPr>
          <w:rFonts w:ascii="Arial" w:eastAsia="SimSun" w:hAnsi="Arial" w:cs="Arial"/>
          <w:b/>
          <w:bCs/>
          <w:sz w:val="22"/>
          <w:szCs w:val="22"/>
          <w:lang w:val="en-AU" w:eastAsia="de-AT"/>
        </w:rPr>
        <w:t xml:space="preserve">Human albumin and transmission of viral diseases </w:t>
      </w:r>
    </w:p>
    <w:p w14:paraId="2F97C772" w14:textId="77777777" w:rsidR="00E84172" w:rsidRPr="00315FA2" w:rsidRDefault="00E84172" w:rsidP="00315FA2">
      <w:pPr>
        <w:spacing w:after="120"/>
      </w:pPr>
      <w:r w:rsidRPr="00315FA2">
        <w:rPr>
          <w:lang w:val="en-AU"/>
        </w:rPr>
        <w:t xml:space="preserve">This product contains a small amount of human albumin. The risk of transmission of viral infection or prion-related infection such as Creutzfeldt-Jakob Disease (CJD) cannot be excluded with absolute certainty following the use of human blood or blood products. </w:t>
      </w:r>
    </w:p>
    <w:p w14:paraId="413F1D4A" w14:textId="7D1B03F8" w:rsidR="00FD1F94" w:rsidRPr="005F7046" w:rsidRDefault="00FD1F94" w:rsidP="0009713A">
      <w:pPr>
        <w:pStyle w:val="Heading3"/>
        <w:numPr>
          <w:ilvl w:val="0"/>
          <w:numId w:val="0"/>
        </w:numPr>
        <w:spacing w:before="240" w:after="120"/>
        <w:rPr>
          <w:lang w:val="en-AU"/>
        </w:rPr>
      </w:pPr>
      <w:r w:rsidRPr="005F7046">
        <w:rPr>
          <w:lang w:val="en-AU"/>
        </w:rPr>
        <w:t>Use in the elderly</w:t>
      </w:r>
    </w:p>
    <w:p w14:paraId="06A5B1DA" w14:textId="4E31B340" w:rsidR="00EB0CAD" w:rsidRPr="005F7046" w:rsidRDefault="006E3E0D" w:rsidP="0009713A">
      <w:pPr>
        <w:spacing w:after="120"/>
        <w:rPr>
          <w:lang w:val="en-AU"/>
        </w:rPr>
      </w:pPr>
      <w:r w:rsidRPr="005F7046">
        <w:rPr>
          <w:lang w:val="en-AU"/>
        </w:rPr>
        <w:t xml:space="preserve">There are no clinical data with </w:t>
      </w:r>
      <w:r w:rsidR="000B2D3E">
        <w:rPr>
          <w:lang w:val="en-AU"/>
        </w:rPr>
        <w:t>LETYBO</w:t>
      </w:r>
      <w:r w:rsidRPr="005F7046">
        <w:rPr>
          <w:lang w:val="en-AU"/>
        </w:rPr>
        <w:t xml:space="preserve"> in patients older than 75 years. No specific dose adjustment is required for use in the elderly older than 65 years of age.</w:t>
      </w:r>
    </w:p>
    <w:p w14:paraId="10D3B016" w14:textId="008C3143" w:rsidR="00FD1F94" w:rsidRPr="005F7046" w:rsidRDefault="00FD1F94" w:rsidP="0009713A">
      <w:pPr>
        <w:pStyle w:val="Heading3"/>
        <w:numPr>
          <w:ilvl w:val="0"/>
          <w:numId w:val="0"/>
        </w:numPr>
        <w:spacing w:before="240" w:after="120"/>
        <w:rPr>
          <w:lang w:val="en-AU"/>
        </w:rPr>
      </w:pPr>
      <w:bookmarkStart w:id="10" w:name="_Ref45713328"/>
      <w:r w:rsidRPr="005F7046">
        <w:rPr>
          <w:lang w:val="en-AU"/>
        </w:rPr>
        <w:t>Paediatric use</w:t>
      </w:r>
      <w:bookmarkEnd w:id="10"/>
    </w:p>
    <w:p w14:paraId="539C0361" w14:textId="09A0B6A8" w:rsidR="006E3E0D" w:rsidRPr="005F7046" w:rsidRDefault="000B2D3E" w:rsidP="0009713A">
      <w:pPr>
        <w:spacing w:after="120"/>
        <w:rPr>
          <w:lang w:val="en-AU"/>
        </w:rPr>
      </w:pPr>
      <w:r>
        <w:rPr>
          <w:lang w:val="en-AU"/>
        </w:rPr>
        <w:t>LETYBO</w:t>
      </w:r>
      <w:r w:rsidR="00A06084">
        <w:rPr>
          <w:lang w:val="en-AU"/>
        </w:rPr>
        <w:t xml:space="preserve"> </w:t>
      </w:r>
      <w:r w:rsidR="00A06084" w:rsidRPr="00A06084">
        <w:t xml:space="preserve">has not been studied in the </w:t>
      </w:r>
      <w:proofErr w:type="spellStart"/>
      <w:r w:rsidR="00A06084" w:rsidRPr="00A06084">
        <w:t>paediatric</w:t>
      </w:r>
      <w:proofErr w:type="spellEnd"/>
      <w:r w:rsidR="00A06084" w:rsidRPr="00A06084">
        <w:t xml:space="preserve"> population and is therefore not recommended </w:t>
      </w:r>
      <w:r w:rsidR="00A06084">
        <w:t xml:space="preserve">for use </w:t>
      </w:r>
      <w:r w:rsidR="00A06084" w:rsidRPr="00A06084">
        <w:t xml:space="preserve">in the </w:t>
      </w:r>
      <w:proofErr w:type="spellStart"/>
      <w:r w:rsidR="00A06084" w:rsidRPr="00A06084">
        <w:t>paediatric</w:t>
      </w:r>
      <w:proofErr w:type="spellEnd"/>
      <w:r w:rsidR="00A06084" w:rsidRPr="00A06084">
        <w:t xml:space="preserve"> age group</w:t>
      </w:r>
      <w:r w:rsidR="006E3E0D" w:rsidRPr="005F7046">
        <w:rPr>
          <w:lang w:val="en-AU"/>
        </w:rPr>
        <w:t>.</w:t>
      </w:r>
    </w:p>
    <w:p w14:paraId="5D3E7621" w14:textId="77777777" w:rsidR="00FD1F94" w:rsidRPr="005F7046" w:rsidRDefault="00B97A3A" w:rsidP="0009713A">
      <w:pPr>
        <w:pStyle w:val="Heading3"/>
        <w:numPr>
          <w:ilvl w:val="0"/>
          <w:numId w:val="0"/>
        </w:numPr>
        <w:spacing w:before="240" w:after="120"/>
        <w:rPr>
          <w:lang w:val="en-AU"/>
        </w:rPr>
      </w:pPr>
      <w:r w:rsidRPr="005F7046">
        <w:rPr>
          <w:lang w:val="en-AU"/>
        </w:rPr>
        <w:t>Effects</w:t>
      </w:r>
      <w:r w:rsidR="00FD1F94" w:rsidRPr="005F7046">
        <w:rPr>
          <w:lang w:val="en-AU"/>
        </w:rPr>
        <w:t xml:space="preserve"> on laboratory tests</w:t>
      </w:r>
    </w:p>
    <w:p w14:paraId="72BA1281" w14:textId="48694790" w:rsidR="006A3FE5" w:rsidRPr="005F7046" w:rsidRDefault="006A3FE5" w:rsidP="0009713A">
      <w:pPr>
        <w:spacing w:after="120"/>
        <w:rPr>
          <w:lang w:val="en-AU"/>
        </w:rPr>
      </w:pPr>
      <w:r w:rsidRPr="005F7046">
        <w:rPr>
          <w:lang w:val="en-AU"/>
        </w:rPr>
        <w:t>No data available</w:t>
      </w:r>
      <w:r w:rsidR="006D62E3" w:rsidRPr="005F7046">
        <w:rPr>
          <w:lang w:val="en-AU"/>
        </w:rPr>
        <w:t>.</w:t>
      </w:r>
    </w:p>
    <w:p w14:paraId="5686D6F2" w14:textId="77777777" w:rsidR="00FD1F94" w:rsidRPr="00F478CD" w:rsidRDefault="00FD1F94" w:rsidP="0009713A">
      <w:pPr>
        <w:pStyle w:val="Heading2"/>
        <w:spacing w:before="240" w:after="120"/>
        <w:rPr>
          <w:lang w:val="en-AU"/>
        </w:rPr>
      </w:pPr>
      <w:bookmarkStart w:id="11" w:name="_Ref511902015"/>
      <w:r w:rsidRPr="00F478CD">
        <w:rPr>
          <w:lang w:val="en-AU"/>
        </w:rPr>
        <w:lastRenderedPageBreak/>
        <w:t>INTERACTIONS WITH OTHER MEDICINES AND OTHER FORMS OF INTERACTIONS</w:t>
      </w:r>
      <w:bookmarkEnd w:id="11"/>
    </w:p>
    <w:p w14:paraId="197AC5B6" w14:textId="5D4B7263" w:rsidR="000819ED" w:rsidRPr="004F523F" w:rsidRDefault="00A84E0A" w:rsidP="004F523F">
      <w:pPr>
        <w:rPr>
          <w:lang w:val="en-AU"/>
        </w:rPr>
      </w:pPr>
      <w:r w:rsidRPr="00C307DC">
        <w:t xml:space="preserve">Coadministration of LETYBO and aminoglycoside antibiotics or other agents interfering with neuromuscular transmission, e.g., tubocurarine-type muscle relaxants, should only be </w:t>
      </w:r>
      <w:r w:rsidR="006F7BCB" w:rsidRPr="00C307DC">
        <w:t xml:space="preserve">used </w:t>
      </w:r>
      <w:r w:rsidRPr="00C307DC">
        <w:t>with caution</w:t>
      </w:r>
      <w:r w:rsidR="006C7F98">
        <w:t xml:space="preserve"> </w:t>
      </w:r>
      <w:r w:rsidR="00C94D14" w:rsidRPr="000B5E88">
        <w:rPr>
          <w:noProof/>
          <w:lang w:val="en-AU"/>
        </w:rPr>
        <w:t>in patients treated with botulinum toxin</w:t>
      </w:r>
      <w:r w:rsidR="0086535A">
        <w:rPr>
          <w:noProof/>
          <w:lang w:val="en-AU"/>
        </w:rPr>
        <w:t xml:space="preserve"> type</w:t>
      </w:r>
      <w:r w:rsidR="00C94D14" w:rsidRPr="000B5E88">
        <w:rPr>
          <w:noProof/>
          <w:lang w:val="en-AU"/>
        </w:rPr>
        <w:t xml:space="preserve"> A</w:t>
      </w:r>
      <w:r w:rsidR="00C94D14" w:rsidRPr="004F523F">
        <w:rPr>
          <w:noProof/>
          <w:lang w:val="en-AU"/>
        </w:rPr>
        <w:t>.</w:t>
      </w:r>
    </w:p>
    <w:p w14:paraId="10C54F44" w14:textId="663D1D7A" w:rsidR="00FD1F94" w:rsidRPr="005F7046" w:rsidRDefault="00FD1F94" w:rsidP="007C2322">
      <w:pPr>
        <w:pStyle w:val="Heading2"/>
        <w:spacing w:before="240" w:after="120"/>
        <w:rPr>
          <w:lang w:val="en-AU"/>
        </w:rPr>
      </w:pPr>
      <w:bookmarkStart w:id="12" w:name="_Ref45718876"/>
      <w:r w:rsidRPr="005F7046">
        <w:rPr>
          <w:lang w:val="en-AU"/>
        </w:rPr>
        <w:t>FERTILITY, PREGNANCY AND LACTATION</w:t>
      </w:r>
      <w:bookmarkEnd w:id="12"/>
    </w:p>
    <w:p w14:paraId="3C667035" w14:textId="77777777" w:rsidR="00FD1F94" w:rsidRPr="005F7046" w:rsidRDefault="00FD1F94" w:rsidP="0009713A">
      <w:pPr>
        <w:pStyle w:val="Heading3"/>
        <w:numPr>
          <w:ilvl w:val="0"/>
          <w:numId w:val="0"/>
        </w:numPr>
        <w:spacing w:before="240" w:after="120"/>
        <w:rPr>
          <w:lang w:val="en-AU"/>
        </w:rPr>
      </w:pPr>
      <w:r w:rsidRPr="005F7046">
        <w:rPr>
          <w:lang w:val="en-AU"/>
        </w:rPr>
        <w:t>Effects on fertility</w:t>
      </w:r>
    </w:p>
    <w:p w14:paraId="1DC9FCBD" w14:textId="5193F20D" w:rsidR="003A1904" w:rsidRDefault="00FA705E" w:rsidP="0009713A">
      <w:pPr>
        <w:spacing w:after="120"/>
        <w:rPr>
          <w:noProof/>
          <w:lang w:val="en-AU"/>
        </w:rPr>
      </w:pPr>
      <w:r w:rsidRPr="005F7046">
        <w:rPr>
          <w:noProof/>
          <w:lang w:val="en-AU"/>
        </w:rPr>
        <w:t xml:space="preserve">There are no adequate data on the effects on fertility from the use of </w:t>
      </w:r>
      <w:r w:rsidR="00A84E0A" w:rsidRPr="005F7046">
        <w:rPr>
          <w:noProof/>
          <w:lang w:val="en-AU"/>
        </w:rPr>
        <w:t xml:space="preserve">letibotulinumtoxinA </w:t>
      </w:r>
      <w:r w:rsidRPr="005F7046">
        <w:rPr>
          <w:noProof/>
          <w:lang w:val="en-AU"/>
        </w:rPr>
        <w:t xml:space="preserve">in women of childbearing potential. </w:t>
      </w:r>
    </w:p>
    <w:p w14:paraId="33B9CB0E" w14:textId="490AB8EB" w:rsidR="0004260D" w:rsidRPr="005F7046" w:rsidRDefault="0004260D" w:rsidP="0009713A">
      <w:pPr>
        <w:spacing w:after="120"/>
        <w:rPr>
          <w:noProof/>
          <w:lang w:val="en-AU"/>
        </w:rPr>
      </w:pPr>
      <w:r>
        <w:rPr>
          <w:noProof/>
          <w:lang w:val="en-AU"/>
        </w:rPr>
        <w:t xml:space="preserve">No animal fertility studies have been conducted with letibotulinumtoxinA. Intramuscular doses of 4 U/kg (males) and 8 U/kg (females) of a similar drug did not affect rat fertility. Decreased fertility occurred with higher doses, which also resulted in signs of toxicity. The relevance of these findings to human fertility is not known. </w:t>
      </w:r>
    </w:p>
    <w:p w14:paraId="2193DF49" w14:textId="34E63F85" w:rsidR="00FD1F94" w:rsidRPr="00492F26" w:rsidRDefault="00FD1F94" w:rsidP="0009713A">
      <w:pPr>
        <w:pStyle w:val="Heading3"/>
        <w:numPr>
          <w:ilvl w:val="0"/>
          <w:numId w:val="0"/>
        </w:numPr>
        <w:spacing w:before="240" w:after="120"/>
        <w:rPr>
          <w:lang w:val="en-AU"/>
        </w:rPr>
      </w:pPr>
      <w:r w:rsidRPr="00492F26">
        <w:rPr>
          <w:lang w:val="en-AU"/>
        </w:rPr>
        <w:t xml:space="preserve">Use in </w:t>
      </w:r>
      <w:r w:rsidR="00082283" w:rsidRPr="00492F26">
        <w:rPr>
          <w:lang w:val="en-AU"/>
        </w:rPr>
        <w:t>pregnancy –</w:t>
      </w:r>
      <w:r w:rsidR="00723629" w:rsidRPr="00492F26">
        <w:rPr>
          <w:lang w:val="en-AU"/>
        </w:rPr>
        <w:t xml:space="preserve"> </w:t>
      </w:r>
      <w:r w:rsidR="00D440A7" w:rsidRPr="00492F26">
        <w:rPr>
          <w:lang w:val="en-AU"/>
        </w:rPr>
        <w:t xml:space="preserve">Pregnancy </w:t>
      </w:r>
      <w:r w:rsidR="00082283" w:rsidRPr="00492F26">
        <w:rPr>
          <w:lang w:val="en-AU"/>
        </w:rPr>
        <w:t xml:space="preserve">Category </w:t>
      </w:r>
      <w:r w:rsidR="00D440A7" w:rsidRPr="00492F26">
        <w:rPr>
          <w:lang w:val="en-AU"/>
        </w:rPr>
        <w:t>B3</w:t>
      </w:r>
    </w:p>
    <w:p w14:paraId="2FC3DB20" w14:textId="2839DAF7" w:rsidR="00FA705E" w:rsidRDefault="00FA705E" w:rsidP="0009713A">
      <w:pPr>
        <w:spacing w:after="120"/>
        <w:rPr>
          <w:lang w:val="en-AU" w:eastAsia="de-DE"/>
        </w:rPr>
      </w:pPr>
      <w:r w:rsidRPr="00492F26">
        <w:rPr>
          <w:lang w:val="en-AU" w:eastAsia="de-DE"/>
        </w:rPr>
        <w:t xml:space="preserve">There are no adequate data from the use of </w:t>
      </w:r>
      <w:r w:rsidR="0099210F" w:rsidRPr="00492F26">
        <w:rPr>
          <w:lang w:val="en-AU" w:eastAsia="de-DE"/>
        </w:rPr>
        <w:t>letibotulinumtoxinA i</w:t>
      </w:r>
      <w:r w:rsidRPr="00492F26">
        <w:rPr>
          <w:lang w:val="en-AU" w:eastAsia="de-DE"/>
        </w:rPr>
        <w:t>n pregnant women. Studies in animals have shown reproductive toxicity at high doses. The potential risk for humans is unknown.</w:t>
      </w:r>
      <w:r w:rsidR="00D440A7" w:rsidRPr="00492F26">
        <w:rPr>
          <w:lang w:val="en-AU" w:eastAsia="de-DE"/>
        </w:rPr>
        <w:t xml:space="preserve"> LETYBO should not be used during pregnancy</w:t>
      </w:r>
      <w:r w:rsidRPr="00492F26">
        <w:rPr>
          <w:lang w:val="en-AU" w:eastAsia="de-DE"/>
        </w:rPr>
        <w:t>.</w:t>
      </w:r>
    </w:p>
    <w:p w14:paraId="4E91FCFD" w14:textId="222687B5" w:rsidR="0004260D" w:rsidRPr="005F7046" w:rsidRDefault="0004260D" w:rsidP="0009713A">
      <w:pPr>
        <w:spacing w:after="120"/>
        <w:rPr>
          <w:lang w:val="en-AU" w:eastAsia="de-DE"/>
        </w:rPr>
      </w:pPr>
      <w:r>
        <w:rPr>
          <w:lang w:val="en-AU" w:eastAsia="de-DE"/>
        </w:rPr>
        <w:t xml:space="preserve">Following daily IM exposure to pregnant rats at doses ≥1.18 U/kg/day (266-fold the clinical dose) during the period of organogenesis, small </w:t>
      </w:r>
      <w:proofErr w:type="spellStart"/>
      <w:r>
        <w:rPr>
          <w:lang w:val="en-AU" w:eastAsia="de-DE"/>
        </w:rPr>
        <w:t>fetuses</w:t>
      </w:r>
      <w:proofErr w:type="spellEnd"/>
      <w:r>
        <w:rPr>
          <w:lang w:val="en-AU" w:eastAsia="de-DE"/>
        </w:rPr>
        <w:t xml:space="preserve">, lower fetal </w:t>
      </w:r>
      <w:proofErr w:type="gramStart"/>
      <w:r>
        <w:rPr>
          <w:lang w:val="en-AU" w:eastAsia="de-DE"/>
        </w:rPr>
        <w:t>weights</w:t>
      </w:r>
      <w:proofErr w:type="gramEnd"/>
      <w:r>
        <w:rPr>
          <w:lang w:val="en-AU" w:eastAsia="de-DE"/>
        </w:rPr>
        <w:t xml:space="preserve"> and minor skeletal and visceral variations were seen. These effects were likely due to maternal toxicity. </w:t>
      </w:r>
    </w:p>
    <w:p w14:paraId="534FA3C6" w14:textId="4B5D4063" w:rsidR="00FD1F94" w:rsidRPr="005F7046" w:rsidRDefault="00FD1F94" w:rsidP="0009713A">
      <w:pPr>
        <w:pStyle w:val="Heading3"/>
        <w:numPr>
          <w:ilvl w:val="0"/>
          <w:numId w:val="0"/>
        </w:numPr>
        <w:spacing w:before="240" w:after="120"/>
        <w:rPr>
          <w:lang w:val="en-AU"/>
        </w:rPr>
      </w:pPr>
      <w:r w:rsidRPr="005F7046">
        <w:rPr>
          <w:lang w:val="en-AU"/>
        </w:rPr>
        <w:t>Use in lactation</w:t>
      </w:r>
    </w:p>
    <w:p w14:paraId="1EF2F84E" w14:textId="201B8CAF" w:rsidR="00A7374A" w:rsidRPr="005F7046" w:rsidRDefault="00FA705E" w:rsidP="0009713A">
      <w:pPr>
        <w:spacing w:after="120"/>
        <w:rPr>
          <w:noProof/>
          <w:lang w:val="en-AU"/>
        </w:rPr>
      </w:pPr>
      <w:r w:rsidRPr="005F7046">
        <w:rPr>
          <w:noProof/>
          <w:lang w:val="en-AU"/>
        </w:rPr>
        <w:t xml:space="preserve">It is </w:t>
      </w:r>
      <w:r w:rsidR="00D952CA" w:rsidRPr="005F7046">
        <w:rPr>
          <w:noProof/>
          <w:lang w:val="en-AU"/>
        </w:rPr>
        <w:t xml:space="preserve">not </w:t>
      </w:r>
      <w:r w:rsidRPr="005F7046">
        <w:rPr>
          <w:noProof/>
          <w:lang w:val="en-AU"/>
        </w:rPr>
        <w:t xml:space="preserve">known whether </w:t>
      </w:r>
      <w:r w:rsidR="00D440A7" w:rsidRPr="005F7046">
        <w:rPr>
          <w:noProof/>
          <w:lang w:val="en-AU"/>
        </w:rPr>
        <w:t xml:space="preserve">letibotulinumtoxinA </w:t>
      </w:r>
      <w:r w:rsidRPr="005F7046">
        <w:rPr>
          <w:noProof/>
          <w:lang w:val="en-AU"/>
        </w:rPr>
        <w:t>is excreted in human milk. The use of L</w:t>
      </w:r>
      <w:r w:rsidR="00D440A7" w:rsidRPr="005F7046">
        <w:rPr>
          <w:noProof/>
          <w:lang w:val="en-AU"/>
        </w:rPr>
        <w:t>ETYBO</w:t>
      </w:r>
      <w:r w:rsidRPr="005F7046">
        <w:rPr>
          <w:noProof/>
          <w:lang w:val="en-AU"/>
        </w:rPr>
        <w:t xml:space="preserve"> during </w:t>
      </w:r>
      <w:r w:rsidR="00D440A7" w:rsidRPr="005F7046">
        <w:rPr>
          <w:noProof/>
          <w:lang w:val="en-AU"/>
        </w:rPr>
        <w:t>lactation</w:t>
      </w:r>
      <w:r w:rsidRPr="005F7046">
        <w:rPr>
          <w:noProof/>
          <w:lang w:val="en-AU"/>
        </w:rPr>
        <w:t xml:space="preserve"> is not recommended.</w:t>
      </w:r>
    </w:p>
    <w:p w14:paraId="6A2C883F" w14:textId="77777777" w:rsidR="00FD1F94" w:rsidRPr="005F7046" w:rsidRDefault="00FD1F94" w:rsidP="0009713A">
      <w:pPr>
        <w:pStyle w:val="Heading2"/>
        <w:spacing w:before="240" w:after="120"/>
        <w:rPr>
          <w:lang w:val="en-AU"/>
        </w:rPr>
      </w:pPr>
      <w:bookmarkStart w:id="13" w:name="page4"/>
      <w:bookmarkStart w:id="14" w:name="_Ref45718373"/>
      <w:bookmarkEnd w:id="13"/>
      <w:r w:rsidRPr="005F7046">
        <w:rPr>
          <w:lang w:val="en-AU"/>
        </w:rPr>
        <w:t>EFFECTS ON ABILITY TO DRIVE AND USE MACHINES</w:t>
      </w:r>
      <w:bookmarkEnd w:id="14"/>
    </w:p>
    <w:p w14:paraId="4A566759" w14:textId="353974E2" w:rsidR="003963AA" w:rsidRDefault="008D0280" w:rsidP="0009713A">
      <w:pPr>
        <w:spacing w:after="120"/>
        <w:rPr>
          <w:noProof/>
          <w:lang w:val="en-AU"/>
        </w:rPr>
      </w:pPr>
      <w:r w:rsidRPr="005F7046">
        <w:rPr>
          <w:noProof/>
          <w:lang w:val="en-AU"/>
        </w:rPr>
        <w:t>LETYBO can have an effect on the ability to use and drive machines.</w:t>
      </w:r>
    </w:p>
    <w:p w14:paraId="7845C6CF" w14:textId="6BFEC500" w:rsidR="006B1413" w:rsidRPr="005F7046" w:rsidRDefault="006B1413" w:rsidP="0009713A">
      <w:pPr>
        <w:spacing w:after="120"/>
        <w:rPr>
          <w:noProof/>
          <w:lang w:val="en-AU"/>
        </w:rPr>
      </w:pPr>
      <w:r>
        <w:rPr>
          <w:noProof/>
          <w:lang w:val="en-AU"/>
        </w:rPr>
        <w:t xml:space="preserve">No studies have been performed on the effects on the ability to drive and use machines. However, botulinum toxin type A has been associated with asthenia, muscle weakness, dizziness and visual disturbance, which could affect driving and the operation of machinery. </w:t>
      </w:r>
    </w:p>
    <w:p w14:paraId="7C02FD08" w14:textId="55945908" w:rsidR="00AA0E25" w:rsidRPr="005F7046" w:rsidRDefault="008D0280" w:rsidP="0009713A">
      <w:pPr>
        <w:spacing w:after="120"/>
        <w:rPr>
          <w:noProof/>
          <w:lang w:val="en-AU"/>
        </w:rPr>
      </w:pPr>
      <w:r w:rsidRPr="005F7046">
        <w:rPr>
          <w:noProof/>
          <w:lang w:val="en-AU"/>
        </w:rPr>
        <w:t>Patients should be counselled that they should avoid driving</w:t>
      </w:r>
      <w:r w:rsidR="006B1413">
        <w:rPr>
          <w:noProof/>
          <w:lang w:val="en-AU"/>
        </w:rPr>
        <w:t>, operating machinery</w:t>
      </w:r>
      <w:r w:rsidRPr="005F7046">
        <w:rPr>
          <w:noProof/>
          <w:lang w:val="en-AU"/>
        </w:rPr>
        <w:t xml:space="preserve"> or </w:t>
      </w:r>
      <w:r w:rsidR="006B1413">
        <w:rPr>
          <w:noProof/>
          <w:lang w:val="en-AU"/>
        </w:rPr>
        <w:t>engage in</w:t>
      </w:r>
      <w:r w:rsidRPr="005F7046">
        <w:rPr>
          <w:noProof/>
          <w:lang w:val="en-AU"/>
        </w:rPr>
        <w:t xml:space="preserve"> other potentially hazardous activities</w:t>
      </w:r>
      <w:r w:rsidR="006B1413">
        <w:rPr>
          <w:noProof/>
          <w:lang w:val="en-AU"/>
        </w:rPr>
        <w:t>, if any of the above symptoms develop</w:t>
      </w:r>
      <w:r w:rsidRPr="005F7046">
        <w:rPr>
          <w:noProof/>
          <w:lang w:val="en-AU"/>
        </w:rPr>
        <w:t>.</w:t>
      </w:r>
    </w:p>
    <w:p w14:paraId="21C7BCEE" w14:textId="7F813149" w:rsidR="00FD1F94" w:rsidRPr="005F7046" w:rsidRDefault="00FD1F94" w:rsidP="0009713A">
      <w:pPr>
        <w:pStyle w:val="Heading2"/>
        <w:spacing w:before="240" w:after="120"/>
        <w:rPr>
          <w:lang w:val="en-AU"/>
        </w:rPr>
      </w:pPr>
      <w:r w:rsidRPr="005F7046">
        <w:rPr>
          <w:lang w:val="en-AU"/>
        </w:rPr>
        <w:t>ADVERSE EFFECTS (UNDESIRABLE EFFECTS)</w:t>
      </w:r>
    </w:p>
    <w:p w14:paraId="1A4CCA76" w14:textId="4FC1C176" w:rsidR="006F274A" w:rsidRPr="005F7046" w:rsidRDefault="006F274A" w:rsidP="0009713A">
      <w:pPr>
        <w:spacing w:after="120"/>
        <w:rPr>
          <w:bCs/>
          <w:lang w:val="en-AU"/>
        </w:rPr>
      </w:pPr>
      <w:r w:rsidRPr="005F7046">
        <w:rPr>
          <w:b/>
          <w:bCs/>
          <w:lang w:val="en-AU"/>
        </w:rPr>
        <w:t>Adverse Events</w:t>
      </w:r>
    </w:p>
    <w:p w14:paraId="589E8560" w14:textId="6FA31CC3" w:rsidR="00875EB1" w:rsidRPr="005F7046" w:rsidRDefault="00875EB1" w:rsidP="0009713A">
      <w:pPr>
        <w:spacing w:after="120"/>
        <w:rPr>
          <w:noProof/>
          <w:lang w:val="en-AU"/>
        </w:rPr>
      </w:pPr>
      <w:r w:rsidRPr="005F7046">
        <w:rPr>
          <w:noProof/>
          <w:lang w:val="en-AU"/>
        </w:rPr>
        <w:t xml:space="preserve">The safety of </w:t>
      </w:r>
      <w:r w:rsidR="006F274A" w:rsidRPr="005F7046">
        <w:rPr>
          <w:noProof/>
          <w:lang w:val="en-AU"/>
        </w:rPr>
        <w:t>LETYBO for the treatment of glabellar frown lines</w:t>
      </w:r>
      <w:r w:rsidRPr="005F7046">
        <w:rPr>
          <w:noProof/>
          <w:lang w:val="en-AU"/>
        </w:rPr>
        <w:t xml:space="preserve"> was evaluated in three pivotal Phase 3 clinical studies that all included a placebo-controlled part (cycle 1) and a long-term extension part (cycles 2-4) covering a period of up to a year and including 1162 patients </w:t>
      </w:r>
      <w:r w:rsidRPr="005F7046">
        <w:rPr>
          <w:noProof/>
          <w:lang w:val="en-AU"/>
        </w:rPr>
        <w:lastRenderedPageBreak/>
        <w:t xml:space="preserve">receiving </w:t>
      </w:r>
      <w:r w:rsidR="000B2D3E">
        <w:rPr>
          <w:noProof/>
          <w:lang w:val="en-AU"/>
        </w:rPr>
        <w:t>LETYBO</w:t>
      </w:r>
      <w:r w:rsidRPr="005F7046">
        <w:rPr>
          <w:noProof/>
          <w:lang w:val="en-AU"/>
        </w:rPr>
        <w:t xml:space="preserve">. In addition, supportive data are available from a Phase 3 study in glabellar lines carried out in Korea as well as post-marketing data. </w:t>
      </w:r>
    </w:p>
    <w:p w14:paraId="557FE3F4" w14:textId="7A4CBA6F" w:rsidR="00875EB1" w:rsidRPr="005F7046" w:rsidRDefault="00875EB1" w:rsidP="0009713A">
      <w:pPr>
        <w:pStyle w:val="NormalWeb"/>
        <w:spacing w:before="240" w:beforeAutospacing="0" w:after="120" w:afterAutospacing="0"/>
      </w:pPr>
      <w:r w:rsidRPr="005F7046">
        <w:t xml:space="preserve">Most adverse events reported were of mild to moderate severity. </w:t>
      </w:r>
      <w:r w:rsidR="006F274A" w:rsidRPr="005F7046">
        <w:t xml:space="preserve">Table 2 summarises the </w:t>
      </w:r>
      <w:r w:rsidR="00001332" w:rsidRPr="005F7046">
        <w:t>frequency of adverse events in greater than 2% of patients for L</w:t>
      </w:r>
      <w:r w:rsidR="00130620" w:rsidRPr="005F7046">
        <w:t>E</w:t>
      </w:r>
      <w:r w:rsidR="00001332" w:rsidRPr="005F7046">
        <w:t>T</w:t>
      </w:r>
      <w:r w:rsidR="00130620" w:rsidRPr="005F7046">
        <w:t>Y</w:t>
      </w:r>
      <w:r w:rsidR="00001332" w:rsidRPr="005F7046">
        <w:t>BO and placebo during clinical trials.</w:t>
      </w:r>
    </w:p>
    <w:p w14:paraId="04AD92B3" w14:textId="0908688A" w:rsidR="00001332" w:rsidRPr="005F7046" w:rsidRDefault="00001332" w:rsidP="00315FA2">
      <w:pPr>
        <w:pStyle w:val="NormalWeb"/>
        <w:keepNext/>
        <w:keepLines/>
        <w:spacing w:before="240" w:beforeAutospacing="0" w:after="120" w:afterAutospacing="0"/>
        <w:rPr>
          <w:b/>
          <w:bCs/>
        </w:rPr>
      </w:pPr>
      <w:r w:rsidRPr="005F7046">
        <w:rPr>
          <w:b/>
          <w:bCs/>
        </w:rPr>
        <w:t>Table 2:</w:t>
      </w:r>
      <w:r w:rsidRPr="005F7046">
        <w:rPr>
          <w:b/>
          <w:bCs/>
        </w:rPr>
        <w:tab/>
      </w:r>
      <w:r w:rsidR="006751F2" w:rsidRPr="005F7046">
        <w:rPr>
          <w:b/>
          <w:bCs/>
        </w:rPr>
        <w:t xml:space="preserve">Number (%) of Patients with </w:t>
      </w:r>
      <w:r w:rsidRPr="005F7046">
        <w:rPr>
          <w:b/>
          <w:bCs/>
        </w:rPr>
        <w:t xml:space="preserve">Adverse Events </w:t>
      </w:r>
      <w:r w:rsidR="006751F2" w:rsidRPr="005F7046">
        <w:rPr>
          <w:b/>
          <w:bCs/>
        </w:rPr>
        <w:t>(</w:t>
      </w:r>
      <w:r w:rsidRPr="005F7046">
        <w:rPr>
          <w:b/>
          <w:bCs/>
        </w:rPr>
        <w:t>&gt; 2%</w:t>
      </w:r>
      <w:r w:rsidR="006751F2" w:rsidRPr="005F7046">
        <w:rPr>
          <w:b/>
          <w:bCs/>
        </w:rPr>
        <w:t xml:space="preserve"> of </w:t>
      </w:r>
      <w:proofErr w:type="gramStart"/>
      <w:r w:rsidR="006751F2" w:rsidRPr="005F7046">
        <w:rPr>
          <w:b/>
          <w:bCs/>
        </w:rPr>
        <w:t>Patients</w:t>
      </w:r>
      <w:proofErr w:type="gramEnd"/>
      <w:r w:rsidR="006751F2" w:rsidRPr="005F7046">
        <w:rPr>
          <w:b/>
          <w:bCs/>
        </w:rPr>
        <w:t>)</w:t>
      </w:r>
    </w:p>
    <w:tbl>
      <w:tblPr>
        <w:tblStyle w:val="TableGrid"/>
        <w:tblW w:w="0" w:type="auto"/>
        <w:tblLook w:val="04A0" w:firstRow="1" w:lastRow="0" w:firstColumn="1" w:lastColumn="0" w:noHBand="0" w:noVBand="1"/>
      </w:tblPr>
      <w:tblGrid>
        <w:gridCol w:w="3681"/>
        <w:gridCol w:w="2734"/>
        <w:gridCol w:w="2735"/>
      </w:tblGrid>
      <w:tr w:rsidR="00001332" w:rsidRPr="005F7046" w14:paraId="251268CD" w14:textId="77777777" w:rsidTr="00315FA2">
        <w:tc>
          <w:tcPr>
            <w:tcW w:w="3681" w:type="dxa"/>
          </w:tcPr>
          <w:p w14:paraId="0253D2F4" w14:textId="27BBE96C" w:rsidR="00001332" w:rsidRPr="005F7046" w:rsidRDefault="00001332" w:rsidP="00315FA2">
            <w:pPr>
              <w:pStyle w:val="NormalWeb"/>
              <w:keepNext/>
              <w:keepLines/>
              <w:spacing w:before="40" w:beforeAutospacing="0" w:after="40" w:afterAutospacing="0"/>
              <w:rPr>
                <w:b/>
                <w:bCs/>
              </w:rPr>
            </w:pPr>
            <w:r w:rsidRPr="005F7046">
              <w:rPr>
                <w:b/>
                <w:bCs/>
              </w:rPr>
              <w:t>Adverse events</w:t>
            </w:r>
          </w:p>
        </w:tc>
        <w:tc>
          <w:tcPr>
            <w:tcW w:w="2734" w:type="dxa"/>
          </w:tcPr>
          <w:p w14:paraId="655E51C7" w14:textId="77777777" w:rsidR="00001332" w:rsidRPr="005F7046" w:rsidRDefault="00001332" w:rsidP="00315FA2">
            <w:pPr>
              <w:pStyle w:val="NormalWeb"/>
              <w:keepNext/>
              <w:keepLines/>
              <w:spacing w:before="40" w:beforeAutospacing="0" w:after="40" w:afterAutospacing="0"/>
              <w:jc w:val="center"/>
              <w:rPr>
                <w:b/>
                <w:bCs/>
              </w:rPr>
            </w:pPr>
            <w:r w:rsidRPr="005F7046">
              <w:rPr>
                <w:b/>
                <w:bCs/>
              </w:rPr>
              <w:t>LETYBO</w:t>
            </w:r>
          </w:p>
          <w:p w14:paraId="64D07CBB" w14:textId="3715BCE4" w:rsidR="00001332" w:rsidRPr="005F7046" w:rsidRDefault="00001332" w:rsidP="00315FA2">
            <w:pPr>
              <w:pStyle w:val="NormalWeb"/>
              <w:keepNext/>
              <w:keepLines/>
              <w:spacing w:before="40" w:beforeAutospacing="0" w:after="40" w:afterAutospacing="0"/>
              <w:jc w:val="center"/>
            </w:pPr>
            <w:r w:rsidRPr="005F7046">
              <w:t xml:space="preserve">(N = </w:t>
            </w:r>
            <w:r w:rsidR="00130620" w:rsidRPr="005F7046">
              <w:t>955</w:t>
            </w:r>
            <w:r w:rsidRPr="005F7046">
              <w:t>)</w:t>
            </w:r>
            <w:r w:rsidR="00130620" w:rsidRPr="005F7046">
              <w:t xml:space="preserve">; n </w:t>
            </w:r>
            <w:r w:rsidRPr="005F7046">
              <w:t>(%)</w:t>
            </w:r>
          </w:p>
        </w:tc>
        <w:tc>
          <w:tcPr>
            <w:tcW w:w="2735" w:type="dxa"/>
          </w:tcPr>
          <w:p w14:paraId="1BA13D0F" w14:textId="77777777" w:rsidR="00001332" w:rsidRPr="005F7046" w:rsidRDefault="00001332" w:rsidP="00315FA2">
            <w:pPr>
              <w:pStyle w:val="NormalWeb"/>
              <w:keepNext/>
              <w:keepLines/>
              <w:spacing w:before="40" w:beforeAutospacing="0" w:after="40" w:afterAutospacing="0"/>
              <w:jc w:val="center"/>
              <w:rPr>
                <w:b/>
                <w:bCs/>
              </w:rPr>
            </w:pPr>
            <w:r w:rsidRPr="005F7046">
              <w:rPr>
                <w:b/>
                <w:bCs/>
              </w:rPr>
              <w:t>Placebo</w:t>
            </w:r>
          </w:p>
          <w:p w14:paraId="2D4E0494" w14:textId="443AE110" w:rsidR="00001332" w:rsidRPr="005F7046" w:rsidRDefault="00001332" w:rsidP="00315FA2">
            <w:pPr>
              <w:pStyle w:val="NormalWeb"/>
              <w:keepNext/>
              <w:keepLines/>
              <w:spacing w:before="40" w:beforeAutospacing="0" w:after="40" w:afterAutospacing="0"/>
              <w:jc w:val="center"/>
            </w:pPr>
            <w:r w:rsidRPr="005F7046">
              <w:t xml:space="preserve">(N = </w:t>
            </w:r>
            <w:r w:rsidR="00130620" w:rsidRPr="005F7046">
              <w:t>317</w:t>
            </w:r>
            <w:r w:rsidRPr="005F7046">
              <w:t>)</w:t>
            </w:r>
            <w:r w:rsidR="00130620" w:rsidRPr="005F7046">
              <w:t>; n</w:t>
            </w:r>
            <w:r w:rsidR="006751F2" w:rsidRPr="005F7046">
              <w:t xml:space="preserve"> </w:t>
            </w:r>
            <w:r w:rsidRPr="005F7046">
              <w:t>(%)</w:t>
            </w:r>
          </w:p>
        </w:tc>
      </w:tr>
      <w:tr w:rsidR="00130620" w:rsidRPr="005F7046" w14:paraId="1D536BA0" w14:textId="77777777" w:rsidTr="00315FA2">
        <w:tc>
          <w:tcPr>
            <w:tcW w:w="3681" w:type="dxa"/>
          </w:tcPr>
          <w:p w14:paraId="4E4B3B71" w14:textId="7DF4B809" w:rsidR="00130620" w:rsidRPr="00492F26" w:rsidRDefault="00130620" w:rsidP="00315FA2">
            <w:pPr>
              <w:pStyle w:val="NormalWeb"/>
              <w:keepNext/>
              <w:keepLines/>
              <w:spacing w:before="40" w:beforeAutospacing="0" w:after="40" w:afterAutospacing="0"/>
              <w:rPr>
                <w:iCs/>
              </w:rPr>
            </w:pPr>
            <w:r w:rsidRPr="00492F26">
              <w:rPr>
                <w:iCs/>
              </w:rPr>
              <w:t>Infections and infestations</w:t>
            </w:r>
          </w:p>
        </w:tc>
        <w:tc>
          <w:tcPr>
            <w:tcW w:w="2734" w:type="dxa"/>
          </w:tcPr>
          <w:p w14:paraId="37343604" w14:textId="304538D1" w:rsidR="00130620" w:rsidRPr="00492F26" w:rsidRDefault="00130620" w:rsidP="00315FA2">
            <w:pPr>
              <w:pStyle w:val="NormalWeb"/>
              <w:keepNext/>
              <w:keepLines/>
              <w:spacing w:before="40" w:beforeAutospacing="0" w:after="40" w:afterAutospacing="0"/>
              <w:jc w:val="center"/>
            </w:pPr>
            <w:r w:rsidRPr="00492F26">
              <w:rPr>
                <w:color w:val="000000"/>
              </w:rPr>
              <w:t>84 (8.8)</w:t>
            </w:r>
          </w:p>
        </w:tc>
        <w:tc>
          <w:tcPr>
            <w:tcW w:w="2735" w:type="dxa"/>
          </w:tcPr>
          <w:p w14:paraId="69091ABB" w14:textId="6AA17407" w:rsidR="00130620" w:rsidRPr="00492F26" w:rsidRDefault="00130620" w:rsidP="00315FA2">
            <w:pPr>
              <w:pStyle w:val="NormalWeb"/>
              <w:keepNext/>
              <w:keepLines/>
              <w:spacing w:before="40" w:beforeAutospacing="0" w:after="40" w:afterAutospacing="0"/>
              <w:jc w:val="center"/>
            </w:pPr>
            <w:r w:rsidRPr="00492F26">
              <w:rPr>
                <w:color w:val="000000"/>
              </w:rPr>
              <w:t>27 (8.5)</w:t>
            </w:r>
          </w:p>
        </w:tc>
      </w:tr>
      <w:tr w:rsidR="00130620" w:rsidRPr="005F7046" w14:paraId="31C2F9A7" w14:textId="77777777" w:rsidTr="00315FA2">
        <w:tc>
          <w:tcPr>
            <w:tcW w:w="3681" w:type="dxa"/>
          </w:tcPr>
          <w:p w14:paraId="24549DFC" w14:textId="438F24F3" w:rsidR="00130620" w:rsidRPr="00492F26" w:rsidRDefault="00492F26" w:rsidP="00492F26">
            <w:pPr>
              <w:pStyle w:val="NormalWeb"/>
              <w:keepNext/>
              <w:keepLines/>
              <w:tabs>
                <w:tab w:val="left" w:pos="157"/>
              </w:tabs>
              <w:spacing w:before="40" w:beforeAutospacing="0" w:after="40" w:afterAutospacing="0"/>
              <w:rPr>
                <w:iCs/>
              </w:rPr>
            </w:pPr>
            <w:r>
              <w:rPr>
                <w:iCs/>
              </w:rPr>
              <w:tab/>
            </w:r>
            <w:r w:rsidR="00130620" w:rsidRPr="00492F26">
              <w:rPr>
                <w:iCs/>
              </w:rPr>
              <w:t>Nasopharyngitis</w:t>
            </w:r>
          </w:p>
        </w:tc>
        <w:tc>
          <w:tcPr>
            <w:tcW w:w="2734" w:type="dxa"/>
          </w:tcPr>
          <w:p w14:paraId="5D3DA39D" w14:textId="7A65D8B9" w:rsidR="00130620" w:rsidRPr="00492F26" w:rsidRDefault="00130620" w:rsidP="00315FA2">
            <w:pPr>
              <w:pStyle w:val="NormalWeb"/>
              <w:keepNext/>
              <w:keepLines/>
              <w:spacing w:before="40" w:beforeAutospacing="0" w:after="40" w:afterAutospacing="0"/>
              <w:jc w:val="center"/>
            </w:pPr>
            <w:r w:rsidRPr="00492F26">
              <w:rPr>
                <w:color w:val="000000"/>
              </w:rPr>
              <w:t>25 (2.6)</w:t>
            </w:r>
          </w:p>
        </w:tc>
        <w:tc>
          <w:tcPr>
            <w:tcW w:w="2735" w:type="dxa"/>
          </w:tcPr>
          <w:p w14:paraId="20BA9A6D" w14:textId="303823D9" w:rsidR="00130620" w:rsidRPr="00492F26" w:rsidRDefault="00130620" w:rsidP="00315FA2">
            <w:pPr>
              <w:pStyle w:val="NormalWeb"/>
              <w:keepNext/>
              <w:keepLines/>
              <w:spacing w:before="40" w:beforeAutospacing="0" w:after="40" w:afterAutospacing="0"/>
              <w:jc w:val="center"/>
            </w:pPr>
            <w:r w:rsidRPr="00492F26">
              <w:rPr>
                <w:color w:val="000000"/>
              </w:rPr>
              <w:t>9 (2.8)</w:t>
            </w:r>
          </w:p>
        </w:tc>
      </w:tr>
      <w:tr w:rsidR="00130620" w:rsidRPr="005F7046" w14:paraId="6977F232" w14:textId="77777777" w:rsidTr="00315FA2">
        <w:tc>
          <w:tcPr>
            <w:tcW w:w="3681" w:type="dxa"/>
          </w:tcPr>
          <w:p w14:paraId="1FF03C09" w14:textId="74C4125F" w:rsidR="00130620" w:rsidRPr="00492F26" w:rsidRDefault="00130620" w:rsidP="00315FA2">
            <w:pPr>
              <w:pStyle w:val="NormalWeb"/>
              <w:keepNext/>
              <w:keepLines/>
              <w:spacing w:before="40" w:beforeAutospacing="0" w:after="40" w:afterAutospacing="0"/>
              <w:rPr>
                <w:iCs/>
              </w:rPr>
            </w:pPr>
            <w:r w:rsidRPr="00492F26">
              <w:rPr>
                <w:iCs/>
              </w:rPr>
              <w:t>Nervous system disorders</w:t>
            </w:r>
          </w:p>
        </w:tc>
        <w:tc>
          <w:tcPr>
            <w:tcW w:w="2734" w:type="dxa"/>
          </w:tcPr>
          <w:p w14:paraId="5E3BD9DE" w14:textId="3BA065CC" w:rsidR="00130620" w:rsidRPr="00492F26" w:rsidRDefault="00130620" w:rsidP="00315FA2">
            <w:pPr>
              <w:pStyle w:val="NormalWeb"/>
              <w:keepNext/>
              <w:keepLines/>
              <w:spacing w:before="40" w:beforeAutospacing="0" w:after="40" w:afterAutospacing="0"/>
              <w:jc w:val="center"/>
            </w:pPr>
            <w:r w:rsidRPr="00492F26">
              <w:rPr>
                <w:color w:val="000000"/>
              </w:rPr>
              <w:t>34 (3.6)</w:t>
            </w:r>
          </w:p>
        </w:tc>
        <w:tc>
          <w:tcPr>
            <w:tcW w:w="2735" w:type="dxa"/>
          </w:tcPr>
          <w:p w14:paraId="3922071F" w14:textId="5B0359E1" w:rsidR="00130620" w:rsidRPr="00492F26" w:rsidRDefault="00130620" w:rsidP="00315FA2">
            <w:pPr>
              <w:pStyle w:val="NormalWeb"/>
              <w:keepNext/>
              <w:keepLines/>
              <w:spacing w:before="40" w:beforeAutospacing="0" w:after="40" w:afterAutospacing="0"/>
              <w:jc w:val="center"/>
            </w:pPr>
            <w:r w:rsidRPr="00492F26">
              <w:rPr>
                <w:color w:val="000000"/>
              </w:rPr>
              <w:t>8 (2.5)</w:t>
            </w:r>
          </w:p>
        </w:tc>
      </w:tr>
      <w:tr w:rsidR="00130620" w:rsidRPr="005F7046" w14:paraId="0538A538" w14:textId="77777777" w:rsidTr="00315FA2">
        <w:tc>
          <w:tcPr>
            <w:tcW w:w="3681" w:type="dxa"/>
          </w:tcPr>
          <w:p w14:paraId="3993625F" w14:textId="60FEFE13" w:rsidR="00130620" w:rsidRPr="00492F26" w:rsidRDefault="00492F26" w:rsidP="00492F26">
            <w:pPr>
              <w:pStyle w:val="NormalWeb"/>
              <w:keepNext/>
              <w:keepLines/>
              <w:tabs>
                <w:tab w:val="left" w:pos="157"/>
              </w:tabs>
              <w:spacing w:before="40" w:beforeAutospacing="0" w:after="40" w:afterAutospacing="0"/>
              <w:rPr>
                <w:iCs/>
              </w:rPr>
            </w:pPr>
            <w:r>
              <w:rPr>
                <w:iCs/>
              </w:rPr>
              <w:tab/>
            </w:r>
            <w:r w:rsidR="00130620" w:rsidRPr="00492F26">
              <w:rPr>
                <w:iCs/>
              </w:rPr>
              <w:t>Headache</w:t>
            </w:r>
          </w:p>
        </w:tc>
        <w:tc>
          <w:tcPr>
            <w:tcW w:w="2734" w:type="dxa"/>
          </w:tcPr>
          <w:p w14:paraId="6631BA2A" w14:textId="136E0DE4" w:rsidR="00130620" w:rsidRPr="00492F26" w:rsidRDefault="00130620" w:rsidP="00315FA2">
            <w:pPr>
              <w:pStyle w:val="NormalWeb"/>
              <w:keepNext/>
              <w:keepLines/>
              <w:spacing w:before="40" w:beforeAutospacing="0" w:after="40" w:afterAutospacing="0"/>
              <w:jc w:val="center"/>
            </w:pPr>
            <w:r w:rsidRPr="00492F26">
              <w:rPr>
                <w:color w:val="000000"/>
              </w:rPr>
              <w:t>28 (2.9)</w:t>
            </w:r>
          </w:p>
        </w:tc>
        <w:tc>
          <w:tcPr>
            <w:tcW w:w="2735" w:type="dxa"/>
          </w:tcPr>
          <w:p w14:paraId="1CBFCD6E" w14:textId="0017A1F3" w:rsidR="00130620" w:rsidRPr="00492F26" w:rsidRDefault="00130620" w:rsidP="00315FA2">
            <w:pPr>
              <w:pStyle w:val="NormalWeb"/>
              <w:keepNext/>
              <w:keepLines/>
              <w:spacing w:before="40" w:beforeAutospacing="0" w:after="40" w:afterAutospacing="0"/>
              <w:jc w:val="center"/>
            </w:pPr>
            <w:r w:rsidRPr="00492F26">
              <w:rPr>
                <w:color w:val="000000"/>
              </w:rPr>
              <w:t>4 (1.3)</w:t>
            </w:r>
          </w:p>
        </w:tc>
      </w:tr>
      <w:tr w:rsidR="00130620" w:rsidRPr="005F7046" w14:paraId="5856B544" w14:textId="77777777" w:rsidTr="00315FA2">
        <w:tc>
          <w:tcPr>
            <w:tcW w:w="3681" w:type="dxa"/>
          </w:tcPr>
          <w:p w14:paraId="692707EB" w14:textId="1CA18DFD" w:rsidR="00130620" w:rsidRPr="00492F26" w:rsidRDefault="00130620" w:rsidP="00315FA2">
            <w:pPr>
              <w:pStyle w:val="NormalWeb"/>
              <w:keepNext/>
              <w:keepLines/>
              <w:spacing w:before="40" w:beforeAutospacing="0" w:after="40" w:afterAutospacing="0"/>
              <w:rPr>
                <w:iCs/>
              </w:rPr>
            </w:pPr>
            <w:r w:rsidRPr="00492F26">
              <w:rPr>
                <w:iCs/>
              </w:rPr>
              <w:t>Injury, poisoning and procedural complications</w:t>
            </w:r>
          </w:p>
        </w:tc>
        <w:tc>
          <w:tcPr>
            <w:tcW w:w="2734" w:type="dxa"/>
          </w:tcPr>
          <w:p w14:paraId="1967B384" w14:textId="25AC8AA5" w:rsidR="00130620" w:rsidRPr="00492F26" w:rsidRDefault="00130620" w:rsidP="00315FA2">
            <w:pPr>
              <w:pStyle w:val="NormalWeb"/>
              <w:keepNext/>
              <w:keepLines/>
              <w:spacing w:before="40" w:beforeAutospacing="0" w:after="40" w:afterAutospacing="0"/>
              <w:jc w:val="center"/>
            </w:pPr>
            <w:r w:rsidRPr="00492F26">
              <w:rPr>
                <w:color w:val="000000"/>
              </w:rPr>
              <w:t>25 (2.6)</w:t>
            </w:r>
          </w:p>
        </w:tc>
        <w:tc>
          <w:tcPr>
            <w:tcW w:w="2735" w:type="dxa"/>
          </w:tcPr>
          <w:p w14:paraId="3A5E8D12" w14:textId="674FAB97" w:rsidR="00130620" w:rsidRPr="00492F26" w:rsidRDefault="00130620" w:rsidP="00315FA2">
            <w:pPr>
              <w:pStyle w:val="NormalWeb"/>
              <w:keepNext/>
              <w:keepLines/>
              <w:spacing w:before="40" w:beforeAutospacing="0" w:after="40" w:afterAutospacing="0"/>
              <w:jc w:val="center"/>
            </w:pPr>
            <w:r w:rsidRPr="00492F26">
              <w:rPr>
                <w:color w:val="000000"/>
              </w:rPr>
              <w:t>7 (2.2)</w:t>
            </w:r>
          </w:p>
        </w:tc>
      </w:tr>
      <w:tr w:rsidR="00130620" w:rsidRPr="005F7046" w14:paraId="0C20998F" w14:textId="77777777" w:rsidTr="00315FA2">
        <w:tc>
          <w:tcPr>
            <w:tcW w:w="3681" w:type="dxa"/>
          </w:tcPr>
          <w:p w14:paraId="1174E7B8" w14:textId="74BDA8A0" w:rsidR="00130620" w:rsidRPr="00492F26" w:rsidRDefault="00130620" w:rsidP="00315FA2">
            <w:pPr>
              <w:pStyle w:val="NormalWeb"/>
              <w:keepNext/>
              <w:keepLines/>
              <w:spacing w:before="40" w:beforeAutospacing="0" w:after="40" w:afterAutospacing="0"/>
              <w:rPr>
                <w:iCs/>
              </w:rPr>
            </w:pPr>
            <w:r w:rsidRPr="00492F26">
              <w:rPr>
                <w:iCs/>
              </w:rPr>
              <w:t xml:space="preserve">Musculoskeletal and connective tissue disorders </w:t>
            </w:r>
          </w:p>
        </w:tc>
        <w:tc>
          <w:tcPr>
            <w:tcW w:w="2734" w:type="dxa"/>
          </w:tcPr>
          <w:p w14:paraId="4CEA348A" w14:textId="7676AA8D" w:rsidR="00130620" w:rsidRPr="00492F26" w:rsidRDefault="00130620" w:rsidP="00315FA2">
            <w:pPr>
              <w:pStyle w:val="NormalWeb"/>
              <w:keepNext/>
              <w:keepLines/>
              <w:spacing w:before="40" w:beforeAutospacing="0" w:after="40" w:afterAutospacing="0"/>
              <w:jc w:val="center"/>
            </w:pPr>
            <w:r w:rsidRPr="00492F26">
              <w:rPr>
                <w:color w:val="000000"/>
              </w:rPr>
              <w:t>20 (2.1)</w:t>
            </w:r>
          </w:p>
        </w:tc>
        <w:tc>
          <w:tcPr>
            <w:tcW w:w="2735" w:type="dxa"/>
          </w:tcPr>
          <w:p w14:paraId="4FEE82E6" w14:textId="7A7E234B" w:rsidR="00130620" w:rsidRPr="00492F26" w:rsidRDefault="00130620" w:rsidP="00315FA2">
            <w:pPr>
              <w:pStyle w:val="NormalWeb"/>
              <w:keepNext/>
              <w:keepLines/>
              <w:spacing w:before="40" w:beforeAutospacing="0" w:after="40" w:afterAutospacing="0"/>
              <w:jc w:val="center"/>
            </w:pPr>
            <w:r w:rsidRPr="00492F26">
              <w:rPr>
                <w:color w:val="000000"/>
              </w:rPr>
              <w:t>7 (2.2)</w:t>
            </w:r>
          </w:p>
        </w:tc>
      </w:tr>
      <w:tr w:rsidR="00130620" w:rsidRPr="005F7046" w14:paraId="1ADABFE6" w14:textId="77777777" w:rsidTr="00315FA2">
        <w:tc>
          <w:tcPr>
            <w:tcW w:w="3681" w:type="dxa"/>
          </w:tcPr>
          <w:p w14:paraId="59AFBAEB" w14:textId="541CF592" w:rsidR="00130620" w:rsidRPr="00492F26" w:rsidRDefault="00130620" w:rsidP="00315FA2">
            <w:pPr>
              <w:pStyle w:val="NormalWeb"/>
              <w:keepNext/>
              <w:keepLines/>
              <w:spacing w:before="40" w:beforeAutospacing="0" w:after="40" w:afterAutospacing="0"/>
              <w:rPr>
                <w:iCs/>
              </w:rPr>
            </w:pPr>
            <w:r w:rsidRPr="00492F26">
              <w:rPr>
                <w:iCs/>
              </w:rPr>
              <w:t xml:space="preserve">Gastrointestinal disorders </w:t>
            </w:r>
          </w:p>
        </w:tc>
        <w:tc>
          <w:tcPr>
            <w:tcW w:w="2734" w:type="dxa"/>
          </w:tcPr>
          <w:p w14:paraId="45A2BD83" w14:textId="4179D63D" w:rsidR="00130620" w:rsidRPr="00492F26" w:rsidRDefault="00130620" w:rsidP="00315FA2">
            <w:pPr>
              <w:pStyle w:val="NormalWeb"/>
              <w:keepNext/>
              <w:keepLines/>
              <w:spacing w:before="40" w:beforeAutospacing="0" w:after="40" w:afterAutospacing="0"/>
              <w:jc w:val="center"/>
            </w:pPr>
            <w:r w:rsidRPr="00492F26">
              <w:t>20 (2.1)</w:t>
            </w:r>
          </w:p>
        </w:tc>
        <w:tc>
          <w:tcPr>
            <w:tcW w:w="2735" w:type="dxa"/>
          </w:tcPr>
          <w:p w14:paraId="0F4D12E6" w14:textId="57FC5644" w:rsidR="00130620" w:rsidRPr="00492F26" w:rsidRDefault="00130620" w:rsidP="00315FA2">
            <w:pPr>
              <w:pStyle w:val="NormalWeb"/>
              <w:keepNext/>
              <w:keepLines/>
              <w:spacing w:before="40" w:beforeAutospacing="0" w:after="40" w:afterAutospacing="0"/>
              <w:jc w:val="center"/>
            </w:pPr>
            <w:r w:rsidRPr="00492F26">
              <w:t>4 (1.3)</w:t>
            </w:r>
          </w:p>
        </w:tc>
      </w:tr>
      <w:tr w:rsidR="006C0C47" w:rsidRPr="006C0C47" w14:paraId="62C91572" w14:textId="77777777" w:rsidTr="006751F2">
        <w:tc>
          <w:tcPr>
            <w:tcW w:w="3681" w:type="dxa"/>
          </w:tcPr>
          <w:p w14:paraId="5A827A87" w14:textId="731834E5" w:rsidR="006C0C47" w:rsidRPr="00492F26" w:rsidRDefault="006C0C47" w:rsidP="00315FA2">
            <w:pPr>
              <w:pStyle w:val="NormalWeb"/>
              <w:keepNext/>
              <w:keepLines/>
              <w:spacing w:before="40" w:beforeAutospacing="0" w:after="40" w:afterAutospacing="0"/>
              <w:rPr>
                <w:iCs/>
              </w:rPr>
            </w:pPr>
            <w:r w:rsidRPr="00492F26">
              <w:rPr>
                <w:iCs/>
              </w:rPr>
              <w:t xml:space="preserve">General disorders and administration site conditions </w:t>
            </w:r>
          </w:p>
        </w:tc>
        <w:tc>
          <w:tcPr>
            <w:tcW w:w="2734" w:type="dxa"/>
          </w:tcPr>
          <w:p w14:paraId="5AA37F6B" w14:textId="196BBD9B" w:rsidR="006C0C47" w:rsidRPr="00492F26" w:rsidRDefault="006C0C47" w:rsidP="00315FA2">
            <w:pPr>
              <w:pStyle w:val="NormalWeb"/>
              <w:keepNext/>
              <w:keepLines/>
              <w:spacing w:before="40" w:beforeAutospacing="0" w:after="40" w:afterAutospacing="0"/>
              <w:jc w:val="center"/>
            </w:pPr>
            <w:r w:rsidRPr="00492F26">
              <w:t xml:space="preserve">15 (1.6) </w:t>
            </w:r>
          </w:p>
        </w:tc>
        <w:tc>
          <w:tcPr>
            <w:tcW w:w="2735" w:type="dxa"/>
          </w:tcPr>
          <w:p w14:paraId="4D5C2375" w14:textId="5312C5D3" w:rsidR="006C0C47" w:rsidRPr="00492F26" w:rsidRDefault="006C0C47" w:rsidP="00315FA2">
            <w:pPr>
              <w:pStyle w:val="NormalWeb"/>
              <w:keepNext/>
              <w:keepLines/>
              <w:spacing w:before="40" w:beforeAutospacing="0" w:after="40" w:afterAutospacing="0"/>
              <w:jc w:val="center"/>
            </w:pPr>
            <w:r w:rsidRPr="00492F26">
              <w:t>7 (2.2)</w:t>
            </w:r>
          </w:p>
        </w:tc>
      </w:tr>
    </w:tbl>
    <w:p w14:paraId="06473FE9" w14:textId="45B30748" w:rsidR="006751F2" w:rsidRPr="00492F26" w:rsidRDefault="006751F2" w:rsidP="00492F26">
      <w:pPr>
        <w:pStyle w:val="NormalWeb"/>
        <w:spacing w:before="40" w:beforeAutospacing="0" w:after="120" w:afterAutospacing="0"/>
        <w:rPr>
          <w:sz w:val="22"/>
          <w:szCs w:val="22"/>
        </w:rPr>
      </w:pPr>
      <w:r w:rsidRPr="00492F26">
        <w:rPr>
          <w:sz w:val="22"/>
          <w:szCs w:val="22"/>
        </w:rPr>
        <w:t xml:space="preserve">Note: </w:t>
      </w:r>
      <w:r w:rsidR="00492F26">
        <w:rPr>
          <w:sz w:val="22"/>
          <w:szCs w:val="22"/>
        </w:rPr>
        <w:t>B</w:t>
      </w:r>
      <w:r w:rsidRPr="00492F26">
        <w:rPr>
          <w:sz w:val="22"/>
          <w:szCs w:val="22"/>
        </w:rPr>
        <w:t>ased on pooled placebo-controlled clinical studies</w:t>
      </w:r>
    </w:p>
    <w:p w14:paraId="0926BE76" w14:textId="6899E28F" w:rsidR="00001332" w:rsidRPr="005F7046" w:rsidRDefault="00001332" w:rsidP="0009713A">
      <w:pPr>
        <w:pStyle w:val="NormalWeb"/>
        <w:spacing w:before="240" w:beforeAutospacing="0" w:after="0" w:afterAutospacing="0"/>
        <w:rPr>
          <w:b/>
          <w:bCs/>
        </w:rPr>
      </w:pPr>
      <w:r w:rsidRPr="005F7046">
        <w:rPr>
          <w:b/>
          <w:bCs/>
        </w:rPr>
        <w:t>Adverse Reactions</w:t>
      </w:r>
    </w:p>
    <w:p w14:paraId="68D57D53" w14:textId="56D17907" w:rsidR="00130620" w:rsidRPr="005F7046" w:rsidRDefault="00001332" w:rsidP="00130620">
      <w:pPr>
        <w:pStyle w:val="NormalWeb"/>
        <w:spacing w:before="120" w:beforeAutospacing="0" w:after="0" w:afterAutospacing="0"/>
      </w:pPr>
      <w:r w:rsidRPr="005F7046">
        <w:t xml:space="preserve">Table 3 </w:t>
      </w:r>
      <w:r w:rsidR="00315FA2" w:rsidRPr="005F7046">
        <w:t>summari</w:t>
      </w:r>
      <w:r w:rsidR="00315FA2">
        <w:t>s</w:t>
      </w:r>
      <w:r w:rsidR="00315FA2" w:rsidRPr="005F7046">
        <w:t xml:space="preserve">es </w:t>
      </w:r>
      <w:r w:rsidRPr="005F7046">
        <w:t xml:space="preserve">the clinical experience information on the </w:t>
      </w:r>
      <w:r w:rsidR="00974B45" w:rsidRPr="005F7046">
        <w:t>frequency of adverse reactions.  The frequency categories are defined as follows: very common (≥1/10); common (≥1/100 to &lt;1/10); uncommon (≥1/1,000 to &lt;1/100), rare (≥1/10,000 to &lt;1/1,000); very rare (&lt;1/10,000).</w:t>
      </w:r>
      <w:r w:rsidR="00130620" w:rsidRPr="005F7046">
        <w:t xml:space="preserve">  Of the 1162 patients treated with LETYBO, rare events occurred in 1 subject only.</w:t>
      </w:r>
    </w:p>
    <w:p w14:paraId="6A6A764F" w14:textId="4DBB863E" w:rsidR="00001332" w:rsidRPr="005F7046" w:rsidRDefault="001A666B" w:rsidP="0009713A">
      <w:pPr>
        <w:pStyle w:val="NormalWeb"/>
        <w:spacing w:before="240" w:beforeAutospacing="0" w:after="120" w:afterAutospacing="0"/>
        <w:rPr>
          <w:b/>
          <w:bCs/>
        </w:rPr>
      </w:pPr>
      <w:r w:rsidRPr="005F7046">
        <w:rPr>
          <w:b/>
          <w:bCs/>
        </w:rPr>
        <w:t>Table 3:</w:t>
      </w:r>
      <w:r w:rsidRPr="005F7046">
        <w:rPr>
          <w:b/>
          <w:bCs/>
        </w:rPr>
        <w:tab/>
        <w:t>Adverse Reactions</w:t>
      </w:r>
    </w:p>
    <w:tbl>
      <w:tblPr>
        <w:tblStyle w:val="TableGrid"/>
        <w:tblW w:w="9175" w:type="dxa"/>
        <w:tblLook w:val="04A0" w:firstRow="1" w:lastRow="0" w:firstColumn="1" w:lastColumn="0" w:noHBand="0" w:noVBand="1"/>
      </w:tblPr>
      <w:tblGrid>
        <w:gridCol w:w="2689"/>
        <w:gridCol w:w="6486"/>
      </w:tblGrid>
      <w:tr w:rsidR="00212425" w:rsidRPr="005F7046" w14:paraId="3E106AC9" w14:textId="77777777" w:rsidTr="00315FA2">
        <w:trPr>
          <w:cantSplit/>
          <w:tblHeader/>
        </w:trPr>
        <w:tc>
          <w:tcPr>
            <w:tcW w:w="2689" w:type="dxa"/>
          </w:tcPr>
          <w:p w14:paraId="0425817A" w14:textId="01297758" w:rsidR="00212425" w:rsidRPr="005F7046" w:rsidRDefault="00212425" w:rsidP="004C0C38">
            <w:pPr>
              <w:pStyle w:val="NormalWeb"/>
              <w:spacing w:before="120" w:beforeAutospacing="0" w:after="0" w:afterAutospacing="0"/>
              <w:rPr>
                <w:b/>
                <w:bCs/>
              </w:rPr>
            </w:pPr>
            <w:r w:rsidRPr="005F7046">
              <w:rPr>
                <w:b/>
                <w:bCs/>
              </w:rPr>
              <w:t>Body System</w:t>
            </w:r>
          </w:p>
        </w:tc>
        <w:tc>
          <w:tcPr>
            <w:tcW w:w="6486" w:type="dxa"/>
          </w:tcPr>
          <w:p w14:paraId="2DE4D01B" w14:textId="24DD6116" w:rsidR="00212425" w:rsidRPr="005F7046" w:rsidRDefault="00212425" w:rsidP="004C0C38">
            <w:pPr>
              <w:pStyle w:val="NormalWeb"/>
              <w:spacing w:before="120" w:beforeAutospacing="0" w:after="0" w:afterAutospacing="0"/>
              <w:rPr>
                <w:b/>
                <w:bCs/>
              </w:rPr>
            </w:pPr>
            <w:r w:rsidRPr="005F7046">
              <w:rPr>
                <w:b/>
                <w:bCs/>
              </w:rPr>
              <w:t>Adverse Reactions</w:t>
            </w:r>
          </w:p>
        </w:tc>
      </w:tr>
      <w:tr w:rsidR="0069381A" w:rsidRPr="005F7046" w14:paraId="42342F10" w14:textId="77777777" w:rsidTr="00315FA2">
        <w:trPr>
          <w:cantSplit/>
        </w:trPr>
        <w:tc>
          <w:tcPr>
            <w:tcW w:w="2689" w:type="dxa"/>
            <w:vMerge w:val="restart"/>
          </w:tcPr>
          <w:p w14:paraId="0DD08955" w14:textId="01BFB811" w:rsidR="0069381A" w:rsidRPr="005F7046" w:rsidRDefault="0069381A" w:rsidP="00212425">
            <w:pPr>
              <w:pStyle w:val="NormalWeb"/>
              <w:spacing w:before="120" w:beforeAutospacing="0" w:after="0" w:afterAutospacing="0"/>
            </w:pPr>
            <w:r w:rsidRPr="005F7046">
              <w:t>Infections and infestations</w:t>
            </w:r>
          </w:p>
        </w:tc>
        <w:tc>
          <w:tcPr>
            <w:tcW w:w="6486" w:type="dxa"/>
          </w:tcPr>
          <w:p w14:paraId="73670876" w14:textId="3939A26A" w:rsidR="0069381A" w:rsidRPr="005F7046" w:rsidRDefault="0069381A" w:rsidP="00212425">
            <w:pPr>
              <w:pStyle w:val="NormalWeb"/>
              <w:spacing w:before="120" w:beforeAutospacing="0" w:after="0" w:afterAutospacing="0"/>
            </w:pPr>
            <w:r w:rsidRPr="005F7046">
              <w:rPr>
                <w:i/>
                <w:iCs/>
                <w:noProof/>
                <w:szCs w:val="22"/>
              </w:rPr>
              <w:t>Uncommon:</w:t>
            </w:r>
            <w:r w:rsidRPr="005F7046">
              <w:rPr>
                <w:i/>
                <w:iCs/>
                <w:noProof/>
                <w:szCs w:val="22"/>
              </w:rPr>
              <w:tab/>
            </w:r>
            <w:r w:rsidRPr="005F7046">
              <w:rPr>
                <w:noProof/>
                <w:szCs w:val="22"/>
              </w:rPr>
              <w:t>nasopharyngitis</w:t>
            </w:r>
          </w:p>
        </w:tc>
      </w:tr>
      <w:tr w:rsidR="0069381A" w:rsidRPr="005F7046" w14:paraId="07B40653" w14:textId="77777777" w:rsidTr="00315FA2">
        <w:trPr>
          <w:cantSplit/>
        </w:trPr>
        <w:tc>
          <w:tcPr>
            <w:tcW w:w="2689" w:type="dxa"/>
            <w:vMerge/>
          </w:tcPr>
          <w:p w14:paraId="66FE4DA1" w14:textId="77777777" w:rsidR="0069381A" w:rsidRPr="005F7046" w:rsidRDefault="0069381A" w:rsidP="00212425">
            <w:pPr>
              <w:pStyle w:val="NormalWeb"/>
              <w:spacing w:before="120" w:beforeAutospacing="0" w:after="0" w:afterAutospacing="0"/>
            </w:pPr>
          </w:p>
        </w:tc>
        <w:tc>
          <w:tcPr>
            <w:tcW w:w="6486" w:type="dxa"/>
          </w:tcPr>
          <w:p w14:paraId="09DC11B5" w14:textId="77777777" w:rsidR="0069381A" w:rsidRPr="005F7046" w:rsidRDefault="0069381A" w:rsidP="0009713A">
            <w:pPr>
              <w:pStyle w:val="NormalWeb"/>
              <w:spacing w:before="0" w:beforeAutospacing="0" w:after="0" w:afterAutospacing="0"/>
              <w:rPr>
                <w:noProof/>
                <w:szCs w:val="22"/>
              </w:rPr>
            </w:pPr>
            <w:r w:rsidRPr="005F7046">
              <w:rPr>
                <w:i/>
                <w:iCs/>
                <w:noProof/>
                <w:szCs w:val="22"/>
              </w:rPr>
              <w:t>Rare:</w:t>
            </w:r>
            <w:r w:rsidRPr="005F7046">
              <w:rPr>
                <w:noProof/>
                <w:szCs w:val="22"/>
              </w:rPr>
              <w:tab/>
            </w:r>
            <w:r w:rsidRPr="005F7046">
              <w:rPr>
                <w:noProof/>
                <w:szCs w:val="22"/>
              </w:rPr>
              <w:tab/>
              <w:t>oral herpes, bronchitis, folliculitis,</w:t>
            </w:r>
          </w:p>
          <w:p w14:paraId="271389D7" w14:textId="7D311B0F" w:rsidR="0069381A" w:rsidRPr="005F7046" w:rsidRDefault="0069381A" w:rsidP="00F3757B">
            <w:pPr>
              <w:pStyle w:val="NormalWeb"/>
              <w:spacing w:before="0" w:beforeAutospacing="0" w:after="0" w:afterAutospacing="0"/>
            </w:pPr>
            <w:r w:rsidRPr="005F7046">
              <w:rPr>
                <w:noProof/>
                <w:szCs w:val="22"/>
              </w:rPr>
              <w:tab/>
            </w:r>
            <w:r w:rsidRPr="005F7046">
              <w:rPr>
                <w:noProof/>
                <w:szCs w:val="22"/>
              </w:rPr>
              <w:tab/>
              <w:t>pharyngitis streptococcal, pneumonia, sinusitis</w:t>
            </w:r>
          </w:p>
        </w:tc>
      </w:tr>
      <w:tr w:rsidR="0069381A" w:rsidRPr="005F7046" w14:paraId="1D3F9AE2" w14:textId="77777777" w:rsidTr="00315FA2">
        <w:trPr>
          <w:cantSplit/>
        </w:trPr>
        <w:tc>
          <w:tcPr>
            <w:tcW w:w="2689" w:type="dxa"/>
            <w:vMerge w:val="restart"/>
          </w:tcPr>
          <w:p w14:paraId="20635347" w14:textId="38AF4FDB" w:rsidR="0069381A" w:rsidRPr="005F7046" w:rsidRDefault="0069381A" w:rsidP="00212425">
            <w:pPr>
              <w:pStyle w:val="NormalWeb"/>
              <w:spacing w:before="120" w:beforeAutospacing="0" w:after="0" w:afterAutospacing="0"/>
            </w:pPr>
            <w:r w:rsidRPr="005F7046">
              <w:t>Nervous system disorders</w:t>
            </w:r>
          </w:p>
        </w:tc>
        <w:tc>
          <w:tcPr>
            <w:tcW w:w="6486" w:type="dxa"/>
          </w:tcPr>
          <w:p w14:paraId="771FB24E" w14:textId="1C378AEC" w:rsidR="0069381A" w:rsidRPr="005F7046" w:rsidRDefault="0069381A" w:rsidP="00212425">
            <w:pPr>
              <w:pStyle w:val="NormalWeb"/>
              <w:spacing w:before="120" w:beforeAutospacing="0" w:after="0" w:afterAutospacing="0"/>
            </w:pPr>
            <w:r w:rsidRPr="005F7046">
              <w:rPr>
                <w:i/>
                <w:iCs/>
                <w:noProof/>
                <w:szCs w:val="22"/>
              </w:rPr>
              <w:t>Common:</w:t>
            </w:r>
            <w:r w:rsidRPr="005F7046">
              <w:rPr>
                <w:noProof/>
                <w:szCs w:val="22"/>
              </w:rPr>
              <w:tab/>
              <w:t>headache</w:t>
            </w:r>
          </w:p>
        </w:tc>
      </w:tr>
      <w:tr w:rsidR="0069381A" w:rsidRPr="005F7046" w14:paraId="5E7882FF" w14:textId="77777777" w:rsidTr="00315FA2">
        <w:trPr>
          <w:cantSplit/>
        </w:trPr>
        <w:tc>
          <w:tcPr>
            <w:tcW w:w="2689" w:type="dxa"/>
            <w:vMerge/>
          </w:tcPr>
          <w:p w14:paraId="2C258035" w14:textId="77777777" w:rsidR="0069381A" w:rsidRPr="005F7046" w:rsidRDefault="0069381A" w:rsidP="00212425">
            <w:pPr>
              <w:pStyle w:val="NormalWeb"/>
              <w:spacing w:before="120" w:beforeAutospacing="0" w:after="0" w:afterAutospacing="0"/>
            </w:pPr>
          </w:p>
        </w:tc>
        <w:tc>
          <w:tcPr>
            <w:tcW w:w="6486" w:type="dxa"/>
          </w:tcPr>
          <w:p w14:paraId="5A078BFC" w14:textId="59BEE714" w:rsidR="0069381A" w:rsidRPr="005F7046" w:rsidRDefault="0069381A" w:rsidP="00212425">
            <w:pPr>
              <w:pStyle w:val="NormalWeb"/>
              <w:spacing w:before="120" w:beforeAutospacing="0" w:after="0" w:afterAutospacing="0"/>
            </w:pPr>
            <w:r w:rsidRPr="005F7046">
              <w:rPr>
                <w:i/>
                <w:iCs/>
                <w:noProof/>
                <w:szCs w:val="22"/>
              </w:rPr>
              <w:t>Uncommon:</w:t>
            </w:r>
            <w:r w:rsidRPr="005F7046">
              <w:rPr>
                <w:noProof/>
                <w:szCs w:val="22"/>
              </w:rPr>
              <w:tab/>
              <w:t>head discomfort</w:t>
            </w:r>
          </w:p>
        </w:tc>
      </w:tr>
      <w:tr w:rsidR="0069381A" w:rsidRPr="005F7046" w14:paraId="1155B23C" w14:textId="77777777" w:rsidTr="00315FA2">
        <w:trPr>
          <w:cantSplit/>
        </w:trPr>
        <w:tc>
          <w:tcPr>
            <w:tcW w:w="2689" w:type="dxa"/>
            <w:vMerge/>
          </w:tcPr>
          <w:p w14:paraId="5046545E" w14:textId="77777777" w:rsidR="0069381A" w:rsidRPr="005F7046" w:rsidRDefault="0069381A" w:rsidP="00212425">
            <w:pPr>
              <w:pStyle w:val="NormalWeb"/>
              <w:spacing w:before="120" w:beforeAutospacing="0" w:after="0" w:afterAutospacing="0"/>
            </w:pPr>
          </w:p>
        </w:tc>
        <w:tc>
          <w:tcPr>
            <w:tcW w:w="6486" w:type="dxa"/>
          </w:tcPr>
          <w:p w14:paraId="773AE96B" w14:textId="63FFA7FC" w:rsidR="0069381A" w:rsidRPr="005F7046" w:rsidRDefault="0069381A" w:rsidP="00130620">
            <w:pPr>
              <w:pStyle w:val="NormalWeb"/>
              <w:spacing w:before="0" w:beforeAutospacing="0" w:after="0" w:afterAutospacing="0"/>
            </w:pPr>
            <w:r w:rsidRPr="005F7046">
              <w:rPr>
                <w:i/>
                <w:iCs/>
                <w:noProof/>
                <w:szCs w:val="22"/>
              </w:rPr>
              <w:t>Rare</w:t>
            </w:r>
            <w:r w:rsidRPr="005F7046">
              <w:rPr>
                <w:noProof/>
                <w:szCs w:val="22"/>
              </w:rPr>
              <w:t>:</w:t>
            </w:r>
            <w:r w:rsidRPr="005F7046">
              <w:rPr>
                <w:noProof/>
                <w:szCs w:val="22"/>
              </w:rPr>
              <w:tab/>
            </w:r>
            <w:r w:rsidRPr="005F7046">
              <w:rPr>
                <w:noProof/>
                <w:szCs w:val="22"/>
              </w:rPr>
              <w:tab/>
              <w:t>migraine, dizziness, paraesthesia, visual field</w:t>
            </w:r>
            <w:r w:rsidR="00130620" w:rsidRPr="005F7046">
              <w:rPr>
                <w:noProof/>
                <w:szCs w:val="22"/>
              </w:rPr>
              <w:t xml:space="preserve"> </w:t>
            </w:r>
            <w:r w:rsidRPr="005F7046">
              <w:rPr>
                <w:noProof/>
                <w:szCs w:val="22"/>
              </w:rPr>
              <w:tab/>
            </w:r>
            <w:r w:rsidRPr="005F7046">
              <w:rPr>
                <w:noProof/>
                <w:szCs w:val="22"/>
              </w:rPr>
              <w:tab/>
            </w:r>
            <w:r w:rsidR="00130620" w:rsidRPr="005F7046">
              <w:rPr>
                <w:noProof/>
                <w:szCs w:val="22"/>
              </w:rPr>
              <w:t>d</w:t>
            </w:r>
            <w:r w:rsidRPr="005F7046">
              <w:rPr>
                <w:noProof/>
                <w:szCs w:val="22"/>
              </w:rPr>
              <w:t>efect</w:t>
            </w:r>
          </w:p>
        </w:tc>
      </w:tr>
      <w:tr w:rsidR="0069381A" w:rsidRPr="005F7046" w14:paraId="16E988D8" w14:textId="77777777" w:rsidTr="00315FA2">
        <w:trPr>
          <w:cantSplit/>
        </w:trPr>
        <w:tc>
          <w:tcPr>
            <w:tcW w:w="2689" w:type="dxa"/>
            <w:vMerge w:val="restart"/>
          </w:tcPr>
          <w:p w14:paraId="4F803F49" w14:textId="4FD1077C" w:rsidR="0069381A" w:rsidRPr="005F7046" w:rsidRDefault="0069381A" w:rsidP="00212425">
            <w:pPr>
              <w:pStyle w:val="NormalWeb"/>
              <w:spacing w:before="120" w:beforeAutospacing="0" w:after="0" w:afterAutospacing="0"/>
            </w:pPr>
            <w:r w:rsidRPr="005F7046">
              <w:t>Eye disorders</w:t>
            </w:r>
          </w:p>
        </w:tc>
        <w:tc>
          <w:tcPr>
            <w:tcW w:w="6486" w:type="dxa"/>
          </w:tcPr>
          <w:p w14:paraId="0608B3E2" w14:textId="41175394" w:rsidR="0069381A" w:rsidRPr="005F7046" w:rsidRDefault="0069381A" w:rsidP="00212425">
            <w:pPr>
              <w:pStyle w:val="NormalWeb"/>
              <w:spacing w:before="120" w:beforeAutospacing="0" w:after="0" w:afterAutospacing="0"/>
            </w:pPr>
            <w:r w:rsidRPr="005F7046">
              <w:rPr>
                <w:i/>
                <w:iCs/>
                <w:noProof/>
                <w:szCs w:val="22"/>
              </w:rPr>
              <w:t>Uncommon:</w:t>
            </w:r>
            <w:r w:rsidRPr="005F7046">
              <w:rPr>
                <w:noProof/>
                <w:szCs w:val="22"/>
              </w:rPr>
              <w:tab/>
              <w:t xml:space="preserve">eyelid ptosis, blepharospasm, periorbital </w:t>
            </w:r>
            <w:r w:rsidR="00F3757B" w:rsidRPr="005F7046">
              <w:rPr>
                <w:noProof/>
                <w:szCs w:val="22"/>
              </w:rPr>
              <w:t>o</w:t>
            </w:r>
            <w:r w:rsidRPr="005F7046">
              <w:rPr>
                <w:noProof/>
                <w:szCs w:val="22"/>
              </w:rPr>
              <w:t>edema</w:t>
            </w:r>
          </w:p>
        </w:tc>
      </w:tr>
      <w:tr w:rsidR="0069381A" w:rsidRPr="005F7046" w14:paraId="046003AC" w14:textId="77777777" w:rsidTr="00315FA2">
        <w:trPr>
          <w:cantSplit/>
        </w:trPr>
        <w:tc>
          <w:tcPr>
            <w:tcW w:w="2689" w:type="dxa"/>
            <w:vMerge/>
          </w:tcPr>
          <w:p w14:paraId="45530BE9" w14:textId="77777777" w:rsidR="0069381A" w:rsidRPr="005F7046" w:rsidRDefault="0069381A" w:rsidP="00212425">
            <w:pPr>
              <w:pStyle w:val="NormalWeb"/>
              <w:spacing w:before="120" w:beforeAutospacing="0" w:after="0" w:afterAutospacing="0"/>
            </w:pPr>
          </w:p>
        </w:tc>
        <w:tc>
          <w:tcPr>
            <w:tcW w:w="6486" w:type="dxa"/>
          </w:tcPr>
          <w:p w14:paraId="1DFCC00A" w14:textId="0FA989F5" w:rsidR="0069381A" w:rsidRPr="005F7046" w:rsidRDefault="0069381A" w:rsidP="00212425">
            <w:pPr>
              <w:pStyle w:val="NormalWeb"/>
              <w:spacing w:before="120" w:beforeAutospacing="0" w:after="0" w:afterAutospacing="0"/>
            </w:pPr>
            <w:r w:rsidRPr="005F7046">
              <w:rPr>
                <w:i/>
                <w:iCs/>
                <w:noProof/>
                <w:szCs w:val="22"/>
              </w:rPr>
              <w:t>Rare:</w:t>
            </w:r>
            <w:r w:rsidRPr="005F7046">
              <w:rPr>
                <w:noProof/>
                <w:szCs w:val="22"/>
              </w:rPr>
              <w:tab/>
            </w:r>
            <w:r w:rsidRPr="005F7046">
              <w:rPr>
                <w:noProof/>
                <w:szCs w:val="22"/>
              </w:rPr>
              <w:tab/>
              <w:t>conjunctival haemorrhage, dry eye, eye pain</w:t>
            </w:r>
          </w:p>
        </w:tc>
      </w:tr>
      <w:tr w:rsidR="00212425" w:rsidRPr="005F7046" w14:paraId="16952C2F" w14:textId="77777777" w:rsidTr="00315FA2">
        <w:trPr>
          <w:cantSplit/>
        </w:trPr>
        <w:tc>
          <w:tcPr>
            <w:tcW w:w="2689" w:type="dxa"/>
          </w:tcPr>
          <w:p w14:paraId="6AF0181B" w14:textId="5CE88FEC" w:rsidR="00212425" w:rsidRPr="005F7046" w:rsidRDefault="00212425" w:rsidP="00212425">
            <w:pPr>
              <w:pStyle w:val="NormalWeb"/>
              <w:spacing w:before="120" w:beforeAutospacing="0" w:after="0" w:afterAutospacing="0"/>
            </w:pPr>
            <w:r w:rsidRPr="005F7046">
              <w:t xml:space="preserve">Respiratory, </w:t>
            </w:r>
            <w:proofErr w:type="gramStart"/>
            <w:r w:rsidRPr="005F7046">
              <w:t>thoracic</w:t>
            </w:r>
            <w:proofErr w:type="gramEnd"/>
            <w:r w:rsidRPr="005F7046">
              <w:t xml:space="preserve"> and mediastinal disorders</w:t>
            </w:r>
          </w:p>
        </w:tc>
        <w:tc>
          <w:tcPr>
            <w:tcW w:w="6486" w:type="dxa"/>
          </w:tcPr>
          <w:p w14:paraId="17D9B8D9" w14:textId="4E28D99B" w:rsidR="00212425" w:rsidRPr="005F7046" w:rsidRDefault="00213E7A" w:rsidP="00212425">
            <w:pPr>
              <w:pStyle w:val="NormalWeb"/>
              <w:spacing w:before="120" w:beforeAutospacing="0" w:after="0" w:afterAutospacing="0"/>
            </w:pPr>
            <w:r w:rsidRPr="005F7046">
              <w:rPr>
                <w:i/>
                <w:iCs/>
                <w:noProof/>
                <w:szCs w:val="22"/>
              </w:rPr>
              <w:t>R</w:t>
            </w:r>
            <w:r w:rsidR="00212425" w:rsidRPr="005F7046">
              <w:rPr>
                <w:i/>
                <w:iCs/>
                <w:noProof/>
                <w:szCs w:val="22"/>
              </w:rPr>
              <w:t>are</w:t>
            </w:r>
            <w:r w:rsidRPr="005F7046">
              <w:rPr>
                <w:i/>
                <w:iCs/>
                <w:noProof/>
                <w:szCs w:val="22"/>
              </w:rPr>
              <w:t>:</w:t>
            </w:r>
            <w:r w:rsidRPr="005F7046">
              <w:rPr>
                <w:noProof/>
                <w:szCs w:val="22"/>
              </w:rPr>
              <w:tab/>
            </w:r>
            <w:r w:rsidR="0069381A" w:rsidRPr="005F7046">
              <w:rPr>
                <w:noProof/>
                <w:szCs w:val="22"/>
              </w:rPr>
              <w:tab/>
              <w:t>pharyngeal hypoaesthesia</w:t>
            </w:r>
          </w:p>
        </w:tc>
      </w:tr>
      <w:tr w:rsidR="00212425" w:rsidRPr="005F7046" w14:paraId="04E7B53B" w14:textId="77777777" w:rsidTr="00315FA2">
        <w:trPr>
          <w:cantSplit/>
        </w:trPr>
        <w:tc>
          <w:tcPr>
            <w:tcW w:w="2689" w:type="dxa"/>
            <w:shd w:val="clear" w:color="auto" w:fill="auto"/>
          </w:tcPr>
          <w:p w14:paraId="2BD5D0A6" w14:textId="55070924" w:rsidR="00212425" w:rsidRPr="005F7046" w:rsidRDefault="00212425" w:rsidP="00212425">
            <w:pPr>
              <w:pStyle w:val="NormalWeb"/>
              <w:spacing w:before="120" w:beforeAutospacing="0" w:after="0" w:afterAutospacing="0"/>
            </w:pPr>
            <w:r w:rsidRPr="005F7046">
              <w:rPr>
                <w:noProof/>
                <w:szCs w:val="22"/>
              </w:rPr>
              <w:lastRenderedPageBreak/>
              <w:t>Gastrointestinal disorders</w:t>
            </w:r>
          </w:p>
        </w:tc>
        <w:tc>
          <w:tcPr>
            <w:tcW w:w="6486" w:type="dxa"/>
          </w:tcPr>
          <w:p w14:paraId="44B23D55" w14:textId="00B71308" w:rsidR="00212425" w:rsidRPr="005F7046" w:rsidRDefault="00213E7A" w:rsidP="00212425">
            <w:pPr>
              <w:pStyle w:val="NormalWeb"/>
              <w:spacing w:before="120" w:beforeAutospacing="0" w:after="0" w:afterAutospacing="0"/>
            </w:pPr>
            <w:r w:rsidRPr="005F7046">
              <w:rPr>
                <w:i/>
                <w:iCs/>
                <w:noProof/>
                <w:szCs w:val="22"/>
              </w:rPr>
              <w:t>R</w:t>
            </w:r>
            <w:r w:rsidR="00212425" w:rsidRPr="005F7046">
              <w:rPr>
                <w:i/>
                <w:iCs/>
                <w:noProof/>
                <w:szCs w:val="22"/>
              </w:rPr>
              <w:t>are</w:t>
            </w:r>
            <w:r w:rsidRPr="005F7046">
              <w:rPr>
                <w:i/>
                <w:iCs/>
                <w:noProof/>
                <w:szCs w:val="22"/>
              </w:rPr>
              <w:t>:</w:t>
            </w:r>
            <w:r w:rsidRPr="005F7046">
              <w:rPr>
                <w:noProof/>
                <w:szCs w:val="22"/>
              </w:rPr>
              <w:tab/>
            </w:r>
            <w:r w:rsidR="0069381A" w:rsidRPr="005F7046">
              <w:rPr>
                <w:noProof/>
                <w:szCs w:val="22"/>
              </w:rPr>
              <w:tab/>
              <w:t>constipation, nausea</w:t>
            </w:r>
          </w:p>
        </w:tc>
      </w:tr>
      <w:tr w:rsidR="00212425" w:rsidRPr="005F7046" w14:paraId="07D6FB73" w14:textId="77777777" w:rsidTr="00315FA2">
        <w:trPr>
          <w:cantSplit/>
        </w:trPr>
        <w:tc>
          <w:tcPr>
            <w:tcW w:w="2689" w:type="dxa"/>
            <w:tcBorders>
              <w:bottom w:val="single" w:sz="4" w:space="0" w:color="auto"/>
            </w:tcBorders>
            <w:shd w:val="clear" w:color="auto" w:fill="auto"/>
          </w:tcPr>
          <w:p w14:paraId="5367DDCE" w14:textId="09F67F94" w:rsidR="00212425" w:rsidRPr="005F7046" w:rsidRDefault="00212425" w:rsidP="00212425">
            <w:pPr>
              <w:pStyle w:val="NormalWeb"/>
              <w:spacing w:before="120" w:beforeAutospacing="0" w:after="0" w:afterAutospacing="0"/>
            </w:pPr>
            <w:r w:rsidRPr="005F7046">
              <w:rPr>
                <w:noProof/>
                <w:szCs w:val="22"/>
              </w:rPr>
              <w:t>Skin and subcutaneous tissue disorders</w:t>
            </w:r>
          </w:p>
        </w:tc>
        <w:tc>
          <w:tcPr>
            <w:tcW w:w="6486" w:type="dxa"/>
          </w:tcPr>
          <w:p w14:paraId="52B51442" w14:textId="0A61D554" w:rsidR="00212425" w:rsidRPr="005F7046" w:rsidRDefault="00213E7A" w:rsidP="00212425">
            <w:pPr>
              <w:pStyle w:val="NormalWeb"/>
              <w:spacing w:before="120" w:beforeAutospacing="0" w:after="0" w:afterAutospacing="0"/>
            </w:pPr>
            <w:r w:rsidRPr="005F7046">
              <w:rPr>
                <w:i/>
                <w:iCs/>
                <w:noProof/>
                <w:szCs w:val="22"/>
              </w:rPr>
              <w:t>R</w:t>
            </w:r>
            <w:r w:rsidR="00212425" w:rsidRPr="005F7046">
              <w:rPr>
                <w:i/>
                <w:iCs/>
                <w:noProof/>
                <w:szCs w:val="22"/>
              </w:rPr>
              <w:t>are</w:t>
            </w:r>
            <w:r w:rsidRPr="005F7046">
              <w:rPr>
                <w:i/>
                <w:iCs/>
                <w:noProof/>
                <w:szCs w:val="22"/>
              </w:rPr>
              <w:t>:</w:t>
            </w:r>
            <w:r w:rsidRPr="005F7046">
              <w:rPr>
                <w:noProof/>
                <w:szCs w:val="22"/>
              </w:rPr>
              <w:tab/>
            </w:r>
            <w:r w:rsidR="0069381A" w:rsidRPr="005F7046">
              <w:rPr>
                <w:noProof/>
                <w:szCs w:val="22"/>
              </w:rPr>
              <w:tab/>
              <w:t>brow ptosis, dry skin, urticaria</w:t>
            </w:r>
          </w:p>
        </w:tc>
      </w:tr>
      <w:tr w:rsidR="0069381A" w:rsidRPr="005F7046" w14:paraId="47D7E872" w14:textId="77777777" w:rsidTr="00315FA2">
        <w:trPr>
          <w:cantSplit/>
        </w:trPr>
        <w:tc>
          <w:tcPr>
            <w:tcW w:w="2689" w:type="dxa"/>
            <w:vMerge w:val="restart"/>
            <w:shd w:val="clear" w:color="auto" w:fill="auto"/>
          </w:tcPr>
          <w:p w14:paraId="29B7EB73" w14:textId="5088FE8C" w:rsidR="0069381A" w:rsidRPr="005F7046" w:rsidRDefault="0069381A" w:rsidP="00212425">
            <w:pPr>
              <w:pStyle w:val="NormalWeb"/>
              <w:spacing w:before="120" w:beforeAutospacing="0" w:after="0" w:afterAutospacing="0"/>
            </w:pPr>
            <w:r w:rsidRPr="005F7046">
              <w:rPr>
                <w:noProof/>
                <w:szCs w:val="22"/>
              </w:rPr>
              <w:t>General disorders and administration site conditions</w:t>
            </w:r>
          </w:p>
        </w:tc>
        <w:tc>
          <w:tcPr>
            <w:tcW w:w="6486" w:type="dxa"/>
          </w:tcPr>
          <w:p w14:paraId="0FD05EF7" w14:textId="65AD7665" w:rsidR="0069381A" w:rsidRPr="005F7046" w:rsidRDefault="0069381A" w:rsidP="00212425">
            <w:pPr>
              <w:pStyle w:val="NormalWeb"/>
              <w:spacing w:before="120" w:beforeAutospacing="0" w:after="0" w:afterAutospacing="0"/>
            </w:pPr>
            <w:r w:rsidRPr="005F7046">
              <w:rPr>
                <w:i/>
                <w:iCs/>
                <w:noProof/>
                <w:szCs w:val="22"/>
              </w:rPr>
              <w:t>Common:</w:t>
            </w:r>
            <w:r w:rsidRPr="005F7046">
              <w:rPr>
                <w:noProof/>
                <w:szCs w:val="22"/>
              </w:rPr>
              <w:tab/>
              <w:t>injection site reaction</w:t>
            </w:r>
          </w:p>
        </w:tc>
      </w:tr>
      <w:tr w:rsidR="0069381A" w:rsidRPr="005F7046" w14:paraId="2197DF0A" w14:textId="77777777" w:rsidTr="00315FA2">
        <w:trPr>
          <w:cantSplit/>
        </w:trPr>
        <w:tc>
          <w:tcPr>
            <w:tcW w:w="2689" w:type="dxa"/>
            <w:vMerge/>
          </w:tcPr>
          <w:p w14:paraId="1F9BF40D" w14:textId="77777777" w:rsidR="0069381A" w:rsidRPr="005F7046" w:rsidRDefault="0069381A" w:rsidP="00212425">
            <w:pPr>
              <w:pStyle w:val="NormalWeb"/>
              <w:spacing w:before="120" w:beforeAutospacing="0" w:after="0" w:afterAutospacing="0"/>
            </w:pPr>
          </w:p>
        </w:tc>
        <w:tc>
          <w:tcPr>
            <w:tcW w:w="6486" w:type="dxa"/>
          </w:tcPr>
          <w:p w14:paraId="65160872" w14:textId="79E0E6C0" w:rsidR="0069381A" w:rsidRPr="005F7046" w:rsidRDefault="0069381A" w:rsidP="004C1816">
            <w:pPr>
              <w:pStyle w:val="NormalWeb"/>
              <w:spacing w:before="240" w:beforeAutospacing="0" w:after="0" w:afterAutospacing="0"/>
              <w:rPr>
                <w:noProof/>
                <w:szCs w:val="22"/>
              </w:rPr>
            </w:pPr>
            <w:r w:rsidRPr="005F7046">
              <w:rPr>
                <w:i/>
                <w:iCs/>
                <w:noProof/>
                <w:szCs w:val="22"/>
              </w:rPr>
              <w:t>Uncommon:</w:t>
            </w:r>
            <w:r w:rsidRPr="005F7046">
              <w:rPr>
                <w:noProof/>
                <w:szCs w:val="22"/>
              </w:rPr>
              <w:tab/>
              <w:t xml:space="preserve">injection site pain, injection site bruising, </w:t>
            </w:r>
            <w:r w:rsidRPr="005F7046">
              <w:rPr>
                <w:noProof/>
                <w:szCs w:val="22"/>
              </w:rPr>
              <w:tab/>
            </w:r>
            <w:r w:rsidRPr="005F7046">
              <w:rPr>
                <w:noProof/>
                <w:szCs w:val="22"/>
              </w:rPr>
              <w:tab/>
            </w:r>
            <w:r w:rsidRPr="005F7046">
              <w:rPr>
                <w:noProof/>
                <w:szCs w:val="22"/>
              </w:rPr>
              <w:tab/>
              <w:t>administration site swelling, injection site</w:t>
            </w:r>
            <w:r w:rsidR="00F3757B" w:rsidRPr="005F7046">
              <w:rPr>
                <w:noProof/>
                <w:szCs w:val="22"/>
              </w:rPr>
              <w:t xml:space="preserve"> </w:t>
            </w:r>
          </w:p>
          <w:p w14:paraId="3CEE6B51" w14:textId="7517B705" w:rsidR="0069381A" w:rsidRPr="005F7046" w:rsidRDefault="0069381A" w:rsidP="0009713A">
            <w:pPr>
              <w:pStyle w:val="NormalWeb"/>
              <w:spacing w:before="0" w:beforeAutospacing="0" w:after="0" w:afterAutospacing="0"/>
            </w:pPr>
            <w:r w:rsidRPr="005F7046">
              <w:rPr>
                <w:noProof/>
                <w:szCs w:val="22"/>
              </w:rPr>
              <w:tab/>
            </w:r>
            <w:r w:rsidRPr="005F7046">
              <w:rPr>
                <w:noProof/>
                <w:szCs w:val="22"/>
              </w:rPr>
              <w:tab/>
              <w:t>pruritus, injection site mass, injection site</w:t>
            </w:r>
            <w:r w:rsidRPr="005F7046">
              <w:rPr>
                <w:noProof/>
                <w:szCs w:val="22"/>
              </w:rPr>
              <w:tab/>
            </w:r>
            <w:r w:rsidRPr="005F7046">
              <w:rPr>
                <w:noProof/>
                <w:szCs w:val="22"/>
              </w:rPr>
              <w:tab/>
            </w:r>
            <w:r w:rsidRPr="005F7046">
              <w:rPr>
                <w:noProof/>
                <w:szCs w:val="22"/>
              </w:rPr>
              <w:tab/>
              <w:t>pressure</w:t>
            </w:r>
          </w:p>
        </w:tc>
      </w:tr>
      <w:tr w:rsidR="00212425" w:rsidRPr="005F7046" w14:paraId="6DB75B5D" w14:textId="77777777" w:rsidTr="00315FA2">
        <w:trPr>
          <w:cantSplit/>
        </w:trPr>
        <w:tc>
          <w:tcPr>
            <w:tcW w:w="2689" w:type="dxa"/>
            <w:tcBorders>
              <w:bottom w:val="single" w:sz="4" w:space="0" w:color="auto"/>
            </w:tcBorders>
            <w:shd w:val="clear" w:color="auto" w:fill="auto"/>
          </w:tcPr>
          <w:p w14:paraId="584D406E" w14:textId="1EBC5A3B" w:rsidR="00212425" w:rsidRPr="005F7046" w:rsidRDefault="00212425" w:rsidP="00212425">
            <w:pPr>
              <w:pStyle w:val="NormalWeb"/>
              <w:spacing w:before="120" w:beforeAutospacing="0" w:after="0" w:afterAutospacing="0"/>
            </w:pPr>
            <w:r w:rsidRPr="005F7046">
              <w:rPr>
                <w:noProof/>
                <w:szCs w:val="22"/>
              </w:rPr>
              <w:t>Investigations</w:t>
            </w:r>
          </w:p>
        </w:tc>
        <w:tc>
          <w:tcPr>
            <w:tcW w:w="6486" w:type="dxa"/>
          </w:tcPr>
          <w:p w14:paraId="26AD9EF1" w14:textId="37D165CC" w:rsidR="00212425" w:rsidRPr="005F7046" w:rsidRDefault="00213E7A" w:rsidP="00212425">
            <w:pPr>
              <w:pStyle w:val="NormalWeb"/>
              <w:spacing w:before="120" w:beforeAutospacing="0" w:after="0" w:afterAutospacing="0"/>
            </w:pPr>
            <w:r w:rsidRPr="005F7046">
              <w:rPr>
                <w:i/>
                <w:iCs/>
                <w:noProof/>
                <w:szCs w:val="22"/>
              </w:rPr>
              <w:t>R</w:t>
            </w:r>
            <w:r w:rsidR="00212425" w:rsidRPr="005F7046">
              <w:rPr>
                <w:i/>
                <w:iCs/>
                <w:noProof/>
                <w:szCs w:val="22"/>
              </w:rPr>
              <w:t>are</w:t>
            </w:r>
            <w:r w:rsidRPr="005F7046">
              <w:rPr>
                <w:i/>
                <w:iCs/>
                <w:noProof/>
                <w:szCs w:val="22"/>
              </w:rPr>
              <w:t>:</w:t>
            </w:r>
            <w:r w:rsidRPr="005F7046">
              <w:rPr>
                <w:noProof/>
                <w:szCs w:val="22"/>
              </w:rPr>
              <w:tab/>
            </w:r>
            <w:r w:rsidR="0069381A" w:rsidRPr="005F7046">
              <w:rPr>
                <w:noProof/>
                <w:szCs w:val="22"/>
              </w:rPr>
              <w:tab/>
              <w:t>blood potassium increased</w:t>
            </w:r>
          </w:p>
        </w:tc>
      </w:tr>
      <w:tr w:rsidR="00212425" w:rsidRPr="005F7046" w14:paraId="2D1A8D84" w14:textId="77777777" w:rsidTr="00315FA2">
        <w:trPr>
          <w:cantSplit/>
        </w:trPr>
        <w:tc>
          <w:tcPr>
            <w:tcW w:w="2689" w:type="dxa"/>
            <w:tcBorders>
              <w:bottom w:val="single" w:sz="4" w:space="0" w:color="auto"/>
            </w:tcBorders>
            <w:shd w:val="clear" w:color="auto" w:fill="auto"/>
          </w:tcPr>
          <w:p w14:paraId="609CF166" w14:textId="3ADE40CE" w:rsidR="00212425" w:rsidRPr="005F7046" w:rsidRDefault="00212425" w:rsidP="00212425">
            <w:pPr>
              <w:pStyle w:val="NormalWeb"/>
              <w:spacing w:before="120" w:beforeAutospacing="0" w:after="0" w:afterAutospacing="0"/>
            </w:pPr>
            <w:r w:rsidRPr="005F7046">
              <w:rPr>
                <w:noProof/>
                <w:szCs w:val="22"/>
              </w:rPr>
              <w:t>Injury, poisoning and procedural complications</w:t>
            </w:r>
          </w:p>
        </w:tc>
        <w:tc>
          <w:tcPr>
            <w:tcW w:w="6486" w:type="dxa"/>
            <w:tcBorders>
              <w:bottom w:val="single" w:sz="4" w:space="0" w:color="auto"/>
            </w:tcBorders>
          </w:tcPr>
          <w:p w14:paraId="7FE5C745" w14:textId="3DBFF76D" w:rsidR="00212425" w:rsidRPr="005F7046" w:rsidRDefault="00213E7A" w:rsidP="00212425">
            <w:pPr>
              <w:pStyle w:val="NormalWeb"/>
              <w:spacing w:before="120" w:beforeAutospacing="0" w:after="0" w:afterAutospacing="0"/>
            </w:pPr>
            <w:r w:rsidRPr="005F7046">
              <w:rPr>
                <w:i/>
                <w:iCs/>
                <w:noProof/>
                <w:szCs w:val="22"/>
              </w:rPr>
              <w:t>R</w:t>
            </w:r>
            <w:r w:rsidR="00212425" w:rsidRPr="005F7046">
              <w:rPr>
                <w:i/>
                <w:iCs/>
                <w:noProof/>
                <w:szCs w:val="22"/>
              </w:rPr>
              <w:t>are</w:t>
            </w:r>
            <w:r w:rsidRPr="005F7046">
              <w:rPr>
                <w:i/>
                <w:iCs/>
                <w:noProof/>
                <w:szCs w:val="22"/>
              </w:rPr>
              <w:t>:</w:t>
            </w:r>
            <w:r w:rsidRPr="005F7046">
              <w:rPr>
                <w:noProof/>
                <w:szCs w:val="22"/>
              </w:rPr>
              <w:tab/>
            </w:r>
            <w:r w:rsidR="0069381A" w:rsidRPr="005F7046">
              <w:rPr>
                <w:noProof/>
                <w:szCs w:val="22"/>
              </w:rPr>
              <w:tab/>
              <w:t>contusion, periorbital haematoma</w:t>
            </w:r>
          </w:p>
        </w:tc>
      </w:tr>
    </w:tbl>
    <w:p w14:paraId="13C03C0A" w14:textId="3D1CD4F0" w:rsidR="00212425" w:rsidRDefault="00212425" w:rsidP="00EA4328">
      <w:pPr>
        <w:pStyle w:val="NormalWeb"/>
        <w:spacing w:before="40" w:beforeAutospacing="0" w:after="120" w:afterAutospacing="0"/>
        <w:rPr>
          <w:sz w:val="22"/>
          <w:szCs w:val="22"/>
        </w:rPr>
      </w:pPr>
      <w:r w:rsidRPr="00EA4328">
        <w:rPr>
          <w:sz w:val="22"/>
          <w:szCs w:val="22"/>
        </w:rPr>
        <w:t xml:space="preserve">Note: </w:t>
      </w:r>
      <w:r w:rsidR="00EA4328">
        <w:rPr>
          <w:sz w:val="22"/>
          <w:szCs w:val="22"/>
        </w:rPr>
        <w:t>B</w:t>
      </w:r>
      <w:r w:rsidRPr="00EA4328">
        <w:rPr>
          <w:sz w:val="22"/>
          <w:szCs w:val="22"/>
        </w:rPr>
        <w:t>ased on placebo-controlled and uncontrolled studies</w:t>
      </w:r>
    </w:p>
    <w:p w14:paraId="1621DB66" w14:textId="63CD983E" w:rsidR="007D072E" w:rsidRPr="00EA4328" w:rsidRDefault="007D072E" w:rsidP="00EA4328">
      <w:pPr>
        <w:pStyle w:val="NormalWeb"/>
        <w:spacing w:before="40" w:beforeAutospacing="0" w:after="120" w:afterAutospacing="0"/>
        <w:rPr>
          <w:b/>
          <w:bCs/>
        </w:rPr>
      </w:pPr>
      <w:r w:rsidRPr="007D072E">
        <w:rPr>
          <w:sz w:val="22"/>
          <w:szCs w:val="22"/>
          <w:lang w:val="en-US"/>
        </w:rPr>
        <w:t xml:space="preserve">In general, most adverse reactions occur within the first week following injection of </w:t>
      </w:r>
      <w:r>
        <w:rPr>
          <w:sz w:val="22"/>
          <w:szCs w:val="22"/>
          <w:lang w:val="en-US"/>
        </w:rPr>
        <w:t>LETYBO</w:t>
      </w:r>
      <w:r w:rsidRPr="007D072E">
        <w:rPr>
          <w:sz w:val="22"/>
          <w:szCs w:val="22"/>
          <w:lang w:val="en-US"/>
        </w:rPr>
        <w:t xml:space="preserve"> and while generally transient, may have a duration of several months or longer.</w:t>
      </w:r>
    </w:p>
    <w:p w14:paraId="2F8D2242" w14:textId="5BE24D66" w:rsidR="001A666B" w:rsidRPr="005F7046" w:rsidRDefault="001A666B" w:rsidP="0009713A">
      <w:pPr>
        <w:pStyle w:val="NormalWeb"/>
        <w:spacing w:before="240" w:beforeAutospacing="0" w:after="120" w:afterAutospacing="0"/>
        <w:rPr>
          <w:b/>
          <w:bCs/>
        </w:rPr>
      </w:pPr>
      <w:r w:rsidRPr="005F7046">
        <w:rPr>
          <w:b/>
          <w:bCs/>
        </w:rPr>
        <w:t>Administration related adverse effects</w:t>
      </w:r>
    </w:p>
    <w:p w14:paraId="56EEB3D9" w14:textId="08ABF1F0" w:rsidR="00B921F2" w:rsidRPr="005F7046" w:rsidRDefault="001A666B" w:rsidP="00875EB1">
      <w:pPr>
        <w:rPr>
          <w:lang w:val="en-AU"/>
        </w:rPr>
      </w:pPr>
      <w:r w:rsidRPr="005F7046">
        <w:rPr>
          <w:lang w:val="en-AU"/>
        </w:rPr>
        <w:t>As expected for any injection procedure, l</w:t>
      </w:r>
      <w:r w:rsidR="00875EB1" w:rsidRPr="005F7046">
        <w:rPr>
          <w:lang w:val="en-AU"/>
        </w:rPr>
        <w:t xml:space="preserve">ocalised pain, inflammation, paraesthesia, </w:t>
      </w:r>
      <w:proofErr w:type="spellStart"/>
      <w:r w:rsidR="00875EB1" w:rsidRPr="005F7046">
        <w:rPr>
          <w:lang w:val="en-AU"/>
        </w:rPr>
        <w:t>hypoaesthesia</w:t>
      </w:r>
      <w:proofErr w:type="spellEnd"/>
      <w:r w:rsidR="00875EB1" w:rsidRPr="005F7046">
        <w:rPr>
          <w:lang w:val="en-AU"/>
        </w:rPr>
        <w:t xml:space="preserve">, tenderness, swelling/oedema, erythema, </w:t>
      </w:r>
      <w:r w:rsidRPr="005F7046">
        <w:rPr>
          <w:lang w:val="en-AU"/>
        </w:rPr>
        <w:t xml:space="preserve">itching, </w:t>
      </w:r>
      <w:r w:rsidR="00875EB1" w:rsidRPr="005F7046">
        <w:rPr>
          <w:lang w:val="en-AU"/>
        </w:rPr>
        <w:t xml:space="preserve">localised infection, </w:t>
      </w:r>
      <w:r w:rsidRPr="005F7046">
        <w:rPr>
          <w:lang w:val="en-AU"/>
        </w:rPr>
        <w:t>haematoma, bleeding</w:t>
      </w:r>
      <w:r w:rsidR="00875EB1" w:rsidRPr="005F7046">
        <w:rPr>
          <w:lang w:val="en-AU"/>
        </w:rPr>
        <w:t xml:space="preserve"> and/or bruising </w:t>
      </w:r>
      <w:r w:rsidRPr="005F7046">
        <w:rPr>
          <w:lang w:val="en-AU"/>
        </w:rPr>
        <w:t>may be associated with the injection</w:t>
      </w:r>
      <w:r w:rsidR="00875EB1" w:rsidRPr="005F7046">
        <w:rPr>
          <w:lang w:val="en-AU"/>
        </w:rPr>
        <w:t xml:space="preserve">. </w:t>
      </w:r>
      <w:r w:rsidR="00B921F2" w:rsidRPr="005F7046">
        <w:rPr>
          <w:lang w:val="en-AU"/>
        </w:rPr>
        <w:t xml:space="preserve"> </w:t>
      </w:r>
    </w:p>
    <w:p w14:paraId="16877F37" w14:textId="1D780345" w:rsidR="001A666B" w:rsidRPr="005F7046" w:rsidRDefault="001A666B" w:rsidP="00875EB1">
      <w:pPr>
        <w:rPr>
          <w:lang w:val="en-AU"/>
        </w:rPr>
      </w:pPr>
      <w:r w:rsidRPr="005F7046">
        <w:rPr>
          <w:lang w:val="en-AU"/>
        </w:rPr>
        <w:t xml:space="preserve">Needle related pain and/or anxiety may result in vasovagal responses, including transient symptomatic hypotension, nausea, </w:t>
      </w:r>
      <w:proofErr w:type="gramStart"/>
      <w:r w:rsidRPr="005F7046">
        <w:rPr>
          <w:lang w:val="en-AU"/>
        </w:rPr>
        <w:t>tinnitus</w:t>
      </w:r>
      <w:proofErr w:type="gramEnd"/>
      <w:r w:rsidRPr="005F7046">
        <w:rPr>
          <w:lang w:val="en-AU"/>
        </w:rPr>
        <w:t xml:space="preserve"> and syncope.</w:t>
      </w:r>
    </w:p>
    <w:p w14:paraId="202223B8" w14:textId="6672C34E" w:rsidR="008451AE" w:rsidRPr="005F7046" w:rsidRDefault="008451AE" w:rsidP="00875EB1">
      <w:pPr>
        <w:rPr>
          <w:b/>
          <w:bCs/>
          <w:lang w:val="en-AU"/>
        </w:rPr>
      </w:pPr>
      <w:r w:rsidRPr="005F7046">
        <w:rPr>
          <w:b/>
          <w:bCs/>
          <w:lang w:val="en-AU"/>
        </w:rPr>
        <w:t>Adverse effects related to pharmacological class</w:t>
      </w:r>
    </w:p>
    <w:p w14:paraId="5BBB6BAA" w14:textId="7DE153EF" w:rsidR="008451AE" w:rsidRPr="005F7046" w:rsidRDefault="008451AE" w:rsidP="00875EB1">
      <w:pPr>
        <w:rPr>
          <w:lang w:val="en-AU"/>
        </w:rPr>
      </w:pPr>
      <w:r w:rsidRPr="005F7046">
        <w:rPr>
          <w:lang w:val="en-AU"/>
        </w:rPr>
        <w:t>Localised muscle weakness is one expected pharmacological effect of botulinum toxin.</w:t>
      </w:r>
    </w:p>
    <w:p w14:paraId="685BB08E" w14:textId="63C39B2B" w:rsidR="00414A94" w:rsidRPr="00C50367" w:rsidRDefault="005F7046" w:rsidP="00315FA2">
      <w:pPr>
        <w:rPr>
          <w:bCs/>
          <w:lang w:val="en-AU"/>
        </w:rPr>
      </w:pPr>
      <w:r w:rsidRPr="00315FA2">
        <w:rPr>
          <w:b/>
          <w:bCs/>
          <w:lang w:val="en-AU"/>
        </w:rPr>
        <w:t>Post-market experience</w:t>
      </w:r>
    </w:p>
    <w:p w14:paraId="125931E1" w14:textId="79A59FAE" w:rsidR="0069374C" w:rsidRPr="005F7046" w:rsidRDefault="002C2C53" w:rsidP="00315FA2">
      <w:pPr>
        <w:rPr>
          <w:lang w:val="en-AU"/>
        </w:rPr>
      </w:pPr>
      <w:r>
        <w:rPr>
          <w:lang w:val="en-AU"/>
        </w:rPr>
        <w:t>There is currently no post-marketing experience</w:t>
      </w:r>
      <w:r w:rsidR="0069374C">
        <w:rPr>
          <w:lang w:val="en-AU"/>
        </w:rPr>
        <w:t xml:space="preserve"> in Australia</w:t>
      </w:r>
      <w:r>
        <w:rPr>
          <w:lang w:val="en-AU"/>
        </w:rPr>
        <w:t xml:space="preserve"> with LETYBO.</w:t>
      </w:r>
    </w:p>
    <w:p w14:paraId="1594A42E" w14:textId="77777777" w:rsidR="00841AB2" w:rsidRDefault="00841AB2" w:rsidP="00841AB2">
      <w:pPr>
        <w:rPr>
          <w:b/>
          <w:bCs/>
          <w:lang w:val="en-AU"/>
        </w:rPr>
      </w:pPr>
      <w:r w:rsidRPr="00315FA2">
        <w:rPr>
          <w:b/>
          <w:bCs/>
          <w:lang w:val="en-AU"/>
        </w:rPr>
        <w:t>Reporting suspected adverse effects</w:t>
      </w:r>
      <w:r>
        <w:rPr>
          <w:b/>
          <w:bCs/>
          <w:lang w:val="en-AU"/>
        </w:rPr>
        <w:t xml:space="preserve"> </w:t>
      </w:r>
    </w:p>
    <w:p w14:paraId="20911852" w14:textId="4465EF28" w:rsidR="003B7375" w:rsidRPr="005F7046" w:rsidRDefault="00414A94" w:rsidP="00315FA2">
      <w:pPr>
        <w:rPr>
          <w:lang w:val="en-AU"/>
        </w:rPr>
      </w:pPr>
      <w:r w:rsidRPr="005F7046">
        <w:rPr>
          <w:lang w:val="en-AU"/>
        </w:rPr>
        <w:t>Reporting suspected adverse reactions after registration of the medicinal product is important. It allows continued monitoring of the benefit-risk balance of the medicinal product. Healthcare professionals are asked to report any suspected adverse reactions at</w:t>
      </w:r>
      <w:r w:rsidR="003B7375" w:rsidRPr="005F7046">
        <w:rPr>
          <w:lang w:val="en-AU"/>
        </w:rPr>
        <w:t xml:space="preserve"> </w:t>
      </w:r>
      <w:hyperlink r:id="rId13" w:history="1">
        <w:r w:rsidR="003B7375" w:rsidRPr="005F7046">
          <w:rPr>
            <w:rStyle w:val="Hyperlink"/>
            <w:lang w:val="en-AU"/>
          </w:rPr>
          <w:t>www.tga.gov.au/reporting-problems</w:t>
        </w:r>
      </w:hyperlink>
      <w:r w:rsidR="008A7571" w:rsidRPr="005F7046">
        <w:rPr>
          <w:lang w:val="en-AU"/>
        </w:rPr>
        <w:t>.</w:t>
      </w:r>
    </w:p>
    <w:p w14:paraId="76E38D75" w14:textId="6CC6EA3A" w:rsidR="00FD1F94" w:rsidRPr="005F7046" w:rsidRDefault="00FD1F94" w:rsidP="00124389">
      <w:pPr>
        <w:pStyle w:val="Heading2"/>
        <w:rPr>
          <w:lang w:val="en-AU"/>
        </w:rPr>
      </w:pPr>
      <w:r w:rsidRPr="005F7046">
        <w:rPr>
          <w:lang w:val="en-AU"/>
        </w:rPr>
        <w:t>OVERDOSE</w:t>
      </w:r>
    </w:p>
    <w:p w14:paraId="26149AFF" w14:textId="0273FD23" w:rsidR="008F2572" w:rsidRPr="005F7046" w:rsidRDefault="008F2572" w:rsidP="0009713A">
      <w:pPr>
        <w:rPr>
          <w:lang w:val="en-AU"/>
        </w:rPr>
      </w:pPr>
      <w:r w:rsidRPr="005F7046">
        <w:rPr>
          <w:lang w:val="en-AU"/>
        </w:rPr>
        <w:t>Contact the Poisons Information Centre on telephone in Australia on 13 11 26.</w:t>
      </w:r>
    </w:p>
    <w:p w14:paraId="6CAC8484" w14:textId="090D7AB2" w:rsidR="002216CA" w:rsidRPr="005F7046" w:rsidRDefault="002216CA" w:rsidP="002216CA">
      <w:pPr>
        <w:pStyle w:val="Heading3"/>
        <w:numPr>
          <w:ilvl w:val="0"/>
          <w:numId w:val="0"/>
        </w:numPr>
        <w:rPr>
          <w:lang w:val="en-AU"/>
        </w:rPr>
      </w:pPr>
      <w:r w:rsidRPr="005F7046">
        <w:rPr>
          <w:lang w:val="en-AU"/>
        </w:rPr>
        <w:lastRenderedPageBreak/>
        <w:t>Symptoms</w:t>
      </w:r>
      <w:r w:rsidR="008F2572" w:rsidRPr="005F7046">
        <w:rPr>
          <w:lang w:val="en-AU"/>
        </w:rPr>
        <w:t xml:space="preserve"> of Overdose</w:t>
      </w:r>
    </w:p>
    <w:p w14:paraId="77FF7398" w14:textId="130E025A" w:rsidR="00102638" w:rsidRPr="005F7046" w:rsidRDefault="001A542E" w:rsidP="004C0C38">
      <w:pPr>
        <w:spacing w:before="120"/>
        <w:rPr>
          <w:szCs w:val="22"/>
          <w:lang w:val="en-AU"/>
        </w:rPr>
      </w:pPr>
      <w:r w:rsidRPr="005F7046">
        <w:rPr>
          <w:lang w:val="en-AU"/>
        </w:rPr>
        <w:t xml:space="preserve">Increased doses of letibotulinumtoxinA may result in pronounced neuromuscular paralysis distant from the injection site with a variety of symptoms (symptoms may include general weakness, ptosis, diplopia, breathing difficulties, speech difficulties, paralysis of the respiratory muscles or swallowing difficulties which may result in an aspiration pneumonia). </w:t>
      </w:r>
      <w:r w:rsidR="00102638" w:rsidRPr="005F7046">
        <w:rPr>
          <w:szCs w:val="22"/>
          <w:lang w:val="en-AU"/>
        </w:rPr>
        <w:t xml:space="preserve">Signs of overdose may not be apparent immediately post-injection. </w:t>
      </w:r>
    </w:p>
    <w:p w14:paraId="58106AB0" w14:textId="1B7CEC7F" w:rsidR="002216CA" w:rsidRPr="005F7046" w:rsidRDefault="008F2572" w:rsidP="002216CA">
      <w:pPr>
        <w:pStyle w:val="Heading3"/>
        <w:numPr>
          <w:ilvl w:val="0"/>
          <w:numId w:val="0"/>
        </w:numPr>
        <w:ind w:left="680" w:hanging="680"/>
        <w:rPr>
          <w:lang w:val="en-AU"/>
        </w:rPr>
      </w:pPr>
      <w:r w:rsidRPr="005F7046">
        <w:rPr>
          <w:lang w:val="en-AU"/>
        </w:rPr>
        <w:t>Measures in Case of Overdose</w:t>
      </w:r>
    </w:p>
    <w:p w14:paraId="515715F4" w14:textId="7191D1C6" w:rsidR="007E09E3" w:rsidRPr="005F7046" w:rsidRDefault="001A542E" w:rsidP="007E09E3">
      <w:pPr>
        <w:rPr>
          <w:lang w:val="en-AU"/>
        </w:rPr>
      </w:pPr>
      <w:r w:rsidRPr="005F7046">
        <w:rPr>
          <w:szCs w:val="22"/>
          <w:lang w:val="en-AU"/>
        </w:rPr>
        <w:t xml:space="preserve">In the event of overdose, the patient should be medically monitored for symptoms of excessive muscle weakness or muscle paralysis. Symptomatic treatment may be necessary. Respiratory support may be required if paralysis of the respiratory muscles occurs. </w:t>
      </w:r>
    </w:p>
    <w:p w14:paraId="7A9FA13C" w14:textId="3AA71509" w:rsidR="00FD1F94" w:rsidRPr="005F7046" w:rsidRDefault="00FD1F94" w:rsidP="00F105E3">
      <w:pPr>
        <w:pStyle w:val="Heading1"/>
        <w:pageBreakBefore w:val="0"/>
        <w:spacing w:before="240" w:after="120"/>
        <w:rPr>
          <w:lang w:val="en-AU"/>
        </w:rPr>
      </w:pPr>
      <w:r w:rsidRPr="005F7046">
        <w:rPr>
          <w:lang w:val="en-AU"/>
        </w:rPr>
        <w:t>PHARMACOLOGICAL PROPERTIES</w:t>
      </w:r>
    </w:p>
    <w:p w14:paraId="0CD58210" w14:textId="7CC499DA" w:rsidR="00FD1F94" w:rsidRPr="005F7046" w:rsidRDefault="00FD1F94" w:rsidP="0009713A">
      <w:pPr>
        <w:pStyle w:val="Heading2"/>
        <w:spacing w:before="240" w:after="120"/>
        <w:rPr>
          <w:lang w:val="en-AU"/>
        </w:rPr>
      </w:pPr>
      <w:r w:rsidRPr="005F7046">
        <w:rPr>
          <w:lang w:val="en-AU"/>
        </w:rPr>
        <w:t>PHARMACODYNAMIC PROPERTIES</w:t>
      </w:r>
    </w:p>
    <w:p w14:paraId="75EB572E" w14:textId="77777777" w:rsidR="00FD1F94" w:rsidRPr="005F7046" w:rsidRDefault="00FD1F94" w:rsidP="0009713A">
      <w:pPr>
        <w:pStyle w:val="Heading3"/>
        <w:numPr>
          <w:ilvl w:val="0"/>
          <w:numId w:val="0"/>
        </w:numPr>
        <w:spacing w:before="240" w:after="120"/>
        <w:rPr>
          <w:lang w:val="en-AU"/>
        </w:rPr>
      </w:pPr>
      <w:r w:rsidRPr="005F7046">
        <w:rPr>
          <w:lang w:val="en-AU"/>
        </w:rPr>
        <w:t>Mechanism of action</w:t>
      </w:r>
    </w:p>
    <w:p w14:paraId="03CF6AD4" w14:textId="247D2534" w:rsidR="00A24B60" w:rsidRPr="005F7046" w:rsidRDefault="00A24B60" w:rsidP="00A24B60">
      <w:pPr>
        <w:spacing w:before="120"/>
        <w:rPr>
          <w:szCs w:val="22"/>
          <w:lang w:val="en-AU"/>
        </w:rPr>
      </w:pPr>
      <w:r w:rsidRPr="005F7046">
        <w:rPr>
          <w:szCs w:val="22"/>
          <w:lang w:val="en-AU"/>
        </w:rPr>
        <w:t>Pharmacotherapeutic group: other muscle relaxants, peripherally acting agents [ATC code: M03AX01].</w:t>
      </w:r>
    </w:p>
    <w:p w14:paraId="1FD67977" w14:textId="03B100A0" w:rsidR="00FE4A61" w:rsidRPr="005F7046" w:rsidRDefault="00FE4A61" w:rsidP="00FE4A61">
      <w:pPr>
        <w:spacing w:before="120"/>
        <w:rPr>
          <w:szCs w:val="22"/>
          <w:lang w:val="en-AU"/>
        </w:rPr>
      </w:pPr>
      <w:r w:rsidRPr="005F7046">
        <w:rPr>
          <w:szCs w:val="22"/>
          <w:lang w:val="en-AU"/>
        </w:rPr>
        <w:t xml:space="preserve">LetibotulinumtoxinA blocks cholinergic transmission at the neuromuscular junction by inhibiting the release of acetylcholine from peripheral cholinergic nerve terminals. This inhibition occurs according to the following sequence: </w:t>
      </w:r>
    </w:p>
    <w:p w14:paraId="01FE7CF6" w14:textId="2568DFCA" w:rsidR="00FE4A61" w:rsidRPr="005F7046" w:rsidRDefault="00FE4A61" w:rsidP="0009713A">
      <w:pPr>
        <w:pStyle w:val="ListParagraph"/>
        <w:numPr>
          <w:ilvl w:val="0"/>
          <w:numId w:val="11"/>
        </w:numPr>
        <w:spacing w:before="120"/>
        <w:rPr>
          <w:szCs w:val="22"/>
          <w:lang w:val="en-AU"/>
        </w:rPr>
      </w:pPr>
      <w:r w:rsidRPr="005F7046">
        <w:rPr>
          <w:szCs w:val="22"/>
          <w:lang w:val="en-AU"/>
        </w:rPr>
        <w:t xml:space="preserve">heavy chain of toxin binding to cholinergic nerve terminals </w:t>
      </w:r>
    </w:p>
    <w:p w14:paraId="1B0C9BB9" w14:textId="0F8F505E" w:rsidR="00FE4A61" w:rsidRPr="005F7046" w:rsidRDefault="00315FA2" w:rsidP="0009713A">
      <w:pPr>
        <w:pStyle w:val="ListParagraph"/>
        <w:numPr>
          <w:ilvl w:val="0"/>
          <w:numId w:val="11"/>
        </w:numPr>
        <w:spacing w:before="120"/>
        <w:rPr>
          <w:szCs w:val="22"/>
          <w:lang w:val="en-AU"/>
        </w:rPr>
      </w:pPr>
      <w:r w:rsidRPr="005F7046">
        <w:rPr>
          <w:szCs w:val="22"/>
          <w:lang w:val="en-AU"/>
        </w:rPr>
        <w:t>internali</w:t>
      </w:r>
      <w:r>
        <w:rPr>
          <w:szCs w:val="22"/>
          <w:lang w:val="en-AU"/>
        </w:rPr>
        <w:t>s</w:t>
      </w:r>
      <w:r w:rsidRPr="005F7046">
        <w:rPr>
          <w:szCs w:val="22"/>
          <w:lang w:val="en-AU"/>
        </w:rPr>
        <w:t xml:space="preserve">ation </w:t>
      </w:r>
      <w:r w:rsidR="00FE4A61" w:rsidRPr="005F7046">
        <w:rPr>
          <w:szCs w:val="22"/>
          <w:lang w:val="en-AU"/>
        </w:rPr>
        <w:t xml:space="preserve">of the toxin within vesicles into the nerve terminal </w:t>
      </w:r>
    </w:p>
    <w:p w14:paraId="4DBEBE15" w14:textId="6C393F41" w:rsidR="00FE4A61" w:rsidRPr="005F7046" w:rsidRDefault="00FE4A61" w:rsidP="0009713A">
      <w:pPr>
        <w:pStyle w:val="ListParagraph"/>
        <w:numPr>
          <w:ilvl w:val="0"/>
          <w:numId w:val="11"/>
        </w:numPr>
        <w:spacing w:before="120"/>
        <w:rPr>
          <w:szCs w:val="22"/>
          <w:lang w:val="en-AU"/>
        </w:rPr>
      </w:pPr>
      <w:r w:rsidRPr="005F7046">
        <w:rPr>
          <w:szCs w:val="22"/>
          <w:lang w:val="en-AU"/>
        </w:rPr>
        <w:t xml:space="preserve">translocation of the light-chain of the toxin molecule into the cytosol of the nerve terminal </w:t>
      </w:r>
    </w:p>
    <w:p w14:paraId="298F0D1D" w14:textId="2AC22E62" w:rsidR="00FE4A61" w:rsidRPr="005F7046" w:rsidRDefault="00FE4A61" w:rsidP="0009713A">
      <w:pPr>
        <w:pStyle w:val="ListParagraph"/>
        <w:numPr>
          <w:ilvl w:val="0"/>
          <w:numId w:val="11"/>
        </w:numPr>
        <w:spacing w:before="120"/>
        <w:rPr>
          <w:szCs w:val="22"/>
          <w:lang w:val="en-AU"/>
        </w:rPr>
      </w:pPr>
      <w:r w:rsidRPr="005F7046">
        <w:rPr>
          <w:szCs w:val="22"/>
          <w:lang w:val="en-AU"/>
        </w:rPr>
        <w:t xml:space="preserve">enzymatic cleavage of SNAP25, the presynaptic target protein essential for the release of acetylcholine. </w:t>
      </w:r>
    </w:p>
    <w:p w14:paraId="607C88D4" w14:textId="58AAD159" w:rsidR="00A114B2" w:rsidRPr="005F7046" w:rsidRDefault="00FE4A61" w:rsidP="0009713A">
      <w:pPr>
        <w:autoSpaceDE w:val="0"/>
        <w:autoSpaceDN w:val="0"/>
        <w:adjustRightInd w:val="0"/>
        <w:spacing w:after="120"/>
        <w:rPr>
          <w:szCs w:val="22"/>
          <w:lang w:val="en-AU"/>
        </w:rPr>
      </w:pPr>
      <w:r w:rsidRPr="005F7046">
        <w:rPr>
          <w:szCs w:val="22"/>
          <w:lang w:val="en-AU"/>
        </w:rPr>
        <w:t xml:space="preserve">Complete recovery of endplate function/impulse transmission after intramuscular injection normally occurs within 3-4 months as nerve terminals sprout and reconnect with the muscle endplate and the presynaptic neurotransmitter release mechanism becomes functional again. </w:t>
      </w:r>
    </w:p>
    <w:p w14:paraId="249A1671" w14:textId="0C67E165" w:rsidR="00FD1F94" w:rsidRPr="005F7046" w:rsidRDefault="00FD1F94" w:rsidP="0009713A">
      <w:pPr>
        <w:pStyle w:val="Heading3"/>
        <w:numPr>
          <w:ilvl w:val="0"/>
          <w:numId w:val="0"/>
        </w:numPr>
        <w:spacing w:before="240" w:after="120"/>
        <w:rPr>
          <w:lang w:val="en-AU"/>
        </w:rPr>
      </w:pPr>
      <w:r w:rsidRPr="005F7046">
        <w:rPr>
          <w:lang w:val="en-AU"/>
        </w:rPr>
        <w:t>Clinical trials</w:t>
      </w:r>
    </w:p>
    <w:p w14:paraId="0BAA5B80" w14:textId="759B847E" w:rsidR="00102638" w:rsidRPr="005F7046" w:rsidRDefault="009029B5" w:rsidP="0009713A">
      <w:pPr>
        <w:spacing w:after="120"/>
        <w:rPr>
          <w:lang w:val="en-AU"/>
        </w:rPr>
      </w:pPr>
      <w:r w:rsidRPr="0784DFF1">
        <w:rPr>
          <w:lang w:val="en-AU"/>
        </w:rPr>
        <w:t>Three identically designed randomised</w:t>
      </w:r>
      <w:r w:rsidR="00102638" w:rsidRPr="0784DFF1">
        <w:rPr>
          <w:lang w:val="en-AU"/>
        </w:rPr>
        <w:t>, double-blind</w:t>
      </w:r>
      <w:r w:rsidRPr="0784DFF1">
        <w:rPr>
          <w:lang w:val="en-AU"/>
        </w:rPr>
        <w:t xml:space="preserve">, multi-centre, placebo-controlled </w:t>
      </w:r>
      <w:r w:rsidR="00102638" w:rsidRPr="0784DFF1">
        <w:rPr>
          <w:lang w:val="en-AU"/>
        </w:rPr>
        <w:t xml:space="preserve">Phase 3 </w:t>
      </w:r>
      <w:r w:rsidRPr="0784DFF1">
        <w:rPr>
          <w:lang w:val="en-AU"/>
        </w:rPr>
        <w:t>clinical trials</w:t>
      </w:r>
      <w:r w:rsidR="00102638" w:rsidRPr="0784DFF1">
        <w:rPr>
          <w:lang w:val="en-AU"/>
        </w:rPr>
        <w:t xml:space="preserve"> (BLESS I, BLESS II, and BLESS III) </w:t>
      </w:r>
      <w:r w:rsidRPr="0784DFF1">
        <w:rPr>
          <w:lang w:val="en-AU"/>
        </w:rPr>
        <w:t xml:space="preserve">were conducted to evaluate LETYBO for use in the temporary improvement of moderate to severe glabellar lines.  The studies included a total of </w:t>
      </w:r>
      <w:r w:rsidR="00102638" w:rsidRPr="0784DFF1">
        <w:rPr>
          <w:lang w:val="en-AU"/>
        </w:rPr>
        <w:t>955 </w:t>
      </w:r>
      <w:r w:rsidR="0055524D">
        <w:rPr>
          <w:lang w:val="en-AU"/>
        </w:rPr>
        <w:t>subjects</w:t>
      </w:r>
      <w:r w:rsidR="0055524D" w:rsidRPr="0784DFF1">
        <w:rPr>
          <w:lang w:val="en-AU"/>
        </w:rPr>
        <w:t xml:space="preserve"> </w:t>
      </w:r>
      <w:r w:rsidR="00102638" w:rsidRPr="0784DFF1">
        <w:rPr>
          <w:lang w:val="en-AU"/>
        </w:rPr>
        <w:t>treated with L</w:t>
      </w:r>
      <w:r w:rsidRPr="0784DFF1">
        <w:rPr>
          <w:lang w:val="en-AU"/>
        </w:rPr>
        <w:t>ETYBO</w:t>
      </w:r>
      <w:r w:rsidR="00102638" w:rsidRPr="0784DFF1">
        <w:rPr>
          <w:lang w:val="en-AU"/>
        </w:rPr>
        <w:t xml:space="preserve"> and 317 </w:t>
      </w:r>
      <w:r w:rsidR="0055524D">
        <w:rPr>
          <w:lang w:val="en-AU"/>
        </w:rPr>
        <w:t>subjects</w:t>
      </w:r>
      <w:r w:rsidR="0055524D" w:rsidRPr="0784DFF1">
        <w:rPr>
          <w:lang w:val="en-AU"/>
        </w:rPr>
        <w:t xml:space="preserve"> </w:t>
      </w:r>
      <w:r w:rsidR="00FF36DD" w:rsidRPr="0784DFF1">
        <w:rPr>
          <w:lang w:val="en-AU"/>
        </w:rPr>
        <w:t xml:space="preserve">treated </w:t>
      </w:r>
      <w:r w:rsidR="00102638" w:rsidRPr="0784DFF1">
        <w:rPr>
          <w:lang w:val="en-AU"/>
        </w:rPr>
        <w:t xml:space="preserve">with placebo for </w:t>
      </w:r>
      <w:r w:rsidR="0055524D">
        <w:rPr>
          <w:lang w:val="en-AU"/>
        </w:rPr>
        <w:t>a single double-blind</w:t>
      </w:r>
      <w:r w:rsidR="0055524D" w:rsidRPr="0784DFF1">
        <w:rPr>
          <w:lang w:val="en-AU"/>
        </w:rPr>
        <w:t xml:space="preserve"> </w:t>
      </w:r>
      <w:r w:rsidR="00102638" w:rsidRPr="0784DFF1">
        <w:rPr>
          <w:lang w:val="en-AU"/>
        </w:rPr>
        <w:t>treatment.</w:t>
      </w:r>
      <w:r w:rsidR="00FF36DD" w:rsidRPr="0784DFF1">
        <w:rPr>
          <w:lang w:val="en-AU"/>
        </w:rPr>
        <w:t xml:space="preserve"> The study patients received either 20 units</w:t>
      </w:r>
      <w:r w:rsidR="3D066287" w:rsidRPr="0784DFF1">
        <w:rPr>
          <w:lang w:val="en-AU"/>
        </w:rPr>
        <w:t xml:space="preserve"> (0.5 mL)</w:t>
      </w:r>
      <w:r w:rsidR="00FF36DD" w:rsidRPr="0784DFF1">
        <w:rPr>
          <w:lang w:val="en-AU"/>
        </w:rPr>
        <w:t xml:space="preserve"> LETYBO or an equal </w:t>
      </w:r>
      <w:r w:rsidR="00877397" w:rsidRPr="0784DFF1">
        <w:rPr>
          <w:lang w:val="en-AU"/>
        </w:rPr>
        <w:t xml:space="preserve">volume </w:t>
      </w:r>
      <w:r w:rsidR="00FF36DD" w:rsidRPr="0784DFF1">
        <w:rPr>
          <w:lang w:val="en-AU"/>
        </w:rPr>
        <w:t xml:space="preserve">of placebo. The total dose was delivered in 5 equally divided aliquots of 4 units each to specific injection sites. </w:t>
      </w:r>
    </w:p>
    <w:p w14:paraId="49C31A98" w14:textId="77777777" w:rsidR="00083B9A" w:rsidRDefault="00083B9A" w:rsidP="0009713A">
      <w:pPr>
        <w:spacing w:after="120"/>
        <w:rPr>
          <w:lang w:val="en-AU"/>
        </w:rPr>
      </w:pPr>
      <w:r>
        <w:rPr>
          <w:lang w:val="en-AU"/>
        </w:rPr>
        <w:t xml:space="preserve">In studies BLESS I, BLESS II and BLESS III, all patients had moderate (27% of patients) or severe (73% of patients) glabellar lines at maximum frown at baseline. </w:t>
      </w:r>
    </w:p>
    <w:p w14:paraId="4D13EEFD" w14:textId="3B8B4FEE" w:rsidR="00A66E18" w:rsidRDefault="00A66E18" w:rsidP="0009713A">
      <w:pPr>
        <w:spacing w:after="120"/>
        <w:rPr>
          <w:lang w:val="en-AU"/>
        </w:rPr>
      </w:pPr>
      <w:r w:rsidRPr="005F7046">
        <w:rPr>
          <w:lang w:val="en-AU"/>
        </w:rPr>
        <w:t>Overall, 152/1272 (11.9%) of patients were ≥ 65 years old at screening. No patient was &gt; 75 years of age.</w:t>
      </w:r>
    </w:p>
    <w:p w14:paraId="6A863F9D" w14:textId="352E76B9" w:rsidR="00083B9A" w:rsidRPr="005F7046" w:rsidRDefault="00083B9A" w:rsidP="0009713A">
      <w:pPr>
        <w:spacing w:after="120"/>
        <w:rPr>
          <w:lang w:val="en-AU"/>
        </w:rPr>
      </w:pPr>
      <w:r w:rsidRPr="4A3A2F46">
        <w:rPr>
          <w:lang w:val="en-AU"/>
        </w:rPr>
        <w:lastRenderedPageBreak/>
        <w:t xml:space="preserve">At week 4 of treatment period, LETYBO at the dose of 20 units significantly reduced the severity of glabellar lines seen at maximum frown, as measured by the </w:t>
      </w:r>
      <w:proofErr w:type="gramStart"/>
      <w:r w:rsidRPr="4A3A2F46">
        <w:rPr>
          <w:lang w:val="en-AU"/>
        </w:rPr>
        <w:t>investigator’s</w:t>
      </w:r>
      <w:proofErr w:type="gramEnd"/>
      <w:r w:rsidRPr="4A3A2F46">
        <w:rPr>
          <w:lang w:val="en-AU"/>
        </w:rPr>
        <w:t xml:space="preserve"> and patient’s </w:t>
      </w:r>
      <w:r w:rsidR="5F470EC2" w:rsidRPr="4A3A2F46">
        <w:rPr>
          <w:lang w:val="en-AU"/>
        </w:rPr>
        <w:t xml:space="preserve">composite </w:t>
      </w:r>
      <w:r w:rsidRPr="4A3A2F46">
        <w:rPr>
          <w:lang w:val="en-AU"/>
        </w:rPr>
        <w:t>assessment of glabellar line severity on a 4-point facial wrinkle scale (FWS). Statistically significant response rates in favour of LETYBO were seen when using a</w:t>
      </w:r>
      <w:r w:rsidR="00877397" w:rsidRPr="4A3A2F46">
        <w:rPr>
          <w:lang w:val="en-AU"/>
        </w:rPr>
        <w:t xml:space="preserve"> composite</w:t>
      </w:r>
      <w:r w:rsidRPr="4A3A2F46">
        <w:rPr>
          <w:lang w:val="en-AU"/>
        </w:rPr>
        <w:t xml:space="preserve"> endpoint requiring</w:t>
      </w:r>
      <w:r w:rsidR="00877397" w:rsidRPr="4A3A2F46">
        <w:rPr>
          <w:lang w:val="en-AU"/>
        </w:rPr>
        <w:t xml:space="preserve"> an FWS score of 0 or 1 and a</w:t>
      </w:r>
      <w:r w:rsidRPr="4A3A2F46">
        <w:rPr>
          <w:lang w:val="en-AU"/>
        </w:rPr>
        <w:t xml:space="preserve"> 2-point improvement in FWS. High response rates </w:t>
      </w:r>
      <w:r w:rsidR="00877397" w:rsidRPr="4A3A2F46">
        <w:rPr>
          <w:lang w:val="en-AU"/>
        </w:rPr>
        <w:t xml:space="preserve">in favour of LETYBO were also see when considering </w:t>
      </w:r>
      <w:r w:rsidRPr="4A3A2F46">
        <w:rPr>
          <w:lang w:val="en-AU"/>
        </w:rPr>
        <w:t>the investigator</w:t>
      </w:r>
      <w:r w:rsidR="00877397" w:rsidRPr="4A3A2F46">
        <w:rPr>
          <w:lang w:val="en-AU"/>
        </w:rPr>
        <w:t xml:space="preserve"> and subject individual</w:t>
      </w:r>
      <w:r w:rsidRPr="4A3A2F46">
        <w:rPr>
          <w:lang w:val="en-AU"/>
        </w:rPr>
        <w:t xml:space="preserve"> rating at Week 4 (see Table </w:t>
      </w:r>
      <w:r w:rsidR="00877397" w:rsidRPr="4A3A2F46">
        <w:rPr>
          <w:lang w:val="en-AU"/>
        </w:rPr>
        <w:t>4</w:t>
      </w:r>
      <w:r w:rsidRPr="4A3A2F46">
        <w:rPr>
          <w:lang w:val="en-AU"/>
        </w:rPr>
        <w:t>).</w:t>
      </w:r>
    </w:p>
    <w:p w14:paraId="641C24FA" w14:textId="0540D507" w:rsidR="00FF36DD" w:rsidRPr="005F7046" w:rsidRDefault="00FF36DD" w:rsidP="00083B9A">
      <w:pPr>
        <w:keepNext/>
        <w:keepLines/>
        <w:spacing w:after="120"/>
        <w:ind w:left="1440" w:hanging="1440"/>
        <w:rPr>
          <w:b/>
          <w:bCs/>
          <w:lang w:val="en-AU"/>
        </w:rPr>
      </w:pPr>
      <w:r w:rsidRPr="005F7046">
        <w:rPr>
          <w:b/>
          <w:bCs/>
          <w:lang w:val="en-AU"/>
        </w:rPr>
        <w:t>Table 4:</w:t>
      </w:r>
      <w:r w:rsidRPr="005F7046">
        <w:rPr>
          <w:b/>
          <w:bCs/>
          <w:lang w:val="en-AU"/>
        </w:rPr>
        <w:tab/>
      </w:r>
      <w:r w:rsidR="00083B9A">
        <w:rPr>
          <w:b/>
          <w:bCs/>
          <w:lang w:val="en-AU"/>
        </w:rPr>
        <w:t>Response rate from baseline to week 4 at maximum frown based on facial wrinkle scale (FWS) in BLESS I, BLESS II, and BLESS III studies – Full analysis set</w:t>
      </w:r>
    </w:p>
    <w:tbl>
      <w:tblPr>
        <w:tblStyle w:val="TableGrid"/>
        <w:tblW w:w="9156" w:type="dxa"/>
        <w:tblLook w:val="04A0" w:firstRow="1" w:lastRow="0" w:firstColumn="1" w:lastColumn="0" w:noHBand="0" w:noVBand="1"/>
      </w:tblPr>
      <w:tblGrid>
        <w:gridCol w:w="1364"/>
        <w:gridCol w:w="1303"/>
        <w:gridCol w:w="1294"/>
        <w:gridCol w:w="1303"/>
        <w:gridCol w:w="1294"/>
        <w:gridCol w:w="1303"/>
        <w:gridCol w:w="1295"/>
      </w:tblGrid>
      <w:tr w:rsidR="0093476B" w:rsidRPr="005F7046" w14:paraId="66CF045A" w14:textId="77777777" w:rsidTr="4A3A2F46">
        <w:tc>
          <w:tcPr>
            <w:tcW w:w="1364" w:type="dxa"/>
            <w:vMerge w:val="restart"/>
            <w:vAlign w:val="center"/>
          </w:tcPr>
          <w:p w14:paraId="6D58A007" w14:textId="23390E10" w:rsidR="009F2655" w:rsidRPr="005F7046" w:rsidRDefault="009F2655" w:rsidP="00315FA2">
            <w:pPr>
              <w:keepNext/>
              <w:keepLines/>
              <w:spacing w:before="40" w:after="40"/>
              <w:rPr>
                <w:b/>
                <w:bCs/>
                <w:lang w:val="en-AU"/>
              </w:rPr>
            </w:pPr>
            <w:r w:rsidRPr="005F7046">
              <w:rPr>
                <w:b/>
                <w:bCs/>
                <w:lang w:val="en-AU"/>
              </w:rPr>
              <w:t>Endpoint</w:t>
            </w:r>
          </w:p>
        </w:tc>
        <w:tc>
          <w:tcPr>
            <w:tcW w:w="2597" w:type="dxa"/>
            <w:gridSpan w:val="2"/>
            <w:tcBorders>
              <w:bottom w:val="single" w:sz="4" w:space="0" w:color="auto"/>
            </w:tcBorders>
          </w:tcPr>
          <w:p w14:paraId="2A49352C" w14:textId="23A83227" w:rsidR="009F2655" w:rsidRPr="005F7046" w:rsidRDefault="009F2655" w:rsidP="00315FA2">
            <w:pPr>
              <w:keepNext/>
              <w:keepLines/>
              <w:spacing w:before="40" w:after="40"/>
              <w:jc w:val="center"/>
              <w:rPr>
                <w:b/>
                <w:bCs/>
                <w:lang w:val="en-AU"/>
              </w:rPr>
            </w:pPr>
            <w:r w:rsidRPr="005F7046">
              <w:rPr>
                <w:b/>
                <w:bCs/>
                <w:lang w:val="en-AU"/>
              </w:rPr>
              <w:t>BLESS I</w:t>
            </w:r>
          </w:p>
        </w:tc>
        <w:tc>
          <w:tcPr>
            <w:tcW w:w="2597" w:type="dxa"/>
            <w:gridSpan w:val="2"/>
            <w:tcBorders>
              <w:bottom w:val="single" w:sz="4" w:space="0" w:color="auto"/>
            </w:tcBorders>
          </w:tcPr>
          <w:p w14:paraId="1C033855" w14:textId="24FE472F" w:rsidR="009F2655" w:rsidRPr="005F7046" w:rsidRDefault="009F2655" w:rsidP="00315FA2">
            <w:pPr>
              <w:keepNext/>
              <w:keepLines/>
              <w:spacing w:before="40" w:after="40"/>
              <w:jc w:val="center"/>
              <w:rPr>
                <w:b/>
                <w:bCs/>
                <w:lang w:val="en-AU"/>
              </w:rPr>
            </w:pPr>
            <w:r w:rsidRPr="005F7046">
              <w:rPr>
                <w:b/>
                <w:bCs/>
                <w:lang w:val="en-AU"/>
              </w:rPr>
              <w:t>BLESS II</w:t>
            </w:r>
          </w:p>
        </w:tc>
        <w:tc>
          <w:tcPr>
            <w:tcW w:w="2598" w:type="dxa"/>
            <w:gridSpan w:val="2"/>
            <w:tcBorders>
              <w:bottom w:val="single" w:sz="4" w:space="0" w:color="auto"/>
            </w:tcBorders>
          </w:tcPr>
          <w:p w14:paraId="6052E2AE" w14:textId="0A776343" w:rsidR="009F2655" w:rsidRPr="005F7046" w:rsidRDefault="009F2655" w:rsidP="00315FA2">
            <w:pPr>
              <w:keepNext/>
              <w:keepLines/>
              <w:spacing w:before="40" w:after="40"/>
              <w:jc w:val="center"/>
              <w:rPr>
                <w:b/>
                <w:bCs/>
                <w:lang w:val="en-AU"/>
              </w:rPr>
            </w:pPr>
            <w:r w:rsidRPr="005F7046">
              <w:rPr>
                <w:b/>
                <w:bCs/>
                <w:lang w:val="en-AU"/>
              </w:rPr>
              <w:t>BLESS III</w:t>
            </w:r>
          </w:p>
        </w:tc>
      </w:tr>
      <w:tr w:rsidR="0093476B" w:rsidRPr="005F7046" w14:paraId="5DA8BABF" w14:textId="77777777" w:rsidTr="4A3A2F46">
        <w:tc>
          <w:tcPr>
            <w:tcW w:w="1364" w:type="dxa"/>
            <w:vMerge/>
          </w:tcPr>
          <w:p w14:paraId="2EE6D40D" w14:textId="77777777" w:rsidR="009F2655" w:rsidRPr="005F7046" w:rsidRDefault="009F2655" w:rsidP="00315FA2">
            <w:pPr>
              <w:keepNext/>
              <w:keepLines/>
              <w:spacing w:before="40" w:after="40"/>
              <w:rPr>
                <w:b/>
                <w:bCs/>
                <w:lang w:val="en-AU"/>
              </w:rPr>
            </w:pPr>
          </w:p>
        </w:tc>
        <w:tc>
          <w:tcPr>
            <w:tcW w:w="1303" w:type="dxa"/>
            <w:tcBorders>
              <w:right w:val="nil"/>
            </w:tcBorders>
          </w:tcPr>
          <w:p w14:paraId="300156B1" w14:textId="77777777" w:rsidR="009F2655" w:rsidRPr="005F7046" w:rsidRDefault="009F2655" w:rsidP="00315FA2">
            <w:pPr>
              <w:keepNext/>
              <w:keepLines/>
              <w:spacing w:before="40" w:after="40"/>
              <w:rPr>
                <w:b/>
                <w:bCs/>
                <w:lang w:val="en-AU"/>
              </w:rPr>
            </w:pPr>
            <w:r w:rsidRPr="005F7046">
              <w:rPr>
                <w:b/>
                <w:bCs/>
                <w:lang w:val="en-AU"/>
              </w:rPr>
              <w:t>LETYBO</w:t>
            </w:r>
          </w:p>
          <w:p w14:paraId="6861CB04" w14:textId="67A9B733" w:rsidR="009F2655" w:rsidRPr="005F7046" w:rsidRDefault="009F2655" w:rsidP="00315FA2">
            <w:pPr>
              <w:keepNext/>
              <w:keepLines/>
              <w:spacing w:before="40" w:after="40"/>
              <w:rPr>
                <w:b/>
                <w:bCs/>
                <w:lang w:val="en-AU"/>
              </w:rPr>
            </w:pPr>
            <w:r w:rsidRPr="005F7046">
              <w:rPr>
                <w:b/>
                <w:bCs/>
                <w:lang w:val="en-AU"/>
              </w:rPr>
              <w:t>(N = 529)</w:t>
            </w:r>
          </w:p>
        </w:tc>
        <w:tc>
          <w:tcPr>
            <w:tcW w:w="1294" w:type="dxa"/>
            <w:tcBorders>
              <w:left w:val="nil"/>
            </w:tcBorders>
          </w:tcPr>
          <w:p w14:paraId="70A23E2F" w14:textId="77777777" w:rsidR="009F2655" w:rsidRPr="005F7046" w:rsidRDefault="009F2655" w:rsidP="00315FA2">
            <w:pPr>
              <w:keepNext/>
              <w:keepLines/>
              <w:spacing w:before="40" w:after="40"/>
              <w:rPr>
                <w:b/>
                <w:bCs/>
                <w:lang w:val="en-AU"/>
              </w:rPr>
            </w:pPr>
            <w:r w:rsidRPr="005F7046">
              <w:rPr>
                <w:b/>
                <w:bCs/>
                <w:lang w:val="en-AU"/>
              </w:rPr>
              <w:t>Placebo</w:t>
            </w:r>
          </w:p>
          <w:p w14:paraId="0AB63F8F" w14:textId="44518007" w:rsidR="009F2655" w:rsidRPr="005F7046" w:rsidRDefault="009F2655" w:rsidP="00315FA2">
            <w:pPr>
              <w:keepNext/>
              <w:keepLines/>
              <w:spacing w:before="40" w:after="40"/>
              <w:rPr>
                <w:b/>
                <w:bCs/>
                <w:lang w:val="en-AU"/>
              </w:rPr>
            </w:pPr>
            <w:r w:rsidRPr="005F7046">
              <w:rPr>
                <w:b/>
                <w:bCs/>
                <w:lang w:val="en-AU"/>
              </w:rPr>
              <w:t>(N = 175)</w:t>
            </w:r>
          </w:p>
        </w:tc>
        <w:tc>
          <w:tcPr>
            <w:tcW w:w="1303" w:type="dxa"/>
            <w:tcBorders>
              <w:right w:val="nil"/>
            </w:tcBorders>
          </w:tcPr>
          <w:p w14:paraId="78780592" w14:textId="77777777" w:rsidR="009F2655" w:rsidRPr="005F7046" w:rsidRDefault="009F2655" w:rsidP="00315FA2">
            <w:pPr>
              <w:keepNext/>
              <w:keepLines/>
              <w:spacing w:before="40" w:after="40"/>
              <w:rPr>
                <w:b/>
                <w:bCs/>
                <w:lang w:val="en-AU"/>
              </w:rPr>
            </w:pPr>
            <w:r w:rsidRPr="005F7046">
              <w:rPr>
                <w:b/>
                <w:bCs/>
                <w:lang w:val="en-AU"/>
              </w:rPr>
              <w:t>LETYBO</w:t>
            </w:r>
          </w:p>
          <w:p w14:paraId="0CB10208" w14:textId="3743DFEE" w:rsidR="009F2655" w:rsidRPr="005F7046" w:rsidRDefault="009F2655" w:rsidP="00315FA2">
            <w:pPr>
              <w:keepNext/>
              <w:keepLines/>
              <w:spacing w:before="40" w:after="40"/>
              <w:rPr>
                <w:b/>
                <w:bCs/>
                <w:lang w:val="en-AU"/>
              </w:rPr>
            </w:pPr>
            <w:r w:rsidRPr="005F7046">
              <w:rPr>
                <w:b/>
                <w:bCs/>
                <w:lang w:val="en-AU"/>
              </w:rPr>
              <w:t>(N = 160)</w:t>
            </w:r>
          </w:p>
        </w:tc>
        <w:tc>
          <w:tcPr>
            <w:tcW w:w="1294" w:type="dxa"/>
            <w:tcBorders>
              <w:left w:val="nil"/>
            </w:tcBorders>
          </w:tcPr>
          <w:p w14:paraId="11990053" w14:textId="77777777" w:rsidR="009F2655" w:rsidRPr="005F7046" w:rsidRDefault="009F2655" w:rsidP="00315FA2">
            <w:pPr>
              <w:keepNext/>
              <w:keepLines/>
              <w:spacing w:before="40" w:after="40"/>
              <w:rPr>
                <w:b/>
                <w:bCs/>
                <w:lang w:val="en-AU"/>
              </w:rPr>
            </w:pPr>
            <w:r w:rsidRPr="005F7046">
              <w:rPr>
                <w:b/>
                <w:bCs/>
                <w:lang w:val="en-AU"/>
              </w:rPr>
              <w:t>Placebo</w:t>
            </w:r>
          </w:p>
          <w:p w14:paraId="7DA79F68" w14:textId="0E717B57" w:rsidR="009F2655" w:rsidRPr="005F7046" w:rsidRDefault="009F2655" w:rsidP="00315FA2">
            <w:pPr>
              <w:keepNext/>
              <w:keepLines/>
              <w:spacing w:before="40" w:after="40"/>
              <w:rPr>
                <w:b/>
                <w:bCs/>
                <w:lang w:val="en-AU"/>
              </w:rPr>
            </w:pPr>
            <w:r w:rsidRPr="005F7046">
              <w:rPr>
                <w:b/>
                <w:bCs/>
                <w:lang w:val="en-AU"/>
              </w:rPr>
              <w:t>(N = 53)</w:t>
            </w:r>
          </w:p>
        </w:tc>
        <w:tc>
          <w:tcPr>
            <w:tcW w:w="1303" w:type="dxa"/>
            <w:tcBorders>
              <w:right w:val="nil"/>
            </w:tcBorders>
          </w:tcPr>
          <w:p w14:paraId="7D7494E3" w14:textId="77777777" w:rsidR="009F2655" w:rsidRPr="005F7046" w:rsidRDefault="009F2655" w:rsidP="00315FA2">
            <w:pPr>
              <w:keepNext/>
              <w:keepLines/>
              <w:spacing w:before="40" w:after="40"/>
              <w:rPr>
                <w:b/>
                <w:bCs/>
                <w:lang w:val="en-AU"/>
              </w:rPr>
            </w:pPr>
            <w:r w:rsidRPr="005F7046">
              <w:rPr>
                <w:b/>
                <w:bCs/>
                <w:lang w:val="en-AU"/>
              </w:rPr>
              <w:t>LETYBO</w:t>
            </w:r>
          </w:p>
          <w:p w14:paraId="229B42F5" w14:textId="2F5E2486" w:rsidR="009F2655" w:rsidRPr="005F7046" w:rsidRDefault="009F2655" w:rsidP="00315FA2">
            <w:pPr>
              <w:keepNext/>
              <w:keepLines/>
              <w:spacing w:before="40" w:after="40"/>
              <w:rPr>
                <w:b/>
                <w:bCs/>
                <w:lang w:val="en-AU"/>
              </w:rPr>
            </w:pPr>
            <w:r w:rsidRPr="005F7046">
              <w:rPr>
                <w:b/>
                <w:bCs/>
                <w:lang w:val="en-AU"/>
              </w:rPr>
              <w:t>(N = 266)</w:t>
            </w:r>
          </w:p>
        </w:tc>
        <w:tc>
          <w:tcPr>
            <w:tcW w:w="1295" w:type="dxa"/>
            <w:tcBorders>
              <w:left w:val="nil"/>
            </w:tcBorders>
          </w:tcPr>
          <w:p w14:paraId="73237F5A" w14:textId="77777777" w:rsidR="009F2655" w:rsidRPr="005F7046" w:rsidRDefault="009F2655" w:rsidP="00315FA2">
            <w:pPr>
              <w:keepNext/>
              <w:keepLines/>
              <w:spacing w:before="40" w:after="40"/>
              <w:rPr>
                <w:b/>
                <w:bCs/>
                <w:lang w:val="en-AU"/>
              </w:rPr>
            </w:pPr>
            <w:r w:rsidRPr="005F7046">
              <w:rPr>
                <w:b/>
                <w:bCs/>
                <w:lang w:val="en-AU"/>
              </w:rPr>
              <w:t>Placebo</w:t>
            </w:r>
          </w:p>
          <w:p w14:paraId="39647351" w14:textId="6479B60D" w:rsidR="009F2655" w:rsidRPr="005F7046" w:rsidRDefault="009F2655" w:rsidP="00315FA2">
            <w:pPr>
              <w:keepNext/>
              <w:keepLines/>
              <w:spacing w:before="40" w:after="40"/>
              <w:rPr>
                <w:b/>
                <w:bCs/>
                <w:lang w:val="en-AU"/>
              </w:rPr>
            </w:pPr>
            <w:r w:rsidRPr="005F7046">
              <w:rPr>
                <w:b/>
                <w:bCs/>
                <w:lang w:val="en-AU"/>
              </w:rPr>
              <w:t>(N = 89)</w:t>
            </w:r>
          </w:p>
        </w:tc>
      </w:tr>
      <w:tr w:rsidR="0093476B" w:rsidRPr="00CB5D5F" w14:paraId="1C5592DE" w14:textId="77777777" w:rsidTr="4A3A2F46">
        <w:tc>
          <w:tcPr>
            <w:tcW w:w="1364" w:type="dxa"/>
          </w:tcPr>
          <w:p w14:paraId="2D1126CD" w14:textId="6B348476" w:rsidR="005123A1" w:rsidRPr="005F7046" w:rsidRDefault="361C4B43" w:rsidP="00CB5D5F">
            <w:pPr>
              <w:keepNext/>
              <w:keepLines/>
              <w:spacing w:before="40" w:after="40"/>
              <w:rPr>
                <w:lang w:val="en-AU"/>
              </w:rPr>
            </w:pPr>
            <w:r w:rsidRPr="4A3A2F46">
              <w:rPr>
                <w:lang w:val="en-AU"/>
              </w:rPr>
              <w:t>Composite</w:t>
            </w:r>
            <w:r w:rsidR="00AC4EE1" w:rsidRPr="4A3A2F46">
              <w:rPr>
                <w:lang w:val="en-AU"/>
              </w:rPr>
              <w:t xml:space="preserve"> </w:t>
            </w:r>
            <w:r w:rsidR="0093476B" w:rsidRPr="4A3A2F46">
              <w:rPr>
                <w:lang w:val="en-AU"/>
              </w:rPr>
              <w:t>Investigator and Subject Assessment</w:t>
            </w:r>
          </w:p>
        </w:tc>
        <w:tc>
          <w:tcPr>
            <w:tcW w:w="1303" w:type="dxa"/>
            <w:tcBorders>
              <w:top w:val="single" w:sz="4" w:space="0" w:color="000000" w:themeColor="text1"/>
              <w:left w:val="single" w:sz="4" w:space="0" w:color="000000" w:themeColor="text1"/>
              <w:bottom w:val="single" w:sz="4" w:space="0" w:color="000000" w:themeColor="text1"/>
              <w:right w:val="nil"/>
            </w:tcBorders>
            <w:vAlign w:val="center"/>
          </w:tcPr>
          <w:p w14:paraId="060A5227" w14:textId="09ED74A4" w:rsidR="005123A1" w:rsidRPr="005F7046" w:rsidRDefault="005123A1" w:rsidP="00CB5D5F">
            <w:pPr>
              <w:keepNext/>
              <w:keepLines/>
              <w:spacing w:before="40" w:after="40"/>
              <w:ind w:left="-57" w:right="-57"/>
              <w:jc w:val="center"/>
              <w:rPr>
                <w:lang w:val="en-AU"/>
              </w:rPr>
            </w:pPr>
            <w:r w:rsidRPr="005F7046">
              <w:rPr>
                <w:lang w:val="en-AU" w:eastAsia="zh-CN"/>
              </w:rPr>
              <w:t>246 (46.5%)</w:t>
            </w:r>
          </w:p>
        </w:tc>
        <w:tc>
          <w:tcPr>
            <w:tcW w:w="1294" w:type="dxa"/>
            <w:tcBorders>
              <w:top w:val="single" w:sz="4" w:space="0" w:color="000000" w:themeColor="text1"/>
              <w:left w:val="nil"/>
              <w:bottom w:val="single" w:sz="4" w:space="0" w:color="000000" w:themeColor="text1"/>
              <w:right w:val="single" w:sz="4" w:space="0" w:color="000000" w:themeColor="text1"/>
            </w:tcBorders>
            <w:vAlign w:val="center"/>
          </w:tcPr>
          <w:p w14:paraId="54FE672D" w14:textId="33CA835E" w:rsidR="005123A1" w:rsidRPr="005F7046" w:rsidRDefault="005123A1" w:rsidP="00CB5D5F">
            <w:pPr>
              <w:keepNext/>
              <w:keepLines/>
              <w:spacing w:before="40" w:after="40"/>
              <w:ind w:left="-57" w:right="-57"/>
              <w:jc w:val="center"/>
              <w:rPr>
                <w:lang w:val="en-AU"/>
              </w:rPr>
            </w:pPr>
            <w:r w:rsidRPr="005F7046">
              <w:rPr>
                <w:lang w:val="en-AU" w:eastAsia="zh-CN"/>
              </w:rPr>
              <w:t>0</w:t>
            </w:r>
            <w:r w:rsidR="00CB5D5F">
              <w:rPr>
                <w:lang w:val="en-AU" w:eastAsia="zh-CN"/>
              </w:rPr>
              <w:t xml:space="preserve"> </w:t>
            </w:r>
            <w:r w:rsidRPr="005F7046">
              <w:rPr>
                <w:lang w:val="en-AU" w:eastAsia="zh-CN"/>
              </w:rPr>
              <w:t>(0%)</w:t>
            </w:r>
          </w:p>
        </w:tc>
        <w:tc>
          <w:tcPr>
            <w:tcW w:w="1303" w:type="dxa"/>
            <w:tcBorders>
              <w:top w:val="single" w:sz="4" w:space="0" w:color="000000" w:themeColor="text1"/>
              <w:left w:val="single" w:sz="4" w:space="0" w:color="000000" w:themeColor="text1"/>
              <w:bottom w:val="single" w:sz="4" w:space="0" w:color="000000" w:themeColor="text1"/>
              <w:right w:val="nil"/>
            </w:tcBorders>
            <w:vAlign w:val="center"/>
          </w:tcPr>
          <w:p w14:paraId="3EC90E5A" w14:textId="75A06116" w:rsidR="005123A1" w:rsidRPr="005F7046" w:rsidRDefault="005123A1" w:rsidP="00CB5D5F">
            <w:pPr>
              <w:keepNext/>
              <w:keepLines/>
              <w:spacing w:before="40" w:after="40"/>
              <w:ind w:left="-57" w:right="-57"/>
              <w:jc w:val="center"/>
              <w:rPr>
                <w:lang w:val="en-AU"/>
              </w:rPr>
            </w:pPr>
            <w:r w:rsidRPr="005F7046">
              <w:rPr>
                <w:lang w:val="en-AU" w:eastAsia="zh-CN"/>
              </w:rPr>
              <w:t>78 (48.8%)</w:t>
            </w:r>
          </w:p>
        </w:tc>
        <w:tc>
          <w:tcPr>
            <w:tcW w:w="1294" w:type="dxa"/>
            <w:tcBorders>
              <w:top w:val="single" w:sz="4" w:space="0" w:color="000000" w:themeColor="text1"/>
              <w:left w:val="nil"/>
              <w:bottom w:val="single" w:sz="4" w:space="0" w:color="000000" w:themeColor="text1"/>
              <w:right w:val="single" w:sz="4" w:space="0" w:color="000000" w:themeColor="text1"/>
            </w:tcBorders>
            <w:vAlign w:val="center"/>
          </w:tcPr>
          <w:p w14:paraId="423866D7" w14:textId="7C4BE8F8" w:rsidR="005123A1" w:rsidRPr="005F7046" w:rsidRDefault="005123A1" w:rsidP="00CB5D5F">
            <w:pPr>
              <w:keepNext/>
              <w:keepLines/>
              <w:spacing w:before="40" w:after="40"/>
              <w:ind w:left="-57" w:right="-57"/>
              <w:jc w:val="center"/>
              <w:rPr>
                <w:lang w:val="en-AU"/>
              </w:rPr>
            </w:pPr>
            <w:r w:rsidRPr="005F7046">
              <w:rPr>
                <w:lang w:val="en-AU" w:eastAsia="zh-CN"/>
              </w:rPr>
              <w:t>1</w:t>
            </w:r>
            <w:r w:rsidR="00CB5D5F">
              <w:rPr>
                <w:lang w:val="en-AU" w:eastAsia="zh-CN"/>
              </w:rPr>
              <w:t xml:space="preserve"> </w:t>
            </w:r>
            <w:r w:rsidRPr="005F7046">
              <w:rPr>
                <w:lang w:val="en-AU" w:eastAsia="zh-CN"/>
              </w:rPr>
              <w:t>(1.9%)</w:t>
            </w:r>
          </w:p>
        </w:tc>
        <w:tc>
          <w:tcPr>
            <w:tcW w:w="1303" w:type="dxa"/>
            <w:tcBorders>
              <w:top w:val="single" w:sz="4" w:space="0" w:color="000000" w:themeColor="text1"/>
              <w:left w:val="single" w:sz="4" w:space="0" w:color="000000" w:themeColor="text1"/>
              <w:bottom w:val="single" w:sz="4" w:space="0" w:color="000000" w:themeColor="text1"/>
              <w:right w:val="nil"/>
            </w:tcBorders>
            <w:vAlign w:val="center"/>
          </w:tcPr>
          <w:p w14:paraId="08CE1F46" w14:textId="0C23EEFD" w:rsidR="005123A1" w:rsidRPr="005F7046" w:rsidRDefault="005123A1" w:rsidP="00CB5D5F">
            <w:pPr>
              <w:keepNext/>
              <w:keepLines/>
              <w:spacing w:before="40" w:after="40"/>
              <w:ind w:left="-57" w:right="-57"/>
              <w:jc w:val="center"/>
              <w:rPr>
                <w:lang w:val="en-AU"/>
              </w:rPr>
            </w:pPr>
            <w:r w:rsidRPr="005F7046">
              <w:rPr>
                <w:lang w:val="en-AU" w:eastAsia="zh-CN"/>
              </w:rPr>
              <w:t>172</w:t>
            </w:r>
            <w:r w:rsidR="00CB5D5F">
              <w:rPr>
                <w:lang w:val="en-AU" w:eastAsia="zh-CN"/>
              </w:rPr>
              <w:t xml:space="preserve"> </w:t>
            </w:r>
            <w:r w:rsidRPr="005F7046">
              <w:rPr>
                <w:lang w:val="en-AU" w:eastAsia="zh-CN"/>
              </w:rPr>
              <w:t>(64.7%)</w:t>
            </w:r>
          </w:p>
        </w:tc>
        <w:tc>
          <w:tcPr>
            <w:tcW w:w="1295" w:type="dxa"/>
            <w:tcBorders>
              <w:top w:val="single" w:sz="4" w:space="0" w:color="000000" w:themeColor="text1"/>
              <w:left w:val="nil"/>
              <w:bottom w:val="single" w:sz="4" w:space="0" w:color="000000" w:themeColor="text1"/>
              <w:right w:val="single" w:sz="4" w:space="0" w:color="000000" w:themeColor="text1"/>
            </w:tcBorders>
            <w:vAlign w:val="center"/>
          </w:tcPr>
          <w:p w14:paraId="669279BF" w14:textId="65CD3A04" w:rsidR="005123A1" w:rsidRPr="005F7046" w:rsidRDefault="005123A1" w:rsidP="00CB5D5F">
            <w:pPr>
              <w:keepNext/>
              <w:keepLines/>
              <w:spacing w:before="40" w:after="40"/>
              <w:ind w:left="-57" w:right="-57"/>
              <w:jc w:val="center"/>
              <w:rPr>
                <w:lang w:val="en-AU"/>
              </w:rPr>
            </w:pPr>
            <w:r w:rsidRPr="005F7046">
              <w:rPr>
                <w:lang w:val="en-AU" w:eastAsia="zh-CN"/>
              </w:rPr>
              <w:t>0</w:t>
            </w:r>
            <w:r w:rsidR="00CB5D5F">
              <w:rPr>
                <w:lang w:val="en-AU" w:eastAsia="zh-CN"/>
              </w:rPr>
              <w:t xml:space="preserve"> </w:t>
            </w:r>
            <w:r w:rsidRPr="005F7046">
              <w:rPr>
                <w:lang w:val="en-AU" w:eastAsia="zh-CN"/>
              </w:rPr>
              <w:t>(0.0%)</w:t>
            </w:r>
          </w:p>
        </w:tc>
      </w:tr>
      <w:tr w:rsidR="0093476B" w:rsidRPr="005F7046" w14:paraId="559A0852" w14:textId="77777777" w:rsidTr="4A3A2F46">
        <w:tc>
          <w:tcPr>
            <w:tcW w:w="1364" w:type="dxa"/>
          </w:tcPr>
          <w:p w14:paraId="19F01981" w14:textId="50F82F3E" w:rsidR="005123A1" w:rsidRPr="005F7046" w:rsidRDefault="005123A1" w:rsidP="00315FA2">
            <w:pPr>
              <w:keepNext/>
              <w:keepLines/>
              <w:spacing w:before="40" w:after="40"/>
              <w:rPr>
                <w:lang w:val="en-AU"/>
              </w:rPr>
            </w:pPr>
            <w:r w:rsidRPr="005F7046">
              <w:rPr>
                <w:lang w:val="en-AU"/>
              </w:rPr>
              <w:t>Investigator Assessment</w:t>
            </w:r>
          </w:p>
        </w:tc>
        <w:tc>
          <w:tcPr>
            <w:tcW w:w="1303" w:type="dxa"/>
            <w:tcBorders>
              <w:top w:val="single" w:sz="4" w:space="0" w:color="000000" w:themeColor="text1"/>
              <w:left w:val="single" w:sz="4" w:space="0" w:color="000000" w:themeColor="text1"/>
              <w:bottom w:val="single" w:sz="4" w:space="0" w:color="000000" w:themeColor="text1"/>
              <w:right w:val="nil"/>
            </w:tcBorders>
            <w:vAlign w:val="center"/>
          </w:tcPr>
          <w:p w14:paraId="2B0F2EF3" w14:textId="2326E5C5" w:rsidR="005123A1" w:rsidRPr="005F7046" w:rsidRDefault="005123A1" w:rsidP="00315FA2">
            <w:pPr>
              <w:keepNext/>
              <w:keepLines/>
              <w:spacing w:before="40" w:after="40"/>
              <w:ind w:left="-57" w:right="-57"/>
              <w:jc w:val="center"/>
              <w:rPr>
                <w:lang w:val="en-AU"/>
              </w:rPr>
            </w:pPr>
            <w:r w:rsidRPr="005F7046">
              <w:rPr>
                <w:lang w:val="en-AU" w:eastAsia="zh-CN"/>
              </w:rPr>
              <w:t>348 (65.8%)</w:t>
            </w:r>
          </w:p>
        </w:tc>
        <w:tc>
          <w:tcPr>
            <w:tcW w:w="1294" w:type="dxa"/>
            <w:tcBorders>
              <w:top w:val="single" w:sz="4" w:space="0" w:color="000000" w:themeColor="text1"/>
              <w:left w:val="nil"/>
              <w:bottom w:val="single" w:sz="4" w:space="0" w:color="000000" w:themeColor="text1"/>
              <w:right w:val="single" w:sz="4" w:space="0" w:color="000000" w:themeColor="text1"/>
            </w:tcBorders>
            <w:vAlign w:val="center"/>
          </w:tcPr>
          <w:p w14:paraId="0088E5E4" w14:textId="365F753B" w:rsidR="005123A1" w:rsidRPr="005F7046" w:rsidRDefault="005123A1" w:rsidP="00315FA2">
            <w:pPr>
              <w:keepNext/>
              <w:keepLines/>
              <w:spacing w:before="40" w:after="40"/>
              <w:ind w:left="-57" w:right="-57"/>
              <w:jc w:val="center"/>
              <w:rPr>
                <w:lang w:val="en-AU"/>
              </w:rPr>
            </w:pPr>
            <w:r w:rsidRPr="005F7046">
              <w:rPr>
                <w:lang w:val="en-AU" w:eastAsia="zh-CN"/>
              </w:rPr>
              <w:t>1</w:t>
            </w:r>
            <w:r w:rsidR="00CB5D5F">
              <w:rPr>
                <w:lang w:val="en-AU" w:eastAsia="zh-CN"/>
              </w:rPr>
              <w:t xml:space="preserve"> </w:t>
            </w:r>
            <w:r w:rsidRPr="005F7046">
              <w:rPr>
                <w:lang w:val="en-AU" w:eastAsia="zh-CN"/>
              </w:rPr>
              <w:t>(0.6%)</w:t>
            </w:r>
          </w:p>
        </w:tc>
        <w:tc>
          <w:tcPr>
            <w:tcW w:w="1303" w:type="dxa"/>
            <w:tcBorders>
              <w:top w:val="single" w:sz="4" w:space="0" w:color="000000" w:themeColor="text1"/>
              <w:left w:val="single" w:sz="4" w:space="0" w:color="000000" w:themeColor="text1"/>
              <w:bottom w:val="single" w:sz="4" w:space="0" w:color="000000" w:themeColor="text1"/>
              <w:right w:val="nil"/>
            </w:tcBorders>
            <w:vAlign w:val="center"/>
          </w:tcPr>
          <w:p w14:paraId="1EE8057E" w14:textId="26497176" w:rsidR="005123A1" w:rsidRPr="005F7046" w:rsidRDefault="005123A1" w:rsidP="00315FA2">
            <w:pPr>
              <w:keepNext/>
              <w:keepLines/>
              <w:spacing w:before="40" w:after="40"/>
              <w:ind w:left="-57" w:right="-57"/>
              <w:jc w:val="center"/>
              <w:rPr>
                <w:lang w:val="en-AU"/>
              </w:rPr>
            </w:pPr>
            <w:r w:rsidRPr="005F7046">
              <w:rPr>
                <w:lang w:val="en-AU" w:eastAsia="zh-CN"/>
              </w:rPr>
              <w:t>120 (75.0%)</w:t>
            </w:r>
          </w:p>
        </w:tc>
        <w:tc>
          <w:tcPr>
            <w:tcW w:w="1294" w:type="dxa"/>
            <w:tcBorders>
              <w:top w:val="single" w:sz="4" w:space="0" w:color="000000" w:themeColor="text1"/>
              <w:left w:val="nil"/>
              <w:bottom w:val="single" w:sz="4" w:space="0" w:color="000000" w:themeColor="text1"/>
              <w:right w:val="single" w:sz="4" w:space="0" w:color="000000" w:themeColor="text1"/>
            </w:tcBorders>
            <w:vAlign w:val="center"/>
          </w:tcPr>
          <w:p w14:paraId="462765F3" w14:textId="5619DF5B" w:rsidR="005123A1" w:rsidRPr="005F7046" w:rsidRDefault="005123A1" w:rsidP="00315FA2">
            <w:pPr>
              <w:keepNext/>
              <w:keepLines/>
              <w:spacing w:before="40" w:after="40"/>
              <w:ind w:left="-57" w:right="-57"/>
              <w:jc w:val="center"/>
              <w:rPr>
                <w:lang w:val="en-AU"/>
              </w:rPr>
            </w:pPr>
            <w:r w:rsidRPr="005F7046">
              <w:rPr>
                <w:lang w:val="en-AU" w:eastAsia="zh-CN"/>
              </w:rPr>
              <w:t>1</w:t>
            </w:r>
            <w:r w:rsidR="00CB5D5F">
              <w:rPr>
                <w:lang w:val="en-AU" w:eastAsia="zh-CN"/>
              </w:rPr>
              <w:t xml:space="preserve"> </w:t>
            </w:r>
            <w:r w:rsidRPr="005F7046">
              <w:rPr>
                <w:lang w:val="en-AU" w:eastAsia="zh-CN"/>
              </w:rPr>
              <w:t>(1.9%)</w:t>
            </w:r>
          </w:p>
        </w:tc>
        <w:tc>
          <w:tcPr>
            <w:tcW w:w="1303" w:type="dxa"/>
            <w:tcBorders>
              <w:top w:val="single" w:sz="4" w:space="0" w:color="000000" w:themeColor="text1"/>
              <w:left w:val="single" w:sz="4" w:space="0" w:color="000000" w:themeColor="text1"/>
              <w:bottom w:val="single" w:sz="4" w:space="0" w:color="000000" w:themeColor="text1"/>
              <w:right w:val="nil"/>
            </w:tcBorders>
            <w:vAlign w:val="center"/>
          </w:tcPr>
          <w:p w14:paraId="707F02F0" w14:textId="4368BE23" w:rsidR="005123A1" w:rsidRPr="005F7046" w:rsidRDefault="005123A1" w:rsidP="00315FA2">
            <w:pPr>
              <w:keepNext/>
              <w:keepLines/>
              <w:spacing w:before="40" w:after="40"/>
              <w:ind w:left="-57" w:right="-57"/>
              <w:jc w:val="center"/>
              <w:rPr>
                <w:lang w:val="en-AU"/>
              </w:rPr>
            </w:pPr>
            <w:r w:rsidRPr="005F7046">
              <w:rPr>
                <w:lang w:val="en-AU" w:eastAsia="zh-CN"/>
              </w:rPr>
              <w:t>209</w:t>
            </w:r>
            <w:r w:rsidR="00CB5D5F">
              <w:rPr>
                <w:lang w:val="en-AU" w:eastAsia="zh-CN"/>
              </w:rPr>
              <w:t xml:space="preserve"> </w:t>
            </w:r>
            <w:r w:rsidRPr="005F7046">
              <w:rPr>
                <w:lang w:val="en-AU" w:eastAsia="zh-CN"/>
              </w:rPr>
              <w:t>(78.6%)</w:t>
            </w:r>
          </w:p>
        </w:tc>
        <w:tc>
          <w:tcPr>
            <w:tcW w:w="1295" w:type="dxa"/>
            <w:tcBorders>
              <w:top w:val="single" w:sz="4" w:space="0" w:color="000000" w:themeColor="text1"/>
              <w:left w:val="nil"/>
              <w:bottom w:val="single" w:sz="4" w:space="0" w:color="000000" w:themeColor="text1"/>
              <w:right w:val="single" w:sz="4" w:space="0" w:color="000000" w:themeColor="text1"/>
            </w:tcBorders>
            <w:vAlign w:val="center"/>
          </w:tcPr>
          <w:p w14:paraId="53A0A9AC" w14:textId="0351D1FC" w:rsidR="005123A1" w:rsidRPr="005F7046" w:rsidRDefault="005123A1" w:rsidP="00315FA2">
            <w:pPr>
              <w:keepNext/>
              <w:keepLines/>
              <w:spacing w:before="40" w:after="40"/>
              <w:ind w:left="-57" w:right="-57"/>
              <w:jc w:val="center"/>
              <w:rPr>
                <w:lang w:val="en-AU"/>
              </w:rPr>
            </w:pPr>
            <w:r w:rsidRPr="005F7046">
              <w:rPr>
                <w:lang w:val="en-AU" w:eastAsia="zh-CN"/>
              </w:rPr>
              <w:t>1</w:t>
            </w:r>
            <w:r w:rsidR="00CB5D5F">
              <w:rPr>
                <w:lang w:val="en-AU" w:eastAsia="zh-CN"/>
              </w:rPr>
              <w:t xml:space="preserve"> </w:t>
            </w:r>
            <w:r w:rsidRPr="005F7046">
              <w:rPr>
                <w:lang w:val="en-AU" w:eastAsia="zh-CN"/>
              </w:rPr>
              <w:t>(1.1%)</w:t>
            </w:r>
          </w:p>
        </w:tc>
      </w:tr>
      <w:tr w:rsidR="0093476B" w:rsidRPr="005F7046" w14:paraId="6DC50D89" w14:textId="77777777" w:rsidTr="4A3A2F46">
        <w:tc>
          <w:tcPr>
            <w:tcW w:w="1364" w:type="dxa"/>
          </w:tcPr>
          <w:p w14:paraId="113E0DA8" w14:textId="6110F057" w:rsidR="005123A1" w:rsidRPr="005F7046" w:rsidRDefault="005123A1" w:rsidP="00315FA2">
            <w:pPr>
              <w:keepNext/>
              <w:keepLines/>
              <w:spacing w:before="40" w:after="40"/>
              <w:rPr>
                <w:lang w:val="en-AU"/>
              </w:rPr>
            </w:pPr>
            <w:r w:rsidRPr="005F7046">
              <w:rPr>
                <w:lang w:val="en-AU"/>
              </w:rPr>
              <w:t>Subject Assessment</w:t>
            </w:r>
          </w:p>
        </w:tc>
        <w:tc>
          <w:tcPr>
            <w:tcW w:w="1303" w:type="dxa"/>
            <w:tcBorders>
              <w:top w:val="single" w:sz="4" w:space="0" w:color="000000" w:themeColor="text1"/>
              <w:left w:val="single" w:sz="4" w:space="0" w:color="000000" w:themeColor="text1"/>
              <w:bottom w:val="single" w:sz="4" w:space="0" w:color="000000" w:themeColor="text1"/>
              <w:right w:val="nil"/>
            </w:tcBorders>
            <w:vAlign w:val="center"/>
          </w:tcPr>
          <w:p w14:paraId="149E8DAC" w14:textId="540E549C" w:rsidR="005123A1" w:rsidRPr="005F7046" w:rsidRDefault="005123A1" w:rsidP="00315FA2">
            <w:pPr>
              <w:keepNext/>
              <w:keepLines/>
              <w:spacing w:before="40" w:after="40"/>
              <w:ind w:left="-57" w:right="-57"/>
              <w:jc w:val="center"/>
              <w:rPr>
                <w:lang w:val="en-AU"/>
              </w:rPr>
            </w:pPr>
            <w:r w:rsidRPr="005F7046">
              <w:rPr>
                <w:lang w:val="en-AU"/>
              </w:rPr>
              <w:t>290</w:t>
            </w:r>
            <w:r w:rsidRPr="005F7046">
              <w:rPr>
                <w:lang w:val="en-AU" w:eastAsia="zh-CN"/>
              </w:rPr>
              <w:t xml:space="preserve"> </w:t>
            </w:r>
            <w:r w:rsidRPr="005F7046">
              <w:rPr>
                <w:lang w:val="en-AU"/>
              </w:rPr>
              <w:t>(54.8%)</w:t>
            </w:r>
          </w:p>
        </w:tc>
        <w:tc>
          <w:tcPr>
            <w:tcW w:w="1294" w:type="dxa"/>
            <w:tcBorders>
              <w:top w:val="single" w:sz="4" w:space="0" w:color="000000" w:themeColor="text1"/>
              <w:left w:val="nil"/>
              <w:bottom w:val="single" w:sz="4" w:space="0" w:color="000000" w:themeColor="text1"/>
              <w:right w:val="single" w:sz="4" w:space="0" w:color="000000" w:themeColor="text1"/>
            </w:tcBorders>
            <w:vAlign w:val="center"/>
          </w:tcPr>
          <w:p w14:paraId="21ADB656" w14:textId="52D46EC3" w:rsidR="005123A1" w:rsidRPr="005F7046" w:rsidRDefault="005123A1" w:rsidP="00315FA2">
            <w:pPr>
              <w:keepNext/>
              <w:keepLines/>
              <w:spacing w:before="40" w:after="40"/>
              <w:ind w:left="-57" w:right="-57"/>
              <w:jc w:val="center"/>
              <w:rPr>
                <w:lang w:val="en-AU"/>
              </w:rPr>
            </w:pPr>
            <w:r w:rsidRPr="005F7046">
              <w:rPr>
                <w:lang w:val="en-AU" w:eastAsia="zh-CN"/>
              </w:rPr>
              <w:t>0</w:t>
            </w:r>
            <w:r w:rsidR="00CB5D5F">
              <w:rPr>
                <w:lang w:val="en-AU" w:eastAsia="zh-CN"/>
              </w:rPr>
              <w:t xml:space="preserve"> </w:t>
            </w:r>
            <w:r w:rsidRPr="005F7046">
              <w:rPr>
                <w:lang w:val="en-AU" w:eastAsia="zh-CN"/>
              </w:rPr>
              <w:t>(0%)</w:t>
            </w:r>
          </w:p>
        </w:tc>
        <w:tc>
          <w:tcPr>
            <w:tcW w:w="1303" w:type="dxa"/>
            <w:tcBorders>
              <w:top w:val="single" w:sz="4" w:space="0" w:color="000000" w:themeColor="text1"/>
              <w:left w:val="single" w:sz="4" w:space="0" w:color="000000" w:themeColor="text1"/>
              <w:bottom w:val="single" w:sz="4" w:space="0" w:color="000000" w:themeColor="text1"/>
              <w:right w:val="nil"/>
            </w:tcBorders>
            <w:vAlign w:val="center"/>
          </w:tcPr>
          <w:p w14:paraId="2038B339" w14:textId="44D0B897" w:rsidR="005123A1" w:rsidRPr="005F7046" w:rsidRDefault="005123A1" w:rsidP="00315FA2">
            <w:pPr>
              <w:keepNext/>
              <w:keepLines/>
              <w:spacing w:before="40" w:after="40"/>
              <w:ind w:left="-57" w:right="-57"/>
              <w:jc w:val="center"/>
              <w:rPr>
                <w:lang w:val="en-AU"/>
              </w:rPr>
            </w:pPr>
            <w:r w:rsidRPr="005F7046">
              <w:rPr>
                <w:lang w:val="en-AU" w:eastAsia="zh-CN"/>
              </w:rPr>
              <w:t>83 (51.9%)</w:t>
            </w:r>
          </w:p>
        </w:tc>
        <w:tc>
          <w:tcPr>
            <w:tcW w:w="1294" w:type="dxa"/>
            <w:tcBorders>
              <w:top w:val="single" w:sz="4" w:space="0" w:color="000000" w:themeColor="text1"/>
              <w:left w:val="nil"/>
              <w:bottom w:val="single" w:sz="4" w:space="0" w:color="000000" w:themeColor="text1"/>
              <w:right w:val="single" w:sz="4" w:space="0" w:color="000000" w:themeColor="text1"/>
            </w:tcBorders>
            <w:vAlign w:val="center"/>
          </w:tcPr>
          <w:p w14:paraId="3A404B1A" w14:textId="4AE58EBA" w:rsidR="005123A1" w:rsidRPr="005F7046" w:rsidRDefault="005123A1" w:rsidP="00315FA2">
            <w:pPr>
              <w:keepNext/>
              <w:keepLines/>
              <w:spacing w:before="40" w:after="40"/>
              <w:ind w:left="-57" w:right="-57"/>
              <w:jc w:val="center"/>
              <w:rPr>
                <w:lang w:val="en-AU"/>
              </w:rPr>
            </w:pPr>
            <w:r w:rsidRPr="005F7046">
              <w:rPr>
                <w:lang w:val="en-AU" w:eastAsia="zh-CN"/>
              </w:rPr>
              <w:t>1</w:t>
            </w:r>
            <w:r w:rsidR="00CB5D5F">
              <w:rPr>
                <w:lang w:val="en-AU" w:eastAsia="zh-CN"/>
              </w:rPr>
              <w:t xml:space="preserve"> </w:t>
            </w:r>
            <w:r w:rsidRPr="005F7046">
              <w:rPr>
                <w:lang w:val="en-AU" w:eastAsia="zh-CN"/>
              </w:rPr>
              <w:t>(1.9%)</w:t>
            </w:r>
          </w:p>
        </w:tc>
        <w:tc>
          <w:tcPr>
            <w:tcW w:w="1303" w:type="dxa"/>
            <w:tcBorders>
              <w:top w:val="single" w:sz="4" w:space="0" w:color="000000" w:themeColor="text1"/>
              <w:left w:val="single" w:sz="4" w:space="0" w:color="000000" w:themeColor="text1"/>
              <w:bottom w:val="single" w:sz="4" w:space="0" w:color="000000" w:themeColor="text1"/>
              <w:right w:val="nil"/>
            </w:tcBorders>
            <w:vAlign w:val="center"/>
          </w:tcPr>
          <w:p w14:paraId="4F8E0387" w14:textId="6DA31FA0" w:rsidR="005123A1" w:rsidRPr="005F7046" w:rsidRDefault="005123A1" w:rsidP="00315FA2">
            <w:pPr>
              <w:keepNext/>
              <w:keepLines/>
              <w:spacing w:before="40" w:after="40"/>
              <w:ind w:left="-57" w:right="-57"/>
              <w:jc w:val="center"/>
              <w:rPr>
                <w:lang w:val="en-AU"/>
              </w:rPr>
            </w:pPr>
            <w:r w:rsidRPr="005F7046">
              <w:rPr>
                <w:lang w:val="en-AU" w:eastAsia="zh-CN"/>
              </w:rPr>
              <w:t>183</w:t>
            </w:r>
            <w:r w:rsidR="00CB5D5F">
              <w:rPr>
                <w:lang w:val="en-AU" w:eastAsia="zh-CN"/>
              </w:rPr>
              <w:t xml:space="preserve"> </w:t>
            </w:r>
            <w:r w:rsidRPr="005F7046">
              <w:rPr>
                <w:lang w:val="en-AU" w:eastAsia="zh-CN"/>
              </w:rPr>
              <w:t>(68.8%)</w:t>
            </w:r>
          </w:p>
        </w:tc>
        <w:tc>
          <w:tcPr>
            <w:tcW w:w="1295" w:type="dxa"/>
            <w:tcBorders>
              <w:top w:val="single" w:sz="4" w:space="0" w:color="000000" w:themeColor="text1"/>
              <w:left w:val="nil"/>
              <w:bottom w:val="single" w:sz="4" w:space="0" w:color="000000" w:themeColor="text1"/>
              <w:right w:val="single" w:sz="4" w:space="0" w:color="000000" w:themeColor="text1"/>
            </w:tcBorders>
            <w:vAlign w:val="center"/>
          </w:tcPr>
          <w:p w14:paraId="162A3F24" w14:textId="58714513" w:rsidR="005123A1" w:rsidRPr="005F7046" w:rsidRDefault="005123A1" w:rsidP="00315FA2">
            <w:pPr>
              <w:keepNext/>
              <w:keepLines/>
              <w:spacing w:before="40" w:after="40"/>
              <w:ind w:left="-57" w:right="-57"/>
              <w:jc w:val="center"/>
              <w:rPr>
                <w:lang w:val="en-AU"/>
              </w:rPr>
            </w:pPr>
            <w:r w:rsidRPr="005F7046">
              <w:rPr>
                <w:lang w:val="en-AU" w:eastAsia="zh-CN"/>
              </w:rPr>
              <w:t>0</w:t>
            </w:r>
            <w:r w:rsidR="00CB5D5F">
              <w:rPr>
                <w:lang w:val="en-AU" w:eastAsia="zh-CN"/>
              </w:rPr>
              <w:t xml:space="preserve"> </w:t>
            </w:r>
            <w:r w:rsidRPr="005F7046">
              <w:rPr>
                <w:lang w:val="en-AU" w:eastAsia="zh-CN"/>
              </w:rPr>
              <w:t>(0.0%)</w:t>
            </w:r>
          </w:p>
        </w:tc>
      </w:tr>
    </w:tbl>
    <w:p w14:paraId="36D046F6" w14:textId="6C6C6E7F" w:rsidR="0093476B" w:rsidRPr="0093476B" w:rsidRDefault="0093476B" w:rsidP="0093476B">
      <w:pPr>
        <w:pStyle w:val="BodyText"/>
        <w:spacing w:after="120"/>
        <w:rPr>
          <w:rFonts w:ascii="Times New Roman" w:hAnsi="Times New Roman"/>
          <w:color w:val="auto"/>
          <w:sz w:val="24"/>
          <w:szCs w:val="24"/>
          <w:lang w:val="en-AU"/>
        </w:rPr>
      </w:pPr>
      <w:bookmarkStart w:id="15" w:name="_Ref49247242"/>
      <w:bookmarkStart w:id="16" w:name="_Ref49247239"/>
      <w:r w:rsidRPr="0093476B">
        <w:rPr>
          <w:rFonts w:ascii="Times New Roman" w:hAnsi="Times New Roman"/>
          <w:color w:val="auto"/>
          <w:sz w:val="24"/>
          <w:szCs w:val="24"/>
          <w:lang w:val="en-AU"/>
        </w:rPr>
        <w:t xml:space="preserve">A total of 38.3% of </w:t>
      </w:r>
      <w:r w:rsidR="00CA3AF0">
        <w:rPr>
          <w:rFonts w:ascii="Times New Roman" w:hAnsi="Times New Roman"/>
          <w:color w:val="auto"/>
          <w:sz w:val="24"/>
          <w:szCs w:val="24"/>
          <w:lang w:val="en-AU"/>
        </w:rPr>
        <w:t>LETYBO</w:t>
      </w:r>
      <w:r w:rsidRPr="0093476B">
        <w:rPr>
          <w:rFonts w:ascii="Times New Roman" w:hAnsi="Times New Roman"/>
          <w:color w:val="auto"/>
          <w:sz w:val="24"/>
          <w:szCs w:val="24"/>
          <w:lang w:val="en-AU"/>
        </w:rPr>
        <w:t>-treated subjects showed a 3-point improvement in line severity from a baseline value of severe lines (FWS grade 3) to no lines (FWS grade 0) at Week 4 according to investigator's assessment</w:t>
      </w:r>
    </w:p>
    <w:p w14:paraId="071A9A53" w14:textId="03249838" w:rsidR="0093476B" w:rsidRDefault="0093476B" w:rsidP="0093476B">
      <w:pPr>
        <w:pStyle w:val="BodyText"/>
        <w:spacing w:before="240" w:after="120"/>
        <w:rPr>
          <w:rFonts w:ascii="Times New Roman" w:hAnsi="Times New Roman"/>
          <w:color w:val="auto"/>
          <w:sz w:val="24"/>
          <w:szCs w:val="24"/>
          <w:lang w:val="en-AU"/>
        </w:rPr>
      </w:pPr>
      <w:r w:rsidRPr="0093476B">
        <w:rPr>
          <w:rFonts w:ascii="Times New Roman" w:hAnsi="Times New Roman"/>
          <w:color w:val="auto"/>
          <w:sz w:val="24"/>
          <w:szCs w:val="24"/>
          <w:lang w:val="en-AU"/>
        </w:rPr>
        <w:t xml:space="preserve">The improvement in glabellar lines (based on ≥ 2 point </w:t>
      </w:r>
      <w:proofErr w:type="gramStart"/>
      <w:r w:rsidR="00AC4EE1">
        <w:rPr>
          <w:rFonts w:ascii="Times New Roman" w:hAnsi="Times New Roman"/>
          <w:color w:val="auto"/>
          <w:sz w:val="24"/>
          <w:szCs w:val="24"/>
          <w:lang w:val="en-AU"/>
        </w:rPr>
        <w:t xml:space="preserve">improvement </w:t>
      </w:r>
      <w:r w:rsidRPr="0093476B">
        <w:rPr>
          <w:rFonts w:ascii="Times New Roman" w:hAnsi="Times New Roman"/>
          <w:color w:val="auto"/>
          <w:sz w:val="24"/>
          <w:szCs w:val="24"/>
          <w:lang w:val="en-AU"/>
        </w:rPr>
        <w:t xml:space="preserve"> in</w:t>
      </w:r>
      <w:proofErr w:type="gramEnd"/>
      <w:r w:rsidRPr="0093476B">
        <w:rPr>
          <w:rFonts w:ascii="Times New Roman" w:hAnsi="Times New Roman"/>
          <w:color w:val="auto"/>
          <w:sz w:val="24"/>
          <w:szCs w:val="24"/>
          <w:lang w:val="en-AU"/>
        </w:rPr>
        <w:t xml:space="preserve"> FWS score at maximum frown based on both subject and investigator assessment) started within one week after the injection and reached a maximal effect during the second week following the injection. The duration of the effect can </w:t>
      </w:r>
      <w:proofErr w:type="gramStart"/>
      <w:r w:rsidRPr="0093476B">
        <w:rPr>
          <w:rFonts w:ascii="Times New Roman" w:hAnsi="Times New Roman"/>
          <w:color w:val="auto"/>
          <w:sz w:val="24"/>
          <w:szCs w:val="24"/>
          <w:lang w:val="en-AU"/>
        </w:rPr>
        <w:t>be considered to be</w:t>
      </w:r>
      <w:proofErr w:type="gramEnd"/>
      <w:r w:rsidRPr="0093476B">
        <w:rPr>
          <w:rFonts w:ascii="Times New Roman" w:hAnsi="Times New Roman"/>
          <w:color w:val="auto"/>
          <w:sz w:val="24"/>
          <w:szCs w:val="24"/>
          <w:lang w:val="en-AU"/>
        </w:rPr>
        <w:t xml:space="preserve"> between 12 and 16 weeks.</w:t>
      </w:r>
    </w:p>
    <w:p w14:paraId="71A4AD59" w14:textId="5D6DBC81" w:rsidR="00CA27A8" w:rsidRPr="00CA27A8" w:rsidRDefault="00CA27A8" w:rsidP="00CA27A8">
      <w:pPr>
        <w:pStyle w:val="BodyText"/>
        <w:spacing w:after="120"/>
        <w:rPr>
          <w:rFonts w:ascii="Times New Roman" w:hAnsi="Times New Roman"/>
          <w:color w:val="auto"/>
          <w:sz w:val="24"/>
          <w:szCs w:val="24"/>
          <w:lang w:val="en-AU"/>
        </w:rPr>
      </w:pPr>
      <w:r w:rsidRPr="00CA27A8">
        <w:rPr>
          <w:rFonts w:ascii="Times New Roman" w:hAnsi="Times New Roman"/>
          <w:color w:val="auto"/>
          <w:sz w:val="24"/>
          <w:szCs w:val="24"/>
          <w:lang w:val="en-AU"/>
        </w:rPr>
        <w:t>It could be demonstrated that the responder rate of ≥ 1</w:t>
      </w:r>
      <w:r w:rsidR="00C57236">
        <w:rPr>
          <w:rFonts w:ascii="Times New Roman" w:hAnsi="Times New Roman"/>
          <w:color w:val="auto"/>
          <w:sz w:val="24"/>
          <w:szCs w:val="24"/>
          <w:lang w:val="en-AU"/>
        </w:rPr>
        <w:t>-</w:t>
      </w:r>
      <w:r w:rsidRPr="00CA27A8">
        <w:rPr>
          <w:rFonts w:ascii="Times New Roman" w:hAnsi="Times New Roman"/>
          <w:color w:val="auto"/>
          <w:sz w:val="24"/>
          <w:szCs w:val="24"/>
          <w:lang w:val="en-AU"/>
        </w:rPr>
        <w:t xml:space="preserve">point reduction in FWS score at rest was statistically significantly higher in the </w:t>
      </w:r>
      <w:r w:rsidR="00C57236">
        <w:rPr>
          <w:rFonts w:ascii="Times New Roman" w:hAnsi="Times New Roman"/>
          <w:color w:val="auto"/>
          <w:sz w:val="24"/>
          <w:szCs w:val="24"/>
          <w:lang w:val="en-AU"/>
        </w:rPr>
        <w:t>LETYBO</w:t>
      </w:r>
      <w:r w:rsidRPr="00CA27A8">
        <w:rPr>
          <w:rFonts w:ascii="Times New Roman" w:hAnsi="Times New Roman"/>
          <w:color w:val="auto"/>
          <w:sz w:val="24"/>
          <w:szCs w:val="24"/>
          <w:lang w:val="en-AU"/>
        </w:rPr>
        <w:t xml:space="preserve"> group compared with the placebo group: Four weeks after injection, investigators judged 63.1%, 59.4%, and 61.3% of </w:t>
      </w:r>
      <w:r w:rsidR="00C57236">
        <w:rPr>
          <w:rFonts w:ascii="Times New Roman" w:hAnsi="Times New Roman"/>
          <w:color w:val="auto"/>
          <w:sz w:val="24"/>
          <w:szCs w:val="24"/>
          <w:lang w:val="en-AU"/>
        </w:rPr>
        <w:t>LETYBO</w:t>
      </w:r>
      <w:r w:rsidR="00C57236" w:rsidRPr="00CA27A8">
        <w:rPr>
          <w:rFonts w:ascii="Times New Roman" w:hAnsi="Times New Roman"/>
          <w:color w:val="auto"/>
          <w:sz w:val="24"/>
          <w:szCs w:val="24"/>
          <w:lang w:val="en-AU"/>
        </w:rPr>
        <w:t xml:space="preserve"> </w:t>
      </w:r>
      <w:r w:rsidRPr="00CA27A8">
        <w:rPr>
          <w:rFonts w:ascii="Times New Roman" w:hAnsi="Times New Roman"/>
          <w:color w:val="auto"/>
          <w:sz w:val="24"/>
          <w:szCs w:val="24"/>
          <w:lang w:val="en-AU"/>
        </w:rPr>
        <w:t>treated patients and 15.4%, 5.7%, and 9.0% of placebo treated patients to have experienced a ≥ 1-point improvement on FWS at rest in studies BLESS I, BLESS II, and BLESS III, respectively (p-value for between treatment differences was &lt;0.001 for all studies).</w:t>
      </w:r>
    </w:p>
    <w:p w14:paraId="3D1C90DC" w14:textId="55E592AE" w:rsidR="00CA27A8" w:rsidRPr="00CA27A8" w:rsidRDefault="00CA27A8" w:rsidP="00CA27A8">
      <w:pPr>
        <w:pStyle w:val="BodyText"/>
        <w:spacing w:after="120"/>
        <w:rPr>
          <w:rFonts w:ascii="Times New Roman" w:hAnsi="Times New Roman"/>
          <w:color w:val="auto"/>
          <w:sz w:val="24"/>
          <w:szCs w:val="24"/>
          <w:lang w:val="en-AU"/>
        </w:rPr>
      </w:pPr>
      <w:r w:rsidRPr="00CA27A8">
        <w:rPr>
          <w:rFonts w:ascii="Times New Roman" w:hAnsi="Times New Roman"/>
          <w:color w:val="auto"/>
          <w:sz w:val="24"/>
          <w:szCs w:val="24"/>
          <w:lang w:val="en-AU"/>
        </w:rPr>
        <w:t xml:space="preserve">Long-term repeat dose open-label data confirmed that response rates after the second, third, and fourth treatments with </w:t>
      </w:r>
      <w:r w:rsidR="00C57236">
        <w:rPr>
          <w:rFonts w:ascii="Times New Roman" w:hAnsi="Times New Roman"/>
          <w:color w:val="auto"/>
          <w:sz w:val="24"/>
          <w:szCs w:val="24"/>
          <w:lang w:val="en-AU"/>
        </w:rPr>
        <w:t>LETYBO</w:t>
      </w:r>
      <w:r w:rsidR="00C57236" w:rsidRPr="00CA27A8">
        <w:rPr>
          <w:rFonts w:ascii="Times New Roman" w:hAnsi="Times New Roman"/>
          <w:color w:val="auto"/>
          <w:sz w:val="24"/>
          <w:szCs w:val="24"/>
          <w:lang w:val="en-AU"/>
        </w:rPr>
        <w:t xml:space="preserve"> </w:t>
      </w:r>
      <w:r w:rsidRPr="00CA27A8">
        <w:rPr>
          <w:rFonts w:ascii="Times New Roman" w:hAnsi="Times New Roman"/>
          <w:color w:val="auto"/>
          <w:sz w:val="24"/>
          <w:szCs w:val="24"/>
          <w:lang w:val="en-AU"/>
        </w:rPr>
        <w:t>over the one-year study period remained high even though, based on study design, the re-treatment cycles included some bias towards non-response.</w:t>
      </w:r>
    </w:p>
    <w:p w14:paraId="48F9AE5E" w14:textId="60DD5374" w:rsidR="00CA27A8" w:rsidRPr="00CA27A8" w:rsidRDefault="00CA27A8" w:rsidP="00CA27A8">
      <w:pPr>
        <w:pStyle w:val="BodyText"/>
        <w:spacing w:after="120"/>
        <w:rPr>
          <w:rFonts w:ascii="Times New Roman" w:hAnsi="Times New Roman"/>
          <w:color w:val="auto"/>
          <w:sz w:val="24"/>
          <w:szCs w:val="24"/>
          <w:lang w:val="en-AU"/>
        </w:rPr>
      </w:pPr>
      <w:r w:rsidRPr="00CA27A8">
        <w:rPr>
          <w:rFonts w:ascii="Times New Roman" w:hAnsi="Times New Roman"/>
          <w:color w:val="auto"/>
          <w:sz w:val="24"/>
          <w:szCs w:val="24"/>
          <w:lang w:val="en-AU"/>
        </w:rPr>
        <w:t>According to the newly developed Modified Skindex-16 Glabellar Line Quality of Life Scale, more than 85% of the patients entering the studies experienced a moderate or severe negative psychological impact from their glabellar lines at baseline, while about 15% of patients reported a mild impact.</w:t>
      </w:r>
    </w:p>
    <w:p w14:paraId="6520A1A9" w14:textId="6338F3AD" w:rsidR="00CA27A8" w:rsidRPr="00CA27A8" w:rsidRDefault="00CA27A8" w:rsidP="00CA27A8">
      <w:pPr>
        <w:pStyle w:val="BodyText"/>
        <w:spacing w:after="120"/>
        <w:rPr>
          <w:rFonts w:ascii="Times New Roman" w:hAnsi="Times New Roman"/>
          <w:color w:val="auto"/>
          <w:sz w:val="24"/>
          <w:szCs w:val="24"/>
          <w:lang w:val="en-AU"/>
        </w:rPr>
      </w:pPr>
      <w:r w:rsidRPr="00CA27A8">
        <w:rPr>
          <w:rFonts w:ascii="Times New Roman" w:hAnsi="Times New Roman"/>
          <w:color w:val="auto"/>
          <w:sz w:val="24"/>
          <w:szCs w:val="24"/>
          <w:lang w:val="en-AU"/>
        </w:rPr>
        <w:lastRenderedPageBreak/>
        <w:t xml:space="preserve">A distinct improvement in psychological impact was observed in patients with </w:t>
      </w:r>
      <w:r w:rsidR="00C57236">
        <w:rPr>
          <w:rFonts w:ascii="Times New Roman" w:hAnsi="Times New Roman"/>
          <w:color w:val="auto"/>
          <w:sz w:val="24"/>
          <w:szCs w:val="24"/>
          <w:lang w:val="en-AU"/>
        </w:rPr>
        <w:t>LETYBO</w:t>
      </w:r>
      <w:r w:rsidR="00C57236" w:rsidRPr="00CA27A8">
        <w:rPr>
          <w:rFonts w:ascii="Times New Roman" w:hAnsi="Times New Roman"/>
          <w:color w:val="auto"/>
          <w:sz w:val="24"/>
          <w:szCs w:val="24"/>
          <w:lang w:val="en-AU"/>
        </w:rPr>
        <w:t xml:space="preserve"> </w:t>
      </w:r>
      <w:r w:rsidRPr="00CA27A8">
        <w:rPr>
          <w:rFonts w:ascii="Times New Roman" w:hAnsi="Times New Roman"/>
          <w:color w:val="auto"/>
          <w:sz w:val="24"/>
          <w:szCs w:val="24"/>
          <w:lang w:val="en-AU"/>
        </w:rPr>
        <w:t>compared to placebo treatment as measured by the Modified Skindex-16 Glabellar Line Quality of Life Scale.</w:t>
      </w:r>
    </w:p>
    <w:p w14:paraId="54BEEC5D" w14:textId="2FE6BD57" w:rsidR="00CA27A8" w:rsidRDefault="00CA27A8" w:rsidP="00CA27A8">
      <w:pPr>
        <w:pStyle w:val="BodyText"/>
        <w:spacing w:before="240" w:after="120"/>
        <w:rPr>
          <w:rFonts w:ascii="Times New Roman" w:hAnsi="Times New Roman"/>
          <w:color w:val="auto"/>
          <w:sz w:val="24"/>
          <w:szCs w:val="24"/>
          <w:lang w:val="en-AU"/>
        </w:rPr>
      </w:pPr>
      <w:r w:rsidRPr="00CA27A8">
        <w:rPr>
          <w:rFonts w:ascii="Times New Roman" w:hAnsi="Times New Roman"/>
          <w:color w:val="auto"/>
          <w:sz w:val="24"/>
          <w:szCs w:val="24"/>
          <w:lang w:val="en-AU"/>
        </w:rPr>
        <w:t>Broadly favourable patient reported cosmetic outcomes were recorded as well as high rates of satisfaction with outcome.</w:t>
      </w:r>
    </w:p>
    <w:p w14:paraId="37D00451" w14:textId="3CA3C42E" w:rsidR="00C26E37" w:rsidRDefault="00620460" w:rsidP="0009713A">
      <w:pPr>
        <w:pStyle w:val="BodyText"/>
        <w:spacing w:before="240" w:after="120"/>
        <w:rPr>
          <w:rFonts w:ascii="Times New Roman" w:hAnsi="Times New Roman"/>
          <w:color w:val="auto"/>
          <w:sz w:val="24"/>
          <w:szCs w:val="24"/>
          <w:lang w:val="en-AU"/>
        </w:rPr>
      </w:pPr>
      <w:r w:rsidRPr="4A3A2F46">
        <w:rPr>
          <w:rFonts w:ascii="Times New Roman" w:hAnsi="Times New Roman"/>
          <w:color w:val="auto"/>
          <w:sz w:val="24"/>
          <w:szCs w:val="24"/>
          <w:lang w:val="en-AU"/>
        </w:rPr>
        <w:t>Data were available for 854 patients treated with LETYBO in an unblinded extension part of Studies BLESS I and II for a further 1 to 3 treatments. Long-term repeat dose open-label data confirmed that the therapeutic effect was maintained for up to 4 treatments with LETYBO over a one-year study period.</w:t>
      </w:r>
    </w:p>
    <w:p w14:paraId="4205E766" w14:textId="299C438B" w:rsidR="00C26E37" w:rsidRPr="005F7046" w:rsidRDefault="00C26E37" w:rsidP="00C26E37">
      <w:pPr>
        <w:spacing w:after="120"/>
        <w:rPr>
          <w:bCs/>
          <w:iCs/>
          <w:szCs w:val="22"/>
          <w:lang w:val="en-AU"/>
        </w:rPr>
      </w:pPr>
      <w:r w:rsidRPr="005F7046">
        <w:rPr>
          <w:bCs/>
          <w:iCs/>
          <w:szCs w:val="22"/>
          <w:lang w:val="en-AU"/>
        </w:rPr>
        <w:t xml:space="preserve">In </w:t>
      </w:r>
      <w:r>
        <w:rPr>
          <w:bCs/>
          <w:iCs/>
          <w:szCs w:val="22"/>
          <w:lang w:val="en-AU"/>
        </w:rPr>
        <w:t>the clinical development program, n</w:t>
      </w:r>
      <w:r w:rsidRPr="005F7046">
        <w:rPr>
          <w:bCs/>
          <w:iCs/>
          <w:szCs w:val="22"/>
          <w:lang w:val="en-AU"/>
        </w:rPr>
        <w:t>o neutralizing antibodies were detected in any patient after administration of</w:t>
      </w:r>
      <w:r w:rsidR="0053075C" w:rsidRPr="0053075C">
        <w:rPr>
          <w:bCs/>
          <w:iCs/>
          <w:szCs w:val="22"/>
          <w:lang w:val="en-AU"/>
        </w:rPr>
        <w:t xml:space="preserve"> </w:t>
      </w:r>
      <w:r w:rsidR="0053075C">
        <w:rPr>
          <w:bCs/>
          <w:iCs/>
          <w:szCs w:val="22"/>
          <w:lang w:val="en-AU"/>
        </w:rPr>
        <w:t>LETYBO</w:t>
      </w:r>
      <w:r w:rsidRPr="005F7046">
        <w:rPr>
          <w:bCs/>
          <w:iCs/>
          <w:szCs w:val="22"/>
          <w:lang w:val="en-AU"/>
        </w:rPr>
        <w:t xml:space="preserve">. </w:t>
      </w:r>
    </w:p>
    <w:p w14:paraId="4E333C6B" w14:textId="7340CC0E" w:rsidR="00FD1F94" w:rsidRPr="005F7046" w:rsidRDefault="00FD1F94" w:rsidP="0009713A">
      <w:pPr>
        <w:pStyle w:val="Heading2"/>
        <w:spacing w:before="240" w:after="120"/>
        <w:rPr>
          <w:lang w:val="en-AU"/>
        </w:rPr>
      </w:pPr>
      <w:bookmarkStart w:id="17" w:name="_Ref48221633"/>
      <w:bookmarkEnd w:id="15"/>
      <w:bookmarkEnd w:id="16"/>
      <w:r w:rsidRPr="005F7046">
        <w:rPr>
          <w:lang w:val="en-AU"/>
        </w:rPr>
        <w:t>PHARMACOKINETIC PROPERTIES</w:t>
      </w:r>
      <w:bookmarkEnd w:id="17"/>
    </w:p>
    <w:p w14:paraId="6DF7A9FA" w14:textId="20E0FA98" w:rsidR="00093471" w:rsidRPr="005F7046" w:rsidRDefault="00093471" w:rsidP="0009713A">
      <w:pPr>
        <w:spacing w:after="120"/>
        <w:rPr>
          <w:lang w:val="en-AU"/>
        </w:rPr>
      </w:pPr>
      <w:r w:rsidRPr="005F7046">
        <w:rPr>
          <w:lang w:val="en-AU"/>
        </w:rPr>
        <w:t>Botulinum</w:t>
      </w:r>
      <w:r w:rsidR="001A5E85" w:rsidRPr="005F7046">
        <w:rPr>
          <w:lang w:val="en-AU"/>
        </w:rPr>
        <w:t xml:space="preserve"> </w:t>
      </w:r>
      <w:r w:rsidRPr="005F7046">
        <w:rPr>
          <w:lang w:val="en-AU"/>
        </w:rPr>
        <w:t>toxin</w:t>
      </w:r>
      <w:r w:rsidR="001A5E85" w:rsidRPr="005F7046">
        <w:rPr>
          <w:lang w:val="en-AU"/>
        </w:rPr>
        <w:t xml:space="preserve"> </w:t>
      </w:r>
      <w:r w:rsidRPr="005F7046">
        <w:rPr>
          <w:lang w:val="en-AU"/>
        </w:rPr>
        <w:t xml:space="preserve">type A is not expected to be present in peripheral blood at measurable levels following intramuscular injection </w:t>
      </w:r>
      <w:r w:rsidR="0004260D">
        <w:rPr>
          <w:lang w:val="en-AU"/>
        </w:rPr>
        <w:t>owing to the extremely small quantities administered and rapid irreversible binding to cholinergic nerve terminals</w:t>
      </w:r>
      <w:r w:rsidR="0004260D" w:rsidRPr="005F7046">
        <w:rPr>
          <w:lang w:val="en-AU"/>
        </w:rPr>
        <w:t>.</w:t>
      </w:r>
    </w:p>
    <w:p w14:paraId="7FD3327B" w14:textId="77777777" w:rsidR="00FD1F94" w:rsidRPr="005F7046" w:rsidRDefault="00FD1F94" w:rsidP="0009713A">
      <w:pPr>
        <w:pStyle w:val="Heading2"/>
        <w:spacing w:before="240" w:after="120"/>
        <w:rPr>
          <w:lang w:val="en-AU"/>
        </w:rPr>
      </w:pPr>
      <w:r w:rsidRPr="005F7046">
        <w:rPr>
          <w:lang w:val="en-AU"/>
        </w:rPr>
        <w:t>PRECLINICAL</w:t>
      </w:r>
      <w:r w:rsidR="008438F1" w:rsidRPr="005F7046">
        <w:rPr>
          <w:lang w:val="en-AU"/>
        </w:rPr>
        <w:t xml:space="preserve"> </w:t>
      </w:r>
      <w:r w:rsidRPr="005F7046">
        <w:rPr>
          <w:lang w:val="en-AU"/>
        </w:rPr>
        <w:t>SAFETY DATA</w:t>
      </w:r>
    </w:p>
    <w:p w14:paraId="66266492" w14:textId="3747520D" w:rsidR="00FD1F94" w:rsidRPr="005F7046" w:rsidRDefault="00FD1F94" w:rsidP="0009713A">
      <w:pPr>
        <w:pStyle w:val="Heading3"/>
        <w:numPr>
          <w:ilvl w:val="0"/>
          <w:numId w:val="0"/>
        </w:numPr>
        <w:spacing w:before="240" w:after="120"/>
        <w:rPr>
          <w:lang w:val="en-AU"/>
        </w:rPr>
      </w:pPr>
      <w:r w:rsidRPr="005F7046">
        <w:rPr>
          <w:lang w:val="en-AU"/>
        </w:rPr>
        <w:t>Genotoxicity</w:t>
      </w:r>
    </w:p>
    <w:p w14:paraId="4158BB47" w14:textId="71FA621F" w:rsidR="004F1996" w:rsidRPr="005F7046" w:rsidRDefault="001A5E85" w:rsidP="0009713A">
      <w:pPr>
        <w:spacing w:after="120"/>
        <w:rPr>
          <w:lang w:val="en-AU"/>
        </w:rPr>
      </w:pPr>
      <w:r w:rsidRPr="005F7046">
        <w:rPr>
          <w:lang w:val="en-AU"/>
        </w:rPr>
        <w:t xml:space="preserve">No genotoxicity studies have been conducted with </w:t>
      </w:r>
      <w:r w:rsidR="0004260D">
        <w:rPr>
          <w:lang w:val="en-AU"/>
        </w:rPr>
        <w:t>letibotulinumtoxinA</w:t>
      </w:r>
      <w:r w:rsidRPr="005F7046">
        <w:rPr>
          <w:lang w:val="en-AU"/>
        </w:rPr>
        <w:t xml:space="preserve">. </w:t>
      </w:r>
    </w:p>
    <w:p w14:paraId="6BABA623" w14:textId="5097D330" w:rsidR="00FD1F94" w:rsidRPr="005F7046" w:rsidRDefault="00FD1F94" w:rsidP="0009713A">
      <w:pPr>
        <w:pStyle w:val="Heading3"/>
        <w:numPr>
          <w:ilvl w:val="0"/>
          <w:numId w:val="0"/>
        </w:numPr>
        <w:spacing w:before="240" w:after="120"/>
        <w:rPr>
          <w:lang w:val="en-AU"/>
        </w:rPr>
      </w:pPr>
      <w:r w:rsidRPr="005F7046">
        <w:rPr>
          <w:lang w:val="en-AU"/>
        </w:rPr>
        <w:t>Carcinogenicity</w:t>
      </w:r>
    </w:p>
    <w:p w14:paraId="540A1B8C" w14:textId="2D93355A" w:rsidR="00093471" w:rsidRPr="005F7046" w:rsidRDefault="001A5E85" w:rsidP="0009713A">
      <w:pPr>
        <w:spacing w:after="120"/>
        <w:rPr>
          <w:lang w:val="en-AU"/>
        </w:rPr>
      </w:pPr>
      <w:r w:rsidRPr="005F7046">
        <w:rPr>
          <w:lang w:val="en-AU"/>
        </w:rPr>
        <w:t xml:space="preserve">No </w:t>
      </w:r>
      <w:proofErr w:type="gramStart"/>
      <w:r w:rsidRPr="005F7046">
        <w:rPr>
          <w:lang w:val="en-AU"/>
        </w:rPr>
        <w:t>long term</w:t>
      </w:r>
      <w:proofErr w:type="gramEnd"/>
      <w:r w:rsidRPr="005F7046">
        <w:rPr>
          <w:lang w:val="en-AU"/>
        </w:rPr>
        <w:t xml:space="preserve"> carcinogenicity studies in animals have been conducted with </w:t>
      </w:r>
      <w:r w:rsidR="0004260D">
        <w:rPr>
          <w:lang w:val="en-AU"/>
        </w:rPr>
        <w:t>letibotulinumtoxinA</w:t>
      </w:r>
      <w:r w:rsidRPr="005F7046">
        <w:rPr>
          <w:lang w:val="en-AU"/>
        </w:rPr>
        <w:t xml:space="preserve">. </w:t>
      </w:r>
    </w:p>
    <w:p w14:paraId="3E6D1C9F" w14:textId="77777777" w:rsidR="00FD1F94" w:rsidRPr="005F7046" w:rsidRDefault="00FD1F94" w:rsidP="0009713A">
      <w:pPr>
        <w:pStyle w:val="Heading1"/>
        <w:pageBreakBefore w:val="0"/>
        <w:spacing w:before="240" w:after="120"/>
        <w:rPr>
          <w:lang w:val="en-AU"/>
        </w:rPr>
      </w:pPr>
      <w:r w:rsidRPr="005F7046">
        <w:rPr>
          <w:lang w:val="en-AU"/>
        </w:rPr>
        <w:t>PHARMACEUTICAL PARTICULARS</w:t>
      </w:r>
    </w:p>
    <w:p w14:paraId="7AEFCB70" w14:textId="4668AA40" w:rsidR="00FD1F94" w:rsidRPr="005F7046" w:rsidRDefault="00FD1F94" w:rsidP="0009713A">
      <w:pPr>
        <w:pStyle w:val="Heading2"/>
        <w:spacing w:before="240" w:after="120"/>
        <w:rPr>
          <w:lang w:val="en-AU"/>
        </w:rPr>
      </w:pPr>
      <w:bookmarkStart w:id="18" w:name="_Ref45709874"/>
      <w:r w:rsidRPr="005F7046">
        <w:rPr>
          <w:lang w:val="en-AU"/>
        </w:rPr>
        <w:t>LIST OF EXCIPIENTS</w:t>
      </w:r>
      <w:bookmarkEnd w:id="18"/>
    </w:p>
    <w:p w14:paraId="31F00E66" w14:textId="59F36511" w:rsidR="00093471" w:rsidRPr="005F7046" w:rsidRDefault="003907E6" w:rsidP="00093471">
      <w:pPr>
        <w:spacing w:before="120"/>
        <w:rPr>
          <w:lang w:val="en-AU"/>
        </w:rPr>
      </w:pPr>
      <w:r>
        <w:rPr>
          <w:lang w:val="en-AU"/>
        </w:rPr>
        <w:t>A</w:t>
      </w:r>
      <w:r w:rsidR="00093471" w:rsidRPr="005F7046">
        <w:rPr>
          <w:lang w:val="en-AU"/>
        </w:rPr>
        <w:t>lbumin</w:t>
      </w:r>
    </w:p>
    <w:p w14:paraId="03B20BD2" w14:textId="08A272D7" w:rsidR="002216CA" w:rsidRPr="005F7046" w:rsidRDefault="00093471" w:rsidP="0009713A">
      <w:pPr>
        <w:spacing w:after="120"/>
        <w:rPr>
          <w:lang w:val="en-AU"/>
        </w:rPr>
      </w:pPr>
      <w:r w:rsidRPr="005F7046">
        <w:rPr>
          <w:lang w:val="en-AU"/>
        </w:rPr>
        <w:t>Sodium chloride</w:t>
      </w:r>
    </w:p>
    <w:p w14:paraId="40F8C008" w14:textId="5E9A7CD4" w:rsidR="00FD1F94" w:rsidRPr="005F7046" w:rsidRDefault="00FD1F94" w:rsidP="0009713A">
      <w:pPr>
        <w:pStyle w:val="Heading2"/>
        <w:spacing w:before="240" w:after="120"/>
        <w:rPr>
          <w:lang w:val="en-AU"/>
        </w:rPr>
      </w:pPr>
      <w:bookmarkStart w:id="19" w:name="_Ref511901602"/>
      <w:r w:rsidRPr="005F7046">
        <w:rPr>
          <w:lang w:val="en-AU"/>
        </w:rPr>
        <w:t>INCOMPATIBILITIES</w:t>
      </w:r>
      <w:bookmarkEnd w:id="19"/>
    </w:p>
    <w:p w14:paraId="683A303D" w14:textId="580CD525" w:rsidR="00093471" w:rsidRPr="005F7046" w:rsidRDefault="00B005BA" w:rsidP="0009713A">
      <w:pPr>
        <w:spacing w:after="120"/>
        <w:rPr>
          <w:noProof/>
          <w:lang w:val="en-AU"/>
        </w:rPr>
      </w:pPr>
      <w:r w:rsidRPr="005F7046">
        <w:rPr>
          <w:noProof/>
          <w:lang w:val="en-AU"/>
        </w:rPr>
        <w:t xml:space="preserve">Incompatibilities were either not assessed or not identified as part of the registration of this medicine. </w:t>
      </w:r>
    </w:p>
    <w:p w14:paraId="752C7CE3" w14:textId="77777777" w:rsidR="00FD1F94" w:rsidRPr="005F7046" w:rsidRDefault="00FD1F94" w:rsidP="0009713A">
      <w:pPr>
        <w:pStyle w:val="Heading2"/>
        <w:spacing w:before="240" w:after="120"/>
        <w:rPr>
          <w:lang w:val="en-AU"/>
        </w:rPr>
      </w:pPr>
      <w:r w:rsidRPr="005F7046">
        <w:rPr>
          <w:lang w:val="en-AU"/>
        </w:rPr>
        <w:t>SHELF LIFE</w:t>
      </w:r>
    </w:p>
    <w:p w14:paraId="48C06839" w14:textId="77777777" w:rsidR="00B005BA" w:rsidRPr="005F7046" w:rsidRDefault="00B005BA" w:rsidP="00B005BA">
      <w:pPr>
        <w:spacing w:after="120"/>
        <w:rPr>
          <w:lang w:val="en-AU"/>
        </w:rPr>
      </w:pPr>
      <w:r w:rsidRPr="005F7046">
        <w:rPr>
          <w:u w:val="single"/>
          <w:lang w:val="en-AU"/>
        </w:rPr>
        <w:t>Unopened vial</w:t>
      </w:r>
      <w:r w:rsidRPr="005F7046">
        <w:rPr>
          <w:lang w:val="en-AU"/>
        </w:rPr>
        <w:t xml:space="preserve"> </w:t>
      </w:r>
    </w:p>
    <w:p w14:paraId="186B3B9C" w14:textId="77777777" w:rsidR="00B005BA" w:rsidRPr="005F7046" w:rsidRDefault="00B005BA" w:rsidP="00B005BA">
      <w:pPr>
        <w:spacing w:after="120"/>
        <w:rPr>
          <w:lang w:val="en-AU"/>
        </w:rPr>
      </w:pPr>
      <w:r w:rsidRPr="005F7046">
        <w:rPr>
          <w:lang w:val="en-AU"/>
        </w:rPr>
        <w:t xml:space="preserve">36 months </w:t>
      </w:r>
    </w:p>
    <w:p w14:paraId="4F613C23" w14:textId="4FADCB0A" w:rsidR="00D51B7C" w:rsidRPr="005F7046" w:rsidRDefault="00B005BA" w:rsidP="00B005BA">
      <w:pPr>
        <w:spacing w:after="120"/>
        <w:rPr>
          <w:u w:val="single"/>
          <w:lang w:val="en-AU"/>
        </w:rPr>
      </w:pPr>
      <w:r w:rsidRPr="005F7046">
        <w:rPr>
          <w:u w:val="single"/>
          <w:lang w:val="en-AU"/>
        </w:rPr>
        <w:t>Reconstituted solution</w:t>
      </w:r>
    </w:p>
    <w:p w14:paraId="59530D88" w14:textId="53E8AF8D" w:rsidR="00B005BA" w:rsidRPr="005F7046" w:rsidRDefault="00B005BA" w:rsidP="00B005BA">
      <w:pPr>
        <w:spacing w:after="120"/>
        <w:rPr>
          <w:lang w:val="en-AU"/>
        </w:rPr>
      </w:pPr>
      <w:r w:rsidRPr="005F7046">
        <w:rPr>
          <w:lang w:val="en-AU"/>
        </w:rPr>
        <w:lastRenderedPageBreak/>
        <w:t>24 hours</w:t>
      </w:r>
    </w:p>
    <w:p w14:paraId="476DD1AF" w14:textId="77777777" w:rsidR="00FD1F94" w:rsidRPr="005F7046" w:rsidRDefault="00FD1F94" w:rsidP="0009713A">
      <w:pPr>
        <w:pStyle w:val="Heading2"/>
        <w:spacing w:before="240" w:after="120"/>
        <w:rPr>
          <w:lang w:val="en-AU"/>
        </w:rPr>
      </w:pPr>
      <w:r w:rsidRPr="005F7046">
        <w:rPr>
          <w:lang w:val="en-AU"/>
        </w:rPr>
        <w:t>SPECIAL PRECAUTIONS FOR STORAGE</w:t>
      </w:r>
    </w:p>
    <w:p w14:paraId="6AE1CCA0" w14:textId="77777777" w:rsidR="00B005BA" w:rsidRPr="005F7046" w:rsidRDefault="00B005BA" w:rsidP="00B005BA">
      <w:pPr>
        <w:spacing w:after="120"/>
        <w:rPr>
          <w:noProof/>
          <w:szCs w:val="22"/>
          <w:lang w:val="en-AU"/>
        </w:rPr>
      </w:pPr>
      <w:r w:rsidRPr="005F7046">
        <w:rPr>
          <w:noProof/>
          <w:szCs w:val="22"/>
          <w:u w:val="single"/>
          <w:lang w:val="en-AU"/>
        </w:rPr>
        <w:t xml:space="preserve">Unopened vial </w:t>
      </w:r>
    </w:p>
    <w:p w14:paraId="7AA2EEB5" w14:textId="671BB3D7" w:rsidR="00C024D4" w:rsidRPr="005F7046" w:rsidRDefault="00C024D4" w:rsidP="00C024D4">
      <w:pPr>
        <w:spacing w:after="120"/>
        <w:rPr>
          <w:noProof/>
          <w:szCs w:val="22"/>
          <w:lang w:val="en-AU"/>
        </w:rPr>
      </w:pPr>
      <w:r w:rsidRPr="005F7046">
        <w:rPr>
          <w:noProof/>
          <w:szCs w:val="22"/>
          <w:lang w:val="en-AU"/>
        </w:rPr>
        <w:t xml:space="preserve">Store </w:t>
      </w:r>
      <w:r>
        <w:rPr>
          <w:noProof/>
          <w:szCs w:val="22"/>
          <w:lang w:val="en-AU"/>
        </w:rPr>
        <w:t>at 2 to 8</w:t>
      </w:r>
      <w:r w:rsidRPr="005F7046">
        <w:rPr>
          <w:noProof/>
          <w:szCs w:val="22"/>
          <w:lang w:val="en-AU"/>
        </w:rPr>
        <w:t>°C</w:t>
      </w:r>
      <w:r w:rsidR="00BB4555">
        <w:rPr>
          <w:noProof/>
          <w:szCs w:val="22"/>
          <w:lang w:val="en-AU"/>
        </w:rPr>
        <w:t xml:space="preserve"> </w:t>
      </w:r>
      <w:r w:rsidR="00BB4555" w:rsidRPr="00DB2DF1">
        <w:rPr>
          <w:noProof/>
          <w:szCs w:val="22"/>
          <w:lang w:val="en-AU"/>
        </w:rPr>
        <w:t>(Refrigerate. Do not freeze)</w:t>
      </w:r>
      <w:r w:rsidRPr="005F7046">
        <w:rPr>
          <w:noProof/>
          <w:szCs w:val="22"/>
          <w:lang w:val="en-AU"/>
        </w:rPr>
        <w:t xml:space="preserve">. </w:t>
      </w:r>
    </w:p>
    <w:p w14:paraId="73740BD6" w14:textId="21EE4039" w:rsidR="00B005BA" w:rsidRPr="005F7046" w:rsidRDefault="00B005BA" w:rsidP="00B005BA">
      <w:pPr>
        <w:spacing w:after="120"/>
        <w:rPr>
          <w:noProof/>
          <w:szCs w:val="22"/>
          <w:u w:val="single"/>
          <w:lang w:val="en-AU"/>
        </w:rPr>
      </w:pPr>
      <w:r w:rsidRPr="005F7046">
        <w:rPr>
          <w:noProof/>
          <w:szCs w:val="22"/>
          <w:u w:val="single"/>
          <w:lang w:val="en-AU"/>
        </w:rPr>
        <w:t xml:space="preserve">Reconstituted solution </w:t>
      </w:r>
    </w:p>
    <w:p w14:paraId="5B12135E" w14:textId="551BE66B" w:rsidR="00B73883" w:rsidRPr="005F7046" w:rsidRDefault="00B005BA" w:rsidP="0009713A">
      <w:pPr>
        <w:spacing w:after="120"/>
        <w:rPr>
          <w:i/>
          <w:noProof/>
          <w:szCs w:val="22"/>
          <w:lang w:val="en-AU"/>
        </w:rPr>
      </w:pPr>
      <w:r w:rsidRPr="005F7046">
        <w:rPr>
          <w:noProof/>
          <w:szCs w:val="22"/>
          <w:lang w:val="en-AU"/>
        </w:rPr>
        <w:t xml:space="preserve">To reduce microbiological hazard, use as soon as practicable after reconstitution. lf storage is necessary, hold at 2-8°C for not more than 24 hours. </w:t>
      </w:r>
    </w:p>
    <w:p w14:paraId="3FA350F9" w14:textId="77777777" w:rsidR="00FD1F94" w:rsidRPr="005F7046" w:rsidRDefault="00FD1F94" w:rsidP="0009713A">
      <w:pPr>
        <w:pStyle w:val="Heading2"/>
        <w:spacing w:before="240" w:after="120"/>
        <w:rPr>
          <w:lang w:val="en-AU"/>
        </w:rPr>
      </w:pPr>
      <w:r w:rsidRPr="005F7046">
        <w:rPr>
          <w:lang w:val="en-AU"/>
        </w:rPr>
        <w:t>NATURE AND CONTENTS OF CONTAINER</w:t>
      </w:r>
    </w:p>
    <w:p w14:paraId="2CC81718" w14:textId="739F87EF" w:rsidR="00D51B7C" w:rsidRPr="005F7046" w:rsidRDefault="00D51B7C" w:rsidP="0009713A">
      <w:pPr>
        <w:spacing w:after="120"/>
        <w:rPr>
          <w:noProof/>
          <w:lang w:val="en-AU"/>
        </w:rPr>
      </w:pPr>
      <w:r w:rsidRPr="005F7046">
        <w:rPr>
          <w:noProof/>
          <w:lang w:val="en-AU"/>
        </w:rPr>
        <w:t>Clear glass vial (type 1 glass) with a stopper (chlorobutyl rubber) and tamper-proof seal (aluminium).</w:t>
      </w:r>
      <w:r w:rsidR="003C3E60" w:rsidRPr="005F7046">
        <w:rPr>
          <w:noProof/>
          <w:lang w:val="en-AU"/>
        </w:rPr>
        <w:t xml:space="preserve">  </w:t>
      </w:r>
    </w:p>
    <w:p w14:paraId="4A2EE1B9" w14:textId="65290679" w:rsidR="003C3E60" w:rsidRPr="005F7046" w:rsidRDefault="000B2D3E" w:rsidP="0009713A">
      <w:pPr>
        <w:spacing w:after="120"/>
        <w:rPr>
          <w:noProof/>
          <w:lang w:val="en-AU"/>
        </w:rPr>
      </w:pPr>
      <w:r>
        <w:rPr>
          <w:noProof/>
          <w:lang w:val="en-AU"/>
        </w:rPr>
        <w:t>LETYBO</w:t>
      </w:r>
      <w:r w:rsidR="003C3E60" w:rsidRPr="005F7046">
        <w:rPr>
          <w:noProof/>
          <w:lang w:val="en-AU"/>
        </w:rPr>
        <w:t xml:space="preserve"> is availble in 2 strengths: 50 Units per vial and 100 Units per vial. </w:t>
      </w:r>
    </w:p>
    <w:p w14:paraId="2FBF3A1C" w14:textId="1C5FFF62" w:rsidR="007364E0" w:rsidRPr="005F7046" w:rsidRDefault="00D51B7C" w:rsidP="0009713A">
      <w:pPr>
        <w:spacing w:after="120"/>
        <w:rPr>
          <w:noProof/>
          <w:szCs w:val="22"/>
          <w:lang w:val="en-AU"/>
        </w:rPr>
      </w:pPr>
      <w:r w:rsidRPr="005F7046">
        <w:rPr>
          <w:noProof/>
          <w:szCs w:val="22"/>
          <w:lang w:val="en-AU"/>
        </w:rPr>
        <w:t>Each carton contains 1 vial</w:t>
      </w:r>
      <w:r w:rsidR="007364E0" w:rsidRPr="005F7046">
        <w:rPr>
          <w:noProof/>
          <w:szCs w:val="22"/>
          <w:lang w:val="en-AU"/>
        </w:rPr>
        <w:t>.</w:t>
      </w:r>
    </w:p>
    <w:p w14:paraId="18319739" w14:textId="77777777" w:rsidR="00FD1F94" w:rsidRPr="005F7046" w:rsidRDefault="00FD1F94" w:rsidP="0009713A">
      <w:pPr>
        <w:pStyle w:val="Heading2"/>
        <w:spacing w:before="240" w:after="120"/>
        <w:rPr>
          <w:lang w:val="en-AU"/>
        </w:rPr>
      </w:pPr>
      <w:r w:rsidRPr="005F7046">
        <w:rPr>
          <w:lang w:val="en-AU"/>
        </w:rPr>
        <w:t>SPECIAL PRECAUTIONS FOR DISPOSAL</w:t>
      </w:r>
    </w:p>
    <w:p w14:paraId="49ED64CC" w14:textId="593E53F4" w:rsidR="00D7587A" w:rsidRPr="005F7046" w:rsidRDefault="00D7587A" w:rsidP="0009713A">
      <w:pPr>
        <w:pStyle w:val="ListBulletLevel2"/>
        <w:numPr>
          <w:ilvl w:val="0"/>
          <w:numId w:val="0"/>
        </w:numPr>
        <w:spacing w:before="240" w:after="120"/>
        <w:rPr>
          <w:lang w:val="en-AU"/>
        </w:rPr>
      </w:pPr>
      <w:r w:rsidRPr="005F7046">
        <w:rPr>
          <w:lang w:val="en-AU"/>
        </w:rPr>
        <w:t xml:space="preserve">Any unused vials, residual reconstituted solution in the vial and/or syringe should be autoclaved or inactivated by adding one of the following solutions: 70% ethanol, 50% isopropanol, diluted sodium hydroxide solution (0.1 N NaOH), or diluted sodium hypochlorite solution (at least 0.1% </w:t>
      </w:r>
      <w:proofErr w:type="spellStart"/>
      <w:r w:rsidRPr="005F7046">
        <w:rPr>
          <w:lang w:val="en-AU"/>
        </w:rPr>
        <w:t>NaOCl</w:t>
      </w:r>
      <w:proofErr w:type="spellEnd"/>
      <w:r w:rsidRPr="005F7046">
        <w:rPr>
          <w:lang w:val="en-AU"/>
        </w:rPr>
        <w:t xml:space="preserve">). </w:t>
      </w:r>
    </w:p>
    <w:p w14:paraId="7130DF34" w14:textId="3340C322" w:rsidR="00D7587A" w:rsidRPr="005F7046" w:rsidRDefault="00D7587A" w:rsidP="0009713A">
      <w:pPr>
        <w:pStyle w:val="ListBulletLevel2"/>
        <w:numPr>
          <w:ilvl w:val="0"/>
          <w:numId w:val="0"/>
        </w:numPr>
        <w:spacing w:before="240" w:after="120"/>
        <w:rPr>
          <w:lang w:val="en-AU"/>
        </w:rPr>
      </w:pPr>
      <w:r w:rsidRPr="005F7046">
        <w:rPr>
          <w:lang w:val="en-AU"/>
        </w:rPr>
        <w:t>Used vials, syringes, and materials should not be emptied and should be discarded into appropriate containers and disposed of in accordance with local requirements.</w:t>
      </w:r>
    </w:p>
    <w:p w14:paraId="2F66B3F5" w14:textId="19D8DD7F" w:rsidR="00723629" w:rsidRPr="005F7046" w:rsidRDefault="00FD1F94" w:rsidP="0009713A">
      <w:pPr>
        <w:pStyle w:val="Heading2"/>
        <w:spacing w:before="240" w:after="120"/>
        <w:rPr>
          <w:lang w:val="en-AU"/>
        </w:rPr>
      </w:pPr>
      <w:bookmarkStart w:id="20" w:name="_Hlk70512666"/>
      <w:r w:rsidRPr="005F7046">
        <w:rPr>
          <w:lang w:val="en-AU"/>
        </w:rPr>
        <w:t>PHYSICOCHEMICAL PROPERTIES</w:t>
      </w:r>
    </w:p>
    <w:p w14:paraId="6D0A9A24" w14:textId="035A3157" w:rsidR="00723629" w:rsidRPr="005F7046" w:rsidRDefault="00D7587A" w:rsidP="0045672D">
      <w:pPr>
        <w:pStyle w:val="Default"/>
        <w:spacing w:before="240" w:after="120"/>
        <w:rPr>
          <w:b/>
          <w:bCs/>
        </w:rPr>
      </w:pPr>
      <w:r w:rsidRPr="005F7046">
        <w:rPr>
          <w:b/>
          <w:bCs/>
        </w:rPr>
        <w:t>Chemical Structure</w:t>
      </w:r>
    </w:p>
    <w:p w14:paraId="3FAB6C2D" w14:textId="46D65ED2" w:rsidR="00ED4A42" w:rsidRPr="005F7046" w:rsidRDefault="000B2D3E" w:rsidP="00ED4A42">
      <w:pPr>
        <w:pStyle w:val="Default"/>
        <w:spacing w:before="240" w:after="120"/>
      </w:pPr>
      <w:r>
        <w:t>LETYBO</w:t>
      </w:r>
      <w:r w:rsidR="00ED4A42" w:rsidRPr="005F7046">
        <w:t xml:space="preserve"> neurotoxin complex is produced from the fermentation of </w:t>
      </w:r>
      <w:r w:rsidR="00ED4A42" w:rsidRPr="005F7046">
        <w:rPr>
          <w:i/>
          <w:iCs/>
        </w:rPr>
        <w:t xml:space="preserve">Clostridium botulinum </w:t>
      </w:r>
      <w:r w:rsidR="00ED4A42" w:rsidRPr="005F7046">
        <w:t xml:space="preserve">type A and is purified from the culture solution as an approximately 900 </w:t>
      </w:r>
      <w:proofErr w:type="spellStart"/>
      <w:r w:rsidR="00ED4A42" w:rsidRPr="005F7046">
        <w:t>kD</w:t>
      </w:r>
      <w:proofErr w:type="spellEnd"/>
      <w:r w:rsidR="00ED4A42" w:rsidRPr="005F7046">
        <w:t xml:space="preserve"> molecular weight complex consisting of the neurotoxin and several accessory proteins. The complex is dissolved in sterile sodium chloride solution containing human serum albumin and is sterile filtered prior to filling and freeze-drying. </w:t>
      </w:r>
    </w:p>
    <w:p w14:paraId="2E61E0B3" w14:textId="50A45093" w:rsidR="00ED4A42" w:rsidRPr="005F7046" w:rsidRDefault="00ED4A42" w:rsidP="00ED4A42">
      <w:pPr>
        <w:pStyle w:val="Default"/>
        <w:spacing w:before="240" w:after="120"/>
      </w:pPr>
      <w:r w:rsidRPr="005F7046">
        <w:t xml:space="preserve">One unit (U) of </w:t>
      </w:r>
      <w:r w:rsidR="000B2D3E">
        <w:t>LETYBO</w:t>
      </w:r>
      <w:r w:rsidRPr="005F7046">
        <w:t xml:space="preserve"> corresponds to the calculated median intraperitoneal lethal dose (LD</w:t>
      </w:r>
      <w:r w:rsidRPr="00315FA2">
        <w:rPr>
          <w:vertAlign w:val="subscript"/>
        </w:rPr>
        <w:t>50</w:t>
      </w:r>
      <w:r w:rsidRPr="005F7046">
        <w:t xml:space="preserve">) in mice, performed in a mouse potency assay. This assay method is specific to </w:t>
      </w:r>
      <w:r w:rsidR="000B2D3E">
        <w:t>LETYBO</w:t>
      </w:r>
      <w:r w:rsidRPr="005F7046">
        <w:t>. Due to specific method details such as the vehicle, dilution scheme and laboratory protocols for the various mouse LD</w:t>
      </w:r>
      <w:r w:rsidRPr="00315FA2">
        <w:rPr>
          <w:vertAlign w:val="subscript"/>
        </w:rPr>
        <w:t>50</w:t>
      </w:r>
      <w:r w:rsidRPr="005F7046">
        <w:t xml:space="preserve"> assays, units of biological activity of </w:t>
      </w:r>
      <w:r w:rsidR="000B2D3E">
        <w:t>LETYBO</w:t>
      </w:r>
      <w:r w:rsidRPr="005F7046">
        <w:t xml:space="preserve"> cannot be compared to or converted into units of any other botulinum toxin activity. </w:t>
      </w:r>
    </w:p>
    <w:bookmarkEnd w:id="20"/>
    <w:p w14:paraId="21EF3775" w14:textId="4727AFFA" w:rsidR="00D7587A" w:rsidRPr="005F7046" w:rsidRDefault="00FD1F94" w:rsidP="0045672D">
      <w:pPr>
        <w:pStyle w:val="Default"/>
        <w:spacing w:before="240" w:after="120"/>
        <w:rPr>
          <w:b/>
          <w:bCs/>
        </w:rPr>
      </w:pPr>
      <w:r w:rsidRPr="005F7046">
        <w:rPr>
          <w:b/>
          <w:bCs/>
        </w:rPr>
        <w:t>CAS number</w:t>
      </w:r>
    </w:p>
    <w:p w14:paraId="7A74B1ED" w14:textId="03990F5E" w:rsidR="00FD1F94" w:rsidRPr="005F7046" w:rsidRDefault="00723629" w:rsidP="0009713A">
      <w:pPr>
        <w:pStyle w:val="Default"/>
        <w:spacing w:before="240" w:after="120"/>
        <w:rPr>
          <w:sz w:val="22"/>
          <w:szCs w:val="22"/>
        </w:rPr>
      </w:pPr>
      <w:r w:rsidRPr="005F7046">
        <w:rPr>
          <w:sz w:val="22"/>
          <w:szCs w:val="22"/>
        </w:rPr>
        <w:t xml:space="preserve">1800016-51-6 </w:t>
      </w:r>
    </w:p>
    <w:p w14:paraId="26197BFD" w14:textId="4BABA4A1" w:rsidR="00FD1F94" w:rsidRPr="005F7046" w:rsidRDefault="00FD1F94" w:rsidP="00F105E3">
      <w:pPr>
        <w:pStyle w:val="Heading1"/>
        <w:pageBreakBefore w:val="0"/>
        <w:spacing w:before="240" w:after="120"/>
        <w:rPr>
          <w:lang w:val="en-AU"/>
        </w:rPr>
      </w:pPr>
      <w:r w:rsidRPr="005F7046">
        <w:rPr>
          <w:lang w:val="en-AU"/>
        </w:rPr>
        <w:lastRenderedPageBreak/>
        <w:t>MEDICINE SCHEDULE (POISONS STANDARD)</w:t>
      </w:r>
    </w:p>
    <w:p w14:paraId="12D79AD8" w14:textId="25AA4AFA" w:rsidR="002F392E" w:rsidRPr="005F7046" w:rsidRDefault="002F392E" w:rsidP="0009713A">
      <w:pPr>
        <w:spacing w:after="120"/>
        <w:rPr>
          <w:lang w:val="en-AU"/>
        </w:rPr>
      </w:pPr>
      <w:r w:rsidRPr="005F7046">
        <w:rPr>
          <w:lang w:val="en-AU"/>
        </w:rPr>
        <w:t>Schedule 4 – Prescription Only Medicine</w:t>
      </w:r>
    </w:p>
    <w:p w14:paraId="363D1406" w14:textId="77777777" w:rsidR="00FD1F94" w:rsidRPr="005F7046" w:rsidRDefault="00FD1F94" w:rsidP="00F105E3">
      <w:pPr>
        <w:pStyle w:val="Heading1"/>
        <w:pageBreakBefore w:val="0"/>
        <w:spacing w:before="240" w:after="120"/>
        <w:rPr>
          <w:lang w:val="en-AU"/>
        </w:rPr>
      </w:pPr>
      <w:r w:rsidRPr="005F7046">
        <w:rPr>
          <w:lang w:val="en-AU"/>
        </w:rPr>
        <w:t>SPONSOR</w:t>
      </w:r>
    </w:p>
    <w:p w14:paraId="32809D0E" w14:textId="21B2B7F6" w:rsidR="001E025C" w:rsidRPr="005F7046" w:rsidRDefault="001E025C" w:rsidP="0009713A">
      <w:pPr>
        <w:spacing w:after="120"/>
        <w:rPr>
          <w:lang w:val="en-AU"/>
        </w:rPr>
      </w:pPr>
      <w:r w:rsidRPr="005F7046">
        <w:rPr>
          <w:lang w:val="en-AU"/>
        </w:rPr>
        <w:t>Croma Australia Pty Ltd</w:t>
      </w:r>
      <w:r w:rsidRPr="005F7046">
        <w:rPr>
          <w:lang w:val="en-AU"/>
        </w:rPr>
        <w:br/>
        <w:t>Level 26, 1 Bligh Street</w:t>
      </w:r>
      <w:r w:rsidRPr="005F7046">
        <w:rPr>
          <w:lang w:val="en-AU"/>
        </w:rPr>
        <w:br/>
        <w:t>Sydney NSW 2000 Australia</w:t>
      </w:r>
    </w:p>
    <w:p w14:paraId="60481129" w14:textId="6979258C" w:rsidR="001E025C" w:rsidRDefault="001E025C" w:rsidP="0009713A">
      <w:pPr>
        <w:spacing w:after="120"/>
        <w:rPr>
          <w:lang w:val="en-AU"/>
        </w:rPr>
      </w:pPr>
      <w:r w:rsidRPr="000C202E">
        <w:rPr>
          <w:lang w:val="en-AU"/>
        </w:rPr>
        <w:t xml:space="preserve">Phone: </w:t>
      </w:r>
      <w:r w:rsidR="000C202E">
        <w:rPr>
          <w:lang w:val="en-AU"/>
        </w:rPr>
        <w:t>1</w:t>
      </w:r>
      <w:r w:rsidR="000C202E" w:rsidRPr="000C202E">
        <w:rPr>
          <w:lang w:val="en-AU"/>
        </w:rPr>
        <w:t>800</w:t>
      </w:r>
      <w:r w:rsidR="000C202E">
        <w:rPr>
          <w:lang w:val="en-AU"/>
        </w:rPr>
        <w:t xml:space="preserve"> </w:t>
      </w:r>
      <w:r w:rsidR="000C202E" w:rsidRPr="000C202E">
        <w:rPr>
          <w:lang w:val="en-AU"/>
        </w:rPr>
        <w:t>276 622</w:t>
      </w:r>
      <w:r w:rsidRPr="000C202E">
        <w:rPr>
          <w:lang w:val="en-AU"/>
        </w:rPr>
        <w:br/>
      </w:r>
    </w:p>
    <w:p w14:paraId="6D64CE80" w14:textId="4F52EB3A" w:rsidR="00B63EAC" w:rsidRPr="00B63EAC" w:rsidRDefault="00B63EAC" w:rsidP="00B63EAC">
      <w:pPr>
        <w:rPr>
          <w:lang w:val="en-AU"/>
        </w:rPr>
      </w:pPr>
    </w:p>
    <w:p w14:paraId="3B16EB1C" w14:textId="79465F3E" w:rsidR="00B63EAC" w:rsidRPr="00B63EAC" w:rsidRDefault="00B63EAC" w:rsidP="00B63EAC">
      <w:pPr>
        <w:tabs>
          <w:tab w:val="left" w:pos="2825"/>
        </w:tabs>
        <w:rPr>
          <w:lang w:val="en-AU"/>
        </w:rPr>
      </w:pPr>
      <w:r>
        <w:rPr>
          <w:lang w:val="en-AU"/>
        </w:rPr>
        <w:tab/>
      </w:r>
    </w:p>
    <w:p w14:paraId="65652119" w14:textId="570D73F7" w:rsidR="00FD1F94" w:rsidRPr="005F7046" w:rsidRDefault="00FD1F94" w:rsidP="0009713A">
      <w:pPr>
        <w:pStyle w:val="Heading1"/>
        <w:pageBreakBefore w:val="0"/>
        <w:spacing w:before="240" w:after="120"/>
        <w:rPr>
          <w:lang w:val="en-AU"/>
        </w:rPr>
      </w:pPr>
      <w:r w:rsidRPr="005F7046">
        <w:rPr>
          <w:lang w:val="en-AU"/>
        </w:rPr>
        <w:t>DATE OF FIRST APPROVAL</w:t>
      </w:r>
    </w:p>
    <w:p w14:paraId="3A26A6E5" w14:textId="67A26D09" w:rsidR="00D51B7C" w:rsidRPr="005F7046" w:rsidRDefault="00632544" w:rsidP="0009713A">
      <w:pPr>
        <w:spacing w:after="120"/>
        <w:rPr>
          <w:lang w:val="en-AU"/>
        </w:rPr>
      </w:pPr>
      <w:r>
        <w:rPr>
          <w:lang w:val="en-AU"/>
        </w:rPr>
        <w:t>28 November 2022</w:t>
      </w:r>
    </w:p>
    <w:p w14:paraId="70E34F70" w14:textId="44F39AC9" w:rsidR="00FD1F94" w:rsidRPr="005F7046" w:rsidRDefault="00FD1F94" w:rsidP="0009713A">
      <w:pPr>
        <w:pStyle w:val="Heading1"/>
        <w:pageBreakBefore w:val="0"/>
        <w:spacing w:before="240" w:after="120"/>
        <w:rPr>
          <w:lang w:val="en-AU"/>
        </w:rPr>
      </w:pPr>
      <w:r w:rsidRPr="005F7046">
        <w:rPr>
          <w:lang w:val="en-AU"/>
        </w:rPr>
        <w:t>DATE OF REVISION</w:t>
      </w:r>
    </w:p>
    <w:p w14:paraId="5085EB62" w14:textId="02B0E352" w:rsidR="00D51B7C" w:rsidRPr="005F7046" w:rsidRDefault="00D51B7C" w:rsidP="0009713A">
      <w:pPr>
        <w:spacing w:after="120"/>
        <w:rPr>
          <w:lang w:val="en-AU"/>
        </w:rPr>
      </w:pPr>
      <w:r w:rsidRPr="005F7046">
        <w:rPr>
          <w:lang w:val="en-AU"/>
        </w:rPr>
        <w:t>N/A</w:t>
      </w:r>
    </w:p>
    <w:p w14:paraId="54306956" w14:textId="77777777" w:rsidR="00FD1F94" w:rsidRPr="005F7046" w:rsidRDefault="00FD1F94" w:rsidP="00F30850">
      <w:pPr>
        <w:pStyle w:val="Heading3"/>
        <w:numPr>
          <w:ilvl w:val="0"/>
          <w:numId w:val="0"/>
        </w:numPr>
        <w:spacing w:after="120"/>
        <w:rPr>
          <w:lang w:val="en-AU"/>
        </w:rPr>
      </w:pPr>
      <w:r w:rsidRPr="005F7046">
        <w:rPr>
          <w:lang w:val="en-AU"/>
        </w:rPr>
        <w:t>SUMMARY TABLE OF CHANGES</w:t>
      </w:r>
    </w:p>
    <w:tbl>
      <w:tblPr>
        <w:tblW w:w="9180" w:type="dxa"/>
        <w:tblInd w:w="10" w:type="dxa"/>
        <w:tblLayout w:type="fixed"/>
        <w:tblCellMar>
          <w:left w:w="0" w:type="dxa"/>
          <w:right w:w="0" w:type="dxa"/>
        </w:tblCellMar>
        <w:tblLook w:val="0000" w:firstRow="0" w:lastRow="0" w:firstColumn="0" w:lastColumn="0" w:noHBand="0" w:noVBand="0"/>
      </w:tblPr>
      <w:tblGrid>
        <w:gridCol w:w="2127"/>
        <w:gridCol w:w="7053"/>
      </w:tblGrid>
      <w:tr w:rsidR="00FD1F94" w:rsidRPr="005F7046" w14:paraId="0FF7F073" w14:textId="77777777" w:rsidTr="0009713A">
        <w:trPr>
          <w:tblHeader/>
        </w:trPr>
        <w:tc>
          <w:tcPr>
            <w:tcW w:w="2127" w:type="dxa"/>
            <w:tcBorders>
              <w:top w:val="single" w:sz="8" w:space="0" w:color="002C47"/>
              <w:left w:val="single" w:sz="8" w:space="0" w:color="002C47"/>
              <w:bottom w:val="single" w:sz="4" w:space="0" w:color="auto"/>
              <w:right w:val="single" w:sz="8" w:space="0" w:color="auto"/>
            </w:tcBorders>
            <w:shd w:val="clear" w:color="auto" w:fill="F2F2F2" w:themeFill="background1" w:themeFillShade="F2"/>
            <w:vAlign w:val="center"/>
          </w:tcPr>
          <w:p w14:paraId="5CD78F6F" w14:textId="77777777" w:rsidR="00FD1F94" w:rsidRPr="005F7046" w:rsidRDefault="00FD1F94" w:rsidP="00F30850">
            <w:pPr>
              <w:spacing w:before="40" w:after="40" w:line="0" w:lineRule="atLeast"/>
              <w:ind w:left="120"/>
              <w:rPr>
                <w:rFonts w:eastAsia="Cambria"/>
                <w:b/>
                <w:sz w:val="22"/>
                <w:lang w:val="en-AU"/>
              </w:rPr>
            </w:pPr>
            <w:r w:rsidRPr="005F7046">
              <w:rPr>
                <w:rFonts w:eastAsia="Cambria"/>
                <w:b/>
                <w:sz w:val="22"/>
                <w:lang w:val="en-AU"/>
              </w:rPr>
              <w:t>Section</w:t>
            </w:r>
            <w:r w:rsidR="00F30850" w:rsidRPr="005F7046">
              <w:rPr>
                <w:rFonts w:eastAsia="Cambria"/>
                <w:b/>
                <w:sz w:val="22"/>
                <w:lang w:val="en-AU"/>
              </w:rPr>
              <w:t xml:space="preserve"> </w:t>
            </w:r>
            <w:r w:rsidR="00C77721" w:rsidRPr="005F7046">
              <w:rPr>
                <w:rFonts w:eastAsia="Cambria"/>
                <w:b/>
                <w:sz w:val="22"/>
                <w:lang w:val="en-AU"/>
              </w:rPr>
              <w:t>changed</w:t>
            </w:r>
          </w:p>
        </w:tc>
        <w:tc>
          <w:tcPr>
            <w:tcW w:w="7053" w:type="dxa"/>
            <w:tcBorders>
              <w:top w:val="single" w:sz="8" w:space="0" w:color="002C47"/>
              <w:bottom w:val="single" w:sz="4" w:space="0" w:color="auto"/>
              <w:right w:val="single" w:sz="8" w:space="0" w:color="002C47"/>
            </w:tcBorders>
            <w:shd w:val="clear" w:color="auto" w:fill="F2F2F2" w:themeFill="background1" w:themeFillShade="F2"/>
            <w:vAlign w:val="center"/>
          </w:tcPr>
          <w:p w14:paraId="54A66EDD" w14:textId="77777777" w:rsidR="00FD1F94" w:rsidRPr="005F7046" w:rsidRDefault="00FD1F94" w:rsidP="00F30850">
            <w:pPr>
              <w:spacing w:before="40" w:after="40" w:line="0" w:lineRule="atLeast"/>
              <w:ind w:left="100"/>
              <w:rPr>
                <w:rFonts w:eastAsia="Cambria"/>
                <w:b/>
                <w:sz w:val="22"/>
                <w:lang w:val="en-AU"/>
              </w:rPr>
            </w:pPr>
            <w:r w:rsidRPr="005F7046">
              <w:rPr>
                <w:rFonts w:eastAsia="Cambria"/>
                <w:b/>
                <w:sz w:val="22"/>
                <w:lang w:val="en-AU"/>
              </w:rPr>
              <w:t>Summary of new information</w:t>
            </w:r>
          </w:p>
        </w:tc>
      </w:tr>
      <w:tr w:rsidR="00FD1F94" w:rsidRPr="005F7046" w14:paraId="02AB9884" w14:textId="77777777" w:rsidTr="00F30850">
        <w:tc>
          <w:tcPr>
            <w:tcW w:w="2127" w:type="dxa"/>
            <w:tcBorders>
              <w:top w:val="single" w:sz="4" w:space="0" w:color="auto"/>
              <w:left w:val="single" w:sz="8" w:space="0" w:color="002C47"/>
              <w:bottom w:val="single" w:sz="8" w:space="0" w:color="002C47"/>
              <w:right w:val="single" w:sz="8" w:space="0" w:color="002C47"/>
            </w:tcBorders>
            <w:shd w:val="clear" w:color="auto" w:fill="auto"/>
            <w:vAlign w:val="center"/>
          </w:tcPr>
          <w:p w14:paraId="35D02F4A" w14:textId="2DAE542B" w:rsidR="00FD1F94" w:rsidRPr="005F7046" w:rsidRDefault="00D51B7C" w:rsidP="00F30850">
            <w:pPr>
              <w:spacing w:before="40" w:after="40" w:line="0" w:lineRule="atLeast"/>
              <w:ind w:left="120"/>
              <w:rPr>
                <w:rFonts w:eastAsia="Cambria"/>
                <w:sz w:val="22"/>
                <w:lang w:val="en-AU"/>
              </w:rPr>
            </w:pPr>
            <w:r w:rsidRPr="005F7046">
              <w:rPr>
                <w:rFonts w:eastAsia="Cambria"/>
                <w:sz w:val="22"/>
                <w:lang w:val="en-AU"/>
              </w:rPr>
              <w:t>N/A</w:t>
            </w:r>
          </w:p>
        </w:tc>
        <w:tc>
          <w:tcPr>
            <w:tcW w:w="7053" w:type="dxa"/>
            <w:tcBorders>
              <w:top w:val="single" w:sz="4" w:space="0" w:color="auto"/>
              <w:bottom w:val="single" w:sz="8" w:space="0" w:color="002C47"/>
              <w:right w:val="single" w:sz="8" w:space="0" w:color="002C47"/>
            </w:tcBorders>
            <w:shd w:val="clear" w:color="auto" w:fill="auto"/>
            <w:vAlign w:val="center"/>
          </w:tcPr>
          <w:p w14:paraId="0EB2F69D" w14:textId="4D11F54E" w:rsidR="00FD1F94" w:rsidRPr="005F7046" w:rsidRDefault="00D51B7C" w:rsidP="00F30850">
            <w:pPr>
              <w:spacing w:before="40" w:after="40" w:line="0" w:lineRule="atLeast"/>
              <w:ind w:left="120"/>
              <w:rPr>
                <w:rFonts w:eastAsia="Cambria"/>
                <w:sz w:val="22"/>
                <w:lang w:val="en-AU"/>
              </w:rPr>
            </w:pPr>
            <w:r w:rsidRPr="005F7046">
              <w:rPr>
                <w:rFonts w:eastAsia="Cambria"/>
                <w:sz w:val="22"/>
                <w:lang w:val="en-AU"/>
              </w:rPr>
              <w:t>First version.</w:t>
            </w:r>
          </w:p>
        </w:tc>
      </w:tr>
    </w:tbl>
    <w:p w14:paraId="1C140BB4" w14:textId="431F9A6C" w:rsidR="001468A9" w:rsidRPr="005F7046" w:rsidRDefault="001468A9" w:rsidP="001468A9">
      <w:pPr>
        <w:tabs>
          <w:tab w:val="left" w:pos="5205"/>
        </w:tabs>
        <w:rPr>
          <w:lang w:val="en-AU"/>
        </w:rPr>
      </w:pPr>
    </w:p>
    <w:sectPr w:rsidR="001468A9" w:rsidRPr="005F7046" w:rsidSect="003B7375">
      <w:headerReference w:type="default" r:id="rId14"/>
      <w:footerReference w:type="default" r:id="rId15"/>
      <w:pgSz w:w="11900" w:h="16838"/>
      <w:pgMar w:top="1135" w:right="1440" w:bottom="709" w:left="1300" w:header="567" w:footer="755" w:gutter="0"/>
      <w:cols w:space="0" w:equalWidth="0">
        <w:col w:w="9166"/>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4D28F" w14:textId="77777777" w:rsidR="004A0F62" w:rsidRDefault="004A0F62" w:rsidP="00761728">
      <w:pPr>
        <w:spacing w:before="0"/>
      </w:pPr>
      <w:r>
        <w:separator/>
      </w:r>
    </w:p>
  </w:endnote>
  <w:endnote w:type="continuationSeparator" w:id="0">
    <w:p w14:paraId="3F39B16F" w14:textId="77777777" w:rsidR="004A0F62" w:rsidRDefault="004A0F62" w:rsidP="0076172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Wingdings 3">
    <w:panose1 w:val="050401020108070707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9B666" w14:textId="2141B897" w:rsidR="00492F26" w:rsidRDefault="00492F26">
    <w:pPr>
      <w:pStyle w:val="Footer"/>
      <w:rPr>
        <w:rFonts w:ascii="Times New Roman" w:hAnsi="Times New Roman"/>
      </w:rPr>
    </w:pPr>
  </w:p>
  <w:p w14:paraId="19DA85C8" w14:textId="63FF45B1" w:rsidR="00492F26" w:rsidRPr="003F5E44" w:rsidRDefault="00492F26">
    <w:pPr>
      <w:pStyle w:val="Footer"/>
      <w:rPr>
        <w:rFonts w:ascii="Times New Roman" w:hAnsi="Times New Roman"/>
      </w:rPr>
    </w:pPr>
    <w:r>
      <w:rPr>
        <w:rFonts w:ascii="Times New Roman" w:hAnsi="Times New Roman"/>
      </w:rPr>
      <w:t>LETYBO AU PI</w:t>
    </w:r>
    <w:r w:rsidRPr="003F5E44">
      <w:rPr>
        <w:rFonts w:ascii="Times New Roman" w:hAnsi="Times New Roman"/>
      </w:rPr>
      <w:ptab w:relativeTo="margin" w:alignment="center" w:leader="none"/>
    </w:r>
    <w:r>
      <w:rPr>
        <w:rFonts w:ascii="Times New Roman" w:hAnsi="Times New Roman"/>
      </w:rPr>
      <w:t xml:space="preserve">Version </w:t>
    </w:r>
    <w:r w:rsidR="00632544">
      <w:rPr>
        <w:rFonts w:ascii="Times New Roman" w:hAnsi="Times New Roman"/>
      </w:rPr>
      <w:t>1.</w:t>
    </w:r>
    <w:r>
      <w:rPr>
        <w:rFonts w:ascii="Times New Roman" w:hAnsi="Times New Roman"/>
      </w:rPr>
      <w:t xml:space="preserve">0 – </w:t>
    </w:r>
    <w:r w:rsidR="00B63EAC">
      <w:rPr>
        <w:rFonts w:ascii="Times New Roman" w:hAnsi="Times New Roman"/>
      </w:rPr>
      <w:t>December</w:t>
    </w:r>
    <w:r w:rsidR="005805C7">
      <w:rPr>
        <w:rFonts w:ascii="Times New Roman" w:hAnsi="Times New Roman"/>
      </w:rPr>
      <w:t xml:space="preserve"> </w:t>
    </w:r>
    <w:r w:rsidR="00F105E3">
      <w:rPr>
        <w:rFonts w:ascii="Times New Roman" w:hAnsi="Times New Roman"/>
      </w:rPr>
      <w:t>2022</w:t>
    </w:r>
    <w:r w:rsidRPr="003F5E44">
      <w:rPr>
        <w:rFonts w:ascii="Times New Roman" w:hAnsi="Times New Roman"/>
      </w:rPr>
      <w:ptab w:relativeTo="margin" w:alignment="right" w:leader="none"/>
    </w:r>
    <w:r w:rsidRPr="003F5E44">
      <w:rPr>
        <w:rFonts w:ascii="Times New Roman" w:hAnsi="Times New Roman"/>
      </w:rPr>
      <w:fldChar w:fldCharType="begin"/>
    </w:r>
    <w:r w:rsidRPr="003F5E44">
      <w:rPr>
        <w:rFonts w:ascii="Times New Roman" w:hAnsi="Times New Roman"/>
      </w:rPr>
      <w:instrText xml:space="preserve"> PAGE   \* MERGEFORMAT </w:instrText>
    </w:r>
    <w:r w:rsidRPr="003F5E44">
      <w:rPr>
        <w:rFonts w:ascii="Times New Roman" w:hAnsi="Times New Roman"/>
      </w:rPr>
      <w:fldChar w:fldCharType="separate"/>
    </w:r>
    <w:r w:rsidRPr="003F5E44">
      <w:rPr>
        <w:rFonts w:ascii="Times New Roman" w:hAnsi="Times New Roman"/>
        <w:noProof/>
      </w:rPr>
      <w:t>1</w:t>
    </w:r>
    <w:r w:rsidRPr="003F5E44">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8ED51" w14:textId="77777777" w:rsidR="004A0F62" w:rsidRDefault="004A0F62" w:rsidP="00761728">
      <w:pPr>
        <w:spacing w:before="0"/>
      </w:pPr>
      <w:r>
        <w:separator/>
      </w:r>
    </w:p>
  </w:footnote>
  <w:footnote w:type="continuationSeparator" w:id="0">
    <w:p w14:paraId="07BA7CD0" w14:textId="77777777" w:rsidR="004A0F62" w:rsidRDefault="004A0F62" w:rsidP="00761728">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shd w:val="clear" w:color="auto" w:fill="E4F2E0"/>
      <w:tblLook w:val="04A0" w:firstRow="1" w:lastRow="0" w:firstColumn="1" w:lastColumn="0" w:noHBand="0" w:noVBand="1"/>
    </w:tblPr>
    <w:tblGrid>
      <w:gridCol w:w="9150"/>
    </w:tblGrid>
    <w:tr w:rsidR="00D73E8C" w:rsidRPr="000B2145" w14:paraId="41CB02E4" w14:textId="77777777" w:rsidTr="009D0A46">
      <w:trPr>
        <w:trHeight w:val="1012"/>
      </w:trPr>
      <w:tc>
        <w:tcPr>
          <w:tcW w:w="9180" w:type="dxa"/>
          <w:shd w:val="clear" w:color="auto" w:fill="E4F2E0"/>
        </w:tcPr>
        <w:p w14:paraId="7C04089A" w14:textId="77777777" w:rsidR="00D73E8C" w:rsidRPr="000E4791" w:rsidRDefault="00D73E8C" w:rsidP="00D73E8C">
          <w:pPr>
            <w:pStyle w:val="Footer"/>
            <w:rPr>
              <w:b/>
              <w:szCs w:val="18"/>
            </w:rPr>
          </w:pPr>
          <w:bookmarkStart w:id="21" w:name="_Hlk109054010"/>
          <w:r w:rsidRPr="00EE2A41">
            <w:rPr>
              <w:b/>
              <w:szCs w:val="18"/>
            </w:rPr>
            <w:t xml:space="preserve">Attachment </w:t>
          </w:r>
          <w:r w:rsidRPr="00623648">
            <w:rPr>
              <w:b/>
              <w:szCs w:val="18"/>
            </w:rPr>
            <w:t xml:space="preserve">AusPAR - Letybo - </w:t>
          </w:r>
          <w:proofErr w:type="spellStart"/>
          <w:r w:rsidRPr="00623648">
            <w:rPr>
              <w:b/>
              <w:szCs w:val="18"/>
            </w:rPr>
            <w:t>letibotulinumtoxinA</w:t>
          </w:r>
          <w:proofErr w:type="spellEnd"/>
          <w:r w:rsidRPr="00623648">
            <w:rPr>
              <w:b/>
              <w:szCs w:val="18"/>
            </w:rPr>
            <w:t xml:space="preserve"> - CROMA Australia Pty Ltd - PM-2021-02698-1-1</w:t>
          </w:r>
          <w:r>
            <w:rPr>
              <w:b/>
              <w:szCs w:val="18"/>
            </w:rPr>
            <w:t xml:space="preserve"> </w:t>
          </w:r>
          <w:r w:rsidRPr="00623648">
            <w:rPr>
              <w:b/>
              <w:szCs w:val="18"/>
            </w:rPr>
            <w:t>FINAL 14 November 2023</w:t>
          </w:r>
          <w:r>
            <w:rPr>
              <w:b/>
              <w:szCs w:val="18"/>
            </w:rPr>
            <w:t>.</w:t>
          </w:r>
          <w:r w:rsidRPr="00EE2A41">
            <w:rPr>
              <w:b/>
              <w:szCs w:val="18"/>
            </w:rPr>
            <w:t xml:space="preserve"> This is the Product Information that was approved with the submission described in this AusPAR. It may have been superseded. For the most recent PI, please refer to the TGA website at</w:t>
          </w:r>
          <w:r w:rsidRPr="000E4791">
            <w:rPr>
              <w:b/>
              <w:szCs w:val="18"/>
            </w:rPr>
            <w:t xml:space="preserve"> &lt;</w:t>
          </w:r>
          <w:hyperlink r:id="rId1" w:history="1">
            <w:r w:rsidRPr="000E4791">
              <w:rPr>
                <w:rStyle w:val="Hyperlink"/>
                <w:b/>
                <w:szCs w:val="18"/>
              </w:rPr>
              <w:t>https://www.tga.gov.au/product-information-pi</w:t>
            </w:r>
          </w:hyperlink>
          <w:r w:rsidRPr="000E4791">
            <w:rPr>
              <w:b/>
              <w:szCs w:val="18"/>
              <w:u w:val="single"/>
            </w:rPr>
            <w:t>&gt;</w:t>
          </w:r>
        </w:p>
      </w:tc>
    </w:tr>
    <w:bookmarkEnd w:id="21"/>
  </w:tbl>
  <w:p w14:paraId="1B200824" w14:textId="77777777" w:rsidR="00D73E8C" w:rsidRDefault="00D73E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8AAED130"/>
    <w:lvl w:ilvl="0">
      <w:start w:val="1"/>
      <w:numFmt w:val="bullet"/>
      <w:lvlRestart w:val="0"/>
      <w:pStyle w:val="ListBulletLevel1"/>
      <w:lvlText w:val=""/>
      <w:lvlJc w:val="left"/>
      <w:pPr>
        <w:tabs>
          <w:tab w:val="num" w:pos="720"/>
        </w:tabs>
        <w:ind w:left="720" w:hanging="357"/>
      </w:pPr>
      <w:rPr>
        <w:rFonts w:ascii="Symbol" w:hAnsi="Symbol" w:hint="default"/>
      </w:rPr>
    </w:lvl>
    <w:lvl w:ilvl="1">
      <w:start w:val="1"/>
      <w:numFmt w:val="bullet"/>
      <w:lvlText w:val=""/>
      <w:lvlJc w:val="left"/>
      <w:pPr>
        <w:tabs>
          <w:tab w:val="num" w:pos="1083"/>
        </w:tabs>
        <w:ind w:left="1083" w:hanging="363"/>
      </w:pPr>
      <w:rPr>
        <w:rFonts w:ascii="Symbol" w:hAnsi="Symbol" w:hint="default"/>
      </w:rPr>
    </w:lvl>
    <w:lvl w:ilvl="2">
      <w:start w:val="1"/>
      <w:numFmt w:val="bullet"/>
      <w:lvlText w:val=""/>
      <w:lvlJc w:val="left"/>
      <w:pPr>
        <w:tabs>
          <w:tab w:val="num" w:pos="1440"/>
        </w:tabs>
        <w:ind w:left="1440" w:hanging="357"/>
      </w:pPr>
      <w:rPr>
        <w:rFonts w:ascii="Symbol" w:hAnsi="Symbol" w:hint="default"/>
      </w:rPr>
    </w:lvl>
    <w:lvl w:ilvl="3">
      <w:start w:val="1"/>
      <w:numFmt w:val="bullet"/>
      <w:lvlText w:val=""/>
      <w:lvlJc w:val="left"/>
      <w:pPr>
        <w:tabs>
          <w:tab w:val="num" w:pos="1803"/>
        </w:tabs>
        <w:ind w:left="1803" w:hanging="363"/>
      </w:pPr>
      <w:rPr>
        <w:rFonts w:ascii="Symbol" w:hAnsi="Symbol" w:hint="default"/>
      </w:rPr>
    </w:lvl>
    <w:lvl w:ilvl="4">
      <w:start w:val="1"/>
      <w:numFmt w:val="bullet"/>
      <w:lvlText w:val=""/>
      <w:lvlJc w:val="left"/>
      <w:pPr>
        <w:tabs>
          <w:tab w:val="num" w:pos="2160"/>
        </w:tabs>
        <w:ind w:left="2160" w:hanging="357"/>
      </w:pPr>
      <w:rPr>
        <w:rFonts w:ascii="Symbol" w:hAnsi="Symbol" w:hint="default"/>
      </w:rPr>
    </w:lvl>
    <w:lvl w:ilvl="5">
      <w:start w:val="1"/>
      <w:numFmt w:val="bullet"/>
      <w:lvlText w:val=""/>
      <w:lvlJc w:val="left"/>
      <w:pPr>
        <w:tabs>
          <w:tab w:val="num" w:pos="2523"/>
        </w:tabs>
        <w:ind w:left="2523" w:hanging="363"/>
      </w:pPr>
      <w:rPr>
        <w:rFonts w:ascii="Symbol" w:hAnsi="Symbol" w:hint="default"/>
      </w:rPr>
    </w:lvl>
    <w:lvl w:ilvl="6">
      <w:start w:val="1"/>
      <w:numFmt w:val="bullet"/>
      <w:lvlText w:val=""/>
      <w:lvlJc w:val="left"/>
      <w:pPr>
        <w:tabs>
          <w:tab w:val="num" w:pos="2880"/>
        </w:tabs>
        <w:ind w:left="2880" w:hanging="357"/>
      </w:pPr>
      <w:rPr>
        <w:rFonts w:ascii="Symbol" w:hAnsi="Symbol" w:hint="default"/>
      </w:rPr>
    </w:lvl>
    <w:lvl w:ilvl="7">
      <w:start w:val="1"/>
      <w:numFmt w:val="bullet"/>
      <w:lvlText w:val=""/>
      <w:lvlJc w:val="left"/>
      <w:pPr>
        <w:tabs>
          <w:tab w:val="num" w:pos="3243"/>
        </w:tabs>
        <w:ind w:left="3243" w:hanging="363"/>
      </w:pPr>
      <w:rPr>
        <w:rFonts w:ascii="Symbol" w:hAnsi="Symbol" w:hint="default"/>
      </w:rPr>
    </w:lvl>
    <w:lvl w:ilvl="8">
      <w:start w:val="1"/>
      <w:numFmt w:val="bullet"/>
      <w:lvlText w:val=""/>
      <w:lvlJc w:val="left"/>
      <w:pPr>
        <w:tabs>
          <w:tab w:val="num" w:pos="3600"/>
        </w:tabs>
        <w:ind w:left="3600" w:hanging="357"/>
      </w:pPr>
      <w:rPr>
        <w:rFonts w:ascii="Symbol" w:hAnsi="Symbol" w:hint="default"/>
      </w:rPr>
    </w:lvl>
  </w:abstractNum>
  <w:abstractNum w:abstractNumId="1" w15:restartNumberingAfterBreak="0">
    <w:nsid w:val="00000005"/>
    <w:multiLevelType w:val="hybridMultilevel"/>
    <w:tmpl w:val="431BD7B6"/>
    <w:lvl w:ilvl="0" w:tplc="D2C4672E">
      <w:start w:val="1"/>
      <w:numFmt w:val="bullet"/>
      <w:pStyle w:val="ListAlphabeticalLevel1"/>
      <w:lvlText w:val="·"/>
      <w:lvlJc w:val="left"/>
    </w:lvl>
    <w:lvl w:ilvl="1" w:tplc="E24AD90A">
      <w:start w:val="1"/>
      <w:numFmt w:val="bullet"/>
      <w:lvlText w:val=""/>
      <w:lvlJc w:val="left"/>
    </w:lvl>
    <w:lvl w:ilvl="2" w:tplc="02D61D22">
      <w:start w:val="1"/>
      <w:numFmt w:val="bullet"/>
      <w:lvlText w:val=""/>
      <w:lvlJc w:val="left"/>
    </w:lvl>
    <w:lvl w:ilvl="3" w:tplc="25F446BA">
      <w:start w:val="1"/>
      <w:numFmt w:val="bullet"/>
      <w:lvlText w:val=""/>
      <w:lvlJc w:val="left"/>
    </w:lvl>
    <w:lvl w:ilvl="4" w:tplc="A1F47FF8">
      <w:start w:val="1"/>
      <w:numFmt w:val="bullet"/>
      <w:lvlText w:val=""/>
      <w:lvlJc w:val="left"/>
    </w:lvl>
    <w:lvl w:ilvl="5" w:tplc="CEF424C8">
      <w:start w:val="1"/>
      <w:numFmt w:val="bullet"/>
      <w:lvlText w:val=""/>
      <w:lvlJc w:val="left"/>
    </w:lvl>
    <w:lvl w:ilvl="6" w:tplc="8BB63216">
      <w:start w:val="1"/>
      <w:numFmt w:val="bullet"/>
      <w:lvlText w:val=""/>
      <w:lvlJc w:val="left"/>
    </w:lvl>
    <w:lvl w:ilvl="7" w:tplc="05084920">
      <w:start w:val="1"/>
      <w:numFmt w:val="bullet"/>
      <w:lvlText w:val=""/>
      <w:lvlJc w:val="left"/>
    </w:lvl>
    <w:lvl w:ilvl="8" w:tplc="A6B86ABC">
      <w:start w:val="1"/>
      <w:numFmt w:val="bullet"/>
      <w:lvlText w:val=""/>
      <w:lvlJc w:val="left"/>
    </w:lvl>
  </w:abstractNum>
  <w:abstractNum w:abstractNumId="2" w15:restartNumberingAfterBreak="0">
    <w:nsid w:val="00000006"/>
    <w:multiLevelType w:val="hybridMultilevel"/>
    <w:tmpl w:val="3F2DBA30"/>
    <w:lvl w:ilvl="0" w:tplc="B7389082">
      <w:start w:val="1"/>
      <w:numFmt w:val="bullet"/>
      <w:pStyle w:val="ListNumbered"/>
      <w:lvlText w:val="·"/>
      <w:lvlJc w:val="left"/>
    </w:lvl>
    <w:lvl w:ilvl="1" w:tplc="609C9A88">
      <w:start w:val="1"/>
      <w:numFmt w:val="bullet"/>
      <w:lvlText w:val=""/>
      <w:lvlJc w:val="left"/>
    </w:lvl>
    <w:lvl w:ilvl="2" w:tplc="01EAD5DE">
      <w:start w:val="1"/>
      <w:numFmt w:val="bullet"/>
      <w:lvlText w:val=""/>
      <w:lvlJc w:val="left"/>
    </w:lvl>
    <w:lvl w:ilvl="3" w:tplc="38162A60">
      <w:start w:val="1"/>
      <w:numFmt w:val="bullet"/>
      <w:lvlText w:val=""/>
      <w:lvlJc w:val="left"/>
    </w:lvl>
    <w:lvl w:ilvl="4" w:tplc="196477D4">
      <w:start w:val="1"/>
      <w:numFmt w:val="bullet"/>
      <w:lvlText w:val=""/>
      <w:lvlJc w:val="left"/>
    </w:lvl>
    <w:lvl w:ilvl="5" w:tplc="7CE26B60">
      <w:start w:val="1"/>
      <w:numFmt w:val="bullet"/>
      <w:lvlText w:val=""/>
      <w:lvlJc w:val="left"/>
    </w:lvl>
    <w:lvl w:ilvl="6" w:tplc="C33ED5A4">
      <w:start w:val="1"/>
      <w:numFmt w:val="bullet"/>
      <w:lvlText w:val=""/>
      <w:lvlJc w:val="left"/>
    </w:lvl>
    <w:lvl w:ilvl="7" w:tplc="972A9EF0">
      <w:start w:val="1"/>
      <w:numFmt w:val="bullet"/>
      <w:lvlText w:val=""/>
      <w:lvlJc w:val="left"/>
    </w:lvl>
    <w:lvl w:ilvl="8" w:tplc="0BB69F68">
      <w:start w:val="1"/>
      <w:numFmt w:val="bullet"/>
      <w:lvlText w:val=""/>
      <w:lvlJc w:val="left"/>
    </w:lvl>
  </w:abstractNum>
  <w:abstractNum w:abstractNumId="3" w15:restartNumberingAfterBreak="0">
    <w:nsid w:val="00000008"/>
    <w:multiLevelType w:val="multilevel"/>
    <w:tmpl w:val="9458800E"/>
    <w:lvl w:ilvl="0">
      <w:start w:val="1"/>
      <w:numFmt w:val="bullet"/>
      <w:lvlRestart w:val="0"/>
      <w:pStyle w:val="ListAlphabeticalLevel2"/>
      <w:lvlText w:val="-"/>
      <w:lvlJc w:val="left"/>
      <w:pPr>
        <w:tabs>
          <w:tab w:val="num" w:pos="1083"/>
        </w:tabs>
        <w:ind w:left="1083" w:hanging="363"/>
      </w:pPr>
      <w:rPr>
        <w:rFonts w:ascii="Times New Roman" w:hAnsi="Times New Roman" w:cs="Times New Roman" w:hint="default"/>
      </w:rPr>
    </w:lvl>
    <w:lvl w:ilvl="1">
      <w:start w:val="1"/>
      <w:numFmt w:val="bullet"/>
      <w:lvlText w:val="-"/>
      <w:lvlJc w:val="left"/>
      <w:pPr>
        <w:tabs>
          <w:tab w:val="num" w:pos="1440"/>
        </w:tabs>
        <w:ind w:left="1440" w:hanging="357"/>
      </w:pPr>
      <w:rPr>
        <w:rFonts w:ascii="Times New Roman" w:hAnsi="Times New Roman" w:cs="Times New Roman" w:hint="default"/>
      </w:rPr>
    </w:lvl>
    <w:lvl w:ilvl="2">
      <w:start w:val="1"/>
      <w:numFmt w:val="bullet"/>
      <w:lvlText w:val="-"/>
      <w:lvlJc w:val="left"/>
      <w:pPr>
        <w:tabs>
          <w:tab w:val="num" w:pos="1803"/>
        </w:tabs>
        <w:ind w:left="1803" w:hanging="363"/>
      </w:pPr>
      <w:rPr>
        <w:rFonts w:ascii="Times New Roman" w:hAnsi="Times New Roman" w:cs="Times New Roman" w:hint="default"/>
      </w:rPr>
    </w:lvl>
    <w:lvl w:ilvl="3">
      <w:start w:val="1"/>
      <w:numFmt w:val="bullet"/>
      <w:lvlText w:val="-"/>
      <w:lvlJc w:val="left"/>
      <w:pPr>
        <w:tabs>
          <w:tab w:val="num" w:pos="2160"/>
        </w:tabs>
        <w:ind w:left="2160" w:hanging="357"/>
      </w:pPr>
      <w:rPr>
        <w:rFonts w:ascii="Times New Roman" w:hAnsi="Times New Roman" w:cs="Times New Roman" w:hint="default"/>
      </w:rPr>
    </w:lvl>
    <w:lvl w:ilvl="4">
      <w:start w:val="1"/>
      <w:numFmt w:val="bullet"/>
      <w:lvlText w:val="-"/>
      <w:lvlJc w:val="left"/>
      <w:pPr>
        <w:tabs>
          <w:tab w:val="num" w:pos="2523"/>
        </w:tabs>
        <w:ind w:left="2523" w:hanging="363"/>
      </w:pPr>
      <w:rPr>
        <w:rFonts w:ascii="Times New Roman" w:hAnsi="Times New Roman" w:cs="Times New Roman" w:hint="default"/>
      </w:rPr>
    </w:lvl>
    <w:lvl w:ilvl="5">
      <w:start w:val="1"/>
      <w:numFmt w:val="bullet"/>
      <w:lvlText w:val="-"/>
      <w:lvlJc w:val="left"/>
      <w:pPr>
        <w:tabs>
          <w:tab w:val="num" w:pos="2880"/>
        </w:tabs>
        <w:ind w:left="2880" w:hanging="357"/>
      </w:pPr>
      <w:rPr>
        <w:rFonts w:ascii="Times New Roman" w:hAnsi="Times New Roman" w:cs="Times New Roman" w:hint="default"/>
      </w:rPr>
    </w:lvl>
    <w:lvl w:ilvl="6">
      <w:start w:val="1"/>
      <w:numFmt w:val="bullet"/>
      <w:lvlText w:val="-"/>
      <w:lvlJc w:val="left"/>
      <w:pPr>
        <w:tabs>
          <w:tab w:val="num" w:pos="3243"/>
        </w:tabs>
        <w:ind w:left="3243" w:hanging="363"/>
      </w:pPr>
      <w:rPr>
        <w:rFonts w:ascii="Times New Roman" w:hAnsi="Times New Roman" w:cs="Times New Roman" w:hint="default"/>
      </w:rPr>
    </w:lvl>
    <w:lvl w:ilvl="7">
      <w:start w:val="1"/>
      <w:numFmt w:val="bullet"/>
      <w:lvlText w:val="-"/>
      <w:lvlJc w:val="left"/>
      <w:pPr>
        <w:tabs>
          <w:tab w:val="num" w:pos="3600"/>
        </w:tabs>
        <w:ind w:left="3600" w:hanging="357"/>
      </w:pPr>
      <w:rPr>
        <w:rFonts w:ascii="Times New Roman" w:hAnsi="Times New Roman" w:cs="Times New Roman" w:hint="default"/>
      </w:rPr>
    </w:lvl>
    <w:lvl w:ilvl="8">
      <w:start w:val="1"/>
      <w:numFmt w:val="bullet"/>
      <w:lvlText w:val="-"/>
      <w:lvlJc w:val="left"/>
      <w:pPr>
        <w:tabs>
          <w:tab w:val="num" w:pos="3957"/>
        </w:tabs>
        <w:ind w:left="3957" w:hanging="357"/>
      </w:pPr>
      <w:rPr>
        <w:rFonts w:ascii="Times New Roman" w:hAnsi="Times New Roman" w:cs="Times New Roman" w:hint="default"/>
      </w:rPr>
    </w:lvl>
  </w:abstractNum>
  <w:abstractNum w:abstractNumId="4" w15:restartNumberingAfterBreak="0">
    <w:nsid w:val="00000009"/>
    <w:multiLevelType w:val="hybridMultilevel"/>
    <w:tmpl w:val="62BBD95A"/>
    <w:lvl w:ilvl="0" w:tplc="6F5CB970">
      <w:start w:val="1"/>
      <w:numFmt w:val="bullet"/>
      <w:pStyle w:val="ListBullet"/>
      <w:lvlText w:val="·"/>
      <w:lvlJc w:val="left"/>
    </w:lvl>
    <w:lvl w:ilvl="1" w:tplc="A43AE844">
      <w:start w:val="1"/>
      <w:numFmt w:val="bullet"/>
      <w:lvlText w:val=""/>
      <w:lvlJc w:val="left"/>
    </w:lvl>
    <w:lvl w:ilvl="2" w:tplc="2C2AACDC">
      <w:start w:val="1"/>
      <w:numFmt w:val="bullet"/>
      <w:lvlText w:val=""/>
      <w:lvlJc w:val="left"/>
    </w:lvl>
    <w:lvl w:ilvl="3" w:tplc="F4B8C3B4">
      <w:start w:val="1"/>
      <w:numFmt w:val="bullet"/>
      <w:lvlText w:val=""/>
      <w:lvlJc w:val="left"/>
    </w:lvl>
    <w:lvl w:ilvl="4" w:tplc="69D47C36">
      <w:start w:val="1"/>
      <w:numFmt w:val="bullet"/>
      <w:lvlText w:val=""/>
      <w:lvlJc w:val="left"/>
    </w:lvl>
    <w:lvl w:ilvl="5" w:tplc="A740C210">
      <w:start w:val="1"/>
      <w:numFmt w:val="bullet"/>
      <w:lvlText w:val=""/>
      <w:lvlJc w:val="left"/>
    </w:lvl>
    <w:lvl w:ilvl="6" w:tplc="83642A08">
      <w:start w:val="1"/>
      <w:numFmt w:val="bullet"/>
      <w:lvlText w:val=""/>
      <w:lvlJc w:val="left"/>
    </w:lvl>
    <w:lvl w:ilvl="7" w:tplc="FCE21082">
      <w:start w:val="1"/>
      <w:numFmt w:val="bullet"/>
      <w:lvlText w:val=""/>
      <w:lvlJc w:val="left"/>
    </w:lvl>
    <w:lvl w:ilvl="8" w:tplc="A0707394">
      <w:start w:val="1"/>
      <w:numFmt w:val="bullet"/>
      <w:lvlText w:val=""/>
      <w:lvlJc w:val="left"/>
    </w:lvl>
  </w:abstractNum>
  <w:abstractNum w:abstractNumId="5" w15:restartNumberingAfterBreak="0">
    <w:nsid w:val="00000010"/>
    <w:multiLevelType w:val="multilevel"/>
    <w:tmpl w:val="C658B390"/>
    <w:lvl w:ilvl="0">
      <w:start w:val="1"/>
      <w:numFmt w:val="bullet"/>
      <w:lvlRestart w:val="0"/>
      <w:pStyle w:val="ListBulletLevel2"/>
      <w:lvlText w:val="-"/>
      <w:lvlJc w:val="left"/>
      <w:pPr>
        <w:tabs>
          <w:tab w:val="num" w:pos="363"/>
        </w:tabs>
        <w:ind w:left="363" w:hanging="363"/>
      </w:pPr>
      <w:rPr>
        <w:rFonts w:ascii="Times New Roman" w:hAnsi="Times New Roman" w:cs="Times New Roman" w:hint="default"/>
      </w:rPr>
    </w:lvl>
    <w:lvl w:ilvl="1">
      <w:start w:val="1"/>
      <w:numFmt w:val="bullet"/>
      <w:lvlText w:val="-"/>
      <w:lvlJc w:val="left"/>
      <w:pPr>
        <w:tabs>
          <w:tab w:val="num" w:pos="720"/>
        </w:tabs>
        <w:ind w:left="720" w:hanging="357"/>
      </w:pPr>
      <w:rPr>
        <w:rFonts w:ascii="Times New Roman" w:hAnsi="Times New Roman" w:cs="Times New Roman" w:hint="default"/>
      </w:rPr>
    </w:lvl>
    <w:lvl w:ilvl="2">
      <w:start w:val="1"/>
      <w:numFmt w:val="bullet"/>
      <w:lvlText w:val="-"/>
      <w:lvlJc w:val="left"/>
      <w:pPr>
        <w:tabs>
          <w:tab w:val="num" w:pos="1083"/>
        </w:tabs>
        <w:ind w:left="1083" w:hanging="363"/>
      </w:pPr>
      <w:rPr>
        <w:rFonts w:ascii="Times New Roman" w:hAnsi="Times New Roman" w:cs="Times New Roman" w:hint="default"/>
      </w:rPr>
    </w:lvl>
    <w:lvl w:ilvl="3">
      <w:start w:val="1"/>
      <w:numFmt w:val="bullet"/>
      <w:lvlText w:val="-"/>
      <w:lvlJc w:val="left"/>
      <w:pPr>
        <w:tabs>
          <w:tab w:val="num" w:pos="1440"/>
        </w:tabs>
        <w:ind w:left="1440" w:hanging="357"/>
      </w:pPr>
      <w:rPr>
        <w:rFonts w:ascii="Times New Roman" w:hAnsi="Times New Roman" w:cs="Times New Roman" w:hint="default"/>
      </w:rPr>
    </w:lvl>
    <w:lvl w:ilvl="4">
      <w:start w:val="1"/>
      <w:numFmt w:val="bullet"/>
      <w:lvlText w:val="-"/>
      <w:lvlJc w:val="left"/>
      <w:pPr>
        <w:tabs>
          <w:tab w:val="num" w:pos="1803"/>
        </w:tabs>
        <w:ind w:left="1803" w:hanging="363"/>
      </w:pPr>
      <w:rPr>
        <w:rFonts w:ascii="Times New Roman" w:hAnsi="Times New Roman" w:cs="Times New Roman" w:hint="default"/>
      </w:rPr>
    </w:lvl>
    <w:lvl w:ilvl="5">
      <w:start w:val="1"/>
      <w:numFmt w:val="bullet"/>
      <w:lvlText w:val="-"/>
      <w:lvlJc w:val="left"/>
      <w:pPr>
        <w:tabs>
          <w:tab w:val="num" w:pos="2160"/>
        </w:tabs>
        <w:ind w:left="2160" w:hanging="357"/>
      </w:pPr>
      <w:rPr>
        <w:rFonts w:ascii="Times New Roman" w:hAnsi="Times New Roman" w:cs="Times New Roman" w:hint="default"/>
      </w:rPr>
    </w:lvl>
    <w:lvl w:ilvl="6">
      <w:start w:val="1"/>
      <w:numFmt w:val="bullet"/>
      <w:lvlText w:val="-"/>
      <w:lvlJc w:val="left"/>
      <w:pPr>
        <w:tabs>
          <w:tab w:val="num" w:pos="2523"/>
        </w:tabs>
        <w:ind w:left="2523" w:hanging="363"/>
      </w:pPr>
      <w:rPr>
        <w:rFonts w:ascii="Times New Roman" w:hAnsi="Times New Roman" w:cs="Times New Roman" w:hint="default"/>
      </w:rPr>
    </w:lvl>
    <w:lvl w:ilvl="7">
      <w:start w:val="1"/>
      <w:numFmt w:val="bullet"/>
      <w:lvlText w:val="-"/>
      <w:lvlJc w:val="left"/>
      <w:pPr>
        <w:tabs>
          <w:tab w:val="num" w:pos="2880"/>
        </w:tabs>
        <w:ind w:left="2880" w:hanging="357"/>
      </w:pPr>
      <w:rPr>
        <w:rFonts w:ascii="Times New Roman" w:hAnsi="Times New Roman" w:cs="Times New Roman" w:hint="default"/>
      </w:rPr>
    </w:lvl>
    <w:lvl w:ilvl="8">
      <w:start w:val="1"/>
      <w:numFmt w:val="bullet"/>
      <w:lvlText w:val="-"/>
      <w:lvlJc w:val="left"/>
      <w:pPr>
        <w:tabs>
          <w:tab w:val="num" w:pos="3237"/>
        </w:tabs>
        <w:ind w:left="3237" w:hanging="357"/>
      </w:pPr>
      <w:rPr>
        <w:rFonts w:ascii="Times New Roman" w:hAnsi="Times New Roman" w:cs="Times New Roman" w:hint="default"/>
      </w:rPr>
    </w:lvl>
  </w:abstractNum>
  <w:abstractNum w:abstractNumId="6" w15:restartNumberingAfterBreak="0">
    <w:nsid w:val="0C0268D4"/>
    <w:multiLevelType w:val="multilevel"/>
    <w:tmpl w:val="2C82DE68"/>
    <w:name w:val="LT_Heading"/>
    <w:lvl w:ilvl="0">
      <w:start w:val="1"/>
      <w:numFmt w:val="decimal"/>
      <w:lvlRestart w:val="0"/>
      <w:pStyle w:val="Heading1"/>
      <w:lvlText w:val="%1"/>
      <w:lvlJc w:val="left"/>
      <w:pPr>
        <w:tabs>
          <w:tab w:val="num" w:pos="680"/>
        </w:tabs>
        <w:ind w:left="680" w:hanging="680"/>
      </w:pPr>
    </w:lvl>
    <w:lvl w:ilvl="1">
      <w:start w:val="1"/>
      <w:numFmt w:val="decimal"/>
      <w:pStyle w:val="Heading2"/>
      <w:lvlText w:val="%1.%2"/>
      <w:lvlJc w:val="left"/>
      <w:pPr>
        <w:tabs>
          <w:tab w:val="num" w:pos="6633"/>
        </w:tabs>
        <w:ind w:left="6633" w:hanging="680"/>
      </w:pPr>
    </w:lvl>
    <w:lvl w:ilvl="2">
      <w:start w:val="1"/>
      <w:numFmt w:val="decimal"/>
      <w:pStyle w:val="Heading3"/>
      <w:lvlText w:val="%1.%2.%3"/>
      <w:lvlJc w:val="left"/>
      <w:pPr>
        <w:tabs>
          <w:tab w:val="num" w:pos="680"/>
        </w:tabs>
        <w:ind w:left="680" w:hanging="680"/>
      </w:pPr>
    </w:lvl>
    <w:lvl w:ilvl="3">
      <w:start w:val="1"/>
      <w:numFmt w:val="decimal"/>
      <w:pStyle w:val="Heading4"/>
      <w:lvlText w:val="%1.%2.%3.%4"/>
      <w:lvlJc w:val="left"/>
      <w:pPr>
        <w:tabs>
          <w:tab w:val="num" w:pos="862"/>
        </w:tabs>
        <w:ind w:left="862" w:hanging="862"/>
      </w:pPr>
    </w:lvl>
    <w:lvl w:ilvl="4">
      <w:start w:val="1"/>
      <w:numFmt w:val="decimal"/>
      <w:pStyle w:val="Heading5"/>
      <w:lvlText w:val="%1.%2.%3.%4.%5"/>
      <w:lvlJc w:val="left"/>
      <w:pPr>
        <w:tabs>
          <w:tab w:val="num" w:pos="1009"/>
        </w:tabs>
        <w:ind w:left="1009" w:hanging="1009"/>
      </w:pPr>
    </w:lvl>
    <w:lvl w:ilvl="5">
      <w:start w:val="1"/>
      <w:numFmt w:val="decimal"/>
      <w:pStyle w:val="Heading6"/>
      <w:lvlText w:val="%1.%2.%3.%4.%5.%6"/>
      <w:lvlJc w:val="left"/>
      <w:pPr>
        <w:tabs>
          <w:tab w:val="num" w:pos="1151"/>
        </w:tabs>
        <w:ind w:left="1151" w:hanging="1151"/>
      </w:pPr>
    </w:lvl>
    <w:lvl w:ilvl="6">
      <w:start w:val="1"/>
      <w:numFmt w:val="decimal"/>
      <w:pStyle w:val="Heading7"/>
      <w:lvlText w:val="%1.%2.%3.%4.%5.%6.%7"/>
      <w:lvlJc w:val="left"/>
      <w:pPr>
        <w:tabs>
          <w:tab w:val="num" w:pos="1298"/>
        </w:tabs>
        <w:ind w:left="1298" w:hanging="1298"/>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2"/>
        </w:tabs>
        <w:ind w:left="1582" w:hanging="1582"/>
      </w:pPr>
    </w:lvl>
  </w:abstractNum>
  <w:abstractNum w:abstractNumId="7" w15:restartNumberingAfterBreak="0">
    <w:nsid w:val="332312CF"/>
    <w:multiLevelType w:val="multilevel"/>
    <w:tmpl w:val="AAEC9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717D86"/>
    <w:multiLevelType w:val="hybridMultilevel"/>
    <w:tmpl w:val="C59A5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5D0C7E"/>
    <w:multiLevelType w:val="hybridMultilevel"/>
    <w:tmpl w:val="6FF8FD90"/>
    <w:lvl w:ilvl="0" w:tplc="A22855AE">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5866962"/>
    <w:multiLevelType w:val="hybridMultilevel"/>
    <w:tmpl w:val="499C3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974F7E"/>
    <w:multiLevelType w:val="hybridMultilevel"/>
    <w:tmpl w:val="CB1A2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5799152">
    <w:abstractNumId w:val="0"/>
  </w:num>
  <w:num w:numId="2" w16cid:durableId="1121725112">
    <w:abstractNumId w:val="1"/>
  </w:num>
  <w:num w:numId="3" w16cid:durableId="1811819960">
    <w:abstractNumId w:val="2"/>
  </w:num>
  <w:num w:numId="4" w16cid:durableId="1620380548">
    <w:abstractNumId w:val="3"/>
  </w:num>
  <w:num w:numId="5" w16cid:durableId="706417552">
    <w:abstractNumId w:val="4"/>
  </w:num>
  <w:num w:numId="6" w16cid:durableId="57289017">
    <w:abstractNumId w:val="5"/>
  </w:num>
  <w:num w:numId="7" w16cid:durableId="304509302">
    <w:abstractNumId w:val="6"/>
  </w:num>
  <w:num w:numId="8" w16cid:durableId="582379553">
    <w:abstractNumId w:val="10"/>
  </w:num>
  <w:num w:numId="9" w16cid:durableId="773787412">
    <w:abstractNumId w:val="7"/>
  </w:num>
  <w:num w:numId="10" w16cid:durableId="283200775">
    <w:abstractNumId w:val="8"/>
  </w:num>
  <w:num w:numId="11" w16cid:durableId="2134711528">
    <w:abstractNumId w:val="9"/>
  </w:num>
  <w:num w:numId="12" w16cid:durableId="323359256">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7B6"/>
    <w:rsid w:val="00000E52"/>
    <w:rsid w:val="00001259"/>
    <w:rsid w:val="00001332"/>
    <w:rsid w:val="0000133E"/>
    <w:rsid w:val="000022BF"/>
    <w:rsid w:val="00004838"/>
    <w:rsid w:val="00006663"/>
    <w:rsid w:val="00011CF7"/>
    <w:rsid w:val="00015033"/>
    <w:rsid w:val="00016DA7"/>
    <w:rsid w:val="0002378F"/>
    <w:rsid w:val="000339D8"/>
    <w:rsid w:val="00035467"/>
    <w:rsid w:val="00037235"/>
    <w:rsid w:val="00037858"/>
    <w:rsid w:val="0004260D"/>
    <w:rsid w:val="0004689E"/>
    <w:rsid w:val="00046A9C"/>
    <w:rsid w:val="0005453E"/>
    <w:rsid w:val="000700B0"/>
    <w:rsid w:val="00070454"/>
    <w:rsid w:val="000712B2"/>
    <w:rsid w:val="000717A6"/>
    <w:rsid w:val="00075240"/>
    <w:rsid w:val="0007794B"/>
    <w:rsid w:val="00077EF6"/>
    <w:rsid w:val="000819ED"/>
    <w:rsid w:val="00082283"/>
    <w:rsid w:val="00083B9A"/>
    <w:rsid w:val="00083DA3"/>
    <w:rsid w:val="00084627"/>
    <w:rsid w:val="00084852"/>
    <w:rsid w:val="0008588D"/>
    <w:rsid w:val="00090751"/>
    <w:rsid w:val="00093471"/>
    <w:rsid w:val="00095EAE"/>
    <w:rsid w:val="0009713A"/>
    <w:rsid w:val="000A54EF"/>
    <w:rsid w:val="000A5CBE"/>
    <w:rsid w:val="000A7393"/>
    <w:rsid w:val="000A7C29"/>
    <w:rsid w:val="000B2D3E"/>
    <w:rsid w:val="000B2F53"/>
    <w:rsid w:val="000B5879"/>
    <w:rsid w:val="000B5CE2"/>
    <w:rsid w:val="000B5E88"/>
    <w:rsid w:val="000C202E"/>
    <w:rsid w:val="000C6A97"/>
    <w:rsid w:val="000D1907"/>
    <w:rsid w:val="000D1AF2"/>
    <w:rsid w:val="000E1E0D"/>
    <w:rsid w:val="000E37DF"/>
    <w:rsid w:val="000E7A3B"/>
    <w:rsid w:val="000F2667"/>
    <w:rsid w:val="000F5B9E"/>
    <w:rsid w:val="00102638"/>
    <w:rsid w:val="001041C3"/>
    <w:rsid w:val="00105F4C"/>
    <w:rsid w:val="00111EB2"/>
    <w:rsid w:val="00115020"/>
    <w:rsid w:val="00121F85"/>
    <w:rsid w:val="001238CD"/>
    <w:rsid w:val="00124389"/>
    <w:rsid w:val="00126265"/>
    <w:rsid w:val="00126D18"/>
    <w:rsid w:val="00130620"/>
    <w:rsid w:val="00133C54"/>
    <w:rsid w:val="00141812"/>
    <w:rsid w:val="00141C9F"/>
    <w:rsid w:val="00141E6E"/>
    <w:rsid w:val="001468A9"/>
    <w:rsid w:val="00150D6E"/>
    <w:rsid w:val="00153AB8"/>
    <w:rsid w:val="001613A7"/>
    <w:rsid w:val="001624F4"/>
    <w:rsid w:val="001663D9"/>
    <w:rsid w:val="00167C93"/>
    <w:rsid w:val="00172302"/>
    <w:rsid w:val="00173488"/>
    <w:rsid w:val="00182B00"/>
    <w:rsid w:val="0019275E"/>
    <w:rsid w:val="00193322"/>
    <w:rsid w:val="0019359B"/>
    <w:rsid w:val="001958BC"/>
    <w:rsid w:val="00196085"/>
    <w:rsid w:val="001A2029"/>
    <w:rsid w:val="001A542E"/>
    <w:rsid w:val="001A5E85"/>
    <w:rsid w:val="001A666B"/>
    <w:rsid w:val="001A7657"/>
    <w:rsid w:val="001B04B1"/>
    <w:rsid w:val="001B6676"/>
    <w:rsid w:val="001C168D"/>
    <w:rsid w:val="001C72EA"/>
    <w:rsid w:val="001D2D8F"/>
    <w:rsid w:val="001E025C"/>
    <w:rsid w:val="001E3B96"/>
    <w:rsid w:val="001E5098"/>
    <w:rsid w:val="001F7DCF"/>
    <w:rsid w:val="002003CA"/>
    <w:rsid w:val="002033D8"/>
    <w:rsid w:val="00206D53"/>
    <w:rsid w:val="0021157D"/>
    <w:rsid w:val="00212425"/>
    <w:rsid w:val="00213E7A"/>
    <w:rsid w:val="00221539"/>
    <w:rsid w:val="002216CA"/>
    <w:rsid w:val="00222CF3"/>
    <w:rsid w:val="00225FBC"/>
    <w:rsid w:val="002326FA"/>
    <w:rsid w:val="00235FF8"/>
    <w:rsid w:val="00237F75"/>
    <w:rsid w:val="00255663"/>
    <w:rsid w:val="0025746D"/>
    <w:rsid w:val="0026307F"/>
    <w:rsid w:val="0027282F"/>
    <w:rsid w:val="0027786D"/>
    <w:rsid w:val="00277F37"/>
    <w:rsid w:val="00281E08"/>
    <w:rsid w:val="002842BC"/>
    <w:rsid w:val="00284D84"/>
    <w:rsid w:val="002850AD"/>
    <w:rsid w:val="00285925"/>
    <w:rsid w:val="00286936"/>
    <w:rsid w:val="0029095F"/>
    <w:rsid w:val="00290B90"/>
    <w:rsid w:val="00293BCE"/>
    <w:rsid w:val="00294C1D"/>
    <w:rsid w:val="00295584"/>
    <w:rsid w:val="00297913"/>
    <w:rsid w:val="002A2D13"/>
    <w:rsid w:val="002A6D8E"/>
    <w:rsid w:val="002A6FEA"/>
    <w:rsid w:val="002A757A"/>
    <w:rsid w:val="002B31D4"/>
    <w:rsid w:val="002B3896"/>
    <w:rsid w:val="002B43BB"/>
    <w:rsid w:val="002B5FD1"/>
    <w:rsid w:val="002B6831"/>
    <w:rsid w:val="002B6F41"/>
    <w:rsid w:val="002C2C53"/>
    <w:rsid w:val="002C3BAA"/>
    <w:rsid w:val="002C3E4A"/>
    <w:rsid w:val="002D3BC0"/>
    <w:rsid w:val="002D512F"/>
    <w:rsid w:val="002E236E"/>
    <w:rsid w:val="002E4C34"/>
    <w:rsid w:val="002F392E"/>
    <w:rsid w:val="002F4F17"/>
    <w:rsid w:val="002F57BA"/>
    <w:rsid w:val="002F6F89"/>
    <w:rsid w:val="003002EE"/>
    <w:rsid w:val="00301BA5"/>
    <w:rsid w:val="00303530"/>
    <w:rsid w:val="003052AF"/>
    <w:rsid w:val="0031188C"/>
    <w:rsid w:val="00312C44"/>
    <w:rsid w:val="00313DA2"/>
    <w:rsid w:val="00315FA2"/>
    <w:rsid w:val="0032289F"/>
    <w:rsid w:val="00325D19"/>
    <w:rsid w:val="00326E65"/>
    <w:rsid w:val="00334F8F"/>
    <w:rsid w:val="003446CD"/>
    <w:rsid w:val="00346F3C"/>
    <w:rsid w:val="003522F7"/>
    <w:rsid w:val="00354CDB"/>
    <w:rsid w:val="0035666A"/>
    <w:rsid w:val="00357194"/>
    <w:rsid w:val="00366A5C"/>
    <w:rsid w:val="00371234"/>
    <w:rsid w:val="0037353A"/>
    <w:rsid w:val="0038025A"/>
    <w:rsid w:val="0038775A"/>
    <w:rsid w:val="0039079C"/>
    <w:rsid w:val="003907E6"/>
    <w:rsid w:val="00390F4D"/>
    <w:rsid w:val="003963AA"/>
    <w:rsid w:val="00397CD0"/>
    <w:rsid w:val="003A1904"/>
    <w:rsid w:val="003A3613"/>
    <w:rsid w:val="003A3839"/>
    <w:rsid w:val="003A6222"/>
    <w:rsid w:val="003A7E89"/>
    <w:rsid w:val="003B35E3"/>
    <w:rsid w:val="003B3F99"/>
    <w:rsid w:val="003B45D4"/>
    <w:rsid w:val="003B61A8"/>
    <w:rsid w:val="003B7375"/>
    <w:rsid w:val="003B7A90"/>
    <w:rsid w:val="003C3E60"/>
    <w:rsid w:val="003C7E5F"/>
    <w:rsid w:val="003D153D"/>
    <w:rsid w:val="003D55F8"/>
    <w:rsid w:val="003E274E"/>
    <w:rsid w:val="003E28BC"/>
    <w:rsid w:val="003E3860"/>
    <w:rsid w:val="003E4B29"/>
    <w:rsid w:val="003E6BC0"/>
    <w:rsid w:val="003E6C59"/>
    <w:rsid w:val="003F1264"/>
    <w:rsid w:val="003F5E44"/>
    <w:rsid w:val="003F6332"/>
    <w:rsid w:val="0040258F"/>
    <w:rsid w:val="00404EC0"/>
    <w:rsid w:val="004050E8"/>
    <w:rsid w:val="0040639D"/>
    <w:rsid w:val="00410012"/>
    <w:rsid w:val="00414A94"/>
    <w:rsid w:val="0041759D"/>
    <w:rsid w:val="004215C6"/>
    <w:rsid w:val="00422C1F"/>
    <w:rsid w:val="004238E6"/>
    <w:rsid w:val="00426E1A"/>
    <w:rsid w:val="0042731D"/>
    <w:rsid w:val="0044354C"/>
    <w:rsid w:val="00445132"/>
    <w:rsid w:val="004456E7"/>
    <w:rsid w:val="004461CB"/>
    <w:rsid w:val="004503C9"/>
    <w:rsid w:val="0045294C"/>
    <w:rsid w:val="00452973"/>
    <w:rsid w:val="00453043"/>
    <w:rsid w:val="00453FFA"/>
    <w:rsid w:val="0045672D"/>
    <w:rsid w:val="004572E5"/>
    <w:rsid w:val="00461FCF"/>
    <w:rsid w:val="00465EA9"/>
    <w:rsid w:val="004752DC"/>
    <w:rsid w:val="0048377C"/>
    <w:rsid w:val="0048437D"/>
    <w:rsid w:val="00492E34"/>
    <w:rsid w:val="00492F26"/>
    <w:rsid w:val="00496666"/>
    <w:rsid w:val="004A0F62"/>
    <w:rsid w:val="004A160A"/>
    <w:rsid w:val="004A7998"/>
    <w:rsid w:val="004B425F"/>
    <w:rsid w:val="004C0C38"/>
    <w:rsid w:val="004C1816"/>
    <w:rsid w:val="004D09F7"/>
    <w:rsid w:val="004D512E"/>
    <w:rsid w:val="004D52B7"/>
    <w:rsid w:val="004E164D"/>
    <w:rsid w:val="004E1B46"/>
    <w:rsid w:val="004E3A0F"/>
    <w:rsid w:val="004F1996"/>
    <w:rsid w:val="004F2BC9"/>
    <w:rsid w:val="004F2D83"/>
    <w:rsid w:val="004F523F"/>
    <w:rsid w:val="004F7BBB"/>
    <w:rsid w:val="00501227"/>
    <w:rsid w:val="005046A9"/>
    <w:rsid w:val="0050473D"/>
    <w:rsid w:val="00504DD1"/>
    <w:rsid w:val="005100BB"/>
    <w:rsid w:val="00510CAC"/>
    <w:rsid w:val="005122FF"/>
    <w:rsid w:val="005123A1"/>
    <w:rsid w:val="005159B8"/>
    <w:rsid w:val="005203F6"/>
    <w:rsid w:val="00524D00"/>
    <w:rsid w:val="0053075C"/>
    <w:rsid w:val="005307DC"/>
    <w:rsid w:val="00530F6F"/>
    <w:rsid w:val="00532D27"/>
    <w:rsid w:val="005438F5"/>
    <w:rsid w:val="005547D7"/>
    <w:rsid w:val="00555145"/>
    <w:rsid w:val="0055524D"/>
    <w:rsid w:val="0055601E"/>
    <w:rsid w:val="00556D95"/>
    <w:rsid w:val="0055703C"/>
    <w:rsid w:val="00560E79"/>
    <w:rsid w:val="005616FD"/>
    <w:rsid w:val="005647F4"/>
    <w:rsid w:val="005730D5"/>
    <w:rsid w:val="00573455"/>
    <w:rsid w:val="005750A9"/>
    <w:rsid w:val="005805C7"/>
    <w:rsid w:val="0058075B"/>
    <w:rsid w:val="00586F14"/>
    <w:rsid w:val="005A0C59"/>
    <w:rsid w:val="005A1EE7"/>
    <w:rsid w:val="005A3BF5"/>
    <w:rsid w:val="005B0E93"/>
    <w:rsid w:val="005B4887"/>
    <w:rsid w:val="005B53EA"/>
    <w:rsid w:val="005B5457"/>
    <w:rsid w:val="005E05F4"/>
    <w:rsid w:val="005E3646"/>
    <w:rsid w:val="005E5089"/>
    <w:rsid w:val="005F0EC0"/>
    <w:rsid w:val="005F7046"/>
    <w:rsid w:val="00612423"/>
    <w:rsid w:val="006161CB"/>
    <w:rsid w:val="006168F5"/>
    <w:rsid w:val="00620460"/>
    <w:rsid w:val="0062082C"/>
    <w:rsid w:val="00620E7A"/>
    <w:rsid w:val="006220ED"/>
    <w:rsid w:val="00632544"/>
    <w:rsid w:val="00634485"/>
    <w:rsid w:val="00634EBF"/>
    <w:rsid w:val="0064064D"/>
    <w:rsid w:val="0064104C"/>
    <w:rsid w:val="00642014"/>
    <w:rsid w:val="00644006"/>
    <w:rsid w:val="0064733F"/>
    <w:rsid w:val="0065001B"/>
    <w:rsid w:val="00656161"/>
    <w:rsid w:val="00661109"/>
    <w:rsid w:val="00661390"/>
    <w:rsid w:val="00672FA9"/>
    <w:rsid w:val="006751F2"/>
    <w:rsid w:val="00680D9E"/>
    <w:rsid w:val="006854A2"/>
    <w:rsid w:val="00687A95"/>
    <w:rsid w:val="0069332B"/>
    <w:rsid w:val="0069374C"/>
    <w:rsid w:val="0069381A"/>
    <w:rsid w:val="00694C58"/>
    <w:rsid w:val="0069618E"/>
    <w:rsid w:val="00696E06"/>
    <w:rsid w:val="00697FCF"/>
    <w:rsid w:val="006A1ECA"/>
    <w:rsid w:val="006A2709"/>
    <w:rsid w:val="006A27EE"/>
    <w:rsid w:val="006A3FE5"/>
    <w:rsid w:val="006B1413"/>
    <w:rsid w:val="006B2C83"/>
    <w:rsid w:val="006B4A37"/>
    <w:rsid w:val="006C0C47"/>
    <w:rsid w:val="006C3CBC"/>
    <w:rsid w:val="006C771E"/>
    <w:rsid w:val="006C7F98"/>
    <w:rsid w:val="006D07C0"/>
    <w:rsid w:val="006D0FE5"/>
    <w:rsid w:val="006D62E3"/>
    <w:rsid w:val="006D6417"/>
    <w:rsid w:val="006E1C79"/>
    <w:rsid w:val="006E2DB0"/>
    <w:rsid w:val="006E3E0D"/>
    <w:rsid w:val="006E566B"/>
    <w:rsid w:val="006F274A"/>
    <w:rsid w:val="006F4685"/>
    <w:rsid w:val="006F6046"/>
    <w:rsid w:val="006F7BCB"/>
    <w:rsid w:val="00702A32"/>
    <w:rsid w:val="00704823"/>
    <w:rsid w:val="00704FCF"/>
    <w:rsid w:val="007107B1"/>
    <w:rsid w:val="007120F8"/>
    <w:rsid w:val="00714118"/>
    <w:rsid w:val="00720609"/>
    <w:rsid w:val="00721A05"/>
    <w:rsid w:val="00721FE5"/>
    <w:rsid w:val="0072208E"/>
    <w:rsid w:val="00723629"/>
    <w:rsid w:val="00725059"/>
    <w:rsid w:val="00726FD7"/>
    <w:rsid w:val="007275A8"/>
    <w:rsid w:val="007310ED"/>
    <w:rsid w:val="00735384"/>
    <w:rsid w:val="007364E0"/>
    <w:rsid w:val="007377FA"/>
    <w:rsid w:val="007404BD"/>
    <w:rsid w:val="00740642"/>
    <w:rsid w:val="007456BA"/>
    <w:rsid w:val="007470DA"/>
    <w:rsid w:val="00750084"/>
    <w:rsid w:val="00751838"/>
    <w:rsid w:val="00757177"/>
    <w:rsid w:val="00757894"/>
    <w:rsid w:val="00761728"/>
    <w:rsid w:val="0076591D"/>
    <w:rsid w:val="00770640"/>
    <w:rsid w:val="007717C7"/>
    <w:rsid w:val="0077493B"/>
    <w:rsid w:val="007811F0"/>
    <w:rsid w:val="0078336C"/>
    <w:rsid w:val="00790C1D"/>
    <w:rsid w:val="0079109C"/>
    <w:rsid w:val="00796238"/>
    <w:rsid w:val="007A1105"/>
    <w:rsid w:val="007A4A76"/>
    <w:rsid w:val="007B6720"/>
    <w:rsid w:val="007B7880"/>
    <w:rsid w:val="007C2322"/>
    <w:rsid w:val="007C2454"/>
    <w:rsid w:val="007C3C9A"/>
    <w:rsid w:val="007C560D"/>
    <w:rsid w:val="007D046A"/>
    <w:rsid w:val="007D072E"/>
    <w:rsid w:val="007D23C0"/>
    <w:rsid w:val="007D6CF9"/>
    <w:rsid w:val="007E09E3"/>
    <w:rsid w:val="007E1216"/>
    <w:rsid w:val="007E4120"/>
    <w:rsid w:val="007E4797"/>
    <w:rsid w:val="007F0C63"/>
    <w:rsid w:val="007F0CC0"/>
    <w:rsid w:val="007F121A"/>
    <w:rsid w:val="007F3C37"/>
    <w:rsid w:val="007F415C"/>
    <w:rsid w:val="007F470A"/>
    <w:rsid w:val="007F50CD"/>
    <w:rsid w:val="007F6635"/>
    <w:rsid w:val="00803819"/>
    <w:rsid w:val="00803B5A"/>
    <w:rsid w:val="008136F6"/>
    <w:rsid w:val="00817920"/>
    <w:rsid w:val="00817E48"/>
    <w:rsid w:val="008204EF"/>
    <w:rsid w:val="0082274D"/>
    <w:rsid w:val="00826CE8"/>
    <w:rsid w:val="008306E7"/>
    <w:rsid w:val="00831F72"/>
    <w:rsid w:val="00832D99"/>
    <w:rsid w:val="00840662"/>
    <w:rsid w:val="00841AB2"/>
    <w:rsid w:val="008438F1"/>
    <w:rsid w:val="00843FA1"/>
    <w:rsid w:val="008451AE"/>
    <w:rsid w:val="008465DE"/>
    <w:rsid w:val="0085196E"/>
    <w:rsid w:val="0086535A"/>
    <w:rsid w:val="008702F2"/>
    <w:rsid w:val="00874D5E"/>
    <w:rsid w:val="0087503D"/>
    <w:rsid w:val="00875EB1"/>
    <w:rsid w:val="0087712D"/>
    <w:rsid w:val="00877397"/>
    <w:rsid w:val="00880744"/>
    <w:rsid w:val="00885290"/>
    <w:rsid w:val="00890C13"/>
    <w:rsid w:val="00892F70"/>
    <w:rsid w:val="00895542"/>
    <w:rsid w:val="008A0618"/>
    <w:rsid w:val="008A0AFE"/>
    <w:rsid w:val="008A7571"/>
    <w:rsid w:val="008B22FD"/>
    <w:rsid w:val="008C0871"/>
    <w:rsid w:val="008D003F"/>
    <w:rsid w:val="008D0280"/>
    <w:rsid w:val="008D52F8"/>
    <w:rsid w:val="008E1604"/>
    <w:rsid w:val="008E4A7E"/>
    <w:rsid w:val="008F2572"/>
    <w:rsid w:val="008F298A"/>
    <w:rsid w:val="008F45B9"/>
    <w:rsid w:val="00900FE7"/>
    <w:rsid w:val="009029B5"/>
    <w:rsid w:val="00903C83"/>
    <w:rsid w:val="00906677"/>
    <w:rsid w:val="009070D1"/>
    <w:rsid w:val="00913415"/>
    <w:rsid w:val="00914273"/>
    <w:rsid w:val="00922B4D"/>
    <w:rsid w:val="00923631"/>
    <w:rsid w:val="00932F07"/>
    <w:rsid w:val="00933543"/>
    <w:rsid w:val="00933716"/>
    <w:rsid w:val="0093476B"/>
    <w:rsid w:val="00934C01"/>
    <w:rsid w:val="0093753F"/>
    <w:rsid w:val="009416BB"/>
    <w:rsid w:val="00944393"/>
    <w:rsid w:val="00947EFB"/>
    <w:rsid w:val="00952D8C"/>
    <w:rsid w:val="009545E5"/>
    <w:rsid w:val="009613CE"/>
    <w:rsid w:val="00962DD7"/>
    <w:rsid w:val="009651FC"/>
    <w:rsid w:val="00967BC2"/>
    <w:rsid w:val="00974766"/>
    <w:rsid w:val="00974B45"/>
    <w:rsid w:val="00977EB2"/>
    <w:rsid w:val="00984E3B"/>
    <w:rsid w:val="00984E77"/>
    <w:rsid w:val="009878E2"/>
    <w:rsid w:val="00987BAA"/>
    <w:rsid w:val="0099210F"/>
    <w:rsid w:val="009966C6"/>
    <w:rsid w:val="009A13E7"/>
    <w:rsid w:val="009B2E7B"/>
    <w:rsid w:val="009C4565"/>
    <w:rsid w:val="009C4D0C"/>
    <w:rsid w:val="009C56E8"/>
    <w:rsid w:val="009D0FE4"/>
    <w:rsid w:val="009D136D"/>
    <w:rsid w:val="009D60E8"/>
    <w:rsid w:val="009D6406"/>
    <w:rsid w:val="009E3A76"/>
    <w:rsid w:val="009F0A9D"/>
    <w:rsid w:val="009F2655"/>
    <w:rsid w:val="009F5376"/>
    <w:rsid w:val="009F662B"/>
    <w:rsid w:val="00A00D1F"/>
    <w:rsid w:val="00A03B57"/>
    <w:rsid w:val="00A06084"/>
    <w:rsid w:val="00A075EF"/>
    <w:rsid w:val="00A114B2"/>
    <w:rsid w:val="00A12F46"/>
    <w:rsid w:val="00A2064E"/>
    <w:rsid w:val="00A2141F"/>
    <w:rsid w:val="00A229C1"/>
    <w:rsid w:val="00A23E60"/>
    <w:rsid w:val="00A24B60"/>
    <w:rsid w:val="00A317DC"/>
    <w:rsid w:val="00A34064"/>
    <w:rsid w:val="00A3471C"/>
    <w:rsid w:val="00A353C4"/>
    <w:rsid w:val="00A37EFE"/>
    <w:rsid w:val="00A4747A"/>
    <w:rsid w:val="00A47C83"/>
    <w:rsid w:val="00A50767"/>
    <w:rsid w:val="00A5417C"/>
    <w:rsid w:val="00A5717D"/>
    <w:rsid w:val="00A61436"/>
    <w:rsid w:val="00A61C52"/>
    <w:rsid w:val="00A624F7"/>
    <w:rsid w:val="00A650A6"/>
    <w:rsid w:val="00A66E18"/>
    <w:rsid w:val="00A72039"/>
    <w:rsid w:val="00A7342F"/>
    <w:rsid w:val="00A7374A"/>
    <w:rsid w:val="00A806EE"/>
    <w:rsid w:val="00A827AA"/>
    <w:rsid w:val="00A84E0A"/>
    <w:rsid w:val="00A85141"/>
    <w:rsid w:val="00A857B6"/>
    <w:rsid w:val="00A86226"/>
    <w:rsid w:val="00A951BA"/>
    <w:rsid w:val="00AA0E25"/>
    <w:rsid w:val="00AA2629"/>
    <w:rsid w:val="00AA2865"/>
    <w:rsid w:val="00AB648C"/>
    <w:rsid w:val="00AC159C"/>
    <w:rsid w:val="00AC2C40"/>
    <w:rsid w:val="00AC4EE1"/>
    <w:rsid w:val="00AC506A"/>
    <w:rsid w:val="00AE0DF2"/>
    <w:rsid w:val="00B005BA"/>
    <w:rsid w:val="00B0639E"/>
    <w:rsid w:val="00B12C4F"/>
    <w:rsid w:val="00B23C4C"/>
    <w:rsid w:val="00B26EE2"/>
    <w:rsid w:val="00B27025"/>
    <w:rsid w:val="00B27B47"/>
    <w:rsid w:val="00B31C96"/>
    <w:rsid w:val="00B369BA"/>
    <w:rsid w:val="00B36A97"/>
    <w:rsid w:val="00B42024"/>
    <w:rsid w:val="00B45438"/>
    <w:rsid w:val="00B50D95"/>
    <w:rsid w:val="00B514EC"/>
    <w:rsid w:val="00B5176E"/>
    <w:rsid w:val="00B62972"/>
    <w:rsid w:val="00B63EAC"/>
    <w:rsid w:val="00B64C06"/>
    <w:rsid w:val="00B656AC"/>
    <w:rsid w:val="00B65B8B"/>
    <w:rsid w:val="00B73883"/>
    <w:rsid w:val="00B75CBD"/>
    <w:rsid w:val="00B7721B"/>
    <w:rsid w:val="00B77BDA"/>
    <w:rsid w:val="00B83BB0"/>
    <w:rsid w:val="00B921F2"/>
    <w:rsid w:val="00B93688"/>
    <w:rsid w:val="00B97A3A"/>
    <w:rsid w:val="00BA4495"/>
    <w:rsid w:val="00BA637B"/>
    <w:rsid w:val="00BB4555"/>
    <w:rsid w:val="00BB4952"/>
    <w:rsid w:val="00BB7D54"/>
    <w:rsid w:val="00BC29B1"/>
    <w:rsid w:val="00BC2DAD"/>
    <w:rsid w:val="00BC565F"/>
    <w:rsid w:val="00BC6B28"/>
    <w:rsid w:val="00BD2423"/>
    <w:rsid w:val="00BD4CB2"/>
    <w:rsid w:val="00BE0B85"/>
    <w:rsid w:val="00BE7C2F"/>
    <w:rsid w:val="00BF1B94"/>
    <w:rsid w:val="00BF7046"/>
    <w:rsid w:val="00C01672"/>
    <w:rsid w:val="00C024D4"/>
    <w:rsid w:val="00C067F8"/>
    <w:rsid w:val="00C145B8"/>
    <w:rsid w:val="00C170CC"/>
    <w:rsid w:val="00C20277"/>
    <w:rsid w:val="00C26A1B"/>
    <w:rsid w:val="00C26E37"/>
    <w:rsid w:val="00C30087"/>
    <w:rsid w:val="00C307DC"/>
    <w:rsid w:val="00C35EC9"/>
    <w:rsid w:val="00C37ACF"/>
    <w:rsid w:val="00C37AF4"/>
    <w:rsid w:val="00C37BD9"/>
    <w:rsid w:val="00C43842"/>
    <w:rsid w:val="00C4446D"/>
    <w:rsid w:val="00C45A52"/>
    <w:rsid w:val="00C50367"/>
    <w:rsid w:val="00C5077C"/>
    <w:rsid w:val="00C51D9F"/>
    <w:rsid w:val="00C54134"/>
    <w:rsid w:val="00C56535"/>
    <w:rsid w:val="00C57236"/>
    <w:rsid w:val="00C608C5"/>
    <w:rsid w:val="00C63B6F"/>
    <w:rsid w:val="00C67F33"/>
    <w:rsid w:val="00C7118C"/>
    <w:rsid w:val="00C73F16"/>
    <w:rsid w:val="00C756BC"/>
    <w:rsid w:val="00C77721"/>
    <w:rsid w:val="00C8014B"/>
    <w:rsid w:val="00C82C7F"/>
    <w:rsid w:val="00C905F6"/>
    <w:rsid w:val="00C94D14"/>
    <w:rsid w:val="00C9769E"/>
    <w:rsid w:val="00CA27A8"/>
    <w:rsid w:val="00CA388E"/>
    <w:rsid w:val="00CA3AF0"/>
    <w:rsid w:val="00CB3D00"/>
    <w:rsid w:val="00CB56D6"/>
    <w:rsid w:val="00CB5D5F"/>
    <w:rsid w:val="00CC0559"/>
    <w:rsid w:val="00CC14B5"/>
    <w:rsid w:val="00CC3041"/>
    <w:rsid w:val="00CC6577"/>
    <w:rsid w:val="00CD03B7"/>
    <w:rsid w:val="00CD233C"/>
    <w:rsid w:val="00CD38A5"/>
    <w:rsid w:val="00CD5832"/>
    <w:rsid w:val="00CD76DA"/>
    <w:rsid w:val="00CD77A9"/>
    <w:rsid w:val="00CE3A8A"/>
    <w:rsid w:val="00CF3301"/>
    <w:rsid w:val="00CF6553"/>
    <w:rsid w:val="00D0027D"/>
    <w:rsid w:val="00D01B6B"/>
    <w:rsid w:val="00D0277F"/>
    <w:rsid w:val="00D1082D"/>
    <w:rsid w:val="00D132F6"/>
    <w:rsid w:val="00D14FE9"/>
    <w:rsid w:val="00D17170"/>
    <w:rsid w:val="00D268E3"/>
    <w:rsid w:val="00D32110"/>
    <w:rsid w:val="00D36DE5"/>
    <w:rsid w:val="00D421FC"/>
    <w:rsid w:val="00D42314"/>
    <w:rsid w:val="00D434CE"/>
    <w:rsid w:val="00D43C0A"/>
    <w:rsid w:val="00D43F21"/>
    <w:rsid w:val="00D440A7"/>
    <w:rsid w:val="00D45F2F"/>
    <w:rsid w:val="00D46BCF"/>
    <w:rsid w:val="00D47838"/>
    <w:rsid w:val="00D502C1"/>
    <w:rsid w:val="00D50B2D"/>
    <w:rsid w:val="00D51B7C"/>
    <w:rsid w:val="00D55815"/>
    <w:rsid w:val="00D62257"/>
    <w:rsid w:val="00D63A4F"/>
    <w:rsid w:val="00D6651A"/>
    <w:rsid w:val="00D71CAF"/>
    <w:rsid w:val="00D73E8C"/>
    <w:rsid w:val="00D74DA4"/>
    <w:rsid w:val="00D7564F"/>
    <w:rsid w:val="00D7587A"/>
    <w:rsid w:val="00D77D28"/>
    <w:rsid w:val="00D81802"/>
    <w:rsid w:val="00D85CD9"/>
    <w:rsid w:val="00D90EDA"/>
    <w:rsid w:val="00D952CA"/>
    <w:rsid w:val="00DA0D9D"/>
    <w:rsid w:val="00DB2DF1"/>
    <w:rsid w:val="00DB3E73"/>
    <w:rsid w:val="00DB5B40"/>
    <w:rsid w:val="00DC1EA5"/>
    <w:rsid w:val="00DC6F3D"/>
    <w:rsid w:val="00DC768A"/>
    <w:rsid w:val="00DD00A1"/>
    <w:rsid w:val="00DD4618"/>
    <w:rsid w:val="00DE448C"/>
    <w:rsid w:val="00DE6B34"/>
    <w:rsid w:val="00DE72A4"/>
    <w:rsid w:val="00DE761F"/>
    <w:rsid w:val="00DF6EF2"/>
    <w:rsid w:val="00DF7929"/>
    <w:rsid w:val="00E00CEC"/>
    <w:rsid w:val="00E02429"/>
    <w:rsid w:val="00E050E9"/>
    <w:rsid w:val="00E12BD8"/>
    <w:rsid w:val="00E259CB"/>
    <w:rsid w:val="00E25A22"/>
    <w:rsid w:val="00E26AB9"/>
    <w:rsid w:val="00E34050"/>
    <w:rsid w:val="00E34C09"/>
    <w:rsid w:val="00E43C23"/>
    <w:rsid w:val="00E508B8"/>
    <w:rsid w:val="00E60CD6"/>
    <w:rsid w:val="00E65452"/>
    <w:rsid w:val="00E7247E"/>
    <w:rsid w:val="00E72F88"/>
    <w:rsid w:val="00E77762"/>
    <w:rsid w:val="00E80494"/>
    <w:rsid w:val="00E81082"/>
    <w:rsid w:val="00E84172"/>
    <w:rsid w:val="00E862AB"/>
    <w:rsid w:val="00E9416E"/>
    <w:rsid w:val="00E9753A"/>
    <w:rsid w:val="00EA3962"/>
    <w:rsid w:val="00EA4328"/>
    <w:rsid w:val="00EB0CAD"/>
    <w:rsid w:val="00EB2758"/>
    <w:rsid w:val="00EB38AB"/>
    <w:rsid w:val="00EB6B89"/>
    <w:rsid w:val="00EC2C08"/>
    <w:rsid w:val="00EC6B44"/>
    <w:rsid w:val="00ED1211"/>
    <w:rsid w:val="00ED154B"/>
    <w:rsid w:val="00ED4A42"/>
    <w:rsid w:val="00ED7B57"/>
    <w:rsid w:val="00EE3278"/>
    <w:rsid w:val="00EE4DEF"/>
    <w:rsid w:val="00EE55A9"/>
    <w:rsid w:val="00EF22E0"/>
    <w:rsid w:val="00F105E3"/>
    <w:rsid w:val="00F11FBA"/>
    <w:rsid w:val="00F15D5B"/>
    <w:rsid w:val="00F200BA"/>
    <w:rsid w:val="00F23D3A"/>
    <w:rsid w:val="00F30850"/>
    <w:rsid w:val="00F35962"/>
    <w:rsid w:val="00F3757B"/>
    <w:rsid w:val="00F40949"/>
    <w:rsid w:val="00F4203C"/>
    <w:rsid w:val="00F478CD"/>
    <w:rsid w:val="00F50DEC"/>
    <w:rsid w:val="00F5205B"/>
    <w:rsid w:val="00F60079"/>
    <w:rsid w:val="00F61FAA"/>
    <w:rsid w:val="00F66939"/>
    <w:rsid w:val="00F673FA"/>
    <w:rsid w:val="00F72888"/>
    <w:rsid w:val="00F754C3"/>
    <w:rsid w:val="00F77D32"/>
    <w:rsid w:val="00F82D02"/>
    <w:rsid w:val="00F82E7B"/>
    <w:rsid w:val="00F85555"/>
    <w:rsid w:val="00F96773"/>
    <w:rsid w:val="00F97DE6"/>
    <w:rsid w:val="00FA1502"/>
    <w:rsid w:val="00FA26C6"/>
    <w:rsid w:val="00FA2A97"/>
    <w:rsid w:val="00FA705E"/>
    <w:rsid w:val="00FA73D7"/>
    <w:rsid w:val="00FB0A13"/>
    <w:rsid w:val="00FB70E5"/>
    <w:rsid w:val="00FC013F"/>
    <w:rsid w:val="00FC16F7"/>
    <w:rsid w:val="00FC2196"/>
    <w:rsid w:val="00FC5822"/>
    <w:rsid w:val="00FD17D2"/>
    <w:rsid w:val="00FD1F94"/>
    <w:rsid w:val="00FE1C33"/>
    <w:rsid w:val="00FE4A61"/>
    <w:rsid w:val="00FF0E0E"/>
    <w:rsid w:val="00FF10E4"/>
    <w:rsid w:val="00FF36DD"/>
    <w:rsid w:val="00FF562D"/>
    <w:rsid w:val="00FF59B1"/>
    <w:rsid w:val="00FF7721"/>
    <w:rsid w:val="0784DFF1"/>
    <w:rsid w:val="135D9BE1"/>
    <w:rsid w:val="14585C1B"/>
    <w:rsid w:val="30675AD8"/>
    <w:rsid w:val="361C4B43"/>
    <w:rsid w:val="390AF1AC"/>
    <w:rsid w:val="3D066287"/>
    <w:rsid w:val="4A3A2F46"/>
    <w:rsid w:val="4E375279"/>
    <w:rsid w:val="5F470EC2"/>
    <w:rsid w:val="6B1A083B"/>
    <w:rsid w:val="7824C8A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4C741B"/>
  <w15:chartTrackingRefBased/>
  <w15:docId w15:val="{FA385866-8FC7-468E-8594-B5ACC9DF2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Arial"/>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728"/>
    <w:pPr>
      <w:spacing w:before="240"/>
    </w:pPr>
    <w:rPr>
      <w:rFonts w:ascii="Times New Roman" w:eastAsia="MS Mincho" w:hAnsi="Times New Roman" w:cs="Times New Roman"/>
      <w:color w:val="000000"/>
      <w:sz w:val="24"/>
      <w:szCs w:val="24"/>
      <w:lang w:val="en-US" w:eastAsia="en-US"/>
    </w:rPr>
  </w:style>
  <w:style w:type="paragraph" w:styleId="Heading1">
    <w:name w:val="heading 1"/>
    <w:next w:val="Normal"/>
    <w:link w:val="Heading1Char"/>
    <w:qFormat/>
    <w:rsid w:val="0058075B"/>
    <w:pPr>
      <w:keepNext/>
      <w:pageBreakBefore/>
      <w:numPr>
        <w:numId w:val="7"/>
      </w:numPr>
      <w:spacing w:before="480"/>
      <w:outlineLvl w:val="0"/>
    </w:pPr>
    <w:rPr>
      <w:rFonts w:ascii="Arial" w:eastAsia="MS Gothic" w:hAnsi="Arial"/>
      <w:b/>
      <w:bCs/>
      <w:caps/>
      <w:kern w:val="32"/>
      <w:sz w:val="28"/>
      <w:szCs w:val="32"/>
      <w:lang w:val="en-US" w:eastAsia="en-US"/>
    </w:rPr>
  </w:style>
  <w:style w:type="paragraph" w:styleId="Heading2">
    <w:name w:val="heading 2"/>
    <w:basedOn w:val="Heading1"/>
    <w:next w:val="Normal"/>
    <w:link w:val="Heading2Char"/>
    <w:qFormat/>
    <w:rsid w:val="00124389"/>
    <w:pPr>
      <w:pageBreakBefore w:val="0"/>
      <w:numPr>
        <w:ilvl w:val="1"/>
      </w:numPr>
      <w:tabs>
        <w:tab w:val="clear" w:pos="6633"/>
        <w:tab w:val="left" w:pos="680"/>
      </w:tabs>
      <w:ind w:left="680"/>
      <w:outlineLvl w:val="1"/>
    </w:pPr>
    <w:rPr>
      <w:bCs w:val="0"/>
      <w:iCs/>
      <w:sz w:val="22"/>
      <w:szCs w:val="28"/>
    </w:rPr>
  </w:style>
  <w:style w:type="paragraph" w:styleId="Heading3">
    <w:name w:val="heading 3"/>
    <w:basedOn w:val="Heading1"/>
    <w:next w:val="Normal"/>
    <w:link w:val="Heading3Char"/>
    <w:qFormat/>
    <w:rsid w:val="0058075B"/>
    <w:pPr>
      <w:pageBreakBefore w:val="0"/>
      <w:numPr>
        <w:ilvl w:val="2"/>
      </w:numPr>
      <w:spacing w:before="360"/>
      <w:outlineLvl w:val="2"/>
    </w:pPr>
    <w:rPr>
      <w:bCs w:val="0"/>
      <w:caps w:val="0"/>
      <w:sz w:val="22"/>
      <w:szCs w:val="26"/>
    </w:rPr>
  </w:style>
  <w:style w:type="paragraph" w:styleId="Heading4">
    <w:name w:val="heading 4"/>
    <w:basedOn w:val="Heading1"/>
    <w:next w:val="Normal"/>
    <w:link w:val="Heading4Char"/>
    <w:qFormat/>
    <w:rsid w:val="0058075B"/>
    <w:pPr>
      <w:pageBreakBefore w:val="0"/>
      <w:numPr>
        <w:ilvl w:val="3"/>
      </w:numPr>
      <w:spacing w:before="360"/>
      <w:outlineLvl w:val="3"/>
    </w:pPr>
    <w:rPr>
      <w:bCs w:val="0"/>
      <w:i/>
      <w:caps w:val="0"/>
      <w:sz w:val="22"/>
      <w:szCs w:val="28"/>
    </w:rPr>
  </w:style>
  <w:style w:type="paragraph" w:styleId="Heading5">
    <w:name w:val="heading 5"/>
    <w:basedOn w:val="Heading1"/>
    <w:next w:val="Normal"/>
    <w:link w:val="Heading5Char"/>
    <w:qFormat/>
    <w:rsid w:val="0058075B"/>
    <w:pPr>
      <w:pageBreakBefore w:val="0"/>
      <w:numPr>
        <w:ilvl w:val="4"/>
      </w:numPr>
      <w:spacing w:before="360"/>
      <w:outlineLvl w:val="4"/>
    </w:pPr>
    <w:rPr>
      <w:b w:val="0"/>
      <w:bCs w:val="0"/>
      <w:i/>
      <w:iCs/>
      <w:caps w:val="0"/>
      <w:sz w:val="22"/>
      <w:szCs w:val="26"/>
    </w:rPr>
  </w:style>
  <w:style w:type="paragraph" w:styleId="Heading6">
    <w:name w:val="heading 6"/>
    <w:basedOn w:val="Heading1"/>
    <w:next w:val="Normal"/>
    <w:link w:val="Heading6Char"/>
    <w:qFormat/>
    <w:rsid w:val="0058075B"/>
    <w:pPr>
      <w:pageBreakBefore w:val="0"/>
      <w:numPr>
        <w:ilvl w:val="5"/>
      </w:numPr>
      <w:spacing w:before="360"/>
      <w:outlineLvl w:val="5"/>
    </w:pPr>
    <w:rPr>
      <w:b w:val="0"/>
      <w:bCs w:val="0"/>
      <w:caps w:val="0"/>
      <w:sz w:val="22"/>
      <w:szCs w:val="22"/>
    </w:rPr>
  </w:style>
  <w:style w:type="paragraph" w:styleId="Heading7">
    <w:name w:val="heading 7"/>
    <w:basedOn w:val="Heading6"/>
    <w:next w:val="Normal"/>
    <w:link w:val="Heading7Char"/>
    <w:qFormat/>
    <w:rsid w:val="0058075B"/>
    <w:pPr>
      <w:numPr>
        <w:ilvl w:val="6"/>
      </w:numPr>
      <w:outlineLvl w:val="6"/>
    </w:pPr>
  </w:style>
  <w:style w:type="paragraph" w:styleId="Heading8">
    <w:name w:val="heading 8"/>
    <w:basedOn w:val="Heading6"/>
    <w:next w:val="Normal"/>
    <w:link w:val="Heading8Char"/>
    <w:qFormat/>
    <w:rsid w:val="0058075B"/>
    <w:pPr>
      <w:numPr>
        <w:ilvl w:val="7"/>
      </w:numPr>
      <w:outlineLvl w:val="7"/>
    </w:pPr>
    <w:rPr>
      <w:iCs/>
    </w:rPr>
  </w:style>
  <w:style w:type="paragraph" w:styleId="Heading9">
    <w:name w:val="heading 9"/>
    <w:basedOn w:val="Heading6"/>
    <w:next w:val="Normal"/>
    <w:link w:val="Heading9Char"/>
    <w:qFormat/>
    <w:rsid w:val="0058075B"/>
    <w:pPr>
      <w:numPr>
        <w:ilvl w:val="8"/>
      </w:numPr>
      <w:tabs>
        <w:tab w:val="left" w:pos="1797"/>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97A3A"/>
    <w:rPr>
      <w:rFonts w:ascii="Arial" w:eastAsia="MS Gothic" w:hAnsi="Arial"/>
      <w:b/>
      <w:bCs/>
      <w:caps/>
      <w:kern w:val="32"/>
      <w:sz w:val="28"/>
      <w:szCs w:val="32"/>
      <w:lang w:val="en-US" w:eastAsia="en-US"/>
    </w:rPr>
  </w:style>
  <w:style w:type="character" w:customStyle="1" w:styleId="Heading2Char">
    <w:name w:val="Heading 2 Char"/>
    <w:link w:val="Heading2"/>
    <w:rsid w:val="00124389"/>
    <w:rPr>
      <w:rFonts w:ascii="Arial" w:eastAsia="MS Gothic" w:hAnsi="Arial"/>
      <w:b/>
      <w:iCs/>
      <w:caps/>
      <w:kern w:val="32"/>
      <w:sz w:val="22"/>
      <w:szCs w:val="28"/>
      <w:lang w:val="en-US" w:eastAsia="en-US"/>
    </w:rPr>
  </w:style>
  <w:style w:type="character" w:customStyle="1" w:styleId="Heading3Char">
    <w:name w:val="Heading 3 Char"/>
    <w:link w:val="Heading3"/>
    <w:rsid w:val="00B97A3A"/>
    <w:rPr>
      <w:rFonts w:ascii="Arial" w:eastAsia="MS Gothic" w:hAnsi="Arial"/>
      <w:b/>
      <w:kern w:val="32"/>
      <w:sz w:val="22"/>
      <w:szCs w:val="26"/>
      <w:lang w:val="en-US" w:eastAsia="en-US"/>
    </w:rPr>
  </w:style>
  <w:style w:type="character" w:customStyle="1" w:styleId="Heading4Char">
    <w:name w:val="Heading 4 Char"/>
    <w:link w:val="Heading4"/>
    <w:rsid w:val="00B97A3A"/>
    <w:rPr>
      <w:rFonts w:ascii="Arial" w:eastAsia="MS Gothic" w:hAnsi="Arial"/>
      <w:b/>
      <w:i/>
      <w:kern w:val="32"/>
      <w:sz w:val="22"/>
      <w:szCs w:val="28"/>
      <w:lang w:val="en-US" w:eastAsia="en-US"/>
    </w:rPr>
  </w:style>
  <w:style w:type="character" w:customStyle="1" w:styleId="Heading5Char">
    <w:name w:val="Heading 5 Char"/>
    <w:link w:val="Heading5"/>
    <w:rsid w:val="00B97A3A"/>
    <w:rPr>
      <w:rFonts w:ascii="Arial" w:eastAsia="MS Gothic" w:hAnsi="Arial"/>
      <w:i/>
      <w:iCs/>
      <w:kern w:val="32"/>
      <w:sz w:val="22"/>
      <w:szCs w:val="26"/>
      <w:lang w:val="en-US" w:eastAsia="en-US"/>
    </w:rPr>
  </w:style>
  <w:style w:type="character" w:customStyle="1" w:styleId="Heading6Char">
    <w:name w:val="Heading 6 Char"/>
    <w:link w:val="Heading6"/>
    <w:rsid w:val="00B97A3A"/>
    <w:rPr>
      <w:rFonts w:ascii="Arial" w:eastAsia="MS Gothic" w:hAnsi="Arial"/>
      <w:kern w:val="32"/>
      <w:sz w:val="22"/>
      <w:szCs w:val="22"/>
      <w:lang w:val="en-US" w:eastAsia="en-US"/>
    </w:rPr>
  </w:style>
  <w:style w:type="character" w:customStyle="1" w:styleId="Heading7Char">
    <w:name w:val="Heading 7 Char"/>
    <w:link w:val="Heading7"/>
    <w:rsid w:val="00B97A3A"/>
    <w:rPr>
      <w:rFonts w:ascii="Arial" w:eastAsia="MS Gothic" w:hAnsi="Arial"/>
      <w:kern w:val="32"/>
      <w:sz w:val="22"/>
      <w:szCs w:val="22"/>
      <w:lang w:val="en-US" w:eastAsia="en-US"/>
    </w:rPr>
  </w:style>
  <w:style w:type="character" w:customStyle="1" w:styleId="Heading8Char">
    <w:name w:val="Heading 8 Char"/>
    <w:link w:val="Heading8"/>
    <w:rsid w:val="00B97A3A"/>
    <w:rPr>
      <w:rFonts w:ascii="Arial" w:eastAsia="MS Gothic" w:hAnsi="Arial"/>
      <w:iCs/>
      <w:kern w:val="32"/>
      <w:sz w:val="22"/>
      <w:szCs w:val="22"/>
      <w:lang w:val="en-US" w:eastAsia="en-US"/>
    </w:rPr>
  </w:style>
  <w:style w:type="character" w:customStyle="1" w:styleId="Heading9Char">
    <w:name w:val="Heading 9 Char"/>
    <w:link w:val="Heading9"/>
    <w:rsid w:val="00B97A3A"/>
    <w:rPr>
      <w:rFonts w:ascii="Arial" w:eastAsia="MS Gothic" w:hAnsi="Arial"/>
      <w:kern w:val="32"/>
      <w:sz w:val="22"/>
      <w:szCs w:val="22"/>
      <w:lang w:val="en-US" w:eastAsia="en-US"/>
    </w:rPr>
  </w:style>
  <w:style w:type="paragraph" w:styleId="Header">
    <w:name w:val="header"/>
    <w:link w:val="HeaderChar"/>
    <w:rsid w:val="00761728"/>
    <w:pPr>
      <w:tabs>
        <w:tab w:val="left" w:pos="4536"/>
        <w:tab w:val="right" w:pos="9480"/>
      </w:tabs>
    </w:pPr>
    <w:rPr>
      <w:rFonts w:ascii="Arial" w:eastAsia="MS Gothic" w:hAnsi="Arial" w:cs="Times New Roman"/>
      <w:sz w:val="18"/>
      <w:lang w:val="en-US" w:eastAsia="en-US"/>
    </w:rPr>
  </w:style>
  <w:style w:type="character" w:customStyle="1" w:styleId="HeaderChar">
    <w:name w:val="Header Char"/>
    <w:link w:val="Header"/>
    <w:rsid w:val="00B97A3A"/>
    <w:rPr>
      <w:rFonts w:ascii="Arial" w:eastAsia="MS Gothic" w:hAnsi="Arial" w:cs="Times New Roman"/>
      <w:sz w:val="18"/>
      <w:lang w:val="en-US" w:eastAsia="en-US"/>
    </w:rPr>
  </w:style>
  <w:style w:type="paragraph" w:styleId="Footer">
    <w:name w:val="footer"/>
    <w:link w:val="FooterChar"/>
    <w:rsid w:val="00761728"/>
    <w:pPr>
      <w:tabs>
        <w:tab w:val="right" w:pos="9469"/>
      </w:tabs>
    </w:pPr>
    <w:rPr>
      <w:rFonts w:ascii="Arial" w:eastAsia="MS Gothic" w:hAnsi="Arial" w:cs="Times New Roman"/>
      <w:sz w:val="18"/>
      <w:lang w:val="en-US" w:eastAsia="en-US"/>
    </w:rPr>
  </w:style>
  <w:style w:type="character" w:customStyle="1" w:styleId="FooterChar">
    <w:name w:val="Footer Char"/>
    <w:link w:val="Footer"/>
    <w:rsid w:val="00B97A3A"/>
    <w:rPr>
      <w:rFonts w:ascii="Arial" w:eastAsia="MS Gothic" w:hAnsi="Arial" w:cs="Times New Roman"/>
      <w:sz w:val="18"/>
      <w:lang w:val="en-US" w:eastAsia="en-US"/>
    </w:rPr>
  </w:style>
  <w:style w:type="paragraph" w:customStyle="1" w:styleId="Heading1NoTOC">
    <w:name w:val="Heading 1 NoTOC"/>
    <w:basedOn w:val="Heading1"/>
    <w:rsid w:val="00761728"/>
    <w:pPr>
      <w:numPr>
        <w:numId w:val="0"/>
      </w:numPr>
      <w:outlineLvl w:val="9"/>
    </w:pPr>
  </w:style>
  <w:style w:type="paragraph" w:styleId="Title">
    <w:name w:val="Title"/>
    <w:next w:val="Normal"/>
    <w:link w:val="TitleChar"/>
    <w:qFormat/>
    <w:rsid w:val="00761728"/>
    <w:pPr>
      <w:keepNext/>
      <w:spacing w:before="600" w:after="480"/>
      <w:jc w:val="center"/>
      <w:outlineLvl w:val="0"/>
    </w:pPr>
    <w:rPr>
      <w:rFonts w:ascii="Arial" w:eastAsia="MS Gothic" w:hAnsi="Arial"/>
      <w:b/>
      <w:bCs/>
      <w:caps/>
      <w:sz w:val="22"/>
      <w:szCs w:val="32"/>
      <w:lang w:val="en-US" w:eastAsia="en-US"/>
    </w:rPr>
  </w:style>
  <w:style w:type="character" w:customStyle="1" w:styleId="TitleChar">
    <w:name w:val="Title Char"/>
    <w:link w:val="Title"/>
    <w:rsid w:val="00B97A3A"/>
    <w:rPr>
      <w:rFonts w:ascii="Arial" w:eastAsia="MS Gothic" w:hAnsi="Arial"/>
      <w:b/>
      <w:bCs/>
      <w:caps/>
      <w:sz w:val="22"/>
      <w:szCs w:val="32"/>
      <w:lang w:val="en-US" w:eastAsia="en-US"/>
    </w:rPr>
  </w:style>
  <w:style w:type="paragraph" w:customStyle="1" w:styleId="TitleNoToc">
    <w:name w:val="Title NoToc"/>
    <w:basedOn w:val="Title"/>
    <w:next w:val="Normal"/>
    <w:rsid w:val="00761728"/>
    <w:pPr>
      <w:outlineLvl w:val="9"/>
    </w:pPr>
  </w:style>
  <w:style w:type="character" w:customStyle="1" w:styleId="InstructionsTextChar">
    <w:name w:val="Instructions Text Char"/>
    <w:link w:val="InstructionsText"/>
    <w:rsid w:val="00761728"/>
    <w:rPr>
      <w:rFonts w:eastAsia="MS Mincho"/>
      <w:color w:val="000000"/>
      <w:sz w:val="24"/>
      <w:szCs w:val="24"/>
      <w:shd w:val="clear" w:color="auto" w:fill="FFCC66"/>
      <w:lang w:val="en-US" w:eastAsia="en-US"/>
    </w:rPr>
  </w:style>
  <w:style w:type="paragraph" w:customStyle="1" w:styleId="ListNumbered">
    <w:name w:val="List Numbered"/>
    <w:basedOn w:val="Normal"/>
    <w:rsid w:val="00761728"/>
    <w:pPr>
      <w:numPr>
        <w:numId w:val="3"/>
      </w:numPr>
      <w:spacing w:before="120"/>
    </w:pPr>
  </w:style>
  <w:style w:type="paragraph" w:customStyle="1" w:styleId="ListBulletLevel1">
    <w:name w:val="List Bullet Level 1"/>
    <w:basedOn w:val="Normal"/>
    <w:rsid w:val="00761728"/>
    <w:pPr>
      <w:numPr>
        <w:numId w:val="1"/>
      </w:numPr>
      <w:spacing w:before="120"/>
    </w:pPr>
  </w:style>
  <w:style w:type="paragraph" w:customStyle="1" w:styleId="ListAlphabeticalLevel1">
    <w:name w:val="List Alphabetical Level 1"/>
    <w:basedOn w:val="Normal"/>
    <w:rsid w:val="00761728"/>
    <w:pPr>
      <w:numPr>
        <w:numId w:val="2"/>
      </w:numPr>
      <w:spacing w:before="120"/>
    </w:pPr>
  </w:style>
  <w:style w:type="paragraph" w:customStyle="1" w:styleId="ListBulletLevel2">
    <w:name w:val="List Bullet Level 2"/>
    <w:basedOn w:val="Normal"/>
    <w:rsid w:val="00761728"/>
    <w:pPr>
      <w:numPr>
        <w:numId w:val="6"/>
      </w:numPr>
      <w:spacing w:before="120"/>
    </w:pPr>
    <w:rPr>
      <w:szCs w:val="20"/>
    </w:rPr>
  </w:style>
  <w:style w:type="paragraph" w:styleId="Caption">
    <w:name w:val="caption"/>
    <w:aliases w:val="Caption Char,Bayer Caption,Beschriftung1,Caption Char1,Caption Char Char,Caption Char1 Char Char, Char,Char,caption,Caption-FUSA,Caption Char Char Char Char,Char Char Char Char Char,Caption Char Char1"/>
    <w:next w:val="Normal"/>
    <w:link w:val="CaptionChar2"/>
    <w:qFormat/>
    <w:rsid w:val="00A37EFE"/>
    <w:pPr>
      <w:keepNext/>
      <w:spacing w:before="360" w:after="120"/>
      <w:jc w:val="center"/>
    </w:pPr>
    <w:rPr>
      <w:rFonts w:ascii="Times New Roman" w:eastAsia="MS Gothic" w:hAnsi="Times New Roman" w:cs="Times New Roman"/>
      <w:b/>
      <w:bCs/>
      <w:lang w:val="en-US" w:eastAsia="en-US"/>
    </w:rPr>
  </w:style>
  <w:style w:type="paragraph" w:customStyle="1" w:styleId="InstructionsText">
    <w:name w:val="Instructions Text"/>
    <w:basedOn w:val="Normal"/>
    <w:next w:val="Normal"/>
    <w:link w:val="InstructionsTextChar"/>
    <w:rsid w:val="00761728"/>
    <w:pPr>
      <w:shd w:val="clear" w:color="auto" w:fill="FFCC66"/>
      <w:spacing w:before="40" w:after="40"/>
    </w:pPr>
    <w:rPr>
      <w:rFonts w:ascii="Calibri" w:hAnsi="Calibri" w:cs="Arial"/>
    </w:rPr>
  </w:style>
  <w:style w:type="character" w:styleId="FootnoteReference">
    <w:name w:val="footnote reference"/>
    <w:rsid w:val="00761728"/>
    <w:rPr>
      <w:rFonts w:ascii="Times New Roman" w:eastAsia="MS Mincho" w:hAnsi="Times New Roman"/>
      <w:color w:val="0000FF"/>
      <w:sz w:val="18"/>
      <w:vertAlign w:val="superscript"/>
    </w:rPr>
  </w:style>
  <w:style w:type="paragraph" w:styleId="FootnoteText">
    <w:name w:val="footnote text"/>
    <w:basedOn w:val="Normal"/>
    <w:link w:val="FootnoteTextChar"/>
    <w:uiPriority w:val="99"/>
    <w:rsid w:val="00761728"/>
    <w:pPr>
      <w:spacing w:before="20"/>
      <w:ind w:left="113" w:hanging="113"/>
    </w:pPr>
    <w:rPr>
      <w:sz w:val="22"/>
      <w:szCs w:val="20"/>
    </w:rPr>
  </w:style>
  <w:style w:type="character" w:customStyle="1" w:styleId="FootnoteTextChar">
    <w:name w:val="Footnote Text Char"/>
    <w:link w:val="FootnoteText"/>
    <w:uiPriority w:val="99"/>
    <w:rsid w:val="00B97A3A"/>
    <w:rPr>
      <w:rFonts w:ascii="Times New Roman" w:eastAsia="MS Mincho" w:hAnsi="Times New Roman" w:cs="Times New Roman"/>
      <w:color w:val="000000"/>
      <w:sz w:val="22"/>
      <w:lang w:val="en-US" w:eastAsia="en-US"/>
    </w:rPr>
  </w:style>
  <w:style w:type="paragraph" w:customStyle="1" w:styleId="Heading1NoNumbering">
    <w:name w:val="Heading 1 NoNumbering"/>
    <w:basedOn w:val="Heading1"/>
    <w:next w:val="Normal"/>
    <w:rsid w:val="00761728"/>
    <w:pPr>
      <w:numPr>
        <w:numId w:val="0"/>
      </w:numPr>
      <w:tabs>
        <w:tab w:val="num" w:pos="1083"/>
      </w:tabs>
      <w:ind w:left="1083" w:hanging="363"/>
    </w:pPr>
  </w:style>
  <w:style w:type="paragraph" w:customStyle="1" w:styleId="TblTextCenter">
    <w:name w:val="Tbl Text Center"/>
    <w:basedOn w:val="TblTextLeft"/>
    <w:rsid w:val="00761728"/>
    <w:pPr>
      <w:jc w:val="center"/>
    </w:pPr>
  </w:style>
  <w:style w:type="paragraph" w:customStyle="1" w:styleId="TblTextLeft">
    <w:name w:val="Tbl Text Left"/>
    <w:rsid w:val="00A37EFE"/>
    <w:pPr>
      <w:spacing w:before="60" w:after="60"/>
    </w:pPr>
    <w:rPr>
      <w:rFonts w:ascii="Times New Roman" w:eastAsia="MS Gothic" w:hAnsi="Times New Roman" w:cs="Times New Roman"/>
      <w:lang w:val="en-US" w:eastAsia="en-US"/>
    </w:rPr>
  </w:style>
  <w:style w:type="paragraph" w:customStyle="1" w:styleId="TblHeadingLeft">
    <w:name w:val="Tbl Heading Left"/>
    <w:rsid w:val="00A37EFE"/>
    <w:pPr>
      <w:spacing w:before="60" w:after="60"/>
    </w:pPr>
    <w:rPr>
      <w:rFonts w:ascii="Times New Roman" w:eastAsia="MS Gothic" w:hAnsi="Times New Roman" w:cs="Times New Roman"/>
      <w:b/>
      <w:noProof/>
      <w:lang w:val="de-DE" w:eastAsia="en-US"/>
    </w:rPr>
  </w:style>
  <w:style w:type="paragraph" w:customStyle="1" w:styleId="TblFigFootnote">
    <w:name w:val="Tbl Fig Footnote"/>
    <w:rsid w:val="00BB7D54"/>
    <w:pPr>
      <w:keepLines/>
      <w:adjustRightInd w:val="0"/>
      <w:snapToGrid w:val="0"/>
      <w:spacing w:before="20" w:after="20"/>
    </w:pPr>
    <w:rPr>
      <w:rFonts w:ascii="Times New Roman" w:eastAsia="MS Gothic" w:hAnsi="Times New Roman" w:cs="Times New Roman"/>
      <w:szCs w:val="22"/>
      <w:lang w:val="en-US" w:eastAsia="en-US"/>
    </w:rPr>
  </w:style>
  <w:style w:type="paragraph" w:customStyle="1" w:styleId="TblHeadingCenter">
    <w:name w:val="Tbl Heading Center"/>
    <w:basedOn w:val="TblHeadingLeft"/>
    <w:rsid w:val="00761728"/>
    <w:pPr>
      <w:jc w:val="center"/>
    </w:pPr>
  </w:style>
  <w:style w:type="paragraph" w:customStyle="1" w:styleId="HeaderLandscape">
    <w:name w:val="Header Landscape"/>
    <w:basedOn w:val="Header"/>
    <w:rsid w:val="00761728"/>
    <w:pPr>
      <w:tabs>
        <w:tab w:val="clear" w:pos="4536"/>
        <w:tab w:val="clear" w:pos="9480"/>
        <w:tab w:val="left" w:pos="6804"/>
        <w:tab w:val="right" w:pos="14118"/>
      </w:tabs>
    </w:pPr>
  </w:style>
  <w:style w:type="paragraph" w:customStyle="1" w:styleId="FooterLandscape">
    <w:name w:val="Footer Landscape"/>
    <w:basedOn w:val="Footer"/>
    <w:rsid w:val="00761728"/>
    <w:pPr>
      <w:tabs>
        <w:tab w:val="clear" w:pos="9469"/>
        <w:tab w:val="right" w:pos="14118"/>
      </w:tabs>
    </w:pPr>
  </w:style>
  <w:style w:type="character" w:customStyle="1" w:styleId="TblFigFootnoteReference">
    <w:name w:val="Tbl Fig Footnote Reference"/>
    <w:rsid w:val="00761728"/>
    <w:rPr>
      <w:rFonts w:ascii="Arial Narrow" w:eastAsia="MS Gothic" w:hAnsi="Arial Narrow"/>
      <w:i/>
      <w:dstrike w:val="0"/>
      <w:noProof w:val="0"/>
      <w:position w:val="6"/>
      <w:sz w:val="18"/>
      <w:vertAlign w:val="baseline"/>
      <w:lang w:val="en-US"/>
    </w:rPr>
  </w:style>
  <w:style w:type="paragraph" w:customStyle="1" w:styleId="xCover">
    <w:name w:val="xCover"/>
    <w:rsid w:val="00761728"/>
    <w:pPr>
      <w:spacing w:before="120"/>
    </w:pPr>
    <w:rPr>
      <w:rFonts w:ascii="Arial" w:eastAsia="MS Gothic" w:hAnsi="Arial" w:cs="Times New Roman"/>
      <w:lang w:val="en-US" w:eastAsia="en-US"/>
    </w:rPr>
  </w:style>
  <w:style w:type="paragraph" w:customStyle="1" w:styleId="xCoverAddress">
    <w:name w:val="xCoverAddress"/>
    <w:basedOn w:val="xCover"/>
    <w:rsid w:val="00761728"/>
    <w:pPr>
      <w:spacing w:before="0"/>
    </w:pPr>
  </w:style>
  <w:style w:type="paragraph" w:customStyle="1" w:styleId="xCoverDocType">
    <w:name w:val="xCoverDocType"/>
    <w:basedOn w:val="xCover"/>
    <w:rsid w:val="00761728"/>
    <w:pPr>
      <w:spacing w:before="360"/>
      <w:jc w:val="center"/>
    </w:pPr>
    <w:rPr>
      <w:b/>
      <w:caps/>
      <w:sz w:val="28"/>
    </w:rPr>
  </w:style>
  <w:style w:type="paragraph" w:customStyle="1" w:styleId="xCoverDocTitle">
    <w:name w:val="xCoverDocTitle"/>
    <w:basedOn w:val="xCover"/>
    <w:rsid w:val="00761728"/>
    <w:pPr>
      <w:spacing w:before="240"/>
      <w:jc w:val="center"/>
    </w:pPr>
    <w:rPr>
      <w:b/>
      <w:sz w:val="24"/>
    </w:rPr>
  </w:style>
  <w:style w:type="paragraph" w:styleId="EndnoteText">
    <w:name w:val="endnote text"/>
    <w:basedOn w:val="Normal"/>
    <w:link w:val="EndnoteTextChar"/>
    <w:semiHidden/>
    <w:rsid w:val="00761728"/>
    <w:rPr>
      <w:sz w:val="22"/>
      <w:szCs w:val="20"/>
    </w:rPr>
  </w:style>
  <w:style w:type="character" w:customStyle="1" w:styleId="EndnoteTextChar">
    <w:name w:val="Endnote Text Char"/>
    <w:link w:val="EndnoteText"/>
    <w:semiHidden/>
    <w:rsid w:val="00B97A3A"/>
    <w:rPr>
      <w:rFonts w:ascii="Times New Roman" w:eastAsia="MS Mincho" w:hAnsi="Times New Roman" w:cs="Times New Roman"/>
      <w:color w:val="000000"/>
      <w:sz w:val="22"/>
      <w:lang w:val="en-US" w:eastAsia="en-US"/>
    </w:rPr>
  </w:style>
  <w:style w:type="character" w:styleId="EndnoteReference">
    <w:name w:val="endnote reference"/>
    <w:semiHidden/>
    <w:rsid w:val="00761728"/>
    <w:rPr>
      <w:vertAlign w:val="superscript"/>
    </w:rPr>
  </w:style>
  <w:style w:type="paragraph" w:styleId="MacroText">
    <w:name w:val="macro"/>
    <w:link w:val="MacroTextChar"/>
    <w:semiHidden/>
    <w:rsid w:val="0076172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Times New Roman"/>
      <w:lang w:val="en-US" w:eastAsia="en-US"/>
    </w:rPr>
  </w:style>
  <w:style w:type="character" w:customStyle="1" w:styleId="MacroTextChar">
    <w:name w:val="Macro Text Char"/>
    <w:link w:val="MacroText"/>
    <w:semiHidden/>
    <w:rsid w:val="00B97A3A"/>
    <w:rPr>
      <w:rFonts w:ascii="Courier New" w:eastAsia="Times New Roman" w:hAnsi="Courier New" w:cs="Times New Roman"/>
      <w:lang w:val="en-US" w:eastAsia="en-US"/>
    </w:rPr>
  </w:style>
  <w:style w:type="paragraph" w:styleId="TableofFigures">
    <w:name w:val="table of figures"/>
    <w:next w:val="Normal"/>
    <w:semiHidden/>
    <w:rsid w:val="00761728"/>
    <w:pPr>
      <w:tabs>
        <w:tab w:val="right" w:leader="dot" w:pos="9468"/>
      </w:tabs>
      <w:spacing w:before="120"/>
    </w:pPr>
    <w:rPr>
      <w:rFonts w:ascii="Arial" w:eastAsia="Times New Roman" w:hAnsi="Arial" w:cs="Times New Roman"/>
      <w:lang w:val="en-US" w:eastAsia="en-US"/>
    </w:rPr>
  </w:style>
  <w:style w:type="paragraph" w:styleId="TableofAuthorities">
    <w:name w:val="table of authorities"/>
    <w:basedOn w:val="Normal"/>
    <w:next w:val="Normal"/>
    <w:semiHidden/>
    <w:rsid w:val="00761728"/>
    <w:pPr>
      <w:ind w:left="240" w:hanging="240"/>
    </w:pPr>
  </w:style>
  <w:style w:type="character" w:styleId="Hyperlink">
    <w:name w:val="Hyperlink"/>
    <w:uiPriority w:val="99"/>
    <w:rsid w:val="00761728"/>
    <w:rPr>
      <w:color w:val="0000FF"/>
      <w:u w:val="single"/>
    </w:rPr>
  </w:style>
  <w:style w:type="paragraph" w:styleId="Bibliography">
    <w:name w:val="Bibliography"/>
    <w:basedOn w:val="Normal"/>
    <w:next w:val="Normal"/>
    <w:rsid w:val="00761728"/>
    <w:pPr>
      <w:ind w:left="357" w:hanging="357"/>
    </w:pPr>
  </w:style>
  <w:style w:type="character" w:customStyle="1" w:styleId="ReplaceText">
    <w:name w:val="Replace Text"/>
    <w:rsid w:val="00761728"/>
    <w:rPr>
      <w:color w:val="FF00FF"/>
    </w:rPr>
  </w:style>
  <w:style w:type="paragraph" w:styleId="TOC1">
    <w:name w:val="toc 1"/>
    <w:next w:val="Normal"/>
    <w:semiHidden/>
    <w:rsid w:val="00761728"/>
    <w:pPr>
      <w:tabs>
        <w:tab w:val="right" w:leader="dot" w:pos="9468"/>
      </w:tabs>
      <w:spacing w:before="240"/>
      <w:ind w:left="851" w:right="567" w:hanging="851"/>
    </w:pPr>
    <w:rPr>
      <w:rFonts w:ascii="Arial" w:eastAsia="Times New Roman" w:hAnsi="Arial" w:cs="Times New Roman"/>
      <w:b/>
      <w:caps/>
      <w:lang w:val="en-US" w:eastAsia="en-US"/>
    </w:rPr>
  </w:style>
  <w:style w:type="paragraph" w:customStyle="1" w:styleId="ListAlphabeticalLevel2">
    <w:name w:val="List Alphabetical Level 2"/>
    <w:basedOn w:val="ListNumbered"/>
    <w:rsid w:val="00761728"/>
    <w:pPr>
      <w:numPr>
        <w:numId w:val="4"/>
      </w:numPr>
    </w:pPr>
  </w:style>
  <w:style w:type="paragraph" w:styleId="Index1">
    <w:name w:val="index 1"/>
    <w:basedOn w:val="Normal"/>
    <w:next w:val="Normal"/>
    <w:semiHidden/>
    <w:rsid w:val="00761728"/>
    <w:pPr>
      <w:tabs>
        <w:tab w:val="left" w:pos="1701"/>
        <w:tab w:val="left" w:pos="3402"/>
        <w:tab w:val="left" w:pos="5103"/>
      </w:tabs>
      <w:spacing w:before="0"/>
      <w:ind w:left="1701" w:hanging="1701"/>
    </w:pPr>
  </w:style>
  <w:style w:type="paragraph" w:styleId="TOAHeading">
    <w:name w:val="toa heading"/>
    <w:basedOn w:val="Normal"/>
    <w:next w:val="Normal"/>
    <w:semiHidden/>
    <w:rsid w:val="00761728"/>
    <w:pPr>
      <w:spacing w:before="120"/>
    </w:pPr>
    <w:rPr>
      <w:rFonts w:ascii="Arial" w:hAnsi="Arial" w:cs="Arial"/>
      <w:b/>
      <w:bCs/>
    </w:rPr>
  </w:style>
  <w:style w:type="character" w:customStyle="1" w:styleId="Reference">
    <w:name w:val="Reference"/>
    <w:rsid w:val="00761728"/>
    <w:rPr>
      <w:color w:val="0000FF"/>
    </w:rPr>
  </w:style>
  <w:style w:type="paragraph" w:customStyle="1" w:styleId="TblTextbulletedlist">
    <w:name w:val="Tbl Text bulleted list"/>
    <w:basedOn w:val="TblTextLeft"/>
    <w:rsid w:val="00761728"/>
    <w:pPr>
      <w:tabs>
        <w:tab w:val="left" w:pos="216"/>
        <w:tab w:val="num" w:pos="680"/>
      </w:tabs>
      <w:spacing w:before="0" w:after="0"/>
      <w:ind w:left="216" w:hanging="216"/>
    </w:pPr>
  </w:style>
  <w:style w:type="paragraph" w:styleId="TOC2">
    <w:name w:val="toc 2"/>
    <w:basedOn w:val="TOC1"/>
    <w:next w:val="Normal"/>
    <w:semiHidden/>
    <w:rsid w:val="00761728"/>
    <w:rPr>
      <w:b w:val="0"/>
    </w:rPr>
  </w:style>
  <w:style w:type="character" w:styleId="PageNumber">
    <w:name w:val="page number"/>
    <w:rsid w:val="00761728"/>
  </w:style>
  <w:style w:type="paragraph" w:styleId="ListBullet">
    <w:name w:val="List Bullet"/>
    <w:basedOn w:val="Normal"/>
    <w:rsid w:val="00761728"/>
    <w:pPr>
      <w:numPr>
        <w:numId w:val="5"/>
      </w:numPr>
    </w:pPr>
  </w:style>
  <w:style w:type="paragraph" w:styleId="TOC3">
    <w:name w:val="toc 3"/>
    <w:basedOn w:val="TOC1"/>
    <w:next w:val="Normal"/>
    <w:semiHidden/>
    <w:rsid w:val="00761728"/>
    <w:pPr>
      <w:spacing w:before="120"/>
    </w:pPr>
    <w:rPr>
      <w:b w:val="0"/>
      <w:caps w:val="0"/>
    </w:rPr>
  </w:style>
  <w:style w:type="paragraph" w:styleId="TOC4">
    <w:name w:val="toc 4"/>
    <w:basedOn w:val="TOC1"/>
    <w:next w:val="Normal"/>
    <w:semiHidden/>
    <w:rsid w:val="00761728"/>
    <w:pPr>
      <w:spacing w:before="40"/>
    </w:pPr>
    <w:rPr>
      <w:b w:val="0"/>
      <w:caps w:val="0"/>
      <w:szCs w:val="22"/>
    </w:rPr>
  </w:style>
  <w:style w:type="paragraph" w:styleId="TOC5">
    <w:name w:val="toc 5"/>
    <w:basedOn w:val="TOC1"/>
    <w:next w:val="Normal"/>
    <w:semiHidden/>
    <w:rsid w:val="00761728"/>
    <w:pPr>
      <w:spacing w:before="0"/>
    </w:pPr>
    <w:rPr>
      <w:b w:val="0"/>
      <w:caps w:val="0"/>
    </w:rPr>
  </w:style>
  <w:style w:type="paragraph" w:styleId="TOC6">
    <w:name w:val="toc 6"/>
    <w:basedOn w:val="TOC1"/>
    <w:next w:val="Normal"/>
    <w:semiHidden/>
    <w:rsid w:val="00761728"/>
    <w:pPr>
      <w:spacing w:before="0"/>
    </w:pPr>
    <w:rPr>
      <w:b w:val="0"/>
      <w:caps w:val="0"/>
    </w:rPr>
  </w:style>
  <w:style w:type="paragraph" w:styleId="TOC7">
    <w:name w:val="toc 7"/>
    <w:basedOn w:val="TOC6"/>
    <w:next w:val="Normal"/>
    <w:semiHidden/>
    <w:rsid w:val="00761728"/>
  </w:style>
  <w:style w:type="paragraph" w:styleId="TOC8">
    <w:name w:val="toc 8"/>
    <w:basedOn w:val="TOC6"/>
    <w:next w:val="Normal"/>
    <w:semiHidden/>
    <w:rsid w:val="00761728"/>
  </w:style>
  <w:style w:type="paragraph" w:styleId="TOC9">
    <w:name w:val="toc 9"/>
    <w:basedOn w:val="TOC6"/>
    <w:next w:val="Normal"/>
    <w:semiHidden/>
    <w:rsid w:val="00761728"/>
  </w:style>
  <w:style w:type="character" w:customStyle="1" w:styleId="TblFigFootnoteChar">
    <w:name w:val="Tbl Fig Footnote Char"/>
    <w:rsid w:val="00761728"/>
    <w:rPr>
      <w:rFonts w:ascii="Arial Narrow" w:eastAsia="MS Gothic" w:hAnsi="Arial Narrow"/>
      <w:sz w:val="18"/>
      <w:lang w:val="en-US" w:eastAsia="en-US" w:bidi="ar-SA"/>
    </w:rPr>
  </w:style>
  <w:style w:type="character" w:styleId="FollowedHyperlink">
    <w:name w:val="FollowedHyperlink"/>
    <w:rsid w:val="00761728"/>
    <w:rPr>
      <w:color w:val="800080"/>
      <w:u w:val="single"/>
    </w:rPr>
  </w:style>
  <w:style w:type="character" w:styleId="UnresolvedMention">
    <w:name w:val="Unresolved Mention"/>
    <w:uiPriority w:val="99"/>
    <w:semiHidden/>
    <w:unhideWhenUsed/>
    <w:rsid w:val="0055703C"/>
    <w:rPr>
      <w:color w:val="808080"/>
      <w:shd w:val="clear" w:color="auto" w:fill="E6E6E6"/>
    </w:rPr>
  </w:style>
  <w:style w:type="paragraph" w:styleId="NormalWeb">
    <w:name w:val="Normal (Web)"/>
    <w:basedOn w:val="Normal"/>
    <w:uiPriority w:val="99"/>
    <w:unhideWhenUsed/>
    <w:rsid w:val="00414A94"/>
    <w:pPr>
      <w:spacing w:before="100" w:beforeAutospacing="1" w:after="100" w:afterAutospacing="1"/>
    </w:pPr>
    <w:rPr>
      <w:rFonts w:eastAsia="Times New Roman"/>
      <w:color w:val="auto"/>
      <w:lang w:val="en-AU" w:eastAsia="en-AU"/>
    </w:rPr>
  </w:style>
  <w:style w:type="paragraph" w:styleId="ListParagraph">
    <w:name w:val="List Paragraph"/>
    <w:basedOn w:val="Normal"/>
    <w:uiPriority w:val="34"/>
    <w:qFormat/>
    <w:rsid w:val="001B6676"/>
    <w:pPr>
      <w:ind w:left="720"/>
      <w:contextualSpacing/>
    </w:pPr>
  </w:style>
  <w:style w:type="paragraph" w:customStyle="1" w:styleId="TemplateInstructions">
    <w:name w:val="Template Instructions"/>
    <w:basedOn w:val="Normal"/>
    <w:rsid w:val="00A3471C"/>
    <w:pPr>
      <w:spacing w:before="120" w:after="120"/>
    </w:pPr>
    <w:rPr>
      <w:rFonts w:ascii="Arial" w:eastAsiaTheme="minorHAnsi" w:hAnsi="Arial" w:cstheme="minorBidi"/>
      <w:i/>
      <w:color w:val="0070C0"/>
      <w:sz w:val="20"/>
      <w:szCs w:val="20"/>
      <w:lang w:val="en-AU"/>
    </w:rPr>
  </w:style>
  <w:style w:type="table" w:styleId="TableGrid">
    <w:name w:val="Table Grid"/>
    <w:aliases w:val="Table Grid No Line"/>
    <w:basedOn w:val="TableNormal"/>
    <w:uiPriority w:val="59"/>
    <w:rsid w:val="00E60C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30850"/>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0850"/>
    <w:rPr>
      <w:rFonts w:ascii="Segoe UI" w:eastAsia="MS Mincho" w:hAnsi="Segoe UI" w:cs="Segoe UI"/>
      <w:color w:val="000000"/>
      <w:sz w:val="18"/>
      <w:szCs w:val="18"/>
      <w:lang w:val="en-US" w:eastAsia="en-US"/>
    </w:rPr>
  </w:style>
  <w:style w:type="character" w:styleId="CommentReference">
    <w:name w:val="annotation reference"/>
    <w:basedOn w:val="DefaultParagraphFont"/>
    <w:uiPriority w:val="99"/>
    <w:unhideWhenUsed/>
    <w:rsid w:val="00173488"/>
    <w:rPr>
      <w:sz w:val="16"/>
      <w:szCs w:val="16"/>
    </w:rPr>
  </w:style>
  <w:style w:type="paragraph" w:styleId="CommentText">
    <w:name w:val="annotation text"/>
    <w:aliases w:val="Annotationtext,Comment Text Char2 Char,Comment Text Char1 Char Char,Comment Text Char Char Char Char,Comment Text Char Char1 Char,Comment Text Char Char,Comment Text Char Char1,- H19,Car6"/>
    <w:basedOn w:val="Normal"/>
    <w:link w:val="CommentTextChar"/>
    <w:uiPriority w:val="99"/>
    <w:unhideWhenUsed/>
    <w:qFormat/>
    <w:rsid w:val="00173488"/>
    <w:pPr>
      <w:spacing w:before="0"/>
      <w:jc w:val="both"/>
    </w:pPr>
    <w:rPr>
      <w:rFonts w:ascii="Cambria" w:eastAsiaTheme="minorHAnsi" w:hAnsi="Cambria" w:cstheme="minorBidi"/>
      <w:color w:val="auto"/>
      <w:sz w:val="20"/>
      <w:szCs w:val="20"/>
      <w:lang w:val="en-AU"/>
    </w:rPr>
  </w:style>
  <w:style w:type="character" w:customStyle="1" w:styleId="CommentTextChar">
    <w:name w:val="Comment Text Char"/>
    <w:aliases w:val="Annotationtext Char,Comment Text Char2 Char Char,Comment Text Char1 Char Char Char,Comment Text Char Char Char Char Char,Comment Text Char Char1 Char Char,Comment Text Char Char Char,Comment Text Char Char1 Char1,- H19 Char,Car6 Char"/>
    <w:basedOn w:val="DefaultParagraphFont"/>
    <w:link w:val="CommentText"/>
    <w:uiPriority w:val="99"/>
    <w:rsid w:val="00173488"/>
    <w:rPr>
      <w:rFonts w:ascii="Cambria" w:eastAsiaTheme="minorHAnsi" w:hAnsi="Cambria" w:cstheme="minorBidi"/>
      <w:lang w:eastAsia="en-US"/>
    </w:rPr>
  </w:style>
  <w:style w:type="paragraph" w:customStyle="1" w:styleId="NormalIndent1">
    <w:name w:val="Normal Indent1"/>
    <w:basedOn w:val="Normal"/>
    <w:qFormat/>
    <w:rsid w:val="00173488"/>
    <w:pPr>
      <w:spacing w:before="0"/>
      <w:ind w:left="425"/>
      <w:jc w:val="both"/>
    </w:pPr>
    <w:rPr>
      <w:rFonts w:asciiTheme="minorHAnsi" w:eastAsiaTheme="minorHAnsi" w:hAnsiTheme="minorHAnsi" w:cstheme="minorBidi"/>
      <w:color w:val="auto"/>
      <w:sz w:val="22"/>
      <w:szCs w:val="22"/>
      <w:lang w:val="en-AU"/>
    </w:rPr>
  </w:style>
  <w:style w:type="paragraph" w:styleId="CommentSubject">
    <w:name w:val="annotation subject"/>
    <w:basedOn w:val="CommentText"/>
    <w:next w:val="CommentText"/>
    <w:link w:val="CommentSubjectChar"/>
    <w:uiPriority w:val="99"/>
    <w:semiHidden/>
    <w:unhideWhenUsed/>
    <w:rsid w:val="00124389"/>
    <w:pPr>
      <w:spacing w:before="240"/>
      <w:jc w:val="left"/>
    </w:pPr>
    <w:rPr>
      <w:rFonts w:ascii="Times New Roman" w:eastAsia="MS Mincho" w:hAnsi="Times New Roman" w:cs="Times New Roman"/>
      <w:b/>
      <w:bCs/>
      <w:color w:val="000000"/>
      <w:lang w:val="en-US"/>
    </w:rPr>
  </w:style>
  <w:style w:type="character" w:customStyle="1" w:styleId="CommentSubjectChar">
    <w:name w:val="Comment Subject Char"/>
    <w:basedOn w:val="CommentTextChar"/>
    <w:link w:val="CommentSubject"/>
    <w:uiPriority w:val="99"/>
    <w:semiHidden/>
    <w:rsid w:val="00124389"/>
    <w:rPr>
      <w:rFonts w:ascii="Times New Roman" w:eastAsia="MS Mincho" w:hAnsi="Times New Roman" w:cs="Times New Roman"/>
      <w:b/>
      <w:bCs/>
      <w:color w:val="000000"/>
      <w:lang w:val="en-US" w:eastAsia="en-US"/>
    </w:rPr>
  </w:style>
  <w:style w:type="paragraph" w:customStyle="1" w:styleId="Default">
    <w:name w:val="Default"/>
    <w:rsid w:val="00124389"/>
    <w:pPr>
      <w:autoSpaceDE w:val="0"/>
      <w:autoSpaceDN w:val="0"/>
      <w:adjustRightInd w:val="0"/>
    </w:pPr>
    <w:rPr>
      <w:rFonts w:ascii="Times New Roman" w:hAnsi="Times New Roman" w:cs="Times New Roman"/>
      <w:color w:val="000000"/>
      <w:sz w:val="24"/>
      <w:szCs w:val="24"/>
    </w:rPr>
  </w:style>
  <w:style w:type="paragraph" w:customStyle="1" w:styleId="C-BodyText">
    <w:name w:val="C-Body Text"/>
    <w:link w:val="C-BodyTextChar"/>
    <w:rsid w:val="005159B8"/>
    <w:pPr>
      <w:spacing w:before="120" w:after="120" w:line="280" w:lineRule="atLeast"/>
    </w:pPr>
    <w:rPr>
      <w:rFonts w:ascii="Times New Roman" w:eastAsia="Times New Roman" w:hAnsi="Times New Roman" w:cs="Times New Roman"/>
      <w:sz w:val="24"/>
      <w:lang w:val="en-US" w:eastAsia="en-US"/>
    </w:rPr>
  </w:style>
  <w:style w:type="character" w:customStyle="1" w:styleId="C-BodyTextChar">
    <w:name w:val="C-Body Text Char"/>
    <w:link w:val="C-BodyText"/>
    <w:rsid w:val="005159B8"/>
    <w:rPr>
      <w:rFonts w:ascii="Times New Roman" w:eastAsia="Times New Roman" w:hAnsi="Times New Roman" w:cs="Times New Roman"/>
      <w:sz w:val="24"/>
      <w:lang w:val="en-US" w:eastAsia="en-US"/>
    </w:rPr>
  </w:style>
  <w:style w:type="paragraph" w:customStyle="1" w:styleId="SectionHeadings">
    <w:name w:val="Section Headings"/>
    <w:basedOn w:val="Normal"/>
    <w:next w:val="Normal"/>
    <w:rsid w:val="004238E6"/>
    <w:pPr>
      <w:keepNext/>
      <w:keepLines/>
      <w:spacing w:after="120"/>
    </w:pPr>
    <w:rPr>
      <w:rFonts w:eastAsia="Times New Roman"/>
      <w:b/>
      <w:caps/>
      <w:color w:val="auto"/>
    </w:rPr>
  </w:style>
  <w:style w:type="paragraph" w:customStyle="1" w:styleId="TableParagraph">
    <w:name w:val="Table Paragraph"/>
    <w:basedOn w:val="Normal"/>
    <w:uiPriority w:val="1"/>
    <w:qFormat/>
    <w:rsid w:val="00C9769E"/>
    <w:pPr>
      <w:widowControl w:val="0"/>
      <w:spacing w:before="0"/>
    </w:pPr>
    <w:rPr>
      <w:rFonts w:asciiTheme="minorHAnsi" w:eastAsiaTheme="minorHAnsi" w:hAnsiTheme="minorHAnsi" w:cstheme="minorBidi"/>
      <w:color w:val="auto"/>
      <w:sz w:val="22"/>
      <w:szCs w:val="22"/>
    </w:rPr>
  </w:style>
  <w:style w:type="paragraph" w:customStyle="1" w:styleId="C-Footnote">
    <w:name w:val="C-Footnote"/>
    <w:basedOn w:val="Normal"/>
    <w:qFormat/>
    <w:rsid w:val="0000133E"/>
    <w:pPr>
      <w:tabs>
        <w:tab w:val="left" w:pos="144"/>
      </w:tabs>
      <w:spacing w:before="0"/>
    </w:pPr>
    <w:rPr>
      <w:rFonts w:eastAsia="Times New Roman" w:cs="Arial"/>
      <w:color w:val="auto"/>
      <w:sz w:val="20"/>
      <w:szCs w:val="20"/>
    </w:rPr>
  </w:style>
  <w:style w:type="table" w:customStyle="1" w:styleId="C-Table">
    <w:name w:val="C-Table"/>
    <w:basedOn w:val="TableNormal"/>
    <w:rsid w:val="000B2F53"/>
    <w:rPr>
      <w:rFonts w:ascii="Times New Roman" w:eastAsia="Times New Roman" w:hAnsi="Times New Roman" w:cs="Times New Roman"/>
      <w:lang w:val="en-US" w:eastAsia="en-US"/>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styleId="BodyText">
    <w:name w:val="Body Text"/>
    <w:basedOn w:val="Normal"/>
    <w:link w:val="BodyTextChar"/>
    <w:semiHidden/>
    <w:unhideWhenUsed/>
    <w:rsid w:val="00D42314"/>
    <w:pPr>
      <w:tabs>
        <w:tab w:val="left" w:pos="900"/>
      </w:tabs>
      <w:spacing w:before="180" w:after="180"/>
    </w:pPr>
    <w:rPr>
      <w:rFonts w:ascii="Arial" w:eastAsia="Times New Roman" w:hAnsi="Arial"/>
      <w:sz w:val="16"/>
      <w:szCs w:val="20"/>
    </w:rPr>
  </w:style>
  <w:style w:type="character" w:customStyle="1" w:styleId="BodyTextChar">
    <w:name w:val="Body Text Char"/>
    <w:basedOn w:val="DefaultParagraphFont"/>
    <w:link w:val="BodyText"/>
    <w:semiHidden/>
    <w:rsid w:val="00D42314"/>
    <w:rPr>
      <w:rFonts w:ascii="Arial" w:eastAsia="Times New Roman" w:hAnsi="Arial" w:cs="Times New Roman"/>
      <w:color w:val="000000"/>
      <w:sz w:val="16"/>
      <w:lang w:val="en-US" w:eastAsia="en-US"/>
    </w:rPr>
  </w:style>
  <w:style w:type="paragraph" w:customStyle="1" w:styleId="CM33">
    <w:name w:val="CM33"/>
    <w:basedOn w:val="Default"/>
    <w:next w:val="Default"/>
    <w:uiPriority w:val="99"/>
    <w:rsid w:val="00EE55A9"/>
    <w:rPr>
      <w:rFonts w:ascii="Calibri" w:hAnsi="Calibri" w:cs="Calibri"/>
      <w:color w:val="auto"/>
    </w:rPr>
  </w:style>
  <w:style w:type="paragraph" w:styleId="Revision">
    <w:name w:val="Revision"/>
    <w:hidden/>
    <w:uiPriority w:val="99"/>
    <w:semiHidden/>
    <w:rsid w:val="0031188C"/>
    <w:rPr>
      <w:rFonts w:ascii="Times New Roman" w:eastAsia="MS Mincho" w:hAnsi="Times New Roman" w:cs="Times New Roman"/>
      <w:color w:val="000000"/>
      <w:sz w:val="24"/>
      <w:szCs w:val="24"/>
      <w:lang w:val="en-US" w:eastAsia="en-US"/>
    </w:rPr>
  </w:style>
  <w:style w:type="table" w:customStyle="1" w:styleId="TableGridNoLine1">
    <w:name w:val="Table Grid No Line1"/>
    <w:basedOn w:val="TableNormal"/>
    <w:next w:val="TableGrid"/>
    <w:uiPriority w:val="39"/>
    <w:rsid w:val="007107B1"/>
    <w:rPr>
      <w:rFonts w:eastAsia="Yu Mincho"/>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aptionChar2">
    <w:name w:val="Caption Char2"/>
    <w:aliases w:val="Caption Char Char2,Bayer Caption Char,Beschriftung1 Char,Caption Char1 Char,Caption Char Char Char,Caption Char1 Char Char Char, Char Char,Char Char,caption Char,Caption-FUSA Char,Caption Char Char Char Char Char,Caption Char Char1 Char"/>
    <w:link w:val="Caption"/>
    <w:locked/>
    <w:rsid w:val="00A353C4"/>
    <w:rPr>
      <w:rFonts w:ascii="Times New Roman" w:eastAsia="MS Gothic" w:hAnsi="Times New Roman" w:cs="Times New Roman"/>
      <w:b/>
      <w:bCs/>
      <w:lang w:val="en-US" w:eastAsia="en-US"/>
    </w:rPr>
  </w:style>
  <w:style w:type="table" w:customStyle="1" w:styleId="TableGrid1">
    <w:name w:val="Table Grid1"/>
    <w:basedOn w:val="TableNormal"/>
    <w:next w:val="TableGrid"/>
    <w:uiPriority w:val="39"/>
    <w:rsid w:val="002326FA"/>
    <w:rPr>
      <w:rFonts w:ascii="Times New Roman" w:eastAsia="Times New Roman" w:hAnsi="Times New Roman" w:cs="Times New Roman"/>
      <w:lang w:val="de-DE"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3100">
      <w:bodyDiv w:val="1"/>
      <w:marLeft w:val="0"/>
      <w:marRight w:val="0"/>
      <w:marTop w:val="0"/>
      <w:marBottom w:val="0"/>
      <w:divBdr>
        <w:top w:val="none" w:sz="0" w:space="0" w:color="auto"/>
        <w:left w:val="none" w:sz="0" w:space="0" w:color="auto"/>
        <w:bottom w:val="none" w:sz="0" w:space="0" w:color="auto"/>
        <w:right w:val="none" w:sz="0" w:space="0" w:color="auto"/>
      </w:divBdr>
    </w:div>
    <w:div w:id="34817658">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77550846">
      <w:bodyDiv w:val="1"/>
      <w:marLeft w:val="0"/>
      <w:marRight w:val="0"/>
      <w:marTop w:val="0"/>
      <w:marBottom w:val="0"/>
      <w:divBdr>
        <w:top w:val="none" w:sz="0" w:space="0" w:color="auto"/>
        <w:left w:val="none" w:sz="0" w:space="0" w:color="auto"/>
        <w:bottom w:val="none" w:sz="0" w:space="0" w:color="auto"/>
        <w:right w:val="none" w:sz="0" w:space="0" w:color="auto"/>
      </w:divBdr>
    </w:div>
    <w:div w:id="189805028">
      <w:bodyDiv w:val="1"/>
      <w:marLeft w:val="0"/>
      <w:marRight w:val="0"/>
      <w:marTop w:val="0"/>
      <w:marBottom w:val="0"/>
      <w:divBdr>
        <w:top w:val="none" w:sz="0" w:space="0" w:color="auto"/>
        <w:left w:val="none" w:sz="0" w:space="0" w:color="auto"/>
        <w:bottom w:val="none" w:sz="0" w:space="0" w:color="auto"/>
        <w:right w:val="none" w:sz="0" w:space="0" w:color="auto"/>
      </w:divBdr>
    </w:div>
    <w:div w:id="215121605">
      <w:bodyDiv w:val="1"/>
      <w:marLeft w:val="0"/>
      <w:marRight w:val="0"/>
      <w:marTop w:val="0"/>
      <w:marBottom w:val="0"/>
      <w:divBdr>
        <w:top w:val="none" w:sz="0" w:space="0" w:color="auto"/>
        <w:left w:val="none" w:sz="0" w:space="0" w:color="auto"/>
        <w:bottom w:val="none" w:sz="0" w:space="0" w:color="auto"/>
        <w:right w:val="none" w:sz="0" w:space="0" w:color="auto"/>
      </w:divBdr>
    </w:div>
    <w:div w:id="379863752">
      <w:bodyDiv w:val="1"/>
      <w:marLeft w:val="0"/>
      <w:marRight w:val="0"/>
      <w:marTop w:val="0"/>
      <w:marBottom w:val="0"/>
      <w:divBdr>
        <w:top w:val="none" w:sz="0" w:space="0" w:color="auto"/>
        <w:left w:val="none" w:sz="0" w:space="0" w:color="auto"/>
        <w:bottom w:val="none" w:sz="0" w:space="0" w:color="auto"/>
        <w:right w:val="none" w:sz="0" w:space="0" w:color="auto"/>
      </w:divBdr>
    </w:div>
    <w:div w:id="393705441">
      <w:bodyDiv w:val="1"/>
      <w:marLeft w:val="0"/>
      <w:marRight w:val="0"/>
      <w:marTop w:val="0"/>
      <w:marBottom w:val="0"/>
      <w:divBdr>
        <w:top w:val="none" w:sz="0" w:space="0" w:color="auto"/>
        <w:left w:val="none" w:sz="0" w:space="0" w:color="auto"/>
        <w:bottom w:val="none" w:sz="0" w:space="0" w:color="auto"/>
        <w:right w:val="none" w:sz="0" w:space="0" w:color="auto"/>
      </w:divBdr>
    </w:div>
    <w:div w:id="395517038">
      <w:bodyDiv w:val="1"/>
      <w:marLeft w:val="0"/>
      <w:marRight w:val="0"/>
      <w:marTop w:val="0"/>
      <w:marBottom w:val="0"/>
      <w:divBdr>
        <w:top w:val="none" w:sz="0" w:space="0" w:color="auto"/>
        <w:left w:val="none" w:sz="0" w:space="0" w:color="auto"/>
        <w:bottom w:val="none" w:sz="0" w:space="0" w:color="auto"/>
        <w:right w:val="none" w:sz="0" w:space="0" w:color="auto"/>
      </w:divBdr>
    </w:div>
    <w:div w:id="412434010">
      <w:bodyDiv w:val="1"/>
      <w:marLeft w:val="0"/>
      <w:marRight w:val="0"/>
      <w:marTop w:val="0"/>
      <w:marBottom w:val="0"/>
      <w:divBdr>
        <w:top w:val="none" w:sz="0" w:space="0" w:color="auto"/>
        <w:left w:val="none" w:sz="0" w:space="0" w:color="auto"/>
        <w:bottom w:val="none" w:sz="0" w:space="0" w:color="auto"/>
        <w:right w:val="none" w:sz="0" w:space="0" w:color="auto"/>
      </w:divBdr>
    </w:div>
    <w:div w:id="483477105">
      <w:bodyDiv w:val="1"/>
      <w:marLeft w:val="0"/>
      <w:marRight w:val="0"/>
      <w:marTop w:val="0"/>
      <w:marBottom w:val="0"/>
      <w:divBdr>
        <w:top w:val="none" w:sz="0" w:space="0" w:color="auto"/>
        <w:left w:val="none" w:sz="0" w:space="0" w:color="auto"/>
        <w:bottom w:val="none" w:sz="0" w:space="0" w:color="auto"/>
        <w:right w:val="none" w:sz="0" w:space="0" w:color="auto"/>
      </w:divBdr>
      <w:divsChild>
        <w:div w:id="789322371">
          <w:marLeft w:val="240"/>
          <w:marRight w:val="0"/>
          <w:marTop w:val="0"/>
          <w:marBottom w:val="0"/>
          <w:divBdr>
            <w:top w:val="none" w:sz="0" w:space="0" w:color="auto"/>
            <w:left w:val="none" w:sz="0" w:space="0" w:color="auto"/>
            <w:bottom w:val="none" w:sz="0" w:space="0" w:color="auto"/>
            <w:right w:val="none" w:sz="0" w:space="0" w:color="auto"/>
          </w:divBdr>
        </w:div>
      </w:divsChild>
    </w:div>
    <w:div w:id="600407404">
      <w:bodyDiv w:val="1"/>
      <w:marLeft w:val="0"/>
      <w:marRight w:val="0"/>
      <w:marTop w:val="0"/>
      <w:marBottom w:val="0"/>
      <w:divBdr>
        <w:top w:val="none" w:sz="0" w:space="0" w:color="auto"/>
        <w:left w:val="none" w:sz="0" w:space="0" w:color="auto"/>
        <w:bottom w:val="none" w:sz="0" w:space="0" w:color="auto"/>
        <w:right w:val="none" w:sz="0" w:space="0" w:color="auto"/>
      </w:divBdr>
    </w:div>
    <w:div w:id="601766803">
      <w:bodyDiv w:val="1"/>
      <w:marLeft w:val="0"/>
      <w:marRight w:val="0"/>
      <w:marTop w:val="0"/>
      <w:marBottom w:val="0"/>
      <w:divBdr>
        <w:top w:val="none" w:sz="0" w:space="0" w:color="auto"/>
        <w:left w:val="none" w:sz="0" w:space="0" w:color="auto"/>
        <w:bottom w:val="none" w:sz="0" w:space="0" w:color="auto"/>
        <w:right w:val="none" w:sz="0" w:space="0" w:color="auto"/>
      </w:divBdr>
    </w:div>
    <w:div w:id="663364018">
      <w:bodyDiv w:val="1"/>
      <w:marLeft w:val="0"/>
      <w:marRight w:val="0"/>
      <w:marTop w:val="0"/>
      <w:marBottom w:val="0"/>
      <w:divBdr>
        <w:top w:val="none" w:sz="0" w:space="0" w:color="auto"/>
        <w:left w:val="none" w:sz="0" w:space="0" w:color="auto"/>
        <w:bottom w:val="none" w:sz="0" w:space="0" w:color="auto"/>
        <w:right w:val="none" w:sz="0" w:space="0" w:color="auto"/>
      </w:divBdr>
    </w:div>
    <w:div w:id="722948891">
      <w:bodyDiv w:val="1"/>
      <w:marLeft w:val="0"/>
      <w:marRight w:val="0"/>
      <w:marTop w:val="0"/>
      <w:marBottom w:val="0"/>
      <w:divBdr>
        <w:top w:val="none" w:sz="0" w:space="0" w:color="auto"/>
        <w:left w:val="none" w:sz="0" w:space="0" w:color="auto"/>
        <w:bottom w:val="none" w:sz="0" w:space="0" w:color="auto"/>
        <w:right w:val="none" w:sz="0" w:space="0" w:color="auto"/>
      </w:divBdr>
    </w:div>
    <w:div w:id="779421114">
      <w:bodyDiv w:val="1"/>
      <w:marLeft w:val="0"/>
      <w:marRight w:val="0"/>
      <w:marTop w:val="0"/>
      <w:marBottom w:val="0"/>
      <w:divBdr>
        <w:top w:val="none" w:sz="0" w:space="0" w:color="auto"/>
        <w:left w:val="none" w:sz="0" w:space="0" w:color="auto"/>
        <w:bottom w:val="none" w:sz="0" w:space="0" w:color="auto"/>
        <w:right w:val="none" w:sz="0" w:space="0" w:color="auto"/>
      </w:divBdr>
    </w:div>
    <w:div w:id="813521202">
      <w:bodyDiv w:val="1"/>
      <w:marLeft w:val="0"/>
      <w:marRight w:val="0"/>
      <w:marTop w:val="0"/>
      <w:marBottom w:val="0"/>
      <w:divBdr>
        <w:top w:val="none" w:sz="0" w:space="0" w:color="auto"/>
        <w:left w:val="none" w:sz="0" w:space="0" w:color="auto"/>
        <w:bottom w:val="none" w:sz="0" w:space="0" w:color="auto"/>
        <w:right w:val="none" w:sz="0" w:space="0" w:color="auto"/>
      </w:divBdr>
    </w:div>
    <w:div w:id="886995408">
      <w:bodyDiv w:val="1"/>
      <w:marLeft w:val="0"/>
      <w:marRight w:val="0"/>
      <w:marTop w:val="0"/>
      <w:marBottom w:val="0"/>
      <w:divBdr>
        <w:top w:val="none" w:sz="0" w:space="0" w:color="auto"/>
        <w:left w:val="none" w:sz="0" w:space="0" w:color="auto"/>
        <w:bottom w:val="none" w:sz="0" w:space="0" w:color="auto"/>
        <w:right w:val="none" w:sz="0" w:space="0" w:color="auto"/>
      </w:divBdr>
    </w:div>
    <w:div w:id="893737976">
      <w:bodyDiv w:val="1"/>
      <w:marLeft w:val="0"/>
      <w:marRight w:val="0"/>
      <w:marTop w:val="0"/>
      <w:marBottom w:val="0"/>
      <w:divBdr>
        <w:top w:val="none" w:sz="0" w:space="0" w:color="auto"/>
        <w:left w:val="none" w:sz="0" w:space="0" w:color="auto"/>
        <w:bottom w:val="none" w:sz="0" w:space="0" w:color="auto"/>
        <w:right w:val="none" w:sz="0" w:space="0" w:color="auto"/>
      </w:divBdr>
    </w:div>
    <w:div w:id="984431912">
      <w:bodyDiv w:val="1"/>
      <w:marLeft w:val="0"/>
      <w:marRight w:val="0"/>
      <w:marTop w:val="0"/>
      <w:marBottom w:val="0"/>
      <w:divBdr>
        <w:top w:val="none" w:sz="0" w:space="0" w:color="auto"/>
        <w:left w:val="none" w:sz="0" w:space="0" w:color="auto"/>
        <w:bottom w:val="none" w:sz="0" w:space="0" w:color="auto"/>
        <w:right w:val="none" w:sz="0" w:space="0" w:color="auto"/>
      </w:divBdr>
    </w:div>
    <w:div w:id="985085815">
      <w:bodyDiv w:val="1"/>
      <w:marLeft w:val="0"/>
      <w:marRight w:val="0"/>
      <w:marTop w:val="0"/>
      <w:marBottom w:val="0"/>
      <w:divBdr>
        <w:top w:val="none" w:sz="0" w:space="0" w:color="auto"/>
        <w:left w:val="none" w:sz="0" w:space="0" w:color="auto"/>
        <w:bottom w:val="none" w:sz="0" w:space="0" w:color="auto"/>
        <w:right w:val="none" w:sz="0" w:space="0" w:color="auto"/>
      </w:divBdr>
    </w:div>
    <w:div w:id="1006595674">
      <w:bodyDiv w:val="1"/>
      <w:marLeft w:val="0"/>
      <w:marRight w:val="0"/>
      <w:marTop w:val="0"/>
      <w:marBottom w:val="0"/>
      <w:divBdr>
        <w:top w:val="none" w:sz="0" w:space="0" w:color="auto"/>
        <w:left w:val="none" w:sz="0" w:space="0" w:color="auto"/>
        <w:bottom w:val="none" w:sz="0" w:space="0" w:color="auto"/>
        <w:right w:val="none" w:sz="0" w:space="0" w:color="auto"/>
      </w:divBdr>
    </w:div>
    <w:div w:id="1181044535">
      <w:bodyDiv w:val="1"/>
      <w:marLeft w:val="0"/>
      <w:marRight w:val="0"/>
      <w:marTop w:val="0"/>
      <w:marBottom w:val="0"/>
      <w:divBdr>
        <w:top w:val="none" w:sz="0" w:space="0" w:color="auto"/>
        <w:left w:val="none" w:sz="0" w:space="0" w:color="auto"/>
        <w:bottom w:val="none" w:sz="0" w:space="0" w:color="auto"/>
        <w:right w:val="none" w:sz="0" w:space="0" w:color="auto"/>
      </w:divBdr>
    </w:div>
    <w:div w:id="1183206244">
      <w:bodyDiv w:val="1"/>
      <w:marLeft w:val="0"/>
      <w:marRight w:val="0"/>
      <w:marTop w:val="0"/>
      <w:marBottom w:val="0"/>
      <w:divBdr>
        <w:top w:val="none" w:sz="0" w:space="0" w:color="auto"/>
        <w:left w:val="none" w:sz="0" w:space="0" w:color="auto"/>
        <w:bottom w:val="none" w:sz="0" w:space="0" w:color="auto"/>
        <w:right w:val="none" w:sz="0" w:space="0" w:color="auto"/>
      </w:divBdr>
    </w:div>
    <w:div w:id="1232156139">
      <w:bodyDiv w:val="1"/>
      <w:marLeft w:val="0"/>
      <w:marRight w:val="0"/>
      <w:marTop w:val="0"/>
      <w:marBottom w:val="0"/>
      <w:divBdr>
        <w:top w:val="none" w:sz="0" w:space="0" w:color="auto"/>
        <w:left w:val="none" w:sz="0" w:space="0" w:color="auto"/>
        <w:bottom w:val="none" w:sz="0" w:space="0" w:color="auto"/>
        <w:right w:val="none" w:sz="0" w:space="0" w:color="auto"/>
      </w:divBdr>
    </w:div>
    <w:div w:id="1280992089">
      <w:bodyDiv w:val="1"/>
      <w:marLeft w:val="0"/>
      <w:marRight w:val="0"/>
      <w:marTop w:val="0"/>
      <w:marBottom w:val="0"/>
      <w:divBdr>
        <w:top w:val="none" w:sz="0" w:space="0" w:color="auto"/>
        <w:left w:val="none" w:sz="0" w:space="0" w:color="auto"/>
        <w:bottom w:val="none" w:sz="0" w:space="0" w:color="auto"/>
        <w:right w:val="none" w:sz="0" w:space="0" w:color="auto"/>
      </w:divBdr>
    </w:div>
    <w:div w:id="1285817823">
      <w:bodyDiv w:val="1"/>
      <w:marLeft w:val="0"/>
      <w:marRight w:val="0"/>
      <w:marTop w:val="0"/>
      <w:marBottom w:val="0"/>
      <w:divBdr>
        <w:top w:val="none" w:sz="0" w:space="0" w:color="auto"/>
        <w:left w:val="none" w:sz="0" w:space="0" w:color="auto"/>
        <w:bottom w:val="none" w:sz="0" w:space="0" w:color="auto"/>
        <w:right w:val="none" w:sz="0" w:space="0" w:color="auto"/>
      </w:divBdr>
    </w:div>
    <w:div w:id="1380782575">
      <w:bodyDiv w:val="1"/>
      <w:marLeft w:val="0"/>
      <w:marRight w:val="0"/>
      <w:marTop w:val="0"/>
      <w:marBottom w:val="0"/>
      <w:divBdr>
        <w:top w:val="none" w:sz="0" w:space="0" w:color="auto"/>
        <w:left w:val="none" w:sz="0" w:space="0" w:color="auto"/>
        <w:bottom w:val="none" w:sz="0" w:space="0" w:color="auto"/>
        <w:right w:val="none" w:sz="0" w:space="0" w:color="auto"/>
      </w:divBdr>
    </w:div>
    <w:div w:id="1406076537">
      <w:bodyDiv w:val="1"/>
      <w:marLeft w:val="0"/>
      <w:marRight w:val="0"/>
      <w:marTop w:val="0"/>
      <w:marBottom w:val="0"/>
      <w:divBdr>
        <w:top w:val="none" w:sz="0" w:space="0" w:color="auto"/>
        <w:left w:val="none" w:sz="0" w:space="0" w:color="auto"/>
        <w:bottom w:val="none" w:sz="0" w:space="0" w:color="auto"/>
        <w:right w:val="none" w:sz="0" w:space="0" w:color="auto"/>
      </w:divBdr>
    </w:div>
    <w:div w:id="1406301296">
      <w:bodyDiv w:val="1"/>
      <w:marLeft w:val="0"/>
      <w:marRight w:val="0"/>
      <w:marTop w:val="0"/>
      <w:marBottom w:val="0"/>
      <w:divBdr>
        <w:top w:val="none" w:sz="0" w:space="0" w:color="auto"/>
        <w:left w:val="none" w:sz="0" w:space="0" w:color="auto"/>
        <w:bottom w:val="none" w:sz="0" w:space="0" w:color="auto"/>
        <w:right w:val="none" w:sz="0" w:space="0" w:color="auto"/>
      </w:divBdr>
    </w:div>
    <w:div w:id="1729300120">
      <w:bodyDiv w:val="1"/>
      <w:marLeft w:val="0"/>
      <w:marRight w:val="0"/>
      <w:marTop w:val="0"/>
      <w:marBottom w:val="0"/>
      <w:divBdr>
        <w:top w:val="none" w:sz="0" w:space="0" w:color="auto"/>
        <w:left w:val="none" w:sz="0" w:space="0" w:color="auto"/>
        <w:bottom w:val="none" w:sz="0" w:space="0" w:color="auto"/>
        <w:right w:val="none" w:sz="0" w:space="0" w:color="auto"/>
      </w:divBdr>
    </w:div>
    <w:div w:id="1731613869">
      <w:bodyDiv w:val="1"/>
      <w:marLeft w:val="0"/>
      <w:marRight w:val="0"/>
      <w:marTop w:val="0"/>
      <w:marBottom w:val="0"/>
      <w:divBdr>
        <w:top w:val="none" w:sz="0" w:space="0" w:color="auto"/>
        <w:left w:val="none" w:sz="0" w:space="0" w:color="auto"/>
        <w:bottom w:val="none" w:sz="0" w:space="0" w:color="auto"/>
        <w:right w:val="none" w:sz="0" w:space="0" w:color="auto"/>
      </w:divBdr>
    </w:div>
    <w:div w:id="1757358669">
      <w:bodyDiv w:val="1"/>
      <w:marLeft w:val="0"/>
      <w:marRight w:val="0"/>
      <w:marTop w:val="0"/>
      <w:marBottom w:val="0"/>
      <w:divBdr>
        <w:top w:val="none" w:sz="0" w:space="0" w:color="auto"/>
        <w:left w:val="none" w:sz="0" w:space="0" w:color="auto"/>
        <w:bottom w:val="none" w:sz="0" w:space="0" w:color="auto"/>
        <w:right w:val="none" w:sz="0" w:space="0" w:color="auto"/>
      </w:divBdr>
    </w:div>
    <w:div w:id="1759788990">
      <w:bodyDiv w:val="1"/>
      <w:marLeft w:val="0"/>
      <w:marRight w:val="0"/>
      <w:marTop w:val="0"/>
      <w:marBottom w:val="0"/>
      <w:divBdr>
        <w:top w:val="none" w:sz="0" w:space="0" w:color="auto"/>
        <w:left w:val="none" w:sz="0" w:space="0" w:color="auto"/>
        <w:bottom w:val="none" w:sz="0" w:space="0" w:color="auto"/>
        <w:right w:val="none" w:sz="0" w:space="0" w:color="auto"/>
      </w:divBdr>
    </w:div>
    <w:div w:id="1778063083">
      <w:bodyDiv w:val="1"/>
      <w:marLeft w:val="0"/>
      <w:marRight w:val="0"/>
      <w:marTop w:val="0"/>
      <w:marBottom w:val="0"/>
      <w:divBdr>
        <w:top w:val="none" w:sz="0" w:space="0" w:color="auto"/>
        <w:left w:val="none" w:sz="0" w:space="0" w:color="auto"/>
        <w:bottom w:val="none" w:sz="0" w:space="0" w:color="auto"/>
        <w:right w:val="none" w:sz="0" w:space="0" w:color="auto"/>
      </w:divBdr>
    </w:div>
    <w:div w:id="1883590925">
      <w:bodyDiv w:val="1"/>
      <w:marLeft w:val="0"/>
      <w:marRight w:val="0"/>
      <w:marTop w:val="0"/>
      <w:marBottom w:val="0"/>
      <w:divBdr>
        <w:top w:val="none" w:sz="0" w:space="0" w:color="auto"/>
        <w:left w:val="none" w:sz="0" w:space="0" w:color="auto"/>
        <w:bottom w:val="none" w:sz="0" w:space="0" w:color="auto"/>
        <w:right w:val="none" w:sz="0" w:space="0" w:color="auto"/>
      </w:divBdr>
      <w:divsChild>
        <w:div w:id="1027565458">
          <w:blockQuote w:val="1"/>
          <w:marLeft w:val="480"/>
          <w:marRight w:val="480"/>
          <w:marTop w:val="240"/>
          <w:marBottom w:val="240"/>
          <w:divBdr>
            <w:top w:val="none" w:sz="0" w:space="0" w:color="auto"/>
            <w:left w:val="none" w:sz="0" w:space="0" w:color="auto"/>
            <w:bottom w:val="none" w:sz="0" w:space="0" w:color="auto"/>
            <w:right w:val="none" w:sz="0" w:space="0" w:color="auto"/>
          </w:divBdr>
        </w:div>
      </w:divsChild>
    </w:div>
    <w:div w:id="1945261808">
      <w:bodyDiv w:val="1"/>
      <w:marLeft w:val="0"/>
      <w:marRight w:val="0"/>
      <w:marTop w:val="0"/>
      <w:marBottom w:val="0"/>
      <w:divBdr>
        <w:top w:val="none" w:sz="0" w:space="0" w:color="auto"/>
        <w:left w:val="none" w:sz="0" w:space="0" w:color="auto"/>
        <w:bottom w:val="none" w:sz="0" w:space="0" w:color="auto"/>
        <w:right w:val="none" w:sz="0" w:space="0" w:color="auto"/>
      </w:divBdr>
    </w:div>
    <w:div w:id="212700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ga.gov.au/reporting-problem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ga.gov.au/reporting-problem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CEPL%20docs\AU\Rx\1a.%20PI%20CMI%20&amp;%20Label\1031%20Product%20Information_with%20instructions%20v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773FD59D6C44286D6488EFC2D3F6C" ma:contentTypeVersion="15" ma:contentTypeDescription="Create a new document." ma:contentTypeScope="" ma:versionID="32d928eebaf70ee5df3cfee2df8d0d5e">
  <xsd:schema xmlns:xsd="http://www.w3.org/2001/XMLSchema" xmlns:xs="http://www.w3.org/2001/XMLSchema" xmlns:p="http://schemas.microsoft.com/office/2006/metadata/properties" xmlns:ns2="edf08851-fbbc-47c9-8cf8-ca5d069b2a97" xmlns:ns3="dd0e09b1-0ee7-4574-9a23-8d143963c739" targetNamespace="http://schemas.microsoft.com/office/2006/metadata/properties" ma:root="true" ma:fieldsID="73afa7535f66b1a66c8cdf6824b10d1d" ns2:_="" ns3:_="">
    <xsd:import namespace="edf08851-fbbc-47c9-8cf8-ca5d069b2a97"/>
    <xsd:import namespace="dd0e09b1-0ee7-4574-9a23-8d143963c7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f08851-fbbc-47c9-8cf8-ca5d069b2a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17ac9b6-94c7-4ac9-9297-f41fe3b68e38"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0e09b1-0ee7-4574-9a23-8d143963c73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24846d5-b82b-4758-8b3c-395fbad7a40e}" ma:internalName="TaxCatchAll" ma:showField="CatchAllData" ma:web="dd0e09b1-0ee7-4574-9a23-8d143963c7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df08851-fbbc-47c9-8cf8-ca5d069b2a97">
      <Terms xmlns="http://schemas.microsoft.com/office/infopath/2007/PartnerControls"/>
    </lcf76f155ced4ddcb4097134ff3c332f>
    <TaxCatchAll xmlns="dd0e09b1-0ee7-4574-9a23-8d143963c739" xsi:nil="true"/>
  </documentManagement>
</p:properties>
</file>

<file path=customXml/itemProps1.xml><?xml version="1.0" encoding="utf-8"?>
<ds:datastoreItem xmlns:ds="http://schemas.openxmlformats.org/officeDocument/2006/customXml" ds:itemID="{BD401CEE-2F03-4A88-BB7D-2AD380A622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f08851-fbbc-47c9-8cf8-ca5d069b2a97"/>
    <ds:schemaRef ds:uri="dd0e09b1-0ee7-4574-9a23-8d143963c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40B181-0F29-4D74-B8DF-7D9123ED1CEC}">
  <ds:schemaRefs>
    <ds:schemaRef ds:uri="http://schemas.openxmlformats.org/officeDocument/2006/bibliography"/>
  </ds:schemaRefs>
</ds:datastoreItem>
</file>

<file path=customXml/itemProps3.xml><?xml version="1.0" encoding="utf-8"?>
<ds:datastoreItem xmlns:ds="http://schemas.openxmlformats.org/officeDocument/2006/customXml" ds:itemID="{793D6C70-7B8E-4364-B0D0-EF9C700841F9}">
  <ds:schemaRefs>
    <ds:schemaRef ds:uri="http://schemas.microsoft.com/sharepoint/v3/contenttype/forms"/>
  </ds:schemaRefs>
</ds:datastoreItem>
</file>

<file path=customXml/itemProps4.xml><?xml version="1.0" encoding="utf-8"?>
<ds:datastoreItem xmlns:ds="http://schemas.openxmlformats.org/officeDocument/2006/customXml" ds:itemID="{5A72CE34-ECA1-45DC-A7EF-443CB4116394}">
  <ds:schemaRefs>
    <ds:schemaRef ds:uri="http://schemas.microsoft.com/office/2006/metadata/properties"/>
    <ds:schemaRef ds:uri="http://schemas.microsoft.com/office/infopath/2007/PartnerControls"/>
    <ds:schemaRef ds:uri="edf08851-fbbc-47c9-8cf8-ca5d069b2a97"/>
    <ds:schemaRef ds:uri="dd0e09b1-0ee7-4574-9a23-8d143963c739"/>
  </ds:schemaRefs>
</ds:datastoreItem>
</file>

<file path=docProps/app.xml><?xml version="1.0" encoding="utf-8"?>
<Properties xmlns="http://schemas.openxmlformats.org/officeDocument/2006/extended-properties" xmlns:vt="http://schemas.openxmlformats.org/officeDocument/2006/docPropsVTypes">
  <Template>1031 Product Information_with instructions v3.dotx</Template>
  <TotalTime>2</TotalTime>
  <Pages>13</Pages>
  <Words>3808</Words>
  <Characters>21913</Characters>
  <Application>Microsoft Office Word</Application>
  <DocSecurity>0</DocSecurity>
  <Lines>842</Lines>
  <Paragraphs>627</Paragraphs>
  <ScaleCrop>false</ScaleCrop>
  <HeadingPairs>
    <vt:vector size="2" baseType="variant">
      <vt:variant>
        <vt:lpstr>Title</vt:lpstr>
      </vt:variant>
      <vt:variant>
        <vt:i4>1</vt:i4>
      </vt:variant>
    </vt:vector>
  </HeadingPairs>
  <TitlesOfParts>
    <vt:vector size="1" baseType="lpstr">
      <vt:lpstr>Product Information</vt:lpstr>
    </vt:vector>
  </TitlesOfParts>
  <Company/>
  <LinksUpToDate>false</LinksUpToDate>
  <CharactersWithSpaces>25094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Letybo</dc:title>
  <dc:subject>prescription medicines</dc:subject>
  <dc:creator>CROMA Australia Pty Ltd</dc:creator>
  <cp:keywords/>
  <cp:lastModifiedBy>LACK, Janet</cp:lastModifiedBy>
  <cp:revision>3</cp:revision>
  <cp:lastPrinted>2022-02-17T08:36:00Z</cp:lastPrinted>
  <dcterms:created xsi:type="dcterms:W3CDTF">2023-11-28T04:46:00Z</dcterms:created>
  <dcterms:modified xsi:type="dcterms:W3CDTF">2023-11-28T04:48:00Z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Type of Document</vt:lpwstr>
  </property>
  <property fmtid="{D5CDD505-2E9C-101B-9397-08002B2CF9AE}" pid="3" name="INN">
    <vt:lpwstr>INN</vt:lpwstr>
  </property>
  <property fmtid="{D5CDD505-2E9C-101B-9397-08002B2CF9AE}" pid="4" name="Date">
    <vt:lpwstr>Date</vt:lpwstr>
  </property>
  <property fmtid="{D5CDD505-2E9C-101B-9397-08002B2CF9AE}" pid="5" name="Product Code">
    <vt:lpwstr>Product Code / Study Number</vt:lpwstr>
  </property>
  <property fmtid="{D5CDD505-2E9C-101B-9397-08002B2CF9AE}" pid="6" name="LastRefNum">
    <vt:i4>0</vt:i4>
  </property>
  <property fmtid="{D5CDD505-2E9C-101B-9397-08002B2CF9AE}" pid="7" name="Custom1">
    <vt:lpwstr/>
  </property>
  <property fmtid="{D5CDD505-2E9C-101B-9397-08002B2CF9AE}" pid="8" name="Custom2">
    <vt:lpwstr/>
  </property>
  <property fmtid="{D5CDD505-2E9C-101B-9397-08002B2CF9AE}" pid="9" name="Custom3">
    <vt:lpwstr/>
  </property>
  <property fmtid="{D5CDD505-2E9C-101B-9397-08002B2CF9AE}" pid="10" name="Custom4">
    <vt:lpwstr/>
  </property>
  <property fmtid="{D5CDD505-2E9C-101B-9397-08002B2CF9AE}" pid="11" name="ContentTypeId">
    <vt:lpwstr>0x010100728773FD59D6C44286D6488EFC2D3F6C</vt:lpwstr>
  </property>
  <property fmtid="{D5CDD505-2E9C-101B-9397-08002B2CF9AE}" pid="12" name="MediaServiceImageTags">
    <vt:lpwstr/>
  </property>
</Properties>
</file>