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0DCA865" w:rsidR="00F02AEC" w:rsidRPr="00215D48" w:rsidRDefault="00346EC2" w:rsidP="007452E8">
            <w:pPr>
              <w:pStyle w:val="Title"/>
            </w:pPr>
            <w:r w:rsidRPr="00346EC2">
              <w:t>Australian Public Assessment Report for</w:t>
            </w:r>
            <w:r w:rsidR="00637CDC">
              <w:t xml:space="preserve"> </w:t>
            </w:r>
            <w:r w:rsidR="00637CDC">
              <w:rPr>
                <w:rFonts w:cstheme="minorHAnsi"/>
              </w:rPr>
              <w:t>Korsuva</w:t>
            </w:r>
          </w:p>
        </w:tc>
      </w:tr>
      <w:tr w:rsidR="00F02AEC" w:rsidRPr="00215D48" w14:paraId="318A40A3" w14:textId="77777777" w:rsidTr="00346EC2">
        <w:trPr>
          <w:trHeight w:val="995"/>
        </w:trPr>
        <w:tc>
          <w:tcPr>
            <w:tcW w:w="8720" w:type="dxa"/>
          </w:tcPr>
          <w:p w14:paraId="1AA7C701" w14:textId="136AA432" w:rsidR="00F02AEC" w:rsidRPr="00215D48" w:rsidRDefault="00346EC2" w:rsidP="007452E8">
            <w:pPr>
              <w:pStyle w:val="Subtitle"/>
              <w:ind w:left="0"/>
            </w:pPr>
            <w:r w:rsidRPr="00346EC2">
              <w:t>Active ingredient:</w:t>
            </w:r>
            <w:r w:rsidR="00637CDC">
              <w:t xml:space="preserve"> </w:t>
            </w:r>
            <w:r w:rsidR="00637CDC" w:rsidRPr="00637CDC">
              <w:t>Difelikefalin</w:t>
            </w:r>
          </w:p>
        </w:tc>
      </w:tr>
      <w:tr w:rsidR="00346EC2" w:rsidRPr="00215D48" w14:paraId="362CCAE4" w14:textId="77777777" w:rsidTr="007452E8">
        <w:trPr>
          <w:trHeight w:val="1916"/>
        </w:trPr>
        <w:tc>
          <w:tcPr>
            <w:tcW w:w="8720" w:type="dxa"/>
          </w:tcPr>
          <w:p w14:paraId="709C45C0" w14:textId="10B8559F" w:rsidR="00346EC2" w:rsidRPr="00215D48" w:rsidRDefault="00346EC2" w:rsidP="007452E8">
            <w:pPr>
              <w:pStyle w:val="Subtitle"/>
              <w:ind w:left="0"/>
            </w:pPr>
            <w:r w:rsidRPr="00346EC2">
              <w:t>Sponsor:</w:t>
            </w:r>
            <w:r w:rsidR="00637CDC">
              <w:t xml:space="preserve"> </w:t>
            </w:r>
            <w:r w:rsidR="00637CDC" w:rsidRPr="00637CDC">
              <w:t>Vifor Pharma Pty Ltd</w:t>
            </w:r>
          </w:p>
        </w:tc>
      </w:tr>
      <w:tr w:rsidR="00F02AEC" w:rsidRPr="00215D48" w14:paraId="37F2AA1F" w14:textId="77777777" w:rsidTr="007452E8">
        <w:tc>
          <w:tcPr>
            <w:tcW w:w="8720" w:type="dxa"/>
          </w:tcPr>
          <w:p w14:paraId="1FDE8DCD" w14:textId="662961D6" w:rsidR="00F02AEC" w:rsidRPr="00215D48" w:rsidRDefault="007D1271" w:rsidP="007452E8">
            <w:pPr>
              <w:pStyle w:val="Date"/>
            </w:pPr>
            <w:r>
              <w:t>November</w:t>
            </w:r>
            <w:r w:rsidR="00E81FD4">
              <w:t xml:space="preserve"> </w:t>
            </w:r>
            <w:r w:rsidR="00637CDC">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5DAFB89"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6FE090C5"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8697601"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r w:rsidR="00146C4A">
        <w:rPr>
          <w:rFonts w:cs="Arial"/>
        </w:rPr>
        <w:t xml:space="preserve"> </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1580048" w14:textId="7B4088F1" w:rsidR="00B44DE2"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7404295" w:history="1">
            <w:r w:rsidR="00B44DE2" w:rsidRPr="005A2A92">
              <w:rPr>
                <w:rStyle w:val="Hyperlink"/>
                <w:noProof/>
              </w:rPr>
              <w:t>List of abbreviations</w:t>
            </w:r>
            <w:r w:rsidR="00B44DE2">
              <w:rPr>
                <w:noProof/>
                <w:webHidden/>
              </w:rPr>
              <w:tab/>
            </w:r>
            <w:r w:rsidR="00B44DE2">
              <w:rPr>
                <w:noProof/>
                <w:webHidden/>
              </w:rPr>
              <w:fldChar w:fldCharType="begin"/>
            </w:r>
            <w:r w:rsidR="00B44DE2">
              <w:rPr>
                <w:noProof/>
                <w:webHidden/>
              </w:rPr>
              <w:instrText xml:space="preserve"> PAGEREF _Toc147404295 \h </w:instrText>
            </w:r>
            <w:r w:rsidR="00B44DE2">
              <w:rPr>
                <w:noProof/>
                <w:webHidden/>
              </w:rPr>
            </w:r>
            <w:r w:rsidR="00B44DE2">
              <w:rPr>
                <w:noProof/>
                <w:webHidden/>
              </w:rPr>
              <w:fldChar w:fldCharType="separate"/>
            </w:r>
            <w:r w:rsidR="00B44DE2">
              <w:rPr>
                <w:noProof/>
                <w:webHidden/>
              </w:rPr>
              <w:t>4</w:t>
            </w:r>
            <w:r w:rsidR="00B44DE2">
              <w:rPr>
                <w:noProof/>
                <w:webHidden/>
              </w:rPr>
              <w:fldChar w:fldCharType="end"/>
            </w:r>
          </w:hyperlink>
        </w:p>
        <w:p w14:paraId="780F7E74" w14:textId="43C2E9C8" w:rsidR="00B44DE2" w:rsidRDefault="00B22495">
          <w:pPr>
            <w:pStyle w:val="TOC1"/>
            <w:rPr>
              <w:rFonts w:asciiTheme="minorHAnsi" w:eastAsiaTheme="minorEastAsia" w:hAnsiTheme="minorHAnsi" w:cstheme="minorBidi"/>
              <w:b w:val="0"/>
              <w:noProof/>
              <w:color w:val="auto"/>
              <w:sz w:val="22"/>
              <w:szCs w:val="22"/>
              <w:lang w:eastAsia="en-AU"/>
            </w:rPr>
          </w:pPr>
          <w:hyperlink w:anchor="_Toc147404296" w:history="1">
            <w:r w:rsidR="00B44DE2" w:rsidRPr="005A2A92">
              <w:rPr>
                <w:rStyle w:val="Hyperlink"/>
                <w:noProof/>
              </w:rPr>
              <w:t>Product submission</w:t>
            </w:r>
            <w:r w:rsidR="00B44DE2">
              <w:rPr>
                <w:noProof/>
                <w:webHidden/>
              </w:rPr>
              <w:tab/>
            </w:r>
            <w:r w:rsidR="00B44DE2">
              <w:rPr>
                <w:noProof/>
                <w:webHidden/>
              </w:rPr>
              <w:fldChar w:fldCharType="begin"/>
            </w:r>
            <w:r w:rsidR="00B44DE2">
              <w:rPr>
                <w:noProof/>
                <w:webHidden/>
              </w:rPr>
              <w:instrText xml:space="preserve"> PAGEREF _Toc147404296 \h </w:instrText>
            </w:r>
            <w:r w:rsidR="00B44DE2">
              <w:rPr>
                <w:noProof/>
                <w:webHidden/>
              </w:rPr>
            </w:r>
            <w:r w:rsidR="00B44DE2">
              <w:rPr>
                <w:noProof/>
                <w:webHidden/>
              </w:rPr>
              <w:fldChar w:fldCharType="separate"/>
            </w:r>
            <w:r w:rsidR="00B44DE2">
              <w:rPr>
                <w:noProof/>
                <w:webHidden/>
              </w:rPr>
              <w:t>6</w:t>
            </w:r>
            <w:r w:rsidR="00B44DE2">
              <w:rPr>
                <w:noProof/>
                <w:webHidden/>
              </w:rPr>
              <w:fldChar w:fldCharType="end"/>
            </w:r>
          </w:hyperlink>
        </w:p>
        <w:p w14:paraId="0573201B" w14:textId="5E29FE90" w:rsidR="00B44DE2" w:rsidRDefault="00B22495">
          <w:pPr>
            <w:pStyle w:val="TOC2"/>
            <w:rPr>
              <w:rFonts w:asciiTheme="minorHAnsi" w:eastAsiaTheme="minorEastAsia" w:hAnsiTheme="minorHAnsi" w:cstheme="minorBidi"/>
              <w:b w:val="0"/>
              <w:noProof/>
              <w:color w:val="auto"/>
              <w:sz w:val="22"/>
              <w:szCs w:val="22"/>
              <w:lang w:eastAsia="en-AU"/>
            </w:rPr>
          </w:pPr>
          <w:hyperlink w:anchor="_Toc147404297" w:history="1">
            <w:r w:rsidR="00B44DE2" w:rsidRPr="005A2A92">
              <w:rPr>
                <w:rStyle w:val="Hyperlink"/>
                <w:noProof/>
                <w:lang w:eastAsia="en-AU"/>
              </w:rPr>
              <w:t>Submission details</w:t>
            </w:r>
            <w:r w:rsidR="00B44DE2">
              <w:rPr>
                <w:noProof/>
                <w:webHidden/>
              </w:rPr>
              <w:tab/>
            </w:r>
            <w:r w:rsidR="00B44DE2">
              <w:rPr>
                <w:noProof/>
                <w:webHidden/>
              </w:rPr>
              <w:fldChar w:fldCharType="begin"/>
            </w:r>
            <w:r w:rsidR="00B44DE2">
              <w:rPr>
                <w:noProof/>
                <w:webHidden/>
              </w:rPr>
              <w:instrText xml:space="preserve"> PAGEREF _Toc147404297 \h </w:instrText>
            </w:r>
            <w:r w:rsidR="00B44DE2">
              <w:rPr>
                <w:noProof/>
                <w:webHidden/>
              </w:rPr>
            </w:r>
            <w:r w:rsidR="00B44DE2">
              <w:rPr>
                <w:noProof/>
                <w:webHidden/>
              </w:rPr>
              <w:fldChar w:fldCharType="separate"/>
            </w:r>
            <w:r w:rsidR="00B44DE2">
              <w:rPr>
                <w:noProof/>
                <w:webHidden/>
              </w:rPr>
              <w:t>6</w:t>
            </w:r>
            <w:r w:rsidR="00B44DE2">
              <w:rPr>
                <w:noProof/>
                <w:webHidden/>
              </w:rPr>
              <w:fldChar w:fldCharType="end"/>
            </w:r>
          </w:hyperlink>
        </w:p>
        <w:p w14:paraId="2CA357F1" w14:textId="77F65162" w:rsidR="00B44DE2" w:rsidRDefault="00B22495">
          <w:pPr>
            <w:pStyle w:val="TOC2"/>
            <w:rPr>
              <w:rFonts w:asciiTheme="minorHAnsi" w:eastAsiaTheme="minorEastAsia" w:hAnsiTheme="minorHAnsi" w:cstheme="minorBidi"/>
              <w:b w:val="0"/>
              <w:noProof/>
              <w:color w:val="auto"/>
              <w:sz w:val="22"/>
              <w:szCs w:val="22"/>
              <w:lang w:eastAsia="en-AU"/>
            </w:rPr>
          </w:pPr>
          <w:hyperlink w:anchor="_Toc147404298" w:history="1">
            <w:r w:rsidR="00B44DE2" w:rsidRPr="005A2A92">
              <w:rPr>
                <w:rStyle w:val="Hyperlink"/>
                <w:noProof/>
              </w:rPr>
              <w:t>Product background</w:t>
            </w:r>
            <w:r w:rsidR="00B44DE2">
              <w:rPr>
                <w:noProof/>
                <w:webHidden/>
              </w:rPr>
              <w:tab/>
            </w:r>
            <w:r w:rsidR="00B44DE2">
              <w:rPr>
                <w:noProof/>
                <w:webHidden/>
              </w:rPr>
              <w:fldChar w:fldCharType="begin"/>
            </w:r>
            <w:r w:rsidR="00B44DE2">
              <w:rPr>
                <w:noProof/>
                <w:webHidden/>
              </w:rPr>
              <w:instrText xml:space="preserve"> PAGEREF _Toc147404298 \h </w:instrText>
            </w:r>
            <w:r w:rsidR="00B44DE2">
              <w:rPr>
                <w:noProof/>
                <w:webHidden/>
              </w:rPr>
            </w:r>
            <w:r w:rsidR="00B44DE2">
              <w:rPr>
                <w:noProof/>
                <w:webHidden/>
              </w:rPr>
              <w:fldChar w:fldCharType="separate"/>
            </w:r>
            <w:r w:rsidR="00B44DE2">
              <w:rPr>
                <w:noProof/>
                <w:webHidden/>
              </w:rPr>
              <w:t>7</w:t>
            </w:r>
            <w:r w:rsidR="00B44DE2">
              <w:rPr>
                <w:noProof/>
                <w:webHidden/>
              </w:rPr>
              <w:fldChar w:fldCharType="end"/>
            </w:r>
          </w:hyperlink>
        </w:p>
        <w:p w14:paraId="117191DE" w14:textId="274EA5EF" w:rsidR="00B44DE2" w:rsidRDefault="00B22495">
          <w:pPr>
            <w:pStyle w:val="TOC3"/>
            <w:rPr>
              <w:rFonts w:asciiTheme="minorHAnsi" w:eastAsiaTheme="minorEastAsia" w:hAnsiTheme="minorHAnsi" w:cstheme="minorBidi"/>
              <w:b w:val="0"/>
              <w:noProof/>
              <w:color w:val="auto"/>
              <w:szCs w:val="22"/>
              <w:lang w:eastAsia="en-AU"/>
            </w:rPr>
          </w:pPr>
          <w:hyperlink w:anchor="_Toc147404299" w:history="1">
            <w:r w:rsidR="00B44DE2" w:rsidRPr="005A2A92">
              <w:rPr>
                <w:rStyle w:val="Hyperlink"/>
                <w:noProof/>
              </w:rPr>
              <w:t>Chronic kidney disease-associated pruritus</w:t>
            </w:r>
            <w:r w:rsidR="00B44DE2">
              <w:rPr>
                <w:noProof/>
                <w:webHidden/>
              </w:rPr>
              <w:tab/>
            </w:r>
            <w:r w:rsidR="00B44DE2">
              <w:rPr>
                <w:noProof/>
                <w:webHidden/>
              </w:rPr>
              <w:fldChar w:fldCharType="begin"/>
            </w:r>
            <w:r w:rsidR="00B44DE2">
              <w:rPr>
                <w:noProof/>
                <w:webHidden/>
              </w:rPr>
              <w:instrText xml:space="preserve"> PAGEREF _Toc147404299 \h </w:instrText>
            </w:r>
            <w:r w:rsidR="00B44DE2">
              <w:rPr>
                <w:noProof/>
                <w:webHidden/>
              </w:rPr>
            </w:r>
            <w:r w:rsidR="00B44DE2">
              <w:rPr>
                <w:noProof/>
                <w:webHidden/>
              </w:rPr>
              <w:fldChar w:fldCharType="separate"/>
            </w:r>
            <w:r w:rsidR="00B44DE2">
              <w:rPr>
                <w:noProof/>
                <w:webHidden/>
              </w:rPr>
              <w:t>7</w:t>
            </w:r>
            <w:r w:rsidR="00B44DE2">
              <w:rPr>
                <w:noProof/>
                <w:webHidden/>
              </w:rPr>
              <w:fldChar w:fldCharType="end"/>
            </w:r>
          </w:hyperlink>
        </w:p>
        <w:p w14:paraId="4CF5B8E8" w14:textId="2BF47CF0" w:rsidR="00B44DE2" w:rsidRDefault="00B22495">
          <w:pPr>
            <w:pStyle w:val="TOC3"/>
            <w:rPr>
              <w:rFonts w:asciiTheme="minorHAnsi" w:eastAsiaTheme="minorEastAsia" w:hAnsiTheme="minorHAnsi" w:cstheme="minorBidi"/>
              <w:b w:val="0"/>
              <w:noProof/>
              <w:color w:val="auto"/>
              <w:szCs w:val="22"/>
              <w:lang w:eastAsia="en-AU"/>
            </w:rPr>
          </w:pPr>
          <w:hyperlink w:anchor="_Toc147404300" w:history="1">
            <w:r w:rsidR="00B44DE2" w:rsidRPr="005A2A92">
              <w:rPr>
                <w:rStyle w:val="Hyperlink"/>
                <w:noProof/>
              </w:rPr>
              <w:t>Current treatment options</w:t>
            </w:r>
            <w:r w:rsidR="00B44DE2">
              <w:rPr>
                <w:noProof/>
                <w:webHidden/>
              </w:rPr>
              <w:tab/>
            </w:r>
            <w:r w:rsidR="00B44DE2">
              <w:rPr>
                <w:noProof/>
                <w:webHidden/>
              </w:rPr>
              <w:fldChar w:fldCharType="begin"/>
            </w:r>
            <w:r w:rsidR="00B44DE2">
              <w:rPr>
                <w:noProof/>
                <w:webHidden/>
              </w:rPr>
              <w:instrText xml:space="preserve"> PAGEREF _Toc147404300 \h </w:instrText>
            </w:r>
            <w:r w:rsidR="00B44DE2">
              <w:rPr>
                <w:noProof/>
                <w:webHidden/>
              </w:rPr>
            </w:r>
            <w:r w:rsidR="00B44DE2">
              <w:rPr>
                <w:noProof/>
                <w:webHidden/>
              </w:rPr>
              <w:fldChar w:fldCharType="separate"/>
            </w:r>
            <w:r w:rsidR="00B44DE2">
              <w:rPr>
                <w:noProof/>
                <w:webHidden/>
              </w:rPr>
              <w:t>8</w:t>
            </w:r>
            <w:r w:rsidR="00B44DE2">
              <w:rPr>
                <w:noProof/>
                <w:webHidden/>
              </w:rPr>
              <w:fldChar w:fldCharType="end"/>
            </w:r>
          </w:hyperlink>
        </w:p>
        <w:p w14:paraId="09C36C29" w14:textId="388FC148" w:rsidR="00B44DE2" w:rsidRDefault="00B22495">
          <w:pPr>
            <w:pStyle w:val="TOC3"/>
            <w:rPr>
              <w:rFonts w:asciiTheme="minorHAnsi" w:eastAsiaTheme="minorEastAsia" w:hAnsiTheme="minorHAnsi" w:cstheme="minorBidi"/>
              <w:b w:val="0"/>
              <w:noProof/>
              <w:color w:val="auto"/>
              <w:szCs w:val="22"/>
              <w:lang w:eastAsia="en-AU"/>
            </w:rPr>
          </w:pPr>
          <w:hyperlink w:anchor="_Toc147404301" w:history="1">
            <w:r w:rsidR="00B44DE2" w:rsidRPr="005A2A92">
              <w:rPr>
                <w:rStyle w:val="Hyperlink"/>
                <w:noProof/>
              </w:rPr>
              <w:t>Clinical rationale</w:t>
            </w:r>
            <w:r w:rsidR="00B44DE2">
              <w:rPr>
                <w:noProof/>
                <w:webHidden/>
              </w:rPr>
              <w:tab/>
            </w:r>
            <w:r w:rsidR="00B44DE2">
              <w:rPr>
                <w:noProof/>
                <w:webHidden/>
              </w:rPr>
              <w:fldChar w:fldCharType="begin"/>
            </w:r>
            <w:r w:rsidR="00B44DE2">
              <w:rPr>
                <w:noProof/>
                <w:webHidden/>
              </w:rPr>
              <w:instrText xml:space="preserve"> PAGEREF _Toc147404301 \h </w:instrText>
            </w:r>
            <w:r w:rsidR="00B44DE2">
              <w:rPr>
                <w:noProof/>
                <w:webHidden/>
              </w:rPr>
            </w:r>
            <w:r w:rsidR="00B44DE2">
              <w:rPr>
                <w:noProof/>
                <w:webHidden/>
              </w:rPr>
              <w:fldChar w:fldCharType="separate"/>
            </w:r>
            <w:r w:rsidR="00B44DE2">
              <w:rPr>
                <w:noProof/>
                <w:webHidden/>
              </w:rPr>
              <w:t>8</w:t>
            </w:r>
            <w:r w:rsidR="00B44DE2">
              <w:rPr>
                <w:noProof/>
                <w:webHidden/>
              </w:rPr>
              <w:fldChar w:fldCharType="end"/>
            </w:r>
          </w:hyperlink>
        </w:p>
        <w:p w14:paraId="29190623" w14:textId="78340DCB"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02" w:history="1">
            <w:r w:rsidR="00B44DE2" w:rsidRPr="005A2A92">
              <w:rPr>
                <w:rStyle w:val="Hyperlink"/>
                <w:noProof/>
              </w:rPr>
              <w:t>Regulatory status</w:t>
            </w:r>
            <w:r w:rsidR="00B44DE2">
              <w:rPr>
                <w:noProof/>
                <w:webHidden/>
              </w:rPr>
              <w:tab/>
            </w:r>
            <w:r w:rsidR="00B44DE2">
              <w:rPr>
                <w:noProof/>
                <w:webHidden/>
              </w:rPr>
              <w:fldChar w:fldCharType="begin"/>
            </w:r>
            <w:r w:rsidR="00B44DE2">
              <w:rPr>
                <w:noProof/>
                <w:webHidden/>
              </w:rPr>
              <w:instrText xml:space="preserve"> PAGEREF _Toc147404302 \h </w:instrText>
            </w:r>
            <w:r w:rsidR="00B44DE2">
              <w:rPr>
                <w:noProof/>
                <w:webHidden/>
              </w:rPr>
            </w:r>
            <w:r w:rsidR="00B44DE2">
              <w:rPr>
                <w:noProof/>
                <w:webHidden/>
              </w:rPr>
              <w:fldChar w:fldCharType="separate"/>
            </w:r>
            <w:r w:rsidR="00B44DE2">
              <w:rPr>
                <w:noProof/>
                <w:webHidden/>
              </w:rPr>
              <w:t>8</w:t>
            </w:r>
            <w:r w:rsidR="00B44DE2">
              <w:rPr>
                <w:noProof/>
                <w:webHidden/>
              </w:rPr>
              <w:fldChar w:fldCharType="end"/>
            </w:r>
          </w:hyperlink>
        </w:p>
        <w:p w14:paraId="400D2AC1" w14:textId="003366DA"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03" w:history="1">
            <w:r w:rsidR="00B44DE2" w:rsidRPr="005A2A92">
              <w:rPr>
                <w:rStyle w:val="Hyperlink"/>
                <w:noProof/>
              </w:rPr>
              <w:t>Product Information</w:t>
            </w:r>
            <w:r w:rsidR="00B44DE2">
              <w:rPr>
                <w:noProof/>
                <w:webHidden/>
              </w:rPr>
              <w:tab/>
            </w:r>
            <w:r w:rsidR="00B44DE2">
              <w:rPr>
                <w:noProof/>
                <w:webHidden/>
              </w:rPr>
              <w:fldChar w:fldCharType="begin"/>
            </w:r>
            <w:r w:rsidR="00B44DE2">
              <w:rPr>
                <w:noProof/>
                <w:webHidden/>
              </w:rPr>
              <w:instrText xml:space="preserve"> PAGEREF _Toc147404303 \h </w:instrText>
            </w:r>
            <w:r w:rsidR="00B44DE2">
              <w:rPr>
                <w:noProof/>
                <w:webHidden/>
              </w:rPr>
            </w:r>
            <w:r w:rsidR="00B44DE2">
              <w:rPr>
                <w:noProof/>
                <w:webHidden/>
              </w:rPr>
              <w:fldChar w:fldCharType="separate"/>
            </w:r>
            <w:r w:rsidR="00B44DE2">
              <w:rPr>
                <w:noProof/>
                <w:webHidden/>
              </w:rPr>
              <w:t>9</w:t>
            </w:r>
            <w:r w:rsidR="00B44DE2">
              <w:rPr>
                <w:noProof/>
                <w:webHidden/>
              </w:rPr>
              <w:fldChar w:fldCharType="end"/>
            </w:r>
          </w:hyperlink>
        </w:p>
        <w:p w14:paraId="542E173D" w14:textId="6A12967F" w:rsidR="00B44DE2" w:rsidRDefault="00B22495">
          <w:pPr>
            <w:pStyle w:val="TOC1"/>
            <w:rPr>
              <w:rFonts w:asciiTheme="minorHAnsi" w:eastAsiaTheme="minorEastAsia" w:hAnsiTheme="minorHAnsi" w:cstheme="minorBidi"/>
              <w:b w:val="0"/>
              <w:noProof/>
              <w:color w:val="auto"/>
              <w:sz w:val="22"/>
              <w:szCs w:val="22"/>
              <w:lang w:eastAsia="en-AU"/>
            </w:rPr>
          </w:pPr>
          <w:hyperlink w:anchor="_Toc147404304" w:history="1">
            <w:r w:rsidR="00B44DE2" w:rsidRPr="005A2A92">
              <w:rPr>
                <w:rStyle w:val="Hyperlink"/>
                <w:noProof/>
              </w:rPr>
              <w:t>Registration timeline</w:t>
            </w:r>
            <w:r w:rsidR="00B44DE2">
              <w:rPr>
                <w:noProof/>
                <w:webHidden/>
              </w:rPr>
              <w:tab/>
            </w:r>
            <w:r w:rsidR="00B44DE2">
              <w:rPr>
                <w:noProof/>
                <w:webHidden/>
              </w:rPr>
              <w:fldChar w:fldCharType="begin"/>
            </w:r>
            <w:r w:rsidR="00B44DE2">
              <w:rPr>
                <w:noProof/>
                <w:webHidden/>
              </w:rPr>
              <w:instrText xml:space="preserve"> PAGEREF _Toc147404304 \h </w:instrText>
            </w:r>
            <w:r w:rsidR="00B44DE2">
              <w:rPr>
                <w:noProof/>
                <w:webHidden/>
              </w:rPr>
            </w:r>
            <w:r w:rsidR="00B44DE2">
              <w:rPr>
                <w:noProof/>
                <w:webHidden/>
              </w:rPr>
              <w:fldChar w:fldCharType="separate"/>
            </w:r>
            <w:r w:rsidR="00B44DE2">
              <w:rPr>
                <w:noProof/>
                <w:webHidden/>
              </w:rPr>
              <w:t>9</w:t>
            </w:r>
            <w:r w:rsidR="00B44DE2">
              <w:rPr>
                <w:noProof/>
                <w:webHidden/>
              </w:rPr>
              <w:fldChar w:fldCharType="end"/>
            </w:r>
          </w:hyperlink>
        </w:p>
        <w:p w14:paraId="073E52EF" w14:textId="1556AAF6" w:rsidR="00B44DE2" w:rsidRDefault="00B22495">
          <w:pPr>
            <w:pStyle w:val="TOC1"/>
            <w:rPr>
              <w:rFonts w:asciiTheme="minorHAnsi" w:eastAsiaTheme="minorEastAsia" w:hAnsiTheme="minorHAnsi" w:cstheme="minorBidi"/>
              <w:b w:val="0"/>
              <w:noProof/>
              <w:color w:val="auto"/>
              <w:sz w:val="22"/>
              <w:szCs w:val="22"/>
              <w:lang w:eastAsia="en-AU"/>
            </w:rPr>
          </w:pPr>
          <w:hyperlink w:anchor="_Toc147404305" w:history="1">
            <w:r w:rsidR="00B44DE2" w:rsidRPr="005A2A92">
              <w:rPr>
                <w:rStyle w:val="Hyperlink"/>
                <w:noProof/>
              </w:rPr>
              <w:t>Submission overview and risk/benefit assessment</w:t>
            </w:r>
            <w:r w:rsidR="00B44DE2">
              <w:rPr>
                <w:noProof/>
                <w:webHidden/>
              </w:rPr>
              <w:tab/>
            </w:r>
            <w:r w:rsidR="00B44DE2">
              <w:rPr>
                <w:noProof/>
                <w:webHidden/>
              </w:rPr>
              <w:fldChar w:fldCharType="begin"/>
            </w:r>
            <w:r w:rsidR="00B44DE2">
              <w:rPr>
                <w:noProof/>
                <w:webHidden/>
              </w:rPr>
              <w:instrText xml:space="preserve"> PAGEREF _Toc147404305 \h </w:instrText>
            </w:r>
            <w:r w:rsidR="00B44DE2">
              <w:rPr>
                <w:noProof/>
                <w:webHidden/>
              </w:rPr>
            </w:r>
            <w:r w:rsidR="00B44DE2">
              <w:rPr>
                <w:noProof/>
                <w:webHidden/>
              </w:rPr>
              <w:fldChar w:fldCharType="separate"/>
            </w:r>
            <w:r w:rsidR="00B44DE2">
              <w:rPr>
                <w:noProof/>
                <w:webHidden/>
              </w:rPr>
              <w:t>10</w:t>
            </w:r>
            <w:r w:rsidR="00B44DE2">
              <w:rPr>
                <w:noProof/>
                <w:webHidden/>
              </w:rPr>
              <w:fldChar w:fldCharType="end"/>
            </w:r>
          </w:hyperlink>
        </w:p>
        <w:p w14:paraId="7D005125" w14:textId="6A108F52"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06" w:history="1">
            <w:r w:rsidR="00B44DE2" w:rsidRPr="005A2A92">
              <w:rPr>
                <w:rStyle w:val="Hyperlink"/>
                <w:noProof/>
              </w:rPr>
              <w:t>Quality</w:t>
            </w:r>
            <w:r w:rsidR="00B44DE2">
              <w:rPr>
                <w:noProof/>
                <w:webHidden/>
              </w:rPr>
              <w:tab/>
            </w:r>
            <w:r w:rsidR="00B44DE2">
              <w:rPr>
                <w:noProof/>
                <w:webHidden/>
              </w:rPr>
              <w:fldChar w:fldCharType="begin"/>
            </w:r>
            <w:r w:rsidR="00B44DE2">
              <w:rPr>
                <w:noProof/>
                <w:webHidden/>
              </w:rPr>
              <w:instrText xml:space="preserve"> PAGEREF _Toc147404306 \h </w:instrText>
            </w:r>
            <w:r w:rsidR="00B44DE2">
              <w:rPr>
                <w:noProof/>
                <w:webHidden/>
              </w:rPr>
            </w:r>
            <w:r w:rsidR="00B44DE2">
              <w:rPr>
                <w:noProof/>
                <w:webHidden/>
              </w:rPr>
              <w:fldChar w:fldCharType="separate"/>
            </w:r>
            <w:r w:rsidR="00B44DE2">
              <w:rPr>
                <w:noProof/>
                <w:webHidden/>
              </w:rPr>
              <w:t>10</w:t>
            </w:r>
            <w:r w:rsidR="00B44DE2">
              <w:rPr>
                <w:noProof/>
                <w:webHidden/>
              </w:rPr>
              <w:fldChar w:fldCharType="end"/>
            </w:r>
          </w:hyperlink>
        </w:p>
        <w:p w14:paraId="1035ECBC" w14:textId="24A91B8E"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07" w:history="1">
            <w:r w:rsidR="00B44DE2" w:rsidRPr="005A2A92">
              <w:rPr>
                <w:rStyle w:val="Hyperlink"/>
                <w:noProof/>
              </w:rPr>
              <w:t>Nonclinical</w:t>
            </w:r>
            <w:r w:rsidR="00B44DE2">
              <w:rPr>
                <w:noProof/>
                <w:webHidden/>
              </w:rPr>
              <w:tab/>
            </w:r>
            <w:r w:rsidR="00B44DE2">
              <w:rPr>
                <w:noProof/>
                <w:webHidden/>
              </w:rPr>
              <w:fldChar w:fldCharType="begin"/>
            </w:r>
            <w:r w:rsidR="00B44DE2">
              <w:rPr>
                <w:noProof/>
                <w:webHidden/>
              </w:rPr>
              <w:instrText xml:space="preserve"> PAGEREF _Toc147404307 \h </w:instrText>
            </w:r>
            <w:r w:rsidR="00B44DE2">
              <w:rPr>
                <w:noProof/>
                <w:webHidden/>
              </w:rPr>
            </w:r>
            <w:r w:rsidR="00B44DE2">
              <w:rPr>
                <w:noProof/>
                <w:webHidden/>
              </w:rPr>
              <w:fldChar w:fldCharType="separate"/>
            </w:r>
            <w:r w:rsidR="00B44DE2">
              <w:rPr>
                <w:noProof/>
                <w:webHidden/>
              </w:rPr>
              <w:t>11</w:t>
            </w:r>
            <w:r w:rsidR="00B44DE2">
              <w:rPr>
                <w:noProof/>
                <w:webHidden/>
              </w:rPr>
              <w:fldChar w:fldCharType="end"/>
            </w:r>
          </w:hyperlink>
        </w:p>
        <w:p w14:paraId="7FC7982C" w14:textId="566168A5"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08" w:history="1">
            <w:r w:rsidR="00B44DE2" w:rsidRPr="005A2A92">
              <w:rPr>
                <w:rStyle w:val="Hyperlink"/>
                <w:noProof/>
              </w:rPr>
              <w:t>Clinical</w:t>
            </w:r>
            <w:r w:rsidR="00B44DE2">
              <w:rPr>
                <w:noProof/>
                <w:webHidden/>
              </w:rPr>
              <w:tab/>
            </w:r>
            <w:r w:rsidR="00B44DE2">
              <w:rPr>
                <w:noProof/>
                <w:webHidden/>
              </w:rPr>
              <w:fldChar w:fldCharType="begin"/>
            </w:r>
            <w:r w:rsidR="00B44DE2">
              <w:rPr>
                <w:noProof/>
                <w:webHidden/>
              </w:rPr>
              <w:instrText xml:space="preserve"> PAGEREF _Toc147404308 \h </w:instrText>
            </w:r>
            <w:r w:rsidR="00B44DE2">
              <w:rPr>
                <w:noProof/>
                <w:webHidden/>
              </w:rPr>
            </w:r>
            <w:r w:rsidR="00B44DE2">
              <w:rPr>
                <w:noProof/>
                <w:webHidden/>
              </w:rPr>
              <w:fldChar w:fldCharType="separate"/>
            </w:r>
            <w:r w:rsidR="00B44DE2">
              <w:rPr>
                <w:noProof/>
                <w:webHidden/>
              </w:rPr>
              <w:t>12</w:t>
            </w:r>
            <w:r w:rsidR="00B44DE2">
              <w:rPr>
                <w:noProof/>
                <w:webHidden/>
              </w:rPr>
              <w:fldChar w:fldCharType="end"/>
            </w:r>
          </w:hyperlink>
        </w:p>
        <w:p w14:paraId="2725D2D0" w14:textId="3D4159DF" w:rsidR="00B44DE2" w:rsidRDefault="00B22495">
          <w:pPr>
            <w:pStyle w:val="TOC3"/>
            <w:rPr>
              <w:rFonts w:asciiTheme="minorHAnsi" w:eastAsiaTheme="minorEastAsia" w:hAnsiTheme="minorHAnsi" w:cstheme="minorBidi"/>
              <w:b w:val="0"/>
              <w:noProof/>
              <w:color w:val="auto"/>
              <w:szCs w:val="22"/>
              <w:lang w:eastAsia="en-AU"/>
            </w:rPr>
          </w:pPr>
          <w:hyperlink w:anchor="_Toc147404309" w:history="1">
            <w:r w:rsidR="00B44DE2" w:rsidRPr="005A2A92">
              <w:rPr>
                <w:rStyle w:val="Hyperlink"/>
                <w:noProof/>
              </w:rPr>
              <w:t>Summary of clinical studies</w:t>
            </w:r>
            <w:r w:rsidR="00B44DE2">
              <w:rPr>
                <w:noProof/>
                <w:webHidden/>
              </w:rPr>
              <w:tab/>
            </w:r>
            <w:r w:rsidR="00B44DE2">
              <w:rPr>
                <w:noProof/>
                <w:webHidden/>
              </w:rPr>
              <w:fldChar w:fldCharType="begin"/>
            </w:r>
            <w:r w:rsidR="00B44DE2">
              <w:rPr>
                <w:noProof/>
                <w:webHidden/>
              </w:rPr>
              <w:instrText xml:space="preserve"> PAGEREF _Toc147404309 \h </w:instrText>
            </w:r>
            <w:r w:rsidR="00B44DE2">
              <w:rPr>
                <w:noProof/>
                <w:webHidden/>
              </w:rPr>
            </w:r>
            <w:r w:rsidR="00B44DE2">
              <w:rPr>
                <w:noProof/>
                <w:webHidden/>
              </w:rPr>
              <w:fldChar w:fldCharType="separate"/>
            </w:r>
            <w:r w:rsidR="00B44DE2">
              <w:rPr>
                <w:noProof/>
                <w:webHidden/>
              </w:rPr>
              <w:t>12</w:t>
            </w:r>
            <w:r w:rsidR="00B44DE2">
              <w:rPr>
                <w:noProof/>
                <w:webHidden/>
              </w:rPr>
              <w:fldChar w:fldCharType="end"/>
            </w:r>
          </w:hyperlink>
        </w:p>
        <w:p w14:paraId="71152EBB" w14:textId="3CDE5ED5" w:rsidR="00B44DE2" w:rsidRDefault="00B22495">
          <w:pPr>
            <w:pStyle w:val="TOC3"/>
            <w:rPr>
              <w:rFonts w:asciiTheme="minorHAnsi" w:eastAsiaTheme="minorEastAsia" w:hAnsiTheme="minorHAnsi" w:cstheme="minorBidi"/>
              <w:b w:val="0"/>
              <w:noProof/>
              <w:color w:val="auto"/>
              <w:szCs w:val="22"/>
              <w:lang w:eastAsia="en-AU"/>
            </w:rPr>
          </w:pPr>
          <w:hyperlink w:anchor="_Toc147404310" w:history="1">
            <w:r w:rsidR="00B44DE2" w:rsidRPr="005A2A92">
              <w:rPr>
                <w:rStyle w:val="Hyperlink"/>
                <w:noProof/>
              </w:rPr>
              <w:t>Pharmacology</w:t>
            </w:r>
            <w:r w:rsidR="00B44DE2">
              <w:rPr>
                <w:noProof/>
                <w:webHidden/>
              </w:rPr>
              <w:tab/>
            </w:r>
            <w:r w:rsidR="00B44DE2">
              <w:rPr>
                <w:noProof/>
                <w:webHidden/>
              </w:rPr>
              <w:fldChar w:fldCharType="begin"/>
            </w:r>
            <w:r w:rsidR="00B44DE2">
              <w:rPr>
                <w:noProof/>
                <w:webHidden/>
              </w:rPr>
              <w:instrText xml:space="preserve"> PAGEREF _Toc147404310 \h </w:instrText>
            </w:r>
            <w:r w:rsidR="00B44DE2">
              <w:rPr>
                <w:noProof/>
                <w:webHidden/>
              </w:rPr>
            </w:r>
            <w:r w:rsidR="00B44DE2">
              <w:rPr>
                <w:noProof/>
                <w:webHidden/>
              </w:rPr>
              <w:fldChar w:fldCharType="separate"/>
            </w:r>
            <w:r w:rsidR="00B44DE2">
              <w:rPr>
                <w:noProof/>
                <w:webHidden/>
              </w:rPr>
              <w:t>12</w:t>
            </w:r>
            <w:r w:rsidR="00B44DE2">
              <w:rPr>
                <w:noProof/>
                <w:webHidden/>
              </w:rPr>
              <w:fldChar w:fldCharType="end"/>
            </w:r>
          </w:hyperlink>
        </w:p>
        <w:p w14:paraId="54AEAC7A" w14:textId="7B73A1C8" w:rsidR="00B44DE2" w:rsidRDefault="00B22495">
          <w:pPr>
            <w:pStyle w:val="TOC3"/>
            <w:rPr>
              <w:rFonts w:asciiTheme="minorHAnsi" w:eastAsiaTheme="minorEastAsia" w:hAnsiTheme="minorHAnsi" w:cstheme="minorBidi"/>
              <w:b w:val="0"/>
              <w:noProof/>
              <w:color w:val="auto"/>
              <w:szCs w:val="22"/>
              <w:lang w:eastAsia="en-AU"/>
            </w:rPr>
          </w:pPr>
          <w:hyperlink w:anchor="_Toc147404311" w:history="1">
            <w:r w:rsidR="00B44DE2" w:rsidRPr="005A2A92">
              <w:rPr>
                <w:rStyle w:val="Hyperlink"/>
                <w:noProof/>
              </w:rPr>
              <w:t>Efficacy</w:t>
            </w:r>
            <w:r w:rsidR="00B44DE2">
              <w:rPr>
                <w:noProof/>
                <w:webHidden/>
              </w:rPr>
              <w:tab/>
            </w:r>
            <w:r w:rsidR="00B44DE2">
              <w:rPr>
                <w:noProof/>
                <w:webHidden/>
              </w:rPr>
              <w:fldChar w:fldCharType="begin"/>
            </w:r>
            <w:r w:rsidR="00B44DE2">
              <w:rPr>
                <w:noProof/>
                <w:webHidden/>
              </w:rPr>
              <w:instrText xml:space="preserve"> PAGEREF _Toc147404311 \h </w:instrText>
            </w:r>
            <w:r w:rsidR="00B44DE2">
              <w:rPr>
                <w:noProof/>
                <w:webHidden/>
              </w:rPr>
            </w:r>
            <w:r w:rsidR="00B44DE2">
              <w:rPr>
                <w:noProof/>
                <w:webHidden/>
              </w:rPr>
              <w:fldChar w:fldCharType="separate"/>
            </w:r>
            <w:r w:rsidR="00B44DE2">
              <w:rPr>
                <w:noProof/>
                <w:webHidden/>
              </w:rPr>
              <w:t>22</w:t>
            </w:r>
            <w:r w:rsidR="00B44DE2">
              <w:rPr>
                <w:noProof/>
                <w:webHidden/>
              </w:rPr>
              <w:fldChar w:fldCharType="end"/>
            </w:r>
          </w:hyperlink>
        </w:p>
        <w:p w14:paraId="4C1B9791" w14:textId="238AE33E" w:rsidR="00B44DE2" w:rsidRDefault="00B22495">
          <w:pPr>
            <w:pStyle w:val="TOC3"/>
            <w:rPr>
              <w:rFonts w:asciiTheme="minorHAnsi" w:eastAsiaTheme="minorEastAsia" w:hAnsiTheme="minorHAnsi" w:cstheme="minorBidi"/>
              <w:b w:val="0"/>
              <w:noProof/>
              <w:color w:val="auto"/>
              <w:szCs w:val="22"/>
              <w:lang w:eastAsia="en-AU"/>
            </w:rPr>
          </w:pPr>
          <w:hyperlink w:anchor="_Toc147404312" w:history="1">
            <w:r w:rsidR="00B44DE2" w:rsidRPr="005A2A92">
              <w:rPr>
                <w:rStyle w:val="Hyperlink"/>
                <w:noProof/>
              </w:rPr>
              <w:t>Safety</w:t>
            </w:r>
            <w:r w:rsidR="00B44DE2">
              <w:rPr>
                <w:noProof/>
                <w:webHidden/>
              </w:rPr>
              <w:tab/>
            </w:r>
            <w:r w:rsidR="00B44DE2">
              <w:rPr>
                <w:noProof/>
                <w:webHidden/>
              </w:rPr>
              <w:fldChar w:fldCharType="begin"/>
            </w:r>
            <w:r w:rsidR="00B44DE2">
              <w:rPr>
                <w:noProof/>
                <w:webHidden/>
              </w:rPr>
              <w:instrText xml:space="preserve"> PAGEREF _Toc147404312 \h </w:instrText>
            </w:r>
            <w:r w:rsidR="00B44DE2">
              <w:rPr>
                <w:noProof/>
                <w:webHidden/>
              </w:rPr>
            </w:r>
            <w:r w:rsidR="00B44DE2">
              <w:rPr>
                <w:noProof/>
                <w:webHidden/>
              </w:rPr>
              <w:fldChar w:fldCharType="separate"/>
            </w:r>
            <w:r w:rsidR="00B44DE2">
              <w:rPr>
                <w:noProof/>
                <w:webHidden/>
              </w:rPr>
              <w:t>56</w:t>
            </w:r>
            <w:r w:rsidR="00B44DE2">
              <w:rPr>
                <w:noProof/>
                <w:webHidden/>
              </w:rPr>
              <w:fldChar w:fldCharType="end"/>
            </w:r>
          </w:hyperlink>
        </w:p>
        <w:p w14:paraId="599267F2" w14:textId="2FD8880B" w:rsidR="00B44DE2" w:rsidRDefault="00B22495">
          <w:pPr>
            <w:pStyle w:val="TOC3"/>
            <w:rPr>
              <w:rFonts w:asciiTheme="minorHAnsi" w:eastAsiaTheme="minorEastAsia" w:hAnsiTheme="minorHAnsi" w:cstheme="minorBidi"/>
              <w:b w:val="0"/>
              <w:noProof/>
              <w:color w:val="auto"/>
              <w:szCs w:val="22"/>
              <w:lang w:eastAsia="en-AU"/>
            </w:rPr>
          </w:pPr>
          <w:hyperlink w:anchor="_Toc147404313" w:history="1">
            <w:r w:rsidR="00B44DE2" w:rsidRPr="005A2A92">
              <w:rPr>
                <w:rStyle w:val="Hyperlink"/>
                <w:noProof/>
              </w:rPr>
              <w:t>Recommendation following the clinical evaluation</w:t>
            </w:r>
            <w:r w:rsidR="00B44DE2">
              <w:rPr>
                <w:noProof/>
                <w:webHidden/>
              </w:rPr>
              <w:tab/>
            </w:r>
            <w:r w:rsidR="00B44DE2">
              <w:rPr>
                <w:noProof/>
                <w:webHidden/>
              </w:rPr>
              <w:fldChar w:fldCharType="begin"/>
            </w:r>
            <w:r w:rsidR="00B44DE2">
              <w:rPr>
                <w:noProof/>
                <w:webHidden/>
              </w:rPr>
              <w:instrText xml:space="preserve"> PAGEREF _Toc147404313 \h </w:instrText>
            </w:r>
            <w:r w:rsidR="00B44DE2">
              <w:rPr>
                <w:noProof/>
                <w:webHidden/>
              </w:rPr>
            </w:r>
            <w:r w:rsidR="00B44DE2">
              <w:rPr>
                <w:noProof/>
                <w:webHidden/>
              </w:rPr>
              <w:fldChar w:fldCharType="separate"/>
            </w:r>
            <w:r w:rsidR="00B44DE2">
              <w:rPr>
                <w:noProof/>
                <w:webHidden/>
              </w:rPr>
              <w:t>57</w:t>
            </w:r>
            <w:r w:rsidR="00B44DE2">
              <w:rPr>
                <w:noProof/>
                <w:webHidden/>
              </w:rPr>
              <w:fldChar w:fldCharType="end"/>
            </w:r>
          </w:hyperlink>
        </w:p>
        <w:p w14:paraId="60AA99AF" w14:textId="5576B3A2"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14" w:history="1">
            <w:r w:rsidR="00B44DE2" w:rsidRPr="005A2A92">
              <w:rPr>
                <w:rStyle w:val="Hyperlink"/>
                <w:noProof/>
                <w:lang w:eastAsia="en-AU"/>
              </w:rPr>
              <w:t>Risk management plan</w:t>
            </w:r>
            <w:r w:rsidR="00B44DE2">
              <w:rPr>
                <w:noProof/>
                <w:webHidden/>
              </w:rPr>
              <w:tab/>
            </w:r>
            <w:r w:rsidR="00B44DE2">
              <w:rPr>
                <w:noProof/>
                <w:webHidden/>
              </w:rPr>
              <w:fldChar w:fldCharType="begin"/>
            </w:r>
            <w:r w:rsidR="00B44DE2">
              <w:rPr>
                <w:noProof/>
                <w:webHidden/>
              </w:rPr>
              <w:instrText xml:space="preserve"> PAGEREF _Toc147404314 \h </w:instrText>
            </w:r>
            <w:r w:rsidR="00B44DE2">
              <w:rPr>
                <w:noProof/>
                <w:webHidden/>
              </w:rPr>
            </w:r>
            <w:r w:rsidR="00B44DE2">
              <w:rPr>
                <w:noProof/>
                <w:webHidden/>
              </w:rPr>
              <w:fldChar w:fldCharType="separate"/>
            </w:r>
            <w:r w:rsidR="00B44DE2">
              <w:rPr>
                <w:noProof/>
                <w:webHidden/>
              </w:rPr>
              <w:t>57</w:t>
            </w:r>
            <w:r w:rsidR="00B44DE2">
              <w:rPr>
                <w:noProof/>
                <w:webHidden/>
              </w:rPr>
              <w:fldChar w:fldCharType="end"/>
            </w:r>
          </w:hyperlink>
        </w:p>
        <w:p w14:paraId="0BD6C890" w14:textId="1356EF7A"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15" w:history="1">
            <w:r w:rsidR="00B44DE2" w:rsidRPr="005A2A92">
              <w:rPr>
                <w:rStyle w:val="Hyperlink"/>
                <w:noProof/>
              </w:rPr>
              <w:t>Risk-benefit analysis</w:t>
            </w:r>
            <w:r w:rsidR="00B44DE2">
              <w:rPr>
                <w:noProof/>
                <w:webHidden/>
              </w:rPr>
              <w:tab/>
            </w:r>
            <w:r w:rsidR="00B44DE2">
              <w:rPr>
                <w:noProof/>
                <w:webHidden/>
              </w:rPr>
              <w:fldChar w:fldCharType="begin"/>
            </w:r>
            <w:r w:rsidR="00B44DE2">
              <w:rPr>
                <w:noProof/>
                <w:webHidden/>
              </w:rPr>
              <w:instrText xml:space="preserve"> PAGEREF _Toc147404315 \h </w:instrText>
            </w:r>
            <w:r w:rsidR="00B44DE2">
              <w:rPr>
                <w:noProof/>
                <w:webHidden/>
              </w:rPr>
            </w:r>
            <w:r w:rsidR="00B44DE2">
              <w:rPr>
                <w:noProof/>
                <w:webHidden/>
              </w:rPr>
              <w:fldChar w:fldCharType="separate"/>
            </w:r>
            <w:r w:rsidR="00B44DE2">
              <w:rPr>
                <w:noProof/>
                <w:webHidden/>
              </w:rPr>
              <w:t>58</w:t>
            </w:r>
            <w:r w:rsidR="00B44DE2">
              <w:rPr>
                <w:noProof/>
                <w:webHidden/>
              </w:rPr>
              <w:fldChar w:fldCharType="end"/>
            </w:r>
          </w:hyperlink>
        </w:p>
        <w:p w14:paraId="49D8E4B3" w14:textId="050D2421" w:rsidR="00B44DE2" w:rsidRDefault="00B22495">
          <w:pPr>
            <w:pStyle w:val="TOC3"/>
            <w:rPr>
              <w:rFonts w:asciiTheme="minorHAnsi" w:eastAsiaTheme="minorEastAsia" w:hAnsiTheme="minorHAnsi" w:cstheme="minorBidi"/>
              <w:b w:val="0"/>
              <w:noProof/>
              <w:color w:val="auto"/>
              <w:szCs w:val="22"/>
              <w:lang w:eastAsia="en-AU"/>
            </w:rPr>
          </w:pPr>
          <w:hyperlink w:anchor="_Toc147404316" w:history="1">
            <w:r w:rsidR="00B44DE2" w:rsidRPr="005A2A92">
              <w:rPr>
                <w:rStyle w:val="Hyperlink"/>
                <w:noProof/>
              </w:rPr>
              <w:t>Delegate’s considerations</w:t>
            </w:r>
            <w:r w:rsidR="00B44DE2">
              <w:rPr>
                <w:noProof/>
                <w:webHidden/>
              </w:rPr>
              <w:tab/>
            </w:r>
            <w:r w:rsidR="00B44DE2">
              <w:rPr>
                <w:noProof/>
                <w:webHidden/>
              </w:rPr>
              <w:fldChar w:fldCharType="begin"/>
            </w:r>
            <w:r w:rsidR="00B44DE2">
              <w:rPr>
                <w:noProof/>
                <w:webHidden/>
              </w:rPr>
              <w:instrText xml:space="preserve"> PAGEREF _Toc147404316 \h </w:instrText>
            </w:r>
            <w:r w:rsidR="00B44DE2">
              <w:rPr>
                <w:noProof/>
                <w:webHidden/>
              </w:rPr>
            </w:r>
            <w:r w:rsidR="00B44DE2">
              <w:rPr>
                <w:noProof/>
                <w:webHidden/>
              </w:rPr>
              <w:fldChar w:fldCharType="separate"/>
            </w:r>
            <w:r w:rsidR="00B44DE2">
              <w:rPr>
                <w:noProof/>
                <w:webHidden/>
              </w:rPr>
              <w:t>58</w:t>
            </w:r>
            <w:r w:rsidR="00B44DE2">
              <w:rPr>
                <w:noProof/>
                <w:webHidden/>
              </w:rPr>
              <w:fldChar w:fldCharType="end"/>
            </w:r>
          </w:hyperlink>
        </w:p>
        <w:p w14:paraId="20CA7D32" w14:textId="1543FAA8" w:rsidR="00B44DE2" w:rsidRDefault="00B22495">
          <w:pPr>
            <w:pStyle w:val="TOC3"/>
            <w:rPr>
              <w:rFonts w:asciiTheme="minorHAnsi" w:eastAsiaTheme="minorEastAsia" w:hAnsiTheme="minorHAnsi" w:cstheme="minorBidi"/>
              <w:b w:val="0"/>
              <w:noProof/>
              <w:color w:val="auto"/>
              <w:szCs w:val="22"/>
              <w:lang w:eastAsia="en-AU"/>
            </w:rPr>
          </w:pPr>
          <w:hyperlink w:anchor="_Toc147404317" w:history="1">
            <w:r w:rsidR="00B44DE2" w:rsidRPr="005A2A92">
              <w:rPr>
                <w:rStyle w:val="Hyperlink"/>
                <w:noProof/>
              </w:rPr>
              <w:t>Proposed action</w:t>
            </w:r>
            <w:r w:rsidR="00B44DE2">
              <w:rPr>
                <w:noProof/>
                <w:webHidden/>
              </w:rPr>
              <w:tab/>
            </w:r>
            <w:r w:rsidR="00B44DE2">
              <w:rPr>
                <w:noProof/>
                <w:webHidden/>
              </w:rPr>
              <w:fldChar w:fldCharType="begin"/>
            </w:r>
            <w:r w:rsidR="00B44DE2">
              <w:rPr>
                <w:noProof/>
                <w:webHidden/>
              </w:rPr>
              <w:instrText xml:space="preserve"> PAGEREF _Toc147404317 \h </w:instrText>
            </w:r>
            <w:r w:rsidR="00B44DE2">
              <w:rPr>
                <w:noProof/>
                <w:webHidden/>
              </w:rPr>
            </w:r>
            <w:r w:rsidR="00B44DE2">
              <w:rPr>
                <w:noProof/>
                <w:webHidden/>
              </w:rPr>
              <w:fldChar w:fldCharType="separate"/>
            </w:r>
            <w:r w:rsidR="00B44DE2">
              <w:rPr>
                <w:noProof/>
                <w:webHidden/>
              </w:rPr>
              <w:t>60</w:t>
            </w:r>
            <w:r w:rsidR="00B44DE2">
              <w:rPr>
                <w:noProof/>
                <w:webHidden/>
              </w:rPr>
              <w:fldChar w:fldCharType="end"/>
            </w:r>
          </w:hyperlink>
        </w:p>
        <w:p w14:paraId="1331BCA9" w14:textId="3B9657B3" w:rsidR="00B44DE2" w:rsidRDefault="00B22495">
          <w:pPr>
            <w:pStyle w:val="TOC3"/>
            <w:rPr>
              <w:rFonts w:asciiTheme="minorHAnsi" w:eastAsiaTheme="minorEastAsia" w:hAnsiTheme="minorHAnsi" w:cstheme="minorBidi"/>
              <w:b w:val="0"/>
              <w:noProof/>
              <w:color w:val="auto"/>
              <w:szCs w:val="22"/>
              <w:lang w:eastAsia="en-AU"/>
            </w:rPr>
          </w:pPr>
          <w:hyperlink w:anchor="_Toc147404318" w:history="1">
            <w:r w:rsidR="00B44DE2" w:rsidRPr="005A2A92">
              <w:rPr>
                <w:rStyle w:val="Hyperlink"/>
                <w:noProof/>
              </w:rPr>
              <w:t>Advisory Committee considerations</w:t>
            </w:r>
            <w:r w:rsidR="00B44DE2">
              <w:rPr>
                <w:noProof/>
                <w:webHidden/>
              </w:rPr>
              <w:tab/>
            </w:r>
            <w:r w:rsidR="00B44DE2">
              <w:rPr>
                <w:noProof/>
                <w:webHidden/>
              </w:rPr>
              <w:fldChar w:fldCharType="begin"/>
            </w:r>
            <w:r w:rsidR="00B44DE2">
              <w:rPr>
                <w:noProof/>
                <w:webHidden/>
              </w:rPr>
              <w:instrText xml:space="preserve"> PAGEREF _Toc147404318 \h </w:instrText>
            </w:r>
            <w:r w:rsidR="00B44DE2">
              <w:rPr>
                <w:noProof/>
                <w:webHidden/>
              </w:rPr>
            </w:r>
            <w:r w:rsidR="00B44DE2">
              <w:rPr>
                <w:noProof/>
                <w:webHidden/>
              </w:rPr>
              <w:fldChar w:fldCharType="separate"/>
            </w:r>
            <w:r w:rsidR="00B44DE2">
              <w:rPr>
                <w:noProof/>
                <w:webHidden/>
              </w:rPr>
              <w:t>61</w:t>
            </w:r>
            <w:r w:rsidR="00B44DE2">
              <w:rPr>
                <w:noProof/>
                <w:webHidden/>
              </w:rPr>
              <w:fldChar w:fldCharType="end"/>
            </w:r>
          </w:hyperlink>
        </w:p>
        <w:p w14:paraId="761F5C88" w14:textId="4654C287" w:rsidR="00B44DE2" w:rsidRDefault="00B22495">
          <w:pPr>
            <w:pStyle w:val="TOC1"/>
            <w:rPr>
              <w:rFonts w:asciiTheme="minorHAnsi" w:eastAsiaTheme="minorEastAsia" w:hAnsiTheme="minorHAnsi" w:cstheme="minorBidi"/>
              <w:b w:val="0"/>
              <w:noProof/>
              <w:color w:val="auto"/>
              <w:sz w:val="22"/>
              <w:szCs w:val="22"/>
              <w:lang w:eastAsia="en-AU"/>
            </w:rPr>
          </w:pPr>
          <w:hyperlink w:anchor="_Toc147404319" w:history="1">
            <w:r w:rsidR="00B44DE2" w:rsidRPr="005A2A92">
              <w:rPr>
                <w:rStyle w:val="Hyperlink"/>
                <w:noProof/>
              </w:rPr>
              <w:t>Outcome</w:t>
            </w:r>
            <w:r w:rsidR="00B44DE2">
              <w:rPr>
                <w:noProof/>
                <w:webHidden/>
              </w:rPr>
              <w:tab/>
            </w:r>
            <w:r w:rsidR="00B44DE2">
              <w:rPr>
                <w:noProof/>
                <w:webHidden/>
              </w:rPr>
              <w:fldChar w:fldCharType="begin"/>
            </w:r>
            <w:r w:rsidR="00B44DE2">
              <w:rPr>
                <w:noProof/>
                <w:webHidden/>
              </w:rPr>
              <w:instrText xml:space="preserve"> PAGEREF _Toc147404319 \h </w:instrText>
            </w:r>
            <w:r w:rsidR="00B44DE2">
              <w:rPr>
                <w:noProof/>
                <w:webHidden/>
              </w:rPr>
            </w:r>
            <w:r w:rsidR="00B44DE2">
              <w:rPr>
                <w:noProof/>
                <w:webHidden/>
              </w:rPr>
              <w:fldChar w:fldCharType="separate"/>
            </w:r>
            <w:r w:rsidR="00B44DE2">
              <w:rPr>
                <w:noProof/>
                <w:webHidden/>
              </w:rPr>
              <w:t>64</w:t>
            </w:r>
            <w:r w:rsidR="00B44DE2">
              <w:rPr>
                <w:noProof/>
                <w:webHidden/>
              </w:rPr>
              <w:fldChar w:fldCharType="end"/>
            </w:r>
          </w:hyperlink>
        </w:p>
        <w:p w14:paraId="2C2DD601" w14:textId="3E163A5F" w:rsidR="00B44DE2" w:rsidRDefault="00B22495">
          <w:pPr>
            <w:pStyle w:val="TOC2"/>
            <w:rPr>
              <w:rFonts w:asciiTheme="minorHAnsi" w:eastAsiaTheme="minorEastAsia" w:hAnsiTheme="minorHAnsi" w:cstheme="minorBidi"/>
              <w:b w:val="0"/>
              <w:noProof/>
              <w:color w:val="auto"/>
              <w:sz w:val="22"/>
              <w:szCs w:val="22"/>
              <w:lang w:eastAsia="en-AU"/>
            </w:rPr>
          </w:pPr>
          <w:hyperlink w:anchor="_Toc147404320" w:history="1">
            <w:r w:rsidR="00B44DE2" w:rsidRPr="005A2A92">
              <w:rPr>
                <w:rStyle w:val="Hyperlink"/>
                <w:noProof/>
              </w:rPr>
              <w:t>Specific conditions of registration applying to these goods</w:t>
            </w:r>
            <w:r w:rsidR="00B44DE2">
              <w:rPr>
                <w:noProof/>
                <w:webHidden/>
              </w:rPr>
              <w:tab/>
            </w:r>
            <w:r w:rsidR="00B44DE2">
              <w:rPr>
                <w:noProof/>
                <w:webHidden/>
              </w:rPr>
              <w:fldChar w:fldCharType="begin"/>
            </w:r>
            <w:r w:rsidR="00B44DE2">
              <w:rPr>
                <w:noProof/>
                <w:webHidden/>
              </w:rPr>
              <w:instrText xml:space="preserve"> PAGEREF _Toc147404320 \h </w:instrText>
            </w:r>
            <w:r w:rsidR="00B44DE2">
              <w:rPr>
                <w:noProof/>
                <w:webHidden/>
              </w:rPr>
            </w:r>
            <w:r w:rsidR="00B44DE2">
              <w:rPr>
                <w:noProof/>
                <w:webHidden/>
              </w:rPr>
              <w:fldChar w:fldCharType="separate"/>
            </w:r>
            <w:r w:rsidR="00B44DE2">
              <w:rPr>
                <w:noProof/>
                <w:webHidden/>
              </w:rPr>
              <w:t>64</w:t>
            </w:r>
            <w:r w:rsidR="00B44DE2">
              <w:rPr>
                <w:noProof/>
                <w:webHidden/>
              </w:rPr>
              <w:fldChar w:fldCharType="end"/>
            </w:r>
          </w:hyperlink>
        </w:p>
        <w:p w14:paraId="75779CEE" w14:textId="1C2EFCDF" w:rsidR="00B44DE2" w:rsidRDefault="00B22495">
          <w:pPr>
            <w:pStyle w:val="TOC1"/>
            <w:rPr>
              <w:rFonts w:asciiTheme="minorHAnsi" w:eastAsiaTheme="minorEastAsia" w:hAnsiTheme="minorHAnsi" w:cstheme="minorBidi"/>
              <w:b w:val="0"/>
              <w:noProof/>
              <w:color w:val="auto"/>
              <w:sz w:val="22"/>
              <w:szCs w:val="22"/>
              <w:lang w:eastAsia="en-AU"/>
            </w:rPr>
          </w:pPr>
          <w:hyperlink w:anchor="_Toc147404321" w:history="1">
            <w:r w:rsidR="00B44DE2" w:rsidRPr="005A2A92">
              <w:rPr>
                <w:rStyle w:val="Hyperlink"/>
                <w:noProof/>
              </w:rPr>
              <w:t>Attachment 1. Product Information</w:t>
            </w:r>
            <w:r w:rsidR="00B44DE2">
              <w:rPr>
                <w:noProof/>
                <w:webHidden/>
              </w:rPr>
              <w:tab/>
            </w:r>
            <w:r w:rsidR="00B44DE2">
              <w:rPr>
                <w:noProof/>
                <w:webHidden/>
              </w:rPr>
              <w:fldChar w:fldCharType="begin"/>
            </w:r>
            <w:r w:rsidR="00B44DE2">
              <w:rPr>
                <w:noProof/>
                <w:webHidden/>
              </w:rPr>
              <w:instrText xml:space="preserve"> PAGEREF _Toc147404321 \h </w:instrText>
            </w:r>
            <w:r w:rsidR="00B44DE2">
              <w:rPr>
                <w:noProof/>
                <w:webHidden/>
              </w:rPr>
            </w:r>
            <w:r w:rsidR="00B44DE2">
              <w:rPr>
                <w:noProof/>
                <w:webHidden/>
              </w:rPr>
              <w:fldChar w:fldCharType="separate"/>
            </w:r>
            <w:r w:rsidR="00B44DE2">
              <w:rPr>
                <w:noProof/>
                <w:webHidden/>
              </w:rPr>
              <w:t>65</w:t>
            </w:r>
            <w:r w:rsidR="00B44DE2">
              <w:rPr>
                <w:noProof/>
                <w:webHidden/>
              </w:rPr>
              <w:fldChar w:fldCharType="end"/>
            </w:r>
          </w:hyperlink>
        </w:p>
        <w:p w14:paraId="77659F2D" w14:textId="08CC5BF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7404295"/>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AD0797" w:rsidRPr="003D71A1" w14:paraId="7FB94275" w14:textId="77777777" w:rsidTr="009E4B1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533C828C" w14:textId="77777777" w:rsidR="00AD0797" w:rsidRPr="0036173A" w:rsidRDefault="00AD0797" w:rsidP="009E4B11">
            <w:pPr>
              <w:rPr>
                <w:szCs w:val="22"/>
              </w:rPr>
            </w:pPr>
            <w:bookmarkStart w:id="5" w:name="_Hlk133418605"/>
            <w:r w:rsidRPr="0036173A">
              <w:rPr>
                <w:szCs w:val="22"/>
              </w:rPr>
              <w:t>Abbreviation</w:t>
            </w:r>
          </w:p>
        </w:tc>
        <w:tc>
          <w:tcPr>
            <w:tcW w:w="7167" w:type="dxa"/>
          </w:tcPr>
          <w:p w14:paraId="53690A34" w14:textId="77777777" w:rsidR="00AD0797" w:rsidRPr="0036173A" w:rsidRDefault="00AD0797" w:rsidP="009E4B11">
            <w:pPr>
              <w:cnfStyle w:val="100000000000" w:firstRow="1" w:lastRow="0" w:firstColumn="0" w:lastColumn="0" w:oddVBand="0" w:evenVBand="0" w:oddHBand="0" w:evenHBand="0" w:firstRowFirstColumn="0" w:firstRowLastColumn="0" w:lastRowFirstColumn="0" w:lastRowLastColumn="0"/>
              <w:rPr>
                <w:szCs w:val="22"/>
              </w:rPr>
            </w:pPr>
            <w:r w:rsidRPr="0036173A">
              <w:rPr>
                <w:szCs w:val="22"/>
              </w:rPr>
              <w:t>Meaning</w:t>
            </w:r>
          </w:p>
        </w:tc>
      </w:tr>
      <w:tr w:rsidR="00AD0797" w:rsidRPr="003D71A1" w14:paraId="6833B991"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1376CFB" w14:textId="77777777" w:rsidR="00AD0797" w:rsidRPr="00E81FD4" w:rsidRDefault="00AD0797" w:rsidP="009E4B11">
            <w:pPr>
              <w:rPr>
                <w:rFonts w:cstheme="minorHAnsi"/>
                <w:szCs w:val="22"/>
              </w:rPr>
            </w:pPr>
            <w:r w:rsidRPr="00E81FD4">
              <w:rPr>
                <w:rFonts w:cstheme="minorHAnsi"/>
                <w:szCs w:val="22"/>
              </w:rPr>
              <w:t>ACM</w:t>
            </w:r>
          </w:p>
        </w:tc>
        <w:tc>
          <w:tcPr>
            <w:tcW w:w="7167" w:type="dxa"/>
          </w:tcPr>
          <w:p w14:paraId="465C9101"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81FD4">
              <w:rPr>
                <w:rFonts w:cstheme="minorHAnsi"/>
                <w:szCs w:val="22"/>
              </w:rPr>
              <w:t>Advisory Committee on Medicines</w:t>
            </w:r>
          </w:p>
        </w:tc>
      </w:tr>
      <w:tr w:rsidR="00AD0797" w:rsidRPr="003D71A1" w14:paraId="78A13857"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62CBB1" w14:textId="77777777" w:rsidR="00AD0797" w:rsidRPr="00E81FD4" w:rsidRDefault="00AD0797" w:rsidP="009E4B11">
            <w:pPr>
              <w:rPr>
                <w:rFonts w:cstheme="minorHAnsi"/>
                <w:szCs w:val="36"/>
              </w:rPr>
            </w:pPr>
            <w:r w:rsidRPr="00E81FD4">
              <w:rPr>
                <w:rFonts w:cstheme="minorHAnsi"/>
                <w:szCs w:val="36"/>
              </w:rPr>
              <w:t>ANCOVA</w:t>
            </w:r>
          </w:p>
        </w:tc>
        <w:tc>
          <w:tcPr>
            <w:tcW w:w="7167" w:type="dxa"/>
          </w:tcPr>
          <w:p w14:paraId="202CFAE0"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36"/>
              </w:rPr>
            </w:pPr>
            <w:r w:rsidRPr="00E81FD4">
              <w:rPr>
                <w:rFonts w:cstheme="minorHAnsi"/>
                <w:szCs w:val="36"/>
              </w:rPr>
              <w:t>Analysis of covariance</w:t>
            </w:r>
          </w:p>
        </w:tc>
      </w:tr>
      <w:tr w:rsidR="00AD0797" w:rsidRPr="003D71A1" w14:paraId="5B1DE85D"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FB610F" w14:textId="77777777" w:rsidR="00AD0797" w:rsidRPr="00E81FD4" w:rsidRDefault="00AD0797" w:rsidP="009E4B11">
            <w:pPr>
              <w:rPr>
                <w:rFonts w:cstheme="minorHAnsi"/>
                <w:szCs w:val="28"/>
              </w:rPr>
            </w:pPr>
            <w:r w:rsidRPr="00E81FD4">
              <w:rPr>
                <w:rFonts w:cstheme="minorHAnsi"/>
                <w:szCs w:val="28"/>
              </w:rPr>
              <w:t>ARTG</w:t>
            </w:r>
          </w:p>
        </w:tc>
        <w:tc>
          <w:tcPr>
            <w:tcW w:w="7167" w:type="dxa"/>
          </w:tcPr>
          <w:p w14:paraId="55C7553D"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8"/>
              </w:rPr>
            </w:pPr>
            <w:r w:rsidRPr="00E81FD4">
              <w:rPr>
                <w:rFonts w:cstheme="minorHAnsi"/>
                <w:szCs w:val="28"/>
              </w:rPr>
              <w:t>Australian Register of Therapeutic Goods</w:t>
            </w:r>
          </w:p>
        </w:tc>
      </w:tr>
      <w:tr w:rsidR="00AD0797" w:rsidRPr="003D71A1" w14:paraId="5D3DBFF2"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5682482" w14:textId="77777777" w:rsidR="00AD0797" w:rsidRPr="00E81FD4" w:rsidRDefault="00AD0797" w:rsidP="009E4B11">
            <w:pPr>
              <w:rPr>
                <w:rFonts w:cstheme="minorHAnsi"/>
                <w:szCs w:val="22"/>
              </w:rPr>
            </w:pPr>
            <w:r w:rsidRPr="00E81FD4">
              <w:rPr>
                <w:rFonts w:cstheme="minorHAnsi"/>
                <w:szCs w:val="22"/>
              </w:rPr>
              <w:t>ASA</w:t>
            </w:r>
          </w:p>
        </w:tc>
        <w:tc>
          <w:tcPr>
            <w:tcW w:w="7167" w:type="dxa"/>
          </w:tcPr>
          <w:p w14:paraId="274D5835"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81FD4">
              <w:rPr>
                <w:rFonts w:cstheme="minorHAnsi"/>
                <w:szCs w:val="22"/>
              </w:rPr>
              <w:t>Australia specific annex</w:t>
            </w:r>
          </w:p>
        </w:tc>
      </w:tr>
      <w:tr w:rsidR="00AD0797" w:rsidRPr="003D71A1" w14:paraId="4B0FA28D"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F986D3" w14:textId="77777777" w:rsidR="00AD0797" w:rsidRPr="00E81FD4" w:rsidRDefault="00AD0797" w:rsidP="009E4B11">
            <w:pPr>
              <w:rPr>
                <w:rFonts w:cstheme="minorHAnsi"/>
                <w:color w:val="auto"/>
                <w:szCs w:val="22"/>
              </w:rPr>
            </w:pPr>
            <w:r w:rsidRPr="00E81FD4">
              <w:rPr>
                <w:rFonts w:cstheme="minorHAnsi"/>
                <w:szCs w:val="22"/>
              </w:rPr>
              <w:t>AUC</w:t>
            </w:r>
          </w:p>
        </w:tc>
        <w:tc>
          <w:tcPr>
            <w:tcW w:w="7167" w:type="dxa"/>
          </w:tcPr>
          <w:p w14:paraId="13B61350" w14:textId="59D24874" w:rsidR="00AD0797" w:rsidRPr="00E81FD4" w:rsidRDefault="00B44DE2"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Pr>
                <w:rFonts w:cstheme="minorHAnsi"/>
                <w:szCs w:val="22"/>
              </w:rPr>
              <w:t>A</w:t>
            </w:r>
            <w:r w:rsidR="00AD0797" w:rsidRPr="00E81FD4">
              <w:rPr>
                <w:rFonts w:cstheme="minorHAnsi"/>
                <w:szCs w:val="22"/>
              </w:rPr>
              <w:t>rea under the concentration-time curve</w:t>
            </w:r>
          </w:p>
        </w:tc>
      </w:tr>
      <w:tr w:rsidR="00AD0797" w:rsidRPr="003D71A1" w14:paraId="3F6F0F1A"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DBE7CC" w14:textId="77777777" w:rsidR="00AD0797" w:rsidRPr="00E81FD4" w:rsidRDefault="00AD0797" w:rsidP="009E4B11">
            <w:pPr>
              <w:rPr>
                <w:rFonts w:cstheme="minorHAnsi"/>
                <w:color w:val="auto"/>
                <w:szCs w:val="22"/>
              </w:rPr>
            </w:pPr>
            <w:r w:rsidRPr="00E81FD4">
              <w:rPr>
                <w:rFonts w:cstheme="minorHAnsi"/>
                <w:szCs w:val="22"/>
              </w:rPr>
              <w:t>AUC</w:t>
            </w:r>
            <w:r w:rsidRPr="00E81FD4">
              <w:rPr>
                <w:rFonts w:cstheme="minorHAnsi"/>
                <w:szCs w:val="22"/>
                <w:vertAlign w:val="subscript"/>
              </w:rPr>
              <w:t>0-inf</w:t>
            </w:r>
          </w:p>
        </w:tc>
        <w:tc>
          <w:tcPr>
            <w:tcW w:w="7167" w:type="dxa"/>
          </w:tcPr>
          <w:p w14:paraId="5C583827"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Area under the concentration time curve from time zero to infinity</w:t>
            </w:r>
          </w:p>
        </w:tc>
      </w:tr>
      <w:tr w:rsidR="00AD0797" w:rsidRPr="003D71A1" w14:paraId="0B154B6E"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2A3379B" w14:textId="77777777" w:rsidR="00AD0797" w:rsidRPr="00E81FD4" w:rsidRDefault="00AD0797" w:rsidP="009E4B11">
            <w:pPr>
              <w:rPr>
                <w:rFonts w:cstheme="minorHAnsi"/>
                <w:color w:val="auto"/>
                <w:szCs w:val="22"/>
              </w:rPr>
            </w:pPr>
            <w:r w:rsidRPr="00E81FD4">
              <w:rPr>
                <w:rFonts w:cstheme="minorHAnsi"/>
                <w:szCs w:val="22"/>
              </w:rPr>
              <w:t>AUC</w:t>
            </w:r>
            <w:r w:rsidRPr="00E81FD4">
              <w:rPr>
                <w:rFonts w:cstheme="minorHAnsi"/>
                <w:szCs w:val="22"/>
                <w:vertAlign w:val="subscript"/>
              </w:rPr>
              <w:t>0-last</w:t>
            </w:r>
          </w:p>
        </w:tc>
        <w:tc>
          <w:tcPr>
            <w:tcW w:w="7167" w:type="dxa"/>
          </w:tcPr>
          <w:p w14:paraId="6A990302"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395FED">
              <w:rPr>
                <w:szCs w:val="22"/>
              </w:rPr>
              <w:t>Area under the concentration-time curve from time zero to time of last quantifiable concentration</w:t>
            </w:r>
          </w:p>
        </w:tc>
      </w:tr>
      <w:tr w:rsidR="00AD0797" w:rsidRPr="003D71A1" w14:paraId="1259ACF2"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AFB7D6C" w14:textId="77777777" w:rsidR="00AD0797" w:rsidRPr="00E81FD4" w:rsidRDefault="00AD0797" w:rsidP="009E4B11">
            <w:pPr>
              <w:rPr>
                <w:rFonts w:cstheme="minorHAnsi"/>
                <w:color w:val="auto"/>
                <w:szCs w:val="22"/>
              </w:rPr>
            </w:pPr>
            <w:r w:rsidRPr="00E81FD4">
              <w:rPr>
                <w:rFonts w:cstheme="minorHAnsi"/>
                <w:szCs w:val="22"/>
              </w:rPr>
              <w:t>CI</w:t>
            </w:r>
          </w:p>
        </w:tc>
        <w:tc>
          <w:tcPr>
            <w:tcW w:w="7167" w:type="dxa"/>
          </w:tcPr>
          <w:p w14:paraId="2D07767F"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Confidence interval</w:t>
            </w:r>
          </w:p>
        </w:tc>
      </w:tr>
      <w:tr w:rsidR="00AD0797" w:rsidRPr="003D71A1" w14:paraId="7D3FB7FA"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54C8C58" w14:textId="77777777" w:rsidR="00AD0797" w:rsidRPr="00E81FD4" w:rsidRDefault="00AD0797" w:rsidP="009E4B11">
            <w:pPr>
              <w:rPr>
                <w:rFonts w:cstheme="minorHAnsi"/>
                <w:szCs w:val="32"/>
              </w:rPr>
            </w:pPr>
            <w:r w:rsidRPr="00E81FD4">
              <w:rPr>
                <w:rFonts w:cstheme="minorHAnsi"/>
                <w:szCs w:val="32"/>
              </w:rPr>
              <w:t>CKD</w:t>
            </w:r>
          </w:p>
        </w:tc>
        <w:tc>
          <w:tcPr>
            <w:tcW w:w="7167" w:type="dxa"/>
          </w:tcPr>
          <w:p w14:paraId="34B0C9EF"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81FD4">
              <w:rPr>
                <w:rFonts w:cstheme="minorHAnsi"/>
                <w:szCs w:val="32"/>
              </w:rPr>
              <w:t>Chronic kidney disease</w:t>
            </w:r>
          </w:p>
        </w:tc>
      </w:tr>
      <w:tr w:rsidR="00AD0797" w:rsidRPr="003D71A1" w14:paraId="38E0204D"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081F014" w14:textId="77777777" w:rsidR="00AD0797" w:rsidRPr="00E81FD4" w:rsidRDefault="00AD0797" w:rsidP="009E4B11">
            <w:pPr>
              <w:rPr>
                <w:rFonts w:cstheme="minorHAnsi"/>
                <w:color w:val="auto"/>
                <w:szCs w:val="24"/>
              </w:rPr>
            </w:pPr>
            <w:r w:rsidRPr="00E81FD4">
              <w:rPr>
                <w:rFonts w:cstheme="minorHAnsi"/>
                <w:szCs w:val="24"/>
              </w:rPr>
              <w:t>CKD-</w:t>
            </w:r>
            <w:proofErr w:type="spellStart"/>
            <w:r w:rsidRPr="00E81FD4">
              <w:rPr>
                <w:rFonts w:cstheme="minorHAnsi"/>
                <w:szCs w:val="24"/>
              </w:rPr>
              <w:t>aP</w:t>
            </w:r>
            <w:proofErr w:type="spellEnd"/>
          </w:p>
        </w:tc>
        <w:tc>
          <w:tcPr>
            <w:tcW w:w="7167" w:type="dxa"/>
          </w:tcPr>
          <w:p w14:paraId="63E3E549"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E81FD4">
              <w:rPr>
                <w:rFonts w:cstheme="minorHAnsi"/>
                <w:szCs w:val="24"/>
              </w:rPr>
              <w:t>Chronic kidney disease-associated pruritus</w:t>
            </w:r>
          </w:p>
        </w:tc>
      </w:tr>
      <w:tr w:rsidR="00AD0797" w:rsidRPr="003D71A1" w14:paraId="4CF776F9"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A11330C" w14:textId="77777777" w:rsidR="00AD0797" w:rsidRPr="00E81FD4" w:rsidRDefault="00AD0797" w:rsidP="009E4B11">
            <w:pPr>
              <w:rPr>
                <w:rFonts w:cstheme="minorHAnsi"/>
                <w:color w:val="auto"/>
                <w:szCs w:val="22"/>
              </w:rPr>
            </w:pPr>
            <w:r w:rsidRPr="00E81FD4">
              <w:rPr>
                <w:rFonts w:cstheme="minorHAnsi"/>
                <w:szCs w:val="22"/>
              </w:rPr>
              <w:t>C</w:t>
            </w:r>
            <w:r w:rsidRPr="00E81FD4">
              <w:rPr>
                <w:rFonts w:cstheme="minorHAnsi"/>
                <w:szCs w:val="22"/>
                <w:vertAlign w:val="subscript"/>
              </w:rPr>
              <w:t>max</w:t>
            </w:r>
          </w:p>
        </w:tc>
        <w:tc>
          <w:tcPr>
            <w:tcW w:w="7167" w:type="dxa"/>
          </w:tcPr>
          <w:p w14:paraId="20E0039E"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Maximum concentration</w:t>
            </w:r>
          </w:p>
        </w:tc>
      </w:tr>
      <w:tr w:rsidR="00AD0797" w:rsidRPr="003D71A1" w14:paraId="52B5D08B"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9C1F99" w14:textId="77777777" w:rsidR="00AD0797" w:rsidRPr="00E81FD4" w:rsidRDefault="00AD0797" w:rsidP="009E4B11">
            <w:pPr>
              <w:rPr>
                <w:rFonts w:cstheme="minorHAnsi"/>
                <w:color w:val="auto"/>
                <w:szCs w:val="22"/>
              </w:rPr>
            </w:pPr>
            <w:r w:rsidRPr="00E81FD4">
              <w:rPr>
                <w:rFonts w:cstheme="minorHAnsi"/>
                <w:szCs w:val="22"/>
              </w:rPr>
              <w:t>CMI</w:t>
            </w:r>
          </w:p>
        </w:tc>
        <w:tc>
          <w:tcPr>
            <w:tcW w:w="7167" w:type="dxa"/>
          </w:tcPr>
          <w:p w14:paraId="1C751510"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Consumer Medicines Information</w:t>
            </w:r>
          </w:p>
        </w:tc>
      </w:tr>
      <w:tr w:rsidR="00AD0797" w:rsidRPr="003D71A1" w14:paraId="43CABB44"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0E3426" w14:textId="77777777" w:rsidR="00AD0797" w:rsidRPr="00E81FD4" w:rsidRDefault="00AD0797" w:rsidP="009E4B11">
            <w:pPr>
              <w:rPr>
                <w:rFonts w:cstheme="minorHAnsi"/>
                <w:color w:val="auto"/>
                <w:szCs w:val="22"/>
              </w:rPr>
            </w:pPr>
            <w:r w:rsidRPr="00E81FD4">
              <w:rPr>
                <w:rFonts w:cstheme="minorHAnsi"/>
                <w:szCs w:val="22"/>
              </w:rPr>
              <w:t>CNS</w:t>
            </w:r>
          </w:p>
        </w:tc>
        <w:tc>
          <w:tcPr>
            <w:tcW w:w="7167" w:type="dxa"/>
          </w:tcPr>
          <w:p w14:paraId="4FF34C80" w14:textId="77777777" w:rsidR="00AD0797" w:rsidRPr="00E81FD4" w:rsidRDefault="00AD0797" w:rsidP="009E4B11">
            <w:pPr>
              <w:tabs>
                <w:tab w:val="left" w:pos="2340"/>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Central nervous system</w:t>
            </w:r>
          </w:p>
        </w:tc>
      </w:tr>
      <w:tr w:rsidR="00AD0797" w:rsidRPr="003D71A1" w14:paraId="72734758"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7F07B4" w14:textId="77777777" w:rsidR="00AD0797" w:rsidRPr="00E81FD4" w:rsidRDefault="00AD0797" w:rsidP="009E4B11">
            <w:pPr>
              <w:rPr>
                <w:rFonts w:cstheme="minorHAnsi"/>
                <w:color w:val="auto"/>
                <w:szCs w:val="22"/>
              </w:rPr>
            </w:pPr>
            <w:r w:rsidRPr="00E81FD4">
              <w:rPr>
                <w:rFonts w:cstheme="minorHAnsi"/>
                <w:szCs w:val="22"/>
              </w:rPr>
              <w:t>CV</w:t>
            </w:r>
          </w:p>
        </w:tc>
        <w:tc>
          <w:tcPr>
            <w:tcW w:w="7167" w:type="dxa"/>
          </w:tcPr>
          <w:p w14:paraId="4B5762BA" w14:textId="77777777" w:rsidR="00AD0797" w:rsidRPr="00E81FD4" w:rsidRDefault="00AD0797" w:rsidP="009E4B11">
            <w:pPr>
              <w:tabs>
                <w:tab w:val="left" w:pos="2340"/>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Coefficient of variation</w:t>
            </w:r>
          </w:p>
        </w:tc>
      </w:tr>
      <w:tr w:rsidR="00891305" w:rsidRPr="003D71A1" w14:paraId="511FC578"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46302A" w14:textId="7A388757" w:rsidR="00891305" w:rsidRPr="00891305" w:rsidRDefault="00891305" w:rsidP="009E4B11">
            <w:pPr>
              <w:rPr>
                <w:rFonts w:cstheme="minorHAnsi"/>
                <w:szCs w:val="22"/>
              </w:rPr>
            </w:pPr>
            <w:r w:rsidRPr="00891305">
              <w:t>CYP</w:t>
            </w:r>
          </w:p>
        </w:tc>
        <w:tc>
          <w:tcPr>
            <w:tcW w:w="7167" w:type="dxa"/>
          </w:tcPr>
          <w:p w14:paraId="1AB29C38" w14:textId="512DD043" w:rsidR="00891305" w:rsidRPr="00891305" w:rsidRDefault="00891305" w:rsidP="009E4B11">
            <w:pPr>
              <w:tabs>
                <w:tab w:val="left" w:pos="234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891305">
              <w:t>Cytochrome P450</w:t>
            </w:r>
          </w:p>
        </w:tc>
      </w:tr>
      <w:tr w:rsidR="00AD0797" w:rsidRPr="003D71A1" w14:paraId="442753E0"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B84E9A3" w14:textId="77777777" w:rsidR="00AD0797" w:rsidRPr="00E81FD4" w:rsidRDefault="00AD0797" w:rsidP="009E4B11">
            <w:pPr>
              <w:rPr>
                <w:rFonts w:cstheme="minorHAnsi"/>
                <w:color w:val="auto"/>
                <w:szCs w:val="24"/>
              </w:rPr>
            </w:pPr>
            <w:r w:rsidRPr="00E81FD4">
              <w:rPr>
                <w:rFonts w:cstheme="minorHAnsi"/>
                <w:szCs w:val="24"/>
              </w:rPr>
              <w:t>DLP</w:t>
            </w:r>
          </w:p>
        </w:tc>
        <w:tc>
          <w:tcPr>
            <w:tcW w:w="7167" w:type="dxa"/>
          </w:tcPr>
          <w:p w14:paraId="4503F6FE"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E81FD4">
              <w:rPr>
                <w:rFonts w:cstheme="minorHAnsi"/>
                <w:szCs w:val="24"/>
              </w:rPr>
              <w:t>Data lock point</w:t>
            </w:r>
          </w:p>
        </w:tc>
      </w:tr>
      <w:tr w:rsidR="00AD0797" w:rsidRPr="003D71A1" w14:paraId="2CFC7C01"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C99DE7" w14:textId="77777777" w:rsidR="00AD0797" w:rsidRPr="00E81FD4" w:rsidRDefault="00AD0797" w:rsidP="009E4B11">
            <w:pPr>
              <w:rPr>
                <w:rFonts w:cstheme="minorHAnsi"/>
                <w:szCs w:val="32"/>
              </w:rPr>
            </w:pPr>
            <w:r w:rsidRPr="00E81FD4">
              <w:rPr>
                <w:rFonts w:cstheme="minorHAnsi"/>
                <w:szCs w:val="32"/>
              </w:rPr>
              <w:t>DRESS</w:t>
            </w:r>
          </w:p>
        </w:tc>
        <w:tc>
          <w:tcPr>
            <w:tcW w:w="7167" w:type="dxa"/>
          </w:tcPr>
          <w:p w14:paraId="58BB857A"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81FD4">
              <w:rPr>
                <w:rFonts w:cstheme="minorHAnsi"/>
                <w:szCs w:val="32"/>
              </w:rPr>
              <w:t>Drug reaction with eosinophilia and systemic symptoms</w:t>
            </w:r>
          </w:p>
        </w:tc>
      </w:tr>
      <w:tr w:rsidR="009C32B7" w:rsidRPr="003D71A1" w14:paraId="1C503B0E"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6502097" w14:textId="3A56EC02" w:rsidR="009C32B7" w:rsidRPr="009C32B7" w:rsidRDefault="009C32B7" w:rsidP="009E4B11">
            <w:pPr>
              <w:rPr>
                <w:rFonts w:cstheme="minorHAnsi"/>
                <w:szCs w:val="32"/>
              </w:rPr>
            </w:pPr>
            <w:r w:rsidRPr="009C32B7">
              <w:rPr>
                <w:rFonts w:cstheme="minorHAnsi"/>
                <w:szCs w:val="32"/>
              </w:rPr>
              <w:t>eq</w:t>
            </w:r>
          </w:p>
        </w:tc>
        <w:tc>
          <w:tcPr>
            <w:tcW w:w="7167" w:type="dxa"/>
          </w:tcPr>
          <w:p w14:paraId="2AFF3991" w14:textId="23712700" w:rsidR="009C32B7" w:rsidRPr="009C32B7" w:rsidRDefault="009C32B7" w:rsidP="009E4B11">
            <w:pPr>
              <w:cnfStyle w:val="000000000000" w:firstRow="0" w:lastRow="0" w:firstColumn="0" w:lastColumn="0" w:oddVBand="0" w:evenVBand="0" w:oddHBand="0" w:evenHBand="0" w:firstRowFirstColumn="0" w:firstRowLastColumn="0" w:lastRowFirstColumn="0" w:lastRowLastColumn="0"/>
              <w:rPr>
                <w:rFonts w:cstheme="minorHAnsi"/>
                <w:szCs w:val="32"/>
              </w:rPr>
            </w:pPr>
            <w:r>
              <w:rPr>
                <w:rFonts w:cstheme="minorHAnsi"/>
                <w:szCs w:val="32"/>
              </w:rPr>
              <w:t>E</w:t>
            </w:r>
            <w:r w:rsidRPr="009C32B7">
              <w:rPr>
                <w:rFonts w:cstheme="minorHAnsi"/>
                <w:szCs w:val="32"/>
              </w:rPr>
              <w:t>quivalent</w:t>
            </w:r>
            <w:r>
              <w:rPr>
                <w:rFonts w:cstheme="minorHAnsi"/>
                <w:szCs w:val="32"/>
              </w:rPr>
              <w:t>(</w:t>
            </w:r>
            <w:r w:rsidRPr="009C32B7">
              <w:rPr>
                <w:rFonts w:cstheme="minorHAnsi"/>
                <w:szCs w:val="32"/>
              </w:rPr>
              <w:t>s</w:t>
            </w:r>
            <w:r>
              <w:rPr>
                <w:rFonts w:cstheme="minorHAnsi"/>
                <w:szCs w:val="32"/>
              </w:rPr>
              <w:t>)</w:t>
            </w:r>
          </w:p>
        </w:tc>
      </w:tr>
      <w:tr w:rsidR="00AD0797" w:rsidRPr="003D71A1" w14:paraId="4D0B7B67"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2DEE4E" w14:textId="77777777" w:rsidR="00AD0797" w:rsidRPr="00E81FD4" w:rsidRDefault="00AD0797" w:rsidP="009E4B11">
            <w:pPr>
              <w:rPr>
                <w:rFonts w:cstheme="minorHAnsi"/>
                <w:color w:val="auto"/>
                <w:szCs w:val="22"/>
              </w:rPr>
            </w:pPr>
            <w:r w:rsidRPr="00E81FD4">
              <w:rPr>
                <w:rFonts w:cstheme="minorHAnsi"/>
                <w:szCs w:val="22"/>
              </w:rPr>
              <w:t>ESRD</w:t>
            </w:r>
          </w:p>
        </w:tc>
        <w:tc>
          <w:tcPr>
            <w:tcW w:w="7167" w:type="dxa"/>
          </w:tcPr>
          <w:p w14:paraId="161C0C2B"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End stage renal disease</w:t>
            </w:r>
          </w:p>
        </w:tc>
      </w:tr>
      <w:tr w:rsidR="00AD0797" w:rsidRPr="003D71A1" w14:paraId="6D3579AD"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89F795" w14:textId="77777777" w:rsidR="00AD0797" w:rsidRPr="00E81FD4" w:rsidRDefault="00AD0797" w:rsidP="009E4B11">
            <w:pPr>
              <w:rPr>
                <w:rFonts w:cstheme="minorHAnsi"/>
                <w:szCs w:val="24"/>
              </w:rPr>
            </w:pPr>
            <w:r w:rsidRPr="00E81FD4">
              <w:rPr>
                <w:rFonts w:cstheme="minorHAnsi"/>
                <w:szCs w:val="24"/>
              </w:rPr>
              <w:t>ESRF</w:t>
            </w:r>
          </w:p>
        </w:tc>
        <w:tc>
          <w:tcPr>
            <w:tcW w:w="7167" w:type="dxa"/>
          </w:tcPr>
          <w:p w14:paraId="63EBEECF"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81FD4">
              <w:rPr>
                <w:rFonts w:cstheme="minorHAnsi"/>
                <w:szCs w:val="24"/>
              </w:rPr>
              <w:t>End stage renal failure</w:t>
            </w:r>
          </w:p>
        </w:tc>
      </w:tr>
      <w:tr w:rsidR="00AD0797" w:rsidRPr="003D71A1" w14:paraId="7EADC7D1"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89D311" w14:textId="77777777" w:rsidR="00AD0797" w:rsidRPr="00E81FD4" w:rsidRDefault="00AD0797" w:rsidP="009E4B11">
            <w:pPr>
              <w:rPr>
                <w:rFonts w:cstheme="minorHAnsi"/>
                <w:color w:val="auto"/>
                <w:szCs w:val="22"/>
              </w:rPr>
            </w:pPr>
            <w:r w:rsidRPr="00E81FD4">
              <w:rPr>
                <w:rFonts w:cstheme="minorHAnsi"/>
                <w:szCs w:val="22"/>
              </w:rPr>
              <w:t>EU</w:t>
            </w:r>
          </w:p>
        </w:tc>
        <w:tc>
          <w:tcPr>
            <w:tcW w:w="7167" w:type="dxa"/>
          </w:tcPr>
          <w:p w14:paraId="3D72F856"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European Union</w:t>
            </w:r>
          </w:p>
        </w:tc>
      </w:tr>
      <w:tr w:rsidR="00AD0797" w:rsidRPr="003D71A1" w14:paraId="72993910"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BD78F30" w14:textId="77777777" w:rsidR="00AD0797" w:rsidRPr="00E81FD4" w:rsidRDefault="00AD0797" w:rsidP="009E4B11">
            <w:pPr>
              <w:rPr>
                <w:rFonts w:cstheme="minorHAnsi"/>
                <w:color w:val="auto"/>
                <w:szCs w:val="22"/>
              </w:rPr>
            </w:pPr>
            <w:r w:rsidRPr="00E81FD4">
              <w:rPr>
                <w:rFonts w:cstheme="minorHAnsi"/>
                <w:szCs w:val="22"/>
              </w:rPr>
              <w:t>FDA</w:t>
            </w:r>
          </w:p>
        </w:tc>
        <w:tc>
          <w:tcPr>
            <w:tcW w:w="7167" w:type="dxa"/>
          </w:tcPr>
          <w:p w14:paraId="479D24CA" w14:textId="4DE37E6B"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Food and Drug Administration</w:t>
            </w:r>
            <w:r w:rsidR="00395FED" w:rsidRPr="002C0832">
              <w:rPr>
                <w:rFonts w:cstheme="minorHAnsi"/>
                <w:color w:val="auto"/>
                <w:szCs w:val="22"/>
              </w:rPr>
              <w:t xml:space="preserve"> </w:t>
            </w:r>
            <w:r w:rsidR="00395FED">
              <w:rPr>
                <w:rFonts w:cstheme="minorHAnsi"/>
                <w:color w:val="auto"/>
                <w:szCs w:val="22"/>
              </w:rPr>
              <w:t>(</w:t>
            </w:r>
            <w:r w:rsidR="00395FED" w:rsidRPr="002C0832">
              <w:rPr>
                <w:rFonts w:cstheme="minorHAnsi"/>
                <w:color w:val="auto"/>
                <w:szCs w:val="22"/>
              </w:rPr>
              <w:t>United States</w:t>
            </w:r>
            <w:r w:rsidR="00395FED">
              <w:rPr>
                <w:rFonts w:cstheme="minorHAnsi"/>
                <w:color w:val="auto"/>
                <w:szCs w:val="22"/>
              </w:rPr>
              <w:t xml:space="preserve"> of America)</w:t>
            </w:r>
          </w:p>
        </w:tc>
      </w:tr>
      <w:tr w:rsidR="00AD0797" w:rsidRPr="003D71A1" w14:paraId="286B339B"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B2F194A" w14:textId="6AEB3C87" w:rsidR="00AD0797" w:rsidRPr="00E81FD4" w:rsidRDefault="00AD0797" w:rsidP="009E4B11">
            <w:pPr>
              <w:rPr>
                <w:rFonts w:cstheme="minorHAnsi"/>
                <w:color w:val="auto"/>
                <w:szCs w:val="22"/>
              </w:rPr>
            </w:pPr>
            <w:r w:rsidRPr="00E81FD4">
              <w:rPr>
                <w:rFonts w:cstheme="minorHAnsi"/>
                <w:szCs w:val="22"/>
              </w:rPr>
              <w:t>HD</w:t>
            </w:r>
          </w:p>
        </w:tc>
        <w:tc>
          <w:tcPr>
            <w:tcW w:w="7167" w:type="dxa"/>
          </w:tcPr>
          <w:p w14:paraId="58EA1D19" w14:textId="77777777" w:rsidR="00AD0797" w:rsidRPr="00E81FD4" w:rsidRDefault="00AD0797" w:rsidP="009E4B11">
            <w:pPr>
              <w:tabs>
                <w:tab w:val="left" w:pos="4140"/>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Haemodialysis</w:t>
            </w:r>
          </w:p>
        </w:tc>
      </w:tr>
      <w:tr w:rsidR="00AD0797" w:rsidRPr="003D71A1" w14:paraId="62A33510"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A78DE3" w14:textId="77777777" w:rsidR="00AD0797" w:rsidRPr="00E81FD4" w:rsidRDefault="00AD0797" w:rsidP="009E4B11">
            <w:pPr>
              <w:rPr>
                <w:rFonts w:cstheme="minorHAnsi"/>
                <w:szCs w:val="32"/>
              </w:rPr>
            </w:pPr>
            <w:r w:rsidRPr="00E81FD4">
              <w:rPr>
                <w:rFonts w:cstheme="minorHAnsi"/>
                <w:szCs w:val="32"/>
              </w:rPr>
              <w:t>IDMC</w:t>
            </w:r>
          </w:p>
        </w:tc>
        <w:tc>
          <w:tcPr>
            <w:tcW w:w="7167" w:type="dxa"/>
          </w:tcPr>
          <w:p w14:paraId="3DFB095E"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b/>
                <w:bCs/>
                <w:szCs w:val="32"/>
              </w:rPr>
            </w:pPr>
            <w:r w:rsidRPr="00E81FD4">
              <w:rPr>
                <w:rFonts w:cstheme="minorHAnsi"/>
                <w:szCs w:val="32"/>
              </w:rPr>
              <w:t>Independent Data Monitoring Committee</w:t>
            </w:r>
          </w:p>
        </w:tc>
      </w:tr>
      <w:tr w:rsidR="00AD0797" w:rsidRPr="003D71A1" w14:paraId="50963CBE"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A377F74" w14:textId="77777777" w:rsidR="00AD0797" w:rsidRPr="00E81FD4" w:rsidRDefault="00AD0797" w:rsidP="009E4B11">
            <w:pPr>
              <w:rPr>
                <w:rFonts w:cstheme="minorHAnsi"/>
                <w:szCs w:val="24"/>
              </w:rPr>
            </w:pPr>
            <w:r w:rsidRPr="00E81FD4">
              <w:rPr>
                <w:rFonts w:cstheme="minorHAnsi"/>
                <w:szCs w:val="24"/>
              </w:rPr>
              <w:t>ITT</w:t>
            </w:r>
          </w:p>
        </w:tc>
        <w:tc>
          <w:tcPr>
            <w:tcW w:w="7167" w:type="dxa"/>
          </w:tcPr>
          <w:p w14:paraId="2E215A69"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81FD4">
              <w:rPr>
                <w:rFonts w:cstheme="minorHAnsi"/>
                <w:szCs w:val="24"/>
              </w:rPr>
              <w:t>Intention to treat</w:t>
            </w:r>
          </w:p>
        </w:tc>
      </w:tr>
      <w:tr w:rsidR="00AD0797" w:rsidRPr="003D71A1" w14:paraId="0756851C"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A5339E" w14:textId="77777777" w:rsidR="00AD0797" w:rsidRPr="00E81FD4" w:rsidRDefault="00AD0797" w:rsidP="009E4B11">
            <w:pPr>
              <w:rPr>
                <w:rFonts w:cstheme="minorHAnsi"/>
                <w:color w:val="auto"/>
                <w:szCs w:val="22"/>
              </w:rPr>
            </w:pPr>
            <w:r w:rsidRPr="00E81FD4">
              <w:rPr>
                <w:rFonts w:cstheme="minorHAnsi"/>
                <w:szCs w:val="22"/>
              </w:rPr>
              <w:t>IV</w:t>
            </w:r>
          </w:p>
        </w:tc>
        <w:tc>
          <w:tcPr>
            <w:tcW w:w="7167" w:type="dxa"/>
          </w:tcPr>
          <w:p w14:paraId="12BA1223"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Intravenous</w:t>
            </w:r>
          </w:p>
        </w:tc>
      </w:tr>
      <w:tr w:rsidR="00AD0797" w:rsidRPr="003D71A1" w14:paraId="3CC038B0"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D3D4616" w14:textId="77777777" w:rsidR="00AD0797" w:rsidRPr="00E81FD4" w:rsidRDefault="00AD0797" w:rsidP="009E4B11">
            <w:pPr>
              <w:rPr>
                <w:rFonts w:cstheme="minorHAnsi"/>
                <w:color w:val="auto"/>
                <w:szCs w:val="22"/>
              </w:rPr>
            </w:pPr>
            <w:r w:rsidRPr="00E81FD4">
              <w:rPr>
                <w:rFonts w:cstheme="minorHAnsi"/>
                <w:szCs w:val="22"/>
              </w:rPr>
              <w:t>KOR</w:t>
            </w:r>
          </w:p>
        </w:tc>
        <w:tc>
          <w:tcPr>
            <w:tcW w:w="7167" w:type="dxa"/>
          </w:tcPr>
          <w:p w14:paraId="52B67556"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Kappa opioid receptor</w:t>
            </w:r>
          </w:p>
        </w:tc>
      </w:tr>
      <w:tr w:rsidR="00AD0797" w:rsidRPr="003D71A1" w14:paraId="70474B69" w14:textId="46880D18"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54B869D" w14:textId="23EF597C" w:rsidR="00AD0797" w:rsidRPr="00E81FD4" w:rsidRDefault="00AD0797" w:rsidP="009E4B11">
            <w:pPr>
              <w:rPr>
                <w:rFonts w:cstheme="minorHAnsi"/>
                <w:color w:val="auto"/>
                <w:szCs w:val="22"/>
              </w:rPr>
            </w:pPr>
            <w:r w:rsidRPr="00E81FD4">
              <w:rPr>
                <w:rFonts w:cstheme="minorHAnsi"/>
                <w:szCs w:val="22"/>
              </w:rPr>
              <w:t>LD</w:t>
            </w:r>
          </w:p>
        </w:tc>
        <w:tc>
          <w:tcPr>
            <w:tcW w:w="7167" w:type="dxa"/>
          </w:tcPr>
          <w:p w14:paraId="2D78043C" w14:textId="6FAFCE3E"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Loading dose</w:t>
            </w:r>
          </w:p>
        </w:tc>
      </w:tr>
      <w:tr w:rsidR="00AD0797" w:rsidRPr="003D71A1" w14:paraId="2C1FFD1F"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A24DE45" w14:textId="77777777" w:rsidR="00AD0797" w:rsidRPr="00E81FD4" w:rsidRDefault="00AD0797" w:rsidP="009E4B11">
            <w:pPr>
              <w:rPr>
                <w:rFonts w:cstheme="minorHAnsi"/>
                <w:szCs w:val="24"/>
              </w:rPr>
            </w:pPr>
            <w:r w:rsidRPr="00E81FD4">
              <w:rPr>
                <w:rFonts w:cstheme="minorHAnsi"/>
                <w:szCs w:val="24"/>
              </w:rPr>
              <w:t>LS</w:t>
            </w:r>
          </w:p>
        </w:tc>
        <w:tc>
          <w:tcPr>
            <w:tcW w:w="7167" w:type="dxa"/>
          </w:tcPr>
          <w:p w14:paraId="73700941"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81FD4">
              <w:rPr>
                <w:rFonts w:cstheme="minorHAnsi"/>
                <w:szCs w:val="24"/>
              </w:rPr>
              <w:t>Least squares</w:t>
            </w:r>
          </w:p>
        </w:tc>
      </w:tr>
      <w:tr w:rsidR="00AD0797" w:rsidRPr="003D71A1" w14:paraId="46E22C2A"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3E6780" w14:textId="77777777" w:rsidR="00AD0797" w:rsidRPr="00E81FD4" w:rsidRDefault="00AD0797" w:rsidP="009E4B11">
            <w:pPr>
              <w:rPr>
                <w:rFonts w:cstheme="minorHAnsi"/>
                <w:color w:val="auto"/>
                <w:szCs w:val="22"/>
              </w:rPr>
            </w:pPr>
            <w:r w:rsidRPr="00E81FD4">
              <w:rPr>
                <w:rFonts w:cstheme="minorHAnsi"/>
                <w:szCs w:val="22"/>
              </w:rPr>
              <w:t>MD</w:t>
            </w:r>
          </w:p>
        </w:tc>
        <w:tc>
          <w:tcPr>
            <w:tcW w:w="7167" w:type="dxa"/>
          </w:tcPr>
          <w:p w14:paraId="0F158028"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Maintenance dose</w:t>
            </w:r>
          </w:p>
        </w:tc>
      </w:tr>
      <w:tr w:rsidR="00AD0797" w:rsidRPr="003D71A1" w14:paraId="3E0F55E6"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C5127C" w14:textId="77777777" w:rsidR="00AD0797" w:rsidRPr="00E81FD4" w:rsidRDefault="00AD0797" w:rsidP="009E4B11">
            <w:pPr>
              <w:rPr>
                <w:rFonts w:cstheme="minorHAnsi"/>
                <w:color w:val="auto"/>
                <w:szCs w:val="22"/>
              </w:rPr>
            </w:pPr>
            <w:r w:rsidRPr="00E81FD4">
              <w:rPr>
                <w:rFonts w:cstheme="minorHAnsi"/>
                <w:szCs w:val="22"/>
              </w:rPr>
              <w:t>MDRD</w:t>
            </w:r>
          </w:p>
        </w:tc>
        <w:tc>
          <w:tcPr>
            <w:tcW w:w="7167" w:type="dxa"/>
          </w:tcPr>
          <w:p w14:paraId="3C6306F9"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Modification of diet in renal disease</w:t>
            </w:r>
          </w:p>
        </w:tc>
      </w:tr>
      <w:tr w:rsidR="00AD0797" w:rsidRPr="003D71A1" w14:paraId="3189FCC4"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2C9ECE1" w14:textId="77777777" w:rsidR="00AD0797" w:rsidRPr="00E81FD4" w:rsidRDefault="00AD0797" w:rsidP="009E4B11">
            <w:pPr>
              <w:rPr>
                <w:rFonts w:cstheme="minorHAnsi"/>
                <w:color w:val="auto"/>
                <w:szCs w:val="22"/>
              </w:rPr>
            </w:pPr>
            <w:r w:rsidRPr="00E81FD4">
              <w:rPr>
                <w:rFonts w:cstheme="minorHAnsi"/>
                <w:szCs w:val="22"/>
              </w:rPr>
              <w:lastRenderedPageBreak/>
              <w:t>PI</w:t>
            </w:r>
          </w:p>
        </w:tc>
        <w:tc>
          <w:tcPr>
            <w:tcW w:w="7167" w:type="dxa"/>
          </w:tcPr>
          <w:p w14:paraId="47917032"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Product Information</w:t>
            </w:r>
          </w:p>
        </w:tc>
      </w:tr>
      <w:tr w:rsidR="00AD0797" w:rsidRPr="003D71A1" w14:paraId="5A3C2D34"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5B2B370" w14:textId="77777777" w:rsidR="00AD0797" w:rsidRPr="00E81FD4" w:rsidRDefault="00AD0797" w:rsidP="009E4B11">
            <w:pPr>
              <w:rPr>
                <w:rFonts w:cstheme="minorHAnsi"/>
                <w:color w:val="auto"/>
                <w:szCs w:val="22"/>
              </w:rPr>
            </w:pPr>
            <w:proofErr w:type="spellStart"/>
            <w:r w:rsidRPr="00E81FD4">
              <w:rPr>
                <w:rFonts w:cstheme="minorHAnsi"/>
                <w:szCs w:val="22"/>
              </w:rPr>
              <w:t>popPK</w:t>
            </w:r>
            <w:proofErr w:type="spellEnd"/>
          </w:p>
        </w:tc>
        <w:tc>
          <w:tcPr>
            <w:tcW w:w="7167" w:type="dxa"/>
          </w:tcPr>
          <w:p w14:paraId="039A8710"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Population pharmacokinetic(s)</w:t>
            </w:r>
          </w:p>
        </w:tc>
      </w:tr>
      <w:tr w:rsidR="00AD0797" w:rsidRPr="003D71A1" w14:paraId="7F2B092C"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19F0D2A" w14:textId="77777777" w:rsidR="00AD0797" w:rsidRPr="00E81FD4" w:rsidRDefault="00AD0797" w:rsidP="009E4B11">
            <w:pPr>
              <w:rPr>
                <w:rFonts w:cstheme="minorHAnsi"/>
                <w:color w:val="auto"/>
                <w:szCs w:val="22"/>
              </w:rPr>
            </w:pPr>
            <w:r w:rsidRPr="00E81FD4">
              <w:rPr>
                <w:rFonts w:cstheme="minorHAnsi"/>
                <w:szCs w:val="22"/>
              </w:rPr>
              <w:t>RMP</w:t>
            </w:r>
          </w:p>
        </w:tc>
        <w:tc>
          <w:tcPr>
            <w:tcW w:w="7167" w:type="dxa"/>
          </w:tcPr>
          <w:p w14:paraId="5DC8E5F6" w14:textId="77777777" w:rsidR="00AD0797" w:rsidRPr="00E81FD4" w:rsidRDefault="00AD0797" w:rsidP="009E4B11">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Risk management plan</w:t>
            </w:r>
          </w:p>
        </w:tc>
      </w:tr>
      <w:tr w:rsidR="00AD0797" w:rsidRPr="003D71A1" w14:paraId="6C23B81E"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FE8331C" w14:textId="77777777" w:rsidR="00AD0797" w:rsidRPr="00E81FD4" w:rsidRDefault="00AD0797" w:rsidP="009E4B11">
            <w:pPr>
              <w:rPr>
                <w:rFonts w:cstheme="minorHAnsi"/>
                <w:color w:val="auto"/>
                <w:szCs w:val="22"/>
              </w:rPr>
            </w:pPr>
            <w:r w:rsidRPr="00E81FD4">
              <w:rPr>
                <w:rFonts w:cstheme="minorHAnsi"/>
                <w:szCs w:val="22"/>
              </w:rPr>
              <w:t>TGA</w:t>
            </w:r>
          </w:p>
        </w:tc>
        <w:tc>
          <w:tcPr>
            <w:tcW w:w="7167" w:type="dxa"/>
          </w:tcPr>
          <w:p w14:paraId="59FD794F"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Therapeutic Goods Administration</w:t>
            </w:r>
          </w:p>
        </w:tc>
      </w:tr>
      <w:tr w:rsidR="00AD0797" w:rsidRPr="003D71A1" w14:paraId="66E4B952"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5B50BC" w14:textId="77777777" w:rsidR="00AD0797" w:rsidRPr="00E81FD4" w:rsidRDefault="00AD0797" w:rsidP="009E4B11">
            <w:pPr>
              <w:rPr>
                <w:rFonts w:cstheme="minorHAnsi"/>
                <w:color w:val="auto"/>
                <w:szCs w:val="22"/>
              </w:rPr>
            </w:pPr>
            <w:proofErr w:type="spellStart"/>
            <w:r w:rsidRPr="00E81FD4">
              <w:rPr>
                <w:rFonts w:cstheme="minorHAnsi"/>
                <w:szCs w:val="22"/>
              </w:rPr>
              <w:t>T</w:t>
            </w:r>
            <w:r w:rsidRPr="00E81FD4">
              <w:rPr>
                <w:rFonts w:cstheme="minorHAnsi"/>
                <w:szCs w:val="22"/>
                <w:vertAlign w:val="subscript"/>
              </w:rPr>
              <w:t>max</w:t>
            </w:r>
            <w:proofErr w:type="spellEnd"/>
          </w:p>
        </w:tc>
        <w:tc>
          <w:tcPr>
            <w:tcW w:w="7167" w:type="dxa"/>
          </w:tcPr>
          <w:p w14:paraId="1734FD43"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Time to reach maximum concentration</w:t>
            </w:r>
          </w:p>
        </w:tc>
      </w:tr>
      <w:tr w:rsidR="00AD0797" w:rsidRPr="003D71A1" w14:paraId="73DC27C3"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FA671A7" w14:textId="77777777" w:rsidR="00AD0797" w:rsidRPr="00E81FD4" w:rsidRDefault="00AD0797" w:rsidP="009E4B11">
            <w:pPr>
              <w:rPr>
                <w:rFonts w:cstheme="minorHAnsi"/>
                <w:color w:val="auto"/>
                <w:szCs w:val="22"/>
              </w:rPr>
            </w:pPr>
            <w:r w:rsidRPr="00E81FD4">
              <w:rPr>
                <w:rFonts w:cstheme="minorHAnsi"/>
                <w:szCs w:val="22"/>
              </w:rPr>
              <w:t>PD</w:t>
            </w:r>
          </w:p>
        </w:tc>
        <w:tc>
          <w:tcPr>
            <w:tcW w:w="7167" w:type="dxa"/>
          </w:tcPr>
          <w:p w14:paraId="5F62FEF7"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Pharmacodynamic(s)</w:t>
            </w:r>
          </w:p>
        </w:tc>
      </w:tr>
      <w:tr w:rsidR="00AD0797" w:rsidRPr="003D71A1" w14:paraId="7751488B"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FEE6278" w14:textId="77777777" w:rsidR="00AD0797" w:rsidRPr="00E81FD4" w:rsidRDefault="00AD0797" w:rsidP="009E4B11">
            <w:pPr>
              <w:rPr>
                <w:rFonts w:cstheme="minorHAnsi"/>
                <w:color w:val="auto"/>
                <w:szCs w:val="22"/>
              </w:rPr>
            </w:pPr>
            <w:r w:rsidRPr="00E81FD4">
              <w:rPr>
                <w:rFonts w:cstheme="minorHAnsi"/>
                <w:szCs w:val="22"/>
              </w:rPr>
              <w:t>PK</w:t>
            </w:r>
          </w:p>
        </w:tc>
        <w:tc>
          <w:tcPr>
            <w:tcW w:w="7167" w:type="dxa"/>
          </w:tcPr>
          <w:p w14:paraId="57446E88"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Pharmacokinetic(s)</w:t>
            </w:r>
          </w:p>
        </w:tc>
      </w:tr>
      <w:tr w:rsidR="00AD0797" w:rsidRPr="003D71A1" w14:paraId="25E1B8C3"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4590758" w14:textId="77777777" w:rsidR="00AD0797" w:rsidRPr="00E81FD4" w:rsidRDefault="00AD0797" w:rsidP="009E4B11">
            <w:pPr>
              <w:rPr>
                <w:rFonts w:cstheme="minorHAnsi"/>
                <w:color w:val="auto"/>
                <w:szCs w:val="22"/>
              </w:rPr>
            </w:pPr>
            <w:r w:rsidRPr="00E81FD4">
              <w:rPr>
                <w:rFonts w:cstheme="minorHAnsi"/>
                <w:szCs w:val="22"/>
              </w:rPr>
              <w:t>US(A)</w:t>
            </w:r>
          </w:p>
        </w:tc>
        <w:tc>
          <w:tcPr>
            <w:tcW w:w="7167" w:type="dxa"/>
          </w:tcPr>
          <w:p w14:paraId="667B5E68"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United States (of America)</w:t>
            </w:r>
          </w:p>
        </w:tc>
      </w:tr>
      <w:tr w:rsidR="00AD0797" w:rsidRPr="003D71A1" w14:paraId="21554ECE"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F79E9C7" w14:textId="77777777" w:rsidR="00AD0797" w:rsidRPr="00E81FD4" w:rsidRDefault="00AD0797" w:rsidP="009E4B11">
            <w:pPr>
              <w:rPr>
                <w:rFonts w:cstheme="minorHAnsi"/>
                <w:color w:val="auto"/>
                <w:szCs w:val="22"/>
              </w:rPr>
            </w:pPr>
            <w:proofErr w:type="spellStart"/>
            <w:r w:rsidRPr="00E81FD4">
              <w:rPr>
                <w:rFonts w:cstheme="minorHAnsi"/>
                <w:szCs w:val="22"/>
              </w:rPr>
              <w:t>Vd</w:t>
            </w:r>
            <w:proofErr w:type="spellEnd"/>
          </w:p>
        </w:tc>
        <w:tc>
          <w:tcPr>
            <w:tcW w:w="7167" w:type="dxa"/>
          </w:tcPr>
          <w:p w14:paraId="630A686F"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Volume of distribution</w:t>
            </w:r>
          </w:p>
        </w:tc>
      </w:tr>
      <w:tr w:rsidR="00AD0797" w:rsidRPr="003D71A1" w14:paraId="150ADD37" w14:textId="77777777" w:rsidTr="009E4B11">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BCFE90" w14:textId="77777777" w:rsidR="00AD0797" w:rsidRPr="00E81FD4" w:rsidRDefault="00AD0797" w:rsidP="009E4B11">
            <w:pPr>
              <w:rPr>
                <w:rFonts w:cstheme="minorHAnsi"/>
                <w:color w:val="auto"/>
                <w:szCs w:val="22"/>
              </w:rPr>
            </w:pPr>
            <w:r w:rsidRPr="00E81FD4">
              <w:rPr>
                <w:rFonts w:cstheme="minorHAnsi"/>
                <w:szCs w:val="22"/>
              </w:rPr>
              <w:t>WI-NRS</w:t>
            </w:r>
          </w:p>
        </w:tc>
        <w:tc>
          <w:tcPr>
            <w:tcW w:w="7167" w:type="dxa"/>
          </w:tcPr>
          <w:p w14:paraId="4D7ED053" w14:textId="77777777" w:rsidR="00AD0797" w:rsidRPr="00E81FD4" w:rsidRDefault="00AD0797" w:rsidP="009E4B1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81FD4">
              <w:rPr>
                <w:rFonts w:cstheme="minorHAnsi"/>
                <w:szCs w:val="22"/>
              </w:rPr>
              <w:t>Worst itching intensity numerical rating scale</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47404296"/>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47404297"/>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0E65AAE6" w:rsidR="00324B33" w:rsidRPr="00BD5DBD" w:rsidRDefault="00324B33" w:rsidP="007452E8">
            <w:pPr>
              <w:rPr>
                <w:szCs w:val="22"/>
              </w:rPr>
            </w:pPr>
            <w:r w:rsidRPr="00BD5DBD">
              <w:rPr>
                <w:szCs w:val="22"/>
              </w:rPr>
              <w:t>New chemical entit</w:t>
            </w:r>
            <w:r w:rsidR="0008204E">
              <w:rPr>
                <w:szCs w:val="22"/>
              </w:rPr>
              <w:t>y</w:t>
            </w:r>
          </w:p>
        </w:tc>
      </w:tr>
      <w:tr w:rsidR="00324B33" w:rsidRPr="00BD5DBD" w14:paraId="13482B61" w14:textId="77777777" w:rsidTr="00F865A7">
        <w:tc>
          <w:tcPr>
            <w:tcW w:w="1577" w:type="pct"/>
          </w:tcPr>
          <w:p w14:paraId="2C427FCF" w14:textId="12C1F95B" w:rsidR="00324B33" w:rsidRPr="00BD5DBD" w:rsidRDefault="00324B33" w:rsidP="007452E8">
            <w:pPr>
              <w:rPr>
                <w:i/>
                <w:szCs w:val="22"/>
              </w:rPr>
            </w:pPr>
            <w:r w:rsidRPr="00BD5DBD">
              <w:rPr>
                <w:i/>
                <w:szCs w:val="22"/>
              </w:rPr>
              <w:t>Product name:</w:t>
            </w:r>
          </w:p>
        </w:tc>
        <w:tc>
          <w:tcPr>
            <w:tcW w:w="3423" w:type="pct"/>
          </w:tcPr>
          <w:p w14:paraId="0E2DEF76" w14:textId="70A1357C" w:rsidR="00324B33" w:rsidRPr="00BD5DBD" w:rsidRDefault="0008204E" w:rsidP="007452E8">
            <w:pPr>
              <w:rPr>
                <w:szCs w:val="22"/>
              </w:rPr>
            </w:pPr>
            <w:r>
              <w:rPr>
                <w:szCs w:val="22"/>
              </w:rPr>
              <w:t>Korsuva</w:t>
            </w:r>
          </w:p>
        </w:tc>
      </w:tr>
      <w:tr w:rsidR="00324B33" w:rsidRPr="00BD5DBD" w14:paraId="01255B5B" w14:textId="77777777" w:rsidTr="00F865A7">
        <w:tc>
          <w:tcPr>
            <w:tcW w:w="1577" w:type="pct"/>
          </w:tcPr>
          <w:p w14:paraId="52B4F3D7" w14:textId="7F19B4CF" w:rsidR="00324B33" w:rsidRPr="00BD5DBD" w:rsidRDefault="00324B33" w:rsidP="007452E8">
            <w:pPr>
              <w:rPr>
                <w:i/>
                <w:szCs w:val="22"/>
              </w:rPr>
            </w:pPr>
            <w:r w:rsidRPr="00BD5DBD">
              <w:rPr>
                <w:i/>
                <w:szCs w:val="22"/>
              </w:rPr>
              <w:t>Active ingredient:</w:t>
            </w:r>
          </w:p>
        </w:tc>
        <w:tc>
          <w:tcPr>
            <w:tcW w:w="3423" w:type="pct"/>
          </w:tcPr>
          <w:p w14:paraId="02FB6383" w14:textId="583CB45E" w:rsidR="00324B33" w:rsidRPr="00BD5DBD" w:rsidRDefault="0008204E" w:rsidP="007452E8">
            <w:pPr>
              <w:rPr>
                <w:szCs w:val="22"/>
              </w:rPr>
            </w:pPr>
            <w:r>
              <w:rPr>
                <w:szCs w:val="22"/>
              </w:rPr>
              <w:t>D</w:t>
            </w:r>
            <w:r w:rsidRPr="0008204E">
              <w:rPr>
                <w:szCs w:val="22"/>
              </w:rPr>
              <w:t>ifelikefalin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6282036"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56093DD0" w:rsidR="00AE1947" w:rsidRPr="0008204E" w:rsidRDefault="00AE1947" w:rsidP="0008204E">
            <w:pPr>
              <w:rPr>
                <w:i/>
                <w:szCs w:val="22"/>
              </w:rPr>
            </w:pPr>
            <w:r w:rsidRPr="00BD5DBD">
              <w:rPr>
                <w:i/>
                <w:szCs w:val="22"/>
              </w:rPr>
              <w:t>Date of decision:</w:t>
            </w:r>
          </w:p>
        </w:tc>
        <w:tc>
          <w:tcPr>
            <w:tcW w:w="3423" w:type="pct"/>
          </w:tcPr>
          <w:p w14:paraId="7B381CD6" w14:textId="32D701FD" w:rsidR="00AE1947" w:rsidRPr="00BD5DBD" w:rsidRDefault="0008204E" w:rsidP="009E4B11">
            <w:pPr>
              <w:rPr>
                <w:szCs w:val="22"/>
              </w:rPr>
            </w:pPr>
            <w:r>
              <w:rPr>
                <w:szCs w:val="22"/>
              </w:rPr>
              <w:t>9 November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D0EE34B" w:rsidR="00324B33" w:rsidRPr="00BD5DBD" w:rsidRDefault="0008204E" w:rsidP="007452E8">
            <w:pPr>
              <w:rPr>
                <w:szCs w:val="22"/>
              </w:rPr>
            </w:pPr>
            <w:r>
              <w:rPr>
                <w:szCs w:val="22"/>
              </w:rPr>
              <w:t>10 November 2022</w:t>
            </w:r>
          </w:p>
        </w:tc>
      </w:tr>
      <w:tr w:rsidR="00324B33" w:rsidRPr="00BD5DBD" w14:paraId="547E08D7" w14:textId="77777777" w:rsidTr="00F865A7">
        <w:tc>
          <w:tcPr>
            <w:tcW w:w="1577" w:type="pct"/>
          </w:tcPr>
          <w:p w14:paraId="5030EF30" w14:textId="1F6AB02B" w:rsidR="00324B33" w:rsidRPr="00BD5DBD" w:rsidRDefault="00324B33" w:rsidP="007452E8">
            <w:pPr>
              <w:rPr>
                <w:i/>
                <w:szCs w:val="22"/>
              </w:rPr>
            </w:pPr>
            <w:r w:rsidRPr="00BD5DBD">
              <w:rPr>
                <w:i/>
                <w:szCs w:val="22"/>
              </w:rPr>
              <w:t>ARTG number:</w:t>
            </w:r>
          </w:p>
        </w:tc>
        <w:tc>
          <w:tcPr>
            <w:tcW w:w="3423" w:type="pct"/>
          </w:tcPr>
          <w:p w14:paraId="0054E912" w14:textId="72352ACC" w:rsidR="00324B33" w:rsidRPr="00BD5DBD" w:rsidRDefault="0008204E" w:rsidP="007452E8">
            <w:pPr>
              <w:rPr>
                <w:szCs w:val="22"/>
              </w:rPr>
            </w:pPr>
            <w:r>
              <w:rPr>
                <w:szCs w:val="22"/>
              </w:rPr>
              <w:t>374062</w:t>
            </w:r>
          </w:p>
        </w:tc>
      </w:tr>
      <w:tr w:rsidR="00324B33" w:rsidRPr="00BD5DBD" w14:paraId="7618393F" w14:textId="77777777" w:rsidTr="00F865A7">
        <w:tc>
          <w:tcPr>
            <w:tcW w:w="1577" w:type="pct"/>
          </w:tcPr>
          <w:p w14:paraId="6C24CEB6" w14:textId="2835EFBB" w:rsidR="00E47E0C" w:rsidRPr="00BD5DBD" w:rsidRDefault="00324B33" w:rsidP="007452E8">
            <w:pPr>
              <w:rPr>
                <w:rStyle w:val="Hyperlink"/>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010BC877" w:rsidR="00324B33" w:rsidRPr="00BD5DBD" w:rsidRDefault="00324B33" w:rsidP="007452E8">
            <w:pPr>
              <w:rPr>
                <w:szCs w:val="22"/>
              </w:rPr>
            </w:pPr>
            <w:r w:rsidRPr="00BD5DBD">
              <w:rPr>
                <w:szCs w:val="22"/>
              </w:rPr>
              <w:t>Yes</w:t>
            </w:r>
          </w:p>
          <w:p w14:paraId="6FF3C6A2" w14:textId="07DF1874" w:rsidR="00324B33" w:rsidRPr="00BD5DBD" w:rsidRDefault="00324B33" w:rsidP="007452E8">
            <w:pPr>
              <w:rPr>
                <w:szCs w:val="22"/>
              </w:rPr>
            </w:pPr>
            <w:r w:rsidRPr="00BD5DBD">
              <w:rPr>
                <w:szCs w:val="22"/>
              </w:rPr>
              <w:t>This product will remain in the scheme for 5 years, starting on the date the product is first supplied in Australia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339F1CE0" w14:textId="77777777" w:rsidR="00324B33" w:rsidRDefault="0008204E" w:rsidP="007452E8">
            <w:pPr>
              <w:rPr>
                <w:szCs w:val="22"/>
              </w:rPr>
            </w:pPr>
            <w:r w:rsidRPr="0008204E">
              <w:rPr>
                <w:szCs w:val="22"/>
              </w:rPr>
              <w:t>Vifor Pharma Pty Ltd</w:t>
            </w:r>
          </w:p>
          <w:p w14:paraId="1E2DC731" w14:textId="77777777" w:rsidR="0008204E" w:rsidRPr="0008204E" w:rsidRDefault="0008204E" w:rsidP="0008204E">
            <w:pPr>
              <w:rPr>
                <w:szCs w:val="22"/>
              </w:rPr>
            </w:pPr>
            <w:r w:rsidRPr="0008204E">
              <w:rPr>
                <w:szCs w:val="22"/>
              </w:rPr>
              <w:t>Level 9 140 William Street</w:t>
            </w:r>
          </w:p>
          <w:p w14:paraId="68DD94B0" w14:textId="621730E0" w:rsidR="0008204E" w:rsidRPr="00BD5DBD" w:rsidRDefault="0008204E" w:rsidP="0008204E">
            <w:pPr>
              <w:rPr>
                <w:szCs w:val="22"/>
              </w:rPr>
            </w:pPr>
            <w:r w:rsidRPr="0008204E">
              <w:rPr>
                <w:szCs w:val="22"/>
              </w:rPr>
              <w:t>Melbourne</w:t>
            </w:r>
            <w:r>
              <w:rPr>
                <w:szCs w:val="22"/>
              </w:rPr>
              <w:t>,</w:t>
            </w:r>
            <w:r w:rsidRPr="0008204E">
              <w:rPr>
                <w:szCs w:val="22"/>
              </w:rPr>
              <w:t xml:space="preserve"> VIC 3000</w:t>
            </w:r>
          </w:p>
        </w:tc>
      </w:tr>
      <w:tr w:rsidR="00324B33" w:rsidRPr="00BD5DBD" w14:paraId="5322B989" w14:textId="77777777" w:rsidTr="00F865A7">
        <w:tc>
          <w:tcPr>
            <w:tcW w:w="1577" w:type="pct"/>
          </w:tcPr>
          <w:p w14:paraId="24F217E3" w14:textId="5D4FE987" w:rsidR="00324B33" w:rsidRPr="00BD5DBD" w:rsidRDefault="00324B33" w:rsidP="007452E8">
            <w:pPr>
              <w:rPr>
                <w:i/>
                <w:szCs w:val="22"/>
              </w:rPr>
            </w:pPr>
            <w:r w:rsidRPr="00BD5DBD">
              <w:rPr>
                <w:i/>
                <w:szCs w:val="22"/>
              </w:rPr>
              <w:t>Dose form:</w:t>
            </w:r>
          </w:p>
        </w:tc>
        <w:tc>
          <w:tcPr>
            <w:tcW w:w="3423" w:type="pct"/>
          </w:tcPr>
          <w:p w14:paraId="768B254C" w14:textId="1EC8248E" w:rsidR="00324B33" w:rsidRPr="00BD5DBD" w:rsidRDefault="0008204E" w:rsidP="007452E8">
            <w:pPr>
              <w:rPr>
                <w:szCs w:val="22"/>
              </w:rPr>
            </w:pPr>
            <w:r w:rsidRPr="0008204E">
              <w:rPr>
                <w:szCs w:val="22"/>
              </w:rPr>
              <w:t>Solution for injection</w:t>
            </w:r>
          </w:p>
        </w:tc>
      </w:tr>
      <w:tr w:rsidR="00324B33" w:rsidRPr="00BD5DBD" w14:paraId="115243E6" w14:textId="77777777" w:rsidTr="00F865A7">
        <w:tc>
          <w:tcPr>
            <w:tcW w:w="1577" w:type="pct"/>
          </w:tcPr>
          <w:p w14:paraId="7634B062" w14:textId="6EB73FC0" w:rsidR="00324B33" w:rsidRPr="00BD5DBD" w:rsidRDefault="00324B33" w:rsidP="007452E8">
            <w:pPr>
              <w:rPr>
                <w:i/>
                <w:szCs w:val="22"/>
              </w:rPr>
            </w:pPr>
            <w:r w:rsidRPr="00BD5DBD">
              <w:rPr>
                <w:i/>
                <w:szCs w:val="22"/>
              </w:rPr>
              <w:t>Strength:</w:t>
            </w:r>
          </w:p>
        </w:tc>
        <w:tc>
          <w:tcPr>
            <w:tcW w:w="3423" w:type="pct"/>
          </w:tcPr>
          <w:p w14:paraId="5E5F83DB" w14:textId="11D67751" w:rsidR="00324B33" w:rsidRPr="00BD5DBD" w:rsidRDefault="0008204E" w:rsidP="007452E8">
            <w:pPr>
              <w:rPr>
                <w:szCs w:val="22"/>
              </w:rPr>
            </w:pPr>
            <w:r w:rsidRPr="0008204E">
              <w:rPr>
                <w:szCs w:val="22"/>
              </w:rPr>
              <w:t>50 µg/mL</w:t>
            </w:r>
          </w:p>
        </w:tc>
      </w:tr>
      <w:tr w:rsidR="00324B33" w:rsidRPr="00BD5DBD" w14:paraId="34B07BA6" w14:textId="77777777" w:rsidTr="00F865A7">
        <w:tc>
          <w:tcPr>
            <w:tcW w:w="1577" w:type="pct"/>
          </w:tcPr>
          <w:p w14:paraId="1C039224" w14:textId="66AA4B51" w:rsidR="00324B33" w:rsidRPr="00BD5DBD" w:rsidRDefault="00324B33" w:rsidP="007452E8">
            <w:pPr>
              <w:rPr>
                <w:i/>
                <w:szCs w:val="22"/>
              </w:rPr>
            </w:pPr>
            <w:r w:rsidRPr="00BD5DBD">
              <w:rPr>
                <w:i/>
                <w:szCs w:val="22"/>
              </w:rPr>
              <w:t>Container:</w:t>
            </w:r>
          </w:p>
        </w:tc>
        <w:tc>
          <w:tcPr>
            <w:tcW w:w="3423" w:type="pct"/>
          </w:tcPr>
          <w:p w14:paraId="500A42C6" w14:textId="6A92E725" w:rsidR="00324B33" w:rsidRPr="00BD5DBD" w:rsidRDefault="0008204E" w:rsidP="007452E8">
            <w:pPr>
              <w:rPr>
                <w:szCs w:val="22"/>
              </w:rPr>
            </w:pPr>
            <w:r>
              <w:rPr>
                <w:szCs w:val="22"/>
              </w:rPr>
              <w:t>Vial</w:t>
            </w:r>
          </w:p>
        </w:tc>
      </w:tr>
      <w:tr w:rsidR="00324B33" w:rsidRPr="00BD5DBD" w14:paraId="176B6773" w14:textId="77777777" w:rsidTr="00F865A7">
        <w:tc>
          <w:tcPr>
            <w:tcW w:w="1577" w:type="pct"/>
          </w:tcPr>
          <w:p w14:paraId="71846159" w14:textId="55A58412" w:rsidR="00324B33" w:rsidRPr="00BD5DBD" w:rsidRDefault="00324B33" w:rsidP="007452E8">
            <w:pPr>
              <w:rPr>
                <w:i/>
                <w:szCs w:val="22"/>
              </w:rPr>
            </w:pPr>
            <w:r w:rsidRPr="00BD5DBD">
              <w:rPr>
                <w:i/>
                <w:szCs w:val="22"/>
              </w:rPr>
              <w:t>Pack sizes:</w:t>
            </w:r>
          </w:p>
        </w:tc>
        <w:tc>
          <w:tcPr>
            <w:tcW w:w="3423" w:type="pct"/>
          </w:tcPr>
          <w:p w14:paraId="7E978F8F" w14:textId="7A10AA43" w:rsidR="00324B33" w:rsidRPr="00BD5DBD" w:rsidRDefault="0008204E" w:rsidP="007452E8">
            <w:pPr>
              <w:rPr>
                <w:szCs w:val="22"/>
              </w:rPr>
            </w:pPr>
            <w:r w:rsidRPr="0008204E">
              <w:rPr>
                <w:szCs w:val="22"/>
              </w:rPr>
              <w:t>3 and 12</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23AAAD7A" w:rsidR="00324B33" w:rsidRPr="0008204E" w:rsidRDefault="0008204E" w:rsidP="007452E8">
            <w:pPr>
              <w:rPr>
                <w:i/>
                <w:iCs/>
                <w:szCs w:val="22"/>
              </w:rPr>
            </w:pPr>
            <w:r w:rsidRPr="0008204E">
              <w:rPr>
                <w:i/>
                <w:iCs/>
                <w:szCs w:val="22"/>
              </w:rPr>
              <w:t>Korsuva is indicated for the treatment of moderate-to-severe pruritus associated with chronic kidney disease in adult patients on haemodialysis.</w:t>
            </w:r>
          </w:p>
        </w:tc>
      </w:tr>
      <w:tr w:rsidR="00324B33" w:rsidRPr="00BD5DBD" w14:paraId="5AFDEED3" w14:textId="77777777" w:rsidTr="00F865A7">
        <w:tc>
          <w:tcPr>
            <w:tcW w:w="1577" w:type="pct"/>
          </w:tcPr>
          <w:p w14:paraId="03884BD1" w14:textId="5D145018" w:rsidR="00324B33" w:rsidRPr="00BD5DBD" w:rsidRDefault="00324B33" w:rsidP="007452E8">
            <w:pPr>
              <w:rPr>
                <w:i/>
                <w:szCs w:val="22"/>
              </w:rPr>
            </w:pPr>
            <w:r w:rsidRPr="00BD5DBD">
              <w:rPr>
                <w:i/>
                <w:szCs w:val="22"/>
              </w:rPr>
              <w:t>Route of administration:</w:t>
            </w:r>
          </w:p>
        </w:tc>
        <w:tc>
          <w:tcPr>
            <w:tcW w:w="3423" w:type="pct"/>
          </w:tcPr>
          <w:p w14:paraId="1ED1357E" w14:textId="4985347B" w:rsidR="00324B33" w:rsidRPr="00BD5DBD" w:rsidRDefault="0008204E" w:rsidP="007452E8">
            <w:pPr>
              <w:rPr>
                <w:szCs w:val="22"/>
              </w:rPr>
            </w:pPr>
            <w:r>
              <w:rPr>
                <w:szCs w:val="22"/>
              </w:rPr>
              <w:t>Intravenous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46B144" w14:textId="56FE38FA" w:rsidR="00324B33" w:rsidRPr="00BD5DBD" w:rsidRDefault="0008204E" w:rsidP="007452E8">
            <w:pPr>
              <w:rPr>
                <w:szCs w:val="22"/>
              </w:rPr>
            </w:pPr>
            <w:r w:rsidRPr="0008204E">
              <w:rPr>
                <w:szCs w:val="22"/>
              </w:rPr>
              <w:t>The recommended dose of Korsuva is 0.5 µg/kg dry body weight (that is the target post</w:t>
            </w:r>
            <w:r w:rsidR="00A020D9">
              <w:rPr>
                <w:szCs w:val="22"/>
              </w:rPr>
              <w:t>-</w:t>
            </w:r>
            <w:r w:rsidRPr="0008204E">
              <w:rPr>
                <w:szCs w:val="22"/>
              </w:rPr>
              <w:t>dialysis weight) by intravenous bolus injection three times per week. The total dose volume (mL) required from the vial should be calculated as follows: 0.01 x prescription dry body weight (kg), rounded to the nearest tenth (0.1 mL).</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0F4BCF38" w14:textId="77777777" w:rsidR="00864873" w:rsidRDefault="00864873" w:rsidP="007452E8">
            <w:pPr>
              <w:rPr>
                <w:szCs w:val="22"/>
              </w:rPr>
            </w:pPr>
            <w:r>
              <w:rPr>
                <w:szCs w:val="22"/>
              </w:rPr>
              <w:t>B1</w:t>
            </w:r>
          </w:p>
          <w:p w14:paraId="7EB5C6D7" w14:textId="60AA56ED" w:rsidR="00864873" w:rsidRPr="00864873" w:rsidRDefault="00864873" w:rsidP="00864873">
            <w:pPr>
              <w:rPr>
                <w:szCs w:val="22"/>
              </w:rPr>
            </w:pPr>
            <w:r w:rsidRPr="00864873">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864873">
              <w:rPr>
                <w:szCs w:val="22"/>
              </w:rPr>
              <w:t>fetus</w:t>
            </w:r>
            <w:proofErr w:type="spellEnd"/>
            <w:r w:rsidRPr="00864873">
              <w:rPr>
                <w:szCs w:val="22"/>
              </w:rPr>
              <w:t xml:space="preserve"> having been observed.</w:t>
            </w:r>
          </w:p>
          <w:p w14:paraId="68C3870F" w14:textId="1791DAEB" w:rsidR="00864873" w:rsidRDefault="00864873" w:rsidP="00864873">
            <w:pPr>
              <w:rPr>
                <w:szCs w:val="22"/>
              </w:rPr>
            </w:pPr>
            <w:r w:rsidRPr="00864873">
              <w:rPr>
                <w:szCs w:val="22"/>
              </w:rPr>
              <w:lastRenderedPageBreak/>
              <w:t>Studies in animals have not shown evidence of an increased occurrence of fetal damage.</w:t>
            </w:r>
          </w:p>
          <w:p w14:paraId="5E2AA3D6" w14:textId="7070C3DA"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47404298"/>
      <w:r>
        <w:lastRenderedPageBreak/>
        <w:t>Product background</w:t>
      </w:r>
      <w:bookmarkEnd w:id="12"/>
      <w:bookmarkEnd w:id="13"/>
      <w:bookmarkEnd w:id="14"/>
      <w:bookmarkEnd w:id="15"/>
    </w:p>
    <w:p w14:paraId="56B27CF2" w14:textId="40DD083C" w:rsidR="00324B33" w:rsidRDefault="00324B33" w:rsidP="00324B33">
      <w:pPr>
        <w:rPr>
          <w:szCs w:val="22"/>
        </w:rPr>
      </w:pPr>
      <w:r w:rsidRPr="00BD5DBD">
        <w:rPr>
          <w:szCs w:val="22"/>
        </w:rPr>
        <w:t xml:space="preserve">This AusPAR describes the submission by </w:t>
      </w:r>
      <w:r w:rsidR="00864873">
        <w:rPr>
          <w:szCs w:val="22"/>
        </w:rPr>
        <w:t xml:space="preserve">Vifor Pharma Pty Ltd </w:t>
      </w:r>
      <w:r w:rsidRPr="00BD5DBD">
        <w:rPr>
          <w:szCs w:val="22"/>
        </w:rPr>
        <w:t xml:space="preserve">(the sponsor) to register </w:t>
      </w:r>
      <w:r w:rsidR="00864873">
        <w:rPr>
          <w:szCs w:val="22"/>
        </w:rPr>
        <w:t xml:space="preserve">Korsuva </w:t>
      </w:r>
      <w:r w:rsidRPr="00BD5DBD">
        <w:rPr>
          <w:szCs w:val="22"/>
        </w:rPr>
        <w:t>(</w:t>
      </w:r>
      <w:r w:rsidR="00864873">
        <w:rPr>
          <w:szCs w:val="22"/>
        </w:rPr>
        <w:t>difelikefalin</w:t>
      </w:r>
      <w:r w:rsidRPr="00BD5DBD">
        <w:rPr>
          <w:szCs w:val="22"/>
        </w:rPr>
        <w:t xml:space="preserve">) </w:t>
      </w:r>
      <w:r w:rsidR="00864873">
        <w:rPr>
          <w:szCs w:val="22"/>
        </w:rPr>
        <w:t>50</w:t>
      </w:r>
      <w:r w:rsidR="00E81FD4">
        <w:rPr>
          <w:szCs w:val="22"/>
        </w:rPr>
        <w:t xml:space="preserve"> </w:t>
      </w:r>
      <w:r w:rsidR="00E81FD4">
        <w:rPr>
          <w:rFonts w:ascii="Symbol" w:eastAsia="Symbol" w:hAnsi="Symbol" w:cs="Symbol"/>
          <w:szCs w:val="22"/>
        </w:rPr>
        <w:t>m</w:t>
      </w:r>
      <w:r w:rsidR="00864873">
        <w:rPr>
          <w:szCs w:val="22"/>
        </w:rPr>
        <w:t xml:space="preserve">g/mL, solution for injection vial </w:t>
      </w:r>
      <w:r w:rsidRPr="00BD5DBD">
        <w:rPr>
          <w:szCs w:val="22"/>
        </w:rPr>
        <w:t>for the following proposed indication:</w:t>
      </w:r>
      <w:r w:rsidR="00D63760" w:rsidRPr="00BD5DBD">
        <w:rPr>
          <w:rStyle w:val="FootnoteReference"/>
          <w:szCs w:val="22"/>
        </w:rPr>
        <w:footnoteReference w:id="2"/>
      </w:r>
    </w:p>
    <w:p w14:paraId="56A0D69F" w14:textId="390BD7F7" w:rsidR="00864873" w:rsidRPr="00A020D9" w:rsidRDefault="00864873" w:rsidP="5C4B9108">
      <w:pPr>
        <w:ind w:left="720"/>
        <w:rPr>
          <w:i/>
          <w:iCs/>
        </w:rPr>
      </w:pPr>
      <w:r w:rsidRPr="5C4B9108">
        <w:rPr>
          <w:i/>
          <w:iCs/>
        </w:rPr>
        <w:t xml:space="preserve">Korsuva is indicated for the treatment of moderate-to-severe pruritus associated with chronic kidney disease in adult patients on </w:t>
      </w:r>
      <w:r w:rsidR="000527D0" w:rsidRPr="5C4B9108">
        <w:rPr>
          <w:i/>
          <w:iCs/>
        </w:rPr>
        <w:t>haemodialysis</w:t>
      </w:r>
      <w:r w:rsidRPr="5C4B9108">
        <w:rPr>
          <w:i/>
          <w:iCs/>
        </w:rPr>
        <w:t>.</w:t>
      </w:r>
    </w:p>
    <w:p w14:paraId="2DCD17C8" w14:textId="562F8E5B" w:rsidR="00395FED" w:rsidRDefault="00395FED" w:rsidP="00E81FD4">
      <w:pPr>
        <w:pStyle w:val="Heading4"/>
      </w:pPr>
      <w:bookmarkStart w:id="16" w:name="_Toc147404299"/>
      <w:r w:rsidRPr="00395FED">
        <w:t>Chronic kidney disease-associated pruritus</w:t>
      </w:r>
      <w:bookmarkEnd w:id="16"/>
    </w:p>
    <w:p w14:paraId="48BB02E9" w14:textId="18A5DAF1" w:rsidR="00864873" w:rsidRDefault="00864873" w:rsidP="00864873">
      <w:r w:rsidRPr="00A020D9">
        <w:t>Chronic kidney disease-associated pruritus (CKD-</w:t>
      </w:r>
      <w:proofErr w:type="spellStart"/>
      <w:r w:rsidRPr="00A020D9">
        <w:t>aP</w:t>
      </w:r>
      <w:proofErr w:type="spellEnd"/>
      <w:r w:rsidRPr="00A020D9">
        <w:t>; also</w:t>
      </w:r>
      <w:r>
        <w:t xml:space="preserve"> known as</w:t>
      </w:r>
      <w:r w:rsidRPr="00864873">
        <w:t xml:space="preserve"> uraemic pruritus) is a condition characterised by a generalised and intractable itch. This systemic pruritus does not originate from skin lesions, but rather is a persistent itch sensation that often leads to considerable mechanical skin damage due to a continuous and uncontrollable urge to scratch. The pathophysiology of CKD-</w:t>
      </w:r>
      <w:proofErr w:type="spellStart"/>
      <w:r w:rsidRPr="00864873">
        <w:t>aP</w:t>
      </w:r>
      <w:proofErr w:type="spellEnd"/>
      <w:r w:rsidRPr="00864873">
        <w:t xml:space="preserve"> is likely multi-factorial and includes abnormalities related to uraemia, immune system dysfunction, opioid </w:t>
      </w:r>
      <w:proofErr w:type="gramStart"/>
      <w:r w:rsidRPr="00864873">
        <w:t>dysregulation</w:t>
      </w:r>
      <w:proofErr w:type="gramEnd"/>
      <w:r w:rsidRPr="00864873">
        <w:t xml:space="preserve"> and neuropathic changes; it is unlikely that histamine plays a major pathogenic role.</w:t>
      </w:r>
    </w:p>
    <w:p w14:paraId="624CB1EA" w14:textId="719267CD" w:rsidR="00864873" w:rsidRDefault="00864873" w:rsidP="00864873">
      <w:r w:rsidRPr="00864873">
        <w:t>Patients with CKD-</w:t>
      </w:r>
      <w:proofErr w:type="spellStart"/>
      <w:r w:rsidRPr="00864873">
        <w:t>aP</w:t>
      </w:r>
      <w:proofErr w:type="spellEnd"/>
      <w:r w:rsidRPr="00864873">
        <w:t xml:space="preserve"> suffer from severely impaired physical and mental health. </w:t>
      </w:r>
      <w:r w:rsidR="00A020D9" w:rsidRPr="00A020D9">
        <w:t xml:space="preserve">Chronic kidney disease-associated pruritus </w:t>
      </w:r>
      <w:r w:rsidR="00A020D9">
        <w:t>(</w:t>
      </w:r>
      <w:r w:rsidRPr="00864873">
        <w:t>CKD-</w:t>
      </w:r>
      <w:proofErr w:type="spellStart"/>
      <w:r w:rsidRPr="00864873">
        <w:t>aP</w:t>
      </w:r>
      <w:proofErr w:type="spellEnd"/>
      <w:r w:rsidR="00A020D9">
        <w:t>)</w:t>
      </w:r>
      <w:r w:rsidRPr="00864873">
        <w:t xml:space="preserve"> entails sleep disturbance, insomnia, chronic fatigue, shame, social isolation, and an increased incidence of depression. In addition, scratching often leads to an increased risk of infections (</w:t>
      </w:r>
      <w:r>
        <w:t>for example</w:t>
      </w:r>
      <w:r w:rsidRPr="00864873">
        <w:t>, cellulitis, sepsis, bacteraemia, and infections of the dialysis access site).</w:t>
      </w:r>
    </w:p>
    <w:p w14:paraId="5E8C627E" w14:textId="6CF9964B" w:rsidR="00864873" w:rsidRDefault="00864873" w:rsidP="00864873">
      <w:r>
        <w:t xml:space="preserve">Patients with </w:t>
      </w:r>
      <w:r w:rsidRPr="00A020D9">
        <w:t>CKD</w:t>
      </w:r>
      <w:r>
        <w:t xml:space="preserve"> undergoing </w:t>
      </w:r>
      <w:r w:rsidRPr="00A020D9">
        <w:t>haemodialysis</w:t>
      </w:r>
      <w:r>
        <w:t xml:space="preserve"> have a lower quality of life and shorter life expectancy than the general population. Their quality of life and life expectancy may be further reduced when they suffer from CKD-</w:t>
      </w:r>
      <w:proofErr w:type="spellStart"/>
      <w:r>
        <w:t>aP.</w:t>
      </w:r>
      <w:proofErr w:type="spellEnd"/>
    </w:p>
    <w:p w14:paraId="06A26528" w14:textId="0CBF094E" w:rsidR="00864873" w:rsidRDefault="00864873" w:rsidP="00864873">
      <w:r>
        <w:t xml:space="preserve">Of the over 460,000 patients undergoing </w:t>
      </w:r>
      <w:r w:rsidR="001F495E">
        <w:t>haemodialysis</w:t>
      </w:r>
      <w:r>
        <w:t xml:space="preserve"> in the United </w:t>
      </w:r>
      <w:r w:rsidRPr="00A020D9">
        <w:t xml:space="preserve">States </w:t>
      </w:r>
      <w:r w:rsidR="00395FED">
        <w:t xml:space="preserve">of America </w:t>
      </w:r>
      <w:r w:rsidRPr="00A020D9">
        <w:t>(US</w:t>
      </w:r>
      <w:r w:rsidR="00395FED">
        <w:t>A</w:t>
      </w:r>
      <w:r w:rsidRPr="00A020D9">
        <w:t xml:space="preserve">), </w:t>
      </w:r>
      <w:r>
        <w:t>more than 60% have some degree of pruritus, with 20 to 40% suffering from moderate</w:t>
      </w:r>
      <w:r w:rsidR="00A020D9">
        <w:t xml:space="preserve"> </w:t>
      </w:r>
      <w:r>
        <w:t>to</w:t>
      </w:r>
      <w:r w:rsidR="00A020D9">
        <w:t xml:space="preserve"> </w:t>
      </w:r>
      <w:r>
        <w:t xml:space="preserve">severe pruritus. Comparable proportions are reported worldwide and in countries of the European </w:t>
      </w:r>
      <w:r w:rsidRPr="00A020D9">
        <w:t>Union (EU</w:t>
      </w:r>
      <w:r>
        <w:t>). A large international, observational study on CKD-</w:t>
      </w:r>
      <w:proofErr w:type="spellStart"/>
      <w:r>
        <w:t>aP</w:t>
      </w:r>
      <w:proofErr w:type="spellEnd"/>
      <w:r>
        <w:t xml:space="preserve"> in haemodialysis patients in 12 countries including Australia, New Zealand, Japan, Canada, Sweden, the United Kingdom, and the United States found that up to 70% of haemodialysis patients reported pruritus and 41.7% of patients reported moderate to extreme pruritus</w:t>
      </w:r>
      <w:r w:rsidR="00F30A5E">
        <w:t>.</w:t>
      </w:r>
      <w:bookmarkStart w:id="17" w:name="_Ref142305434"/>
      <w:r w:rsidR="00F30A5E">
        <w:rPr>
          <w:rStyle w:val="FootnoteReference"/>
        </w:rPr>
        <w:footnoteReference w:id="3"/>
      </w:r>
      <w:bookmarkEnd w:id="17"/>
    </w:p>
    <w:p w14:paraId="004AAE77" w14:textId="36B5C939" w:rsidR="00864873" w:rsidRDefault="00864873" w:rsidP="00864873">
      <w:pPr>
        <w:pStyle w:val="Heading4"/>
      </w:pPr>
      <w:bookmarkStart w:id="18" w:name="_Toc147404300"/>
      <w:r>
        <w:lastRenderedPageBreak/>
        <w:t>Current treatment options</w:t>
      </w:r>
      <w:bookmarkEnd w:id="18"/>
    </w:p>
    <w:p w14:paraId="695B802D" w14:textId="25CCD2EA" w:rsidR="00864873" w:rsidRPr="00864873" w:rsidRDefault="00864873" w:rsidP="00864873">
      <w:r w:rsidRPr="00864873">
        <w:t>There are currently no specific therapies approved for the treatment of CKD-</w:t>
      </w:r>
      <w:proofErr w:type="spellStart"/>
      <w:r w:rsidRPr="00864873">
        <w:t>aP</w:t>
      </w:r>
      <w:proofErr w:type="spellEnd"/>
      <w:r w:rsidRPr="00864873">
        <w:t xml:space="preserve"> in Europe or in the US</w:t>
      </w:r>
      <w:r w:rsidR="00395FED">
        <w:t>A</w:t>
      </w:r>
      <w:r w:rsidRPr="00864873">
        <w:t>. Current treatment options included:</w:t>
      </w:r>
    </w:p>
    <w:p w14:paraId="76511ABB" w14:textId="430A0955" w:rsidR="00864873" w:rsidRPr="00864873" w:rsidRDefault="00864873" w:rsidP="00864873">
      <w:pPr>
        <w:pStyle w:val="ListBullet"/>
      </w:pPr>
      <w:r>
        <w:t>T</w:t>
      </w:r>
      <w:r w:rsidRPr="00864873">
        <w:t>opical therapies such as lotions or creams which have little efficacy</w:t>
      </w:r>
      <w:r>
        <w:t>.</w:t>
      </w:r>
    </w:p>
    <w:p w14:paraId="207B76B7" w14:textId="00B7051C" w:rsidR="00864873" w:rsidRPr="00864873" w:rsidRDefault="00864873" w:rsidP="00864873">
      <w:pPr>
        <w:pStyle w:val="ListBullet"/>
      </w:pPr>
      <w:r w:rsidRPr="00864873">
        <w:t>Ultraviolet light therapy may sometimes help but is inconvenient and often not available.</w:t>
      </w:r>
    </w:p>
    <w:p w14:paraId="3B860AD8" w14:textId="3BF76835" w:rsidR="00864873" w:rsidRPr="00864873" w:rsidRDefault="00864873" w:rsidP="00864873">
      <w:pPr>
        <w:pStyle w:val="ListBullet"/>
      </w:pPr>
      <w:r w:rsidRPr="00864873">
        <w:t>Several oral medications have been used as off-label treatments for CKD-</w:t>
      </w:r>
      <w:proofErr w:type="spellStart"/>
      <w:r w:rsidRPr="00864873">
        <w:t>aP</w:t>
      </w:r>
      <w:proofErr w:type="spellEnd"/>
      <w:r w:rsidRPr="00864873">
        <w:t xml:space="preserve"> (</w:t>
      </w:r>
      <w:r>
        <w:t>for example</w:t>
      </w:r>
      <w:r w:rsidRPr="00864873">
        <w:t>, antihistamines, corticosteroids, gabapentin, and pregabalin). However, these therapies are neither specifically suited to treat CKD-</w:t>
      </w:r>
      <w:proofErr w:type="spellStart"/>
      <w:r w:rsidRPr="00864873">
        <w:t>aP</w:t>
      </w:r>
      <w:proofErr w:type="spellEnd"/>
      <w:r w:rsidRPr="00864873">
        <w:t xml:space="preserve"> nor generally effective in this condition:</w:t>
      </w:r>
    </w:p>
    <w:p w14:paraId="60B39AA3" w14:textId="7ACB1D8E" w:rsidR="00864873" w:rsidRDefault="00864873" w:rsidP="00864873">
      <w:pPr>
        <w:pStyle w:val="ListBullet2"/>
      </w:pPr>
      <w:r w:rsidRPr="00864873">
        <w:t>The limited role of histamine in the pathophysiology of CKD-</w:t>
      </w:r>
      <w:proofErr w:type="spellStart"/>
      <w:r w:rsidRPr="00864873">
        <w:t>aP</w:t>
      </w:r>
      <w:proofErr w:type="spellEnd"/>
      <w:r w:rsidRPr="00864873">
        <w:t xml:space="preserve"> could explain why the</w:t>
      </w:r>
      <w:r>
        <w:t xml:space="preserve"> </w:t>
      </w:r>
      <w:r w:rsidRPr="00864873">
        <w:t>condition is commonly unresponsive to antihistamines.</w:t>
      </w:r>
    </w:p>
    <w:p w14:paraId="5A44EE5C" w14:textId="5B137D48" w:rsidR="00864873" w:rsidRPr="00864873" w:rsidRDefault="00864873" w:rsidP="009E4B11">
      <w:pPr>
        <w:pStyle w:val="ListBullet2"/>
      </w:pPr>
      <w:r w:rsidRPr="00864873">
        <w:rPr>
          <w:szCs w:val="22"/>
        </w:rPr>
        <w:t>Gabapentinoids and antidepressants may help alleviating the suffering of CKD-</w:t>
      </w:r>
      <w:proofErr w:type="spellStart"/>
      <w:r w:rsidRPr="00864873">
        <w:rPr>
          <w:szCs w:val="22"/>
        </w:rPr>
        <w:t>aP</w:t>
      </w:r>
      <w:proofErr w:type="spellEnd"/>
      <w:r w:rsidRPr="00864873">
        <w:rPr>
          <w:szCs w:val="22"/>
        </w:rPr>
        <w:t xml:space="preserve"> patients, but they have central actions that are associated with considerable side effects. In addition, the evidence of their antipruritic efficacy is limited and lacking support from randomised, well</w:t>
      </w:r>
      <w:r>
        <w:rPr>
          <w:szCs w:val="22"/>
        </w:rPr>
        <w:t xml:space="preserve"> </w:t>
      </w:r>
      <w:r w:rsidRPr="00864873">
        <w:rPr>
          <w:szCs w:val="22"/>
        </w:rPr>
        <w:t>controlled studies.</w:t>
      </w:r>
    </w:p>
    <w:p w14:paraId="5E43D8C2" w14:textId="64984E57" w:rsidR="00864873" w:rsidRDefault="00864873" w:rsidP="00864873">
      <w:pPr>
        <w:pStyle w:val="Heading4"/>
      </w:pPr>
      <w:bookmarkStart w:id="19" w:name="_Toc147404301"/>
      <w:r>
        <w:t>Clinical rationale</w:t>
      </w:r>
      <w:bookmarkEnd w:id="19"/>
    </w:p>
    <w:p w14:paraId="647EA983" w14:textId="621BC43A" w:rsidR="00864873" w:rsidRPr="00864873" w:rsidRDefault="00864873" w:rsidP="00864873">
      <w:r w:rsidRPr="00864873">
        <w:t>Taking together the impact and consequence of CKD-</w:t>
      </w:r>
      <w:proofErr w:type="spellStart"/>
      <w:r w:rsidRPr="00864873">
        <w:t>aP</w:t>
      </w:r>
      <w:proofErr w:type="spellEnd"/>
      <w:r w:rsidRPr="00864873">
        <w:t xml:space="preserve"> on patients and the lack of proven efficacious treatment options, the sponsor considered that there is an unmet medical need for safe and efficacious treatment options for CKD-</w:t>
      </w:r>
      <w:proofErr w:type="spellStart"/>
      <w:r w:rsidRPr="00864873">
        <w:t>aP.</w:t>
      </w:r>
      <w:proofErr w:type="spellEnd"/>
    </w:p>
    <w:p w14:paraId="15BA2247" w14:textId="00D51FF8" w:rsidR="00864873" w:rsidRDefault="00864873" w:rsidP="00864873">
      <w:r w:rsidRPr="00864873">
        <w:t xml:space="preserve">The small synthetic peptide </w:t>
      </w:r>
      <w:r>
        <w:t>d</w:t>
      </w:r>
      <w:r w:rsidRPr="00864873">
        <w:t xml:space="preserve">ifelikefalin is a novel, highly selective, peripherally restricted, full </w:t>
      </w:r>
      <w:r w:rsidR="00892BA0">
        <w:t>k</w:t>
      </w:r>
      <w:r>
        <w:t xml:space="preserve">appa </w:t>
      </w:r>
      <w:r w:rsidR="00892BA0">
        <w:t>o</w:t>
      </w:r>
      <w:r>
        <w:t xml:space="preserve">pioid </w:t>
      </w:r>
      <w:r w:rsidR="00892BA0">
        <w:t>r</w:t>
      </w:r>
      <w:r>
        <w:t>eceptor (</w:t>
      </w:r>
      <w:r w:rsidRPr="00A020D9">
        <w:t>KOR</w:t>
      </w:r>
      <w:r>
        <w:t>)</w:t>
      </w:r>
      <w:r w:rsidRPr="00864873">
        <w:t xml:space="preserve"> agonist, with no identified off-target activity. The pharmacological actions of </w:t>
      </w:r>
      <w:r>
        <w:t>d</w:t>
      </w:r>
      <w:r w:rsidRPr="00864873">
        <w:t xml:space="preserve">ifelikefalin on peripheral sensory neurons and immune cells are considered mechanistically responsible for the antipruritic and anti-inflammatory effects and were the basis for the development of </w:t>
      </w:r>
      <w:r>
        <w:t>d</w:t>
      </w:r>
      <w:r w:rsidRPr="00864873">
        <w:t>ifelikefalin to treat CKD-</w:t>
      </w:r>
      <w:proofErr w:type="spellStart"/>
      <w:r w:rsidRPr="00864873">
        <w:t>aP</w:t>
      </w:r>
      <w:proofErr w:type="spellEnd"/>
      <w:r w:rsidRPr="00864873">
        <w:t xml:space="preserve"> in adult patients undergoing haemodialysis.</w:t>
      </w:r>
    </w:p>
    <w:p w14:paraId="6763315C" w14:textId="3C2EA707" w:rsidR="00324B33" w:rsidRPr="00864873" w:rsidRDefault="00324B33" w:rsidP="00864873">
      <w:pPr>
        <w:spacing w:before="240"/>
        <w:rPr>
          <w:szCs w:val="22"/>
        </w:rPr>
      </w:pPr>
      <w:bookmarkStart w:id="20" w:name="_Toc314842485"/>
      <w:bookmarkStart w:id="21" w:name="_Toc247691504"/>
      <w:r w:rsidRPr="00864873">
        <w:rPr>
          <w:szCs w:val="22"/>
        </w:rPr>
        <w:t xml:space="preserve">This submission was evaluated as part of the </w:t>
      </w:r>
      <w:hyperlink r:id="rId21" w:history="1">
        <w:r w:rsidRPr="00864873">
          <w:rPr>
            <w:rStyle w:val="Hyperlink"/>
            <w:szCs w:val="22"/>
          </w:rPr>
          <w:t>Australia-Canada-Singapore-Switzerland-United Kingdom (ACCESS) Consortium</w:t>
        </w:r>
      </w:hyperlink>
      <w:r w:rsidRPr="00864873">
        <w:rPr>
          <w:szCs w:val="22"/>
        </w:rPr>
        <w:t xml:space="preserve"> with work-sharing between the TGA, </w:t>
      </w:r>
      <w:r w:rsidRPr="00864873">
        <w:rPr>
          <w:iCs/>
          <w:szCs w:val="22"/>
        </w:rPr>
        <w:t>Health Canada, Health Sciences Authority Singapore</w:t>
      </w:r>
      <w:r w:rsidR="00864873" w:rsidRPr="00864873">
        <w:rPr>
          <w:iCs/>
          <w:szCs w:val="22"/>
        </w:rPr>
        <w:t xml:space="preserve"> and</w:t>
      </w:r>
      <w:r w:rsidRPr="00864873">
        <w:rPr>
          <w:iCs/>
          <w:szCs w:val="22"/>
        </w:rPr>
        <w:t xml:space="preserve"> </w:t>
      </w:r>
      <w:proofErr w:type="spellStart"/>
      <w:r w:rsidRPr="00864873">
        <w:rPr>
          <w:iCs/>
          <w:szCs w:val="22"/>
        </w:rPr>
        <w:t>Swissmedic</w:t>
      </w:r>
      <w:proofErr w:type="spellEnd"/>
      <w:r w:rsidRPr="00864873">
        <w:rPr>
          <w:iCs/>
          <w:szCs w:val="22"/>
        </w:rPr>
        <w:t>.</w:t>
      </w:r>
      <w:r w:rsidRPr="00864873">
        <w:rPr>
          <w:szCs w:val="22"/>
        </w:rPr>
        <w:t xml:space="preserve"> Each regulator made independent decisions regarding approval</w:t>
      </w:r>
      <w:r w:rsidR="0013132F" w:rsidRPr="00864873">
        <w:rPr>
          <w:szCs w:val="22"/>
        </w:rPr>
        <w:t xml:space="preserve"> </w:t>
      </w:r>
      <w:r w:rsidRPr="00864873">
        <w:t>(market authorisation) of the new medicine</w:t>
      </w:r>
      <w:r w:rsidR="00864873" w:rsidRPr="00864873">
        <w:t>.</w:t>
      </w:r>
    </w:p>
    <w:p w14:paraId="0D615854" w14:textId="77777777" w:rsidR="00324B33" w:rsidRPr="003F31A2" w:rsidRDefault="00324B33" w:rsidP="00324B33">
      <w:pPr>
        <w:pStyle w:val="Heading3"/>
      </w:pPr>
      <w:bookmarkStart w:id="22" w:name="_Toc103679291"/>
      <w:bookmarkStart w:id="23" w:name="_Toc147404302"/>
      <w:r>
        <w:t>Regulatory status</w:t>
      </w:r>
      <w:bookmarkEnd w:id="20"/>
      <w:bookmarkEnd w:id="21"/>
      <w:bookmarkEnd w:id="22"/>
      <w:bookmarkEnd w:id="23"/>
    </w:p>
    <w:p w14:paraId="6A8633FA" w14:textId="31D42470"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F609518" w14:textId="327867F1" w:rsidR="00395FED" w:rsidRPr="00BD5DBD" w:rsidRDefault="00395FED" w:rsidP="00395FED">
      <w:pPr>
        <w:rPr>
          <w:szCs w:val="22"/>
        </w:rPr>
      </w:pPr>
      <w:r w:rsidRPr="00BD5DBD">
        <w:rPr>
          <w:szCs w:val="22"/>
        </w:rPr>
        <w:t>At the time the TGA considered this submission, similar submission</w:t>
      </w:r>
      <w:r w:rsidR="00A33AB5">
        <w:rPr>
          <w:szCs w:val="22"/>
        </w:rPr>
        <w:t>s</w:t>
      </w:r>
      <w:r w:rsidRPr="00BD5DBD">
        <w:rPr>
          <w:szCs w:val="22"/>
        </w:rPr>
        <w:t xml:space="preserve"> had been approved in </w:t>
      </w:r>
      <w:r w:rsidRPr="00395FED">
        <w:rPr>
          <w:szCs w:val="22"/>
        </w:rPr>
        <w:t>European Union</w:t>
      </w:r>
      <w:r>
        <w:rPr>
          <w:szCs w:val="22"/>
        </w:rPr>
        <w:t xml:space="preserve"> </w:t>
      </w:r>
      <w:r w:rsidRPr="00D01DDB">
        <w:rPr>
          <w:szCs w:val="22"/>
        </w:rPr>
        <w:t xml:space="preserve">on </w:t>
      </w:r>
      <w:r>
        <w:rPr>
          <w:szCs w:val="22"/>
        </w:rPr>
        <w:t>25 April 2022, United States of America</w:t>
      </w:r>
      <w:r w:rsidRPr="00BD5DBD">
        <w:rPr>
          <w:szCs w:val="22"/>
        </w:rPr>
        <w:t xml:space="preserve"> on </w:t>
      </w:r>
      <w:r>
        <w:rPr>
          <w:szCs w:val="22"/>
        </w:rPr>
        <w:t>23 August 2021,</w:t>
      </w:r>
      <w:r w:rsidR="00A33AB5">
        <w:rPr>
          <w:szCs w:val="22"/>
        </w:rPr>
        <w:t xml:space="preserve"> and</w:t>
      </w:r>
      <w:r>
        <w:rPr>
          <w:szCs w:val="22"/>
        </w:rPr>
        <w:t xml:space="preserve"> Great Britain on 29 April 2022</w:t>
      </w:r>
      <w:r w:rsidRPr="00BD5DBD">
        <w:rPr>
          <w:szCs w:val="22"/>
        </w:rPr>
        <w:t xml:space="preserve">. </w:t>
      </w:r>
      <w:r w:rsidR="00A33AB5">
        <w:rPr>
          <w:szCs w:val="22"/>
        </w:rPr>
        <w:t>S</w:t>
      </w:r>
      <w:r w:rsidRPr="00BD5DBD">
        <w:rPr>
          <w:szCs w:val="22"/>
        </w:rPr>
        <w:t>imilar submission</w:t>
      </w:r>
      <w:r w:rsidR="00A33AB5">
        <w:rPr>
          <w:szCs w:val="22"/>
        </w:rPr>
        <w:t>s</w:t>
      </w:r>
      <w:r w:rsidRPr="00BD5DBD">
        <w:rPr>
          <w:szCs w:val="22"/>
        </w:rPr>
        <w:t xml:space="preserve"> </w:t>
      </w:r>
      <w:r w:rsidR="00A33AB5">
        <w:rPr>
          <w:szCs w:val="22"/>
        </w:rPr>
        <w:t>were</w:t>
      </w:r>
      <w:r w:rsidRPr="00BD5DBD">
        <w:rPr>
          <w:szCs w:val="22"/>
        </w:rPr>
        <w:t xml:space="preserve"> under consideration in </w:t>
      </w:r>
      <w:r w:rsidR="00A33AB5" w:rsidRPr="00A33AB5">
        <w:rPr>
          <w:szCs w:val="22"/>
        </w:rPr>
        <w:t xml:space="preserve">Switzerland </w:t>
      </w:r>
      <w:r w:rsidRPr="00BD5DBD">
        <w:rPr>
          <w:szCs w:val="22"/>
        </w:rPr>
        <w:t xml:space="preserve">(submitted on </w:t>
      </w:r>
      <w:r w:rsidR="00A33AB5" w:rsidRPr="00A33AB5">
        <w:rPr>
          <w:szCs w:val="22"/>
        </w:rPr>
        <w:t>6 September 2021</w:t>
      </w:r>
      <w:r w:rsidRPr="00BD5DBD">
        <w:rPr>
          <w:szCs w:val="22"/>
        </w:rPr>
        <w:t>)</w:t>
      </w:r>
      <w:r w:rsidR="00A33AB5">
        <w:rPr>
          <w:szCs w:val="22"/>
        </w:rPr>
        <w:t xml:space="preserve">, </w:t>
      </w:r>
      <w:r w:rsidR="00A33AB5" w:rsidRPr="00A33AB5">
        <w:rPr>
          <w:szCs w:val="22"/>
        </w:rPr>
        <w:t>Singapore</w:t>
      </w:r>
      <w:r w:rsidR="00A33AB5">
        <w:rPr>
          <w:szCs w:val="22"/>
        </w:rPr>
        <w:t xml:space="preserve"> (submitted on 10 September 2021), and </w:t>
      </w:r>
      <w:r w:rsidR="00A33AB5" w:rsidRPr="00A33AB5">
        <w:rPr>
          <w:szCs w:val="22"/>
        </w:rPr>
        <w:t>Canada</w:t>
      </w:r>
      <w:r w:rsidR="00A33AB5">
        <w:rPr>
          <w:szCs w:val="22"/>
        </w:rPr>
        <w:t xml:space="preserve"> (submitted on 9 September 2021)</w:t>
      </w:r>
      <w:r w:rsidRPr="00BD5DBD">
        <w:rPr>
          <w:szCs w:val="22"/>
        </w:rPr>
        <w:t>.</w:t>
      </w:r>
    </w:p>
    <w:p w14:paraId="1B9AB90D" w14:textId="1E3B138F" w:rsidR="00324B33" w:rsidRPr="00BD5DBD" w:rsidRDefault="00324B33" w:rsidP="00324B33">
      <w:pPr>
        <w:rPr>
          <w:szCs w:val="22"/>
        </w:rPr>
      </w:pPr>
      <w:r w:rsidRPr="00BD5DBD">
        <w:rPr>
          <w:szCs w:val="22"/>
        </w:rPr>
        <w:t>The following table</w:t>
      </w:r>
      <w:r w:rsidR="00864873">
        <w:rPr>
          <w:szCs w:val="22"/>
        </w:rPr>
        <w:t xml:space="preserve"> </w:t>
      </w:r>
      <w:r w:rsidRPr="00BD5DBD">
        <w:rPr>
          <w:szCs w:val="22"/>
        </w:rPr>
        <w:t>summarises these submissions and provides the indications where approved</w:t>
      </w:r>
      <w:r w:rsidR="00892BA0">
        <w:rPr>
          <w:szCs w:val="22"/>
        </w:rPr>
        <w:t xml:space="preserve"> (</w:t>
      </w:r>
      <w:r w:rsidR="00892BA0">
        <w:rPr>
          <w:szCs w:val="22"/>
        </w:rPr>
        <w:fldChar w:fldCharType="begin"/>
      </w:r>
      <w:r w:rsidR="00892BA0">
        <w:rPr>
          <w:szCs w:val="22"/>
        </w:rPr>
        <w:instrText xml:space="preserve"> REF _Ref99705479 \h </w:instrText>
      </w:r>
      <w:r w:rsidR="00892BA0">
        <w:rPr>
          <w:szCs w:val="22"/>
        </w:rPr>
      </w:r>
      <w:r w:rsidR="00892BA0">
        <w:rPr>
          <w:szCs w:val="22"/>
        </w:rPr>
        <w:fldChar w:fldCharType="separate"/>
      </w:r>
      <w:r w:rsidR="00B44DE2">
        <w:t xml:space="preserve">Table </w:t>
      </w:r>
      <w:r w:rsidR="00B44DE2">
        <w:rPr>
          <w:noProof/>
        </w:rPr>
        <w:t>1</w:t>
      </w:r>
      <w:r w:rsidR="00892BA0">
        <w:rPr>
          <w:szCs w:val="22"/>
        </w:rPr>
        <w:fldChar w:fldCharType="end"/>
      </w:r>
      <w:r w:rsidR="00892BA0">
        <w:rPr>
          <w:szCs w:val="22"/>
        </w:rPr>
        <w:t>)</w:t>
      </w:r>
      <w:r w:rsidRPr="00BD5DBD">
        <w:rPr>
          <w:szCs w:val="22"/>
        </w:rPr>
        <w:t>.</w:t>
      </w:r>
    </w:p>
    <w:p w14:paraId="19B9E0AC" w14:textId="167F5C0C" w:rsidR="00324B33" w:rsidRDefault="00324B33" w:rsidP="00324B33">
      <w:pPr>
        <w:pStyle w:val="TableTitle"/>
      </w:pPr>
      <w:bookmarkStart w:id="24" w:name="_Ref99705479"/>
      <w:r>
        <w:lastRenderedPageBreak/>
        <w:t xml:space="preserve">Table </w:t>
      </w:r>
      <w:r>
        <w:fldChar w:fldCharType="begin"/>
      </w:r>
      <w:r>
        <w:instrText>SEQ Table \* ARABIC</w:instrText>
      </w:r>
      <w:r>
        <w:fldChar w:fldCharType="separate"/>
      </w:r>
      <w:r w:rsidR="00B44DE2" w:rsidRPr="5C4B9108">
        <w:rPr>
          <w:noProof/>
        </w:rPr>
        <w:t>1</w:t>
      </w:r>
      <w:r>
        <w:fldChar w:fldCharType="end"/>
      </w:r>
      <w:bookmarkEnd w:id="24"/>
      <w:r>
        <w:t>: International regulatory status</w:t>
      </w:r>
    </w:p>
    <w:tbl>
      <w:tblPr>
        <w:tblStyle w:val="TableTGAblue2023"/>
        <w:tblW w:w="5000" w:type="pct"/>
        <w:tblLook w:val="04A0" w:firstRow="1" w:lastRow="0" w:firstColumn="1" w:lastColumn="0" w:noHBand="0" w:noVBand="1"/>
      </w:tblPr>
      <w:tblGrid>
        <w:gridCol w:w="1725"/>
        <w:gridCol w:w="2180"/>
        <w:gridCol w:w="2013"/>
        <w:gridCol w:w="3142"/>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7E41E33D" w:rsidR="00324B33" w:rsidRPr="00D01DDB" w:rsidRDefault="00864873" w:rsidP="00324B33">
            <w:pPr>
              <w:rPr>
                <w:szCs w:val="22"/>
              </w:rPr>
            </w:pPr>
            <w:bookmarkStart w:id="25" w:name="_Hlk142922794"/>
            <w:r>
              <w:rPr>
                <w:szCs w:val="22"/>
              </w:rPr>
              <w:t>European Union</w:t>
            </w:r>
            <w:bookmarkEnd w:id="25"/>
          </w:p>
        </w:tc>
        <w:tc>
          <w:tcPr>
            <w:tcW w:w="1018" w:type="pct"/>
          </w:tcPr>
          <w:p w14:paraId="4FA5DDA9" w14:textId="489A1860" w:rsidR="00324B3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March 2021</w:t>
            </w:r>
          </w:p>
        </w:tc>
        <w:tc>
          <w:tcPr>
            <w:tcW w:w="1173" w:type="pct"/>
          </w:tcPr>
          <w:p w14:paraId="29358393" w14:textId="43BEBE97"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864873">
              <w:rPr>
                <w:szCs w:val="22"/>
              </w:rPr>
              <w:t>25 April 2022</w:t>
            </w:r>
          </w:p>
        </w:tc>
        <w:tc>
          <w:tcPr>
            <w:tcW w:w="1795" w:type="pct"/>
          </w:tcPr>
          <w:p w14:paraId="05055674" w14:textId="0E63815E" w:rsidR="00324B33" w:rsidRPr="00E81FD4" w:rsidRDefault="00864873" w:rsidP="00864873">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E81FD4">
              <w:rPr>
                <w:i/>
                <w:iCs/>
                <w:szCs w:val="22"/>
              </w:rPr>
              <w:t>Kapruvia</w:t>
            </w:r>
            <w:proofErr w:type="spellEnd"/>
            <w:r w:rsidRPr="00E81FD4">
              <w:rPr>
                <w:i/>
                <w:iCs/>
                <w:szCs w:val="22"/>
              </w:rPr>
              <w:t xml:space="preserve"> is indicated for the treatment of moderate</w:t>
            </w:r>
            <w:r w:rsidRPr="00E81FD4">
              <w:rPr>
                <w:i/>
                <w:iCs/>
                <w:szCs w:val="22"/>
              </w:rPr>
              <w:noBreakHyphen/>
              <w:t>to</w:t>
            </w:r>
            <w:r w:rsidRPr="00E81FD4">
              <w:rPr>
                <w:i/>
                <w:iCs/>
                <w:szCs w:val="22"/>
              </w:rPr>
              <w:noBreakHyphen/>
              <w:t xml:space="preserve">severe pruritus associated with chronic kidney disease in adult patients on </w:t>
            </w:r>
            <w:proofErr w:type="spellStart"/>
            <w:r w:rsidRPr="00E81FD4">
              <w:rPr>
                <w:i/>
                <w:iCs/>
                <w:szCs w:val="22"/>
              </w:rPr>
              <w:t>haemodialyis</w:t>
            </w:r>
            <w:proofErr w:type="spellEnd"/>
            <w:r w:rsidRPr="00E81FD4">
              <w:rPr>
                <w:i/>
                <w:iCs/>
                <w:szCs w:val="22"/>
              </w:rPr>
              <w:t xml:space="preserve"> (see </w:t>
            </w:r>
            <w:r w:rsidR="00395FED">
              <w:rPr>
                <w:i/>
                <w:iCs/>
                <w:szCs w:val="22"/>
              </w:rPr>
              <w:t>S</w:t>
            </w:r>
            <w:r w:rsidRPr="00E81FD4">
              <w:rPr>
                <w:i/>
                <w:iCs/>
                <w:szCs w:val="22"/>
              </w:rPr>
              <w:t>ection 5.1)</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6E75FA71" w:rsidR="00324B33" w:rsidRPr="00D01DDB" w:rsidRDefault="00864873" w:rsidP="00324B33">
            <w:pPr>
              <w:rPr>
                <w:szCs w:val="22"/>
              </w:rPr>
            </w:pPr>
            <w:r>
              <w:rPr>
                <w:szCs w:val="22"/>
              </w:rPr>
              <w:t>United States of America</w:t>
            </w:r>
          </w:p>
        </w:tc>
        <w:tc>
          <w:tcPr>
            <w:tcW w:w="1018" w:type="pct"/>
          </w:tcPr>
          <w:p w14:paraId="1D871E57" w14:textId="2BED1FB3" w:rsidR="00324B3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December 2021</w:t>
            </w:r>
          </w:p>
        </w:tc>
        <w:tc>
          <w:tcPr>
            <w:tcW w:w="1173" w:type="pct"/>
          </w:tcPr>
          <w:p w14:paraId="63A3A9D3" w14:textId="5C140E99" w:rsidR="00324B3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23 August 2021</w:t>
            </w:r>
          </w:p>
        </w:tc>
        <w:tc>
          <w:tcPr>
            <w:tcW w:w="1795" w:type="pct"/>
          </w:tcPr>
          <w:p w14:paraId="17C650B8" w14:textId="3FF0CB26" w:rsidR="00324B33" w:rsidRPr="00E81FD4" w:rsidRDefault="00864873" w:rsidP="00864873">
            <w:pPr>
              <w:cnfStyle w:val="000000000000" w:firstRow="0" w:lastRow="0" w:firstColumn="0" w:lastColumn="0" w:oddVBand="0" w:evenVBand="0" w:oddHBand="0" w:evenHBand="0" w:firstRowFirstColumn="0" w:firstRowLastColumn="0" w:lastRowFirstColumn="0" w:lastRowLastColumn="0"/>
              <w:rPr>
                <w:i/>
                <w:iCs/>
                <w:szCs w:val="22"/>
              </w:rPr>
            </w:pPr>
            <w:r w:rsidRPr="00E81FD4">
              <w:rPr>
                <w:i/>
                <w:iCs/>
                <w:szCs w:val="22"/>
              </w:rPr>
              <w:t>Korsuva is indicated for the treatment of moderate</w:t>
            </w:r>
            <w:r w:rsidRPr="00E81FD4">
              <w:rPr>
                <w:i/>
                <w:iCs/>
                <w:szCs w:val="22"/>
              </w:rPr>
              <w:noBreakHyphen/>
              <w:t>to</w:t>
            </w:r>
            <w:r w:rsidRPr="00E81FD4">
              <w:rPr>
                <w:i/>
                <w:iCs/>
                <w:szCs w:val="22"/>
              </w:rPr>
              <w:noBreakHyphen/>
              <w:t>severe pruritus associated with chronic kidney disease (CKD-</w:t>
            </w:r>
            <w:proofErr w:type="spellStart"/>
            <w:r w:rsidRPr="00E81FD4">
              <w:rPr>
                <w:i/>
                <w:iCs/>
                <w:szCs w:val="22"/>
              </w:rPr>
              <w:t>aP</w:t>
            </w:r>
            <w:proofErr w:type="spellEnd"/>
            <w:r w:rsidRPr="00E81FD4">
              <w:rPr>
                <w:i/>
                <w:iCs/>
                <w:szCs w:val="22"/>
              </w:rPr>
              <w:t xml:space="preserve">) in adult patients undergoing </w:t>
            </w:r>
            <w:proofErr w:type="spellStart"/>
            <w:r w:rsidRPr="00E81FD4">
              <w:rPr>
                <w:i/>
                <w:iCs/>
                <w:szCs w:val="22"/>
              </w:rPr>
              <w:t>hemodialysis</w:t>
            </w:r>
            <w:proofErr w:type="spellEnd"/>
            <w:r w:rsidRPr="00E81FD4">
              <w:rPr>
                <w:i/>
                <w:iCs/>
                <w:szCs w:val="22"/>
              </w:rPr>
              <w:t xml:space="preserve"> (HD).</w:t>
            </w:r>
          </w:p>
        </w:tc>
      </w:tr>
      <w:tr w:rsidR="00864873" w:rsidRPr="00D01DDB" w14:paraId="16C1196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F9D2A20" w14:textId="501A5A35" w:rsidR="00864873" w:rsidRPr="00D01DDB" w:rsidRDefault="00864873" w:rsidP="00324B33">
            <w:pPr>
              <w:rPr>
                <w:szCs w:val="22"/>
              </w:rPr>
            </w:pPr>
            <w:r>
              <w:rPr>
                <w:szCs w:val="22"/>
              </w:rPr>
              <w:t>Great Britain</w:t>
            </w:r>
          </w:p>
        </w:tc>
        <w:tc>
          <w:tcPr>
            <w:tcW w:w="1018" w:type="pct"/>
          </w:tcPr>
          <w:p w14:paraId="7B65EFDA" w14:textId="139BAC0B"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March 2022</w:t>
            </w:r>
          </w:p>
        </w:tc>
        <w:tc>
          <w:tcPr>
            <w:tcW w:w="1173" w:type="pct"/>
          </w:tcPr>
          <w:p w14:paraId="10AF837F" w14:textId="0F4A645F"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29 April 2022</w:t>
            </w:r>
          </w:p>
        </w:tc>
        <w:tc>
          <w:tcPr>
            <w:tcW w:w="1795" w:type="pct"/>
          </w:tcPr>
          <w:p w14:paraId="38545802" w14:textId="398A8D34" w:rsidR="00864873" w:rsidRPr="00E81FD4" w:rsidRDefault="00864873" w:rsidP="00864873">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E81FD4">
              <w:rPr>
                <w:i/>
                <w:iCs/>
                <w:szCs w:val="22"/>
              </w:rPr>
              <w:t>Kapruvia</w:t>
            </w:r>
            <w:proofErr w:type="spellEnd"/>
            <w:r w:rsidRPr="00E81FD4">
              <w:rPr>
                <w:i/>
                <w:iCs/>
                <w:szCs w:val="22"/>
              </w:rPr>
              <w:t xml:space="preserve"> is indicated for the treatment of moderate</w:t>
            </w:r>
            <w:r w:rsidRPr="00E81FD4">
              <w:rPr>
                <w:i/>
                <w:iCs/>
                <w:szCs w:val="22"/>
              </w:rPr>
              <w:noBreakHyphen/>
              <w:t>to</w:t>
            </w:r>
            <w:r w:rsidRPr="00E81FD4">
              <w:rPr>
                <w:i/>
                <w:iCs/>
                <w:szCs w:val="22"/>
              </w:rPr>
              <w:noBreakHyphen/>
              <w:t xml:space="preserve">severe pruritus associated with chronic kidney disease in adult patients on </w:t>
            </w:r>
            <w:proofErr w:type="spellStart"/>
            <w:r w:rsidRPr="00E81FD4">
              <w:rPr>
                <w:i/>
                <w:iCs/>
                <w:szCs w:val="22"/>
              </w:rPr>
              <w:t>haemodialyis</w:t>
            </w:r>
            <w:proofErr w:type="spellEnd"/>
            <w:r w:rsidRPr="00E81FD4">
              <w:rPr>
                <w:i/>
                <w:iCs/>
                <w:szCs w:val="22"/>
              </w:rPr>
              <w:t xml:space="preserve"> (see </w:t>
            </w:r>
            <w:r w:rsidR="00395FED">
              <w:rPr>
                <w:i/>
                <w:iCs/>
                <w:szCs w:val="22"/>
              </w:rPr>
              <w:t>S</w:t>
            </w:r>
            <w:r w:rsidRPr="00E81FD4">
              <w:rPr>
                <w:i/>
                <w:iCs/>
                <w:szCs w:val="22"/>
              </w:rPr>
              <w:t>ection 5.1)</w:t>
            </w:r>
          </w:p>
        </w:tc>
      </w:tr>
      <w:tr w:rsidR="00864873" w:rsidRPr="00D01DDB" w14:paraId="5495B4B3"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08F81B46" w14:textId="15134603" w:rsidR="00864873" w:rsidRPr="00D01DDB" w:rsidRDefault="00864873" w:rsidP="00324B33">
            <w:pPr>
              <w:rPr>
                <w:szCs w:val="22"/>
              </w:rPr>
            </w:pPr>
            <w:r>
              <w:rPr>
                <w:szCs w:val="22"/>
              </w:rPr>
              <w:t>Switzerland</w:t>
            </w:r>
          </w:p>
        </w:tc>
        <w:tc>
          <w:tcPr>
            <w:tcW w:w="1018" w:type="pct"/>
          </w:tcPr>
          <w:p w14:paraId="313B0F44" w14:textId="50705BB6"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September 2021</w:t>
            </w:r>
          </w:p>
        </w:tc>
        <w:tc>
          <w:tcPr>
            <w:tcW w:w="1173" w:type="pct"/>
          </w:tcPr>
          <w:p w14:paraId="41C57E71" w14:textId="6A38C4E1"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864873">
              <w:rPr>
                <w:szCs w:val="22"/>
              </w:rPr>
              <w:t>Under consideration as part of ACCESS Consortium</w:t>
            </w:r>
          </w:p>
        </w:tc>
        <w:tc>
          <w:tcPr>
            <w:tcW w:w="1795" w:type="pct"/>
          </w:tcPr>
          <w:p w14:paraId="50908D9E" w14:textId="0588080E"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864873" w:rsidRPr="00D01DDB" w14:paraId="5887693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E1D79E3" w14:textId="7F05DAE7" w:rsidR="00864873" w:rsidRPr="00D01DDB" w:rsidRDefault="00864873" w:rsidP="00324B33">
            <w:pPr>
              <w:rPr>
                <w:szCs w:val="22"/>
              </w:rPr>
            </w:pPr>
            <w:r>
              <w:rPr>
                <w:szCs w:val="22"/>
              </w:rPr>
              <w:t>Singapore</w:t>
            </w:r>
          </w:p>
        </w:tc>
        <w:tc>
          <w:tcPr>
            <w:tcW w:w="1018" w:type="pct"/>
          </w:tcPr>
          <w:p w14:paraId="0BD9C66B" w14:textId="07F516E0"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September 2021</w:t>
            </w:r>
          </w:p>
        </w:tc>
        <w:tc>
          <w:tcPr>
            <w:tcW w:w="1173" w:type="pct"/>
          </w:tcPr>
          <w:p w14:paraId="3C9DBF41" w14:textId="183AB545"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864873">
              <w:rPr>
                <w:szCs w:val="22"/>
              </w:rPr>
              <w:t>Under consideration as part of ACCESS Consortium</w:t>
            </w:r>
          </w:p>
        </w:tc>
        <w:tc>
          <w:tcPr>
            <w:tcW w:w="1795" w:type="pct"/>
          </w:tcPr>
          <w:p w14:paraId="0ABEE5ED" w14:textId="4EA9B6F5"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864873" w:rsidRPr="00D01DDB" w14:paraId="3606134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DDD7FE9" w14:textId="7686515E" w:rsidR="00864873" w:rsidRPr="00D01DDB" w:rsidRDefault="00864873" w:rsidP="00324B33">
            <w:pPr>
              <w:rPr>
                <w:szCs w:val="22"/>
              </w:rPr>
            </w:pPr>
            <w:r>
              <w:rPr>
                <w:szCs w:val="22"/>
              </w:rPr>
              <w:t>Canada</w:t>
            </w:r>
          </w:p>
        </w:tc>
        <w:tc>
          <w:tcPr>
            <w:tcW w:w="1018" w:type="pct"/>
          </w:tcPr>
          <w:p w14:paraId="1580E850" w14:textId="3A40F4C5"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September 2021</w:t>
            </w:r>
          </w:p>
        </w:tc>
        <w:tc>
          <w:tcPr>
            <w:tcW w:w="1173" w:type="pct"/>
          </w:tcPr>
          <w:p w14:paraId="0D5CF04D" w14:textId="63FFED8D"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864873">
              <w:rPr>
                <w:szCs w:val="22"/>
              </w:rPr>
              <w:t>Under consideration as part of ACCESS Consortium</w:t>
            </w:r>
          </w:p>
        </w:tc>
        <w:tc>
          <w:tcPr>
            <w:tcW w:w="1795" w:type="pct"/>
          </w:tcPr>
          <w:p w14:paraId="417B6608" w14:textId="5FDCC5D8" w:rsidR="00864873" w:rsidRPr="00D01DDB" w:rsidRDefault="0086487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bl>
    <w:p w14:paraId="064CCADF" w14:textId="77777777" w:rsidR="00324B33" w:rsidRDefault="00324B33" w:rsidP="00324B33">
      <w:pPr>
        <w:pStyle w:val="Heading3"/>
      </w:pPr>
      <w:bookmarkStart w:id="26" w:name="_Toc103679292"/>
      <w:bookmarkStart w:id="27" w:name="_Toc147404303"/>
      <w:r>
        <w:t>Product Information</w:t>
      </w:r>
      <w:bookmarkEnd w:id="26"/>
      <w:bookmarkEnd w:id="27"/>
    </w:p>
    <w:p w14:paraId="4B0F7D57" w14:textId="3A8D93D0" w:rsidR="00324B33" w:rsidRPr="00BD5DBD" w:rsidRDefault="00324B33" w:rsidP="00324B33">
      <w:pPr>
        <w:rPr>
          <w:szCs w:val="22"/>
        </w:rPr>
      </w:pPr>
      <w:bookmarkStart w:id="28" w:name="_Toc504480011"/>
      <w:r w:rsidRPr="00BD5DBD">
        <w:rPr>
          <w:szCs w:val="22"/>
        </w:rPr>
        <w:t xml:space="preserve">The </w:t>
      </w:r>
      <w:hyperlink r:id="rId22" w:history="1">
        <w:r w:rsidRPr="00BD5DBD">
          <w:rPr>
            <w:rStyle w:val="Hyperlink"/>
            <w:szCs w:val="22"/>
          </w:rPr>
          <w:t>Product Information</w:t>
        </w:r>
      </w:hyperlink>
      <w:r w:rsidRPr="00BD5DBD">
        <w:rPr>
          <w:szCs w:val="22"/>
        </w:rPr>
        <w:t xml:space="preserve"> (</w:t>
      </w:r>
      <w:hyperlink r:id="rId23"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4"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5" w:history="1">
        <w:r w:rsidRPr="00BD5DBD">
          <w:rPr>
            <w:rStyle w:val="Hyperlink"/>
            <w:szCs w:val="22"/>
          </w:rPr>
          <w:t>PI/CMI search facility.</w:t>
        </w:r>
      </w:hyperlink>
    </w:p>
    <w:p w14:paraId="6D92589C" w14:textId="77777777" w:rsidR="00324B33" w:rsidRDefault="00324B33" w:rsidP="00324B33">
      <w:pPr>
        <w:pStyle w:val="Heading2"/>
      </w:pPr>
      <w:bookmarkStart w:id="29" w:name="_Toc103679293"/>
      <w:bookmarkStart w:id="30" w:name="_Toc147404304"/>
      <w:r>
        <w:t>Registration timeline</w:t>
      </w:r>
      <w:bookmarkEnd w:id="28"/>
      <w:bookmarkEnd w:id="29"/>
      <w:bookmarkEnd w:id="30"/>
    </w:p>
    <w:p w14:paraId="225E3D87" w14:textId="36BE0733" w:rsidR="00324B33" w:rsidRPr="00BD5DBD" w:rsidRDefault="00324B33" w:rsidP="00324B33">
      <w:pPr>
        <w:rPr>
          <w:szCs w:val="22"/>
        </w:rPr>
      </w:pPr>
      <w:r w:rsidRPr="00BD5DBD">
        <w:rPr>
          <w:szCs w:val="22"/>
        </w:rPr>
        <w:t>The following table captures the key steps and dates for this submission</w:t>
      </w:r>
      <w:r w:rsidR="00892BA0">
        <w:rPr>
          <w:szCs w:val="22"/>
        </w:rPr>
        <w:t xml:space="preserve"> (</w:t>
      </w:r>
      <w:r w:rsidR="00892BA0">
        <w:rPr>
          <w:szCs w:val="22"/>
        </w:rPr>
        <w:fldChar w:fldCharType="begin"/>
      </w:r>
      <w:r w:rsidR="00892BA0">
        <w:rPr>
          <w:szCs w:val="22"/>
        </w:rPr>
        <w:instrText xml:space="preserve"> REF _Ref138157204 \h </w:instrText>
      </w:r>
      <w:r w:rsidR="00892BA0">
        <w:rPr>
          <w:szCs w:val="22"/>
        </w:rPr>
      </w:r>
      <w:r w:rsidR="00892BA0">
        <w:rPr>
          <w:szCs w:val="22"/>
        </w:rPr>
        <w:fldChar w:fldCharType="separate"/>
      </w:r>
      <w:r w:rsidR="00B44DE2" w:rsidRPr="00A020D9">
        <w:t xml:space="preserve">Table </w:t>
      </w:r>
      <w:r w:rsidR="00B44DE2">
        <w:rPr>
          <w:noProof/>
        </w:rPr>
        <w:t>2</w:t>
      </w:r>
      <w:r w:rsidR="00892BA0">
        <w:rPr>
          <w:szCs w:val="22"/>
        </w:rPr>
        <w:fldChar w:fldCharType="end"/>
      </w:r>
      <w:r w:rsidR="00892BA0">
        <w:rPr>
          <w:szCs w:val="22"/>
        </w:rPr>
        <w:t>)</w:t>
      </w:r>
      <w:r w:rsidRPr="00BD5DBD">
        <w:rPr>
          <w:szCs w:val="22"/>
        </w:rPr>
        <w:t>.</w:t>
      </w:r>
    </w:p>
    <w:p w14:paraId="6BB76942" w14:textId="776EFD0E"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6D816EB2" w:rsidR="00324B33" w:rsidRDefault="00324B33" w:rsidP="0013528C">
      <w:pPr>
        <w:pStyle w:val="TableTitle"/>
      </w:pPr>
      <w:bookmarkStart w:id="31" w:name="_Ref138157204"/>
      <w:r w:rsidRPr="00A020D9">
        <w:lastRenderedPageBreak/>
        <w:t xml:space="preserve">Table </w:t>
      </w:r>
      <w:r>
        <w:fldChar w:fldCharType="begin"/>
      </w:r>
      <w:r>
        <w:instrText>SEQ Table \* ARABIC</w:instrText>
      </w:r>
      <w:r>
        <w:fldChar w:fldCharType="separate"/>
      </w:r>
      <w:r w:rsidR="00B44DE2">
        <w:rPr>
          <w:noProof/>
        </w:rPr>
        <w:t>2</w:t>
      </w:r>
      <w:r>
        <w:fldChar w:fldCharType="end"/>
      </w:r>
      <w:bookmarkEnd w:id="31"/>
      <w:r>
        <w:t>:</w:t>
      </w:r>
      <w:r w:rsidRPr="006A58A8">
        <w:t xml:space="preserve"> Timeline for Submission </w:t>
      </w:r>
      <w:r w:rsidR="00892BA0" w:rsidRPr="00892BA0">
        <w:t>PM-2021-04071-1-1</w:t>
      </w:r>
    </w:p>
    <w:tbl>
      <w:tblPr>
        <w:tblStyle w:val="TableTGAblue2023"/>
        <w:tblW w:w="8642" w:type="dxa"/>
        <w:tblLook w:val="04A0" w:firstRow="1" w:lastRow="0" w:firstColumn="1" w:lastColumn="0" w:noHBand="0" w:noVBand="1"/>
      </w:tblPr>
      <w:tblGrid>
        <w:gridCol w:w="5240"/>
        <w:gridCol w:w="3402"/>
      </w:tblGrid>
      <w:tr w:rsidR="00324B33" w:rsidRPr="00D01DDB" w14:paraId="6C59BE9C" w14:textId="77777777" w:rsidTr="00E36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6D80E78" w14:textId="3EC0CCAF" w:rsidR="00324B33" w:rsidRPr="00D01DDB" w:rsidRDefault="00324B33" w:rsidP="00324B33">
            <w:pPr>
              <w:rPr>
                <w:szCs w:val="22"/>
              </w:rPr>
            </w:pPr>
            <w:r w:rsidRPr="00D01DDB">
              <w:rPr>
                <w:szCs w:val="22"/>
              </w:rPr>
              <w:t>Description</w:t>
            </w:r>
          </w:p>
        </w:tc>
        <w:tc>
          <w:tcPr>
            <w:tcW w:w="340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3402" w:type="dxa"/>
          </w:tcPr>
          <w:p w14:paraId="2963D9D8" w14:textId="2B46C15A"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October 2021</w:t>
            </w:r>
          </w:p>
        </w:tc>
      </w:tr>
      <w:tr w:rsidR="00324B33" w:rsidRPr="00D01DDB" w14:paraId="53437815"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4C037D4E" w14:textId="2B0CE255" w:rsidR="00324B33" w:rsidRPr="00D01DDB" w:rsidRDefault="00324B33" w:rsidP="00324B33">
            <w:pPr>
              <w:rPr>
                <w:szCs w:val="22"/>
              </w:rPr>
            </w:pPr>
            <w:r w:rsidRPr="00D01DDB">
              <w:rPr>
                <w:szCs w:val="22"/>
              </w:rPr>
              <w:t>First round evaluation completed</w:t>
            </w:r>
          </w:p>
        </w:tc>
        <w:tc>
          <w:tcPr>
            <w:tcW w:w="3402" w:type="dxa"/>
          </w:tcPr>
          <w:p w14:paraId="3CEAFAAB" w14:textId="4A0F57C6"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February 2022</w:t>
            </w:r>
          </w:p>
        </w:tc>
      </w:tr>
      <w:tr w:rsidR="00324B33" w:rsidRPr="00D01DDB" w14:paraId="60DA57CC"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3402" w:type="dxa"/>
          </w:tcPr>
          <w:p w14:paraId="68A577C1" w14:textId="10B45962"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April 2022</w:t>
            </w:r>
          </w:p>
        </w:tc>
      </w:tr>
      <w:tr w:rsidR="00324B33" w:rsidRPr="00D01DDB" w14:paraId="767E33A4"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4AFC5B50" w14:textId="2BCC6A3E" w:rsidR="00324B33" w:rsidRPr="00D01DDB" w:rsidRDefault="00324B33" w:rsidP="00324B33">
            <w:pPr>
              <w:rPr>
                <w:szCs w:val="22"/>
              </w:rPr>
            </w:pPr>
            <w:r w:rsidRPr="00D01DDB">
              <w:rPr>
                <w:szCs w:val="22"/>
              </w:rPr>
              <w:t>Second round evaluation completed</w:t>
            </w:r>
          </w:p>
        </w:tc>
        <w:tc>
          <w:tcPr>
            <w:tcW w:w="3402" w:type="dxa"/>
          </w:tcPr>
          <w:p w14:paraId="4E47DF62" w14:textId="3CAE86D1" w:rsidR="00324B33" w:rsidRPr="00D01DDB" w:rsidRDefault="00CB0D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June</w:t>
            </w:r>
            <w:r w:rsidR="00892BA0" w:rsidRPr="0074369B">
              <w:rPr>
                <w:szCs w:val="22"/>
              </w:rPr>
              <w:t xml:space="preserve"> 2022</w:t>
            </w:r>
          </w:p>
        </w:tc>
      </w:tr>
      <w:tr w:rsidR="00324B33" w:rsidRPr="00D01DDB" w14:paraId="302FCB45"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716E9DC1" w14:textId="77486CF1" w:rsidR="00324B33" w:rsidRPr="00D01DDB" w:rsidRDefault="00324B33" w:rsidP="00324B33">
            <w:pPr>
              <w:rPr>
                <w:szCs w:val="22"/>
              </w:rPr>
            </w:pPr>
            <w:r w:rsidRPr="00D01DDB">
              <w:rPr>
                <w:szCs w:val="22"/>
              </w:rPr>
              <w:t xml:space="preserve">Delegate’s Overall benefit-risk assessment </w:t>
            </w:r>
            <w:r w:rsidRPr="00892BA0">
              <w:rPr>
                <w:color w:val="auto"/>
                <w:szCs w:val="22"/>
              </w:rPr>
              <w:t>and request for Advisory Committee advice</w:t>
            </w:r>
          </w:p>
        </w:tc>
        <w:tc>
          <w:tcPr>
            <w:tcW w:w="3402" w:type="dxa"/>
          </w:tcPr>
          <w:p w14:paraId="3BA6EF79" w14:textId="1446606A"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July 2022</w:t>
            </w:r>
          </w:p>
        </w:tc>
      </w:tr>
      <w:tr w:rsidR="00324B33" w:rsidRPr="00D01DDB" w14:paraId="5832EBC8"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720592DE" w14:textId="1F72CD22" w:rsidR="00324B33" w:rsidRPr="00D01DDB" w:rsidRDefault="00324B33" w:rsidP="00324B33">
            <w:pPr>
              <w:rPr>
                <w:szCs w:val="22"/>
              </w:rPr>
            </w:pPr>
            <w:r w:rsidRPr="00D01DDB">
              <w:rPr>
                <w:szCs w:val="22"/>
              </w:rPr>
              <w:t>Sponsor’s pre-Advisory Committee response</w:t>
            </w:r>
          </w:p>
        </w:tc>
        <w:tc>
          <w:tcPr>
            <w:tcW w:w="3402" w:type="dxa"/>
          </w:tcPr>
          <w:p w14:paraId="5AE04841" w14:textId="4BE144C3"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July 2022</w:t>
            </w:r>
          </w:p>
        </w:tc>
      </w:tr>
      <w:tr w:rsidR="00324B33" w:rsidRPr="00D01DDB" w14:paraId="5754F7AC"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789DE187" w14:textId="123446EE" w:rsidR="00324B33" w:rsidRPr="00D01DDB" w:rsidRDefault="00324B33" w:rsidP="00324B33">
            <w:pPr>
              <w:rPr>
                <w:szCs w:val="22"/>
              </w:rPr>
            </w:pPr>
            <w:r w:rsidRPr="00D01DDB">
              <w:rPr>
                <w:szCs w:val="22"/>
              </w:rPr>
              <w:t>Advisory Committee meeting</w:t>
            </w:r>
          </w:p>
        </w:tc>
        <w:tc>
          <w:tcPr>
            <w:tcW w:w="3402" w:type="dxa"/>
          </w:tcPr>
          <w:p w14:paraId="347E3ED0" w14:textId="77777777" w:rsidR="00324B33"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4 </w:t>
            </w:r>
            <w:r w:rsidR="00A020D9">
              <w:rPr>
                <w:szCs w:val="22"/>
              </w:rPr>
              <w:t xml:space="preserve">and 5 </w:t>
            </w:r>
            <w:r>
              <w:rPr>
                <w:szCs w:val="22"/>
              </w:rPr>
              <w:t>August 2022</w:t>
            </w:r>
          </w:p>
          <w:p w14:paraId="5BE1EDE7" w14:textId="1D162F3B" w:rsidR="00B25B8F" w:rsidRPr="00D01DDB" w:rsidRDefault="00B25B8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and 7 October 2022 (referred for additional advice)</w:t>
            </w:r>
          </w:p>
        </w:tc>
      </w:tr>
      <w:tr w:rsidR="00324B33" w:rsidRPr="00D01DDB" w14:paraId="6E5D32FE"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4E95C44C" w14:textId="7A91C710" w:rsidR="00324B33" w:rsidRPr="00D01DDB" w:rsidRDefault="00324B33" w:rsidP="00324B33">
            <w:pPr>
              <w:rPr>
                <w:szCs w:val="22"/>
              </w:rPr>
            </w:pPr>
            <w:r w:rsidRPr="00D01DDB">
              <w:rPr>
                <w:szCs w:val="22"/>
              </w:rPr>
              <w:t>Registration decision (Outcome)</w:t>
            </w:r>
          </w:p>
        </w:tc>
        <w:tc>
          <w:tcPr>
            <w:tcW w:w="3402" w:type="dxa"/>
          </w:tcPr>
          <w:p w14:paraId="62987ABD" w14:textId="57D0D83D"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November 2022</w:t>
            </w:r>
          </w:p>
        </w:tc>
      </w:tr>
      <w:tr w:rsidR="00324B33" w:rsidRPr="00D01DDB" w14:paraId="6DDCDDA4"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192FD19D" w14:textId="7D5F96C5" w:rsidR="00324B33" w:rsidRPr="00D01DDB" w:rsidRDefault="0013132F" w:rsidP="00324B33">
            <w:pPr>
              <w:rPr>
                <w:szCs w:val="22"/>
              </w:rPr>
            </w:pPr>
            <w:r>
              <w:t>Administrative activities and registration on the ARTG completed</w:t>
            </w:r>
          </w:p>
        </w:tc>
        <w:tc>
          <w:tcPr>
            <w:tcW w:w="3402" w:type="dxa"/>
          </w:tcPr>
          <w:p w14:paraId="5A8923FD" w14:textId="6FE12418"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November 2022</w:t>
            </w:r>
          </w:p>
        </w:tc>
      </w:tr>
      <w:tr w:rsidR="00324B33" w:rsidRPr="00D01DDB" w14:paraId="56D922E2" w14:textId="77777777" w:rsidTr="00E36472">
        <w:tc>
          <w:tcPr>
            <w:cnfStyle w:val="001000000000" w:firstRow="0" w:lastRow="0" w:firstColumn="1" w:lastColumn="0" w:oddVBand="0" w:evenVBand="0" w:oddHBand="0" w:evenHBand="0" w:firstRowFirstColumn="0" w:firstRowLastColumn="0" w:lastRowFirstColumn="0" w:lastRowLastColumn="0"/>
            <w:tcW w:w="524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3402" w:type="dxa"/>
          </w:tcPr>
          <w:p w14:paraId="5BAF9FA1" w14:textId="185872C9" w:rsidR="00324B33" w:rsidRPr="00D01DDB" w:rsidRDefault="00892B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211</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4740430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9" w:name="_Toc103679295"/>
      <w:bookmarkStart w:id="40" w:name="_Toc147404306"/>
      <w:r>
        <w:t>Quality</w:t>
      </w:r>
      <w:bookmarkEnd w:id="37"/>
      <w:bookmarkEnd w:id="38"/>
      <w:bookmarkEnd w:id="39"/>
      <w:bookmarkEnd w:id="40"/>
    </w:p>
    <w:p w14:paraId="647E7ADA" w14:textId="3B18A369" w:rsidR="00892BA0" w:rsidRPr="00892BA0" w:rsidRDefault="00892BA0" w:rsidP="00892BA0">
      <w:r w:rsidRPr="00892BA0">
        <w:t xml:space="preserve">Difelikefalin is a small synthetic peptide that is a highly selective, peripherally acting, full kappa opioid </w:t>
      </w:r>
      <w:r w:rsidRPr="00A020D9">
        <w:t>receptor (KOR)</w:t>
      </w:r>
      <w:r w:rsidRPr="00892BA0">
        <w:t xml:space="preserve"> with limited permeability into the central nervous system</w:t>
      </w:r>
      <w:r w:rsidR="00A020D9">
        <w:t xml:space="preserve"> (CNS)</w:t>
      </w:r>
      <w:r w:rsidRPr="00892BA0">
        <w:t>. The product contains 55 µg</w:t>
      </w:r>
      <w:r w:rsidR="00395FED">
        <w:t>/mL</w:t>
      </w:r>
      <w:r w:rsidRPr="00892BA0">
        <w:t xml:space="preserve"> difelikefalin acetate, which is equivalent to 50 µg</w:t>
      </w:r>
      <w:r w:rsidR="00395FED">
        <w:t>/mL</w:t>
      </w:r>
      <w:r w:rsidRPr="00892BA0">
        <w:t xml:space="preserve"> difelikefalin.</w:t>
      </w:r>
      <w:r>
        <w:t xml:space="preserve"> </w:t>
      </w:r>
      <w:r w:rsidRPr="00892BA0">
        <w:t>The s</w:t>
      </w:r>
      <w:r>
        <w:t>tructure</w:t>
      </w:r>
      <w:r w:rsidRPr="00892BA0">
        <w:t xml:space="preserve"> of </w:t>
      </w:r>
      <w:r>
        <w:t>difelikefalin</w:t>
      </w:r>
      <w:r w:rsidRPr="00892BA0">
        <w:t xml:space="preserve"> is shown in </w:t>
      </w:r>
      <w:r>
        <w:fldChar w:fldCharType="begin"/>
      </w:r>
      <w:r>
        <w:instrText xml:space="preserve"> REF _Ref138162014 \h </w:instrText>
      </w:r>
      <w:r>
        <w:fldChar w:fldCharType="separate"/>
      </w:r>
      <w:r w:rsidR="00B44DE2">
        <w:t xml:space="preserve">Figure </w:t>
      </w:r>
      <w:r w:rsidR="00B44DE2">
        <w:rPr>
          <w:noProof/>
        </w:rPr>
        <w:t>1</w:t>
      </w:r>
      <w:r>
        <w:fldChar w:fldCharType="end"/>
      </w:r>
      <w:r w:rsidRPr="00892BA0">
        <w:t>, below.</w:t>
      </w:r>
    </w:p>
    <w:p w14:paraId="19305079" w14:textId="22480CCC" w:rsidR="00892BA0" w:rsidRDefault="00892BA0" w:rsidP="00892BA0">
      <w:pPr>
        <w:pStyle w:val="FigureTitle"/>
      </w:pPr>
      <w:bookmarkStart w:id="41" w:name="_Ref138162014"/>
      <w:r>
        <w:lastRenderedPageBreak/>
        <w:t xml:space="preserve">Figure </w:t>
      </w:r>
      <w:r>
        <w:fldChar w:fldCharType="begin"/>
      </w:r>
      <w:r>
        <w:instrText>SEQ Figure \* ARABIC</w:instrText>
      </w:r>
      <w:r>
        <w:fldChar w:fldCharType="separate"/>
      </w:r>
      <w:r w:rsidR="00B44DE2">
        <w:rPr>
          <w:noProof/>
        </w:rPr>
        <w:t>1</w:t>
      </w:r>
      <w:r>
        <w:fldChar w:fldCharType="end"/>
      </w:r>
      <w:bookmarkEnd w:id="41"/>
      <w:r>
        <w:t>: Structure of difelikefalin</w:t>
      </w:r>
    </w:p>
    <w:p w14:paraId="2B917818" w14:textId="1F28B804" w:rsidR="00892BA0" w:rsidRDefault="00892BA0" w:rsidP="00892BA0">
      <w:r>
        <w:rPr>
          <w:noProof/>
        </w:rPr>
        <w:drawing>
          <wp:inline distT="0" distB="0" distL="0" distR="0" wp14:anchorId="4CF0A1A3" wp14:editId="6529EEA7">
            <wp:extent cx="3371215" cy="1694815"/>
            <wp:effectExtent l="0" t="0" r="635" b="635"/>
            <wp:docPr id="1" name="Picture 1" descr="Structure of difelikef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ucture of difelikefal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215" cy="1694815"/>
                    </a:xfrm>
                    <a:prstGeom prst="rect">
                      <a:avLst/>
                    </a:prstGeom>
                    <a:noFill/>
                  </pic:spPr>
                </pic:pic>
              </a:graphicData>
            </a:graphic>
          </wp:inline>
        </w:drawing>
      </w:r>
    </w:p>
    <w:p w14:paraId="058AC381" w14:textId="01FFC29C" w:rsidR="00892BA0" w:rsidRDefault="00892BA0" w:rsidP="00892BA0">
      <w:r>
        <w:t>Difelikefalin acetate is a white to off-white amorphous powder. The drug substance is freely soluble in the solvent aqueous acetate buffer which enables the drug product dosage form to be a solution. Particle size of the drug substance was not considered to be a critical test parameter, given that the drug substance is freely soluble in water.</w:t>
      </w:r>
    </w:p>
    <w:p w14:paraId="7828235A" w14:textId="415182C2" w:rsidR="00892BA0" w:rsidRDefault="00892BA0" w:rsidP="00892BA0">
      <w:r>
        <w:t>The drug substance is produced by chemical synthesis. Final purification is through column chromatography, followed by lyophilisation.</w:t>
      </w:r>
    </w:p>
    <w:p w14:paraId="15E84E27" w14:textId="6C135A70" w:rsidR="00892BA0" w:rsidRDefault="00892BA0" w:rsidP="00892BA0">
      <w:r>
        <w:t xml:space="preserve">The drug product is a sterile, clear, buffered aqueous solution and is presented as ‘ready-to-use’ for intravenous administration at a concentration of 50 </w:t>
      </w:r>
      <w:r w:rsidR="00395FED">
        <w:t>µ</w:t>
      </w:r>
      <w:r>
        <w:t xml:space="preserve">g of difelikefalin free base (anhydrous and acetic acid-free substance) per </w:t>
      </w:r>
      <w:proofErr w:type="spellStart"/>
      <w:r>
        <w:t>mL.</w:t>
      </w:r>
      <w:proofErr w:type="spellEnd"/>
    </w:p>
    <w:p w14:paraId="49D92ED6" w14:textId="692C229E" w:rsidR="00892BA0" w:rsidRDefault="00892BA0" w:rsidP="00892BA0">
      <w:r>
        <w:t>The product is packaged in clear glass vials with an inert rubber closure that is laminated with a fluoro-resin film. The product is stable in the packaging, and the packaging does not impact the quality of the product. Pack sizes of 3 x 1 mL and 12 x 1 mL vials are proposed for registration.</w:t>
      </w:r>
    </w:p>
    <w:p w14:paraId="2A2B8190" w14:textId="5472F594" w:rsidR="00892BA0" w:rsidRPr="000A21C9" w:rsidRDefault="00892BA0" w:rsidP="00E81FD4">
      <w:pPr>
        <w:spacing w:before="60"/>
        <w:rPr>
          <w:szCs w:val="22"/>
          <w:lang w:eastAsia="en-AU"/>
        </w:rPr>
      </w:pPr>
      <w:r w:rsidRPr="000A21C9">
        <w:rPr>
          <w:szCs w:val="22"/>
          <w:lang w:eastAsia="en-AU"/>
        </w:rPr>
        <w:t>The drug product is stable upon storage and stability data supplied supported a shelf life of</w:t>
      </w:r>
      <w:r w:rsidR="00E81FD4">
        <w:rPr>
          <w:szCs w:val="22"/>
          <w:lang w:eastAsia="en-AU"/>
        </w:rPr>
        <w:t xml:space="preserve"> </w:t>
      </w:r>
      <w:r>
        <w:rPr>
          <w:szCs w:val="22"/>
          <w:lang w:eastAsia="en-AU"/>
        </w:rPr>
        <w:t>30</w:t>
      </w:r>
      <w:r w:rsidR="00395FED">
        <w:rPr>
          <w:szCs w:val="22"/>
          <w:lang w:eastAsia="en-AU"/>
        </w:rPr>
        <w:t> </w:t>
      </w:r>
      <w:r w:rsidRPr="000A21C9">
        <w:rPr>
          <w:szCs w:val="22"/>
          <w:lang w:eastAsia="en-AU"/>
        </w:rPr>
        <w:t xml:space="preserve">months for the unopened product when stored at or below </w:t>
      </w:r>
      <w:r>
        <w:rPr>
          <w:szCs w:val="22"/>
          <w:lang w:eastAsia="en-AU"/>
        </w:rPr>
        <w:t>30</w:t>
      </w:r>
      <w:r w:rsidRPr="000A21C9">
        <w:rPr>
          <w:szCs w:val="22"/>
          <w:lang w:eastAsia="en-AU"/>
        </w:rPr>
        <w:t>°C</w:t>
      </w:r>
      <w:r>
        <w:rPr>
          <w:szCs w:val="22"/>
          <w:lang w:eastAsia="en-AU"/>
        </w:rPr>
        <w:t xml:space="preserve"> (do not freeze)</w:t>
      </w:r>
      <w:r w:rsidRPr="000A21C9">
        <w:rPr>
          <w:szCs w:val="22"/>
          <w:lang w:eastAsia="en-AU"/>
        </w:rPr>
        <w:t>.</w:t>
      </w:r>
    </w:p>
    <w:p w14:paraId="0D4EFC23" w14:textId="79C2839F" w:rsidR="00892BA0" w:rsidRPr="00892BA0" w:rsidRDefault="00892BA0" w:rsidP="00892BA0">
      <w:r w:rsidRPr="00892BA0">
        <w:t xml:space="preserve">Approval is recommended for registration of the proposed product from </w:t>
      </w:r>
      <w:r>
        <w:t>a quality</w:t>
      </w:r>
      <w:r w:rsidRPr="00892BA0">
        <w:t xml:space="preserve"> perspective.</w:t>
      </w:r>
    </w:p>
    <w:p w14:paraId="2BE90AAE" w14:textId="77777777" w:rsidR="00C22214" w:rsidRDefault="00C22214" w:rsidP="00C22214">
      <w:pPr>
        <w:pStyle w:val="Heading3"/>
      </w:pPr>
      <w:bookmarkStart w:id="42" w:name="_Toc314842512"/>
      <w:bookmarkStart w:id="43" w:name="_Toc103679296"/>
      <w:bookmarkStart w:id="44" w:name="_Toc147404307"/>
      <w:r>
        <w:t>Nonclinical</w:t>
      </w:r>
      <w:bookmarkEnd w:id="42"/>
      <w:bookmarkEnd w:id="43"/>
      <w:bookmarkEnd w:id="44"/>
    </w:p>
    <w:p w14:paraId="65F62165" w14:textId="69638484" w:rsidR="00892BA0" w:rsidRPr="00892BA0" w:rsidRDefault="00892BA0" w:rsidP="00892BA0">
      <w:bookmarkStart w:id="45" w:name="_Toc247691530"/>
      <w:bookmarkStart w:id="46" w:name="_Toc314842513"/>
      <w:bookmarkStart w:id="47" w:name="_Toc103679297"/>
      <w:r w:rsidRPr="00892BA0">
        <w:t xml:space="preserve">No major deficiencies were identified in the </w:t>
      </w:r>
      <w:r>
        <w:t>nonclinical</w:t>
      </w:r>
      <w:r w:rsidRPr="00892BA0">
        <w:t xml:space="preserve"> dossier.</w:t>
      </w:r>
      <w:r>
        <w:t xml:space="preserve"> </w:t>
      </w:r>
      <w:r w:rsidRPr="00892BA0">
        <w:t>The primary pharmacology studies support the proposed indication and proposed dose.</w:t>
      </w:r>
      <w:r>
        <w:t xml:space="preserve"> </w:t>
      </w:r>
      <w:r w:rsidRPr="00892BA0">
        <w:t>No off-target effects are predicted based on the secondary pharmacodynamic screens.</w:t>
      </w:r>
    </w:p>
    <w:p w14:paraId="2E6C0E96" w14:textId="02C17011" w:rsidR="00892BA0" w:rsidRPr="00892BA0" w:rsidRDefault="00892BA0" w:rsidP="00892BA0">
      <w:r w:rsidRPr="00892BA0">
        <w:t>Adverse effects on cardiovascular and respiratory function are not predicted in patients.</w:t>
      </w:r>
    </w:p>
    <w:p w14:paraId="736D3C6B" w14:textId="73087F7F" w:rsidR="00892BA0" w:rsidRPr="00892BA0" w:rsidRDefault="00892BA0" w:rsidP="00892BA0">
      <w:r w:rsidRPr="00892BA0">
        <w:t>The clinical relevance of the delay in gastrointestinal transit is difficult to interpret given the high doses</w:t>
      </w:r>
      <w:r>
        <w:t xml:space="preserve"> </w:t>
      </w:r>
      <w:r w:rsidRPr="00892BA0">
        <w:t>tested in animals. It is noted that constipation was not a frequent side effect in clinical trials. Similarly,</w:t>
      </w:r>
      <w:r>
        <w:t xml:space="preserve"> </w:t>
      </w:r>
      <w:r w:rsidR="00A020D9">
        <w:t>CNS</w:t>
      </w:r>
      <w:r w:rsidRPr="00892BA0">
        <w:t xml:space="preserve"> effects were a feature in all toxicity studies at the lowest tested doses. However, exposures were</w:t>
      </w:r>
      <w:r>
        <w:t xml:space="preserve"> </w:t>
      </w:r>
      <w:r w:rsidRPr="00892BA0">
        <w:t xml:space="preserve">high. The US </w:t>
      </w:r>
      <w:r>
        <w:t>Food and Drug Administration (</w:t>
      </w:r>
      <w:r w:rsidRPr="00892BA0">
        <w:t>FDA</w:t>
      </w:r>
      <w:r>
        <w:t>)</w:t>
      </w:r>
      <w:r w:rsidRPr="00892BA0">
        <w:t xml:space="preserve"> label indicated </w:t>
      </w:r>
      <w:r w:rsidR="00A020D9">
        <w:t xml:space="preserve">CNS </w:t>
      </w:r>
      <w:r w:rsidRPr="00892BA0">
        <w:t>effects were apparent in patients.</w:t>
      </w:r>
    </w:p>
    <w:p w14:paraId="5F8B5AF1" w14:textId="1C89D281" w:rsidR="00892BA0" w:rsidRPr="00892BA0" w:rsidRDefault="00892BA0" w:rsidP="00892BA0">
      <w:r w:rsidRPr="00892BA0">
        <w:t xml:space="preserve">Pharmacokinetic drug interactions are not predicted based on available </w:t>
      </w:r>
      <w:r w:rsidRPr="00892BA0">
        <w:rPr>
          <w:i/>
          <w:iCs/>
        </w:rPr>
        <w:t>in vitro</w:t>
      </w:r>
      <w:r w:rsidRPr="00892BA0">
        <w:t xml:space="preserve"> information.</w:t>
      </w:r>
      <w:r>
        <w:t xml:space="preserve"> </w:t>
      </w:r>
      <w:r w:rsidRPr="00892BA0">
        <w:t xml:space="preserve">Aside from the </w:t>
      </w:r>
      <w:r w:rsidR="00A020D9">
        <w:t>CNS</w:t>
      </w:r>
      <w:r w:rsidRPr="00892BA0">
        <w:t xml:space="preserve"> above, the submitted repeat-dose toxicity studies did not reveal any safety</w:t>
      </w:r>
      <w:r>
        <w:t xml:space="preserve"> </w:t>
      </w:r>
      <w:r w:rsidRPr="00892BA0">
        <w:t>concerns of clinical relevance.</w:t>
      </w:r>
    </w:p>
    <w:p w14:paraId="51563A5B" w14:textId="0D97FF27" w:rsidR="00892BA0" w:rsidRPr="00892BA0" w:rsidRDefault="00892BA0" w:rsidP="00892BA0">
      <w:r w:rsidRPr="00892BA0">
        <w:t>Difelikefalin is not expected to pose a genotoxic or carcinogenic concern.</w:t>
      </w:r>
      <w:r>
        <w:t xml:space="preserve"> </w:t>
      </w:r>
      <w:r w:rsidRPr="00892BA0">
        <w:t>No clinically relevant reproductive or developmental risks were identified.</w:t>
      </w:r>
    </w:p>
    <w:p w14:paraId="74098C80" w14:textId="0A70F995" w:rsidR="00892BA0" w:rsidRPr="00892BA0" w:rsidRDefault="00892BA0" w:rsidP="00892BA0">
      <w:r w:rsidRPr="00892BA0">
        <w:t>There are no nonclinical objections to registration.</w:t>
      </w:r>
    </w:p>
    <w:p w14:paraId="35B580A5" w14:textId="69B9BE44" w:rsidR="00C22214" w:rsidRDefault="00C22214" w:rsidP="008804CF">
      <w:pPr>
        <w:pStyle w:val="Heading3"/>
      </w:pPr>
      <w:bookmarkStart w:id="48" w:name="_Toc147404308"/>
      <w:r>
        <w:lastRenderedPageBreak/>
        <w:t>Clinical</w:t>
      </w:r>
      <w:bookmarkEnd w:id="45"/>
      <w:bookmarkEnd w:id="46"/>
      <w:bookmarkEnd w:id="47"/>
      <w:bookmarkEnd w:id="48"/>
    </w:p>
    <w:p w14:paraId="32B0DEDA" w14:textId="42E68C7F" w:rsidR="00C22214" w:rsidRDefault="00C22214" w:rsidP="00433318">
      <w:pPr>
        <w:pStyle w:val="Heading4"/>
      </w:pPr>
      <w:bookmarkStart w:id="49" w:name="_Toc98931928"/>
      <w:bookmarkStart w:id="50" w:name="_Toc147404309"/>
      <w:r>
        <w:t>Summary of clinical studies</w:t>
      </w:r>
      <w:bookmarkEnd w:id="49"/>
      <w:bookmarkEnd w:id="50"/>
    </w:p>
    <w:p w14:paraId="21A8C1A6" w14:textId="37F53D43" w:rsidR="00114D69" w:rsidRPr="00114D69" w:rsidRDefault="00114D69" w:rsidP="00E81FD4">
      <w:r w:rsidRPr="00114D69">
        <w:t>The clinical dossier consisted of:</w:t>
      </w:r>
    </w:p>
    <w:p w14:paraId="20FD2880" w14:textId="49685258" w:rsidR="00892BA0" w:rsidRDefault="00E81FD4" w:rsidP="009E4B11">
      <w:pPr>
        <w:pStyle w:val="ListBullet"/>
      </w:pPr>
      <w:r>
        <w:t>eleven</w:t>
      </w:r>
      <w:r w:rsidR="00892BA0">
        <w:t xml:space="preserve"> </w:t>
      </w:r>
      <w:r w:rsidR="00114D69">
        <w:t xml:space="preserve">Phase I </w:t>
      </w:r>
      <w:r w:rsidR="00892BA0">
        <w:t>clinical pharmacology studies examining the intravenous formulation of difelikefalin:</w:t>
      </w:r>
      <w:r w:rsidR="00680D46" w:rsidRPr="00680D46">
        <w:t xml:space="preserve"> </w:t>
      </w:r>
      <w:r w:rsidR="00680D46">
        <w:t>CR845-CLIN1001, CR845-CLIN1003, CR845-CLIN1004, CR845-CLIN1005,</w:t>
      </w:r>
      <w:r w:rsidR="00680D46" w:rsidRPr="00680D46">
        <w:t xml:space="preserve"> </w:t>
      </w:r>
      <w:r w:rsidR="00680D46">
        <w:t xml:space="preserve">CR845-CLIN1006, CR845-CLIN1009, </w:t>
      </w:r>
      <w:r w:rsidR="00680D46" w:rsidRPr="00680D46">
        <w:t>CR845</w:t>
      </w:r>
      <w:r w:rsidR="00680D46">
        <w:noBreakHyphen/>
      </w:r>
      <w:r w:rsidR="00680D46" w:rsidRPr="00680D46">
        <w:t>100201</w:t>
      </w:r>
      <w:r w:rsidR="00680D46">
        <w:t xml:space="preserve">, </w:t>
      </w:r>
      <w:r w:rsidR="00680D46" w:rsidRPr="00680D46">
        <w:t>CR845-100302</w:t>
      </w:r>
      <w:r w:rsidR="00680D46">
        <w:t xml:space="preserve">, </w:t>
      </w:r>
      <w:r w:rsidR="00680D46" w:rsidRPr="00680D46">
        <w:t>CR845-100303</w:t>
      </w:r>
      <w:r w:rsidR="00680D46">
        <w:t xml:space="preserve">, </w:t>
      </w:r>
      <w:r w:rsidR="00680D46" w:rsidRPr="00680D46">
        <w:t>PR</w:t>
      </w:r>
      <w:r w:rsidR="00680D46">
        <w:noBreakHyphen/>
      </w:r>
      <w:r w:rsidR="00680D46" w:rsidRPr="00680D46">
        <w:t>13A9-P1-A</w:t>
      </w:r>
      <w:r w:rsidR="00680D46">
        <w:t xml:space="preserve"> and </w:t>
      </w:r>
      <w:r w:rsidR="00680D46" w:rsidRPr="00680D46">
        <w:t>PR-13A9-P1-B</w:t>
      </w:r>
    </w:p>
    <w:p w14:paraId="2B0789BF" w14:textId="606BBE33" w:rsidR="00892BA0" w:rsidRPr="00A020D9" w:rsidRDefault="00E81FD4" w:rsidP="00892BA0">
      <w:pPr>
        <w:pStyle w:val="ListBullet2"/>
      </w:pPr>
      <w:r>
        <w:t>nine</w:t>
      </w:r>
      <w:r w:rsidR="00892BA0" w:rsidRPr="00A020D9">
        <w:t xml:space="preserve"> of these studies contained data relating to difelikefalin pharmacokinetics (PK)</w:t>
      </w:r>
    </w:p>
    <w:p w14:paraId="5B3C36A8" w14:textId="166E6DA4" w:rsidR="00892BA0" w:rsidRPr="00A020D9" w:rsidRDefault="00E81FD4" w:rsidP="00892BA0">
      <w:pPr>
        <w:pStyle w:val="ListBullet2"/>
      </w:pPr>
      <w:r>
        <w:t>seven</w:t>
      </w:r>
      <w:r w:rsidR="00892BA0" w:rsidRPr="00A020D9">
        <w:t xml:space="preserve"> had data relating to the pharmacodynamics (PD)</w:t>
      </w:r>
    </w:p>
    <w:p w14:paraId="7F907374" w14:textId="241691ED" w:rsidR="00892BA0" w:rsidRDefault="00114D69" w:rsidP="00892BA0">
      <w:pPr>
        <w:pStyle w:val="ListBullet"/>
      </w:pPr>
      <w:r>
        <w:t>one</w:t>
      </w:r>
      <w:r w:rsidR="00892BA0">
        <w:t xml:space="preserve"> </w:t>
      </w:r>
      <w:r>
        <w:t>p</w:t>
      </w:r>
      <w:r w:rsidRPr="00A020D9">
        <w:t xml:space="preserve">opulation pharmacokinetic </w:t>
      </w:r>
      <w:r>
        <w:t>(</w:t>
      </w:r>
      <w:r w:rsidR="00680D46">
        <w:t>p</w:t>
      </w:r>
      <w:r w:rsidR="00892BA0">
        <w:t>opPK</w:t>
      </w:r>
      <w:r>
        <w:t>)</w:t>
      </w:r>
      <w:r w:rsidR="00892BA0">
        <w:t xml:space="preserve"> study investigated difelikefalin PK following intravenous and oral dosing</w:t>
      </w:r>
      <w:r w:rsidR="00680D46">
        <w:t xml:space="preserve">: </w:t>
      </w:r>
      <w:r w:rsidR="00680D46" w:rsidRPr="00680D46">
        <w:t>Study CTX0201F</w:t>
      </w:r>
    </w:p>
    <w:p w14:paraId="06EAA306" w14:textId="40957182" w:rsidR="00892BA0" w:rsidRDefault="00E81FD4" w:rsidP="00E81FD4">
      <w:pPr>
        <w:pStyle w:val="ListBullet"/>
      </w:pPr>
      <w:r>
        <w:t>t</w:t>
      </w:r>
      <w:r w:rsidR="00892BA0">
        <w:t>wo</w:t>
      </w:r>
      <w:r w:rsidR="00114D69">
        <w:t xml:space="preserve"> pivotal</w:t>
      </w:r>
      <w:r w:rsidR="00114D69" w:rsidRPr="00114D69">
        <w:t xml:space="preserve"> </w:t>
      </w:r>
      <w:r w:rsidR="00114D69">
        <w:t>Phase III efficacy and safety studies:</w:t>
      </w:r>
      <w:r w:rsidR="00892BA0">
        <w:t xml:space="preserve"> Stud</w:t>
      </w:r>
      <w:r w:rsidR="00114D69">
        <w:t>ies</w:t>
      </w:r>
      <w:r w:rsidR="00892BA0">
        <w:t> CR845-CLIN3102 and CR845</w:t>
      </w:r>
      <w:r w:rsidR="00114D69">
        <w:noBreakHyphen/>
      </w:r>
      <w:r w:rsidR="00892BA0">
        <w:t>CLIN3103</w:t>
      </w:r>
    </w:p>
    <w:p w14:paraId="5834E98F" w14:textId="71D76DBF" w:rsidR="00892BA0" w:rsidRDefault="00E81FD4" w:rsidP="00892BA0">
      <w:pPr>
        <w:pStyle w:val="ListBullet"/>
      </w:pPr>
      <w:r>
        <w:t>seven</w:t>
      </w:r>
      <w:r w:rsidR="00114D69">
        <w:t xml:space="preserve"> s</w:t>
      </w:r>
      <w:r w:rsidR="00892BA0">
        <w:t>upportive</w:t>
      </w:r>
      <w:r w:rsidR="00114D69">
        <w:t xml:space="preserve"> efficacy and safety studies</w:t>
      </w:r>
      <w:r w:rsidR="00892BA0">
        <w:t>:</w:t>
      </w:r>
    </w:p>
    <w:p w14:paraId="3D6FAAE3" w14:textId="404E334D" w:rsidR="00892BA0" w:rsidRDefault="00E81FD4" w:rsidP="00892BA0">
      <w:pPr>
        <w:pStyle w:val="ListBullet2"/>
      </w:pPr>
      <w:r>
        <w:t xml:space="preserve">three </w:t>
      </w:r>
      <w:r w:rsidR="00892BA0">
        <w:t>Phase II studies</w:t>
      </w:r>
      <w:r w:rsidR="00114D69">
        <w:t xml:space="preserve">: </w:t>
      </w:r>
      <w:r w:rsidR="00892BA0">
        <w:t>Studies CR845-CLIN2005, CR845-CLIN2101 and PR-13A9-P2-A</w:t>
      </w:r>
    </w:p>
    <w:p w14:paraId="7FFB96EF" w14:textId="2600C8A4" w:rsidR="00892BA0" w:rsidRDefault="00E81FD4" w:rsidP="00892BA0">
      <w:pPr>
        <w:pStyle w:val="ListBullet2"/>
      </w:pPr>
      <w:r>
        <w:t xml:space="preserve">two </w:t>
      </w:r>
      <w:r w:rsidR="00892BA0">
        <w:t>Phase III studies</w:t>
      </w:r>
      <w:r w:rsidR="00114D69">
        <w:t xml:space="preserve">: </w:t>
      </w:r>
      <w:r w:rsidR="00892BA0">
        <w:t>Stud</w:t>
      </w:r>
      <w:r w:rsidR="00114D69">
        <w:t>ies</w:t>
      </w:r>
      <w:r w:rsidR="00892BA0">
        <w:t> CR845-CLIN3101 and CR845-CLIN3105</w:t>
      </w:r>
    </w:p>
    <w:p w14:paraId="6BE3D79C" w14:textId="5CE7C27B" w:rsidR="00892BA0" w:rsidRDefault="00E81FD4" w:rsidP="00892BA0">
      <w:pPr>
        <w:pStyle w:val="ListBullet2"/>
      </w:pPr>
      <w:r>
        <w:t xml:space="preserve">two </w:t>
      </w:r>
      <w:r w:rsidR="00892BA0">
        <w:t>extension studies of the pivotal studies</w:t>
      </w:r>
      <w:r w:rsidR="00114D69">
        <w:t xml:space="preserve">: </w:t>
      </w:r>
      <w:r w:rsidR="00892BA0">
        <w:t>Stud</w:t>
      </w:r>
      <w:r w:rsidR="00114D69">
        <w:t>ies</w:t>
      </w:r>
      <w:r w:rsidR="00892BA0">
        <w:t> CR845-CLIN3102-OLE and CR845</w:t>
      </w:r>
      <w:r w:rsidR="00114D69">
        <w:noBreakHyphen/>
      </w:r>
      <w:r w:rsidR="00892BA0">
        <w:t>CLIN3103-OLE.</w:t>
      </w:r>
    </w:p>
    <w:p w14:paraId="30970640" w14:textId="2E972851" w:rsidR="00892BA0" w:rsidRDefault="00892BA0" w:rsidP="00892BA0">
      <w:pPr>
        <w:pStyle w:val="Heading5"/>
      </w:pPr>
      <w:r>
        <w:t>Good clinical practice</w:t>
      </w:r>
    </w:p>
    <w:p w14:paraId="61F9B7A8" w14:textId="469C275E" w:rsidR="00892BA0" w:rsidRDefault="00892BA0" w:rsidP="00892BA0">
      <w:r w:rsidRPr="00892BA0">
        <w:t xml:space="preserve">The clinical studies reviewed in this evaluation </w:t>
      </w:r>
      <w:proofErr w:type="gramStart"/>
      <w:r w:rsidRPr="00892BA0">
        <w:t>were in compliance with</w:t>
      </w:r>
      <w:proofErr w:type="gramEnd"/>
      <w:r w:rsidR="00A020D9">
        <w:t xml:space="preserve"> TGA guidelines.</w:t>
      </w:r>
      <w:r w:rsidR="00A020D9">
        <w:rPr>
          <w:rStyle w:val="FootnoteReference"/>
        </w:rPr>
        <w:footnoteReference w:id="4"/>
      </w:r>
    </w:p>
    <w:p w14:paraId="183F8FDF" w14:textId="0E60F1F3" w:rsidR="00114D69" w:rsidRDefault="00114D69" w:rsidP="00E81FD4">
      <w:pPr>
        <w:pStyle w:val="Heading4"/>
      </w:pPr>
      <w:bookmarkStart w:id="51" w:name="_Toc147404310"/>
      <w:r>
        <w:t>Pharmacology</w:t>
      </w:r>
      <w:bookmarkEnd w:id="51"/>
    </w:p>
    <w:p w14:paraId="53167F89" w14:textId="1589DB68" w:rsidR="00114D69" w:rsidRDefault="00114D69" w:rsidP="00114D69">
      <w:pPr>
        <w:pStyle w:val="Heading5"/>
      </w:pPr>
      <w:r>
        <w:t>Pharmacokinetics</w:t>
      </w:r>
    </w:p>
    <w:p w14:paraId="108A03F2" w14:textId="2F071535" w:rsidR="00892BA0" w:rsidRDefault="00892BA0" w:rsidP="00892BA0">
      <w:pPr>
        <w:pStyle w:val="TableTitle"/>
      </w:pPr>
      <w:r>
        <w:t xml:space="preserve">Table </w:t>
      </w:r>
      <w:r>
        <w:fldChar w:fldCharType="begin"/>
      </w:r>
      <w:r>
        <w:instrText>SEQ Table \* ARABIC</w:instrText>
      </w:r>
      <w:r>
        <w:fldChar w:fldCharType="separate"/>
      </w:r>
      <w:r w:rsidR="00B44DE2">
        <w:rPr>
          <w:noProof/>
        </w:rPr>
        <w:t>3</w:t>
      </w:r>
      <w:r>
        <w:fldChar w:fldCharType="end"/>
      </w:r>
      <w:r>
        <w:t>: Submitted pharmacokinetic studies</w:t>
      </w:r>
    </w:p>
    <w:tbl>
      <w:tblPr>
        <w:tblStyle w:val="TableTGAblue2023"/>
        <w:tblW w:w="0" w:type="auto"/>
        <w:tblLook w:val="04A0" w:firstRow="1" w:lastRow="0" w:firstColumn="1" w:lastColumn="0" w:noHBand="0" w:noVBand="1"/>
      </w:tblPr>
      <w:tblGrid>
        <w:gridCol w:w="1555"/>
        <w:gridCol w:w="1842"/>
        <w:gridCol w:w="2410"/>
        <w:gridCol w:w="3253"/>
      </w:tblGrid>
      <w:tr w:rsidR="00892BA0" w14:paraId="43DFB9CB" w14:textId="77777777" w:rsidTr="00892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72E8DE" w14:textId="00F09EF0" w:rsidR="00892BA0" w:rsidRPr="00892BA0" w:rsidRDefault="00892BA0" w:rsidP="00892BA0">
            <w:pPr>
              <w:rPr>
                <w:sz w:val="20"/>
                <w:szCs w:val="20"/>
              </w:rPr>
            </w:pPr>
            <w:r w:rsidRPr="00892BA0">
              <w:rPr>
                <w:sz w:val="20"/>
                <w:szCs w:val="20"/>
              </w:rPr>
              <w:t>PK topic</w:t>
            </w:r>
          </w:p>
        </w:tc>
        <w:tc>
          <w:tcPr>
            <w:tcW w:w="1842" w:type="dxa"/>
          </w:tcPr>
          <w:p w14:paraId="3B5C3F3A" w14:textId="30C5A6BF" w:rsidR="00892BA0" w:rsidRPr="00892BA0" w:rsidRDefault="00892BA0" w:rsidP="00892BA0">
            <w:pPr>
              <w:cnfStyle w:val="100000000000" w:firstRow="1" w:lastRow="0" w:firstColumn="0" w:lastColumn="0" w:oddVBand="0" w:evenVBand="0" w:oddHBand="0" w:evenHBand="0" w:firstRowFirstColumn="0" w:firstRowLastColumn="0" w:lastRowFirstColumn="0" w:lastRowLastColumn="0"/>
              <w:rPr>
                <w:sz w:val="20"/>
                <w:szCs w:val="20"/>
              </w:rPr>
            </w:pPr>
            <w:r w:rsidRPr="00892BA0">
              <w:rPr>
                <w:sz w:val="20"/>
                <w:szCs w:val="20"/>
              </w:rPr>
              <w:t>Subtopic</w:t>
            </w:r>
          </w:p>
        </w:tc>
        <w:tc>
          <w:tcPr>
            <w:tcW w:w="2410" w:type="dxa"/>
          </w:tcPr>
          <w:p w14:paraId="5CF25ED9" w14:textId="23CB18D4" w:rsidR="00892BA0" w:rsidRPr="00892BA0" w:rsidRDefault="00892BA0" w:rsidP="00892BA0">
            <w:pPr>
              <w:cnfStyle w:val="100000000000" w:firstRow="1" w:lastRow="0" w:firstColumn="0" w:lastColumn="0" w:oddVBand="0" w:evenVBand="0" w:oddHBand="0" w:evenHBand="0" w:firstRowFirstColumn="0" w:firstRowLastColumn="0" w:lastRowFirstColumn="0" w:lastRowLastColumn="0"/>
              <w:rPr>
                <w:sz w:val="20"/>
                <w:szCs w:val="20"/>
              </w:rPr>
            </w:pPr>
            <w:r w:rsidRPr="00892BA0">
              <w:rPr>
                <w:sz w:val="20"/>
                <w:szCs w:val="20"/>
              </w:rPr>
              <w:t>Study ID</w:t>
            </w:r>
          </w:p>
        </w:tc>
        <w:tc>
          <w:tcPr>
            <w:tcW w:w="3253" w:type="dxa"/>
          </w:tcPr>
          <w:p w14:paraId="592D8F4F" w14:textId="601D9BE0" w:rsidR="00892BA0" w:rsidRPr="00892BA0" w:rsidRDefault="00892BA0" w:rsidP="00892BA0">
            <w:pPr>
              <w:cnfStyle w:val="100000000000" w:firstRow="1" w:lastRow="0" w:firstColumn="0" w:lastColumn="0" w:oddVBand="0" w:evenVBand="0" w:oddHBand="0" w:evenHBand="0" w:firstRowFirstColumn="0" w:firstRowLastColumn="0" w:lastRowFirstColumn="0" w:lastRowLastColumn="0"/>
              <w:rPr>
                <w:sz w:val="20"/>
                <w:szCs w:val="20"/>
              </w:rPr>
            </w:pPr>
            <w:r w:rsidRPr="00892BA0">
              <w:rPr>
                <w:sz w:val="20"/>
                <w:szCs w:val="20"/>
              </w:rPr>
              <w:t xml:space="preserve">Primary </w:t>
            </w:r>
            <w:r>
              <w:rPr>
                <w:sz w:val="20"/>
                <w:szCs w:val="20"/>
              </w:rPr>
              <w:t xml:space="preserve">PK </w:t>
            </w:r>
            <w:r w:rsidRPr="00892BA0">
              <w:rPr>
                <w:sz w:val="20"/>
                <w:szCs w:val="20"/>
              </w:rPr>
              <w:t>aim of study</w:t>
            </w:r>
          </w:p>
        </w:tc>
      </w:tr>
      <w:tr w:rsidR="00892BA0" w14:paraId="7C7C26E7"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val="restart"/>
          </w:tcPr>
          <w:p w14:paraId="78E77064" w14:textId="00A16BAC" w:rsidR="00892BA0" w:rsidRPr="00892BA0" w:rsidRDefault="00892BA0" w:rsidP="00892BA0">
            <w:pPr>
              <w:rPr>
                <w:sz w:val="20"/>
                <w:szCs w:val="20"/>
              </w:rPr>
            </w:pPr>
            <w:r w:rsidRPr="00892BA0">
              <w:rPr>
                <w:sz w:val="20"/>
                <w:szCs w:val="20"/>
              </w:rPr>
              <w:t>PK in healthy adults</w:t>
            </w:r>
          </w:p>
        </w:tc>
        <w:tc>
          <w:tcPr>
            <w:tcW w:w="1842" w:type="dxa"/>
            <w:vMerge w:val="restart"/>
          </w:tcPr>
          <w:p w14:paraId="61CFAFC0" w14:textId="46865118"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General PK single dose</w:t>
            </w:r>
          </w:p>
        </w:tc>
        <w:tc>
          <w:tcPr>
            <w:tcW w:w="2410" w:type="dxa"/>
          </w:tcPr>
          <w:p w14:paraId="779649AA" w14:textId="761E9140"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Study CR845-100201</w:t>
            </w:r>
          </w:p>
        </w:tc>
        <w:tc>
          <w:tcPr>
            <w:tcW w:w="3253" w:type="dxa"/>
          </w:tcPr>
          <w:p w14:paraId="5B94F4B2" w14:textId="7665A8FB"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 xml:space="preserve">Effects of single IV doses of </w:t>
            </w:r>
            <w:r>
              <w:rPr>
                <w:sz w:val="20"/>
                <w:szCs w:val="20"/>
              </w:rPr>
              <w:t>d</w:t>
            </w:r>
            <w:r w:rsidRPr="00892BA0">
              <w:rPr>
                <w:sz w:val="20"/>
                <w:szCs w:val="20"/>
              </w:rPr>
              <w:t>ifelikefalin on the QTc interval in healthy subjects</w:t>
            </w:r>
            <w:r>
              <w:rPr>
                <w:sz w:val="20"/>
                <w:szCs w:val="20"/>
              </w:rPr>
              <w:t>.</w:t>
            </w:r>
            <w:r>
              <w:rPr>
                <w:rStyle w:val="FootnoteReference"/>
                <w:sz w:val="20"/>
                <w:szCs w:val="20"/>
              </w:rPr>
              <w:footnoteReference w:id="5"/>
            </w:r>
          </w:p>
        </w:tc>
      </w:tr>
      <w:tr w:rsidR="00892BA0" w14:paraId="63A01F53"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41ED6EBE" w14:textId="77777777" w:rsidR="00892BA0" w:rsidRPr="00892BA0" w:rsidRDefault="00892BA0" w:rsidP="00892BA0">
            <w:pPr>
              <w:rPr>
                <w:sz w:val="20"/>
                <w:szCs w:val="20"/>
              </w:rPr>
            </w:pPr>
          </w:p>
        </w:tc>
        <w:tc>
          <w:tcPr>
            <w:tcW w:w="1842" w:type="dxa"/>
            <w:vMerge/>
          </w:tcPr>
          <w:p w14:paraId="4CBE4E8E" w14:textId="77777777"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tcPr>
          <w:p w14:paraId="3BD88E21" w14:textId="5C9AE332"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CR845</w:t>
            </w:r>
            <w:r>
              <w:rPr>
                <w:sz w:val="20"/>
                <w:szCs w:val="20"/>
              </w:rPr>
              <w:noBreakHyphen/>
            </w:r>
            <w:r w:rsidRPr="00892BA0">
              <w:rPr>
                <w:sz w:val="20"/>
                <w:szCs w:val="20"/>
              </w:rPr>
              <w:t>CLIN1001</w:t>
            </w:r>
          </w:p>
        </w:tc>
        <w:tc>
          <w:tcPr>
            <w:tcW w:w="3253" w:type="dxa"/>
          </w:tcPr>
          <w:p w14:paraId="7DD15B15" w14:textId="7EB088DF"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Placebo</w:t>
            </w:r>
            <w:r>
              <w:rPr>
                <w:sz w:val="20"/>
                <w:szCs w:val="20"/>
              </w:rPr>
              <w:t xml:space="preserve"> </w:t>
            </w:r>
            <w:r w:rsidRPr="00892BA0">
              <w:rPr>
                <w:sz w:val="20"/>
                <w:szCs w:val="20"/>
              </w:rPr>
              <w:t>controlled, ascending single IV dose study to evaluate the safety, PK and PD</w:t>
            </w:r>
            <w:r>
              <w:rPr>
                <w:sz w:val="20"/>
                <w:szCs w:val="20"/>
              </w:rPr>
              <w:t xml:space="preserve"> </w:t>
            </w:r>
            <w:r w:rsidRPr="00892BA0">
              <w:rPr>
                <w:sz w:val="20"/>
                <w:szCs w:val="20"/>
              </w:rPr>
              <w:t xml:space="preserve">of </w:t>
            </w:r>
            <w:r>
              <w:rPr>
                <w:sz w:val="20"/>
                <w:szCs w:val="20"/>
              </w:rPr>
              <w:t>d</w:t>
            </w:r>
            <w:r w:rsidRPr="00892BA0">
              <w:rPr>
                <w:sz w:val="20"/>
                <w:szCs w:val="20"/>
              </w:rPr>
              <w:t>ifelikefalin in healthy subjects</w:t>
            </w:r>
            <w:r>
              <w:rPr>
                <w:sz w:val="20"/>
                <w:szCs w:val="20"/>
              </w:rPr>
              <w:t>.</w:t>
            </w:r>
          </w:p>
        </w:tc>
      </w:tr>
      <w:tr w:rsidR="00892BA0" w14:paraId="129A480D"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10DEA62C" w14:textId="77777777" w:rsidR="00892BA0" w:rsidRPr="00892BA0" w:rsidRDefault="00892BA0" w:rsidP="00892BA0">
            <w:pPr>
              <w:rPr>
                <w:sz w:val="20"/>
                <w:szCs w:val="20"/>
              </w:rPr>
            </w:pPr>
          </w:p>
        </w:tc>
        <w:tc>
          <w:tcPr>
            <w:tcW w:w="1842" w:type="dxa"/>
          </w:tcPr>
          <w:p w14:paraId="4899927E" w14:textId="2165949C"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Multi-dose</w:t>
            </w:r>
          </w:p>
        </w:tc>
        <w:tc>
          <w:tcPr>
            <w:tcW w:w="2410" w:type="dxa"/>
          </w:tcPr>
          <w:p w14:paraId="4695C191" w14:textId="4FA79B53"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CR845-CLIN1004</w:t>
            </w:r>
          </w:p>
        </w:tc>
        <w:tc>
          <w:tcPr>
            <w:tcW w:w="3253" w:type="dxa"/>
          </w:tcPr>
          <w:p w14:paraId="7A2FB0B0" w14:textId="6DC9507F"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 xml:space="preserve">Multiple ascending dose study to evaluate the safety, </w:t>
            </w:r>
            <w:proofErr w:type="gramStart"/>
            <w:r w:rsidRPr="00892BA0">
              <w:rPr>
                <w:sz w:val="20"/>
                <w:szCs w:val="20"/>
              </w:rPr>
              <w:t>tolerability</w:t>
            </w:r>
            <w:proofErr w:type="gramEnd"/>
            <w:r w:rsidRPr="00892BA0">
              <w:rPr>
                <w:sz w:val="20"/>
                <w:szCs w:val="20"/>
              </w:rPr>
              <w:t xml:space="preserve"> and PK of IV </w:t>
            </w:r>
            <w:r>
              <w:rPr>
                <w:sz w:val="20"/>
                <w:szCs w:val="20"/>
              </w:rPr>
              <w:t>d</w:t>
            </w:r>
            <w:r w:rsidRPr="00892BA0">
              <w:rPr>
                <w:sz w:val="20"/>
                <w:szCs w:val="20"/>
              </w:rPr>
              <w:t>ifelikefalin in healthy subjects</w:t>
            </w:r>
            <w:r>
              <w:rPr>
                <w:sz w:val="20"/>
                <w:szCs w:val="20"/>
              </w:rPr>
              <w:t>.</w:t>
            </w:r>
          </w:p>
        </w:tc>
      </w:tr>
      <w:tr w:rsidR="00892BA0" w14:paraId="010733CF"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43CAD4CB" w14:textId="77777777" w:rsidR="00892BA0" w:rsidRPr="00892BA0" w:rsidRDefault="00892BA0" w:rsidP="00892BA0">
            <w:pPr>
              <w:rPr>
                <w:sz w:val="20"/>
                <w:szCs w:val="20"/>
              </w:rPr>
            </w:pPr>
          </w:p>
        </w:tc>
        <w:tc>
          <w:tcPr>
            <w:tcW w:w="1842" w:type="dxa"/>
          </w:tcPr>
          <w:p w14:paraId="575240D1" w14:textId="5975C44A"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Mass balance</w:t>
            </w:r>
          </w:p>
        </w:tc>
        <w:tc>
          <w:tcPr>
            <w:tcW w:w="2410" w:type="dxa"/>
          </w:tcPr>
          <w:p w14:paraId="098D804C" w14:textId="6707BB1B"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CR845-100302</w:t>
            </w:r>
          </w:p>
        </w:tc>
        <w:tc>
          <w:tcPr>
            <w:tcW w:w="3253" w:type="dxa"/>
          </w:tcPr>
          <w:p w14:paraId="147FAC71" w14:textId="645256FF"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 xml:space="preserve">PK and metabolism of </w:t>
            </w:r>
            <w:r w:rsidR="003C5373">
              <w:rPr>
                <w:sz w:val="20"/>
                <w:szCs w:val="20"/>
              </w:rPr>
              <w:t>[</w:t>
            </w:r>
            <w:r w:rsidRPr="008535BC">
              <w:rPr>
                <w:sz w:val="20"/>
                <w:szCs w:val="20"/>
                <w:vertAlign w:val="superscript"/>
              </w:rPr>
              <w:t>14</w:t>
            </w:r>
            <w:r w:rsidRPr="00892BA0">
              <w:rPr>
                <w:sz w:val="20"/>
                <w:szCs w:val="20"/>
              </w:rPr>
              <w:t>C</w:t>
            </w:r>
            <w:r w:rsidR="003C5373">
              <w:rPr>
                <w:sz w:val="20"/>
                <w:szCs w:val="20"/>
              </w:rPr>
              <w:t>]</w:t>
            </w:r>
            <w:r w:rsidRPr="00892BA0">
              <w:rPr>
                <w:sz w:val="20"/>
                <w:szCs w:val="20"/>
              </w:rPr>
              <w:t xml:space="preserve"> </w:t>
            </w:r>
            <w:r>
              <w:rPr>
                <w:sz w:val="20"/>
                <w:szCs w:val="20"/>
              </w:rPr>
              <w:t>d</w:t>
            </w:r>
            <w:r w:rsidRPr="00892BA0">
              <w:rPr>
                <w:sz w:val="20"/>
                <w:szCs w:val="20"/>
              </w:rPr>
              <w:t>ifelikefalin in patients with ERSD on haemodialysis and in healthy subjects</w:t>
            </w:r>
            <w:r>
              <w:rPr>
                <w:sz w:val="20"/>
                <w:szCs w:val="20"/>
              </w:rPr>
              <w:t>.</w:t>
            </w:r>
          </w:p>
        </w:tc>
      </w:tr>
      <w:tr w:rsidR="00892BA0" w14:paraId="02CB13A3"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val="restart"/>
          </w:tcPr>
          <w:p w14:paraId="0C5B4DFD" w14:textId="37201FE4" w:rsidR="00892BA0" w:rsidRPr="00892BA0" w:rsidRDefault="00892BA0" w:rsidP="00892BA0">
            <w:pPr>
              <w:rPr>
                <w:sz w:val="20"/>
                <w:szCs w:val="20"/>
              </w:rPr>
            </w:pPr>
            <w:r w:rsidRPr="00892BA0">
              <w:rPr>
                <w:sz w:val="20"/>
                <w:szCs w:val="20"/>
              </w:rPr>
              <w:t>PK in special populations</w:t>
            </w:r>
          </w:p>
        </w:tc>
        <w:tc>
          <w:tcPr>
            <w:tcW w:w="1842" w:type="dxa"/>
            <w:vMerge w:val="restart"/>
          </w:tcPr>
          <w:p w14:paraId="25CBA8D2" w14:textId="5A805E75"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Target populations</w:t>
            </w:r>
          </w:p>
        </w:tc>
        <w:tc>
          <w:tcPr>
            <w:tcW w:w="2410" w:type="dxa"/>
          </w:tcPr>
          <w:p w14:paraId="11185154" w14:textId="485DC9EB"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PR-13A9-P1-B</w:t>
            </w:r>
          </w:p>
        </w:tc>
        <w:tc>
          <w:tcPr>
            <w:tcW w:w="3253" w:type="dxa"/>
          </w:tcPr>
          <w:p w14:paraId="6CF4B4DA" w14:textId="3127D39F"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Placebo-controlled human</w:t>
            </w:r>
            <w:r>
              <w:rPr>
                <w:sz w:val="20"/>
                <w:szCs w:val="20"/>
              </w:rPr>
              <w:t xml:space="preserve"> </w:t>
            </w:r>
            <w:r w:rsidRPr="00892BA0">
              <w:rPr>
                <w:sz w:val="20"/>
                <w:szCs w:val="20"/>
              </w:rPr>
              <w:t>pharmacology study to evaluate PK and safety of difelikefalin in haemodialysis patients</w:t>
            </w:r>
            <w:r>
              <w:rPr>
                <w:sz w:val="20"/>
                <w:szCs w:val="20"/>
              </w:rPr>
              <w:t>.</w:t>
            </w:r>
          </w:p>
        </w:tc>
      </w:tr>
      <w:tr w:rsidR="00892BA0" w14:paraId="2C4F4AC5"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43BCF675" w14:textId="77777777" w:rsidR="00892BA0" w:rsidRPr="00892BA0" w:rsidRDefault="00892BA0" w:rsidP="00892BA0">
            <w:pPr>
              <w:rPr>
                <w:sz w:val="20"/>
                <w:szCs w:val="20"/>
              </w:rPr>
            </w:pPr>
          </w:p>
        </w:tc>
        <w:tc>
          <w:tcPr>
            <w:tcW w:w="1842" w:type="dxa"/>
            <w:vMerge/>
          </w:tcPr>
          <w:p w14:paraId="4347C0B8" w14:textId="2803D401"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tcPr>
          <w:p w14:paraId="32B93800" w14:textId="53326C60"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CR845-CLIN1003</w:t>
            </w:r>
          </w:p>
        </w:tc>
        <w:tc>
          <w:tcPr>
            <w:tcW w:w="3253" w:type="dxa"/>
          </w:tcPr>
          <w:p w14:paraId="06A613B9" w14:textId="5FEE54E6"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Placebo</w:t>
            </w:r>
            <w:r>
              <w:rPr>
                <w:sz w:val="20"/>
                <w:szCs w:val="20"/>
              </w:rPr>
              <w:t xml:space="preserve"> </w:t>
            </w:r>
            <w:r w:rsidRPr="00892BA0">
              <w:rPr>
                <w:sz w:val="20"/>
                <w:szCs w:val="20"/>
              </w:rPr>
              <w:t xml:space="preserve">controlled ascending single dose study to evaluate the safety and PK of IV </w:t>
            </w:r>
            <w:r>
              <w:rPr>
                <w:sz w:val="20"/>
                <w:szCs w:val="20"/>
              </w:rPr>
              <w:t>d</w:t>
            </w:r>
            <w:r w:rsidRPr="00892BA0">
              <w:rPr>
                <w:sz w:val="20"/>
                <w:szCs w:val="20"/>
              </w:rPr>
              <w:t>ifelikefalin in haemodialysis patients</w:t>
            </w:r>
            <w:r>
              <w:rPr>
                <w:sz w:val="20"/>
                <w:szCs w:val="20"/>
              </w:rPr>
              <w:t>.</w:t>
            </w:r>
          </w:p>
        </w:tc>
      </w:tr>
      <w:tr w:rsidR="00892BA0" w14:paraId="2936ABEF"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78F421A2" w14:textId="77777777" w:rsidR="00892BA0" w:rsidRPr="00892BA0" w:rsidRDefault="00892BA0" w:rsidP="00892BA0">
            <w:pPr>
              <w:rPr>
                <w:sz w:val="20"/>
                <w:szCs w:val="20"/>
              </w:rPr>
            </w:pPr>
          </w:p>
        </w:tc>
        <w:tc>
          <w:tcPr>
            <w:tcW w:w="1842" w:type="dxa"/>
          </w:tcPr>
          <w:p w14:paraId="48BB3B49" w14:textId="3C93F327"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Renal impairment</w:t>
            </w:r>
          </w:p>
        </w:tc>
        <w:tc>
          <w:tcPr>
            <w:tcW w:w="2410" w:type="dxa"/>
          </w:tcPr>
          <w:p w14:paraId="51DE4E0A" w14:textId="5E96799E"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Study CR845-CLIN1005</w:t>
            </w:r>
          </w:p>
        </w:tc>
        <w:tc>
          <w:tcPr>
            <w:tcW w:w="3253" w:type="dxa"/>
          </w:tcPr>
          <w:p w14:paraId="5864AC66" w14:textId="553BE919"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szCs w:val="20"/>
              </w:rPr>
            </w:pPr>
            <w:r w:rsidRPr="00892BA0">
              <w:rPr>
                <w:sz w:val="20"/>
                <w:szCs w:val="20"/>
              </w:rPr>
              <w:t xml:space="preserve">Comparison the PK and safety of a single IV dose of </w:t>
            </w:r>
            <w:r>
              <w:rPr>
                <w:sz w:val="20"/>
                <w:szCs w:val="20"/>
              </w:rPr>
              <w:t>d</w:t>
            </w:r>
            <w:r w:rsidRPr="00892BA0">
              <w:rPr>
                <w:sz w:val="20"/>
                <w:szCs w:val="20"/>
              </w:rPr>
              <w:t>ifelikefalin in patients with renal impaired function to matched healthy control subjects</w:t>
            </w:r>
            <w:r>
              <w:rPr>
                <w:sz w:val="20"/>
                <w:szCs w:val="20"/>
              </w:rPr>
              <w:t>.</w:t>
            </w:r>
          </w:p>
        </w:tc>
      </w:tr>
      <w:tr w:rsidR="00892BA0" w14:paraId="7723CB2A"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663CECB7" w14:textId="77777777" w:rsidR="00892BA0" w:rsidRPr="00892BA0" w:rsidRDefault="00892BA0" w:rsidP="00892BA0">
            <w:pPr>
              <w:rPr>
                <w:sz w:val="20"/>
              </w:rPr>
            </w:pPr>
          </w:p>
        </w:tc>
        <w:tc>
          <w:tcPr>
            <w:tcW w:w="1842" w:type="dxa"/>
          </w:tcPr>
          <w:p w14:paraId="4A522742" w14:textId="3CDF2475"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Other special population</w:t>
            </w:r>
          </w:p>
        </w:tc>
        <w:tc>
          <w:tcPr>
            <w:tcW w:w="2410" w:type="dxa"/>
          </w:tcPr>
          <w:p w14:paraId="4CB8F5B4" w14:textId="6D226BE6"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Study CR845-CLIN1006</w:t>
            </w:r>
          </w:p>
        </w:tc>
        <w:tc>
          <w:tcPr>
            <w:tcW w:w="3253" w:type="dxa"/>
          </w:tcPr>
          <w:p w14:paraId="6EB6D55A" w14:textId="766A5359"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sidRPr="00892BA0">
              <w:rPr>
                <w:sz w:val="20"/>
              </w:rPr>
              <w:t xml:space="preserve">Relative abuse potential of IV </w:t>
            </w:r>
            <w:r>
              <w:rPr>
                <w:sz w:val="20"/>
              </w:rPr>
              <w:t>d</w:t>
            </w:r>
            <w:r w:rsidRPr="00892BA0">
              <w:rPr>
                <w:sz w:val="20"/>
              </w:rPr>
              <w:t>ifelikefalin in healthy, recreational polydrug users</w:t>
            </w:r>
            <w:r>
              <w:rPr>
                <w:sz w:val="20"/>
              </w:rPr>
              <w:t>.</w:t>
            </w:r>
          </w:p>
        </w:tc>
      </w:tr>
      <w:tr w:rsidR="00892BA0" w14:paraId="0EE91BE6" w14:textId="77777777" w:rsidTr="00892BA0">
        <w:tc>
          <w:tcPr>
            <w:cnfStyle w:val="001000000000" w:firstRow="0" w:lastRow="0" w:firstColumn="1" w:lastColumn="0" w:oddVBand="0" w:evenVBand="0" w:oddHBand="0" w:evenHBand="0" w:firstRowFirstColumn="0" w:firstRowLastColumn="0" w:lastRowFirstColumn="0" w:lastRowLastColumn="0"/>
            <w:tcW w:w="1555" w:type="dxa"/>
            <w:vMerge/>
          </w:tcPr>
          <w:p w14:paraId="3335F2A2" w14:textId="77777777" w:rsidR="00892BA0" w:rsidRPr="00892BA0" w:rsidRDefault="00892BA0" w:rsidP="00892BA0">
            <w:pPr>
              <w:rPr>
                <w:sz w:val="20"/>
              </w:rPr>
            </w:pPr>
          </w:p>
        </w:tc>
        <w:tc>
          <w:tcPr>
            <w:tcW w:w="1842" w:type="dxa"/>
          </w:tcPr>
          <w:p w14:paraId="37AA0BBE" w14:textId="602DDCB6"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Japanese</w:t>
            </w:r>
          </w:p>
        </w:tc>
        <w:tc>
          <w:tcPr>
            <w:tcW w:w="2410" w:type="dxa"/>
          </w:tcPr>
          <w:p w14:paraId="1191382A" w14:textId="7A29930C"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Study PR-13A9-P1-A</w:t>
            </w:r>
          </w:p>
        </w:tc>
        <w:tc>
          <w:tcPr>
            <w:tcW w:w="3253" w:type="dxa"/>
          </w:tcPr>
          <w:p w14:paraId="0B246952" w14:textId="680C736B"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sidRPr="00892BA0">
              <w:rPr>
                <w:sz w:val="20"/>
              </w:rPr>
              <w:t>PK, PD parameters and safety of difelikefalin in Japanese healthy male subjects</w:t>
            </w:r>
            <w:r>
              <w:rPr>
                <w:sz w:val="20"/>
              </w:rPr>
              <w:t>.</w:t>
            </w:r>
          </w:p>
        </w:tc>
      </w:tr>
      <w:tr w:rsidR="00892BA0" w14:paraId="12A3CE61" w14:textId="77777777" w:rsidTr="00892BA0">
        <w:tc>
          <w:tcPr>
            <w:cnfStyle w:val="001000000000" w:firstRow="0" w:lastRow="0" w:firstColumn="1" w:lastColumn="0" w:oddVBand="0" w:evenVBand="0" w:oddHBand="0" w:evenHBand="0" w:firstRowFirstColumn="0" w:firstRowLastColumn="0" w:lastRowFirstColumn="0" w:lastRowLastColumn="0"/>
            <w:tcW w:w="1555" w:type="dxa"/>
          </w:tcPr>
          <w:p w14:paraId="64A146C7" w14:textId="62839DD5" w:rsidR="00892BA0" w:rsidRPr="00892BA0" w:rsidRDefault="00892BA0" w:rsidP="00892BA0">
            <w:pPr>
              <w:rPr>
                <w:sz w:val="20"/>
              </w:rPr>
            </w:pPr>
            <w:r>
              <w:rPr>
                <w:sz w:val="20"/>
              </w:rPr>
              <w:t>Population PK analyses</w:t>
            </w:r>
          </w:p>
        </w:tc>
        <w:tc>
          <w:tcPr>
            <w:tcW w:w="1842" w:type="dxa"/>
          </w:tcPr>
          <w:p w14:paraId="1A253DA7" w14:textId="6C699C8D"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Healthy and target population</w:t>
            </w:r>
          </w:p>
        </w:tc>
        <w:tc>
          <w:tcPr>
            <w:tcW w:w="2410" w:type="dxa"/>
          </w:tcPr>
          <w:p w14:paraId="21BADEBA" w14:textId="69B50F9A"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Study </w:t>
            </w:r>
            <w:r w:rsidRPr="00892BA0">
              <w:rPr>
                <w:sz w:val="20"/>
              </w:rPr>
              <w:t>CTX0201F</w:t>
            </w:r>
          </w:p>
        </w:tc>
        <w:tc>
          <w:tcPr>
            <w:tcW w:w="3253" w:type="dxa"/>
          </w:tcPr>
          <w:p w14:paraId="18FF3BBF" w14:textId="40B4B3E7" w:rsidR="00892BA0" w:rsidRPr="00892BA0" w:rsidRDefault="00892BA0" w:rsidP="00892BA0">
            <w:pPr>
              <w:cnfStyle w:val="000000000000" w:firstRow="0" w:lastRow="0" w:firstColumn="0" w:lastColumn="0" w:oddVBand="0" w:evenVBand="0" w:oddHBand="0" w:evenHBand="0" w:firstRowFirstColumn="0" w:firstRowLastColumn="0" w:lastRowFirstColumn="0" w:lastRowLastColumn="0"/>
              <w:rPr>
                <w:sz w:val="20"/>
              </w:rPr>
            </w:pPr>
            <w:proofErr w:type="spellStart"/>
            <w:r w:rsidRPr="00892BA0">
              <w:rPr>
                <w:sz w:val="20"/>
              </w:rPr>
              <w:t>PopPK</w:t>
            </w:r>
            <w:proofErr w:type="spellEnd"/>
            <w:r w:rsidRPr="00892BA0">
              <w:rPr>
                <w:sz w:val="20"/>
              </w:rPr>
              <w:t xml:space="preserve"> modelling and simulation for </w:t>
            </w:r>
            <w:r>
              <w:rPr>
                <w:sz w:val="20"/>
              </w:rPr>
              <w:t>d</w:t>
            </w:r>
            <w:r w:rsidRPr="00892BA0">
              <w:rPr>
                <w:sz w:val="20"/>
              </w:rPr>
              <w:t>ifelikefalin</w:t>
            </w:r>
            <w:r>
              <w:rPr>
                <w:sz w:val="20"/>
              </w:rPr>
              <w:t>.</w:t>
            </w:r>
          </w:p>
        </w:tc>
      </w:tr>
    </w:tbl>
    <w:p w14:paraId="55686639" w14:textId="16DAFB17" w:rsidR="00892BA0" w:rsidRDefault="00892BA0" w:rsidP="00892BA0">
      <w:pPr>
        <w:pStyle w:val="TableDescription"/>
      </w:pPr>
      <w:r>
        <w:t xml:space="preserve">Abbreviations: </w:t>
      </w:r>
      <w:r w:rsidR="003C5373">
        <w:t>[</w:t>
      </w:r>
      <w:r w:rsidRPr="008535BC">
        <w:rPr>
          <w:vertAlign w:val="superscript"/>
        </w:rPr>
        <w:t>14</w:t>
      </w:r>
      <w:r>
        <w:t>C</w:t>
      </w:r>
      <w:r w:rsidR="003C5373">
        <w:t>]</w:t>
      </w:r>
      <w:r>
        <w:t xml:space="preserve"> = Carbon-14, ERSD = end stage renal disease, IV = intravenous, PD = pharmacodynamic(s), PK = pharmacokinetic(s), </w:t>
      </w:r>
      <w:proofErr w:type="spellStart"/>
      <w:r>
        <w:t>popPK</w:t>
      </w:r>
      <w:proofErr w:type="spellEnd"/>
      <w:r>
        <w:t xml:space="preserve"> = population pharmacokinetic(s).</w:t>
      </w:r>
    </w:p>
    <w:p w14:paraId="34BE8BB2" w14:textId="293F5BC1" w:rsidR="00892BA0" w:rsidRDefault="008535BC" w:rsidP="008535BC">
      <w:pPr>
        <w:pStyle w:val="Heading6"/>
      </w:pPr>
      <w:r>
        <w:t>Healthy subjects and patients on haemodialysis</w:t>
      </w:r>
    </w:p>
    <w:p w14:paraId="1FC6D0A7" w14:textId="32FFC306" w:rsidR="008535BC" w:rsidRDefault="008535BC" w:rsidP="008535BC">
      <w:pPr>
        <w:pStyle w:val="Heading7"/>
      </w:pPr>
      <w:r>
        <w:t>A</w:t>
      </w:r>
      <w:r w:rsidR="00680D46">
        <w:t>b</w:t>
      </w:r>
      <w:r>
        <w:t>sorption</w:t>
      </w:r>
    </w:p>
    <w:p w14:paraId="423C65A1" w14:textId="37A5ED80" w:rsidR="008535BC" w:rsidRPr="008535BC" w:rsidRDefault="008535BC" w:rsidP="001D7FE5">
      <w:r w:rsidRPr="008535BC">
        <w:t xml:space="preserve">Following a single intravenous </w:t>
      </w:r>
      <w:r w:rsidRPr="00A020D9">
        <w:t>(IV)</w:t>
      </w:r>
      <w:r w:rsidRPr="008535BC">
        <w:t xml:space="preserve"> dose of 0.5 </w:t>
      </w:r>
      <w:r w:rsidR="00A33AB5">
        <w:t>µ</w:t>
      </w:r>
      <w:r w:rsidRPr="008535BC">
        <w:t>g/kg difelikefalin (that is, the proposed</w:t>
      </w:r>
      <w:r w:rsidR="001D7FE5">
        <w:t xml:space="preserve"> </w:t>
      </w:r>
      <w:r w:rsidRPr="008535BC">
        <w:t>recommended dose) to 58 healthy subjects (16 males</w:t>
      </w:r>
      <w:r w:rsidR="00680D46">
        <w:t xml:space="preserve"> and</w:t>
      </w:r>
      <w:r w:rsidRPr="008535BC">
        <w:t xml:space="preserve"> 32 females), the median time to maximum conce</w:t>
      </w:r>
      <w:r w:rsidRPr="00A020D9">
        <w:t>ntration (</w:t>
      </w:r>
      <w:proofErr w:type="spellStart"/>
      <w:r w:rsidRPr="00A020D9">
        <w:t>T</w:t>
      </w:r>
      <w:r w:rsidRPr="00A020D9">
        <w:rPr>
          <w:vertAlign w:val="subscript"/>
        </w:rPr>
        <w:t>max</w:t>
      </w:r>
      <w:proofErr w:type="spellEnd"/>
      <w:r w:rsidRPr="00A020D9">
        <w:t>) was</w:t>
      </w:r>
      <w:r w:rsidRPr="008535BC">
        <w:t xml:space="preserve"> 0.08 hours, that is, 4.8 min</w:t>
      </w:r>
      <w:r>
        <w:t>utes</w:t>
      </w:r>
      <w:r w:rsidRPr="008535BC">
        <w:t>.</w:t>
      </w:r>
    </w:p>
    <w:p w14:paraId="53C8AC5B" w14:textId="317E95C5" w:rsidR="008535BC" w:rsidRDefault="008535BC" w:rsidP="001D7FE5">
      <w:r w:rsidRPr="008535BC">
        <w:t>In Japanese patients receiving haemodialysis and administered a single IV dose of 0.5</w:t>
      </w:r>
      <w:r>
        <w:t> </w:t>
      </w:r>
      <w:r w:rsidR="00A33AB5" w:rsidRPr="00A33AB5">
        <w:t>µ</w:t>
      </w:r>
      <w:r w:rsidRPr="008535BC">
        <w:t xml:space="preserve">g/kg, the median </w:t>
      </w:r>
      <w:proofErr w:type="spellStart"/>
      <w:r w:rsidRPr="008535BC">
        <w:t>T</w:t>
      </w:r>
      <w:r w:rsidRPr="008535BC">
        <w:rPr>
          <w:vertAlign w:val="subscript"/>
        </w:rPr>
        <w:t>max</w:t>
      </w:r>
      <w:proofErr w:type="spellEnd"/>
      <w:r w:rsidRPr="008535BC">
        <w:t xml:space="preserve"> was 0.083 h</w:t>
      </w:r>
      <w:r>
        <w:t>ours, that is</w:t>
      </w:r>
      <w:r w:rsidRPr="008535BC">
        <w:t>,</w:t>
      </w:r>
      <w:r>
        <w:t xml:space="preserve"> </w:t>
      </w:r>
      <w:r w:rsidRPr="008535BC">
        <w:t>4.98</w:t>
      </w:r>
      <w:r>
        <w:t xml:space="preserve"> </w:t>
      </w:r>
      <w:r w:rsidRPr="008535BC">
        <w:t>mi</w:t>
      </w:r>
      <w:r>
        <w:t>nutes</w:t>
      </w:r>
      <w:r w:rsidRPr="008535BC">
        <w:t>.</w:t>
      </w:r>
    </w:p>
    <w:p w14:paraId="28ECC50A" w14:textId="6B000D45" w:rsidR="00680D46" w:rsidRDefault="00680D46" w:rsidP="00E81FD4">
      <w:pPr>
        <w:pStyle w:val="Heading7"/>
      </w:pPr>
      <w:r w:rsidRPr="00680D46">
        <w:t>Bioavailability</w:t>
      </w:r>
    </w:p>
    <w:p w14:paraId="3D2DC3A8" w14:textId="77777777" w:rsidR="008535BC" w:rsidRDefault="008535BC" w:rsidP="00E81FD4">
      <w:pPr>
        <w:pStyle w:val="Heading8"/>
      </w:pPr>
      <w:r>
        <w:t>Dose proportionality</w:t>
      </w:r>
    </w:p>
    <w:p w14:paraId="6C23818B" w14:textId="0D7A1D46" w:rsidR="008535BC" w:rsidRPr="008535BC" w:rsidRDefault="008535BC" w:rsidP="001D7FE5">
      <w:r w:rsidRPr="008535BC">
        <w:t>Some studies have examined difelikefalin PKs following single ascending doses</w:t>
      </w:r>
      <w:r w:rsidR="001D7FE5">
        <w:t xml:space="preserve">. </w:t>
      </w:r>
      <w:r w:rsidRPr="008535BC">
        <w:t xml:space="preserve">For instance, in Study CR845-CLIN1001, the pharmacokinetics of </w:t>
      </w:r>
      <w:r>
        <w:t>d</w:t>
      </w:r>
      <w:r w:rsidRPr="008535BC">
        <w:t xml:space="preserve">ifelikefalin was examined following single IV doses, infused over </w:t>
      </w:r>
      <w:r w:rsidR="00E36472" w:rsidRPr="008535BC">
        <w:t>15 min</w:t>
      </w:r>
      <w:r w:rsidR="00E36472">
        <w:t>utes</w:t>
      </w:r>
      <w:r w:rsidRPr="008535BC">
        <w:t xml:space="preserve"> of 2, 4, 6, 8, 10, 16, 24 and 40</w:t>
      </w:r>
      <w:r>
        <w:t> </w:t>
      </w:r>
      <w:r w:rsidR="00A33AB5" w:rsidRPr="00A33AB5">
        <w:t>µ</w:t>
      </w:r>
      <w:r w:rsidRPr="008535BC">
        <w:t xml:space="preserve">g/kg to healthy subjects. The finding was that the </w:t>
      </w:r>
      <w:r>
        <w:t xml:space="preserve">maximum concentration </w:t>
      </w:r>
      <w:r w:rsidRPr="00A020D9">
        <w:t>(C</w:t>
      </w:r>
      <w:r w:rsidRPr="00A020D9">
        <w:rPr>
          <w:vertAlign w:val="subscript"/>
        </w:rPr>
        <w:t>max</w:t>
      </w:r>
      <w:r w:rsidRPr="00A020D9">
        <w:t>) and the area under the concentration-time curve (AUC) values for</w:t>
      </w:r>
      <w:r w:rsidRPr="008535BC">
        <w:t xml:space="preserve"> </w:t>
      </w:r>
      <w:r>
        <w:t>d</w:t>
      </w:r>
      <w:r w:rsidRPr="008535BC">
        <w:t xml:space="preserve">ifelikefalin increased linearly with dose, </w:t>
      </w:r>
      <w:r>
        <w:t>that is</w:t>
      </w:r>
      <w:r w:rsidRPr="008535BC">
        <w:t>, the slopes of the dose proportionality assessments were close to 1, across the dose range of 2 to 40</w:t>
      </w:r>
      <w:r>
        <w:t> </w:t>
      </w:r>
      <w:r w:rsidR="00A33AB5" w:rsidRPr="00A33AB5">
        <w:t>µ</w:t>
      </w:r>
      <w:r w:rsidRPr="008535BC">
        <w:t>g/kg.</w:t>
      </w:r>
    </w:p>
    <w:p w14:paraId="6B0AF86C" w14:textId="03EEA595" w:rsidR="008535BC" w:rsidRDefault="008535BC" w:rsidP="001D7FE5">
      <w:r w:rsidRPr="008535BC">
        <w:lastRenderedPageBreak/>
        <w:t>Similarly, in 36 healthy Japanese males administered single IV doses of 1, 3, 5, 10, 20 or 40</w:t>
      </w:r>
      <w:r>
        <w:t> </w:t>
      </w:r>
      <w:r w:rsidR="00A33AB5" w:rsidRPr="00A33AB5">
        <w:t>µ</w:t>
      </w:r>
      <w:r w:rsidRPr="008535BC">
        <w:t xml:space="preserve">g/kg </w:t>
      </w:r>
      <w:r>
        <w:t>d</w:t>
      </w:r>
      <w:r w:rsidRPr="008535BC">
        <w:t>ifelikefalin, C</w:t>
      </w:r>
      <w:r w:rsidRPr="00A020D9">
        <w:rPr>
          <w:vertAlign w:val="subscript"/>
        </w:rPr>
        <w:t>max</w:t>
      </w:r>
      <w:r w:rsidRPr="00A020D9">
        <w:t xml:space="preserve">, </w:t>
      </w:r>
      <w:r w:rsidR="00B27819">
        <w:t>AUC</w:t>
      </w:r>
      <w:r w:rsidRPr="00A020D9">
        <w:t xml:space="preserve"> from time zero to time of last quantifiable concentration (AUC</w:t>
      </w:r>
      <w:r w:rsidR="001D7FE5" w:rsidRPr="00A020D9">
        <w:rPr>
          <w:vertAlign w:val="subscript"/>
        </w:rPr>
        <w:t>0-</w:t>
      </w:r>
      <w:r w:rsidRPr="00A020D9">
        <w:rPr>
          <w:vertAlign w:val="subscript"/>
        </w:rPr>
        <w:t>last</w:t>
      </w:r>
      <w:r w:rsidRPr="00A020D9">
        <w:t xml:space="preserve">), and </w:t>
      </w:r>
      <w:r w:rsidR="00B27819">
        <w:t>AUC</w:t>
      </w:r>
      <w:r w:rsidRPr="00A020D9">
        <w:t xml:space="preserve"> from time zero to infinity (AUC</w:t>
      </w:r>
      <w:r w:rsidR="001D7FE5" w:rsidRPr="00A020D9">
        <w:rPr>
          <w:vertAlign w:val="subscript"/>
        </w:rPr>
        <w:t>0-</w:t>
      </w:r>
      <w:r w:rsidRPr="00A020D9">
        <w:rPr>
          <w:vertAlign w:val="subscript"/>
        </w:rPr>
        <w:t>inf</w:t>
      </w:r>
      <w:r w:rsidRPr="00A020D9">
        <w:t>) increased proportionally with dose. By contrast, following administration of 1, 3 or 6 </w:t>
      </w:r>
      <w:r w:rsidR="00A33AB5" w:rsidRPr="00A33AB5">
        <w:t>µ</w:t>
      </w:r>
      <w:r w:rsidRPr="008535BC">
        <w:t xml:space="preserve">g/kg </w:t>
      </w:r>
      <w:r>
        <w:t>d</w:t>
      </w:r>
      <w:r w:rsidRPr="008535BC">
        <w:t xml:space="preserve">ifelikefalin doses to </w:t>
      </w:r>
      <w:r w:rsidR="001F495E">
        <w:t>haemodialysis</w:t>
      </w:r>
      <w:r w:rsidRPr="008535BC">
        <w:t xml:space="preserve"> patients, increases in the latter PK parameters were slightly less than dose proportional.</w:t>
      </w:r>
    </w:p>
    <w:p w14:paraId="1EEB64B5" w14:textId="1A066206" w:rsidR="008535BC" w:rsidRDefault="008535BC" w:rsidP="001D7FE5">
      <w:r w:rsidRPr="008535BC">
        <w:t>There were increases in the PK parameters in healthy, recreational polydrug users administered either a single IV dose of 5 or 15</w:t>
      </w:r>
      <w:r>
        <w:t> </w:t>
      </w:r>
      <w:r w:rsidR="00A33AB5" w:rsidRPr="00A33AB5">
        <w:t>µ</w:t>
      </w:r>
      <w:r w:rsidRPr="008535BC">
        <w:t xml:space="preserve">g/kg </w:t>
      </w:r>
      <w:r>
        <w:t>d</w:t>
      </w:r>
      <w:r w:rsidRPr="008535BC">
        <w:t>ifelikefalin.</w:t>
      </w:r>
    </w:p>
    <w:p w14:paraId="07BA01D0" w14:textId="4BC73669" w:rsidR="008535BC" w:rsidRDefault="008535BC" w:rsidP="008535BC">
      <w:r w:rsidRPr="008535BC">
        <w:t xml:space="preserve">Overall, the studies suggest that following single doses, </w:t>
      </w:r>
      <w:r>
        <w:t>d</w:t>
      </w:r>
      <w:r w:rsidRPr="008535BC">
        <w:t>ifelikefalin exposure increases</w:t>
      </w:r>
      <w:r>
        <w:t xml:space="preserve"> </w:t>
      </w:r>
      <w:r w:rsidRPr="008535BC">
        <w:t>with dose in a dose</w:t>
      </w:r>
      <w:r>
        <w:t xml:space="preserve"> </w:t>
      </w:r>
      <w:r w:rsidRPr="008535BC">
        <w:t>proportional or slightly less than dose proportional manner</w:t>
      </w:r>
      <w:r>
        <w:t>.</w:t>
      </w:r>
    </w:p>
    <w:p w14:paraId="1854F870" w14:textId="77777777" w:rsidR="008535BC" w:rsidRPr="008535BC" w:rsidRDefault="008535BC" w:rsidP="00E81FD4">
      <w:pPr>
        <w:pStyle w:val="Heading8"/>
      </w:pPr>
      <w:r w:rsidRPr="008535BC">
        <w:t>Bioavailability during multiple dosing</w:t>
      </w:r>
    </w:p>
    <w:p w14:paraId="0ECB8FF8" w14:textId="7B238A1A" w:rsidR="008535BC" w:rsidRPr="008535BC" w:rsidRDefault="008535BC" w:rsidP="001D7FE5">
      <w:r w:rsidRPr="008535BC">
        <w:t xml:space="preserve">Part A of Study CR845-CLIN1004 </w:t>
      </w:r>
      <w:r w:rsidRPr="00A020D9">
        <w:t xml:space="preserve">evaluated difelikefalin PKs following multiple ascending IV doses in healthy subjects to identify the maximum tolerated dose under repeat dose conditions. In this study, increasing doses of difelikefalin were administered as an IV loading dose followed by IV maintenance doses, ranging </w:t>
      </w:r>
      <w:r w:rsidRPr="008535BC">
        <w:t>from 5 to 15</w:t>
      </w:r>
      <w:r>
        <w:t> </w:t>
      </w:r>
      <w:r w:rsidR="00A33AB5" w:rsidRPr="00A33AB5">
        <w:t>µ</w:t>
      </w:r>
      <w:r w:rsidRPr="008535BC">
        <w:t>g/kg repeated every 3</w:t>
      </w:r>
      <w:r w:rsidR="00A020D9">
        <w:t> </w:t>
      </w:r>
      <w:r w:rsidRPr="008535BC">
        <w:t>h</w:t>
      </w:r>
      <w:r>
        <w:t>ours</w:t>
      </w:r>
      <w:r w:rsidRPr="008535BC">
        <w:t xml:space="preserve"> for a period of 24</w:t>
      </w:r>
      <w:r w:rsidR="0090367A">
        <w:t> </w:t>
      </w:r>
      <w:r w:rsidRPr="008535BC">
        <w:t>h</w:t>
      </w:r>
      <w:r>
        <w:t>ours</w:t>
      </w:r>
      <w:r w:rsidRPr="008535BC">
        <w:t xml:space="preserve"> in </w:t>
      </w:r>
      <w:r w:rsidR="00A020D9">
        <w:t>six</w:t>
      </w:r>
      <w:r w:rsidRPr="008535BC">
        <w:t xml:space="preserve"> cohorts. Although, exposure in terms of PK parameters increased with </w:t>
      </w:r>
      <w:r w:rsidR="001F495E" w:rsidRPr="00A020D9">
        <w:t>maintenance dose</w:t>
      </w:r>
      <w:r w:rsidRPr="008535BC">
        <w:t xml:space="preserve"> in this study, dose proportionality could not be established; the mean accumulation ratios for </w:t>
      </w:r>
      <w:r>
        <w:t>d</w:t>
      </w:r>
      <w:r w:rsidRPr="008535BC">
        <w:t xml:space="preserve">ifelikefalin (dose normalised for the difference in </w:t>
      </w:r>
      <w:r w:rsidR="001F495E" w:rsidRPr="00A020D9">
        <w:t xml:space="preserve">loading </w:t>
      </w:r>
      <w:r w:rsidRPr="008535BC">
        <w:t xml:space="preserve">and </w:t>
      </w:r>
      <w:r w:rsidR="001F495E" w:rsidRPr="00A020D9">
        <w:t>maintenance dose</w:t>
      </w:r>
      <w:r w:rsidRPr="008535BC">
        <w:t>) ranged from 1.43 to 2.05. Steady</w:t>
      </w:r>
      <w:r>
        <w:t xml:space="preserve"> </w:t>
      </w:r>
      <w:r w:rsidRPr="008535BC">
        <w:t>state was achieved prior to the administration of the second infusion for all dose levels except for the 17</w:t>
      </w:r>
      <w:r>
        <w:t> </w:t>
      </w:r>
      <w:r w:rsidR="00A33AB5" w:rsidRPr="00A33AB5">
        <w:t>µ</w:t>
      </w:r>
      <w:r w:rsidRPr="008535BC">
        <w:t xml:space="preserve">g/kg </w:t>
      </w:r>
      <w:r w:rsidR="001F495E" w:rsidRPr="00A020D9">
        <w:t>loading dose</w:t>
      </w:r>
      <w:r w:rsidR="001F495E" w:rsidRPr="008535BC" w:rsidDel="001F495E">
        <w:t xml:space="preserve"> </w:t>
      </w:r>
      <w:r w:rsidRPr="008535BC">
        <w:t>followed by 13</w:t>
      </w:r>
      <w:r>
        <w:t> </w:t>
      </w:r>
      <w:r w:rsidR="00A33AB5" w:rsidRPr="00A33AB5">
        <w:t>µ</w:t>
      </w:r>
      <w:r w:rsidRPr="008535BC">
        <w:t xml:space="preserve">g/kg </w:t>
      </w:r>
      <w:r w:rsidR="001F495E" w:rsidRPr="00A020D9">
        <w:t>maintenance</w:t>
      </w:r>
      <w:r w:rsidRPr="008535BC">
        <w:t xml:space="preserve"> dose group</w:t>
      </w:r>
      <w:r w:rsidR="0090367A">
        <w:t>,</w:t>
      </w:r>
      <w:r w:rsidRPr="008535BC">
        <w:t xml:space="preserve"> where steady</w:t>
      </w:r>
      <w:r>
        <w:t xml:space="preserve"> </w:t>
      </w:r>
      <w:r w:rsidRPr="008535BC">
        <w:t>state was attained prior to the third infusion.</w:t>
      </w:r>
    </w:p>
    <w:p w14:paraId="325EE82C" w14:textId="40CA7EE0" w:rsidR="008535BC" w:rsidRPr="008535BC" w:rsidRDefault="008535BC" w:rsidP="001D7FE5">
      <w:r w:rsidRPr="008535BC">
        <w:t xml:space="preserve">Similarly, in Japanese </w:t>
      </w:r>
      <w:r w:rsidR="001F495E">
        <w:t>haemodialysis</w:t>
      </w:r>
      <w:r w:rsidRPr="008535BC">
        <w:t xml:space="preserve"> patients, who were administered 0.5 or 1</w:t>
      </w:r>
      <w:r>
        <w:t> </w:t>
      </w:r>
      <w:r w:rsidR="00A33AB5" w:rsidRPr="00A33AB5">
        <w:t>µ</w:t>
      </w:r>
      <w:r w:rsidRPr="008535BC">
        <w:t xml:space="preserve">g/kg </w:t>
      </w:r>
      <w:r>
        <w:t>d</w:t>
      </w:r>
      <w:r w:rsidRPr="008535BC">
        <w:t>ifelikefalin IV within 15 min following the completion of haemodialysis on Days 1, 3 and 5, the accumulation ratios of the study drug on Day 5 compared to those on Day</w:t>
      </w:r>
      <w:r>
        <w:t xml:space="preserve"> </w:t>
      </w:r>
      <w:r w:rsidRPr="008535BC">
        <w:t xml:space="preserve">1 for </w:t>
      </w:r>
      <w:r>
        <w:t>d</w:t>
      </w:r>
      <w:r w:rsidRPr="008535BC">
        <w:t>ifelikefalin C</w:t>
      </w:r>
      <w:r w:rsidRPr="008535BC">
        <w:rPr>
          <w:vertAlign w:val="subscript"/>
        </w:rPr>
        <w:t>max</w:t>
      </w:r>
      <w:r w:rsidRPr="008535BC">
        <w:t xml:space="preserve">, </w:t>
      </w:r>
      <w:r w:rsidR="0090367A">
        <w:t>AUC</w:t>
      </w:r>
      <w:r w:rsidRPr="008535BC">
        <w:t xml:space="preserve"> from </w:t>
      </w:r>
      <w:r w:rsidR="0090367A">
        <w:t xml:space="preserve">time </w:t>
      </w:r>
      <w:r w:rsidRPr="008535BC">
        <w:t>zero to 48 h</w:t>
      </w:r>
      <w:r>
        <w:t>ours</w:t>
      </w:r>
      <w:r w:rsidRPr="008535BC">
        <w:t xml:space="preserve"> and the lowest concentration of a drug just prior to the following dose</w:t>
      </w:r>
      <w:r w:rsidR="0090367A">
        <w:t>(</w:t>
      </w:r>
      <w:r w:rsidR="0090367A" w:rsidRPr="0090367A">
        <w:t>trough concentration</w:t>
      </w:r>
      <w:r w:rsidR="0090367A">
        <w:t>)</w:t>
      </w:r>
      <w:r w:rsidRPr="008535BC">
        <w:t xml:space="preserve"> ranged from 0.97 to 1.58. Although increases in </w:t>
      </w:r>
      <w:r>
        <w:t>concentration at time zero</w:t>
      </w:r>
      <w:r w:rsidRPr="008535BC">
        <w:t xml:space="preserve"> and C</w:t>
      </w:r>
      <w:r w:rsidRPr="008535BC">
        <w:rPr>
          <w:vertAlign w:val="subscript"/>
        </w:rPr>
        <w:t>max</w:t>
      </w:r>
      <w:r w:rsidRPr="008535BC">
        <w:t xml:space="preserve"> were slightly less than dose proportional following the third dose of </w:t>
      </w:r>
      <w:r>
        <w:t>d</w:t>
      </w:r>
      <w:r w:rsidRPr="008535BC">
        <w:t>ifelikefalin, increases in AUC were proportional with dose.</w:t>
      </w:r>
    </w:p>
    <w:p w14:paraId="347F38C8" w14:textId="3AEF6F25" w:rsidR="008535BC" w:rsidRDefault="008535BC" w:rsidP="001D7FE5">
      <w:r w:rsidRPr="008535BC">
        <w:t xml:space="preserve">In the repeated dose component of Study PR-13A9-P1-A, </w:t>
      </w:r>
      <w:r>
        <w:t>d</w:t>
      </w:r>
      <w:r w:rsidRPr="008535BC">
        <w:t>ifelikefalin was administered at doses of 1, 3, 5, 10 or 20</w:t>
      </w:r>
      <w:r>
        <w:t> </w:t>
      </w:r>
      <w:r w:rsidR="00A33AB5" w:rsidRPr="00A33AB5">
        <w:t>µ</w:t>
      </w:r>
      <w:r w:rsidRPr="008535BC">
        <w:t>g/kg every 3 h</w:t>
      </w:r>
      <w:r>
        <w:t>ours</w:t>
      </w:r>
      <w:r w:rsidRPr="008535BC">
        <w:t>, for 21 h</w:t>
      </w:r>
      <w:r>
        <w:t>ours</w:t>
      </w:r>
      <w:r w:rsidRPr="008535BC">
        <w:t xml:space="preserve"> for a total </w:t>
      </w:r>
      <w:r>
        <w:t>eight</w:t>
      </w:r>
      <w:r w:rsidRPr="008535BC">
        <w:t xml:space="preserve"> doses. In this study, increases in C</w:t>
      </w:r>
      <w:r w:rsidRPr="008535BC">
        <w:rPr>
          <w:vertAlign w:val="subscript"/>
        </w:rPr>
        <w:t>max</w:t>
      </w:r>
      <w:r w:rsidRPr="008535BC">
        <w:t xml:space="preserve"> and AUC were dose proportional following the first and last administrations of study drug.</w:t>
      </w:r>
    </w:p>
    <w:p w14:paraId="22334E3E" w14:textId="44726FEE" w:rsidR="008535BC" w:rsidRDefault="008535BC" w:rsidP="00423ED8">
      <w:r>
        <w:t xml:space="preserve">The Delegate noted that dose proportionality is not linear in </w:t>
      </w:r>
      <w:r w:rsidR="001F495E">
        <w:t>haemodialysis</w:t>
      </w:r>
      <w:r>
        <w:t xml:space="preserve"> patients, following single dose</w:t>
      </w:r>
      <w:r w:rsidR="00423ED8">
        <w:t xml:space="preserve"> </w:t>
      </w:r>
      <w:r>
        <w:t>administration</w:t>
      </w:r>
      <w:r w:rsidR="00A33AB5">
        <w:t>. W</w:t>
      </w:r>
      <w:r w:rsidR="001D7FE5">
        <w:t>hile PK parameters of C</w:t>
      </w:r>
      <w:r w:rsidR="001D7FE5">
        <w:rPr>
          <w:vertAlign w:val="subscript"/>
        </w:rPr>
        <w:t>max</w:t>
      </w:r>
      <w:r w:rsidR="001D7FE5">
        <w:t xml:space="preserve"> and AUC might increase with multiple dosing in both healthy and </w:t>
      </w:r>
      <w:r w:rsidR="001F495E">
        <w:t>haemodialysis</w:t>
      </w:r>
      <w:r w:rsidR="001D7FE5">
        <w:t xml:space="preserve"> patients, dose proportionality is not strictly established in both situations, especially for C</w:t>
      </w:r>
      <w:r w:rsidR="001D7FE5">
        <w:rPr>
          <w:vertAlign w:val="subscript"/>
        </w:rPr>
        <w:t>max</w:t>
      </w:r>
      <w:r w:rsidR="001D7FE5">
        <w:t xml:space="preserve">. Although time to reach steady state seems to occur soon after the second dose in both healthy subjects and </w:t>
      </w:r>
      <w:r w:rsidR="001F495E">
        <w:t>haemodialysis</w:t>
      </w:r>
      <w:r w:rsidR="001D7FE5">
        <w:t xml:space="preserve"> patients, there is potential for drug accumulation, the latter being dependent on the ratio of the </w:t>
      </w:r>
      <w:r w:rsidR="001F495E" w:rsidRPr="00A020D9">
        <w:t>loading dose</w:t>
      </w:r>
      <w:r w:rsidR="001D7FE5">
        <w:t xml:space="preserve"> to </w:t>
      </w:r>
      <w:r w:rsidR="001F495E" w:rsidRPr="00A020D9">
        <w:t>maintenance dose</w:t>
      </w:r>
      <w:r w:rsidR="001D7FE5">
        <w:t>.</w:t>
      </w:r>
    </w:p>
    <w:p w14:paraId="1EACDB0D" w14:textId="5BD77F6B" w:rsidR="001D7FE5" w:rsidRDefault="001D7FE5" w:rsidP="001D7FE5">
      <w:pPr>
        <w:pStyle w:val="Heading7"/>
      </w:pPr>
      <w:r w:rsidRPr="001D7FE5">
        <w:t>Distribution</w:t>
      </w:r>
    </w:p>
    <w:p w14:paraId="75400E19" w14:textId="3BD46DF0" w:rsidR="00680D46" w:rsidRPr="00680D46" w:rsidRDefault="00680D46" w:rsidP="00E81FD4">
      <w:pPr>
        <w:pStyle w:val="Heading8"/>
      </w:pPr>
      <w:r w:rsidRPr="00680D46">
        <w:t>Volume of distribution</w:t>
      </w:r>
    </w:p>
    <w:p w14:paraId="685C556A" w14:textId="3A1D79B8" w:rsidR="001D7FE5" w:rsidRPr="001D7FE5" w:rsidRDefault="001D7FE5" w:rsidP="001D7FE5">
      <w:r w:rsidRPr="001D7FE5">
        <w:t>Following a single IV dose of 0.5</w:t>
      </w:r>
      <w:r>
        <w:t> </w:t>
      </w:r>
      <w:r w:rsidR="00A33AB5">
        <w:t>µ</w:t>
      </w:r>
      <w:r w:rsidRPr="001D7FE5">
        <w:t xml:space="preserve">g/kg </w:t>
      </w:r>
      <w:r>
        <w:t>d</w:t>
      </w:r>
      <w:r w:rsidRPr="001D7FE5">
        <w:t>ifelikefalin to healthy subjects, the geometric mean volume of distribution (</w:t>
      </w:r>
      <w:proofErr w:type="spellStart"/>
      <w:r w:rsidRPr="00A020D9">
        <w:t>Vd</w:t>
      </w:r>
      <w:proofErr w:type="spellEnd"/>
      <w:r w:rsidRPr="001D7FE5">
        <w:t>) was 0.169</w:t>
      </w:r>
      <w:r>
        <w:t> </w:t>
      </w:r>
      <w:r w:rsidRPr="001D7FE5">
        <w:t>L/kg or approximately 11.8</w:t>
      </w:r>
      <w:r>
        <w:t> </w:t>
      </w:r>
      <w:r w:rsidRPr="001D7FE5">
        <w:t>L for a 7</w:t>
      </w:r>
      <w:r>
        <w:t>0 </w:t>
      </w:r>
      <w:r w:rsidRPr="001D7FE5">
        <w:t>kg subject.</w:t>
      </w:r>
    </w:p>
    <w:p w14:paraId="3945BF97" w14:textId="16808F91" w:rsidR="001D7FE5" w:rsidRPr="001D7FE5" w:rsidRDefault="001D7FE5" w:rsidP="001D7FE5">
      <w:r w:rsidRPr="001D7FE5">
        <w:t xml:space="preserve">The corresponding values in Japanese </w:t>
      </w:r>
      <w:r w:rsidR="001F495E">
        <w:t>haemodialysis</w:t>
      </w:r>
      <w:r w:rsidRPr="001D7FE5">
        <w:t xml:space="preserve"> patients after the </w:t>
      </w:r>
      <w:r>
        <w:t>third</w:t>
      </w:r>
      <w:r w:rsidRPr="001D7FE5">
        <w:t xml:space="preserve"> IV dose of 0.5</w:t>
      </w:r>
      <w:r>
        <w:t> </w:t>
      </w:r>
      <w:r w:rsidR="00A33AB5">
        <w:t>µ</w:t>
      </w:r>
      <w:r w:rsidRPr="001D7FE5">
        <w:t xml:space="preserve">g/kg </w:t>
      </w:r>
      <w:r>
        <w:t>d</w:t>
      </w:r>
      <w:r w:rsidRPr="001D7FE5">
        <w:t>ifelikefalin following dialysis was 0.341</w:t>
      </w:r>
      <w:r>
        <w:t> </w:t>
      </w:r>
      <w:r w:rsidRPr="001D7FE5">
        <w:t>L/kg or approximately 23.9</w:t>
      </w:r>
      <w:r>
        <w:t> </w:t>
      </w:r>
      <w:r w:rsidRPr="001D7FE5">
        <w:t>L for a 70</w:t>
      </w:r>
      <w:r>
        <w:t> </w:t>
      </w:r>
      <w:r w:rsidRPr="001D7FE5">
        <w:t xml:space="preserve">kg </w:t>
      </w:r>
      <w:r w:rsidR="001F495E">
        <w:t>haemodialysis</w:t>
      </w:r>
      <w:r w:rsidRPr="001D7FE5">
        <w:t xml:space="preserve"> patient.</w:t>
      </w:r>
    </w:p>
    <w:p w14:paraId="122354FD" w14:textId="6B42D440" w:rsidR="001D7FE5" w:rsidRDefault="00A33AB5" w:rsidP="001D7FE5">
      <w:r>
        <w:lastRenderedPageBreak/>
        <w:t>For</w:t>
      </w:r>
      <w:r w:rsidR="001D7FE5" w:rsidRPr="001D7FE5">
        <w:t xml:space="preserve"> comparison</w:t>
      </w:r>
      <w:r>
        <w:t>,</w:t>
      </w:r>
      <w:r w:rsidR="001D7FE5">
        <w:t xml:space="preserve"> </w:t>
      </w:r>
      <w:r w:rsidRPr="001D7FE5">
        <w:t xml:space="preserve">the </w:t>
      </w:r>
      <w:proofErr w:type="spellStart"/>
      <w:r w:rsidRPr="001D7FE5">
        <w:t>Vd</w:t>
      </w:r>
      <w:proofErr w:type="spellEnd"/>
      <w:r w:rsidRPr="001D7FE5">
        <w:t xml:space="preserve"> was 18</w:t>
      </w:r>
      <w:r>
        <w:t> </w:t>
      </w:r>
      <w:r w:rsidRPr="001D7FE5">
        <w:t xml:space="preserve">L in healthy subjects </w:t>
      </w:r>
      <w:r>
        <w:t>administered</w:t>
      </w:r>
      <w:r w:rsidRPr="001D7FE5">
        <w:t xml:space="preserve"> </w:t>
      </w:r>
      <w:r w:rsidR="001D7FE5" w:rsidRPr="001D7FE5">
        <w:t>a single 3</w:t>
      </w:r>
      <w:r w:rsidR="001D7FE5">
        <w:t> </w:t>
      </w:r>
      <w:r>
        <w:t>µ</w:t>
      </w:r>
      <w:r w:rsidR="001D7FE5" w:rsidRPr="001D7FE5">
        <w:t xml:space="preserve">g/kg IV </w:t>
      </w:r>
      <w:r>
        <w:t>dose,</w:t>
      </w:r>
      <w:r w:rsidR="001D7FE5" w:rsidRPr="001D7FE5">
        <w:t xml:space="preserve"> </w:t>
      </w:r>
      <w:r>
        <w:t xml:space="preserve">whereas </w:t>
      </w:r>
      <w:r w:rsidRPr="001D7FE5">
        <w:t>in subjects with mild to severe renal failure</w:t>
      </w:r>
      <w:r>
        <w:t xml:space="preserve"> </w:t>
      </w:r>
      <w:proofErr w:type="spellStart"/>
      <w:r w:rsidRPr="001D7FE5">
        <w:t>Vd</w:t>
      </w:r>
      <w:proofErr w:type="spellEnd"/>
      <w:r>
        <w:t xml:space="preserve"> </w:t>
      </w:r>
      <w:r w:rsidR="001D7FE5" w:rsidRPr="001D7FE5">
        <w:t>ranged from 17.1 to 18.8</w:t>
      </w:r>
      <w:r w:rsidR="001D7FE5">
        <w:t> </w:t>
      </w:r>
      <w:r w:rsidR="001D7FE5" w:rsidRPr="001D7FE5">
        <w:t>L.</w:t>
      </w:r>
    </w:p>
    <w:p w14:paraId="03483F2D" w14:textId="5AFD1A43" w:rsidR="00E81FD4" w:rsidRDefault="001D7FE5" w:rsidP="00E81FD4">
      <w:r w:rsidRPr="001D7FE5">
        <w:t xml:space="preserve">The Delegate noted that capacitance, as mirrored by </w:t>
      </w:r>
      <w:proofErr w:type="spellStart"/>
      <w:r w:rsidRPr="001D7FE5">
        <w:t>Vd</w:t>
      </w:r>
      <w:proofErr w:type="spellEnd"/>
      <w:r w:rsidRPr="001D7FE5">
        <w:t xml:space="preserve"> for</w:t>
      </w:r>
      <w:r>
        <w:t xml:space="preserve"> d</w:t>
      </w:r>
      <w:r w:rsidRPr="001D7FE5">
        <w:t xml:space="preserve">ifelikefalin, can go up with repeat dosing in CKD </w:t>
      </w:r>
      <w:r w:rsidR="001F495E">
        <w:t>haemodialysis</w:t>
      </w:r>
      <w:r w:rsidRPr="001D7FE5">
        <w:t xml:space="preserve"> subjects. The latter</w:t>
      </w:r>
      <w:r>
        <w:t xml:space="preserve"> </w:t>
      </w:r>
      <w:r w:rsidRPr="001D7FE5">
        <w:t xml:space="preserve">will influence the half-life of </w:t>
      </w:r>
      <w:r>
        <w:t>d</w:t>
      </w:r>
      <w:r w:rsidRPr="001D7FE5">
        <w:t>ifelikefalin and the dosing interval.</w:t>
      </w:r>
      <w:r w:rsidR="00E7128A" w:rsidRPr="00E7128A">
        <w:t xml:space="preserve"> </w:t>
      </w:r>
      <w:r w:rsidR="00E7128A">
        <w:t xml:space="preserve">The Delegate requested the sponsor to state how the above had been factored in when calculating the proposed doing interval in its </w:t>
      </w:r>
      <w:r w:rsidR="00E81FD4">
        <w:t>p</w:t>
      </w:r>
      <w:r w:rsidR="00E7128A">
        <w:t xml:space="preserve">re-ACM </w:t>
      </w:r>
      <w:r w:rsidR="00E81FD4">
        <w:t>response.</w:t>
      </w:r>
    </w:p>
    <w:p w14:paraId="795C0AF5" w14:textId="4E85EFAA" w:rsidR="001D7FE5" w:rsidRPr="001D7FE5" w:rsidRDefault="001D7FE5" w:rsidP="00E81FD4">
      <w:pPr>
        <w:pStyle w:val="Heading8"/>
      </w:pPr>
      <w:r w:rsidRPr="001D7FE5">
        <w:t>Plasma protein binding</w:t>
      </w:r>
    </w:p>
    <w:p w14:paraId="2F4E2194" w14:textId="3148E4D1" w:rsidR="001D7FE5" w:rsidRDefault="001D7FE5" w:rsidP="001D7FE5">
      <w:r w:rsidRPr="001D7FE5">
        <w:t xml:space="preserve">In subjects with normal renal function and in those with mild, </w:t>
      </w:r>
      <w:proofErr w:type="gramStart"/>
      <w:r w:rsidRPr="001D7FE5">
        <w:t>moderate</w:t>
      </w:r>
      <w:proofErr w:type="gramEnd"/>
      <w:r w:rsidRPr="001D7FE5">
        <w:t xml:space="preserve"> and severe renal impairment, </w:t>
      </w:r>
      <w:r>
        <w:t>d</w:t>
      </w:r>
      <w:r w:rsidRPr="001D7FE5">
        <w:t xml:space="preserve">ifelikefalin binding to the proteins in human plasma was low to moderate, ranging from 24 to 32% across the four groups. Therefore, the degree of renal impairment did not appear to have a meaningful effect on the degree of </w:t>
      </w:r>
      <w:r>
        <w:t>d</w:t>
      </w:r>
      <w:r w:rsidRPr="001D7FE5">
        <w:t>ifelikefalin protein binding.</w:t>
      </w:r>
      <w:r w:rsidR="00E7128A">
        <w:t xml:space="preserve"> </w:t>
      </w:r>
      <w:r w:rsidRPr="001D7FE5">
        <w:t xml:space="preserve">Similarly, in </w:t>
      </w:r>
      <w:r w:rsidR="001F495E">
        <w:t>haemodialysis</w:t>
      </w:r>
      <w:r w:rsidRPr="001D7FE5">
        <w:t xml:space="preserve"> patients, administered 1 to 6</w:t>
      </w:r>
      <w:r>
        <w:t> </w:t>
      </w:r>
      <w:r w:rsidR="00A33AB5">
        <w:t>µ</w:t>
      </w:r>
      <w:r w:rsidRPr="001D7FE5">
        <w:t xml:space="preserve">g/kg IV </w:t>
      </w:r>
      <w:r>
        <w:t>d</w:t>
      </w:r>
      <w:r w:rsidRPr="001D7FE5">
        <w:t>ifelikefalin, binding to protein in human plasma ranged from 23</w:t>
      </w:r>
      <w:r w:rsidR="00E7128A">
        <w:t>%</w:t>
      </w:r>
      <w:r w:rsidRPr="001D7FE5">
        <w:t xml:space="preserve"> to 28%.</w:t>
      </w:r>
    </w:p>
    <w:p w14:paraId="2E7C1B26" w14:textId="01015876" w:rsidR="001D7FE5" w:rsidRDefault="001D7FE5" w:rsidP="001D7FE5">
      <w:r>
        <w:t xml:space="preserve">The Delegate noted that difelikefalin plasma protein binding is relatively low without relevance to the degree of kidney function, including CKD. </w:t>
      </w:r>
      <w:r w:rsidR="00A020D9">
        <w:t>The c</w:t>
      </w:r>
      <w:r>
        <w:t>linical implication is that it will be relatively cleared from plasma at dialysis.</w:t>
      </w:r>
    </w:p>
    <w:p w14:paraId="39A1ABD1" w14:textId="77777777" w:rsidR="001D7FE5" w:rsidRPr="001D7FE5" w:rsidRDefault="001D7FE5" w:rsidP="00E81FD4">
      <w:pPr>
        <w:pStyle w:val="Heading8"/>
      </w:pPr>
      <w:r w:rsidRPr="001D7FE5">
        <w:t>Erythrocyte distribution</w:t>
      </w:r>
    </w:p>
    <w:p w14:paraId="668E2E85" w14:textId="1B575B3E" w:rsidR="001D7FE5" w:rsidRDefault="001D7FE5" w:rsidP="001D7FE5">
      <w:r w:rsidRPr="001D7FE5">
        <w:t>In Study CR845-100302, for patients with end stage renal disease (</w:t>
      </w:r>
      <w:r w:rsidRPr="00A020D9">
        <w:t>ESRD</w:t>
      </w:r>
      <w:r w:rsidRPr="001D7FE5">
        <w:t xml:space="preserve">) on </w:t>
      </w:r>
      <w:r w:rsidR="001F495E">
        <w:t>haemodialysis</w:t>
      </w:r>
      <w:r w:rsidRPr="001D7FE5">
        <w:t xml:space="preserve"> and healthy subjects, the total radioactivity blood to plasma ratios, based on mean </w:t>
      </w:r>
      <w:r>
        <w:t>a</w:t>
      </w:r>
      <w:r w:rsidRPr="001D7FE5">
        <w:t>rea under concentration-time curve from time zero to the time of last measurable concentration values, were 0.62 and 0.55, respectively.</w:t>
      </w:r>
    </w:p>
    <w:p w14:paraId="5A392AB1" w14:textId="77777777" w:rsidR="001D7FE5" w:rsidRPr="001D7FE5" w:rsidRDefault="001D7FE5" w:rsidP="00E81FD4">
      <w:pPr>
        <w:pStyle w:val="Heading8"/>
      </w:pPr>
      <w:r w:rsidRPr="001D7FE5">
        <w:t>Tissue distribution</w:t>
      </w:r>
    </w:p>
    <w:p w14:paraId="3521A71C" w14:textId="23C97873" w:rsidR="001D7FE5" w:rsidRPr="001D7FE5" w:rsidRDefault="001D7FE5" w:rsidP="001D7FE5">
      <w:r w:rsidRPr="001D7FE5">
        <w:t xml:space="preserve">The low </w:t>
      </w:r>
      <w:proofErr w:type="spellStart"/>
      <w:r w:rsidRPr="001D7FE5">
        <w:t>Vd</w:t>
      </w:r>
      <w:proofErr w:type="spellEnd"/>
      <w:r w:rsidRPr="001D7FE5">
        <w:t xml:space="preserve"> suggests that </w:t>
      </w:r>
      <w:r>
        <w:t>d</w:t>
      </w:r>
      <w:r w:rsidRPr="001D7FE5">
        <w:t>ifelikefalin is not distributed to the tissues.</w:t>
      </w:r>
      <w:r>
        <w:t xml:space="preserve"> </w:t>
      </w:r>
      <w:r w:rsidRPr="001D7FE5">
        <w:t xml:space="preserve">Moreover, </w:t>
      </w:r>
      <w:r w:rsidRPr="001D7FE5">
        <w:rPr>
          <w:i/>
          <w:iCs/>
        </w:rPr>
        <w:t>in vitro</w:t>
      </w:r>
      <w:r w:rsidRPr="001D7FE5">
        <w:t xml:space="preserve"> autoradiographic studies in nonhuman primate tissue indicate that </w:t>
      </w:r>
      <w:r>
        <w:t>d</w:t>
      </w:r>
      <w:r w:rsidRPr="001D7FE5">
        <w:t>ifelikefalin is:</w:t>
      </w:r>
    </w:p>
    <w:p w14:paraId="1D486799" w14:textId="7DDA26B9" w:rsidR="001D7FE5" w:rsidRPr="001D7FE5" w:rsidRDefault="006472A0" w:rsidP="009E4B11">
      <w:pPr>
        <w:pStyle w:val="ListBullet"/>
      </w:pPr>
      <w:r>
        <w:t>h</w:t>
      </w:r>
      <w:r w:rsidR="001D7FE5" w:rsidRPr="001D7FE5">
        <w:t>ighly</w:t>
      </w:r>
      <w:r>
        <w:t xml:space="preserve"> </w:t>
      </w:r>
      <w:r w:rsidRPr="001D7FE5">
        <w:t>distributed</w:t>
      </w:r>
      <w:r w:rsidR="001D7FE5" w:rsidRPr="001D7FE5">
        <w:t xml:space="preserve"> to the blood, intestinal contents, kidney and </w:t>
      </w:r>
      <w:proofErr w:type="spellStart"/>
      <w:r w:rsidR="001D7FE5" w:rsidRPr="001D7FE5">
        <w:t>intracystic</w:t>
      </w:r>
      <w:proofErr w:type="spellEnd"/>
      <w:r w:rsidR="001D7FE5" w:rsidRPr="001D7FE5">
        <w:t xml:space="preserve"> urine, liver, </w:t>
      </w:r>
      <w:proofErr w:type="gramStart"/>
      <w:r w:rsidR="001D7FE5" w:rsidRPr="001D7FE5">
        <w:t>lung</w:t>
      </w:r>
      <w:proofErr w:type="gramEnd"/>
      <w:r w:rsidR="001D7FE5" w:rsidRPr="001D7FE5">
        <w:t xml:space="preserve"> and</w:t>
      </w:r>
      <w:r w:rsidR="001D7FE5">
        <w:t xml:space="preserve"> </w:t>
      </w:r>
      <w:r w:rsidR="001D7FE5" w:rsidRPr="001D7FE5">
        <w:t>skin</w:t>
      </w:r>
    </w:p>
    <w:p w14:paraId="0C37A836" w14:textId="20BC6BDA" w:rsidR="001D7FE5" w:rsidRPr="001D7FE5" w:rsidRDefault="006472A0" w:rsidP="009E4B11">
      <w:pPr>
        <w:pStyle w:val="ListBullet"/>
      </w:pPr>
      <w:r>
        <w:t>m</w:t>
      </w:r>
      <w:r w:rsidR="001D7FE5" w:rsidRPr="001D7FE5">
        <w:t xml:space="preserve">oderately </w:t>
      </w:r>
      <w:r w:rsidRPr="001D7FE5">
        <w:t xml:space="preserve">distributed </w:t>
      </w:r>
      <w:r w:rsidR="001D7FE5" w:rsidRPr="001D7FE5">
        <w:t>to the adrenal gland, bone marrow, heart, pancreas, skeletal muscle,</w:t>
      </w:r>
      <w:r w:rsidR="001D7FE5">
        <w:t xml:space="preserve"> </w:t>
      </w:r>
      <w:r w:rsidR="001D7FE5" w:rsidRPr="001D7FE5">
        <w:t xml:space="preserve">spleen, </w:t>
      </w:r>
      <w:proofErr w:type="gramStart"/>
      <w:r w:rsidR="001D7FE5" w:rsidRPr="001D7FE5">
        <w:t>testis</w:t>
      </w:r>
      <w:proofErr w:type="gramEnd"/>
      <w:r w:rsidR="001D7FE5" w:rsidRPr="001D7FE5">
        <w:t xml:space="preserve"> and thyroid gland</w:t>
      </w:r>
    </w:p>
    <w:p w14:paraId="0DF1179A" w14:textId="65CD8D91" w:rsidR="001D7FE5" w:rsidRPr="001D7FE5" w:rsidRDefault="006472A0" w:rsidP="009E4B11">
      <w:pPr>
        <w:pStyle w:val="ListBullet"/>
      </w:pPr>
      <w:r>
        <w:t>p</w:t>
      </w:r>
      <w:r w:rsidR="001D7FE5" w:rsidRPr="001D7FE5">
        <w:t xml:space="preserve">oorly distributed to the other tissues including cerebrum, cerebellum, </w:t>
      </w:r>
      <w:proofErr w:type="gramStart"/>
      <w:r w:rsidR="001D7FE5" w:rsidRPr="001D7FE5">
        <w:t>eyeball</w:t>
      </w:r>
      <w:proofErr w:type="gramEnd"/>
      <w:r w:rsidR="001D7FE5" w:rsidRPr="001D7FE5">
        <w:t xml:space="preserve"> and</w:t>
      </w:r>
      <w:r w:rsidR="001D7FE5">
        <w:t xml:space="preserve"> </w:t>
      </w:r>
      <w:r w:rsidR="001D7FE5" w:rsidRPr="001D7FE5">
        <w:t>spinal cord.</w:t>
      </w:r>
    </w:p>
    <w:p w14:paraId="752327F6" w14:textId="72B62684" w:rsidR="001D7FE5" w:rsidRPr="001D7FE5" w:rsidRDefault="001D7FE5" w:rsidP="001D7FE5">
      <w:pPr>
        <w:pStyle w:val="Heading7"/>
      </w:pPr>
      <w:r w:rsidRPr="001D7FE5">
        <w:t>Metabolism</w:t>
      </w:r>
    </w:p>
    <w:p w14:paraId="6300A682" w14:textId="594882E1" w:rsidR="00EA20ED" w:rsidRDefault="00EA20ED" w:rsidP="00EA20ED">
      <w:pPr>
        <w:pStyle w:val="Heading8"/>
        <w:tabs>
          <w:tab w:val="left" w:pos="6240"/>
        </w:tabs>
      </w:pPr>
      <w:r>
        <w:t>Sites and mechanisms/enzyme systems involved with metabolism</w:t>
      </w:r>
    </w:p>
    <w:p w14:paraId="75D476B6" w14:textId="4FF3C9EA" w:rsidR="001D7FE5" w:rsidRPr="001D7FE5" w:rsidRDefault="001D7FE5" w:rsidP="001D7FE5">
      <w:r w:rsidRPr="001D7FE5">
        <w:t>Study CR845</w:t>
      </w:r>
      <w:r>
        <w:noBreakHyphen/>
      </w:r>
      <w:r w:rsidRPr="001D7FE5">
        <w:t>100302</w:t>
      </w:r>
      <w:r>
        <w:t xml:space="preserve"> </w:t>
      </w:r>
      <w:r w:rsidRPr="001D7FE5">
        <w:t>indicates that</w:t>
      </w:r>
      <w:r>
        <w:t xml:space="preserve"> d</w:t>
      </w:r>
      <w:r w:rsidRPr="001D7FE5">
        <w:t xml:space="preserve">ifelikefalin undergoes limited metabolism, as it accounted for </w:t>
      </w:r>
      <w:r>
        <w:t xml:space="preserve">greater than </w:t>
      </w:r>
      <w:r w:rsidRPr="001D7FE5">
        <w:t xml:space="preserve">99% </w:t>
      </w:r>
      <w:r>
        <w:t>(that is,</w:t>
      </w:r>
      <w:r w:rsidRPr="001D7FE5">
        <w:t xml:space="preserve"> un</w:t>
      </w:r>
      <w:r w:rsidR="006472A0">
        <w:t>-</w:t>
      </w:r>
      <w:r w:rsidRPr="001D7FE5">
        <w:t>metaboli</w:t>
      </w:r>
      <w:r w:rsidR="00A020D9">
        <w:t>s</w:t>
      </w:r>
      <w:r w:rsidRPr="001D7FE5">
        <w:t xml:space="preserve">ed/unchanged </w:t>
      </w:r>
      <w:r>
        <w:t>d</w:t>
      </w:r>
      <w:r w:rsidRPr="001D7FE5">
        <w:t>ifelikefalin</w:t>
      </w:r>
      <w:r>
        <w:t>)</w:t>
      </w:r>
      <w:r w:rsidRPr="001D7FE5">
        <w:t xml:space="preserve"> of the total systemic exposure in both subjects with normal renal function and, patients with ESRD undergoing </w:t>
      </w:r>
      <w:r w:rsidR="001F495E">
        <w:t>haemodialysis</w:t>
      </w:r>
      <w:r w:rsidRPr="001D7FE5">
        <w:t>.</w:t>
      </w:r>
    </w:p>
    <w:p w14:paraId="79CEC76A" w14:textId="798F6831" w:rsidR="001D7FE5" w:rsidRDefault="001D7FE5" w:rsidP="001D7FE5">
      <w:r w:rsidRPr="001D7FE5">
        <w:t>Moreover, following a 3</w:t>
      </w:r>
      <w:r>
        <w:t> </w:t>
      </w:r>
      <w:r w:rsidR="00A33AB5">
        <w:t>µ</w:t>
      </w:r>
      <w:r w:rsidRPr="001D7FE5">
        <w:t xml:space="preserve">g/kg IV dose to subjects with normal renal function and those with mild and moderate renal impairment, 84.3%, 86.4% and 81.3% of </w:t>
      </w:r>
      <w:r>
        <w:t>d</w:t>
      </w:r>
      <w:r w:rsidRPr="001D7FE5">
        <w:t>ifelikefalin respectively, was excreted as unchanged drug in the urine</w:t>
      </w:r>
      <w:r>
        <w:t>,</w:t>
      </w:r>
      <w:r w:rsidRPr="001D7FE5">
        <w:t xml:space="preserve"> the primary excretion pathway </w:t>
      </w:r>
      <w:r>
        <w:t>(</w:t>
      </w:r>
      <w:r w:rsidRPr="001D7FE5">
        <w:t>responsible for 80.5% of excretion in healthy subjects</w:t>
      </w:r>
      <w:r>
        <w:t>)</w:t>
      </w:r>
      <w:r w:rsidRPr="001D7FE5">
        <w:t>.</w:t>
      </w:r>
    </w:p>
    <w:p w14:paraId="57325267" w14:textId="0372F686" w:rsidR="001D7FE5" w:rsidRDefault="001D7FE5" w:rsidP="001D7FE5">
      <w:r>
        <w:t>The Delegate noted that there is no elimination data on severe renal impairment.</w:t>
      </w:r>
    </w:p>
    <w:p w14:paraId="081891C8" w14:textId="75048A91" w:rsidR="001D7FE5" w:rsidRDefault="00891305" w:rsidP="001D7FE5">
      <w:r>
        <w:t>Furthermore</w:t>
      </w:r>
      <w:r w:rsidR="001D7FE5" w:rsidRPr="001D7FE5">
        <w:t xml:space="preserve">, </w:t>
      </w:r>
      <w:r w:rsidR="001D7FE5" w:rsidRPr="001D7FE5">
        <w:rPr>
          <w:i/>
          <w:iCs/>
        </w:rPr>
        <w:t>in vitro</w:t>
      </w:r>
      <w:r w:rsidR="001D7FE5" w:rsidRPr="001D7FE5">
        <w:t xml:space="preserve"> studies indicate that </w:t>
      </w:r>
      <w:r w:rsidR="001D7FE5">
        <w:t>d</w:t>
      </w:r>
      <w:r w:rsidR="001D7FE5" w:rsidRPr="001D7FE5">
        <w:t xml:space="preserve">ifelikefalin is metabolically stable, and it is not an inhibitor or substrate for clinically relevant enzymes and transporters. In addition, </w:t>
      </w:r>
      <w:r w:rsidR="001D7FE5">
        <w:t>d</w:t>
      </w:r>
      <w:r w:rsidR="001D7FE5" w:rsidRPr="001D7FE5">
        <w:t xml:space="preserve">ifelikefalin </w:t>
      </w:r>
      <w:r w:rsidR="001D7FE5" w:rsidRPr="001D7FE5">
        <w:lastRenderedPageBreak/>
        <w:t xml:space="preserve">has minimal to no potential for induction of human cytochrome P450 </w:t>
      </w:r>
      <w:r>
        <w:t xml:space="preserve">(CYP) </w:t>
      </w:r>
      <w:r w:rsidR="001D7FE5">
        <w:t>s</w:t>
      </w:r>
      <w:r w:rsidR="001D7FE5" w:rsidRPr="001D7FE5">
        <w:t xml:space="preserve">ubunits </w:t>
      </w:r>
      <w:r w:rsidR="001D7FE5">
        <w:t>(</w:t>
      </w:r>
      <w:r w:rsidR="001D7FE5" w:rsidRPr="001D7FE5">
        <w:t>CYP1A2, CYP2B6 or CYP3A4</w:t>
      </w:r>
      <w:r w:rsidR="001D7FE5">
        <w:t>)</w:t>
      </w:r>
      <w:r w:rsidR="001D7FE5" w:rsidRPr="001D7FE5">
        <w:t>.</w:t>
      </w:r>
      <w:r w:rsidR="001D7FE5">
        <w:rPr>
          <w:rStyle w:val="FootnoteReference"/>
        </w:rPr>
        <w:footnoteReference w:id="6"/>
      </w:r>
      <w:r w:rsidR="001D7FE5" w:rsidRPr="001D7FE5">
        <w:t xml:space="preserve"> Therefore, </w:t>
      </w:r>
      <w:r w:rsidR="001D7FE5">
        <w:t>d</w:t>
      </w:r>
      <w:r w:rsidR="001D7FE5" w:rsidRPr="001D7FE5">
        <w:t>ifelikefalin is unlikely to interact with co</w:t>
      </w:r>
      <w:r>
        <w:noBreakHyphen/>
      </w:r>
      <w:r w:rsidR="001D7FE5" w:rsidRPr="001D7FE5">
        <w:t>administered drugs.</w:t>
      </w:r>
    </w:p>
    <w:p w14:paraId="4390787D" w14:textId="3C61B3C1" w:rsidR="003C5373" w:rsidRDefault="003C5373" w:rsidP="00E81FD4">
      <w:pPr>
        <w:pStyle w:val="Heading8"/>
      </w:pPr>
      <w:r w:rsidRPr="00E81FD4">
        <w:rPr>
          <w:rStyle w:val="Heading8Char"/>
        </w:rPr>
        <w:t>N</w:t>
      </w:r>
      <w:r w:rsidR="001D7FE5" w:rsidRPr="00E81FD4">
        <w:rPr>
          <w:rStyle w:val="Heading8Char"/>
        </w:rPr>
        <w:t>on-renal clearance</w:t>
      </w:r>
    </w:p>
    <w:p w14:paraId="19913EC5" w14:textId="2E40D309" w:rsidR="001D7FE5" w:rsidRDefault="00DE792E" w:rsidP="001D7FE5">
      <w:r>
        <w:t>I</w:t>
      </w:r>
      <w:r w:rsidRPr="001D7FE5">
        <w:t>n healthy subjects</w:t>
      </w:r>
      <w:r>
        <w:t>, f</w:t>
      </w:r>
      <w:r w:rsidR="001D7FE5" w:rsidRPr="001D7FE5">
        <w:t>ollowing a single, theoretical, IV, solution dose of 230</w:t>
      </w:r>
      <w:r w:rsidR="001D7FE5">
        <w:t> </w:t>
      </w:r>
      <w:r w:rsidR="00A33AB5">
        <w:t>µ</w:t>
      </w:r>
      <w:r w:rsidR="001D7FE5" w:rsidRPr="001D7FE5">
        <w:t>g containing 100</w:t>
      </w:r>
      <w:r>
        <w:t> </w:t>
      </w:r>
      <w:r w:rsidR="001D7FE5">
        <w:t>microcurie (</w:t>
      </w:r>
      <w:r w:rsidR="00A33AB5">
        <w:t>µ</w:t>
      </w:r>
      <w:r w:rsidR="001D7FE5" w:rsidRPr="001D7FE5">
        <w:t>Ci</w:t>
      </w:r>
      <w:r w:rsidR="001D7FE5">
        <w:t>)</w:t>
      </w:r>
      <w:r w:rsidR="001D7FE5" w:rsidRPr="001D7FE5">
        <w:t xml:space="preserve"> of </w:t>
      </w:r>
      <w:r w:rsidR="003C5373">
        <w:t>c</w:t>
      </w:r>
      <w:r w:rsidR="00A020D9">
        <w:t xml:space="preserve">arbon-14 </w:t>
      </w:r>
      <w:r w:rsidR="003C5373">
        <w:t>[</w:t>
      </w:r>
      <w:r w:rsidR="001D7FE5" w:rsidRPr="001D7FE5">
        <w:rPr>
          <w:vertAlign w:val="superscript"/>
        </w:rPr>
        <w:t>14</w:t>
      </w:r>
      <w:r w:rsidR="001D7FE5">
        <w:t>C</w:t>
      </w:r>
      <w:r w:rsidR="003C5373">
        <w:t>]</w:t>
      </w:r>
      <w:r w:rsidR="001D7FE5" w:rsidRPr="001D7FE5">
        <w:t xml:space="preserve"> </w:t>
      </w:r>
      <w:r w:rsidR="001D7FE5">
        <w:t>d</w:t>
      </w:r>
      <w:r w:rsidR="001D7FE5" w:rsidRPr="001D7FE5">
        <w:t>ifelikefalin administered as a bolus 11.3% of the radioactive dose was recovered in faeces</w:t>
      </w:r>
      <w:r>
        <w:t>. In comparison,</w:t>
      </w:r>
      <w:r w:rsidR="001D7FE5">
        <w:t xml:space="preserve"> </w:t>
      </w:r>
      <w:r w:rsidR="001D7FE5" w:rsidRPr="001D7FE5">
        <w:t>patients with</w:t>
      </w:r>
      <w:r w:rsidR="001D7FE5">
        <w:t xml:space="preserve"> </w:t>
      </w:r>
      <w:r w:rsidR="001D7FE5" w:rsidRPr="001D7FE5">
        <w:t>ESRD</w:t>
      </w:r>
      <w:r w:rsidR="001D7FE5">
        <w:t xml:space="preserve"> </w:t>
      </w:r>
      <w:r w:rsidR="001D7FE5" w:rsidRPr="001D7FE5">
        <w:t xml:space="preserve">undergoing </w:t>
      </w:r>
      <w:r w:rsidR="001F495E">
        <w:t>haemodialysis</w:t>
      </w:r>
      <w:r w:rsidR="001D7FE5">
        <w:t xml:space="preserve"> where</w:t>
      </w:r>
      <w:r w:rsidR="001D7FE5" w:rsidRPr="001D7FE5">
        <w:t xml:space="preserve"> 58.8% of the radioactive</w:t>
      </w:r>
      <w:r w:rsidR="001D7FE5">
        <w:t xml:space="preserve"> </w:t>
      </w:r>
      <w:r w:rsidR="001D7FE5" w:rsidRPr="001D7FE5">
        <w:t>dose was recovered in faeces</w:t>
      </w:r>
      <w:r>
        <w:t>,</w:t>
      </w:r>
      <w:r w:rsidR="001D7FE5" w:rsidRPr="001D7FE5">
        <w:t xml:space="preserve"> and 19.5% was recovered in dialysate.</w:t>
      </w:r>
    </w:p>
    <w:p w14:paraId="12DF00D0" w14:textId="26340F6D" w:rsidR="00EA20ED" w:rsidRPr="00EA20ED" w:rsidRDefault="00EA20ED" w:rsidP="00EA20ED">
      <w:pPr>
        <w:pStyle w:val="Heading8"/>
        <w:rPr>
          <w:szCs w:val="22"/>
        </w:rPr>
      </w:pPr>
      <w:r w:rsidRPr="00EA20ED">
        <w:rPr>
          <w:szCs w:val="22"/>
        </w:rPr>
        <w:t>M</w:t>
      </w:r>
      <w:r w:rsidR="001D7FE5" w:rsidRPr="00EA20ED">
        <w:rPr>
          <w:szCs w:val="22"/>
        </w:rPr>
        <w:t>etabolites (active and other) identified in humans</w:t>
      </w:r>
    </w:p>
    <w:p w14:paraId="43463E64" w14:textId="7ADA654D" w:rsidR="001D7FE5" w:rsidRPr="001D7FE5" w:rsidRDefault="00EA20ED" w:rsidP="00A020D9">
      <w:r>
        <w:t>I</w:t>
      </w:r>
      <w:r w:rsidR="001D7FE5" w:rsidRPr="001D7FE5">
        <w:t>n healthy subjects, the most prevalent metabolite (MP1) in systemic circulation accounted for 0.48% of the total exposure, whereas, AUC</w:t>
      </w:r>
      <w:r w:rsidR="001D7FE5" w:rsidRPr="001D7FE5">
        <w:rPr>
          <w:vertAlign w:val="subscript"/>
        </w:rPr>
        <w:t xml:space="preserve">0-last </w:t>
      </w:r>
      <w:r w:rsidR="001D7FE5" w:rsidRPr="001D7FE5">
        <w:t>could not be estimated for th</w:t>
      </w:r>
      <w:r w:rsidR="00A020D9">
        <w:t>ree additional metabolites (</w:t>
      </w:r>
      <w:r w:rsidR="001D7FE5" w:rsidRPr="001D7FE5">
        <w:t>MP2, MP3 and MP4</w:t>
      </w:r>
      <w:r w:rsidR="00A020D9">
        <w:t>)</w:t>
      </w:r>
      <w:r w:rsidR="001D7FE5" w:rsidRPr="001D7FE5">
        <w:t>.</w:t>
      </w:r>
      <w:r w:rsidR="00DE792E">
        <w:t xml:space="preserve"> </w:t>
      </w:r>
      <w:r w:rsidR="001D7FE5" w:rsidRPr="00EA20ED">
        <w:t xml:space="preserve">In patients with ESRD undergoing </w:t>
      </w:r>
      <w:r w:rsidR="001F495E">
        <w:t>haemodialysis</w:t>
      </w:r>
      <w:r w:rsidR="001D7FE5" w:rsidRPr="00EA20ED">
        <w:t>, MP1 accounted for 0.10% and MP3 accounted for 0.02% of the total exposure, whereas AUC</w:t>
      </w:r>
      <w:r w:rsidR="001D7FE5" w:rsidRPr="00EA20ED">
        <w:rPr>
          <w:vertAlign w:val="subscript"/>
        </w:rPr>
        <w:t xml:space="preserve">0-last </w:t>
      </w:r>
      <w:r w:rsidR="001D7FE5" w:rsidRPr="00EA20ED">
        <w:t>could not be estimated for MP2 and MP4 metabolites.</w:t>
      </w:r>
    </w:p>
    <w:p w14:paraId="3108DAF9" w14:textId="62EB478F" w:rsidR="00680D46" w:rsidRDefault="00680D46" w:rsidP="00A020D9">
      <w:pPr>
        <w:pStyle w:val="Heading7"/>
      </w:pPr>
      <w:r>
        <w:t>E</w:t>
      </w:r>
      <w:r w:rsidR="001D7FE5" w:rsidRPr="00EA20ED">
        <w:t>xcretion</w:t>
      </w:r>
    </w:p>
    <w:p w14:paraId="78D45C04" w14:textId="3BF6882A" w:rsidR="001D7FE5" w:rsidRPr="00EA20ED" w:rsidRDefault="00680D46" w:rsidP="00E81FD4">
      <w:pPr>
        <w:pStyle w:val="Heading8"/>
      </w:pPr>
      <w:r>
        <w:t>R</w:t>
      </w:r>
      <w:r w:rsidRPr="00EA20ED">
        <w:t>outes and mechanisms</w:t>
      </w:r>
    </w:p>
    <w:p w14:paraId="05DAEF8E" w14:textId="553B13F0" w:rsidR="001D7FE5" w:rsidRPr="00EA20ED" w:rsidRDefault="001D7FE5" w:rsidP="00EA20ED">
      <w:r w:rsidRPr="00EA20ED">
        <w:t xml:space="preserve">The primary route of elimination for </w:t>
      </w:r>
      <w:r w:rsidR="00EA20ED">
        <w:t>d</w:t>
      </w:r>
      <w:r w:rsidRPr="00EA20ED">
        <w:t>ifelikefalin in subjects with normal renal function is renal, with 80.5% of a single, theoretical, IV</w:t>
      </w:r>
      <w:r w:rsidR="00EA20ED">
        <w:t xml:space="preserve"> </w:t>
      </w:r>
      <w:r w:rsidRPr="00EA20ED">
        <w:t>solution dose of 230</w:t>
      </w:r>
      <w:r w:rsidR="00EA20ED">
        <w:t> </w:t>
      </w:r>
      <w:r w:rsidR="00A33AB5">
        <w:t>µ</w:t>
      </w:r>
      <w:r w:rsidRPr="00EA20ED">
        <w:t>g containing 100</w:t>
      </w:r>
      <w:r w:rsidR="00EA20ED">
        <w:t> </w:t>
      </w:r>
      <w:r w:rsidR="00A33AB5">
        <w:t>µ</w:t>
      </w:r>
      <w:r w:rsidRPr="00EA20ED">
        <w:t xml:space="preserve">Ci of </w:t>
      </w:r>
      <w:r w:rsidR="003C5373">
        <w:t>[</w:t>
      </w:r>
      <w:r w:rsidRPr="00EA20ED">
        <w:rPr>
          <w:vertAlign w:val="superscript"/>
        </w:rPr>
        <w:t>14</w:t>
      </w:r>
      <w:r w:rsidRPr="00EA20ED">
        <w:t>C</w:t>
      </w:r>
      <w:r w:rsidR="003C5373">
        <w:t>]</w:t>
      </w:r>
      <w:r w:rsidR="00A020D9">
        <w:t xml:space="preserve"> </w:t>
      </w:r>
      <w:r w:rsidR="00EA20ED">
        <w:t>d</w:t>
      </w:r>
      <w:r w:rsidRPr="00EA20ED">
        <w:t>ifelikefalin eliminated in urine and further 11.3% recovered in faeces</w:t>
      </w:r>
      <w:r w:rsidR="00EA20ED">
        <w:t>.</w:t>
      </w:r>
    </w:p>
    <w:p w14:paraId="3B24D5DB" w14:textId="64B4F1CF" w:rsidR="001D7FE5" w:rsidRPr="00EA20ED" w:rsidRDefault="001D7FE5" w:rsidP="00EA20ED">
      <w:r w:rsidRPr="00EA20ED">
        <w:t xml:space="preserve">By contrast, in ESRD patients undergoing </w:t>
      </w:r>
      <w:r w:rsidR="001F495E">
        <w:t>haemodialysis</w:t>
      </w:r>
      <w:r w:rsidRPr="00EA20ED">
        <w:t xml:space="preserve"> (</w:t>
      </w:r>
      <w:r w:rsidR="00EA20ED">
        <w:t>that is</w:t>
      </w:r>
      <w:r w:rsidRPr="00EA20ED">
        <w:t>, with non-functioning kidneys), renal excretion was considered a minor route of elimination as only 11.2% of the radioactive dose was recovered in urine, 58.8% was recovered in faeces and 19.5% was recovered in dialysate.</w:t>
      </w:r>
    </w:p>
    <w:p w14:paraId="0F2D000A" w14:textId="170AF331" w:rsidR="001D7FE5" w:rsidRPr="00EA20ED" w:rsidRDefault="001D7FE5" w:rsidP="00E81FD4">
      <w:pPr>
        <w:pStyle w:val="Heading8"/>
      </w:pPr>
      <w:r w:rsidRPr="00EA20ED">
        <w:t>Mass balance studies</w:t>
      </w:r>
    </w:p>
    <w:p w14:paraId="2D125700" w14:textId="79721736" w:rsidR="001D7FE5" w:rsidRPr="00EA20ED" w:rsidRDefault="001D7FE5" w:rsidP="00EA20ED">
      <w:r w:rsidRPr="00EA20ED">
        <w:t>In healthy subjects</w:t>
      </w:r>
      <w:r w:rsidR="009C32B7">
        <w:t>, f</w:t>
      </w:r>
      <w:r w:rsidR="009C32B7" w:rsidRPr="00EA20ED">
        <w:t xml:space="preserve">ollowing an IV bolus dose of 100 </w:t>
      </w:r>
      <w:r w:rsidR="009C32B7">
        <w:t>µ</w:t>
      </w:r>
      <w:r w:rsidR="009C32B7" w:rsidRPr="00EA20ED">
        <w:t xml:space="preserve">Ci of </w:t>
      </w:r>
      <w:r w:rsidR="009C32B7">
        <w:t>[</w:t>
      </w:r>
      <w:r w:rsidR="009C32B7" w:rsidRPr="00EA20ED">
        <w:rPr>
          <w:vertAlign w:val="superscript"/>
        </w:rPr>
        <w:t>14</w:t>
      </w:r>
      <w:r w:rsidR="009C32B7" w:rsidRPr="00EA20ED">
        <w:t>C</w:t>
      </w:r>
      <w:r w:rsidR="009C32B7">
        <w:t>]</w:t>
      </w:r>
      <w:r w:rsidR="009C32B7" w:rsidRPr="00EA20ED">
        <w:t xml:space="preserve"> </w:t>
      </w:r>
      <w:r w:rsidR="009C32B7">
        <w:t>d</w:t>
      </w:r>
      <w:r w:rsidR="009C32B7" w:rsidRPr="00EA20ED">
        <w:t>ifelikefalin (Study</w:t>
      </w:r>
      <w:r w:rsidR="009C32B7">
        <w:t> </w:t>
      </w:r>
      <w:r w:rsidR="009C32B7" w:rsidRPr="00EA20ED">
        <w:t>CR845</w:t>
      </w:r>
      <w:r w:rsidR="009C32B7">
        <w:noBreakHyphen/>
      </w:r>
      <w:r w:rsidR="009C32B7" w:rsidRPr="00EA20ED">
        <w:t>100302)</w:t>
      </w:r>
      <w:r w:rsidRPr="00EA20ED">
        <w:t>:</w:t>
      </w:r>
    </w:p>
    <w:p w14:paraId="33A07823" w14:textId="0AC3632A" w:rsidR="001D7FE5" w:rsidRPr="00EA20ED" w:rsidRDefault="00EA20ED" w:rsidP="00EA20ED">
      <w:pPr>
        <w:pStyle w:val="ListBullet"/>
      </w:pPr>
      <w:r>
        <w:t>R</w:t>
      </w:r>
      <w:r w:rsidR="001D7FE5" w:rsidRPr="00EA20ED">
        <w:t xml:space="preserve">adioactivity was first detected in urine during the </w:t>
      </w:r>
      <w:proofErr w:type="gramStart"/>
      <w:r w:rsidR="001D7FE5" w:rsidRPr="00EA20ED">
        <w:t>0</w:t>
      </w:r>
      <w:r w:rsidRPr="00EA20ED">
        <w:t xml:space="preserve"> to </w:t>
      </w:r>
      <w:r w:rsidR="001D7FE5" w:rsidRPr="00EA20ED">
        <w:t>4 h</w:t>
      </w:r>
      <w:r w:rsidRPr="00EA20ED">
        <w:t>our</w:t>
      </w:r>
      <w:proofErr w:type="gramEnd"/>
      <w:r w:rsidR="001D7FE5" w:rsidRPr="00EA20ED">
        <w:t xml:space="preserve"> collection interval and quantifiable radioactivity was observed through the 60</w:t>
      </w:r>
      <w:r w:rsidRPr="00EA20ED">
        <w:t xml:space="preserve"> to </w:t>
      </w:r>
      <w:r w:rsidR="001D7FE5" w:rsidRPr="00EA20ED">
        <w:t>72 h</w:t>
      </w:r>
      <w:r w:rsidRPr="00EA20ED">
        <w:t>our</w:t>
      </w:r>
      <w:r w:rsidR="001D7FE5" w:rsidRPr="00EA20ED">
        <w:t xml:space="preserve"> collection interval up to the 168</w:t>
      </w:r>
      <w:r w:rsidRPr="00EA20ED">
        <w:t xml:space="preserve"> to </w:t>
      </w:r>
      <w:r w:rsidR="001D7FE5" w:rsidRPr="00EA20ED">
        <w:t>192 h</w:t>
      </w:r>
      <w:r w:rsidRPr="00EA20ED">
        <w:t>our</w:t>
      </w:r>
      <w:r w:rsidR="001D7FE5" w:rsidRPr="00EA20ED">
        <w:t xml:space="preserve"> collection interval.</w:t>
      </w:r>
    </w:p>
    <w:p w14:paraId="2E2DA817" w14:textId="01941320" w:rsidR="001D7FE5" w:rsidRPr="00EA20ED" w:rsidRDefault="001D7FE5" w:rsidP="00EA20ED">
      <w:pPr>
        <w:pStyle w:val="ListBullet"/>
      </w:pPr>
      <w:r w:rsidRPr="00EA20ED">
        <w:t>Most of the radioactive dose that was recovered in urine occurred within 24 h of dosing and approximately 54% of the administered radioactive dose was recovered during the first collection interval (0</w:t>
      </w:r>
      <w:r w:rsidR="00A020D9">
        <w:t xml:space="preserve"> to </w:t>
      </w:r>
      <w:r w:rsidRPr="00EA20ED">
        <w:t>4 h</w:t>
      </w:r>
      <w:r w:rsidR="00A020D9">
        <w:t>ours</w:t>
      </w:r>
      <w:r w:rsidRPr="00EA20ED">
        <w:t>).</w:t>
      </w:r>
    </w:p>
    <w:p w14:paraId="289637E0" w14:textId="40EEB22C" w:rsidR="001D7FE5" w:rsidRPr="00EA20ED" w:rsidRDefault="001D7FE5" w:rsidP="00EA20ED">
      <w:pPr>
        <w:pStyle w:val="ListBullet"/>
      </w:pPr>
      <w:r w:rsidRPr="00EA20ED">
        <w:t xml:space="preserve">In faeces, radioactivity was first detected during the </w:t>
      </w:r>
      <w:proofErr w:type="gramStart"/>
      <w:r w:rsidRPr="00EA20ED">
        <w:t>24</w:t>
      </w:r>
      <w:r w:rsidR="00EA20ED">
        <w:t xml:space="preserve"> to </w:t>
      </w:r>
      <w:r w:rsidRPr="00EA20ED">
        <w:t>48 h</w:t>
      </w:r>
      <w:r w:rsidR="00EA20ED">
        <w:t>our</w:t>
      </w:r>
      <w:proofErr w:type="gramEnd"/>
      <w:r w:rsidRPr="00EA20ED">
        <w:t xml:space="preserve"> collection interval and quantifiable radioactivity was observed through the 96</w:t>
      </w:r>
      <w:r w:rsidR="00EA20ED">
        <w:t xml:space="preserve"> to </w:t>
      </w:r>
      <w:r w:rsidRPr="00EA20ED">
        <w:t>120 h</w:t>
      </w:r>
      <w:r w:rsidR="00EA20ED">
        <w:t>our</w:t>
      </w:r>
      <w:r w:rsidRPr="00EA20ED">
        <w:t xml:space="preserve"> collection interval up to the 144</w:t>
      </w:r>
      <w:r w:rsidR="00EA20ED">
        <w:t xml:space="preserve"> to </w:t>
      </w:r>
      <w:r w:rsidRPr="00EA20ED">
        <w:t>168 h</w:t>
      </w:r>
      <w:r w:rsidR="00EA20ED">
        <w:t>our</w:t>
      </w:r>
      <w:r w:rsidRPr="00EA20ED">
        <w:t xml:space="preserve"> collection interval.</w:t>
      </w:r>
    </w:p>
    <w:p w14:paraId="25EA44B9" w14:textId="7D651C49" w:rsidR="001D7FE5" w:rsidRPr="00EA20ED" w:rsidRDefault="001D7FE5" w:rsidP="00EA20ED">
      <w:pPr>
        <w:pStyle w:val="ListBullet"/>
      </w:pPr>
      <w:r w:rsidRPr="00EA20ED">
        <w:t>Most of the radioactive dose that was recovered in faeces occurred within 120 h</w:t>
      </w:r>
      <w:r w:rsidR="00EA20ED">
        <w:t>ours</w:t>
      </w:r>
      <w:r w:rsidRPr="00EA20ED">
        <w:t xml:space="preserve"> of dosing.</w:t>
      </w:r>
    </w:p>
    <w:p w14:paraId="275B3776" w14:textId="6A81BE82" w:rsidR="001D7FE5" w:rsidRPr="00EA20ED" w:rsidRDefault="001D7FE5" w:rsidP="00EA20ED">
      <w:r w:rsidRPr="00EA20ED">
        <w:lastRenderedPageBreak/>
        <w:t xml:space="preserve">In ESRD patients undergoing </w:t>
      </w:r>
      <w:r w:rsidR="001F495E">
        <w:t>haemodialysis</w:t>
      </w:r>
      <w:r w:rsidRPr="00EA20ED">
        <w:t>:</w:t>
      </w:r>
    </w:p>
    <w:p w14:paraId="716B83EE" w14:textId="5387FBDD" w:rsidR="001D7FE5" w:rsidRPr="00EA20ED" w:rsidRDefault="00EA20ED" w:rsidP="00EA20ED">
      <w:pPr>
        <w:pStyle w:val="ListBullet"/>
      </w:pPr>
      <w:r>
        <w:t>R</w:t>
      </w:r>
      <w:r w:rsidR="001D7FE5" w:rsidRPr="00EA20ED">
        <w:t xml:space="preserve">adioactivity was detected in the urine of only 50% of subjects and it was first detected during the </w:t>
      </w:r>
      <w:proofErr w:type="gramStart"/>
      <w:r w:rsidR="001D7FE5" w:rsidRPr="00EA20ED">
        <w:t>12</w:t>
      </w:r>
      <w:r>
        <w:t xml:space="preserve"> to </w:t>
      </w:r>
      <w:r w:rsidR="001D7FE5" w:rsidRPr="00EA20ED">
        <w:t>24 h</w:t>
      </w:r>
      <w:r>
        <w:t>our</w:t>
      </w:r>
      <w:proofErr w:type="gramEnd"/>
      <w:r w:rsidR="001D7FE5" w:rsidRPr="00EA20ED">
        <w:t xml:space="preserve"> collection interval. Radioactivity was quantifiable through the </w:t>
      </w:r>
      <w:proofErr w:type="gramStart"/>
      <w:r w:rsidR="001D7FE5" w:rsidRPr="00EA20ED">
        <w:t>144</w:t>
      </w:r>
      <w:r>
        <w:t xml:space="preserve"> to </w:t>
      </w:r>
      <w:r w:rsidR="001D7FE5" w:rsidRPr="00EA20ED">
        <w:t>168 h</w:t>
      </w:r>
      <w:r>
        <w:t>our</w:t>
      </w:r>
      <w:proofErr w:type="gramEnd"/>
      <w:r w:rsidR="001D7FE5" w:rsidRPr="00EA20ED">
        <w:t xml:space="preserve"> collection interval up to the 264</w:t>
      </w:r>
      <w:r>
        <w:t xml:space="preserve"> to </w:t>
      </w:r>
      <w:r w:rsidR="001D7FE5" w:rsidRPr="00EA20ED">
        <w:t>288 h</w:t>
      </w:r>
      <w:r>
        <w:t>our</w:t>
      </w:r>
      <w:r w:rsidR="001D7FE5" w:rsidRPr="00EA20ED">
        <w:t xml:space="preserve"> collection interval.</w:t>
      </w:r>
    </w:p>
    <w:p w14:paraId="483F30B2" w14:textId="62FFCAF1" w:rsidR="001D7FE5" w:rsidRPr="00EA20ED" w:rsidRDefault="001D7FE5" w:rsidP="00EA20ED">
      <w:pPr>
        <w:pStyle w:val="ListBullet"/>
      </w:pPr>
      <w:r w:rsidRPr="00EA20ED">
        <w:t>For this 50% cohort, most of the radioactive dose that was recovered in urine occurred within 72 h</w:t>
      </w:r>
      <w:r w:rsidR="00EA20ED">
        <w:t>ours</w:t>
      </w:r>
      <w:r w:rsidRPr="00EA20ED">
        <w:t xml:space="preserve"> of dosing.</w:t>
      </w:r>
    </w:p>
    <w:p w14:paraId="67964826" w14:textId="3D716BCA" w:rsidR="001D7FE5" w:rsidRPr="00EA20ED" w:rsidRDefault="001D7FE5" w:rsidP="00EA20ED">
      <w:pPr>
        <w:pStyle w:val="ListBullet"/>
      </w:pPr>
      <w:r w:rsidRPr="00EA20ED">
        <w:t xml:space="preserve">In faeces, radioactivity was identified in all subjects and was first detected during the </w:t>
      </w:r>
      <w:proofErr w:type="gramStart"/>
      <w:r w:rsidRPr="00EA20ED">
        <w:t>0</w:t>
      </w:r>
      <w:r w:rsidR="00EA20ED">
        <w:t xml:space="preserve"> to </w:t>
      </w:r>
      <w:r w:rsidRPr="00EA20ED">
        <w:t>24</w:t>
      </w:r>
      <w:r w:rsidR="009C32B7">
        <w:t> </w:t>
      </w:r>
      <w:r w:rsidRPr="00EA20ED">
        <w:t>h</w:t>
      </w:r>
      <w:r w:rsidR="00EA20ED">
        <w:t>our</w:t>
      </w:r>
      <w:proofErr w:type="gramEnd"/>
      <w:r w:rsidRPr="00EA20ED">
        <w:t xml:space="preserve"> collection interval. Quantifiable radioactivity in faeces was observed through the </w:t>
      </w:r>
      <w:proofErr w:type="gramStart"/>
      <w:r w:rsidRPr="00EA20ED">
        <w:t>288</w:t>
      </w:r>
      <w:r w:rsidR="00EA20ED">
        <w:t xml:space="preserve"> to </w:t>
      </w:r>
      <w:r w:rsidRPr="00EA20ED">
        <w:t>312 h</w:t>
      </w:r>
      <w:r w:rsidR="00EA20ED">
        <w:t>our</w:t>
      </w:r>
      <w:proofErr w:type="gramEnd"/>
      <w:r w:rsidRPr="00EA20ED">
        <w:t xml:space="preserve"> collection interval up to the 432</w:t>
      </w:r>
      <w:r w:rsidR="00EA20ED">
        <w:t xml:space="preserve"> to </w:t>
      </w:r>
      <w:r w:rsidRPr="00EA20ED">
        <w:t>456 h</w:t>
      </w:r>
      <w:r w:rsidR="00EA20ED">
        <w:t>our</w:t>
      </w:r>
      <w:r w:rsidRPr="00EA20ED">
        <w:t xml:space="preserve"> collection interval and, most of the radioactive dose that was recovered in faeces occurred within 192 h</w:t>
      </w:r>
      <w:r w:rsidR="00EA20ED">
        <w:t>ours</w:t>
      </w:r>
      <w:r w:rsidRPr="00EA20ED">
        <w:t xml:space="preserve"> of dosing.</w:t>
      </w:r>
    </w:p>
    <w:p w14:paraId="0B5AB871" w14:textId="5DE7CBAA" w:rsidR="001D7FE5" w:rsidRPr="00EA20ED" w:rsidRDefault="001D7FE5" w:rsidP="00EA20ED">
      <w:pPr>
        <w:pStyle w:val="ListBullet"/>
      </w:pPr>
      <w:r w:rsidRPr="00EA20ED">
        <w:t xml:space="preserve">For dialysate, radioactivity was detected in all </w:t>
      </w:r>
      <w:r w:rsidR="00EA20ED">
        <w:t>six</w:t>
      </w:r>
      <w:r w:rsidRPr="00EA20ED">
        <w:t xml:space="preserve"> </w:t>
      </w:r>
      <w:r w:rsidR="001F495E">
        <w:t>haemodialysis</w:t>
      </w:r>
      <w:r w:rsidRPr="00EA20ED">
        <w:t xml:space="preserve"> subjects during the first and second dialysis sessions and, for </w:t>
      </w:r>
      <w:r w:rsidR="00EA20ED">
        <w:t>four</w:t>
      </w:r>
      <w:r w:rsidRPr="00EA20ED">
        <w:t xml:space="preserve"> </w:t>
      </w:r>
      <w:r w:rsidR="001F495E">
        <w:t>haemodialysis</w:t>
      </w:r>
      <w:r w:rsidRPr="00EA20ED">
        <w:t xml:space="preserve"> subjects during the third dialysis session, whereas no radioactivity was detected in dialysate for the other </w:t>
      </w:r>
      <w:r w:rsidR="00EA20ED">
        <w:t>two</w:t>
      </w:r>
      <w:r w:rsidRPr="00EA20ED">
        <w:t xml:space="preserve"> subjects following the </w:t>
      </w:r>
      <w:r w:rsidR="00EA20ED">
        <w:t>third</w:t>
      </w:r>
      <w:r w:rsidRPr="00EA20ED">
        <w:t xml:space="preserve"> dialysis session.</w:t>
      </w:r>
    </w:p>
    <w:p w14:paraId="2043069E" w14:textId="281E74AC" w:rsidR="001D7FE5" w:rsidRDefault="001D7FE5" w:rsidP="00EA20ED">
      <w:pPr>
        <w:pStyle w:val="ListBullet"/>
      </w:pPr>
      <w:r w:rsidRPr="00EA20ED">
        <w:t>During the first dialysis session (Day 4), 14.7% of the radioactive dose was recovered, 3.86% was recovered during the second session (Day 6) and 0.932% was recovered during the third session (Day 11).</w:t>
      </w:r>
    </w:p>
    <w:p w14:paraId="296E13E3" w14:textId="18CB704B" w:rsidR="00EA20ED" w:rsidRPr="00EA20ED" w:rsidRDefault="00EA20ED" w:rsidP="00EA20ED">
      <w:pPr>
        <w:pStyle w:val="Heading7"/>
      </w:pPr>
      <w:r w:rsidRPr="00EA20ED">
        <w:t>Inte</w:t>
      </w:r>
      <w:r>
        <w:t>r</w:t>
      </w:r>
      <w:r w:rsidRPr="00EA20ED">
        <w:t xml:space="preserve">individual variability of </w:t>
      </w:r>
      <w:r>
        <w:t>pharmacokinetics</w:t>
      </w:r>
    </w:p>
    <w:p w14:paraId="7EFDB617" w14:textId="152D67E4" w:rsidR="00EA20ED" w:rsidRPr="00EA20ED" w:rsidRDefault="00EA20ED" w:rsidP="00EA20ED">
      <w:r w:rsidRPr="00EA20ED">
        <w:t xml:space="preserve">The </w:t>
      </w:r>
      <w:proofErr w:type="spellStart"/>
      <w:r>
        <w:t>p</w:t>
      </w:r>
      <w:r w:rsidRPr="00EA20ED">
        <w:t>opPK</w:t>
      </w:r>
      <w:proofErr w:type="spellEnd"/>
      <w:r w:rsidRPr="00EA20ED">
        <w:t xml:space="preserve"> analysis</w:t>
      </w:r>
      <w:r>
        <w:t xml:space="preserve"> (Study</w:t>
      </w:r>
      <w:r w:rsidRPr="00EA20ED">
        <w:t xml:space="preserve"> CTX0201F</w:t>
      </w:r>
      <w:r>
        <w:t xml:space="preserve">) </w:t>
      </w:r>
      <w:r w:rsidRPr="00EA20ED">
        <w:t>provided estimates of the interindividual variability, as</w:t>
      </w:r>
      <w:r w:rsidR="00A020D9">
        <w:t> </w:t>
      </w:r>
      <w:r w:rsidRPr="00EA20ED">
        <w:t>% coefficients of variation (</w:t>
      </w:r>
      <w:r w:rsidRPr="00A020D9">
        <w:t>CV)</w:t>
      </w:r>
      <w:r>
        <w:t xml:space="preserve"> for:</w:t>
      </w:r>
    </w:p>
    <w:p w14:paraId="663F8D42" w14:textId="6B5CA895" w:rsidR="00EA20ED" w:rsidRPr="00EA20ED" w:rsidRDefault="00EA20ED" w:rsidP="00EA20ED">
      <w:pPr>
        <w:pStyle w:val="ListBullet"/>
      </w:pPr>
      <w:r w:rsidRPr="00EA20ED">
        <w:t>clearance = 43.5%</w:t>
      </w:r>
    </w:p>
    <w:p w14:paraId="2F1B1563" w14:textId="19B74A00" w:rsidR="00EA20ED" w:rsidRPr="00EA20ED" w:rsidRDefault="00EA20ED" w:rsidP="00EA20ED">
      <w:pPr>
        <w:pStyle w:val="ListBullet"/>
      </w:pPr>
      <w:r w:rsidRPr="00EA20ED">
        <w:t>central volume = 43%</w:t>
      </w:r>
    </w:p>
    <w:p w14:paraId="3560675D" w14:textId="7074C331" w:rsidR="00EA20ED" w:rsidRPr="00EA20ED" w:rsidRDefault="00EA20ED" w:rsidP="00EA20ED">
      <w:pPr>
        <w:pStyle w:val="ListBullet"/>
      </w:pPr>
      <w:r w:rsidRPr="00EA20ED">
        <w:t>intercompartmental clearance from central volume = 92.3%</w:t>
      </w:r>
    </w:p>
    <w:p w14:paraId="4E6A2869" w14:textId="33F90432" w:rsidR="00EA20ED" w:rsidRPr="00EA20ED" w:rsidRDefault="00EA20ED" w:rsidP="00EA20ED">
      <w:pPr>
        <w:pStyle w:val="ListBullet"/>
      </w:pPr>
      <w:r w:rsidRPr="00EA20ED">
        <w:t>peripheral volume 1 = 62%</w:t>
      </w:r>
    </w:p>
    <w:p w14:paraId="599D24E0" w14:textId="4A6C201B" w:rsidR="00EA20ED" w:rsidRPr="00EA20ED" w:rsidRDefault="00EA20ED" w:rsidP="00EA20ED">
      <w:pPr>
        <w:pStyle w:val="ListBullet"/>
      </w:pPr>
      <w:r w:rsidRPr="00EA20ED">
        <w:t>intercompartmental clearance from peripheral volume = 83.6%</w:t>
      </w:r>
    </w:p>
    <w:p w14:paraId="7C9C9251" w14:textId="40E1201A" w:rsidR="00EA20ED" w:rsidRPr="00EA20ED" w:rsidRDefault="00EA20ED" w:rsidP="00EA20ED">
      <w:pPr>
        <w:pStyle w:val="ListBullet"/>
      </w:pPr>
      <w:r w:rsidRPr="00EA20ED">
        <w:t>peripheral volume 2 =</w:t>
      </w:r>
      <w:r>
        <w:t xml:space="preserve"> </w:t>
      </w:r>
      <w:r w:rsidRPr="00EA20ED">
        <w:t>59.8%</w:t>
      </w:r>
    </w:p>
    <w:p w14:paraId="730D72EC" w14:textId="65FEB85A" w:rsidR="00FB39D0" w:rsidRDefault="00EA20ED" w:rsidP="00EA20ED">
      <w:r w:rsidRPr="00EA20ED">
        <w:t>The corresponding %CV on the proportional error was 18.4%.</w:t>
      </w:r>
    </w:p>
    <w:p w14:paraId="4526A400" w14:textId="6CDF0BBC" w:rsidR="00EA20ED" w:rsidRDefault="00EA20ED" w:rsidP="00E81FD4">
      <w:pPr>
        <w:pStyle w:val="Heading6"/>
      </w:pPr>
      <w:r>
        <w:t>Pharmacokinetics in the target population</w:t>
      </w:r>
    </w:p>
    <w:p w14:paraId="6C5F83E5" w14:textId="5A226A66" w:rsidR="00FB39D0" w:rsidRDefault="00EA20ED" w:rsidP="00EA20ED">
      <w:r w:rsidRPr="00EA20ED">
        <w:t xml:space="preserve">Study CR845-100302 examined </w:t>
      </w:r>
      <w:r>
        <w:t>d</w:t>
      </w:r>
      <w:r w:rsidRPr="00EA20ED">
        <w:t>ifelikefalin PKs following a single, theoretical, IV solution dose of 23</w:t>
      </w:r>
      <w:r>
        <w:t>0 </w:t>
      </w:r>
      <w:r w:rsidR="00A33AB5">
        <w:t>µ</w:t>
      </w:r>
      <w:r w:rsidRPr="00EA20ED">
        <w:t>g containing 100</w:t>
      </w:r>
      <w:r>
        <w:t> </w:t>
      </w:r>
      <w:r w:rsidR="00A33AB5">
        <w:t>µ</w:t>
      </w:r>
      <w:r w:rsidRPr="00EA20ED">
        <w:t xml:space="preserve">Ci of </w:t>
      </w:r>
      <w:r w:rsidR="003C5373">
        <w:t>[</w:t>
      </w:r>
      <w:r w:rsidRPr="00EA20ED">
        <w:rPr>
          <w:vertAlign w:val="superscript"/>
        </w:rPr>
        <w:t>14</w:t>
      </w:r>
      <w:r w:rsidRPr="00EA20ED">
        <w:t>C</w:t>
      </w:r>
      <w:r w:rsidR="003C5373">
        <w:t>]</w:t>
      </w:r>
      <w:r w:rsidRPr="00EA20ED">
        <w:t xml:space="preserve"> </w:t>
      </w:r>
      <w:r>
        <w:t>d</w:t>
      </w:r>
      <w:r w:rsidRPr="00EA20ED">
        <w:t>ifelikefalin to healthy subjects and patients with</w:t>
      </w:r>
      <w:r>
        <w:t xml:space="preserve"> </w:t>
      </w:r>
      <w:r w:rsidRPr="00EA20ED">
        <w:t xml:space="preserve">ESRD undergoing </w:t>
      </w:r>
      <w:r w:rsidR="001F495E">
        <w:t>haemodialysis</w:t>
      </w:r>
      <w:r w:rsidR="00FB39D0">
        <w:t>.</w:t>
      </w:r>
    </w:p>
    <w:p w14:paraId="071C4FE6" w14:textId="02936A3E" w:rsidR="00EA20ED" w:rsidRPr="00EA20ED" w:rsidRDefault="00EA20ED" w:rsidP="00EA20ED">
      <w:r w:rsidRPr="00EA20ED">
        <w:t xml:space="preserve">In </w:t>
      </w:r>
      <w:r>
        <w:t>S</w:t>
      </w:r>
      <w:r w:rsidRPr="00EA20ED">
        <w:t>tudy CR845-100302:</w:t>
      </w:r>
    </w:p>
    <w:p w14:paraId="6431E9B8" w14:textId="7DC55082" w:rsidR="00EA20ED" w:rsidRPr="00EA20ED" w:rsidRDefault="00EA20ED" w:rsidP="00EA20ED">
      <w:pPr>
        <w:pStyle w:val="ListBullet"/>
      </w:pPr>
      <w:r w:rsidRPr="00EA20ED">
        <w:t xml:space="preserve">the mean plasma </w:t>
      </w:r>
      <w:proofErr w:type="spellStart"/>
      <w:r w:rsidRPr="00EA20ED">
        <w:t>C</w:t>
      </w:r>
      <w:r w:rsidRPr="00EA20ED">
        <w:rPr>
          <w:vertAlign w:val="subscript"/>
        </w:rPr>
        <w:t>max</w:t>
      </w:r>
      <w:proofErr w:type="spellEnd"/>
      <w:r w:rsidRPr="00EA20ED">
        <w:t xml:space="preserve"> and </w:t>
      </w:r>
      <w:proofErr w:type="spellStart"/>
      <w:r w:rsidRPr="00EA20ED">
        <w:t>T</w:t>
      </w:r>
      <w:r w:rsidRPr="00EA20ED">
        <w:rPr>
          <w:vertAlign w:val="subscript"/>
        </w:rPr>
        <w:t>max</w:t>
      </w:r>
      <w:proofErr w:type="spellEnd"/>
      <w:r w:rsidRPr="00EA20ED">
        <w:t xml:space="preserve"> for total radioactivity were similar for both </w:t>
      </w:r>
      <w:r w:rsidR="001F495E">
        <w:t>haemodialysis</w:t>
      </w:r>
      <w:r w:rsidRPr="00EA20ED">
        <w:t xml:space="preserve"> patients (mean C</w:t>
      </w:r>
      <w:r w:rsidRPr="00EA20ED">
        <w:rPr>
          <w:vertAlign w:val="subscript"/>
        </w:rPr>
        <w:t>max</w:t>
      </w:r>
      <w:r w:rsidRPr="00EA20ED">
        <w:t xml:space="preserve"> = 25.6 ng-</w:t>
      </w:r>
      <w:r w:rsidR="009C32B7" w:rsidRPr="009C32B7">
        <w:t>equivalents</w:t>
      </w:r>
      <w:r w:rsidR="009C32B7">
        <w:t>(eq)</w:t>
      </w:r>
      <w:r w:rsidRPr="00EA20ED">
        <w:t>/mL)</w:t>
      </w:r>
      <w:r w:rsidR="009C32B7">
        <w:rPr>
          <w:rStyle w:val="FootnoteReference"/>
        </w:rPr>
        <w:footnoteReference w:id="7"/>
      </w:r>
      <w:r w:rsidRPr="00EA20ED">
        <w:t xml:space="preserve"> and healthy subjects (24.8</w:t>
      </w:r>
      <w:r w:rsidR="009C32B7">
        <w:t> </w:t>
      </w:r>
      <w:r w:rsidRPr="00EA20ED">
        <w:t>ng</w:t>
      </w:r>
      <w:r w:rsidR="009C32B7">
        <w:noBreakHyphen/>
        <w:t>eq)</w:t>
      </w:r>
      <w:r w:rsidRPr="00EA20ED">
        <w:t xml:space="preserve">/mL) and </w:t>
      </w:r>
      <w:proofErr w:type="spellStart"/>
      <w:r w:rsidRPr="00EA20ED">
        <w:t>T</w:t>
      </w:r>
      <w:r w:rsidRPr="00EA20ED">
        <w:rPr>
          <w:vertAlign w:val="subscript"/>
        </w:rPr>
        <w:t>max</w:t>
      </w:r>
      <w:proofErr w:type="spellEnd"/>
      <w:r w:rsidRPr="00EA20ED">
        <w:t xml:space="preserve"> occurred 5</w:t>
      </w:r>
      <w:r>
        <w:t> </w:t>
      </w:r>
      <w:r w:rsidRPr="00EA20ED">
        <w:t>min</w:t>
      </w:r>
      <w:r>
        <w:t xml:space="preserve">utes </w:t>
      </w:r>
      <w:r w:rsidRPr="00EA20ED">
        <w:t>post</w:t>
      </w:r>
      <w:r>
        <w:t xml:space="preserve"> </w:t>
      </w:r>
      <w:r w:rsidRPr="00EA20ED">
        <w:t>dose in both groups.</w:t>
      </w:r>
    </w:p>
    <w:p w14:paraId="69E01667" w14:textId="1290F8AD" w:rsidR="00EA20ED" w:rsidRPr="00EA20ED" w:rsidRDefault="00EA20ED" w:rsidP="00EA20ED">
      <w:pPr>
        <w:pStyle w:val="ListBullet"/>
      </w:pPr>
      <w:r w:rsidRPr="00EA20ED">
        <w:t xml:space="preserve">By contrast, mean AUC was approximately 11-fold higher for </w:t>
      </w:r>
      <w:r w:rsidR="001F495E">
        <w:t>haemodialysis</w:t>
      </w:r>
      <w:r w:rsidRPr="00EA20ED">
        <w:t xml:space="preserve"> patients compared to healthy subjects with mean AUC</w:t>
      </w:r>
      <w:r w:rsidRPr="00EA20ED">
        <w:rPr>
          <w:vertAlign w:val="subscript"/>
        </w:rPr>
        <w:t>0-inf</w:t>
      </w:r>
      <w:r w:rsidRPr="00EA20ED">
        <w:t xml:space="preserve"> values of 474 </w:t>
      </w:r>
      <w:proofErr w:type="spellStart"/>
      <w:r w:rsidRPr="00EA20ED">
        <w:t>ng.h</w:t>
      </w:r>
      <w:proofErr w:type="spellEnd"/>
      <w:r w:rsidRPr="00EA20ED">
        <w:t>-eq/mL and 44.3</w:t>
      </w:r>
      <w:r w:rsidR="009C32B7">
        <w:t> </w:t>
      </w:r>
      <w:proofErr w:type="spellStart"/>
      <w:r w:rsidRPr="00EA20ED">
        <w:t>ng.h</w:t>
      </w:r>
      <w:proofErr w:type="spellEnd"/>
      <w:r w:rsidR="009C32B7">
        <w:noBreakHyphen/>
      </w:r>
      <w:r w:rsidRPr="00EA20ED">
        <w:t xml:space="preserve">eq/mL in the two groups, respectively. Moreover, mean </w:t>
      </w:r>
      <w:r>
        <w:t>half</w:t>
      </w:r>
      <w:r w:rsidR="00A020D9">
        <w:t>-</w:t>
      </w:r>
      <w:r>
        <w:t>life</w:t>
      </w:r>
      <w:r w:rsidR="001F495E" w:rsidRPr="00E81FD4">
        <w:t xml:space="preserve"> </w:t>
      </w:r>
      <w:r w:rsidRPr="00EA20ED">
        <w:t xml:space="preserve">was </w:t>
      </w:r>
      <w:r w:rsidRPr="00A020D9">
        <w:t xml:space="preserve">appreciably longer for </w:t>
      </w:r>
      <w:r w:rsidR="001F495E">
        <w:t>haemodialysis</w:t>
      </w:r>
      <w:r w:rsidRPr="00A020D9">
        <w:t xml:space="preserve"> patients (38 hours) than for healthy subjects (2.6 hours) and mean clearance (CL) was</w:t>
      </w:r>
      <w:r w:rsidRPr="00EA20ED">
        <w:t xml:space="preserve"> lower (0.448 L/h v</w:t>
      </w:r>
      <w:r>
        <w:t>ersus</w:t>
      </w:r>
      <w:r w:rsidRPr="00EA20ED">
        <w:t xml:space="preserve"> 4.7 L/h). Mean </w:t>
      </w:r>
      <w:r w:rsidR="00A020D9">
        <w:t>v</w:t>
      </w:r>
      <w:r w:rsidRPr="00EA20ED">
        <w:t xml:space="preserve">olume of </w:t>
      </w:r>
      <w:r w:rsidRPr="00A020D9">
        <w:t>distribution (</w:t>
      </w:r>
      <w:proofErr w:type="spellStart"/>
      <w:r w:rsidRPr="00A020D9">
        <w:t>V</w:t>
      </w:r>
      <w:r w:rsidR="00A020D9" w:rsidRPr="00A020D9">
        <w:t>d</w:t>
      </w:r>
      <w:proofErr w:type="spellEnd"/>
      <w:r w:rsidRPr="00A020D9">
        <w:t>)</w:t>
      </w:r>
      <w:r w:rsidRPr="00EA20ED">
        <w:t xml:space="preserve"> </w:t>
      </w:r>
      <w:r w:rsidRPr="00EA20ED">
        <w:lastRenderedPageBreak/>
        <w:t xml:space="preserve">values in </w:t>
      </w:r>
      <w:r w:rsidR="001F495E">
        <w:t>haemodialysis</w:t>
      </w:r>
      <w:r w:rsidRPr="00EA20ED">
        <w:t xml:space="preserve"> patients and healthy subjects were approximately 23 </w:t>
      </w:r>
      <w:r>
        <w:t>to</w:t>
      </w:r>
      <w:r w:rsidRPr="00EA20ED">
        <w:t xml:space="preserve"> 24 L and 11.8 </w:t>
      </w:r>
      <w:r>
        <w:t xml:space="preserve">to </w:t>
      </w:r>
      <w:r w:rsidRPr="00EA20ED">
        <w:t>1</w:t>
      </w:r>
      <w:r>
        <w:t>7</w:t>
      </w:r>
      <w:r w:rsidRPr="00EA20ED">
        <w:t xml:space="preserve"> L, respectively.</w:t>
      </w:r>
    </w:p>
    <w:p w14:paraId="0BE3EDB8" w14:textId="2A12600A" w:rsidR="00680D46" w:rsidRDefault="00680D46" w:rsidP="00E81FD4">
      <w:pPr>
        <w:pStyle w:val="Heading6"/>
      </w:pPr>
      <w:r w:rsidRPr="00680D46">
        <w:t>Pharmacokinetics in special populations</w:t>
      </w:r>
    </w:p>
    <w:p w14:paraId="54C85019" w14:textId="1FF81901" w:rsidR="00EA20ED" w:rsidRPr="00EA20ED" w:rsidRDefault="00EA20ED" w:rsidP="00EA20ED">
      <w:pPr>
        <w:pStyle w:val="Heading7"/>
      </w:pPr>
      <w:r>
        <w:t xml:space="preserve">Pharmacokinetics </w:t>
      </w:r>
      <w:r w:rsidRPr="00EA20ED">
        <w:t>in subjects with impaired hepatic function</w:t>
      </w:r>
    </w:p>
    <w:p w14:paraId="5C21107A" w14:textId="588148E6" w:rsidR="00EA20ED" w:rsidRPr="00EA20ED" w:rsidRDefault="00EA20ED" w:rsidP="00EA20ED">
      <w:r w:rsidRPr="00EA20ED">
        <w:t xml:space="preserve">No clinical studies specifically examined the effects of hepatic impairment on </w:t>
      </w:r>
      <w:r>
        <w:t>d</w:t>
      </w:r>
      <w:r w:rsidRPr="00EA20ED">
        <w:t xml:space="preserve">ifelikefalin PKs. However, the analysis dataset used to generate the IV </w:t>
      </w:r>
      <w:proofErr w:type="spellStart"/>
      <w:r>
        <w:t>p</w:t>
      </w:r>
      <w:r w:rsidRPr="00EA20ED">
        <w:t>opPK</w:t>
      </w:r>
      <w:proofErr w:type="spellEnd"/>
      <w:r w:rsidRPr="00EA20ED">
        <w:t xml:space="preserve"> model (Study CTX0201F)</w:t>
      </w:r>
      <w:r>
        <w:t xml:space="preserve"> </w:t>
      </w:r>
      <w:r w:rsidRPr="00EA20ED">
        <w:t>included subjects classified as having normal (n</w:t>
      </w:r>
      <w:r>
        <w:t xml:space="preserve"> </w:t>
      </w:r>
      <w:r w:rsidRPr="00EA20ED">
        <w:t>=</w:t>
      </w:r>
      <w:r>
        <w:t xml:space="preserve"> </w:t>
      </w:r>
      <w:r w:rsidRPr="00EA20ED">
        <w:t>418), mild (n</w:t>
      </w:r>
      <w:r>
        <w:t xml:space="preserve"> </w:t>
      </w:r>
      <w:r w:rsidRPr="00EA20ED">
        <w:t>=</w:t>
      </w:r>
      <w:r>
        <w:t xml:space="preserve"> </w:t>
      </w:r>
      <w:r w:rsidRPr="00EA20ED">
        <w:t>17) and moderate (n</w:t>
      </w:r>
      <w:r>
        <w:t xml:space="preserve"> </w:t>
      </w:r>
      <w:r w:rsidRPr="00EA20ED">
        <w:t>=</w:t>
      </w:r>
      <w:r>
        <w:t xml:space="preserve"> </w:t>
      </w:r>
      <w:r w:rsidRPr="00EA20ED">
        <w:t>1) hepatic impairment. The analysis indicated that</w:t>
      </w:r>
      <w:r>
        <w:t xml:space="preserve"> </w:t>
      </w:r>
      <w:r w:rsidR="00A020D9">
        <w:t>difelikefalin</w:t>
      </w:r>
      <w:r w:rsidRPr="00EA20ED">
        <w:t xml:space="preserve"> exposure in mild and moderate hepatic impairment subjects was contained within the region of practical equivalence and therefore, the </w:t>
      </w:r>
      <w:r>
        <w:t>s</w:t>
      </w:r>
      <w:r w:rsidRPr="00EA20ED">
        <w:t>ponsor concluded no dose adjustments were warranted based on hepatic impairment status.</w:t>
      </w:r>
    </w:p>
    <w:p w14:paraId="454A8883" w14:textId="6CB04AC5" w:rsidR="00EA20ED" w:rsidRDefault="00EA20ED" w:rsidP="00EA20ED">
      <w:r>
        <w:t>The clinical evaluation noted that the s</w:t>
      </w:r>
      <w:r w:rsidRPr="00EA20ED">
        <w:t>ponsor’s claim that no dose adjustments are required based on hepatic impairment status cannot be considered conclusive given the small number of subjects with</w:t>
      </w:r>
      <w:r>
        <w:t xml:space="preserve"> </w:t>
      </w:r>
      <w:r w:rsidRPr="00EA20ED">
        <w:t>moderate hepatic impairment (n = 1) included in the analysis and the complete absence of subjects with severe hepatic impairment.</w:t>
      </w:r>
    </w:p>
    <w:p w14:paraId="26C18E0E" w14:textId="280A743A" w:rsidR="00EA20ED" w:rsidRPr="00EA20ED" w:rsidRDefault="00EA20ED" w:rsidP="00EA20ED">
      <w:r>
        <w:t xml:space="preserve">The </w:t>
      </w:r>
      <w:r w:rsidR="00A020D9">
        <w:t>D</w:t>
      </w:r>
      <w:r>
        <w:t xml:space="preserve">elegate noted that while </w:t>
      </w:r>
      <w:r w:rsidRPr="00EA20ED">
        <w:t xml:space="preserve">it is stated that </w:t>
      </w:r>
      <w:r>
        <w:t>d</w:t>
      </w:r>
      <w:r w:rsidRPr="00EA20ED">
        <w:t xml:space="preserve">ifelikefalin is mostly eliminated </w:t>
      </w:r>
      <w:proofErr w:type="spellStart"/>
      <w:r w:rsidRPr="00EA20ED">
        <w:t>unmetabolised</w:t>
      </w:r>
      <w:proofErr w:type="spellEnd"/>
      <w:r w:rsidRPr="00EA20ED">
        <w:t>, there</w:t>
      </w:r>
      <w:r>
        <w:t xml:space="preserve"> </w:t>
      </w:r>
      <w:r w:rsidRPr="00EA20ED">
        <w:t>is still a degree of metabolism taking place, albeit minimal. The latter can</w:t>
      </w:r>
      <w:r>
        <w:t>n</w:t>
      </w:r>
      <w:r w:rsidRPr="00EA20ED">
        <w:t>ot,</w:t>
      </w:r>
      <w:r>
        <w:t xml:space="preserve"> </w:t>
      </w:r>
      <w:r w:rsidRPr="00EA20ED">
        <w:t>therefore, be neglected in the presence of hepatic impairment.</w:t>
      </w:r>
    </w:p>
    <w:p w14:paraId="5387D3D4" w14:textId="24F3A610" w:rsidR="00EA20ED" w:rsidRPr="00EA20ED" w:rsidRDefault="00EA20ED" w:rsidP="00EA20ED">
      <w:pPr>
        <w:pStyle w:val="Heading7"/>
      </w:pPr>
      <w:r>
        <w:t xml:space="preserve">Pharmacokinetics </w:t>
      </w:r>
      <w:r w:rsidRPr="00EA20ED">
        <w:t>in subjects with impaired renal function</w:t>
      </w:r>
    </w:p>
    <w:p w14:paraId="0E96E34B" w14:textId="3204B9D7" w:rsidR="00EA20ED" w:rsidRPr="00EA20ED" w:rsidRDefault="00EA20ED" w:rsidP="001F495E">
      <w:r w:rsidRPr="00EA20ED">
        <w:t xml:space="preserve">Study </w:t>
      </w:r>
      <w:r>
        <w:t>CR845-</w:t>
      </w:r>
      <w:r w:rsidRPr="00EA20ED">
        <w:t>CLIN1005 compared the PKs and safety of a single 3</w:t>
      </w:r>
      <w:r>
        <w:t> </w:t>
      </w:r>
      <w:r w:rsidR="00A33AB5">
        <w:t>µ</w:t>
      </w:r>
      <w:r w:rsidRPr="00EA20ED">
        <w:t xml:space="preserve">g/kg IV dose of </w:t>
      </w:r>
      <w:r>
        <w:t>d</w:t>
      </w:r>
      <w:r w:rsidRPr="00EA20ED">
        <w:t>ifelikefalin in patients with various levels of renal impairment to matched healthy control subjects. For this study,</w:t>
      </w:r>
      <w:r>
        <w:t xml:space="preserve"> </w:t>
      </w:r>
      <w:r w:rsidRPr="00EA20ED">
        <w:t>patients had a clinical diagnosis of impaired renal function, based on estimated glomerular filtration rate</w:t>
      </w:r>
      <w:r w:rsidR="00A020D9">
        <w:t xml:space="preserve"> </w:t>
      </w:r>
      <w:r w:rsidRPr="00EA20ED">
        <w:t xml:space="preserve">and stratification, based on the screening </w:t>
      </w:r>
      <w:r w:rsidR="00A020D9" w:rsidRPr="00EA20ED">
        <w:t xml:space="preserve">estimated glomerular filtration rate </w:t>
      </w:r>
      <w:r w:rsidRPr="00EA20ED">
        <w:t xml:space="preserve">values. </w:t>
      </w:r>
      <w:r>
        <w:t>The results i</w:t>
      </w:r>
      <w:r w:rsidRPr="00EA20ED">
        <w:t xml:space="preserve">dentified no clear trend between </w:t>
      </w:r>
      <w:proofErr w:type="spellStart"/>
      <w:r w:rsidRPr="00EA20ED">
        <w:t>C</w:t>
      </w:r>
      <w:r w:rsidRPr="00EA20ED">
        <w:rPr>
          <w:vertAlign w:val="subscript"/>
        </w:rPr>
        <w:t>max</w:t>
      </w:r>
      <w:proofErr w:type="spellEnd"/>
      <w:r w:rsidRPr="00EA20ED">
        <w:t xml:space="preserve"> and </w:t>
      </w:r>
      <w:proofErr w:type="spellStart"/>
      <w:r w:rsidRPr="00EA20ED">
        <w:t>V</w:t>
      </w:r>
      <w:r w:rsidR="00A020D9">
        <w:t>d</w:t>
      </w:r>
      <w:proofErr w:type="spellEnd"/>
      <w:r w:rsidRPr="00EA20ED">
        <w:t xml:space="preserve"> versus degree of renal function</w:t>
      </w:r>
      <w:r>
        <w:t xml:space="preserve">. </w:t>
      </w:r>
      <w:r w:rsidRPr="00EA20ED">
        <w:t xml:space="preserve">By contrast, linear regression analyses indicated that </w:t>
      </w:r>
      <w:r>
        <w:t>d</w:t>
      </w:r>
      <w:r w:rsidRPr="00EA20ED">
        <w:t>ifelikefalin AUC</w:t>
      </w:r>
      <w:r w:rsidRPr="00EA20ED">
        <w:rPr>
          <w:vertAlign w:val="subscript"/>
        </w:rPr>
        <w:t>0-inf</w:t>
      </w:r>
      <w:r>
        <w:t>,</w:t>
      </w:r>
      <w:r w:rsidRPr="00EA20ED">
        <w:t xml:space="preserve"> </w:t>
      </w:r>
      <w:r w:rsidR="001F495E" w:rsidRPr="001F495E">
        <w:t>clearance</w:t>
      </w:r>
      <w:r w:rsidR="001F495E" w:rsidRPr="001F495E" w:rsidDel="001F495E">
        <w:t xml:space="preserve"> </w:t>
      </w:r>
      <w:r w:rsidRPr="00EA20ED">
        <w:t xml:space="preserve">and </w:t>
      </w:r>
      <w:r>
        <w:t>renal clearance</w:t>
      </w:r>
      <w:r w:rsidRPr="00EA20ED">
        <w:t xml:space="preserve"> were strongly correlated with renal function</w:t>
      </w:r>
      <w:r>
        <w:t xml:space="preserve">. </w:t>
      </w:r>
      <w:r w:rsidRPr="00EA20ED">
        <w:t xml:space="preserve">Total exposure and plasma </w:t>
      </w:r>
      <w:r w:rsidR="001F495E" w:rsidRPr="001F495E">
        <w:t xml:space="preserve">half-life </w:t>
      </w:r>
      <w:r w:rsidRPr="00EA20ED">
        <w:t xml:space="preserve">of </w:t>
      </w:r>
      <w:r>
        <w:t>d</w:t>
      </w:r>
      <w:r w:rsidRPr="00EA20ED">
        <w:t>ifelikefalin were inversely correlated with renal function (</w:t>
      </w:r>
      <w:r>
        <w:t>that is</w:t>
      </w:r>
      <w:r w:rsidRPr="00EA20ED">
        <w:t>,</w:t>
      </w:r>
      <w:r>
        <w:t xml:space="preserve"> </w:t>
      </w:r>
      <w:r w:rsidRPr="00EA20ED">
        <w:t xml:space="preserve">increased exposure is associated with decreased renal function), while </w:t>
      </w:r>
      <w:r w:rsidR="001F495E" w:rsidRPr="001F495E">
        <w:t>clearance</w:t>
      </w:r>
      <w:r w:rsidR="001F495E" w:rsidRPr="00EA20ED" w:rsidDel="001F495E">
        <w:t xml:space="preserve"> </w:t>
      </w:r>
      <w:r w:rsidRPr="00EA20ED">
        <w:t xml:space="preserve">and </w:t>
      </w:r>
      <w:r w:rsidR="001F495E" w:rsidRPr="001F495E">
        <w:t>renal clearance</w:t>
      </w:r>
      <w:r w:rsidRPr="00EA20ED">
        <w:t xml:space="preserve"> are directly</w:t>
      </w:r>
      <w:r>
        <w:t xml:space="preserve"> </w:t>
      </w:r>
      <w:r w:rsidRPr="00EA20ED">
        <w:t>correlated with renal function (</w:t>
      </w:r>
      <w:r>
        <w:t>that is</w:t>
      </w:r>
      <w:r w:rsidRPr="00EA20ED">
        <w:t>, decreased clearance is associated with decreased renal</w:t>
      </w:r>
      <w:r>
        <w:t xml:space="preserve"> </w:t>
      </w:r>
      <w:r w:rsidRPr="00EA20ED">
        <w:t>function).</w:t>
      </w:r>
    </w:p>
    <w:p w14:paraId="0F1003BE" w14:textId="5BCE1022" w:rsidR="00EA20ED" w:rsidRDefault="00EA20ED" w:rsidP="00EA20ED">
      <w:r w:rsidRPr="00EA20ED">
        <w:t xml:space="preserve">The </w:t>
      </w:r>
      <w:r w:rsidR="00A020D9">
        <w:t>D</w:t>
      </w:r>
      <w:r w:rsidRPr="00EA20ED">
        <w:t>elegate noted that following a 3</w:t>
      </w:r>
      <w:r>
        <w:t> </w:t>
      </w:r>
      <w:r w:rsidR="00A33AB5">
        <w:t>µ</w:t>
      </w:r>
      <w:r w:rsidRPr="00EA20ED">
        <w:t>g/kg IV dose to subjects with normal renal</w:t>
      </w:r>
      <w:r>
        <w:t xml:space="preserve"> </w:t>
      </w:r>
      <w:r w:rsidRPr="00EA20ED">
        <w:t>function and those with mild and moderate renal impairment, 84.3%,</w:t>
      </w:r>
      <w:r>
        <w:t xml:space="preserve"> </w:t>
      </w:r>
      <w:r w:rsidRPr="00EA20ED">
        <w:t xml:space="preserve">86.4% and 81.3% of </w:t>
      </w:r>
      <w:r>
        <w:t>d</w:t>
      </w:r>
      <w:r w:rsidRPr="00EA20ED">
        <w:t>ifelikefalin respectively, was excreted as unchanged</w:t>
      </w:r>
      <w:r>
        <w:t xml:space="preserve"> </w:t>
      </w:r>
      <w:r w:rsidRPr="00EA20ED">
        <w:t>drug in the urine</w:t>
      </w:r>
      <w:r>
        <w:t>,</w:t>
      </w:r>
      <w:r w:rsidRPr="00EA20ED">
        <w:t xml:space="preserve"> the primary excretion pathway </w:t>
      </w:r>
      <w:r>
        <w:t>(</w:t>
      </w:r>
      <w:r w:rsidRPr="00EA20ED">
        <w:t>responsible for 80.5%</w:t>
      </w:r>
      <w:r>
        <w:t xml:space="preserve"> </w:t>
      </w:r>
      <w:r w:rsidRPr="00EA20ED">
        <w:t>of excretion in healthy subjects</w:t>
      </w:r>
      <w:r>
        <w:t>)</w:t>
      </w:r>
      <w:r w:rsidRPr="00EA20ED">
        <w:t>.</w:t>
      </w:r>
    </w:p>
    <w:p w14:paraId="0DC48DF7" w14:textId="41A3EC6A" w:rsidR="00EA20ED" w:rsidRDefault="00EA20ED" w:rsidP="00EA20ED">
      <w:pPr>
        <w:pStyle w:val="Heading7"/>
      </w:pPr>
      <w:r>
        <w:t>Pharmacokinetics in other special populations</w:t>
      </w:r>
    </w:p>
    <w:p w14:paraId="3963FC3E" w14:textId="701BA052" w:rsidR="00EA20ED" w:rsidRPr="00EA20ED" w:rsidRDefault="00EA20ED" w:rsidP="00EA20ED">
      <w:r w:rsidRPr="00EA20ED">
        <w:t xml:space="preserve">A range of covariates were screened for inclusion into the </w:t>
      </w:r>
      <w:proofErr w:type="spellStart"/>
      <w:r>
        <w:t>p</w:t>
      </w:r>
      <w:r w:rsidRPr="00EA20ED">
        <w:t>opPK</w:t>
      </w:r>
      <w:proofErr w:type="spellEnd"/>
      <w:r w:rsidRPr="00EA20ED">
        <w:t xml:space="preserve"> </w:t>
      </w:r>
      <w:r>
        <w:t>‘</w:t>
      </w:r>
      <w:r w:rsidRPr="00EA20ED">
        <w:t>IV only</w:t>
      </w:r>
      <w:r>
        <w:t xml:space="preserve">’ </w:t>
      </w:r>
      <w:r w:rsidRPr="00EA20ED">
        <w:t xml:space="preserve">model developed in Study CTX0201F. The covariates include the following variables: </w:t>
      </w:r>
    </w:p>
    <w:p w14:paraId="4BD09EE7" w14:textId="143B424E" w:rsidR="00EA20ED" w:rsidRPr="00EA20ED" w:rsidRDefault="00EA20ED" w:rsidP="00EA20ED">
      <w:pPr>
        <w:pStyle w:val="ListBullet"/>
      </w:pPr>
      <w:r w:rsidRPr="00EA20ED">
        <w:t>gender</w:t>
      </w:r>
    </w:p>
    <w:p w14:paraId="1D6CEF98" w14:textId="1862B3C5" w:rsidR="00EA20ED" w:rsidRPr="00EA20ED" w:rsidRDefault="00EA20ED" w:rsidP="00EA20ED">
      <w:pPr>
        <w:pStyle w:val="ListBullet"/>
      </w:pPr>
      <w:r w:rsidRPr="00EA20ED">
        <w:t>age</w:t>
      </w:r>
    </w:p>
    <w:p w14:paraId="77304E5E" w14:textId="4D642478" w:rsidR="00EA20ED" w:rsidRPr="00EA20ED" w:rsidRDefault="00EA20ED" w:rsidP="00EA20ED">
      <w:pPr>
        <w:pStyle w:val="ListBullet"/>
      </w:pPr>
      <w:r w:rsidRPr="00EA20ED">
        <w:t>race</w:t>
      </w:r>
    </w:p>
    <w:p w14:paraId="133B562D" w14:textId="6D3E8C5E" w:rsidR="00EA20ED" w:rsidRPr="00EA20ED" w:rsidRDefault="00EA20ED" w:rsidP="00EA20ED">
      <w:pPr>
        <w:pStyle w:val="ListBullet"/>
      </w:pPr>
      <w:r w:rsidRPr="00EA20ED">
        <w:t>baseline body weight</w:t>
      </w:r>
    </w:p>
    <w:p w14:paraId="6665B0B8" w14:textId="1DC0A159" w:rsidR="00EA20ED" w:rsidRPr="00EA20ED" w:rsidRDefault="00EA20ED" w:rsidP="00EA20ED">
      <w:pPr>
        <w:pStyle w:val="ListBullet"/>
      </w:pPr>
      <w:r w:rsidRPr="00EA20ED">
        <w:t>modification of diet in renal disease (</w:t>
      </w:r>
      <w:r w:rsidRPr="00A020D9">
        <w:t>MDRD</w:t>
      </w:r>
      <w:r w:rsidRPr="00EA20ED">
        <w:t>)</w:t>
      </w:r>
    </w:p>
    <w:p w14:paraId="663981C5" w14:textId="11E0A8E3" w:rsidR="00EA20ED" w:rsidRPr="00EA20ED" w:rsidRDefault="00EA20ED" w:rsidP="00EA20ED">
      <w:pPr>
        <w:pStyle w:val="ListBullet"/>
      </w:pPr>
      <w:r w:rsidRPr="00EA20ED">
        <w:t>baseline hepatic function using laboratory values such as baseline bilirubin and baseline aspartate aminotransferase</w:t>
      </w:r>
      <w:r>
        <w:t>.</w:t>
      </w:r>
    </w:p>
    <w:p w14:paraId="4F11C4DF" w14:textId="234590CA" w:rsidR="00EA20ED" w:rsidRDefault="00EA20ED" w:rsidP="00EA20ED">
      <w:r w:rsidRPr="00EA20ED">
        <w:lastRenderedPageBreak/>
        <w:t xml:space="preserve">In this study, MDRD was used to classify renal function as it estimates </w:t>
      </w:r>
      <w:r w:rsidR="00A020D9">
        <w:t>g</w:t>
      </w:r>
      <w:r w:rsidR="00A020D9" w:rsidRPr="00A020D9">
        <w:t xml:space="preserve">lomerular filtration rate </w:t>
      </w:r>
      <w:r w:rsidRPr="00EA20ED">
        <w:t xml:space="preserve">and is influenced by age. The final IV </w:t>
      </w:r>
      <w:proofErr w:type="spellStart"/>
      <w:r>
        <w:t>p</w:t>
      </w:r>
      <w:r w:rsidRPr="00EA20ED">
        <w:t>opPK</w:t>
      </w:r>
      <w:proofErr w:type="spellEnd"/>
      <w:r w:rsidRPr="00EA20ED">
        <w:t xml:space="preserve"> model identified </w:t>
      </w:r>
      <w:r>
        <w:t>a</w:t>
      </w:r>
      <w:r w:rsidRPr="00EA20ED">
        <w:t>spartate aminotransferase</w:t>
      </w:r>
      <w:r>
        <w:t xml:space="preserve"> </w:t>
      </w:r>
      <w:r w:rsidRPr="00EA20ED">
        <w:t>and</w:t>
      </w:r>
      <w:r>
        <w:t xml:space="preserve"> bilirubin</w:t>
      </w:r>
      <w:r w:rsidRPr="00EA20ED">
        <w:t xml:space="preserve"> as covariates on </w:t>
      </w:r>
      <w:r w:rsidR="001F495E" w:rsidRPr="001F495E">
        <w:t>clearance</w:t>
      </w:r>
      <w:r w:rsidR="001F495E" w:rsidRPr="00EA20ED" w:rsidDel="001F495E">
        <w:t xml:space="preserve"> </w:t>
      </w:r>
      <w:r w:rsidRPr="00EA20ED">
        <w:t xml:space="preserve">and, the MDRD effect was a covariate of both </w:t>
      </w:r>
      <w:r w:rsidR="001F495E" w:rsidRPr="001F495E">
        <w:t>clearance</w:t>
      </w:r>
      <w:r w:rsidR="001F495E" w:rsidRPr="00EA20ED" w:rsidDel="001F495E">
        <w:t xml:space="preserve"> </w:t>
      </w:r>
      <w:r w:rsidRPr="00EA20ED">
        <w:t xml:space="preserve">and </w:t>
      </w:r>
      <w:proofErr w:type="spellStart"/>
      <w:r w:rsidRPr="00EA20ED">
        <w:t>V</w:t>
      </w:r>
      <w:r w:rsidR="00A020D9">
        <w:t>d</w:t>
      </w:r>
      <w:proofErr w:type="spellEnd"/>
      <w:r w:rsidRPr="00EA20ED">
        <w:t xml:space="preserve">. Inclusion of these covariates allowed the final IV model to explain more than 50% of the observed </w:t>
      </w:r>
      <w:r>
        <w:t>i</w:t>
      </w:r>
      <w:r w:rsidRPr="00EA20ED">
        <w:t>nter</w:t>
      </w:r>
      <w:r>
        <w:t>i</w:t>
      </w:r>
      <w:r w:rsidRPr="00EA20ED">
        <w:t xml:space="preserve">ndividual </w:t>
      </w:r>
      <w:r>
        <w:t>v</w:t>
      </w:r>
      <w:r w:rsidRPr="00EA20ED">
        <w:t xml:space="preserve">ariability on </w:t>
      </w:r>
      <w:r>
        <w:t>d</w:t>
      </w:r>
      <w:r w:rsidRPr="00EA20ED">
        <w:t xml:space="preserve">ifelikefalin elimination, which had been identified in the base model (base model CV% = 139 versus final model CV% = 43.5). By contrast, the final IV model showed no effect of subject race or gender on </w:t>
      </w:r>
      <w:r>
        <w:t>d</w:t>
      </w:r>
      <w:r w:rsidRPr="00EA20ED">
        <w:t>ifelikefalin exposure.</w:t>
      </w:r>
    </w:p>
    <w:p w14:paraId="601B40D8" w14:textId="211BB751" w:rsidR="00EA20ED" w:rsidRPr="00EA20ED" w:rsidRDefault="00EA20ED" w:rsidP="00EA20ED">
      <w:pPr>
        <w:pStyle w:val="Heading7"/>
      </w:pPr>
      <w:r>
        <w:t>P</w:t>
      </w:r>
      <w:r w:rsidRPr="00EA20ED">
        <w:t>op</w:t>
      </w:r>
      <w:r>
        <w:t xml:space="preserve">ulation pharmacokinetic </w:t>
      </w:r>
      <w:r w:rsidRPr="00EA20ED">
        <w:t>analysis</w:t>
      </w:r>
    </w:p>
    <w:p w14:paraId="5F4695CE" w14:textId="068161B3" w:rsidR="00EA20ED" w:rsidRPr="00EA20ED" w:rsidRDefault="00EA20ED" w:rsidP="00EA20ED">
      <w:r w:rsidRPr="00EA20ED">
        <w:t xml:space="preserve">Study CTX0201F represented a </w:t>
      </w:r>
      <w:proofErr w:type="spellStart"/>
      <w:r w:rsidRPr="00EA20ED">
        <w:t>popPK</w:t>
      </w:r>
      <w:proofErr w:type="spellEnd"/>
      <w:r w:rsidRPr="00EA20ED">
        <w:t xml:space="preserve"> analysis based on the results of 17 clinical trials that provided PK data. This dataset included healthy subjects and patients that had been administered either IV or oral </w:t>
      </w:r>
      <w:r>
        <w:t>d</w:t>
      </w:r>
      <w:r w:rsidRPr="00EA20ED">
        <w:t>ifelikefalin. Therefore, only the outcomes pertaining to the IV administered subjects will be discussed as part of this report</w:t>
      </w:r>
      <w:r>
        <w:t>.</w:t>
      </w:r>
    </w:p>
    <w:p w14:paraId="0F653543" w14:textId="4CD252FD" w:rsidR="00EA20ED" w:rsidRPr="00EA20ED" w:rsidRDefault="00EA20ED" w:rsidP="00EA20ED">
      <w:r w:rsidRPr="00EA20ED">
        <w:t xml:space="preserve">The final </w:t>
      </w:r>
      <w:r>
        <w:t>‘</w:t>
      </w:r>
      <w:r w:rsidRPr="00EA20ED">
        <w:t>IV only</w:t>
      </w:r>
      <w:r>
        <w:t>’</w:t>
      </w:r>
      <w:r w:rsidRPr="00EA20ED">
        <w:t xml:space="preserve"> analyses identified that a three</w:t>
      </w:r>
      <w:r w:rsidR="00A020D9">
        <w:t xml:space="preserve"> </w:t>
      </w:r>
      <w:r w:rsidRPr="00EA20ED">
        <w:t xml:space="preserve">compartment </w:t>
      </w:r>
      <w:proofErr w:type="spellStart"/>
      <w:r>
        <w:t>p</w:t>
      </w:r>
      <w:r w:rsidRPr="00EA20ED">
        <w:t>opPK</w:t>
      </w:r>
      <w:proofErr w:type="spellEnd"/>
      <w:r w:rsidRPr="00EA20ED">
        <w:t xml:space="preserve"> model provided the best and most parsimonious fit to the data and included fixed effects of body weight on all clearance and volume terms. As mentioned previously, </w:t>
      </w:r>
      <w:r w:rsidR="00A020D9">
        <w:t>a</w:t>
      </w:r>
      <w:r w:rsidR="00A020D9" w:rsidRPr="00EA20ED">
        <w:t>spartate aminotransferase</w:t>
      </w:r>
      <w:r w:rsidR="00A020D9">
        <w:t xml:space="preserve"> </w:t>
      </w:r>
      <w:r w:rsidRPr="00EA20ED">
        <w:t xml:space="preserve">and </w:t>
      </w:r>
      <w:r w:rsidR="00A020D9">
        <w:t>bilirubin w</w:t>
      </w:r>
      <w:r w:rsidRPr="00EA20ED">
        <w:t xml:space="preserve">ere identified as covariates on </w:t>
      </w:r>
      <w:r w:rsidR="001F495E" w:rsidRPr="001F495E">
        <w:t>clearance</w:t>
      </w:r>
      <w:r w:rsidR="001F495E" w:rsidRPr="00EA20ED" w:rsidDel="001F495E">
        <w:t xml:space="preserve"> </w:t>
      </w:r>
      <w:r w:rsidRPr="00EA20ED">
        <w:t xml:space="preserve">and, the MDRD effect was a covariate of both </w:t>
      </w:r>
      <w:r w:rsidR="001F495E" w:rsidRPr="001F495E">
        <w:t>clearance</w:t>
      </w:r>
      <w:r w:rsidR="001F495E" w:rsidRPr="00EA20ED" w:rsidDel="001F495E">
        <w:t xml:space="preserve"> </w:t>
      </w:r>
      <w:r w:rsidRPr="00EA20ED">
        <w:t>and V.</w:t>
      </w:r>
    </w:p>
    <w:p w14:paraId="693C7C47" w14:textId="7496E519" w:rsidR="00EA20ED" w:rsidRPr="00EA20ED" w:rsidRDefault="00EA20ED" w:rsidP="00E81FD4">
      <w:pPr>
        <w:pStyle w:val="Heading6"/>
      </w:pPr>
      <w:r>
        <w:t xml:space="preserve">Pharmacokinetic </w:t>
      </w:r>
      <w:r w:rsidRPr="00EA20ED">
        <w:t>interactions</w:t>
      </w:r>
    </w:p>
    <w:p w14:paraId="7196C641" w14:textId="56B424C9" w:rsidR="00EA20ED" w:rsidRPr="00EA20ED" w:rsidRDefault="00EA20ED" w:rsidP="00EA20ED">
      <w:r>
        <w:t>G</w:t>
      </w:r>
      <w:r w:rsidRPr="00EA20ED">
        <w:t xml:space="preserve">iven the metabolic stability of </w:t>
      </w:r>
      <w:r>
        <w:t>d</w:t>
      </w:r>
      <w:r w:rsidRPr="00EA20ED">
        <w:t xml:space="preserve">ifelikefalin in humans and the </w:t>
      </w:r>
      <w:r w:rsidRPr="00EA20ED">
        <w:rPr>
          <w:i/>
          <w:iCs/>
        </w:rPr>
        <w:t>in vitro</w:t>
      </w:r>
      <w:r w:rsidRPr="00EA20ED">
        <w:t xml:space="preserve"> evidence indicating it is not an inducer, inhibitor or substrate for clinically relevant enzymes and transporters, </w:t>
      </w:r>
      <w:r>
        <w:t>d</w:t>
      </w:r>
      <w:r w:rsidRPr="00EA20ED">
        <w:t>ifelikefalin is unlikely to interact with co-administered medications.</w:t>
      </w:r>
    </w:p>
    <w:p w14:paraId="369C22B1" w14:textId="4C291CE0" w:rsidR="00EA20ED" w:rsidRPr="00EA20ED" w:rsidRDefault="00EA20ED" w:rsidP="00EA20ED">
      <w:pPr>
        <w:pStyle w:val="Heading6"/>
      </w:pPr>
      <w:r>
        <w:t>O</w:t>
      </w:r>
      <w:r w:rsidRPr="00EA20ED">
        <w:t>verall conclusions on pharmacokinetics</w:t>
      </w:r>
    </w:p>
    <w:p w14:paraId="7B22928F" w14:textId="74DAC1BF" w:rsidR="00EA20ED" w:rsidRPr="00EA20ED" w:rsidRDefault="00EA20ED" w:rsidP="00EA20ED">
      <w:r w:rsidRPr="00EA20ED">
        <w:t>The conduct of the studies that were provided in support of the current submission was satisfactory, the data analyses undertaken were appropriate and the analytical methods used to measure exposure levels were validated.</w:t>
      </w:r>
    </w:p>
    <w:p w14:paraId="785D6CD6" w14:textId="04FE79EB" w:rsidR="00EA20ED" w:rsidRPr="00EA20ED" w:rsidRDefault="00EA20ED" w:rsidP="00EA20ED">
      <w:r w:rsidRPr="00EA20ED">
        <w:t>Absorption, distribution, metabolism, and excretion:</w:t>
      </w:r>
    </w:p>
    <w:p w14:paraId="3325355E" w14:textId="5B86975E" w:rsidR="00EA20ED" w:rsidRPr="00EA20ED" w:rsidRDefault="00EA20ED" w:rsidP="00EA20ED">
      <w:pPr>
        <w:pStyle w:val="ListBullet"/>
      </w:pPr>
      <w:r w:rsidRPr="00EA20ED">
        <w:t>Difelikefalin solution for injection is to be administered via IV bolus injection.</w:t>
      </w:r>
    </w:p>
    <w:p w14:paraId="45C278B6" w14:textId="43882C95" w:rsidR="00EA20ED" w:rsidRPr="00EA20ED" w:rsidRDefault="00EA20ED" w:rsidP="009E4B11">
      <w:pPr>
        <w:pStyle w:val="ListBullet"/>
      </w:pPr>
      <w:r w:rsidRPr="00EA20ED">
        <w:t xml:space="preserve">Following the proposed recommended IV dose to healthy subjects or Japanese patients receiving </w:t>
      </w:r>
      <w:r w:rsidR="001F495E">
        <w:t>haemodialysis</w:t>
      </w:r>
      <w:r w:rsidRPr="00EA20ED">
        <w:t xml:space="preserve">, the </w:t>
      </w:r>
      <w:proofErr w:type="spellStart"/>
      <w:r w:rsidRPr="00EA20ED">
        <w:t>T</w:t>
      </w:r>
      <w:r w:rsidRPr="00EA20ED">
        <w:rPr>
          <w:vertAlign w:val="subscript"/>
        </w:rPr>
        <w:t>max</w:t>
      </w:r>
      <w:proofErr w:type="spellEnd"/>
      <w:r w:rsidRPr="00EA20ED">
        <w:t xml:space="preserve"> was approximately 0.08 h</w:t>
      </w:r>
      <w:r>
        <w:t>ours</w:t>
      </w:r>
      <w:r w:rsidRPr="00EA20ED">
        <w:t>.</w:t>
      </w:r>
    </w:p>
    <w:p w14:paraId="6F803167" w14:textId="0C0B0B88" w:rsidR="00EA20ED" w:rsidRPr="00EA20ED" w:rsidRDefault="00EA20ED" w:rsidP="009E4B11">
      <w:pPr>
        <w:pStyle w:val="ListBullet"/>
      </w:pPr>
      <w:r w:rsidRPr="00EA20ED">
        <w:t xml:space="preserve">Following single and multiple IV doses of </w:t>
      </w:r>
      <w:r>
        <w:t>d</w:t>
      </w:r>
      <w:r w:rsidRPr="00EA20ED">
        <w:t xml:space="preserve">ifelikefalin at a range of strengths, </w:t>
      </w:r>
      <w:r>
        <w:t>d</w:t>
      </w:r>
      <w:r w:rsidRPr="00EA20ED">
        <w:t>ifelikefalin exposure increased with dose in a linear or slightly</w:t>
      </w:r>
      <w:r>
        <w:t xml:space="preserve"> </w:t>
      </w:r>
      <w:r w:rsidRPr="00EA20ED">
        <w:t>less than linear</w:t>
      </w:r>
      <w:r>
        <w:t xml:space="preserve"> </w:t>
      </w:r>
      <w:r w:rsidRPr="00EA20ED">
        <w:t xml:space="preserve">fashion in both healthy subjects and </w:t>
      </w:r>
      <w:r w:rsidR="001F495E">
        <w:t>haemodialysis</w:t>
      </w:r>
      <w:r w:rsidRPr="00EA20ED">
        <w:t xml:space="preserve"> patients. Steady state was achieved prior to the administration of the second or third infusion.</w:t>
      </w:r>
    </w:p>
    <w:p w14:paraId="23F41C67" w14:textId="4C38C5A7" w:rsidR="00EA20ED" w:rsidRPr="00EA20ED" w:rsidRDefault="00EA20ED" w:rsidP="00EA20ED">
      <w:pPr>
        <w:pStyle w:val="ListBullet"/>
      </w:pPr>
      <w:r w:rsidRPr="00EA20ED">
        <w:t>Following administration of a single IV dose of 0.5</w:t>
      </w:r>
      <w:r>
        <w:t> </w:t>
      </w:r>
      <w:r w:rsidR="00A33AB5">
        <w:t>µ</w:t>
      </w:r>
      <w:r w:rsidRPr="00EA20ED">
        <w:t xml:space="preserve">g/kg </w:t>
      </w:r>
      <w:r>
        <w:t>d</w:t>
      </w:r>
      <w:r w:rsidRPr="00EA20ED">
        <w:t>ifelikefalin to a 70</w:t>
      </w:r>
      <w:r>
        <w:t> </w:t>
      </w:r>
      <w:r w:rsidRPr="00EA20ED">
        <w:t xml:space="preserve">kg healthy subject, the </w:t>
      </w:r>
      <w:r>
        <w:t>geometric mean</w:t>
      </w:r>
      <w:r w:rsidRPr="00EA20ED">
        <w:t xml:space="preserve"> </w:t>
      </w:r>
      <w:proofErr w:type="spellStart"/>
      <w:r w:rsidRPr="00EA20ED">
        <w:t>V</w:t>
      </w:r>
      <w:r w:rsidR="00A020D9">
        <w:t>d</w:t>
      </w:r>
      <w:proofErr w:type="spellEnd"/>
      <w:r w:rsidRPr="00EA20ED">
        <w:t xml:space="preserve"> was approximately 11.8</w:t>
      </w:r>
      <w:r>
        <w:t> </w:t>
      </w:r>
      <w:r w:rsidRPr="00EA20ED">
        <w:t xml:space="preserve">L and the corresponding value in a Japanese </w:t>
      </w:r>
      <w:r w:rsidR="001F495E">
        <w:t>haemodialysis</w:t>
      </w:r>
      <w:r w:rsidRPr="00EA20ED">
        <w:t xml:space="preserve"> patient after their </w:t>
      </w:r>
      <w:r>
        <w:t>third</w:t>
      </w:r>
      <w:r w:rsidRPr="00EA20ED">
        <w:t xml:space="preserve"> IV dose of 0.5</w:t>
      </w:r>
      <w:r>
        <w:t> </w:t>
      </w:r>
      <w:r w:rsidR="00A33AB5">
        <w:t>µ</w:t>
      </w:r>
      <w:r w:rsidRPr="00EA20ED">
        <w:t xml:space="preserve">g/kg </w:t>
      </w:r>
      <w:r>
        <w:t>d</w:t>
      </w:r>
      <w:r w:rsidRPr="00EA20ED">
        <w:t>ifelikefalin following dialysis was 23.9</w:t>
      </w:r>
      <w:r>
        <w:t> </w:t>
      </w:r>
      <w:r w:rsidRPr="00EA20ED">
        <w:t>L.</w:t>
      </w:r>
    </w:p>
    <w:p w14:paraId="66F2691E" w14:textId="01F66041" w:rsidR="00EA20ED" w:rsidRPr="00EA20ED" w:rsidRDefault="00EA20ED" w:rsidP="00EA20ED">
      <w:pPr>
        <w:pStyle w:val="ListBullet"/>
      </w:pPr>
      <w:r w:rsidRPr="00EA20ED">
        <w:t xml:space="preserve">In subjects with normal renal function and mild, </w:t>
      </w:r>
      <w:proofErr w:type="gramStart"/>
      <w:r w:rsidRPr="00EA20ED">
        <w:t>moderate</w:t>
      </w:r>
      <w:proofErr w:type="gramEnd"/>
      <w:r w:rsidRPr="00EA20ED">
        <w:t xml:space="preserve"> and severe renal impairment, binding to protein in human plasma was low to moderate, ranging from 24% to 32%. Similarly, in </w:t>
      </w:r>
      <w:r w:rsidR="001F495E">
        <w:t>haemodialysis</w:t>
      </w:r>
      <w:r w:rsidRPr="00EA20ED">
        <w:t xml:space="preserve"> patients, binding to protein in human plasma ranged from 23% to 28%.</w:t>
      </w:r>
    </w:p>
    <w:p w14:paraId="7CB78B99" w14:textId="286B8925" w:rsidR="00EA20ED" w:rsidRPr="00EA20ED" w:rsidRDefault="00EA20ED" w:rsidP="00EA20ED">
      <w:pPr>
        <w:pStyle w:val="ListBullet"/>
      </w:pPr>
      <w:r w:rsidRPr="00EA20ED">
        <w:t xml:space="preserve">The total radioactivity blood to plasma ratios, were 0.62 and 0.55 for patients with ESRD on </w:t>
      </w:r>
      <w:r w:rsidR="001F495E">
        <w:t>haemodialysis</w:t>
      </w:r>
      <w:r w:rsidRPr="00EA20ED">
        <w:t xml:space="preserve"> and healthy subjects, respectively.</w:t>
      </w:r>
    </w:p>
    <w:p w14:paraId="28735569" w14:textId="1CD6DDCC" w:rsidR="00EA20ED" w:rsidRPr="00EA20ED" w:rsidRDefault="00EA20ED" w:rsidP="00EA20ED">
      <w:pPr>
        <w:pStyle w:val="ListBullet"/>
      </w:pPr>
      <w:r w:rsidRPr="00EA20ED">
        <w:lastRenderedPageBreak/>
        <w:t>Difelikefalin undergoes limited metabolism as it accounted for</w:t>
      </w:r>
      <w:r>
        <w:t xml:space="preserve"> greater than </w:t>
      </w:r>
      <w:r w:rsidRPr="00EA20ED">
        <w:t>99% of the total systemic exposure and is primarily excreted as unchanged drug.</w:t>
      </w:r>
    </w:p>
    <w:p w14:paraId="6BA0551D" w14:textId="12460F89" w:rsidR="00EA20ED" w:rsidRPr="00EA20ED" w:rsidRDefault="00EA20ED" w:rsidP="00EA20ED">
      <w:pPr>
        <w:pStyle w:val="ListBullet"/>
      </w:pPr>
      <w:r w:rsidRPr="00EA20ED">
        <w:t xml:space="preserve">In healthy subjects and patients with ESRD on </w:t>
      </w:r>
      <w:r w:rsidR="001F495E">
        <w:t>haemodialysis</w:t>
      </w:r>
      <w:r w:rsidRPr="00EA20ED">
        <w:t xml:space="preserve">, MP1 is the most prevalent metabolite in systemic circulation and represents between 0.1 </w:t>
      </w:r>
      <w:r>
        <w:t>to</w:t>
      </w:r>
      <w:r w:rsidRPr="00EA20ED">
        <w:t xml:space="preserve"> 0.48% of total exposure.</w:t>
      </w:r>
    </w:p>
    <w:p w14:paraId="00EE2DAE" w14:textId="7ADC7BBC" w:rsidR="00EA20ED" w:rsidRPr="00EA20ED" w:rsidRDefault="00EA20ED" w:rsidP="00EA20ED">
      <w:pPr>
        <w:pStyle w:val="ListBullet"/>
      </w:pPr>
      <w:r w:rsidRPr="00EA20ED">
        <w:t xml:space="preserve">In healthy subjects, </w:t>
      </w:r>
      <w:r>
        <w:t>d</w:t>
      </w:r>
      <w:r w:rsidRPr="00EA20ED">
        <w:t xml:space="preserve">ifelikefalin is primarily excreted via the urine (80.5%) and a further 11.3% is recovered in faeces. By contrast, in ESRD patients on </w:t>
      </w:r>
      <w:r w:rsidR="001F495E">
        <w:t>haemodialysis</w:t>
      </w:r>
      <w:r w:rsidRPr="00EA20ED">
        <w:t xml:space="preserve">, only 11.2% is </w:t>
      </w:r>
      <w:r>
        <w:t xml:space="preserve">recovered </w:t>
      </w:r>
      <w:r w:rsidRPr="00EA20ED">
        <w:t>in urine, whereas 58.8% was recovered in faeces and 19.5% from dialysate.</w:t>
      </w:r>
    </w:p>
    <w:p w14:paraId="5C40929D" w14:textId="4226AE3A" w:rsidR="00EA20ED" w:rsidRPr="00EA20ED" w:rsidRDefault="00EA20ED" w:rsidP="00EA20ED">
      <w:r w:rsidRPr="00EA20ED">
        <w:t>Variability:</w:t>
      </w:r>
    </w:p>
    <w:p w14:paraId="0E8CD7AD" w14:textId="622471C9" w:rsidR="00EA20ED" w:rsidRPr="00EA20ED" w:rsidRDefault="00EA20ED" w:rsidP="009E4B11">
      <w:pPr>
        <w:pStyle w:val="ListBullet"/>
      </w:pPr>
      <w:proofErr w:type="spellStart"/>
      <w:r w:rsidRPr="00EA20ED">
        <w:t>PopPK</w:t>
      </w:r>
      <w:proofErr w:type="spellEnd"/>
      <w:r w:rsidRPr="00EA20ED">
        <w:t xml:space="preserve"> estimates of the</w:t>
      </w:r>
      <w:r w:rsidR="00A020D9">
        <w:t xml:space="preserve"> i</w:t>
      </w:r>
      <w:r w:rsidR="00A020D9" w:rsidRPr="00EA20ED">
        <w:t>nter</w:t>
      </w:r>
      <w:r w:rsidR="00A020D9">
        <w:t>i</w:t>
      </w:r>
      <w:r w:rsidR="00A020D9" w:rsidRPr="00EA20ED">
        <w:t xml:space="preserve">ndividual </w:t>
      </w:r>
      <w:r w:rsidR="00A020D9">
        <w:t>v</w:t>
      </w:r>
      <w:r w:rsidR="00A020D9" w:rsidRPr="00EA20ED">
        <w:t>ariability</w:t>
      </w:r>
      <w:r w:rsidRPr="00EA20ED">
        <w:t xml:space="preserve"> on </w:t>
      </w:r>
      <w:r w:rsidR="00E81FD4">
        <w:t>clearance</w:t>
      </w:r>
      <w:r w:rsidRPr="00EA20ED">
        <w:t xml:space="preserve">, </w:t>
      </w:r>
      <w:r>
        <w:t>central volume</w:t>
      </w:r>
      <w:r w:rsidRPr="00EA20ED">
        <w:t>, intercompartmental clearance from central volume,</w:t>
      </w:r>
      <w:r>
        <w:t xml:space="preserve"> </w:t>
      </w:r>
      <w:r w:rsidRPr="00EA20ED">
        <w:t>peripheral volume 1, intercompartmental clearance from peripheral volume and peripheral volume 2 were 43.5%, 43%, 92.3%, 62%, 83.6% and 59.8%, respectively and the %CV on the proportional error was 18.4%.</w:t>
      </w:r>
    </w:p>
    <w:p w14:paraId="4C3AB40E" w14:textId="1B8CC281" w:rsidR="00EA20ED" w:rsidRPr="00EA20ED" w:rsidRDefault="00EA20ED" w:rsidP="00EA20ED">
      <w:r w:rsidRPr="00EA20ED">
        <w:t xml:space="preserve">In the </w:t>
      </w:r>
      <w:r>
        <w:t>t</w:t>
      </w:r>
      <w:r w:rsidRPr="00EA20ED">
        <w:t>arget population:</w:t>
      </w:r>
    </w:p>
    <w:p w14:paraId="6775F0CD" w14:textId="6BE36FBE" w:rsidR="00EA20ED" w:rsidRPr="00EA20ED" w:rsidRDefault="00EA20ED" w:rsidP="009E4B11">
      <w:pPr>
        <w:pStyle w:val="ListBullet"/>
      </w:pPr>
      <w:r w:rsidRPr="00EA20ED">
        <w:t>Following an IV dose containing 100</w:t>
      </w:r>
      <w:r>
        <w:t> </w:t>
      </w:r>
      <w:r w:rsidR="00A33AB5">
        <w:t>µ</w:t>
      </w:r>
      <w:r w:rsidRPr="00EA20ED">
        <w:t xml:space="preserve">Ci of </w:t>
      </w:r>
      <w:r w:rsidR="003C5373">
        <w:t>[</w:t>
      </w:r>
      <w:r w:rsidRPr="00EA20ED">
        <w:rPr>
          <w:vertAlign w:val="superscript"/>
        </w:rPr>
        <w:t>14</w:t>
      </w:r>
      <w:r w:rsidRPr="00EA20ED">
        <w:t>C</w:t>
      </w:r>
      <w:r w:rsidR="003C5373">
        <w:t>]</w:t>
      </w:r>
      <w:r w:rsidRPr="00EA20ED">
        <w:t xml:space="preserve"> </w:t>
      </w:r>
      <w:r>
        <w:t>d</w:t>
      </w:r>
      <w:r w:rsidRPr="00EA20ED">
        <w:t xml:space="preserve">ifelikefalin, the </w:t>
      </w:r>
      <w:proofErr w:type="spellStart"/>
      <w:r w:rsidRPr="00EA20ED">
        <w:t>C</w:t>
      </w:r>
      <w:r w:rsidRPr="00EA20ED">
        <w:rPr>
          <w:vertAlign w:val="subscript"/>
        </w:rPr>
        <w:t>max</w:t>
      </w:r>
      <w:proofErr w:type="spellEnd"/>
      <w:r w:rsidRPr="00EA20ED">
        <w:t xml:space="preserve"> and </w:t>
      </w:r>
      <w:proofErr w:type="spellStart"/>
      <w:r w:rsidRPr="00EA20ED">
        <w:t>T</w:t>
      </w:r>
      <w:r w:rsidRPr="00EA20ED">
        <w:rPr>
          <w:vertAlign w:val="subscript"/>
        </w:rPr>
        <w:t>max</w:t>
      </w:r>
      <w:proofErr w:type="spellEnd"/>
      <w:r w:rsidRPr="00EA20ED">
        <w:t xml:space="preserve"> for</w:t>
      </w:r>
      <w:r>
        <w:t xml:space="preserve"> </w:t>
      </w:r>
      <w:r w:rsidRPr="00EA20ED">
        <w:t xml:space="preserve">total radioactivity were similar for both </w:t>
      </w:r>
      <w:r w:rsidR="001F495E">
        <w:t>haemodialysis</w:t>
      </w:r>
      <w:r w:rsidRPr="00EA20ED">
        <w:t xml:space="preserve"> patients and healthy subjects, </w:t>
      </w:r>
      <w:r w:rsidR="00A020D9" w:rsidRPr="00EA20ED">
        <w:t>whereas</w:t>
      </w:r>
      <w:r w:rsidRPr="00EA20ED">
        <w:t xml:space="preserve"> the AUC was approximately 11-fold higher for </w:t>
      </w:r>
      <w:r w:rsidR="001F495E">
        <w:t>haemodialysis</w:t>
      </w:r>
      <w:r w:rsidRPr="00EA20ED">
        <w:t xml:space="preserve"> patients. Moreover, mean </w:t>
      </w:r>
      <w:r w:rsidR="001F495E" w:rsidRPr="001F495E">
        <w:t>half-</w:t>
      </w:r>
      <w:proofErr w:type="gramStart"/>
      <w:r w:rsidR="001F495E" w:rsidRPr="001F495E">
        <w:t>life</w:t>
      </w:r>
      <w:r w:rsidR="001F495E" w:rsidRPr="00EA20ED" w:rsidDel="001F495E">
        <w:t xml:space="preserve"> </w:t>
      </w:r>
      <w:r w:rsidRPr="00EA20ED">
        <w:rPr>
          <w:vertAlign w:val="subscript"/>
        </w:rPr>
        <w:t xml:space="preserve"> </w:t>
      </w:r>
      <w:r w:rsidRPr="00EA20ED">
        <w:t>was</w:t>
      </w:r>
      <w:proofErr w:type="gramEnd"/>
      <w:r w:rsidRPr="00EA20ED">
        <w:t xml:space="preserve"> appreciably longer for </w:t>
      </w:r>
      <w:r w:rsidR="001F495E">
        <w:t>haemodialysis</w:t>
      </w:r>
      <w:r w:rsidRPr="00EA20ED">
        <w:t xml:space="preserve"> patients (38 h</w:t>
      </w:r>
      <w:r>
        <w:t>ours</w:t>
      </w:r>
      <w:r w:rsidRPr="00EA20ED">
        <w:t>) than for healthy subjects (2.6</w:t>
      </w:r>
      <w:r w:rsidR="00A302F0">
        <w:t> </w:t>
      </w:r>
      <w:r w:rsidRPr="00EA20ED">
        <w:t>h</w:t>
      </w:r>
      <w:r>
        <w:t>ours</w:t>
      </w:r>
      <w:r w:rsidRPr="00EA20ED">
        <w:t xml:space="preserve">) and mean </w:t>
      </w:r>
      <w:r w:rsidR="001F495E" w:rsidRPr="001F495E">
        <w:t>clearance</w:t>
      </w:r>
      <w:r w:rsidR="001F495E" w:rsidRPr="00EA20ED" w:rsidDel="001F495E">
        <w:t xml:space="preserve"> </w:t>
      </w:r>
      <w:r w:rsidRPr="00EA20ED">
        <w:t>was lower (0.448 L/h v</w:t>
      </w:r>
      <w:r>
        <w:t>ersus</w:t>
      </w:r>
      <w:r w:rsidRPr="00EA20ED">
        <w:t xml:space="preserve"> 4.7 L/h).</w:t>
      </w:r>
    </w:p>
    <w:p w14:paraId="32A3D0ED" w14:textId="4E31A339" w:rsidR="00EA20ED" w:rsidRPr="00EA20ED" w:rsidRDefault="00EA20ED" w:rsidP="00EA20ED">
      <w:r w:rsidRPr="00EA20ED">
        <w:t xml:space="preserve">In the </w:t>
      </w:r>
      <w:r>
        <w:t>s</w:t>
      </w:r>
      <w:r w:rsidRPr="00EA20ED">
        <w:t>pecial populations:</w:t>
      </w:r>
    </w:p>
    <w:p w14:paraId="2E3F9EB4" w14:textId="3690A9B1" w:rsidR="00EA20ED" w:rsidRPr="00EA20ED" w:rsidRDefault="00EA20ED" w:rsidP="009E4B11">
      <w:pPr>
        <w:pStyle w:val="ListBullet"/>
      </w:pPr>
      <w:r w:rsidRPr="00EA20ED">
        <w:t xml:space="preserve">Based on small group of patients in the </w:t>
      </w:r>
      <w:proofErr w:type="spellStart"/>
      <w:r w:rsidRPr="00EA20ED">
        <w:t>PopPK</w:t>
      </w:r>
      <w:proofErr w:type="spellEnd"/>
      <w:r w:rsidRPr="00EA20ED">
        <w:t xml:space="preserve"> dataset, the </w:t>
      </w:r>
      <w:r>
        <w:t>s</w:t>
      </w:r>
      <w:r w:rsidRPr="00EA20ED">
        <w:t>ponsor concluded that no</w:t>
      </w:r>
      <w:r w:rsidR="00A020D9">
        <w:t xml:space="preserve"> </w:t>
      </w:r>
      <w:r w:rsidRPr="00EA20ED">
        <w:t>dose adjustments were warranted based on hepatic impairment status.</w:t>
      </w:r>
    </w:p>
    <w:p w14:paraId="2010602E" w14:textId="2C131A74" w:rsidR="00EA20ED" w:rsidRPr="00EA20ED" w:rsidRDefault="00EA20ED" w:rsidP="009E4B11">
      <w:pPr>
        <w:pStyle w:val="ListBullet"/>
      </w:pPr>
      <w:r w:rsidRPr="00EA20ED">
        <w:t xml:space="preserve">Difelikefalin exposure and </w:t>
      </w:r>
      <w:r w:rsidR="001F495E" w:rsidRPr="001F495E">
        <w:t>half-life</w:t>
      </w:r>
      <w:r w:rsidRPr="00EA20ED">
        <w:t xml:space="preserve"> were inversely correlated with renal function, whereas </w:t>
      </w:r>
      <w:r w:rsidR="001F495E" w:rsidRPr="001F495E">
        <w:t>clearance</w:t>
      </w:r>
      <w:r w:rsidR="001F495E" w:rsidRPr="00EA20ED" w:rsidDel="001F495E">
        <w:t xml:space="preserve"> </w:t>
      </w:r>
      <w:r w:rsidRPr="00EA20ED">
        <w:t xml:space="preserve">and </w:t>
      </w:r>
      <w:r w:rsidR="001F495E" w:rsidRPr="001F495E">
        <w:t>renal clearance</w:t>
      </w:r>
      <w:r w:rsidRPr="00EA20ED">
        <w:t xml:space="preserve"> were directly correlated with renal function.</w:t>
      </w:r>
    </w:p>
    <w:p w14:paraId="549DA644" w14:textId="7FE115EE" w:rsidR="00FB39D0" w:rsidRDefault="00EA20ED" w:rsidP="009E4B11">
      <w:pPr>
        <w:pStyle w:val="ListBullet"/>
      </w:pPr>
      <w:r w:rsidRPr="00EA20ED">
        <w:t xml:space="preserve">The final IV </w:t>
      </w:r>
      <w:proofErr w:type="spellStart"/>
      <w:r>
        <w:t>p</w:t>
      </w:r>
      <w:r w:rsidRPr="00EA20ED">
        <w:t>opPK</w:t>
      </w:r>
      <w:proofErr w:type="spellEnd"/>
      <w:r w:rsidRPr="00EA20ED">
        <w:t xml:space="preserve"> model identified age, </w:t>
      </w:r>
      <w:r w:rsidR="00A020D9">
        <w:t>a</w:t>
      </w:r>
      <w:r w:rsidR="00A020D9" w:rsidRPr="00EA20ED">
        <w:t>spartate aminotransferase</w:t>
      </w:r>
      <w:r w:rsidR="00A020D9">
        <w:t xml:space="preserve"> </w:t>
      </w:r>
      <w:r w:rsidRPr="00EA20ED">
        <w:t xml:space="preserve">and </w:t>
      </w:r>
      <w:r w:rsidR="00A020D9">
        <w:t xml:space="preserve">bilirubin </w:t>
      </w:r>
      <w:r w:rsidRPr="00EA20ED">
        <w:t xml:space="preserve">as covariates on </w:t>
      </w:r>
      <w:r w:rsidR="001F495E" w:rsidRPr="001F495E">
        <w:t>clearance</w:t>
      </w:r>
      <w:r w:rsidR="001F495E" w:rsidRPr="00EA20ED" w:rsidDel="001F495E">
        <w:t xml:space="preserve"> </w:t>
      </w:r>
      <w:r w:rsidRPr="00EA20ED">
        <w:t xml:space="preserve">and the MDRD effect was a covariate of both </w:t>
      </w:r>
      <w:r w:rsidR="001F495E" w:rsidRPr="001F495E">
        <w:t>clearance</w:t>
      </w:r>
      <w:r w:rsidR="001F495E" w:rsidRPr="00EA20ED" w:rsidDel="001F495E">
        <w:t xml:space="preserve"> </w:t>
      </w:r>
      <w:r w:rsidRPr="00EA20ED">
        <w:t xml:space="preserve">and </w:t>
      </w:r>
      <w:proofErr w:type="spellStart"/>
      <w:r w:rsidRPr="00EA20ED">
        <w:t>V</w:t>
      </w:r>
      <w:r w:rsidR="00A020D9">
        <w:t>d</w:t>
      </w:r>
      <w:proofErr w:type="spellEnd"/>
      <w:r w:rsidRPr="00EA20ED">
        <w:t xml:space="preserve">. By contrast, the final IV model showed no effect of subject race or gender on </w:t>
      </w:r>
      <w:r>
        <w:t>d</w:t>
      </w:r>
      <w:r w:rsidRPr="00EA20ED">
        <w:t>ifelikefalin exposure</w:t>
      </w:r>
      <w:r w:rsidR="00FB39D0">
        <w:t>.</w:t>
      </w:r>
    </w:p>
    <w:p w14:paraId="74D289C7" w14:textId="2753CAF3" w:rsidR="00EA20ED" w:rsidRPr="00EA20ED" w:rsidRDefault="00EA20ED" w:rsidP="00EA20ED">
      <w:r w:rsidRPr="00EA20ED">
        <w:t xml:space="preserve">For </w:t>
      </w:r>
      <w:proofErr w:type="spellStart"/>
      <w:r>
        <w:t>p</w:t>
      </w:r>
      <w:r w:rsidRPr="00EA20ED">
        <w:t>opPK</w:t>
      </w:r>
      <w:proofErr w:type="spellEnd"/>
      <w:r w:rsidRPr="00EA20ED">
        <w:t xml:space="preserve">: </w:t>
      </w:r>
    </w:p>
    <w:p w14:paraId="2BCCBF82" w14:textId="16624DF5" w:rsidR="00EA20ED" w:rsidRPr="00EA20ED" w:rsidRDefault="00EA20ED" w:rsidP="009E4B11">
      <w:pPr>
        <w:pStyle w:val="ListBullet"/>
      </w:pPr>
      <w:r w:rsidRPr="00EA20ED">
        <w:t xml:space="preserve">The final </w:t>
      </w:r>
      <w:proofErr w:type="spellStart"/>
      <w:r>
        <w:t>p</w:t>
      </w:r>
      <w:r w:rsidRPr="00EA20ED">
        <w:t>opPK</w:t>
      </w:r>
      <w:proofErr w:type="spellEnd"/>
      <w:r w:rsidRPr="00EA20ED">
        <w:t xml:space="preserve"> analysis identified that a three</w:t>
      </w:r>
      <w:r w:rsidR="00A302F0">
        <w:t>-</w:t>
      </w:r>
      <w:r w:rsidRPr="00EA20ED">
        <w:t>compartment population PK model</w:t>
      </w:r>
      <w:r>
        <w:t xml:space="preserve"> </w:t>
      </w:r>
      <w:r w:rsidRPr="00EA20ED">
        <w:t>provided the best and most parsimonious fit to the IV dose PK data and included fixed effects of body weight on all clearance and volume terms.</w:t>
      </w:r>
    </w:p>
    <w:p w14:paraId="421DE9FC" w14:textId="7E8A3FAC" w:rsidR="00680D46" w:rsidRDefault="00680D46" w:rsidP="00680D46">
      <w:pPr>
        <w:pStyle w:val="Heading5"/>
      </w:pPr>
      <w:r>
        <w:t>P</w:t>
      </w:r>
      <w:r w:rsidRPr="00680D46">
        <w:t>harmacodynamics</w:t>
      </w:r>
    </w:p>
    <w:p w14:paraId="4B209042" w14:textId="08FF3842" w:rsidR="00EA20ED" w:rsidRPr="00EA20ED" w:rsidRDefault="00EA20ED" w:rsidP="00680D46">
      <w:pPr>
        <w:pStyle w:val="Heading6"/>
      </w:pPr>
      <w:r>
        <w:t>O</w:t>
      </w:r>
      <w:r w:rsidRPr="00EA20ED">
        <w:t>verall conclusions on pharmacodynamics</w:t>
      </w:r>
    </w:p>
    <w:p w14:paraId="0C2EF437" w14:textId="77777777" w:rsidR="00FB39D0" w:rsidRDefault="00EA20ED" w:rsidP="009E4B11">
      <w:pPr>
        <w:pStyle w:val="ListBullet"/>
      </w:pPr>
      <w:r w:rsidRPr="00EA20ED">
        <w:t xml:space="preserve">Pharmacology-wise, </w:t>
      </w:r>
      <w:r>
        <w:t>d</w:t>
      </w:r>
      <w:r w:rsidRPr="00EA20ED">
        <w:t xml:space="preserve">ifelikefalin is a highly selective, peripherally acting, full kappa opioid receptor </w:t>
      </w:r>
      <w:r>
        <w:t>(</w:t>
      </w:r>
      <w:r w:rsidRPr="00EA20ED">
        <w:t>KOR</w:t>
      </w:r>
      <w:r>
        <w:t>)</w:t>
      </w:r>
      <w:r w:rsidRPr="00EA20ED">
        <w:t xml:space="preserve"> agonist with limited permeability into the </w:t>
      </w:r>
      <w:r>
        <w:t>central nervous system (</w:t>
      </w:r>
      <w:r w:rsidRPr="00EA20ED">
        <w:t>CNS</w:t>
      </w:r>
      <w:r>
        <w:t>)</w:t>
      </w:r>
      <w:r w:rsidR="00FB39D0">
        <w:t>.</w:t>
      </w:r>
    </w:p>
    <w:p w14:paraId="001F9B57" w14:textId="3F005E50" w:rsidR="00EA20ED" w:rsidRPr="00EA20ED" w:rsidRDefault="00EA20ED" w:rsidP="00EA20ED">
      <w:pPr>
        <w:pStyle w:val="ListBullet"/>
      </w:pPr>
      <w:r w:rsidRPr="00EA20ED">
        <w:t xml:space="preserve">Difelikefalin, at the doses tested, had no effect on cardiac repolarisation, respiratory </w:t>
      </w:r>
      <w:proofErr w:type="gramStart"/>
      <w:r w:rsidRPr="00EA20ED">
        <w:t>drive</w:t>
      </w:r>
      <w:proofErr w:type="gramEnd"/>
      <w:r w:rsidRPr="00EA20ED">
        <w:t xml:space="preserve"> or sedation.</w:t>
      </w:r>
    </w:p>
    <w:p w14:paraId="59CB46E3" w14:textId="0E6011FD" w:rsidR="00EA20ED" w:rsidRPr="00EA20ED" w:rsidRDefault="00EA20ED" w:rsidP="00EA20ED">
      <w:pPr>
        <w:pStyle w:val="ListBullet"/>
      </w:pPr>
      <w:r w:rsidRPr="00EA20ED">
        <w:t xml:space="preserve">The relative abuse potential of </w:t>
      </w:r>
      <w:r>
        <w:t>d</w:t>
      </w:r>
      <w:r w:rsidRPr="00EA20ED">
        <w:t>ifelikefalin is significantly lower than that of pentazocine.</w:t>
      </w:r>
    </w:p>
    <w:p w14:paraId="3DA5DAA5" w14:textId="28AF41DC" w:rsidR="00EA20ED" w:rsidRPr="00EA20ED" w:rsidRDefault="00EA20ED" w:rsidP="00EA20ED">
      <w:pPr>
        <w:pStyle w:val="ListBullet"/>
      </w:pPr>
      <w:r w:rsidRPr="00EA20ED">
        <w:t xml:space="preserve">At the proposed dose, the potential of physical withdrawal from </w:t>
      </w:r>
      <w:r>
        <w:t>d</w:t>
      </w:r>
      <w:r w:rsidRPr="00EA20ED">
        <w:t xml:space="preserve">ifelikefalin upon treatment discontinuation after </w:t>
      </w:r>
      <w:r>
        <w:t>three</w:t>
      </w:r>
      <w:r w:rsidRPr="00EA20ED">
        <w:t xml:space="preserve"> weeks was </w:t>
      </w:r>
      <w:proofErr w:type="gramStart"/>
      <w:r w:rsidRPr="00EA20ED">
        <w:t>similar to</w:t>
      </w:r>
      <w:proofErr w:type="gramEnd"/>
      <w:r w:rsidRPr="00EA20ED">
        <w:t xml:space="preserve"> that of</w:t>
      </w:r>
      <w:r w:rsidR="00A020D9">
        <w:t xml:space="preserve"> the</w:t>
      </w:r>
      <w:r w:rsidRPr="00EA20ED">
        <w:t xml:space="preserve"> placebo.</w:t>
      </w:r>
    </w:p>
    <w:p w14:paraId="0BECCE66" w14:textId="14014853" w:rsidR="00EA20ED" w:rsidRPr="00EA20ED" w:rsidRDefault="00EA20ED" w:rsidP="00EA20ED">
      <w:pPr>
        <w:pStyle w:val="ListBullet"/>
      </w:pPr>
      <w:r w:rsidRPr="00EA20ED">
        <w:lastRenderedPageBreak/>
        <w:t>Following a range of IV doses of up to 40</w:t>
      </w:r>
      <w:r>
        <w:t> </w:t>
      </w:r>
      <w:r w:rsidR="00A33AB5">
        <w:t>µ</w:t>
      </w:r>
      <w:r w:rsidRPr="00EA20ED">
        <w:t xml:space="preserve">g/kg </w:t>
      </w:r>
      <w:r>
        <w:t>d</w:t>
      </w:r>
      <w:r w:rsidRPr="00EA20ED">
        <w:t>ifelikefalin, but not the 2</w:t>
      </w:r>
      <w:r>
        <w:t> </w:t>
      </w:r>
      <w:r w:rsidR="00A33AB5">
        <w:t>µ</w:t>
      </w:r>
      <w:r w:rsidRPr="00EA20ED">
        <w:t xml:space="preserve">g/kg dose, there were statistically significant increases compared with placebo in prolactin exposure. By contrast, there were no statistically significant differences in the PD parameters of vasopressin between placebo and any of the </w:t>
      </w:r>
      <w:r>
        <w:t>d</w:t>
      </w:r>
      <w:r w:rsidRPr="00EA20ED">
        <w:t>ifelikefalin doses examined.</w:t>
      </w:r>
    </w:p>
    <w:p w14:paraId="0021ACCA" w14:textId="31C510C8" w:rsidR="00EA20ED" w:rsidRPr="00EA20ED" w:rsidRDefault="00EA20ED" w:rsidP="00EA20ED">
      <w:pPr>
        <w:pStyle w:val="ListBullet"/>
      </w:pPr>
      <w:proofErr w:type="gramStart"/>
      <w:r w:rsidRPr="00EA20ED">
        <w:t>On the whole</w:t>
      </w:r>
      <w:proofErr w:type="gramEnd"/>
      <w:r w:rsidRPr="00EA20ED">
        <w:t>, maximum urine flow rates and cumulative urine volumes excreted from 0 to 12</w:t>
      </w:r>
      <w:r>
        <w:t xml:space="preserve"> </w:t>
      </w:r>
      <w:r w:rsidRPr="00EA20ED">
        <w:t>h</w:t>
      </w:r>
      <w:r>
        <w:t>ours</w:t>
      </w:r>
      <w:r w:rsidRPr="00EA20ED">
        <w:t xml:space="preserve"> were statistically significantly higher for all doses of </w:t>
      </w:r>
      <w:r>
        <w:t>d</w:t>
      </w:r>
      <w:r w:rsidRPr="00EA20ED">
        <w:t xml:space="preserve">ifelikefalin in comparison to placebo. By contrast, the cumulative volumes of fluid consumed following all doses of </w:t>
      </w:r>
      <w:r>
        <w:t>d</w:t>
      </w:r>
      <w:r w:rsidRPr="00EA20ED">
        <w:t>ifelikefalin and placebo were similar.</w:t>
      </w:r>
    </w:p>
    <w:p w14:paraId="21E111CF" w14:textId="3898122D" w:rsidR="00EA20ED" w:rsidRPr="00EA20ED" w:rsidRDefault="00EA20ED" w:rsidP="00EA20ED">
      <w:pPr>
        <w:pStyle w:val="ListBullet"/>
      </w:pPr>
      <w:r w:rsidRPr="00EA20ED">
        <w:t xml:space="preserve">Increases in prolactin levels appeared to be positively correlated with </w:t>
      </w:r>
      <w:r>
        <w:t>d</w:t>
      </w:r>
      <w:r w:rsidRPr="00EA20ED">
        <w:t>ifelikefalin concentrations up to the level of approximately 20</w:t>
      </w:r>
      <w:r>
        <w:t> </w:t>
      </w:r>
      <w:r w:rsidRPr="00EA20ED">
        <w:t xml:space="preserve">ng/mL </w:t>
      </w:r>
      <w:r>
        <w:t>d</w:t>
      </w:r>
      <w:r w:rsidRPr="00EA20ED">
        <w:t>ifelikefalin.</w:t>
      </w:r>
    </w:p>
    <w:p w14:paraId="6C25924A" w14:textId="17388086" w:rsidR="00EA20ED" w:rsidRDefault="00EA20ED" w:rsidP="00EA20ED">
      <w:pPr>
        <w:pStyle w:val="ListBullet"/>
      </w:pPr>
      <w:r w:rsidRPr="00EA20ED">
        <w:t xml:space="preserve">The decreased urine osmolarity, slight increase in serum osmolarity and a reduction in urinary excretion of electrolytes following </w:t>
      </w:r>
      <w:r>
        <w:t>d</w:t>
      </w:r>
      <w:r w:rsidRPr="00EA20ED">
        <w:t xml:space="preserve">ifelikefalin doses </w:t>
      </w:r>
      <w:r>
        <w:t>greater than</w:t>
      </w:r>
      <w:r w:rsidRPr="00EA20ED">
        <w:t xml:space="preserve"> 6</w:t>
      </w:r>
      <w:r>
        <w:t> </w:t>
      </w:r>
      <w:r w:rsidR="00A33AB5">
        <w:t>µ</w:t>
      </w:r>
      <w:r w:rsidRPr="00EA20ED">
        <w:t xml:space="preserve">g/kg are supportive of </w:t>
      </w:r>
      <w:r>
        <w:t>d</w:t>
      </w:r>
      <w:r w:rsidRPr="00EA20ED">
        <w:t>ifelikefalin having an aquaretic effect in healthy subjects.</w:t>
      </w:r>
    </w:p>
    <w:p w14:paraId="361C9C8A" w14:textId="2ACBB65B" w:rsidR="00D82842" w:rsidRDefault="006C03D1" w:rsidP="00E81FD4">
      <w:pPr>
        <w:pStyle w:val="Heading5"/>
      </w:pPr>
      <w:r>
        <w:t>Dosage selection for pivotal studies</w:t>
      </w:r>
    </w:p>
    <w:p w14:paraId="641F8CF6" w14:textId="3F2823F3" w:rsidR="006C03D1" w:rsidRDefault="006C03D1" w:rsidP="00E81FD4">
      <w:pPr>
        <w:pStyle w:val="Heading6"/>
      </w:pPr>
      <w:r>
        <w:t>Pharmacokinetic and pharmacodynamic findings</w:t>
      </w:r>
    </w:p>
    <w:p w14:paraId="01F7F221" w14:textId="45CDC591" w:rsidR="006C03D1" w:rsidRDefault="006C03D1" w:rsidP="006C03D1">
      <w:r w:rsidRPr="006C03D1">
        <w:t xml:space="preserve">In Study </w:t>
      </w:r>
      <w:r>
        <w:t>CR845-</w:t>
      </w:r>
      <w:r w:rsidRPr="006C03D1">
        <w:t xml:space="preserve">CLIN1001, the </w:t>
      </w:r>
      <w:r>
        <w:t>m</w:t>
      </w:r>
      <w:r w:rsidRPr="006C03D1">
        <w:t xml:space="preserve">aximum </w:t>
      </w:r>
      <w:r>
        <w:t>t</w:t>
      </w:r>
      <w:r w:rsidRPr="006C03D1">
        <w:t xml:space="preserve">olerated </w:t>
      </w:r>
      <w:r>
        <w:t>d</w:t>
      </w:r>
      <w:r w:rsidRPr="006C03D1">
        <w:t>ose in healthy subjects was identified, based on the pre</w:t>
      </w:r>
      <w:r>
        <w:t>-</w:t>
      </w:r>
      <w:r w:rsidRPr="006C03D1">
        <w:t xml:space="preserve">set </w:t>
      </w:r>
      <w:r w:rsidR="0090367A" w:rsidRPr="0090367A">
        <w:t>maximum tolerated dose</w:t>
      </w:r>
      <w:r w:rsidRPr="006C03D1">
        <w:t xml:space="preserve"> stopping criterion of asymptomatic, mild orthostatic tachycardia at 40</w:t>
      </w:r>
      <w:r>
        <w:t> </w:t>
      </w:r>
      <w:r w:rsidR="00A33AB5">
        <w:t>µ</w:t>
      </w:r>
      <w:r w:rsidRPr="006C03D1">
        <w:t xml:space="preserve">g/kg </w:t>
      </w:r>
      <w:r>
        <w:t>d</w:t>
      </w:r>
      <w:r w:rsidRPr="006C03D1">
        <w:t xml:space="preserve">ifelikefalin in </w:t>
      </w:r>
      <w:r>
        <w:t>two out</w:t>
      </w:r>
      <w:r w:rsidRPr="006C03D1">
        <w:t xml:space="preserve"> of </w:t>
      </w:r>
      <w:r>
        <w:t>six</w:t>
      </w:r>
      <w:r w:rsidRPr="006C03D1">
        <w:t xml:space="preserve"> subjects. Moreover, at the proposed dose of 0.5</w:t>
      </w:r>
      <w:r>
        <w:t> </w:t>
      </w:r>
      <w:r w:rsidRPr="006C03D1">
        <w:t xml:space="preserve">μ/kg </w:t>
      </w:r>
      <w:r>
        <w:t>d</w:t>
      </w:r>
      <w:r w:rsidRPr="006C03D1">
        <w:t>ifelikefalin, no effect on cardiac repolarisation, respiratory drive or sedation is expected.</w:t>
      </w:r>
    </w:p>
    <w:p w14:paraId="170A47F5" w14:textId="394B67EB" w:rsidR="006C03D1" w:rsidRDefault="006C03D1" w:rsidP="00E81FD4">
      <w:pPr>
        <w:pStyle w:val="Heading6"/>
      </w:pPr>
      <w:r>
        <w:t>Phase II dose finding studies</w:t>
      </w:r>
    </w:p>
    <w:p w14:paraId="480BD2E7" w14:textId="64E67066" w:rsidR="006C03D1" w:rsidRPr="006C03D1" w:rsidRDefault="006C03D1" w:rsidP="006C03D1">
      <w:r w:rsidRPr="006C03D1">
        <w:t xml:space="preserve">Study CR845-CLIN2101 examined the efficacy of </w:t>
      </w:r>
      <w:r>
        <w:t>three</w:t>
      </w:r>
      <w:r w:rsidRPr="006C03D1">
        <w:t xml:space="preserve"> doses of </w:t>
      </w:r>
      <w:r>
        <w:t>d</w:t>
      </w:r>
      <w:r w:rsidRPr="006C03D1">
        <w:t>ifelikefalin (0.5, 1.0, and 1.5</w:t>
      </w:r>
      <w:r w:rsidR="00A302F0">
        <w:t> </w:t>
      </w:r>
      <w:r w:rsidR="00A33AB5">
        <w:t>µ</w:t>
      </w:r>
      <w:r>
        <w:t>g</w:t>
      </w:r>
      <w:r w:rsidRPr="006C03D1">
        <w:t xml:space="preserve">/kg) IV treatment after each </w:t>
      </w:r>
      <w:r w:rsidR="001F495E">
        <w:t>haemodialysis</w:t>
      </w:r>
      <w:r w:rsidRPr="006C03D1">
        <w:t xml:space="preserve"> session (</w:t>
      </w:r>
      <w:r>
        <w:t>three</w:t>
      </w:r>
      <w:r w:rsidRPr="006C03D1">
        <w:t xml:space="preserve"> times</w:t>
      </w:r>
      <w:r>
        <w:t xml:space="preserve"> per </w:t>
      </w:r>
      <w:r w:rsidRPr="006C03D1">
        <w:t xml:space="preserve">week) over an </w:t>
      </w:r>
      <w:r>
        <w:t>eight</w:t>
      </w:r>
      <w:r w:rsidR="00A302F0">
        <w:noBreakHyphen/>
      </w:r>
      <w:r w:rsidRPr="006C03D1">
        <w:t xml:space="preserve">week period. This study included a post-hoc evaluation of the percentage of subjects achieving a 3 </w:t>
      </w:r>
      <w:r>
        <w:t xml:space="preserve">or 4 </w:t>
      </w:r>
      <w:r w:rsidRPr="006C03D1">
        <w:t>point</w:t>
      </w:r>
      <w:r>
        <w:t xml:space="preserve"> or greater</w:t>
      </w:r>
      <w:r w:rsidRPr="006C03D1">
        <w:t xml:space="preserve"> improvement in the </w:t>
      </w:r>
      <w:r>
        <w:t>w</w:t>
      </w:r>
      <w:r w:rsidRPr="006C03D1">
        <w:t xml:space="preserve">orst </w:t>
      </w:r>
      <w:r>
        <w:t>i</w:t>
      </w:r>
      <w:r w:rsidRPr="006C03D1">
        <w:t xml:space="preserve">tching </w:t>
      </w:r>
      <w:r>
        <w:t>i</w:t>
      </w:r>
      <w:r w:rsidRPr="006C03D1">
        <w:t>ntensity numerical rating scale (</w:t>
      </w:r>
      <w:r w:rsidRPr="00A020D9">
        <w:t>WI-NRS</w:t>
      </w:r>
      <w:r w:rsidRPr="006C03D1">
        <w:t>)</w:t>
      </w:r>
      <w:r>
        <w:t>.</w:t>
      </w:r>
      <w:bookmarkStart w:id="52" w:name="_Ref140498254"/>
      <w:r w:rsidR="0009716C">
        <w:rPr>
          <w:rStyle w:val="FootnoteReference"/>
        </w:rPr>
        <w:footnoteReference w:id="8"/>
      </w:r>
      <w:bookmarkEnd w:id="52"/>
    </w:p>
    <w:p w14:paraId="08A6C954" w14:textId="5DD08AD2" w:rsidR="006C03D1" w:rsidRPr="006C03D1" w:rsidRDefault="006C03D1" w:rsidP="006C03D1">
      <w:r w:rsidRPr="006C03D1">
        <w:t>The percentage of subjects with 3 point or greater improvement in the weekly mean WI-NRS score by Week 8 was significantly higher for the 0.5 </w:t>
      </w:r>
      <w:r w:rsidR="00A33AB5">
        <w:t>µ</w:t>
      </w:r>
      <w:r w:rsidRPr="006C03D1">
        <w:t>g/kg dose group compared with placebo (62.4% versus 29.5%, P = 0.003).</w:t>
      </w:r>
    </w:p>
    <w:p w14:paraId="01865417" w14:textId="3B4A2907" w:rsidR="006C03D1" w:rsidRPr="006C03D1" w:rsidRDefault="006C03D1" w:rsidP="006C03D1">
      <w:r w:rsidRPr="006C03D1">
        <w:t>The percentage of subjects with</w:t>
      </w:r>
      <w:r>
        <w:t xml:space="preserve"> </w:t>
      </w:r>
      <w:r w:rsidRPr="006C03D1">
        <w:t>4</w:t>
      </w:r>
      <w:r>
        <w:t xml:space="preserve"> </w:t>
      </w:r>
      <w:r w:rsidRPr="006C03D1">
        <w:t>point</w:t>
      </w:r>
      <w:r>
        <w:t xml:space="preserve"> or greater</w:t>
      </w:r>
      <w:r w:rsidRPr="006C03D1">
        <w:t xml:space="preserve"> improvement in the weekly mean WI-NRS score by Week 8 was also significantly higher for the 0.5</w:t>
      </w:r>
      <w:r>
        <w:t> </w:t>
      </w:r>
      <w:r w:rsidR="00A33AB5">
        <w:t>µ</w:t>
      </w:r>
      <w:r>
        <w:t>g</w:t>
      </w:r>
      <w:r w:rsidRPr="006C03D1">
        <w:t xml:space="preserve">/kg </w:t>
      </w:r>
      <w:r>
        <w:t>d</w:t>
      </w:r>
      <w:r w:rsidRPr="006C03D1">
        <w:t>ifelikefalin group compared with placebo (48% v</w:t>
      </w:r>
      <w:r>
        <w:t>ersus</w:t>
      </w:r>
      <w:r w:rsidRPr="006C03D1">
        <w:t xml:space="preserve"> 23.6%, P</w:t>
      </w:r>
      <w:r>
        <w:t xml:space="preserve"> </w:t>
      </w:r>
      <w:r w:rsidRPr="006C03D1">
        <w:t>=</w:t>
      </w:r>
      <w:r>
        <w:t xml:space="preserve"> </w:t>
      </w:r>
      <w:r w:rsidRPr="006C03D1">
        <w:t>0.019).</w:t>
      </w:r>
    </w:p>
    <w:p w14:paraId="60D038DE" w14:textId="23E18DC7" w:rsidR="006C03D1" w:rsidRPr="006C03D1" w:rsidRDefault="006C03D1" w:rsidP="006C03D1">
      <w:r w:rsidRPr="006C03D1">
        <w:t>No apparent dose</w:t>
      </w:r>
      <w:r>
        <w:t xml:space="preserve"> </w:t>
      </w:r>
      <w:r w:rsidRPr="006C03D1">
        <w:t xml:space="preserve">response in antipruritic efficacy was observed among the </w:t>
      </w:r>
      <w:r>
        <w:t>three</w:t>
      </w:r>
      <w:r w:rsidRPr="006C03D1">
        <w:t xml:space="preserve"> doses (0.5, 1.0, and 1.5</w:t>
      </w:r>
      <w:r>
        <w:t> </w:t>
      </w:r>
      <w:r w:rsidR="00A33AB5">
        <w:t>µ</w:t>
      </w:r>
      <w:r>
        <w:t>g</w:t>
      </w:r>
      <w:r w:rsidRPr="006C03D1">
        <w:t xml:space="preserve">/kg) studied in </w:t>
      </w:r>
      <w:r>
        <w:t xml:space="preserve">Study </w:t>
      </w:r>
      <w:r w:rsidRPr="006C03D1">
        <w:t>CR845-CLIN2101.</w:t>
      </w:r>
      <w:r>
        <w:t xml:space="preserve"> </w:t>
      </w:r>
      <w:r w:rsidRPr="006C03D1">
        <w:t xml:space="preserve">In addition, </w:t>
      </w:r>
      <w:r>
        <w:t>d</w:t>
      </w:r>
      <w:r w:rsidRPr="006C03D1">
        <w:t>ifelikefalin 0.5</w:t>
      </w:r>
      <w:r>
        <w:t> </w:t>
      </w:r>
      <w:r w:rsidR="00A33AB5">
        <w:t>µ</w:t>
      </w:r>
      <w:r w:rsidRPr="006C03D1">
        <w:t>g/kg IV was found to be well tolerated in the study.</w:t>
      </w:r>
    </w:p>
    <w:p w14:paraId="1CDE728C" w14:textId="62197E42" w:rsidR="006C03D1" w:rsidRDefault="006C03D1" w:rsidP="006C03D1">
      <w:r w:rsidRPr="006C03D1">
        <w:t>Based on the similar efficacy across dose groups and dose</w:t>
      </w:r>
      <w:r>
        <w:t xml:space="preserve"> </w:t>
      </w:r>
      <w:r w:rsidRPr="006C03D1">
        <w:t xml:space="preserve">response trends observed in the safety results, a </w:t>
      </w:r>
      <w:r>
        <w:t>d</w:t>
      </w:r>
      <w:r w:rsidRPr="006C03D1">
        <w:t>ifelikefalin dose of 0.5</w:t>
      </w:r>
      <w:r>
        <w:t> </w:t>
      </w:r>
      <w:r w:rsidR="00A33AB5">
        <w:t>µ</w:t>
      </w:r>
      <w:r>
        <w:t>g</w:t>
      </w:r>
      <w:r w:rsidRPr="006C03D1">
        <w:t xml:space="preserve">/kg appeared to achieve the most favourable </w:t>
      </w:r>
      <w:r w:rsidRPr="006C03D1">
        <w:lastRenderedPageBreak/>
        <w:t>benefit</w:t>
      </w:r>
      <w:r w:rsidR="00A302F0">
        <w:noBreakHyphen/>
      </w:r>
      <w:r w:rsidRPr="006C03D1">
        <w:t>risk profile and was thus selected as the dose to be further evaluated in the Phase</w:t>
      </w:r>
      <w:r w:rsidR="00A302F0">
        <w:t> </w:t>
      </w:r>
      <w:r>
        <w:t>III</w:t>
      </w:r>
      <w:r w:rsidRPr="006C03D1">
        <w:t xml:space="preserve"> studies.</w:t>
      </w:r>
    </w:p>
    <w:p w14:paraId="2878310C" w14:textId="27DB2EE6" w:rsidR="006C03D1" w:rsidRDefault="006C03D1" w:rsidP="00E81FD4">
      <w:pPr>
        <w:pStyle w:val="Heading6"/>
      </w:pPr>
      <w:r>
        <w:t>Overall conclusions on dose finding for pivotal studies</w:t>
      </w:r>
    </w:p>
    <w:p w14:paraId="1EA2E933" w14:textId="5E0EACBF" w:rsidR="006C03D1" w:rsidRDefault="006C03D1" w:rsidP="006C03D1">
      <w:r w:rsidRPr="006C03D1">
        <w:t>The rationale for the dose selection and dosing regimen for the pivotal studies was sound.</w:t>
      </w:r>
    </w:p>
    <w:p w14:paraId="7405F0E1" w14:textId="04EA7C08" w:rsidR="006C03D1" w:rsidRDefault="006C03D1" w:rsidP="006C03D1">
      <w:pPr>
        <w:pStyle w:val="Heading4"/>
      </w:pPr>
      <w:bookmarkStart w:id="53" w:name="_Toc147404311"/>
      <w:r>
        <w:t>Efficacy</w:t>
      </w:r>
      <w:bookmarkEnd w:id="53"/>
    </w:p>
    <w:p w14:paraId="54A87425" w14:textId="40CEC239" w:rsidR="006C03D1" w:rsidRDefault="006C03D1" w:rsidP="006C03D1">
      <w:pPr>
        <w:pStyle w:val="Heading5"/>
      </w:pPr>
      <w:r>
        <w:t>Pivotal efficacy studies</w:t>
      </w:r>
    </w:p>
    <w:p w14:paraId="56FDD9F9" w14:textId="75E16D1A" w:rsidR="006C03D1" w:rsidRDefault="006C03D1" w:rsidP="006C03D1">
      <w:pPr>
        <w:pStyle w:val="Heading6"/>
      </w:pPr>
      <w:r>
        <w:t>Study CR845-CLIN3102</w:t>
      </w:r>
    </w:p>
    <w:p w14:paraId="6423725C" w14:textId="3FE68C10" w:rsidR="006C03D1" w:rsidRDefault="006C03D1" w:rsidP="006C03D1">
      <w:r w:rsidRPr="006C03D1">
        <w:t>Study CR845-CLIN3102 is a Phase III, multicentre, double</w:t>
      </w:r>
      <w:r>
        <w:t xml:space="preserve"> </w:t>
      </w:r>
      <w:r w:rsidRPr="006C03D1">
        <w:t xml:space="preserve">blind, randomised, </w:t>
      </w:r>
      <w:proofErr w:type="gramStart"/>
      <w:r w:rsidRPr="006C03D1">
        <w:t>placebo</w:t>
      </w:r>
      <w:r>
        <w:t xml:space="preserve"> </w:t>
      </w:r>
      <w:r w:rsidRPr="006C03D1">
        <w:t>controlled</w:t>
      </w:r>
      <w:proofErr w:type="gramEnd"/>
      <w:r w:rsidRPr="006C03D1">
        <w:t xml:space="preserve"> study to evaluate the safety and efficacy of intravenous </w:t>
      </w:r>
      <w:r>
        <w:t>d</w:t>
      </w:r>
      <w:r w:rsidRPr="006C03D1">
        <w:t>ifelikefalin in haemodialysis patients, with moderate</w:t>
      </w:r>
      <w:r>
        <w:t xml:space="preserve"> </w:t>
      </w:r>
      <w:r w:rsidRPr="006C03D1">
        <w:t>to</w:t>
      </w:r>
      <w:r>
        <w:t xml:space="preserve"> </w:t>
      </w:r>
      <w:r w:rsidRPr="006C03D1">
        <w:t xml:space="preserve">severe pruritus. The study also has an </w:t>
      </w:r>
      <w:r>
        <w:t>o</w:t>
      </w:r>
      <w:r w:rsidRPr="006C03D1">
        <w:t xml:space="preserve">pen </w:t>
      </w:r>
      <w:r>
        <w:t>l</w:t>
      </w:r>
      <w:r w:rsidRPr="006C03D1">
        <w:t xml:space="preserve">abel </w:t>
      </w:r>
      <w:r>
        <w:t>e</w:t>
      </w:r>
      <w:r w:rsidRPr="006C03D1">
        <w:t xml:space="preserve">xtension </w:t>
      </w:r>
      <w:r>
        <w:t>p</w:t>
      </w:r>
      <w:r w:rsidRPr="006C03D1">
        <w:t>hase.</w:t>
      </w:r>
    </w:p>
    <w:p w14:paraId="0A982180" w14:textId="262DF8F0" w:rsidR="00893AC0" w:rsidRDefault="00893AC0" w:rsidP="00E81FD4">
      <w:pPr>
        <w:pStyle w:val="Heading7"/>
      </w:pPr>
      <w:r>
        <w:t>Study design</w:t>
      </w:r>
    </w:p>
    <w:p w14:paraId="746224A3" w14:textId="45D02601" w:rsidR="006C03D1" w:rsidRDefault="006C03D1" w:rsidP="006C03D1">
      <w:r>
        <w:t xml:space="preserve">The study design consists of four periods (see </w:t>
      </w:r>
      <w:r>
        <w:fldChar w:fldCharType="begin"/>
      </w:r>
      <w:r>
        <w:instrText xml:space="preserve"> REF _Ref140493052 \h </w:instrText>
      </w:r>
      <w:r>
        <w:fldChar w:fldCharType="separate"/>
      </w:r>
      <w:r w:rsidR="00B44DE2">
        <w:t xml:space="preserve">Figure </w:t>
      </w:r>
      <w:r w:rsidR="00B44DE2">
        <w:rPr>
          <w:noProof/>
        </w:rPr>
        <w:t>2</w:t>
      </w:r>
      <w:r>
        <w:fldChar w:fldCharType="end"/>
      </w:r>
      <w:r>
        <w:t>):</w:t>
      </w:r>
    </w:p>
    <w:p w14:paraId="4E9ACDA5" w14:textId="7372640B" w:rsidR="006C03D1" w:rsidRDefault="006C03D1" w:rsidP="006C03D1">
      <w:pPr>
        <w:pStyle w:val="ListBullet"/>
      </w:pPr>
      <w:r>
        <w:t>Screening visit</w:t>
      </w:r>
    </w:p>
    <w:p w14:paraId="0674F508" w14:textId="3D90F53B" w:rsidR="006C03D1" w:rsidRDefault="006C03D1" w:rsidP="006C03D1">
      <w:pPr>
        <w:pStyle w:val="ListBullet2"/>
      </w:pPr>
      <w:r>
        <w:t>Occurred 7 to 28 days prior to randomisation to assess eligibility</w:t>
      </w:r>
    </w:p>
    <w:p w14:paraId="2287E0C2" w14:textId="30EA1BF4" w:rsidR="006C03D1" w:rsidRDefault="006C03D1" w:rsidP="006C03D1">
      <w:pPr>
        <w:pStyle w:val="ListBullet"/>
      </w:pPr>
      <w:proofErr w:type="gramStart"/>
      <w:r>
        <w:t>Seven day</w:t>
      </w:r>
      <w:proofErr w:type="gramEnd"/>
      <w:r>
        <w:t xml:space="preserve"> run</w:t>
      </w:r>
      <w:r w:rsidR="00E81FD4">
        <w:t>-</w:t>
      </w:r>
      <w:r>
        <w:t>in period</w:t>
      </w:r>
    </w:p>
    <w:p w14:paraId="4E95D486" w14:textId="2F23842D" w:rsidR="006C03D1" w:rsidRPr="006C03D1" w:rsidRDefault="006C03D1" w:rsidP="006C03D1">
      <w:pPr>
        <w:pStyle w:val="ListBullet2"/>
      </w:pPr>
      <w:r w:rsidRPr="006C03D1">
        <w:t>Eligible subjects completed a 7</w:t>
      </w:r>
      <w:r w:rsidR="00E81FD4">
        <w:t>-</w:t>
      </w:r>
      <w:r w:rsidRPr="006C03D1">
        <w:t>day run</w:t>
      </w:r>
      <w:r w:rsidR="00E81FD4">
        <w:t>-</w:t>
      </w:r>
      <w:r w:rsidRPr="006C03D1">
        <w:t xml:space="preserve">in period during the week prior to randomisation, starting at the first haemodialysis session of that week (that is, Monday for subjects on a Monday, Wednesday and Friday dialysis schedule or Tuesday for subjects on a Tuesday, </w:t>
      </w:r>
      <w:proofErr w:type="gramStart"/>
      <w:r w:rsidRPr="006C03D1">
        <w:t>Thursday</w:t>
      </w:r>
      <w:proofErr w:type="gramEnd"/>
      <w:r w:rsidRPr="006C03D1">
        <w:t xml:space="preserve"> and Saturday dialysis schedule).</w:t>
      </w:r>
    </w:p>
    <w:p w14:paraId="4D9E6E72" w14:textId="35D8D514" w:rsidR="006C03D1" w:rsidRDefault="006C03D1" w:rsidP="006C03D1">
      <w:pPr>
        <w:pStyle w:val="ListBullet2"/>
      </w:pPr>
      <w:r w:rsidRPr="006C03D1">
        <w:t>The purpose of the run</w:t>
      </w:r>
      <w:r w:rsidR="00E81FD4">
        <w:t>-</w:t>
      </w:r>
      <w:r w:rsidRPr="006C03D1">
        <w:t xml:space="preserve">in period was to confirm that each subject had moderate to severe pruritus (that is, weekly average score 4 or greater on the 24 hour worst itching </w:t>
      </w:r>
      <w:r>
        <w:t>i</w:t>
      </w:r>
      <w:r w:rsidRPr="006C03D1">
        <w:t xml:space="preserve">ntensity numerical rating scale </w:t>
      </w:r>
      <w:r>
        <w:t>(</w:t>
      </w:r>
      <w:r w:rsidRPr="006C03D1">
        <w:t>WI-NRS</w:t>
      </w:r>
      <w:r>
        <w:t>)</w:t>
      </w:r>
      <w:r w:rsidR="0009716C">
        <w:fldChar w:fldCharType="begin"/>
      </w:r>
      <w:r w:rsidR="0009716C">
        <w:instrText xml:space="preserve"> NOTEREF _Ref140498254 \f \h </w:instrText>
      </w:r>
      <w:r w:rsidR="0009716C">
        <w:fldChar w:fldCharType="separate"/>
      </w:r>
      <w:r w:rsidR="00B44DE2" w:rsidRPr="00B44DE2">
        <w:rPr>
          <w:rStyle w:val="FootnoteReference"/>
        </w:rPr>
        <w:t>7</w:t>
      </w:r>
      <w:r w:rsidR="0009716C">
        <w:fldChar w:fldCharType="end"/>
      </w:r>
      <w:r w:rsidRPr="006C03D1">
        <w:t>) and to establish a baseline itch intensity. If subjects continued to meet all inclusion and exclusion criteria at the end of the 7</w:t>
      </w:r>
      <w:r w:rsidR="00E81FD4">
        <w:t>-</w:t>
      </w:r>
      <w:r w:rsidRPr="006C03D1">
        <w:t>day</w:t>
      </w:r>
      <w:r>
        <w:t xml:space="preserve"> r</w:t>
      </w:r>
      <w:r w:rsidRPr="006C03D1">
        <w:t>u</w:t>
      </w:r>
      <w:r>
        <w:t>n</w:t>
      </w:r>
      <w:r w:rsidR="00E81FD4">
        <w:t>-</w:t>
      </w:r>
      <w:r w:rsidRPr="006C03D1">
        <w:t xml:space="preserve">in </w:t>
      </w:r>
      <w:r>
        <w:t>p</w:t>
      </w:r>
      <w:r w:rsidRPr="006C03D1">
        <w:t xml:space="preserve">eriod, they were randomised in a 1:1 ratio to receive either </w:t>
      </w:r>
      <w:r>
        <w:t>d</w:t>
      </w:r>
      <w:r w:rsidRPr="006C03D1">
        <w:t>ifelikefalin 0.5</w:t>
      </w:r>
      <w:r w:rsidR="00A302F0">
        <w:t> </w:t>
      </w:r>
      <w:r w:rsidR="00A33AB5">
        <w:t>µ</w:t>
      </w:r>
      <w:r>
        <w:t>g</w:t>
      </w:r>
      <w:r w:rsidRPr="006C03D1">
        <w:t xml:space="preserve">/kg or placebo in the </w:t>
      </w:r>
      <w:proofErr w:type="gramStart"/>
      <w:r>
        <w:t>double blind</w:t>
      </w:r>
      <w:proofErr w:type="gramEnd"/>
      <w:r>
        <w:t xml:space="preserve"> t</w:t>
      </w:r>
      <w:r w:rsidRPr="006C03D1">
        <w:t xml:space="preserve">reatment </w:t>
      </w:r>
      <w:r>
        <w:t>p</w:t>
      </w:r>
      <w:r w:rsidRPr="006C03D1">
        <w:t>eriod.</w:t>
      </w:r>
    </w:p>
    <w:p w14:paraId="3C9C854C" w14:textId="6037CB5F" w:rsidR="006C03D1" w:rsidRDefault="006C03D1" w:rsidP="006C03D1">
      <w:pPr>
        <w:pStyle w:val="ListBullet"/>
      </w:pPr>
      <w:proofErr w:type="gramStart"/>
      <w:r>
        <w:t>Twelve week</w:t>
      </w:r>
      <w:proofErr w:type="gramEnd"/>
      <w:r>
        <w:t xml:space="preserve"> double blind treatment period</w:t>
      </w:r>
    </w:p>
    <w:p w14:paraId="002920BA" w14:textId="18872A97" w:rsidR="006C03D1" w:rsidRDefault="006C03D1" w:rsidP="006C03D1">
      <w:pPr>
        <w:pStyle w:val="ListBullet2"/>
      </w:pPr>
      <w:r>
        <w:t>Difelikefalin was evaluated relative to placebo</w:t>
      </w:r>
    </w:p>
    <w:p w14:paraId="1479B1FC" w14:textId="2201B7F9" w:rsidR="006C03D1" w:rsidRDefault="006C03D1" w:rsidP="006C03D1">
      <w:pPr>
        <w:pStyle w:val="ListBullet"/>
      </w:pPr>
      <w:proofErr w:type="gramStart"/>
      <w:r>
        <w:t>Two week</w:t>
      </w:r>
      <w:proofErr w:type="gramEnd"/>
      <w:r>
        <w:t xml:space="preserve"> discontinuation period</w:t>
      </w:r>
    </w:p>
    <w:p w14:paraId="4BC0BF76" w14:textId="297E0185" w:rsidR="006C03D1" w:rsidRDefault="006C03D1" w:rsidP="006C03D1">
      <w:pPr>
        <w:pStyle w:val="ListBullet2"/>
      </w:pPr>
      <w:r>
        <w:t>Subjects did not receive any study drug and were monitored for potential signs or symptoms of physical dependence.</w:t>
      </w:r>
    </w:p>
    <w:p w14:paraId="620D0B01" w14:textId="1148FB96" w:rsidR="006C03D1" w:rsidRDefault="006C03D1" w:rsidP="006C03D1">
      <w:r w:rsidRPr="006C03D1">
        <w:t xml:space="preserve">At the end of the discontinuation period, subjects who had received at least 30 doses of study drug (either </w:t>
      </w:r>
      <w:r>
        <w:t>d</w:t>
      </w:r>
      <w:r w:rsidRPr="006C03D1">
        <w:t>ifelikefalin or placebo) during the 12</w:t>
      </w:r>
      <w:r w:rsidR="00A302F0">
        <w:t>-</w:t>
      </w:r>
      <w:r w:rsidRPr="006C03D1">
        <w:t xml:space="preserve">week </w:t>
      </w:r>
      <w:r>
        <w:t>double blind t</w:t>
      </w:r>
      <w:r w:rsidRPr="006C03D1">
        <w:t xml:space="preserve">reatment </w:t>
      </w:r>
      <w:r>
        <w:t>p</w:t>
      </w:r>
      <w:r w:rsidRPr="006C03D1">
        <w:t>eriod, had the option to receive open</w:t>
      </w:r>
      <w:r>
        <w:t xml:space="preserve"> </w:t>
      </w:r>
      <w:r w:rsidRPr="006C03D1">
        <w:t xml:space="preserve">label </w:t>
      </w:r>
      <w:r>
        <w:t>d</w:t>
      </w:r>
      <w:r w:rsidRPr="006C03D1">
        <w:t>ifelikefalin for up to an additional 52</w:t>
      </w:r>
      <w:r>
        <w:t> </w:t>
      </w:r>
      <w:r w:rsidRPr="006C03D1">
        <w:t xml:space="preserve">weeks in the </w:t>
      </w:r>
      <w:r>
        <w:t>open label extension p</w:t>
      </w:r>
      <w:r w:rsidRPr="006C03D1">
        <w:t>hase.</w:t>
      </w:r>
    </w:p>
    <w:p w14:paraId="5AA2B818" w14:textId="268D13EC" w:rsidR="006C03D1" w:rsidRDefault="006C03D1" w:rsidP="006C03D1">
      <w:pPr>
        <w:pStyle w:val="FigureTitle"/>
      </w:pPr>
      <w:bookmarkStart w:id="54" w:name="_Ref140493052"/>
      <w:r>
        <w:lastRenderedPageBreak/>
        <w:t xml:space="preserve">Figure </w:t>
      </w:r>
      <w:r>
        <w:fldChar w:fldCharType="begin"/>
      </w:r>
      <w:r>
        <w:instrText>SEQ Figure \* ARABIC</w:instrText>
      </w:r>
      <w:r>
        <w:fldChar w:fldCharType="separate"/>
      </w:r>
      <w:r w:rsidR="00B44DE2">
        <w:rPr>
          <w:noProof/>
        </w:rPr>
        <w:t>2</w:t>
      </w:r>
      <w:r>
        <w:fldChar w:fldCharType="end"/>
      </w:r>
      <w:bookmarkEnd w:id="54"/>
      <w:r>
        <w:t>: Study CR8</w:t>
      </w:r>
      <w:r w:rsidR="000F7318">
        <w:t>45</w:t>
      </w:r>
      <w:r>
        <w:t xml:space="preserve">-CLIN3102 </w:t>
      </w:r>
      <w:r w:rsidR="00A302F0">
        <w:t>S</w:t>
      </w:r>
      <w:r>
        <w:t>tudy design</w:t>
      </w:r>
    </w:p>
    <w:p w14:paraId="475FB551" w14:textId="24BF96D6" w:rsidR="006C03D1" w:rsidRDefault="006C03D1" w:rsidP="006C03D1">
      <w:r>
        <w:rPr>
          <w:noProof/>
        </w:rPr>
        <w:drawing>
          <wp:inline distT="0" distB="0" distL="0" distR="0" wp14:anchorId="0F51A783" wp14:editId="501410E7">
            <wp:extent cx="5553075" cy="1266825"/>
            <wp:effectExtent l="0" t="0" r="9525" b="9525"/>
            <wp:docPr id="2" name="Picture 2" descr="Study CR845-CLIN3102 design consists of four periods including a screening period, a seven day run in period, a twelve week double blind treatment period and a two week discontinuation period. Eligible subjects could also participate in an additional open label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CR845-CLIN3102 design consists of four periods including a screening period, a seven day run in period, a twelve week double blind treatment period and a two week discontinuation period. Eligible subjects could also participate in an additional open label extension phase."/>
                    <pic:cNvPicPr/>
                  </pic:nvPicPr>
                  <pic:blipFill rotWithShape="1">
                    <a:blip r:embed="rId28"/>
                    <a:srcRect l="2481" t="3339" r="1103" b="7836"/>
                    <a:stretch/>
                  </pic:blipFill>
                  <pic:spPr bwMode="auto">
                    <a:xfrm>
                      <a:off x="0" y="0"/>
                      <a:ext cx="5553075" cy="1266825"/>
                    </a:xfrm>
                    <a:prstGeom prst="rect">
                      <a:avLst/>
                    </a:prstGeom>
                    <a:ln>
                      <a:noFill/>
                    </a:ln>
                    <a:extLst>
                      <a:ext uri="{53640926-AAD7-44D8-BBD7-CCE9431645EC}">
                        <a14:shadowObscured xmlns:a14="http://schemas.microsoft.com/office/drawing/2010/main"/>
                      </a:ext>
                    </a:extLst>
                  </pic:spPr>
                </pic:pic>
              </a:graphicData>
            </a:graphic>
          </wp:inline>
        </w:drawing>
      </w:r>
    </w:p>
    <w:p w14:paraId="650A4876" w14:textId="0EE3D092" w:rsidR="006C03D1" w:rsidRDefault="006C03D1" w:rsidP="006C03D1">
      <w:pPr>
        <w:pStyle w:val="Heading7"/>
      </w:pPr>
      <w:r>
        <w:t>Study objectives</w:t>
      </w:r>
    </w:p>
    <w:p w14:paraId="54C51CDF" w14:textId="08E4A711" w:rsidR="006C03D1" w:rsidRDefault="006C03D1" w:rsidP="006C03D1">
      <w:r>
        <w:t>Assessment of difelikefalin at a dose of 0.5 </w:t>
      </w:r>
      <w:r w:rsidR="00A33AB5">
        <w:t>µ</w:t>
      </w:r>
      <w:r>
        <w:t>g /kg compared with placebo, in subjects undergoing haemodialysis and experiencing moderate to severe pruritus.</w:t>
      </w:r>
    </w:p>
    <w:p w14:paraId="0F2FC0A5" w14:textId="3B04FFB2" w:rsidR="006C03D1" w:rsidRDefault="006C03D1" w:rsidP="006C03D1">
      <w:r>
        <w:t>The primary objective was to evaluate efficacy in reducing the intensity of itch.</w:t>
      </w:r>
    </w:p>
    <w:p w14:paraId="49D22E73" w14:textId="663AA49D" w:rsidR="006C03D1" w:rsidRDefault="006C03D1" w:rsidP="006C03D1">
      <w:r>
        <w:t>The secondary objectives were to evaluate efficacy in improving itch related quality of life measures and difelikefalin safety.</w:t>
      </w:r>
    </w:p>
    <w:p w14:paraId="72CA1624" w14:textId="6B688195" w:rsidR="006C03D1" w:rsidRDefault="006C03D1" w:rsidP="006C03D1">
      <w:pPr>
        <w:pStyle w:val="Heading7"/>
      </w:pPr>
      <w:bookmarkStart w:id="55" w:name="_Ref140827639"/>
      <w:r>
        <w:t>Inclusion criteria</w:t>
      </w:r>
      <w:bookmarkEnd w:id="55"/>
    </w:p>
    <w:p w14:paraId="58C1C40D" w14:textId="5AFFA27D" w:rsidR="006C03D1" w:rsidRPr="006C03D1" w:rsidRDefault="006C03D1" w:rsidP="006C03D1">
      <w:pPr>
        <w:pStyle w:val="ListBullet"/>
      </w:pPr>
      <w:r w:rsidRPr="006C03D1">
        <w:t xml:space="preserve">Eligible patients were male and female adults </w:t>
      </w:r>
      <w:r>
        <w:t>(</w:t>
      </w:r>
      <w:r w:rsidRPr="006C03D1">
        <w:t xml:space="preserve">18 years </w:t>
      </w:r>
      <w:r>
        <w:t xml:space="preserve">or </w:t>
      </w:r>
      <w:r w:rsidRPr="006C03D1">
        <w:t>old</w:t>
      </w:r>
      <w:r>
        <w:t>er</w:t>
      </w:r>
      <w:r w:rsidRPr="006C03D1">
        <w:t>).</w:t>
      </w:r>
    </w:p>
    <w:p w14:paraId="1C8B03F0" w14:textId="69595AD7" w:rsidR="006C03D1" w:rsidRPr="006C03D1" w:rsidRDefault="006C03D1" w:rsidP="006C03D1">
      <w:pPr>
        <w:pStyle w:val="ListBullet"/>
      </w:pPr>
      <w:r>
        <w:t>Subjects h</w:t>
      </w:r>
      <w:r w:rsidRPr="006C03D1">
        <w:t>ad end</w:t>
      </w:r>
      <w:r>
        <w:t xml:space="preserve"> </w:t>
      </w:r>
      <w:r w:rsidRPr="006C03D1">
        <w:t>stage renal disease (</w:t>
      </w:r>
      <w:r w:rsidRPr="00A020D9">
        <w:t>ESRD</w:t>
      </w:r>
      <w:r w:rsidRPr="006C03D1">
        <w:t xml:space="preserve">) and had been undergoing haemodialysis </w:t>
      </w:r>
      <w:r>
        <w:t>three</w:t>
      </w:r>
      <w:r w:rsidRPr="006C03D1">
        <w:t xml:space="preserve"> times per week for at least </w:t>
      </w:r>
      <w:r>
        <w:t>three</w:t>
      </w:r>
      <w:r w:rsidRPr="006C03D1">
        <w:t xml:space="preserve"> months prior to the start of screening.</w:t>
      </w:r>
    </w:p>
    <w:p w14:paraId="486ED789" w14:textId="458057A2" w:rsidR="006C03D1" w:rsidRPr="006C03D1" w:rsidRDefault="006C03D1" w:rsidP="006C03D1">
      <w:pPr>
        <w:pStyle w:val="ListBullet2"/>
      </w:pPr>
      <w:r w:rsidRPr="006C03D1">
        <w:t>Subjects who required an occasional additional haemodialysis treatment to manage fluid overload</w:t>
      </w:r>
      <w:r>
        <w:t xml:space="preserve"> </w:t>
      </w:r>
      <w:r w:rsidRPr="006C03D1">
        <w:t xml:space="preserve">could be enrolled </w:t>
      </w:r>
      <w:proofErr w:type="gramStart"/>
      <w:r w:rsidRPr="006C03D1">
        <w:t>as long as</w:t>
      </w:r>
      <w:proofErr w:type="gramEnd"/>
      <w:r w:rsidRPr="006C03D1">
        <w:t xml:space="preserve"> it was anticipated that no more than </w:t>
      </w:r>
      <w:r>
        <w:t>one</w:t>
      </w:r>
      <w:r w:rsidRPr="006C03D1">
        <w:t xml:space="preserve"> such treatment would be</w:t>
      </w:r>
      <w:r>
        <w:t xml:space="preserve"> </w:t>
      </w:r>
      <w:r w:rsidRPr="006C03D1">
        <w:t>required in any given week.</w:t>
      </w:r>
    </w:p>
    <w:p w14:paraId="01974727" w14:textId="7D448A66" w:rsidR="006C03D1" w:rsidRPr="006C03D1" w:rsidRDefault="006C03D1" w:rsidP="009E4B11">
      <w:pPr>
        <w:pStyle w:val="ListBullet2"/>
      </w:pPr>
      <w:r w:rsidRPr="006C03D1">
        <w:t>Subjects undergoing in</w:t>
      </w:r>
      <w:r>
        <w:t xml:space="preserve"> </w:t>
      </w:r>
      <w:r w:rsidRPr="006C03D1">
        <w:t xml:space="preserve">home dialysis could participate </w:t>
      </w:r>
      <w:proofErr w:type="gramStart"/>
      <w:r w:rsidRPr="006C03D1">
        <w:t>as long as</w:t>
      </w:r>
      <w:proofErr w:type="gramEnd"/>
      <w:r w:rsidRPr="006C03D1">
        <w:t xml:space="preserve"> they had switched to in</w:t>
      </w:r>
      <w:r>
        <w:t xml:space="preserve"> </w:t>
      </w:r>
      <w:r w:rsidRPr="006C03D1">
        <w:t>centre</w:t>
      </w:r>
      <w:r>
        <w:t xml:space="preserve"> </w:t>
      </w:r>
      <w:r w:rsidRPr="006C03D1">
        <w:t xml:space="preserve">haemodialysis at least </w:t>
      </w:r>
      <w:r>
        <w:t>two</w:t>
      </w:r>
      <w:r w:rsidRPr="006C03D1">
        <w:t xml:space="preserve"> weeks prior to screening and planned to remain on in</w:t>
      </w:r>
      <w:r>
        <w:t xml:space="preserve"> </w:t>
      </w:r>
      <w:r w:rsidRPr="006C03D1">
        <w:t>centre</w:t>
      </w:r>
      <w:r>
        <w:t xml:space="preserve"> </w:t>
      </w:r>
      <w:r w:rsidRPr="006C03D1">
        <w:t>haemodialysis for the duration of the study.</w:t>
      </w:r>
    </w:p>
    <w:p w14:paraId="23915EF6" w14:textId="0EA350DA" w:rsidR="006C03D1" w:rsidRPr="006C03D1" w:rsidRDefault="006C03D1" w:rsidP="006C03D1">
      <w:pPr>
        <w:pStyle w:val="ListBullet"/>
      </w:pPr>
      <w:r w:rsidRPr="006C03D1">
        <w:t xml:space="preserve">Prior to randomisation, subjects had to have completed at least </w:t>
      </w:r>
      <w:r>
        <w:t>four</w:t>
      </w:r>
      <w:r w:rsidRPr="006C03D1">
        <w:t xml:space="preserve"> WI-NRS worksheets during the </w:t>
      </w:r>
      <w:r>
        <w:t>r</w:t>
      </w:r>
      <w:r w:rsidRPr="006C03D1">
        <w:t>un</w:t>
      </w:r>
      <w:r w:rsidR="00E81FD4">
        <w:t>-</w:t>
      </w:r>
      <w:r w:rsidRPr="006C03D1">
        <w:t xml:space="preserve">in </w:t>
      </w:r>
      <w:r>
        <w:t>p</w:t>
      </w:r>
      <w:r w:rsidRPr="006C03D1">
        <w:t xml:space="preserve">eriod and have a mean baseline WI-NRS score </w:t>
      </w:r>
      <w:r w:rsidR="0009716C">
        <w:t xml:space="preserve">of </w:t>
      </w:r>
      <w:r w:rsidRPr="006C03D1">
        <w:t>4</w:t>
      </w:r>
      <w:r w:rsidR="0009716C">
        <w:t xml:space="preserve"> or greater</w:t>
      </w:r>
      <w:r w:rsidRPr="006C03D1">
        <w:t>.</w:t>
      </w:r>
      <w:r w:rsidR="0009716C">
        <w:fldChar w:fldCharType="begin"/>
      </w:r>
      <w:r w:rsidR="0009716C">
        <w:instrText xml:space="preserve"> NOTEREF _Ref140498254 \f \h </w:instrText>
      </w:r>
      <w:r w:rsidR="0009716C">
        <w:fldChar w:fldCharType="separate"/>
      </w:r>
      <w:r w:rsidR="00B44DE2" w:rsidRPr="00B44DE2">
        <w:rPr>
          <w:rStyle w:val="FootnoteReference"/>
        </w:rPr>
        <w:t>7</w:t>
      </w:r>
      <w:r w:rsidR="0009716C">
        <w:fldChar w:fldCharType="end"/>
      </w:r>
    </w:p>
    <w:p w14:paraId="1AF4DB43" w14:textId="161233CA" w:rsidR="006C03D1" w:rsidRPr="006C03D1" w:rsidRDefault="006C03D1" w:rsidP="006C03D1">
      <w:pPr>
        <w:pStyle w:val="ListBullet"/>
      </w:pPr>
      <w:r w:rsidRPr="006C03D1">
        <w:t xml:space="preserve">If </w:t>
      </w:r>
      <w:r>
        <w:t xml:space="preserve">subject was </w:t>
      </w:r>
      <w:r w:rsidRPr="006C03D1">
        <w:t>female:</w:t>
      </w:r>
    </w:p>
    <w:p w14:paraId="3E8C5ACA" w14:textId="495276E0" w:rsidR="006C03D1" w:rsidRPr="006C03D1" w:rsidRDefault="006C03D1" w:rsidP="006C03D1">
      <w:pPr>
        <w:pStyle w:val="ListBullet2"/>
      </w:pPr>
      <w:r w:rsidRPr="006C03D1">
        <w:t>was not pregnant or nursing during any period of the study</w:t>
      </w:r>
    </w:p>
    <w:p w14:paraId="2983D77B" w14:textId="305340CC" w:rsidR="006C03D1" w:rsidRPr="006C03D1" w:rsidRDefault="006C03D1" w:rsidP="006C03D1">
      <w:pPr>
        <w:pStyle w:val="ListBullet2"/>
      </w:pPr>
      <w:r>
        <w:t>w</w:t>
      </w:r>
      <w:r w:rsidRPr="006C03D1">
        <w:t>as surgically sterile; or</w:t>
      </w:r>
    </w:p>
    <w:p w14:paraId="41EE4E9E" w14:textId="07D94034" w:rsidR="006C03D1" w:rsidRPr="006C03D1" w:rsidRDefault="006C03D1" w:rsidP="006C03D1">
      <w:pPr>
        <w:pStyle w:val="ListBullet2"/>
      </w:pPr>
      <w:r>
        <w:t>h</w:t>
      </w:r>
      <w:r w:rsidRPr="006C03D1">
        <w:t xml:space="preserve">ad been amenorrheic for at least </w:t>
      </w:r>
      <w:r>
        <w:t>one</w:t>
      </w:r>
      <w:r w:rsidRPr="006C03D1">
        <w:t xml:space="preserve"> year and was over the age of 55 years; or</w:t>
      </w:r>
    </w:p>
    <w:p w14:paraId="687980E3" w14:textId="615DB42B" w:rsidR="006C03D1" w:rsidRPr="006C03D1" w:rsidRDefault="006C03D1" w:rsidP="009E4B11">
      <w:pPr>
        <w:pStyle w:val="ListBullet2"/>
      </w:pPr>
      <w:r>
        <w:t>h</w:t>
      </w:r>
      <w:r w:rsidRPr="006C03D1">
        <w:t>ad a negative serum pregnancy test at screening and agreed to use acceptable</w:t>
      </w:r>
      <w:r>
        <w:t xml:space="preserve"> </w:t>
      </w:r>
      <w:r w:rsidRPr="006C03D1">
        <w:t>contraceptive measures (</w:t>
      </w:r>
      <w:r>
        <w:t>for example</w:t>
      </w:r>
      <w:r w:rsidRPr="006C03D1">
        <w:t>, hormonal contraceptives, barrier with spermicide, intrauterine</w:t>
      </w:r>
      <w:r>
        <w:t xml:space="preserve"> </w:t>
      </w:r>
      <w:r w:rsidRPr="006C03D1">
        <w:t>device, vasectomi</w:t>
      </w:r>
      <w:r w:rsidR="00A020D9">
        <w:t>s</w:t>
      </w:r>
      <w:r w:rsidRPr="006C03D1">
        <w:t xml:space="preserve">ed partner, or abstinence) from the time of informed consent until </w:t>
      </w:r>
      <w:r>
        <w:t>seven</w:t>
      </w:r>
      <w:r w:rsidRPr="006C03D1">
        <w:t xml:space="preserve"> days</w:t>
      </w:r>
      <w:r>
        <w:t xml:space="preserve"> </w:t>
      </w:r>
      <w:r w:rsidRPr="006C03D1">
        <w:t>after the last dose of study drug.</w:t>
      </w:r>
    </w:p>
    <w:p w14:paraId="185268F2" w14:textId="377016BE" w:rsidR="006C03D1" w:rsidRPr="006C03D1" w:rsidRDefault="006C03D1" w:rsidP="006C03D1">
      <w:pPr>
        <w:pStyle w:val="ListBullet"/>
      </w:pPr>
      <w:r w:rsidRPr="006C03D1">
        <w:t>If</w:t>
      </w:r>
      <w:r>
        <w:t xml:space="preserve"> subject was</w:t>
      </w:r>
      <w:r w:rsidRPr="006C03D1">
        <w:t xml:space="preserve"> male:</w:t>
      </w:r>
    </w:p>
    <w:p w14:paraId="2C90D5A5" w14:textId="5CDA6EF1" w:rsidR="006C03D1" w:rsidRPr="006C03D1" w:rsidRDefault="006C03D1" w:rsidP="006C03D1">
      <w:pPr>
        <w:pStyle w:val="ListBullet2"/>
      </w:pPr>
      <w:r w:rsidRPr="006C03D1">
        <w:t xml:space="preserve">had agreed not to donate sperm after the first dose of study drug until </w:t>
      </w:r>
      <w:r>
        <w:t>seven</w:t>
      </w:r>
      <w:r w:rsidRPr="006C03D1">
        <w:t xml:space="preserve"> days after the last dose of study drug</w:t>
      </w:r>
    </w:p>
    <w:p w14:paraId="4B60EA97" w14:textId="3806866E" w:rsidR="006C03D1" w:rsidRPr="006C03D1" w:rsidRDefault="006C03D1" w:rsidP="006C03D1">
      <w:pPr>
        <w:pStyle w:val="ListBullet2"/>
      </w:pPr>
      <w:r w:rsidRPr="006C03D1">
        <w:t xml:space="preserve">had agreed to use a condom with spermicide or abstain from heterosexual intercourse during the study until </w:t>
      </w:r>
      <w:r>
        <w:t>seven</w:t>
      </w:r>
      <w:r w:rsidRPr="006C03D1">
        <w:t xml:space="preserve"> days after the last dose of study drug.</w:t>
      </w:r>
    </w:p>
    <w:p w14:paraId="2340293E" w14:textId="1A0765A2" w:rsidR="006C03D1" w:rsidRDefault="006C03D1" w:rsidP="006C03D1">
      <w:pPr>
        <w:pStyle w:val="ListBullet"/>
      </w:pPr>
      <w:r>
        <w:t>Subjects ha</w:t>
      </w:r>
      <w:r w:rsidRPr="006C03D1">
        <w:t>d a prescription dry body weight between 40 and 135 kg, inclusive.</w:t>
      </w:r>
    </w:p>
    <w:p w14:paraId="28D2B239" w14:textId="48CADA68" w:rsidR="006C03D1" w:rsidRDefault="006C03D1" w:rsidP="006C03D1">
      <w:r w:rsidRPr="006C03D1">
        <w:lastRenderedPageBreak/>
        <w:t xml:space="preserve">The clinical evaluation considered the inclusion and exclusion criteria were appropriate. </w:t>
      </w:r>
      <w:proofErr w:type="gramStart"/>
      <w:r w:rsidRPr="006C03D1">
        <w:t>Overall</w:t>
      </w:r>
      <w:proofErr w:type="gramEnd"/>
      <w:r w:rsidRPr="006C03D1">
        <w:t xml:space="preserve"> the study aimed to recruit adult ESRD patients on haemodialysis with a mean baseline WI</w:t>
      </w:r>
      <w:r w:rsidRPr="006C03D1">
        <w:noBreakHyphen/>
        <w:t>NERS score greater than 4.</w:t>
      </w:r>
    </w:p>
    <w:p w14:paraId="29299808" w14:textId="2113CCF2" w:rsidR="006C03D1" w:rsidRDefault="006C03D1" w:rsidP="006C03D1">
      <w:pPr>
        <w:pStyle w:val="Heading7"/>
      </w:pPr>
      <w:bookmarkStart w:id="56" w:name="_Ref140828070"/>
      <w:r>
        <w:t>Study treatments</w:t>
      </w:r>
      <w:bookmarkEnd w:id="56"/>
    </w:p>
    <w:p w14:paraId="5451B588" w14:textId="55688A10" w:rsidR="006C03D1" w:rsidRPr="006C03D1" w:rsidRDefault="006C03D1" w:rsidP="006C03D1">
      <w:r w:rsidRPr="006C03D1">
        <w:t xml:space="preserve">Subjects received either </w:t>
      </w:r>
      <w:r>
        <w:t>d</w:t>
      </w:r>
      <w:r w:rsidRPr="006C03D1">
        <w:t>ifelikefalin at a dose of 0.5</w:t>
      </w:r>
      <w:r>
        <w:t> </w:t>
      </w:r>
      <w:r w:rsidR="00A33AB5">
        <w:t>µ</w:t>
      </w:r>
      <w:r>
        <w:t>g</w:t>
      </w:r>
      <w:r w:rsidRPr="006C03D1">
        <w:t xml:space="preserve">/kg or placebo as an IV bolus after each haemodialysis session (generally </w:t>
      </w:r>
      <w:r>
        <w:t>three</w:t>
      </w:r>
      <w:r w:rsidRPr="006C03D1">
        <w:t xml:space="preserve"> times per week) for up to 12 weeks.</w:t>
      </w:r>
    </w:p>
    <w:p w14:paraId="5DAE05D6" w14:textId="53445124" w:rsidR="006C03D1" w:rsidRPr="006C03D1" w:rsidRDefault="006C03D1" w:rsidP="006C03D1">
      <w:r w:rsidRPr="006C03D1">
        <w:t>Treatment was administered as an IV bolus into the venous line of the haemodialysis circuit at the end of each haemodialysis session and could be given either during or after rinse back of the haemodialysis circuit. If study drug was given after rinse back, the venous line was to be flushed with at least 10</w:t>
      </w:r>
      <w:r>
        <w:t> </w:t>
      </w:r>
      <w:r w:rsidRPr="006C03D1">
        <w:t>mL of normal saline.</w:t>
      </w:r>
    </w:p>
    <w:p w14:paraId="7BAB263B" w14:textId="3CF6FAD3" w:rsidR="006C03D1" w:rsidRPr="006C03D1" w:rsidRDefault="006C03D1" w:rsidP="006C03D1">
      <w:r w:rsidRPr="006C03D1">
        <w:t xml:space="preserve">If a subject received additional haemodialysis during a given week for any reason, an additional dose of </w:t>
      </w:r>
      <w:r>
        <w:t>d</w:t>
      </w:r>
      <w:r w:rsidRPr="006C03D1">
        <w:t xml:space="preserve">ifelikefalin or placebo was administered following haemodialysis. A maximum of </w:t>
      </w:r>
      <w:r>
        <w:t>four</w:t>
      </w:r>
      <w:r w:rsidRPr="006C03D1">
        <w:t xml:space="preserve"> doses per week was allowed. No further additional doses were given for subjects receiving further additional unscheduled ultrafiltration treatments. If a subject missed a haemodialysis visit and the planned dose of </w:t>
      </w:r>
      <w:r>
        <w:t>d</w:t>
      </w:r>
      <w:r w:rsidRPr="006C03D1">
        <w:t>ifelikefalin or placebo for that visit, dosing was to resume at the next haemodialysis visit.</w:t>
      </w:r>
    </w:p>
    <w:p w14:paraId="0FAA34BC" w14:textId="59B9516F" w:rsidR="006C03D1" w:rsidRPr="006C03D1" w:rsidRDefault="006C03D1" w:rsidP="006C03D1">
      <w:r w:rsidRPr="006C03D1">
        <w:t>The subject’s prescription dry body weight (</w:t>
      </w:r>
      <w:r>
        <w:t>that is</w:t>
      </w:r>
      <w:r w:rsidRPr="006C03D1">
        <w:t>, the target post</w:t>
      </w:r>
      <w:r>
        <w:t xml:space="preserve"> </w:t>
      </w:r>
      <w:r w:rsidRPr="006C03D1">
        <w:t xml:space="preserve">dialysis weight, as determined by the subject’s nephrologist or dialysis unit during screening) was used to calculate the dose of study drug to be administered throughout the </w:t>
      </w:r>
      <w:proofErr w:type="gramStart"/>
      <w:r>
        <w:t>double blind</w:t>
      </w:r>
      <w:proofErr w:type="gramEnd"/>
      <w:r>
        <w:t xml:space="preserve"> t</w:t>
      </w:r>
      <w:r w:rsidRPr="006C03D1">
        <w:t xml:space="preserve">reatment </w:t>
      </w:r>
      <w:r>
        <w:t>p</w:t>
      </w:r>
      <w:r w:rsidRPr="006C03D1">
        <w:t>eriod.</w:t>
      </w:r>
    </w:p>
    <w:p w14:paraId="78C99A23" w14:textId="3C57CAD7" w:rsidR="006C03D1" w:rsidRPr="006C03D1" w:rsidRDefault="006C03D1" w:rsidP="00E81FD4">
      <w:pPr>
        <w:pStyle w:val="Heading8"/>
      </w:pPr>
      <w:r w:rsidRPr="006C03D1">
        <w:t>Concomitant medications</w:t>
      </w:r>
    </w:p>
    <w:p w14:paraId="692B260D" w14:textId="0E8C129F" w:rsidR="006C03D1" w:rsidRPr="00C7429A" w:rsidRDefault="006C03D1" w:rsidP="00C7429A">
      <w:r w:rsidRPr="00C7429A">
        <w:t xml:space="preserve">Prior concomitant antihistamines (oral, IV, or topical), corticosteroids (oral, IV, or topical), opioids, gabapentin and pregabalin were allowed to be continued, but changes to current prescription were to be avoided from screening to the end of the </w:t>
      </w:r>
      <w:proofErr w:type="gramStart"/>
      <w:r w:rsidRPr="00C7429A">
        <w:t>double blind</w:t>
      </w:r>
      <w:proofErr w:type="gramEnd"/>
      <w:r w:rsidRPr="00C7429A">
        <w:t xml:space="preserve"> treatment period except for the acute treatment of an adverse event or emergent medical condition.</w:t>
      </w:r>
    </w:p>
    <w:p w14:paraId="129C96C2" w14:textId="3A0A071E" w:rsidR="006C03D1" w:rsidRPr="00C7429A" w:rsidRDefault="00C7429A" w:rsidP="00C7429A">
      <w:r w:rsidRPr="00C7429A">
        <w:t xml:space="preserve">The </w:t>
      </w:r>
      <w:r w:rsidR="006C03D1" w:rsidRPr="00C7429A">
        <w:t>Delegate</w:t>
      </w:r>
      <w:r w:rsidRPr="00C7429A">
        <w:t xml:space="preserve"> noted that the prob</w:t>
      </w:r>
      <w:r w:rsidR="006C03D1" w:rsidRPr="00C7429A">
        <w:t>able use of concomitant opioid is a confounder in the reported adverse effects.</w:t>
      </w:r>
    </w:p>
    <w:p w14:paraId="4D9C2906" w14:textId="61376CF4" w:rsidR="006C03D1" w:rsidRPr="00C7429A" w:rsidRDefault="006C03D1" w:rsidP="00C7429A">
      <w:r w:rsidRPr="00C7429A">
        <w:t>Ultraviolet light-B treatments and naloxone, naltrexone, or mixed agonist-antagonists (for example, buprenorphine and nalbuphine) were not allowed during study treatment period. No new medication to treat itch was to be initiated during the study.</w:t>
      </w:r>
    </w:p>
    <w:p w14:paraId="7ADEB43A" w14:textId="6D3E0C6F" w:rsidR="006C03D1" w:rsidRDefault="006C03D1" w:rsidP="006C03D1">
      <w:r w:rsidRPr="006C03D1">
        <w:t>Subject compliance with study drug was documented as part of standard procedures at the dialysis units where study drug was administered.</w:t>
      </w:r>
    </w:p>
    <w:p w14:paraId="006FE2BB" w14:textId="495F7762" w:rsidR="006C03D1" w:rsidRPr="006C03D1" w:rsidRDefault="006C03D1" w:rsidP="006C03D1">
      <w:r>
        <w:t>The clinical evaluation noted that the study dose regimen is appropriate and the sponsor’s rationale for the dose selection in this study is considered acceptable.</w:t>
      </w:r>
    </w:p>
    <w:p w14:paraId="69536C75" w14:textId="547DEC47" w:rsidR="006C03D1" w:rsidRPr="006C03D1" w:rsidRDefault="006C03D1" w:rsidP="006C03D1">
      <w:pPr>
        <w:pStyle w:val="Heading7"/>
      </w:pPr>
      <w:bookmarkStart w:id="57" w:name="_Ref140828080"/>
      <w:r w:rsidRPr="006C03D1">
        <w:t>Randomisation and blinding methods</w:t>
      </w:r>
      <w:bookmarkEnd w:id="57"/>
    </w:p>
    <w:p w14:paraId="55CB9D8D" w14:textId="289962D6" w:rsidR="006C03D1" w:rsidRPr="006C03D1" w:rsidRDefault="006C03D1" w:rsidP="006C03D1">
      <w:r w:rsidRPr="006C03D1">
        <w:t xml:space="preserve">Randomisation was performed using an interactive web response system. Subjects were randomised in a 1:1 ratio to receive either </w:t>
      </w:r>
      <w:r>
        <w:t>d</w:t>
      </w:r>
      <w:r w:rsidRPr="006C03D1">
        <w:t>ifelikefalin 0.5</w:t>
      </w:r>
      <w:r>
        <w:t> </w:t>
      </w:r>
      <w:r w:rsidR="00A33AB5">
        <w:t>µ</w:t>
      </w:r>
      <w:r>
        <w:t>g</w:t>
      </w:r>
      <w:r w:rsidRPr="006C03D1">
        <w:t xml:space="preserve">/kg or matching placebo during the </w:t>
      </w:r>
      <w:proofErr w:type="gramStart"/>
      <w:r>
        <w:t>double blind</w:t>
      </w:r>
      <w:proofErr w:type="gramEnd"/>
      <w:r>
        <w:t xml:space="preserve"> t</w:t>
      </w:r>
      <w:r w:rsidRPr="006C03D1">
        <w:t>reatment</w:t>
      </w:r>
      <w:r>
        <w:t xml:space="preserve"> p</w:t>
      </w:r>
      <w:r w:rsidRPr="006C03D1">
        <w:t>eriod.</w:t>
      </w:r>
    </w:p>
    <w:p w14:paraId="7F681B70" w14:textId="77777777" w:rsidR="006C03D1" w:rsidRPr="006C03D1" w:rsidRDefault="006C03D1" w:rsidP="006C03D1">
      <w:r w:rsidRPr="006C03D1">
        <w:t xml:space="preserve">Randomisation was stratified based on the: </w:t>
      </w:r>
    </w:p>
    <w:p w14:paraId="52E0ADED" w14:textId="2B1D8665" w:rsidR="00FB39D0" w:rsidRDefault="006C03D1" w:rsidP="009E4B11">
      <w:pPr>
        <w:pStyle w:val="ListBullet"/>
      </w:pPr>
      <w:r w:rsidRPr="006C03D1">
        <w:t>use or non-use of concomitant medications to treat the</w:t>
      </w:r>
      <w:r>
        <w:t xml:space="preserve"> </w:t>
      </w:r>
      <w:r w:rsidRPr="006C03D1">
        <w:t>itch during the pre-randomisation week (</w:t>
      </w:r>
      <w:r>
        <w:t>r</w:t>
      </w:r>
      <w:r w:rsidRPr="006C03D1">
        <w:t>un</w:t>
      </w:r>
      <w:r w:rsidR="00E81FD4">
        <w:t>-</w:t>
      </w:r>
      <w:r w:rsidRPr="006C03D1">
        <w:t xml:space="preserve">in </w:t>
      </w:r>
      <w:r>
        <w:t>p</w:t>
      </w:r>
      <w:r w:rsidRPr="006C03D1">
        <w:t>eriod)</w:t>
      </w:r>
      <w:r w:rsidR="00FB39D0">
        <w:t>.</w:t>
      </w:r>
    </w:p>
    <w:p w14:paraId="78755EAA" w14:textId="005B8A99" w:rsidR="006C03D1" w:rsidRPr="006C03D1" w:rsidRDefault="006C03D1" w:rsidP="006C03D1">
      <w:pPr>
        <w:pStyle w:val="ListBullet"/>
      </w:pPr>
      <w:r w:rsidRPr="006C03D1">
        <w:t xml:space="preserve">presence or absence of specific medical conditions </w:t>
      </w:r>
    </w:p>
    <w:p w14:paraId="49BDA308" w14:textId="1443DBFF" w:rsidR="006C03D1" w:rsidRPr="006C03D1" w:rsidRDefault="006C03D1" w:rsidP="006C03D1">
      <w:pPr>
        <w:pStyle w:val="ListBullet2"/>
      </w:pPr>
      <w:r w:rsidRPr="006C03D1">
        <w:t xml:space="preserve">history of fall or fracture </w:t>
      </w:r>
      <w:r>
        <w:t>(</w:t>
      </w:r>
      <w:r w:rsidRPr="006C03D1">
        <w:t>related to fall</w:t>
      </w:r>
      <w:r>
        <w:t>)</w:t>
      </w:r>
    </w:p>
    <w:p w14:paraId="0B244CBD" w14:textId="634A9B53" w:rsidR="006C03D1" w:rsidRPr="006C03D1" w:rsidRDefault="006C03D1" w:rsidP="006C03D1">
      <w:pPr>
        <w:pStyle w:val="ListBullet2"/>
      </w:pPr>
      <w:r w:rsidRPr="006C03D1">
        <w:t>confusional state or mental status change or altered mental status or disorientation</w:t>
      </w:r>
    </w:p>
    <w:p w14:paraId="0AA0B88B" w14:textId="09E2455B" w:rsidR="006C03D1" w:rsidRPr="006C03D1" w:rsidRDefault="006C03D1" w:rsidP="006C03D1">
      <w:pPr>
        <w:pStyle w:val="ListBullet2"/>
      </w:pPr>
      <w:r w:rsidRPr="006C03D1">
        <w:t>gait disturbance or movement disorder.</w:t>
      </w:r>
    </w:p>
    <w:p w14:paraId="24041195" w14:textId="7A99A9E1" w:rsidR="006C03D1" w:rsidRDefault="006C03D1" w:rsidP="006C03D1">
      <w:r w:rsidRPr="006C03D1">
        <w:lastRenderedPageBreak/>
        <w:t xml:space="preserve">During the </w:t>
      </w:r>
      <w:proofErr w:type="gramStart"/>
      <w:r>
        <w:t>double blind</w:t>
      </w:r>
      <w:proofErr w:type="gramEnd"/>
      <w:r>
        <w:t xml:space="preserve"> t</w:t>
      </w:r>
      <w:r w:rsidRPr="006C03D1">
        <w:t xml:space="preserve">reatment </w:t>
      </w:r>
      <w:r>
        <w:t>p</w:t>
      </w:r>
      <w:r w:rsidRPr="006C03D1">
        <w:t>eriod, subjects, investigators, and study staff were blinded to study drug assignment.</w:t>
      </w:r>
    </w:p>
    <w:p w14:paraId="28340195" w14:textId="03FCF767" w:rsidR="00893AC0" w:rsidRDefault="00893AC0" w:rsidP="006C03D1">
      <w:pPr>
        <w:pStyle w:val="Heading7"/>
      </w:pPr>
      <w:r w:rsidRPr="00893AC0">
        <w:t>Efficacy parameters</w:t>
      </w:r>
      <w:r>
        <w:t xml:space="preserve"> and </w:t>
      </w:r>
      <w:r w:rsidRPr="00893AC0">
        <w:t>endpoints</w:t>
      </w:r>
    </w:p>
    <w:p w14:paraId="741708B5" w14:textId="0DC3B644" w:rsidR="006C03D1" w:rsidRDefault="006C03D1" w:rsidP="00E81FD4">
      <w:pPr>
        <w:pStyle w:val="Heading8"/>
      </w:pPr>
      <w:r>
        <w:t>Primary efficacy parameters/endpoints</w:t>
      </w:r>
    </w:p>
    <w:p w14:paraId="7C7A5233" w14:textId="752AA1D0" w:rsidR="006C03D1" w:rsidRDefault="0009716C" w:rsidP="006C03D1">
      <w:r>
        <w:t xml:space="preserve">The proportion of </w:t>
      </w:r>
      <w:r w:rsidRPr="0009716C">
        <w:t>subjects achieving a 3</w:t>
      </w:r>
      <w:r>
        <w:t xml:space="preserve"> </w:t>
      </w:r>
      <w:r w:rsidRPr="0009716C">
        <w:t>point</w:t>
      </w:r>
      <w:r>
        <w:t xml:space="preserve"> or greater </w:t>
      </w:r>
      <w:r w:rsidRPr="0009716C">
        <w:t xml:space="preserve">improvement from </w:t>
      </w:r>
      <w:r>
        <w:t>B</w:t>
      </w:r>
      <w:r w:rsidRPr="0009716C">
        <w:t xml:space="preserve">aseline with respect to the weekly mean of the daily </w:t>
      </w:r>
      <w:proofErr w:type="gramStart"/>
      <w:r w:rsidRPr="0009716C">
        <w:t>24</w:t>
      </w:r>
      <w:r>
        <w:t xml:space="preserve"> </w:t>
      </w:r>
      <w:r w:rsidRPr="0009716C">
        <w:t>hour</w:t>
      </w:r>
      <w:proofErr w:type="gramEnd"/>
      <w:r w:rsidRPr="0009716C">
        <w:t xml:space="preserve"> WI-NRS score at Week 12 of the </w:t>
      </w:r>
      <w:r>
        <w:t>double blind t</w:t>
      </w:r>
      <w:r w:rsidRPr="0009716C">
        <w:t xml:space="preserve">reatment </w:t>
      </w:r>
      <w:r>
        <w:t>p</w:t>
      </w:r>
      <w:r w:rsidRPr="0009716C">
        <w:t>eriod.</w:t>
      </w:r>
      <w:r>
        <w:fldChar w:fldCharType="begin"/>
      </w:r>
      <w:r>
        <w:instrText xml:space="preserve"> NOTEREF _Ref140498254 \f \h </w:instrText>
      </w:r>
      <w:r>
        <w:fldChar w:fldCharType="separate"/>
      </w:r>
      <w:r w:rsidR="00B44DE2" w:rsidRPr="00B44DE2">
        <w:rPr>
          <w:rStyle w:val="FootnoteReference"/>
        </w:rPr>
        <w:t>7</w:t>
      </w:r>
      <w:r>
        <w:fldChar w:fldCharType="end"/>
      </w:r>
    </w:p>
    <w:p w14:paraId="33267BEE" w14:textId="615CB63F" w:rsidR="0009716C" w:rsidRPr="0009716C" w:rsidRDefault="006C03D1" w:rsidP="00E81FD4">
      <w:pPr>
        <w:pStyle w:val="Heading8"/>
      </w:pPr>
      <w:r>
        <w:t>Secondary efficacy parameters/endpoints</w:t>
      </w:r>
    </w:p>
    <w:p w14:paraId="666D17CD" w14:textId="0282B9E6" w:rsidR="0009716C" w:rsidRPr="0009716C" w:rsidRDefault="0009716C" w:rsidP="0009716C">
      <w:pPr>
        <w:pStyle w:val="ListBullet"/>
      </w:pPr>
      <w:r>
        <w:t>C</w:t>
      </w:r>
      <w:r w:rsidRPr="0009716C">
        <w:t xml:space="preserve">hange from </w:t>
      </w:r>
      <w:r>
        <w:t>B</w:t>
      </w:r>
      <w:r w:rsidRPr="0009716C">
        <w:t>aseline in itch</w:t>
      </w:r>
      <w:r>
        <w:t xml:space="preserve"> </w:t>
      </w:r>
      <w:r w:rsidRPr="0009716C">
        <w:t xml:space="preserve">related </w:t>
      </w:r>
      <w:r>
        <w:t>quality of life</w:t>
      </w:r>
      <w:r w:rsidRPr="0009716C">
        <w:t xml:space="preserve"> at the end of Week 12 of the </w:t>
      </w:r>
      <w:proofErr w:type="gramStart"/>
      <w:r>
        <w:t>double blind</w:t>
      </w:r>
      <w:proofErr w:type="gramEnd"/>
      <w:r>
        <w:t xml:space="preserve"> t</w:t>
      </w:r>
      <w:r w:rsidRPr="0009716C">
        <w:t xml:space="preserve">reatment </w:t>
      </w:r>
      <w:r>
        <w:t>p</w:t>
      </w:r>
      <w:r w:rsidRPr="0009716C">
        <w:t xml:space="preserve">eriod, as assessed by the 5-D </w:t>
      </w:r>
      <w:r>
        <w:t>i</w:t>
      </w:r>
      <w:r w:rsidRPr="0009716C">
        <w:t xml:space="preserve">tch </w:t>
      </w:r>
      <w:r>
        <w:t>s</w:t>
      </w:r>
      <w:r w:rsidRPr="0009716C">
        <w:t>cale</w:t>
      </w:r>
      <w:r>
        <w:t>.</w:t>
      </w:r>
      <w:r>
        <w:rPr>
          <w:rStyle w:val="FootnoteReference"/>
        </w:rPr>
        <w:footnoteReference w:id="9"/>
      </w:r>
    </w:p>
    <w:p w14:paraId="34DE1EAA" w14:textId="1E7033A1" w:rsidR="0009716C" w:rsidRDefault="0009716C" w:rsidP="0009716C">
      <w:pPr>
        <w:pStyle w:val="ListBullet"/>
      </w:pPr>
      <w:r>
        <w:t>C</w:t>
      </w:r>
      <w:r w:rsidRPr="0009716C">
        <w:t xml:space="preserve">hange from </w:t>
      </w:r>
      <w:r>
        <w:t>B</w:t>
      </w:r>
      <w:r w:rsidRPr="0009716C">
        <w:t>aseline in itch</w:t>
      </w:r>
      <w:r>
        <w:t xml:space="preserve"> </w:t>
      </w:r>
      <w:r w:rsidRPr="0009716C">
        <w:t xml:space="preserve">related </w:t>
      </w:r>
      <w:r>
        <w:t>quality of life</w:t>
      </w:r>
      <w:r w:rsidRPr="0009716C">
        <w:t xml:space="preserve"> at the end of Week 12 of the </w:t>
      </w:r>
      <w:proofErr w:type="gramStart"/>
      <w:r>
        <w:t>double blind</w:t>
      </w:r>
      <w:proofErr w:type="gramEnd"/>
      <w:r>
        <w:t xml:space="preserve"> t</w:t>
      </w:r>
      <w:r w:rsidRPr="0009716C">
        <w:t xml:space="preserve">reatment </w:t>
      </w:r>
      <w:r>
        <w:t>p</w:t>
      </w:r>
      <w:r w:rsidRPr="0009716C">
        <w:t xml:space="preserve">eriod, as assessed by the total Skindex-10 </w:t>
      </w:r>
      <w:r>
        <w:t>s</w:t>
      </w:r>
      <w:r w:rsidRPr="0009716C">
        <w:t>cale score.</w:t>
      </w:r>
      <w:r>
        <w:rPr>
          <w:rStyle w:val="FootnoteReference"/>
        </w:rPr>
        <w:footnoteReference w:id="10"/>
      </w:r>
    </w:p>
    <w:p w14:paraId="5179733D" w14:textId="24BEE93F" w:rsidR="0009716C" w:rsidRDefault="0009716C" w:rsidP="0009716C">
      <w:pPr>
        <w:pStyle w:val="ListBullet"/>
      </w:pPr>
      <w:r>
        <w:t>P</w:t>
      </w:r>
      <w:r w:rsidRPr="0009716C">
        <w:t>roportion of subjects achieving a</w:t>
      </w:r>
      <w:r>
        <w:t xml:space="preserve"> </w:t>
      </w:r>
      <w:r w:rsidRPr="0009716C">
        <w:t>4</w:t>
      </w:r>
      <w:r>
        <w:t xml:space="preserve"> </w:t>
      </w:r>
      <w:r w:rsidRPr="0009716C">
        <w:t>point</w:t>
      </w:r>
      <w:r>
        <w:t xml:space="preserve"> or greater</w:t>
      </w:r>
      <w:r w:rsidRPr="0009716C">
        <w:t xml:space="preserve"> improvement from </w:t>
      </w:r>
      <w:r>
        <w:t>B</w:t>
      </w:r>
      <w:r w:rsidRPr="0009716C">
        <w:t xml:space="preserve">aseline with respect to the weekly mean of the daily </w:t>
      </w:r>
      <w:proofErr w:type="gramStart"/>
      <w:r w:rsidRPr="0009716C">
        <w:t>24</w:t>
      </w:r>
      <w:r>
        <w:t xml:space="preserve"> </w:t>
      </w:r>
      <w:r w:rsidRPr="0009716C">
        <w:t>hour</w:t>
      </w:r>
      <w:proofErr w:type="gramEnd"/>
      <w:r w:rsidRPr="0009716C">
        <w:t xml:space="preserve"> WI-NRS at Week 12 of the </w:t>
      </w:r>
      <w:r>
        <w:t>double blind</w:t>
      </w:r>
      <w:r w:rsidRPr="0009716C">
        <w:t xml:space="preserve"> </w:t>
      </w:r>
      <w:r>
        <w:t>t</w:t>
      </w:r>
      <w:r w:rsidRPr="0009716C">
        <w:t xml:space="preserve">reatment </w:t>
      </w:r>
      <w:r>
        <w:t>p</w:t>
      </w:r>
      <w:r w:rsidRPr="0009716C">
        <w:t>eriod</w:t>
      </w:r>
      <w:r>
        <w:t>.</w:t>
      </w:r>
    </w:p>
    <w:p w14:paraId="4B06D80C" w14:textId="6D3B46BE" w:rsidR="0009716C" w:rsidRDefault="0009716C" w:rsidP="0009716C">
      <w:pPr>
        <w:pStyle w:val="ListBullet"/>
        <w:numPr>
          <w:ilvl w:val="0"/>
          <w:numId w:val="0"/>
        </w:numPr>
        <w:ind w:left="360" w:hanging="360"/>
      </w:pPr>
      <w:r w:rsidRPr="0009716C">
        <w:t>Efficacy endpoints were assessed according to the schedule below:</w:t>
      </w:r>
    </w:p>
    <w:p w14:paraId="1615DD1D" w14:textId="7D4F4A38" w:rsidR="0009716C" w:rsidRDefault="0009716C" w:rsidP="0009716C">
      <w:pPr>
        <w:pStyle w:val="TableTitle"/>
      </w:pPr>
      <w:r>
        <w:lastRenderedPageBreak/>
        <w:t xml:space="preserve">Table </w:t>
      </w:r>
      <w:r>
        <w:fldChar w:fldCharType="begin"/>
      </w:r>
      <w:r>
        <w:instrText>SEQ Table \* ARABIC</w:instrText>
      </w:r>
      <w:r>
        <w:fldChar w:fldCharType="separate"/>
      </w:r>
      <w:r w:rsidR="00B44DE2">
        <w:rPr>
          <w:noProof/>
        </w:rPr>
        <w:t>4</w:t>
      </w:r>
      <w:r>
        <w:fldChar w:fldCharType="end"/>
      </w:r>
      <w:r>
        <w:t xml:space="preserve">: </w:t>
      </w:r>
      <w:r w:rsidRPr="0009716C">
        <w:t>Study</w:t>
      </w:r>
      <w:r>
        <w:t xml:space="preserve"> </w:t>
      </w:r>
      <w:r w:rsidRPr="0009716C">
        <w:t xml:space="preserve">CR845-CLIN3102 </w:t>
      </w:r>
      <w:r>
        <w:t>D</w:t>
      </w:r>
      <w:r w:rsidRPr="0009716C">
        <w:t>ouble</w:t>
      </w:r>
      <w:r>
        <w:t xml:space="preserve"> </w:t>
      </w:r>
      <w:r w:rsidRPr="0009716C">
        <w:t xml:space="preserve">blind </w:t>
      </w:r>
      <w:r>
        <w:t>p</w:t>
      </w:r>
      <w:r w:rsidRPr="0009716C">
        <w:t xml:space="preserve">hase </w:t>
      </w:r>
      <w:r>
        <w:t>s</w:t>
      </w:r>
      <w:r w:rsidRPr="0009716C">
        <w:t xml:space="preserve">chedule of </w:t>
      </w:r>
      <w:r>
        <w:t>a</w:t>
      </w:r>
      <w:r w:rsidRPr="0009716C">
        <w:t>ssessments</w:t>
      </w:r>
    </w:p>
    <w:p w14:paraId="57C3FAFB" w14:textId="4848E604" w:rsidR="0009716C" w:rsidRDefault="0009716C" w:rsidP="00E36472">
      <w:r>
        <w:rPr>
          <w:noProof/>
        </w:rPr>
        <w:drawing>
          <wp:inline distT="0" distB="0" distL="0" distR="0" wp14:anchorId="7871E9D9" wp14:editId="67F787B2">
            <wp:extent cx="5730875" cy="4559935"/>
            <wp:effectExtent l="0" t="0" r="3175" b="0"/>
            <wp:docPr id="3" name="Picture 3" descr="Study CR845-CLIN3102 Double blind phase schedule of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CR845-CLIN3102 Double blind phase schedule of assess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4559935"/>
                    </a:xfrm>
                    <a:prstGeom prst="rect">
                      <a:avLst/>
                    </a:prstGeom>
                    <a:noFill/>
                  </pic:spPr>
                </pic:pic>
              </a:graphicData>
            </a:graphic>
          </wp:inline>
        </w:drawing>
      </w:r>
    </w:p>
    <w:p w14:paraId="17B95F8E" w14:textId="04A90726" w:rsidR="0009716C" w:rsidRPr="0009716C" w:rsidRDefault="0009716C" w:rsidP="0009716C">
      <w:pPr>
        <w:pStyle w:val="TableDescription"/>
      </w:pPr>
      <w:r>
        <w:t xml:space="preserve">Abbreviations: </w:t>
      </w:r>
      <w:r w:rsidRPr="0009716C">
        <w:t xml:space="preserve">DP = </w:t>
      </w:r>
      <w:r>
        <w:t>d</w:t>
      </w:r>
      <w:r w:rsidRPr="0009716C">
        <w:t xml:space="preserve">iscontinuation </w:t>
      </w:r>
      <w:r>
        <w:t>p</w:t>
      </w:r>
      <w:r w:rsidRPr="0009716C">
        <w:t>eriod</w:t>
      </w:r>
      <w:r>
        <w:t>,</w:t>
      </w:r>
      <w:r w:rsidRPr="0009716C">
        <w:t xml:space="preserve"> ESA = erythropoiesis</w:t>
      </w:r>
      <w:r>
        <w:t xml:space="preserve"> </w:t>
      </w:r>
      <w:r w:rsidRPr="0009716C">
        <w:t>stimulating agent</w:t>
      </w:r>
      <w:r>
        <w:t>,</w:t>
      </w:r>
      <w:r w:rsidRPr="0009716C">
        <w:t xml:space="preserve"> F = Friday</w:t>
      </w:r>
      <w:r>
        <w:t>,</w:t>
      </w:r>
      <w:r w:rsidRPr="0009716C">
        <w:t xml:space="preserve"> IV = intravenous</w:t>
      </w:r>
      <w:r>
        <w:t>,</w:t>
      </w:r>
      <w:r w:rsidRPr="0009716C">
        <w:t xml:space="preserve"> M</w:t>
      </w:r>
      <w:r w:rsidR="00A020D9">
        <w:t> </w:t>
      </w:r>
      <w:r w:rsidRPr="0009716C">
        <w:t>=</w:t>
      </w:r>
      <w:r w:rsidR="00A020D9">
        <w:t> </w:t>
      </w:r>
      <w:r w:rsidRPr="0009716C">
        <w:t>Monday</w:t>
      </w:r>
      <w:r>
        <w:t>,</w:t>
      </w:r>
      <w:r w:rsidRPr="0009716C">
        <w:t xml:space="preserve"> OOWS = </w:t>
      </w:r>
      <w:r>
        <w:t>o</w:t>
      </w:r>
      <w:r w:rsidRPr="0009716C">
        <w:t xml:space="preserve">bjective </w:t>
      </w:r>
      <w:r>
        <w:t>o</w:t>
      </w:r>
      <w:r w:rsidRPr="0009716C">
        <w:t xml:space="preserve">piate </w:t>
      </w:r>
      <w:r>
        <w:t>w</w:t>
      </w:r>
      <w:r w:rsidRPr="0009716C">
        <w:t xml:space="preserve">ithdrawal </w:t>
      </w:r>
      <w:r>
        <w:t>s</w:t>
      </w:r>
      <w:r w:rsidRPr="0009716C">
        <w:t>cale;</w:t>
      </w:r>
      <w:r>
        <w:t xml:space="preserve"> </w:t>
      </w:r>
      <w:r w:rsidRPr="0009716C">
        <w:t>PRO = patient</w:t>
      </w:r>
      <w:r>
        <w:t xml:space="preserve"> </w:t>
      </w:r>
      <w:r w:rsidRPr="0009716C">
        <w:t>reported outcome</w:t>
      </w:r>
      <w:r>
        <w:t>,</w:t>
      </w:r>
      <w:r w:rsidRPr="0009716C">
        <w:t xml:space="preserve"> Sa = Saturday</w:t>
      </w:r>
      <w:r>
        <w:t>,</w:t>
      </w:r>
      <w:r w:rsidRPr="0009716C">
        <w:t xml:space="preserve"> </w:t>
      </w:r>
      <w:proofErr w:type="spellStart"/>
      <w:r w:rsidRPr="0009716C">
        <w:t>ShOWS</w:t>
      </w:r>
      <w:proofErr w:type="spellEnd"/>
      <w:r w:rsidR="00A020D9">
        <w:t> </w:t>
      </w:r>
      <w:r w:rsidRPr="0009716C">
        <w:t>=</w:t>
      </w:r>
      <w:r w:rsidR="00A020D9">
        <w:t> </w:t>
      </w:r>
      <w:r>
        <w:t>s</w:t>
      </w:r>
      <w:r w:rsidRPr="0009716C">
        <w:t xml:space="preserve">hort </w:t>
      </w:r>
      <w:r>
        <w:t>o</w:t>
      </w:r>
      <w:r w:rsidRPr="0009716C">
        <w:t xml:space="preserve">piate </w:t>
      </w:r>
      <w:r>
        <w:t>w</w:t>
      </w:r>
      <w:r w:rsidRPr="0009716C">
        <w:t xml:space="preserve">ithdrawal </w:t>
      </w:r>
      <w:r>
        <w:t>s</w:t>
      </w:r>
      <w:r w:rsidRPr="0009716C">
        <w:t>cale</w:t>
      </w:r>
      <w:r>
        <w:t>,</w:t>
      </w:r>
      <w:r w:rsidRPr="0009716C">
        <w:t xml:space="preserve"> Th = Thursday</w:t>
      </w:r>
      <w:r>
        <w:t>,</w:t>
      </w:r>
      <w:r w:rsidRPr="0009716C">
        <w:t xml:space="preserve"> Tu</w:t>
      </w:r>
      <w:r>
        <w:t> </w:t>
      </w:r>
      <w:r w:rsidRPr="0009716C">
        <w:t>=</w:t>
      </w:r>
      <w:r>
        <w:t> </w:t>
      </w:r>
      <w:r w:rsidRPr="0009716C">
        <w:t>Tuesday</w:t>
      </w:r>
      <w:r>
        <w:t>,</w:t>
      </w:r>
      <w:r w:rsidRPr="0009716C">
        <w:t xml:space="preserve"> W = Wednesday</w:t>
      </w:r>
      <w:r>
        <w:t>,</w:t>
      </w:r>
      <w:r w:rsidRPr="0009716C">
        <w:t xml:space="preserve"> WI-NRS = </w:t>
      </w:r>
      <w:r>
        <w:t>w</w:t>
      </w:r>
      <w:r w:rsidRPr="0009716C">
        <w:t xml:space="preserve">orst </w:t>
      </w:r>
      <w:r>
        <w:t>i</w:t>
      </w:r>
      <w:r w:rsidRPr="0009716C">
        <w:t>tching</w:t>
      </w:r>
      <w:r>
        <w:t xml:space="preserve"> i</w:t>
      </w:r>
      <w:r w:rsidRPr="0009716C">
        <w:t>ntensity numerical rating scale</w:t>
      </w:r>
      <w:r>
        <w:t>.</w:t>
      </w:r>
    </w:p>
    <w:p w14:paraId="3D93790B" w14:textId="318FD662" w:rsidR="0009716C" w:rsidRPr="0009716C" w:rsidRDefault="0009716C" w:rsidP="0009716C">
      <w:pPr>
        <w:pStyle w:val="TableDescription"/>
      </w:pPr>
      <w:r w:rsidRPr="0009716C">
        <w:t xml:space="preserve">a. Each visit during the </w:t>
      </w:r>
      <w:proofErr w:type="gramStart"/>
      <w:r>
        <w:t>d</w:t>
      </w:r>
      <w:r w:rsidRPr="0009716C">
        <w:t>ouble</w:t>
      </w:r>
      <w:r>
        <w:t xml:space="preserve"> </w:t>
      </w:r>
      <w:r w:rsidRPr="0009716C">
        <w:t>blind</w:t>
      </w:r>
      <w:proofErr w:type="gramEnd"/>
      <w:r w:rsidRPr="0009716C">
        <w:t xml:space="preserve"> </w:t>
      </w:r>
      <w:r>
        <w:t>t</w:t>
      </w:r>
      <w:r w:rsidRPr="0009716C">
        <w:t xml:space="preserve">reatment </w:t>
      </w:r>
      <w:r>
        <w:t>p</w:t>
      </w:r>
      <w:r w:rsidRPr="0009716C">
        <w:t>eriod coincided with the subject’s normal dialysis treatments.</w:t>
      </w:r>
    </w:p>
    <w:p w14:paraId="1436A0C4" w14:textId="4288C0E0" w:rsidR="0009716C" w:rsidRPr="0009716C" w:rsidRDefault="0009716C" w:rsidP="0009716C">
      <w:pPr>
        <w:pStyle w:val="TableDescription"/>
      </w:pPr>
      <w:r w:rsidRPr="0009716C">
        <w:t xml:space="preserve">b. The </w:t>
      </w:r>
      <w:r>
        <w:t>e</w:t>
      </w:r>
      <w:r w:rsidRPr="0009716C">
        <w:t xml:space="preserve">nd of </w:t>
      </w:r>
      <w:r>
        <w:t>t</w:t>
      </w:r>
      <w:r w:rsidRPr="0009716C">
        <w:t xml:space="preserve">reatment </w:t>
      </w:r>
      <w:proofErr w:type="gramStart"/>
      <w:r>
        <w:t>v</w:t>
      </w:r>
      <w:r w:rsidRPr="0009716C">
        <w:t>isit</w:t>
      </w:r>
      <w:proofErr w:type="gramEnd"/>
      <w:r w:rsidRPr="0009716C">
        <w:t xml:space="preserve"> in the </w:t>
      </w:r>
      <w:r>
        <w:t>d</w:t>
      </w:r>
      <w:r w:rsidRPr="0009716C">
        <w:t>ouble</w:t>
      </w:r>
      <w:r>
        <w:t xml:space="preserve"> </w:t>
      </w:r>
      <w:r w:rsidRPr="0009716C">
        <w:t xml:space="preserve">blind </w:t>
      </w:r>
      <w:r>
        <w:t>p</w:t>
      </w:r>
      <w:r w:rsidRPr="0009716C">
        <w:t>hase was the first dialysis visit following the last dose of study drug (</w:t>
      </w:r>
      <w:r>
        <w:t>that</w:t>
      </w:r>
      <w:r w:rsidRPr="0009716C">
        <w:t xml:space="preserve">, first dialysis on Week 13 </w:t>
      </w:r>
      <w:r>
        <w:t>(</w:t>
      </w:r>
      <w:r w:rsidRPr="0009716C">
        <w:t>Day 85</w:t>
      </w:r>
      <w:r>
        <w:t>)</w:t>
      </w:r>
      <w:r w:rsidRPr="0009716C">
        <w:t>), which also</w:t>
      </w:r>
      <w:r>
        <w:t xml:space="preserve"> </w:t>
      </w:r>
      <w:r w:rsidRPr="0009716C">
        <w:t xml:space="preserve">corresponded to Day 1 of the </w:t>
      </w:r>
      <w:r>
        <w:t>d</w:t>
      </w:r>
      <w:r w:rsidRPr="0009716C">
        <w:t xml:space="preserve">iscontinuation </w:t>
      </w:r>
      <w:r>
        <w:t>p</w:t>
      </w:r>
      <w:r w:rsidRPr="0009716C">
        <w:t>eriod (DP Day 1).</w:t>
      </w:r>
    </w:p>
    <w:p w14:paraId="4B5E4C0A" w14:textId="3AD30076" w:rsidR="0009716C" w:rsidRPr="0009716C" w:rsidRDefault="0009716C" w:rsidP="0009716C">
      <w:pPr>
        <w:pStyle w:val="TableDescription"/>
      </w:pPr>
      <w:r w:rsidRPr="0009716C">
        <w:t xml:space="preserve">c. </w:t>
      </w:r>
      <w:proofErr w:type="gramStart"/>
      <w:r w:rsidRPr="0009716C">
        <w:t>Medical</w:t>
      </w:r>
      <w:proofErr w:type="gramEnd"/>
      <w:r w:rsidRPr="0009716C">
        <w:t xml:space="preserve"> history was updated on Day 1 with any changes since the </w:t>
      </w:r>
      <w:r>
        <w:t>s</w:t>
      </w:r>
      <w:r w:rsidRPr="0009716C">
        <w:t xml:space="preserve">creening </w:t>
      </w:r>
      <w:r>
        <w:t>v</w:t>
      </w:r>
      <w:r w:rsidRPr="0009716C">
        <w:t>isit, and inclusion/exclusion criteria were confirmed prior to randomi</w:t>
      </w:r>
      <w:r>
        <w:t>s</w:t>
      </w:r>
      <w:r w:rsidRPr="0009716C">
        <w:t>ation. Antipruritic</w:t>
      </w:r>
      <w:r>
        <w:t xml:space="preserve"> </w:t>
      </w:r>
      <w:r w:rsidRPr="0009716C">
        <w:t xml:space="preserve">medication was updated at each dialysis visit during the </w:t>
      </w:r>
      <w:r>
        <w:t>r</w:t>
      </w:r>
      <w:r w:rsidRPr="0009716C">
        <w:t>un</w:t>
      </w:r>
      <w:r w:rsidR="00E81FD4">
        <w:t>-</w:t>
      </w:r>
      <w:r w:rsidRPr="0009716C">
        <w:t xml:space="preserve">in </w:t>
      </w:r>
      <w:r>
        <w:t>p</w:t>
      </w:r>
      <w:r w:rsidRPr="0009716C">
        <w:t>eriod.</w:t>
      </w:r>
    </w:p>
    <w:p w14:paraId="7B97E715" w14:textId="76463425" w:rsidR="0009716C" w:rsidRPr="0009716C" w:rsidRDefault="0009716C" w:rsidP="0009716C">
      <w:pPr>
        <w:pStyle w:val="TableDescription"/>
      </w:pPr>
      <w:r w:rsidRPr="0009716C">
        <w:t>d. Electrocardiogram had to be performed prior to the start of dialysis at screening and on Day</w:t>
      </w:r>
      <w:r>
        <w:t> </w:t>
      </w:r>
      <w:r w:rsidRPr="0009716C">
        <w:t>85 (</w:t>
      </w:r>
      <w:r>
        <w:t>e</w:t>
      </w:r>
      <w:r w:rsidRPr="0009716C">
        <w:t xml:space="preserve">nd of </w:t>
      </w:r>
      <w:r>
        <w:t>t</w:t>
      </w:r>
      <w:r w:rsidRPr="0009716C">
        <w:t xml:space="preserve">reatment; or at the </w:t>
      </w:r>
      <w:r>
        <w:t>e</w:t>
      </w:r>
      <w:r w:rsidRPr="0009716C">
        <w:t xml:space="preserve">arly </w:t>
      </w:r>
      <w:r>
        <w:t>t</w:t>
      </w:r>
      <w:r w:rsidRPr="0009716C">
        <w:t xml:space="preserve">ermination </w:t>
      </w:r>
      <w:r>
        <w:t>v</w:t>
      </w:r>
      <w:r w:rsidRPr="0009716C">
        <w:t>isit).</w:t>
      </w:r>
    </w:p>
    <w:p w14:paraId="7D7027C5" w14:textId="7714EC62" w:rsidR="0009716C" w:rsidRPr="0009716C" w:rsidRDefault="0009716C" w:rsidP="0009716C">
      <w:pPr>
        <w:pStyle w:val="TableDescription"/>
      </w:pPr>
      <w:r w:rsidRPr="0009716C">
        <w:t>e. Pre-dialysis vital signs, including body temperature, heart rate, and blood pressure, were recorded on Days 1, 15, 29, 43, 57, 71 and 85 (</w:t>
      </w:r>
      <w:r>
        <w:t>e</w:t>
      </w:r>
      <w:r w:rsidRPr="0009716C">
        <w:t xml:space="preserve">nd of </w:t>
      </w:r>
      <w:r>
        <w:t>t</w:t>
      </w:r>
      <w:r w:rsidRPr="0009716C">
        <w:t xml:space="preserve">reatment; or at </w:t>
      </w:r>
      <w:r>
        <w:t>e</w:t>
      </w:r>
      <w:r w:rsidRPr="0009716C">
        <w:t>arly</w:t>
      </w:r>
      <w:r>
        <w:t xml:space="preserve"> t</w:t>
      </w:r>
      <w:r w:rsidRPr="0009716C">
        <w:t xml:space="preserve">ermination </w:t>
      </w:r>
      <w:r>
        <w:t>v</w:t>
      </w:r>
      <w:r w:rsidRPr="0009716C">
        <w:t>isit) only when the subject was in a sitting or semi</w:t>
      </w:r>
      <w:r>
        <w:t>-</w:t>
      </w:r>
      <w:r w:rsidRPr="0009716C">
        <w:t>recumbent position. Heart rate was measured at each dialysis; if heart rate was clinically significant and</w:t>
      </w:r>
      <w:r>
        <w:t xml:space="preserve"> </w:t>
      </w:r>
      <w:r w:rsidRPr="0009716C">
        <w:t xml:space="preserve">outside the prespecified visits per </w:t>
      </w:r>
      <w:r>
        <w:t>s</w:t>
      </w:r>
      <w:r w:rsidRPr="0009716C">
        <w:t xml:space="preserve">chedule of </w:t>
      </w:r>
      <w:r>
        <w:t>a</w:t>
      </w:r>
      <w:r w:rsidRPr="0009716C">
        <w:t>ssessments, the heart rate was recorded on the relevant case report form page.</w:t>
      </w:r>
    </w:p>
    <w:p w14:paraId="2C738478" w14:textId="5C310F2D" w:rsidR="0009716C" w:rsidRPr="0009716C" w:rsidRDefault="0009716C" w:rsidP="0009716C">
      <w:pPr>
        <w:pStyle w:val="TableDescription"/>
      </w:pPr>
      <w:r w:rsidRPr="0009716C">
        <w:t xml:space="preserve">f. Pre-dialysis vital signs, including body temperature, heart rate, and blood pressure, were recorded at each dialysis visit during the </w:t>
      </w:r>
      <w:r>
        <w:t>d</w:t>
      </w:r>
      <w:r w:rsidRPr="0009716C">
        <w:t xml:space="preserve">iscontinuation </w:t>
      </w:r>
      <w:r>
        <w:t>p</w:t>
      </w:r>
      <w:r w:rsidRPr="0009716C">
        <w:t>eriod. Heart rate was</w:t>
      </w:r>
      <w:r>
        <w:t xml:space="preserve"> </w:t>
      </w:r>
      <w:r w:rsidRPr="0009716C">
        <w:t>measured at each dialysis.</w:t>
      </w:r>
    </w:p>
    <w:p w14:paraId="66ADC203" w14:textId="43DDC323" w:rsidR="0009716C" w:rsidRPr="0009716C" w:rsidRDefault="0009716C" w:rsidP="0009716C">
      <w:pPr>
        <w:pStyle w:val="TableDescription"/>
      </w:pPr>
      <w:r w:rsidRPr="0009716C">
        <w:t>g. Blood samples for clinical laboratory evaluation were taken at screening and on Days 1 and 85 (</w:t>
      </w:r>
      <w:r>
        <w:t>e</w:t>
      </w:r>
      <w:r w:rsidRPr="0009716C">
        <w:t xml:space="preserve">nd of </w:t>
      </w:r>
      <w:r>
        <w:t>t</w:t>
      </w:r>
      <w:r w:rsidRPr="0009716C">
        <w:t xml:space="preserve">reatment; or at </w:t>
      </w:r>
      <w:r>
        <w:t>e</w:t>
      </w:r>
      <w:r w:rsidRPr="0009716C">
        <w:t xml:space="preserve">arly </w:t>
      </w:r>
      <w:r>
        <w:t>t</w:t>
      </w:r>
      <w:r w:rsidRPr="0009716C">
        <w:t xml:space="preserve">ermination </w:t>
      </w:r>
      <w:r>
        <w:t>v</w:t>
      </w:r>
      <w:r w:rsidRPr="0009716C">
        <w:t>isit).</w:t>
      </w:r>
    </w:p>
    <w:p w14:paraId="32F8E5CD" w14:textId="70E43E69" w:rsidR="0009716C" w:rsidRPr="0009716C" w:rsidRDefault="0009716C" w:rsidP="0009716C">
      <w:pPr>
        <w:pStyle w:val="TableDescription"/>
      </w:pPr>
      <w:r w:rsidRPr="0009716C">
        <w:t xml:space="preserve">h. Training on WI-NRS was conducted on the first day of the </w:t>
      </w:r>
      <w:r>
        <w:t>r</w:t>
      </w:r>
      <w:r w:rsidRPr="0009716C">
        <w:t>un</w:t>
      </w:r>
      <w:r w:rsidR="00E81FD4">
        <w:t>-</w:t>
      </w:r>
      <w:r w:rsidRPr="0009716C">
        <w:t xml:space="preserve">in </w:t>
      </w:r>
      <w:r>
        <w:t>p</w:t>
      </w:r>
      <w:r w:rsidRPr="0009716C">
        <w:t xml:space="preserve">eriod (Day </w:t>
      </w:r>
      <w:r w:rsidR="000C0127">
        <w:t>-</w:t>
      </w:r>
      <w:r w:rsidRPr="0009716C">
        <w:t>7).</w:t>
      </w:r>
    </w:p>
    <w:p w14:paraId="1194B4DB" w14:textId="2C937150" w:rsidR="0009716C" w:rsidRPr="0009716C" w:rsidRDefault="0009716C" w:rsidP="0009716C">
      <w:pPr>
        <w:pStyle w:val="TableDescription"/>
      </w:pPr>
      <w:proofErr w:type="spellStart"/>
      <w:r w:rsidRPr="0009716C">
        <w:t>i</w:t>
      </w:r>
      <w:proofErr w:type="spellEnd"/>
      <w:r w:rsidRPr="0009716C">
        <w:t xml:space="preserve">. Training on </w:t>
      </w:r>
      <w:proofErr w:type="spellStart"/>
      <w:r w:rsidRPr="0009716C">
        <w:t>ShOWS</w:t>
      </w:r>
      <w:proofErr w:type="spellEnd"/>
      <w:r w:rsidRPr="0009716C">
        <w:t xml:space="preserve"> on Day </w:t>
      </w:r>
      <w:r w:rsidR="000C0127">
        <w:t>-</w:t>
      </w:r>
      <w:r w:rsidRPr="0009716C">
        <w:t>7 and first day of Week 13.</w:t>
      </w:r>
    </w:p>
    <w:p w14:paraId="2FACF00F" w14:textId="788012DE" w:rsidR="0009716C" w:rsidRPr="0009716C" w:rsidRDefault="0009716C" w:rsidP="0009716C">
      <w:pPr>
        <w:pStyle w:val="TableDescription"/>
      </w:pPr>
      <w:r w:rsidRPr="0009716C">
        <w:t xml:space="preserve">j. Training on Skindex-10 </w:t>
      </w:r>
      <w:proofErr w:type="gramStart"/>
      <w:r>
        <w:t>s</w:t>
      </w:r>
      <w:r w:rsidRPr="0009716C">
        <w:t>cale</w:t>
      </w:r>
      <w:proofErr w:type="gramEnd"/>
      <w:r w:rsidRPr="0009716C">
        <w:t xml:space="preserve"> and 5-D </w:t>
      </w:r>
      <w:r>
        <w:t>i</w:t>
      </w:r>
      <w:r w:rsidRPr="0009716C">
        <w:t xml:space="preserve">tch </w:t>
      </w:r>
      <w:r>
        <w:t>s</w:t>
      </w:r>
      <w:r w:rsidRPr="0009716C">
        <w:t>cale could be performed at any time during the week prior to randomi</w:t>
      </w:r>
      <w:r>
        <w:t>s</w:t>
      </w:r>
      <w:r w:rsidRPr="0009716C">
        <w:t xml:space="preserve">ation or on Day 1 of the </w:t>
      </w:r>
      <w:r>
        <w:t>d</w:t>
      </w:r>
      <w:r w:rsidRPr="0009716C">
        <w:t>ouble</w:t>
      </w:r>
      <w:r>
        <w:t xml:space="preserve"> </w:t>
      </w:r>
      <w:r w:rsidRPr="0009716C">
        <w:t xml:space="preserve">blind </w:t>
      </w:r>
      <w:r>
        <w:t>t</w:t>
      </w:r>
      <w:r w:rsidRPr="0009716C">
        <w:t xml:space="preserve">reatment </w:t>
      </w:r>
      <w:r>
        <w:t>p</w:t>
      </w:r>
      <w:r w:rsidRPr="0009716C">
        <w:t>eriod</w:t>
      </w:r>
      <w:r>
        <w:t>.</w:t>
      </w:r>
    </w:p>
    <w:p w14:paraId="534F51EE" w14:textId="46D888F3" w:rsidR="0009716C" w:rsidRPr="0009716C" w:rsidRDefault="0009716C" w:rsidP="0009716C">
      <w:pPr>
        <w:pStyle w:val="TableDescription"/>
      </w:pPr>
      <w:r w:rsidRPr="0009716C">
        <w:lastRenderedPageBreak/>
        <w:t>k. Subjects were requested to complete their WI-NRS worksheets each day at a similar time (either at home on non-dialysis days around the normal start time of their dialysis or</w:t>
      </w:r>
      <w:r>
        <w:t xml:space="preserve"> </w:t>
      </w:r>
      <w:r w:rsidRPr="0009716C">
        <w:t>in the dialysis unit). On dialysis days, the worksheets were to be completed prior to or during dialysis</w:t>
      </w:r>
      <w:r>
        <w:t xml:space="preserve"> </w:t>
      </w:r>
      <w:r w:rsidRPr="0009716C">
        <w:t>but had</w:t>
      </w:r>
      <w:r>
        <w:t xml:space="preserve"> to</w:t>
      </w:r>
      <w:r w:rsidRPr="0009716C">
        <w:t xml:space="preserve"> be completed prior to dosing.</w:t>
      </w:r>
    </w:p>
    <w:p w14:paraId="2507023C" w14:textId="1C40DBE9" w:rsidR="0009716C" w:rsidRPr="0009716C" w:rsidRDefault="0009716C" w:rsidP="0009716C">
      <w:pPr>
        <w:pStyle w:val="TableDescription"/>
      </w:pPr>
      <w:r w:rsidRPr="0009716C">
        <w:t xml:space="preserve">l. During the </w:t>
      </w:r>
      <w:r>
        <w:t>d</w:t>
      </w:r>
      <w:r w:rsidRPr="0009716C">
        <w:t xml:space="preserve">iscontinuation </w:t>
      </w:r>
      <w:r>
        <w:t>p</w:t>
      </w:r>
      <w:r w:rsidRPr="0009716C">
        <w:t>eriod, WI-NRS worksheets were completed on dialysis days only.</w:t>
      </w:r>
    </w:p>
    <w:p w14:paraId="63A9E7ED" w14:textId="726630DF" w:rsidR="0009716C" w:rsidRPr="0009716C" w:rsidRDefault="0009716C" w:rsidP="0009716C">
      <w:pPr>
        <w:pStyle w:val="TableDescription"/>
      </w:pPr>
      <w:r w:rsidRPr="0009716C">
        <w:t xml:space="preserve">m. 5-D </w:t>
      </w:r>
      <w:r>
        <w:t>i</w:t>
      </w:r>
      <w:r w:rsidRPr="0009716C">
        <w:t xml:space="preserve">tch </w:t>
      </w:r>
      <w:r>
        <w:t>s</w:t>
      </w:r>
      <w:r w:rsidRPr="0009716C">
        <w:t xml:space="preserve">cale and Skindex-10 </w:t>
      </w:r>
      <w:r>
        <w:t>s</w:t>
      </w:r>
      <w:r w:rsidRPr="0009716C">
        <w:t xml:space="preserve">cale were completed on Day 1 and the first visit of Weeks 5, 9, and 11 (on Days 29, 57, and 71) and Week 13 (Day 85). 5-D </w:t>
      </w:r>
      <w:r w:rsidR="00A020D9">
        <w:t>i</w:t>
      </w:r>
      <w:r w:rsidRPr="0009716C">
        <w:t>tch scale was</w:t>
      </w:r>
      <w:r>
        <w:t xml:space="preserve"> </w:t>
      </w:r>
      <w:r w:rsidRPr="0009716C">
        <w:t>preferably completed first. If the first visit of the week was missed, the subject could complete the worksheets at their next visit for the same week. The worksheets were to be</w:t>
      </w:r>
      <w:r>
        <w:t xml:space="preserve"> </w:t>
      </w:r>
      <w:r w:rsidRPr="0009716C">
        <w:t xml:space="preserve">completed prior to or during dialysis (preferably within </w:t>
      </w:r>
      <w:r>
        <w:t>one</w:t>
      </w:r>
      <w:r w:rsidRPr="0009716C">
        <w:t xml:space="preserve"> hour of the dialysis) but had to be completed prior to dosing.</w:t>
      </w:r>
    </w:p>
    <w:p w14:paraId="2B6E9F75" w14:textId="25D43734" w:rsidR="0009716C" w:rsidRPr="0009716C" w:rsidRDefault="0009716C" w:rsidP="0009716C">
      <w:pPr>
        <w:pStyle w:val="TableDescription"/>
      </w:pPr>
      <w:r w:rsidRPr="0009716C">
        <w:t xml:space="preserve">n. </w:t>
      </w:r>
      <w:proofErr w:type="spellStart"/>
      <w:r w:rsidRPr="0009716C">
        <w:t>ShOWS</w:t>
      </w:r>
      <w:proofErr w:type="spellEnd"/>
      <w:r w:rsidRPr="0009716C">
        <w:t xml:space="preserve"> worksheets were completed daily through the entire </w:t>
      </w:r>
      <w:r>
        <w:t>d</w:t>
      </w:r>
      <w:r w:rsidRPr="0009716C">
        <w:t xml:space="preserve">iscontinuation </w:t>
      </w:r>
      <w:r>
        <w:t>p</w:t>
      </w:r>
      <w:r w:rsidRPr="0009716C">
        <w:t>eriod starting on Day 85. The OOWS worksheets were completed at each dialysis visit during</w:t>
      </w:r>
      <w:r>
        <w:t xml:space="preserve"> </w:t>
      </w:r>
      <w:r w:rsidRPr="0009716C">
        <w:t xml:space="preserve">the </w:t>
      </w:r>
      <w:r>
        <w:t>d</w:t>
      </w:r>
      <w:r w:rsidRPr="0009716C">
        <w:t xml:space="preserve">iscontinuation </w:t>
      </w:r>
      <w:r>
        <w:t>p</w:t>
      </w:r>
      <w:r w:rsidRPr="0009716C">
        <w:t xml:space="preserve">eriod starting on Day 85. On the day of a dialysis visit, the OOWS and </w:t>
      </w:r>
      <w:proofErr w:type="spellStart"/>
      <w:r w:rsidRPr="0009716C">
        <w:t>ShOWS</w:t>
      </w:r>
      <w:proofErr w:type="spellEnd"/>
      <w:r w:rsidRPr="0009716C">
        <w:t xml:space="preserve"> were to be completed during the first hour (</w:t>
      </w:r>
      <w:r>
        <w:t xml:space="preserve">additional one </w:t>
      </w:r>
      <w:r w:rsidRPr="0009716C">
        <w:t>hour window allowed) of</w:t>
      </w:r>
      <w:r>
        <w:t xml:space="preserve"> </w:t>
      </w:r>
      <w:r w:rsidRPr="0009716C">
        <w:t>dialysis so that dialysis</w:t>
      </w:r>
      <w:r>
        <w:t xml:space="preserve"> </w:t>
      </w:r>
      <w:r w:rsidRPr="0009716C">
        <w:t>associated fatigue and other potential side effects related to the dialysis procedure would minimally interfere with the completion of the scales.</w:t>
      </w:r>
    </w:p>
    <w:p w14:paraId="4DE804C0" w14:textId="77777777" w:rsidR="0009716C" w:rsidRPr="0009716C" w:rsidRDefault="0009716C" w:rsidP="0009716C">
      <w:pPr>
        <w:pStyle w:val="TableDescription"/>
      </w:pPr>
      <w:r w:rsidRPr="0009716C">
        <w:t>o. Biomarker samples had to be collected prior to the start of dialysis on Day 1 and Day 85.</w:t>
      </w:r>
    </w:p>
    <w:p w14:paraId="17ADE888" w14:textId="2E00611C" w:rsidR="0009716C" w:rsidRPr="0009716C" w:rsidRDefault="0009716C" w:rsidP="0009716C">
      <w:pPr>
        <w:pStyle w:val="TableDescription"/>
      </w:pPr>
      <w:r w:rsidRPr="0009716C">
        <w:t>p</w:t>
      </w:r>
      <w:r>
        <w:t>.</w:t>
      </w:r>
      <w:r w:rsidRPr="0009716C">
        <w:t xml:space="preserve"> Concomitant medications, including antipruritic medications, were updated at each dialysis visit during the </w:t>
      </w:r>
      <w:proofErr w:type="gramStart"/>
      <w:r>
        <w:t>d</w:t>
      </w:r>
      <w:r w:rsidRPr="0009716C">
        <w:t>ouble</w:t>
      </w:r>
      <w:r>
        <w:t xml:space="preserve"> </w:t>
      </w:r>
      <w:r w:rsidRPr="0009716C">
        <w:t>blind</w:t>
      </w:r>
      <w:proofErr w:type="gramEnd"/>
      <w:r w:rsidRPr="0009716C">
        <w:t xml:space="preserve"> </w:t>
      </w:r>
      <w:r>
        <w:t>t</w:t>
      </w:r>
      <w:r w:rsidRPr="0009716C">
        <w:t xml:space="preserve">reatment </w:t>
      </w:r>
      <w:r>
        <w:t>p</w:t>
      </w:r>
      <w:r w:rsidRPr="0009716C">
        <w:t>eriod and until the end of the</w:t>
      </w:r>
      <w:r>
        <w:t xml:space="preserve"> d</w:t>
      </w:r>
      <w:r w:rsidRPr="0009716C">
        <w:t xml:space="preserve">iscontinuation </w:t>
      </w:r>
      <w:r>
        <w:t>p</w:t>
      </w:r>
      <w:r w:rsidRPr="0009716C">
        <w:t>eriod.</w:t>
      </w:r>
    </w:p>
    <w:p w14:paraId="05BE6E1F" w14:textId="41BFE73C" w:rsidR="0009716C" w:rsidRPr="0009716C" w:rsidRDefault="0009716C" w:rsidP="0009716C">
      <w:pPr>
        <w:pStyle w:val="TableDescription"/>
      </w:pPr>
      <w:r w:rsidRPr="0009716C">
        <w:t xml:space="preserve">q. Sites had the option to conduct the </w:t>
      </w:r>
      <w:r>
        <w:t>s</w:t>
      </w:r>
      <w:r w:rsidRPr="0009716C">
        <w:t xml:space="preserve">creening </w:t>
      </w:r>
      <w:r>
        <w:t>v</w:t>
      </w:r>
      <w:r w:rsidRPr="0009716C">
        <w:t xml:space="preserve">isit during the </w:t>
      </w:r>
      <w:r>
        <w:t>r</w:t>
      </w:r>
      <w:r w:rsidRPr="0009716C">
        <w:t>un</w:t>
      </w:r>
      <w:r w:rsidR="00E81FD4">
        <w:t>-</w:t>
      </w:r>
      <w:r w:rsidRPr="0009716C">
        <w:t xml:space="preserve">in </w:t>
      </w:r>
      <w:r>
        <w:t>p</w:t>
      </w:r>
      <w:r w:rsidRPr="0009716C">
        <w:t>eriod at the discretion of the investigator.</w:t>
      </w:r>
    </w:p>
    <w:p w14:paraId="25131508" w14:textId="75E1CE79" w:rsidR="0009716C" w:rsidRPr="0009716C" w:rsidRDefault="0009716C" w:rsidP="0009716C">
      <w:pPr>
        <w:pStyle w:val="TableDescription"/>
      </w:pPr>
      <w:r w:rsidRPr="0009716C">
        <w:t xml:space="preserve">r. A list of specific signs/symptoms were verified with the subject by qualified site staff, preferably on Wednesday/Thursday each week during the </w:t>
      </w:r>
      <w:r>
        <w:t>r</w:t>
      </w:r>
      <w:r w:rsidRPr="0009716C">
        <w:t>un</w:t>
      </w:r>
      <w:r w:rsidR="00E81FD4">
        <w:t>-</w:t>
      </w:r>
      <w:r w:rsidRPr="0009716C">
        <w:t xml:space="preserve">in </w:t>
      </w:r>
      <w:r>
        <w:t>p</w:t>
      </w:r>
      <w:r w:rsidRPr="0009716C">
        <w:t>eriod, the</w:t>
      </w:r>
      <w:r>
        <w:t xml:space="preserve"> </w:t>
      </w:r>
      <w:proofErr w:type="gramStart"/>
      <w:r>
        <w:t>d</w:t>
      </w:r>
      <w:r w:rsidRPr="0009716C">
        <w:t>ouble</w:t>
      </w:r>
      <w:r>
        <w:t xml:space="preserve"> </w:t>
      </w:r>
      <w:r w:rsidRPr="0009716C">
        <w:t>blind</w:t>
      </w:r>
      <w:proofErr w:type="gramEnd"/>
      <w:r w:rsidRPr="0009716C">
        <w:t xml:space="preserve"> </w:t>
      </w:r>
      <w:r>
        <w:t>t</w:t>
      </w:r>
      <w:r w:rsidRPr="0009716C">
        <w:t xml:space="preserve">reatment </w:t>
      </w:r>
      <w:r>
        <w:t>p</w:t>
      </w:r>
      <w:r w:rsidRPr="0009716C">
        <w:t xml:space="preserve">eriod, and the </w:t>
      </w:r>
      <w:r>
        <w:t>d</w:t>
      </w:r>
      <w:r w:rsidRPr="0009716C">
        <w:t xml:space="preserve">iscontinuation </w:t>
      </w:r>
      <w:r>
        <w:t>p</w:t>
      </w:r>
      <w:r w:rsidRPr="0009716C">
        <w:t>eriod. Was not to be completed on Monday/Tuesday.</w:t>
      </w:r>
    </w:p>
    <w:p w14:paraId="378FAF85" w14:textId="0D55B141" w:rsidR="0009716C" w:rsidRPr="0009716C" w:rsidRDefault="0009716C" w:rsidP="0009716C">
      <w:r w:rsidRPr="0009716C">
        <w:t>Overall, the</w:t>
      </w:r>
      <w:r>
        <w:t xml:space="preserve"> clinical evaluation considered the</w:t>
      </w:r>
      <w:r w:rsidRPr="0009716C">
        <w:t xml:space="preserve"> primary and secondary endpoints of this study</w:t>
      </w:r>
      <w:r>
        <w:t xml:space="preserve"> to be</w:t>
      </w:r>
      <w:r w:rsidRPr="0009716C">
        <w:t xml:space="preserve"> appropriate</w:t>
      </w:r>
      <w:r>
        <w:t>.</w:t>
      </w:r>
      <w:r w:rsidR="00893AC0">
        <w:t xml:space="preserve"> </w:t>
      </w:r>
      <w:r w:rsidRPr="0009716C">
        <w:t xml:space="preserve">The primary and secondary efficacy endpoints allowed assessment of the effect of </w:t>
      </w:r>
      <w:r>
        <w:t>d</w:t>
      </w:r>
      <w:r w:rsidRPr="0009716C">
        <w:t>ifelikefalin on the intensity of itch (the proportion of subjects achieving a 3</w:t>
      </w:r>
      <w:r>
        <w:t xml:space="preserve"> </w:t>
      </w:r>
      <w:r w:rsidRPr="0009716C">
        <w:t>or 4</w:t>
      </w:r>
      <w:r>
        <w:t xml:space="preserve"> </w:t>
      </w:r>
      <w:r w:rsidRPr="0009716C">
        <w:t>point</w:t>
      </w:r>
      <w:r>
        <w:t xml:space="preserve"> or greater </w:t>
      </w:r>
      <w:r w:rsidRPr="0009716C">
        <w:t xml:space="preserve">improvement from </w:t>
      </w:r>
      <w:r>
        <w:t>B</w:t>
      </w:r>
      <w:r w:rsidRPr="0009716C">
        <w:t>aseline in WI-NRS at Week 12) and on itch</w:t>
      </w:r>
      <w:r>
        <w:t xml:space="preserve"> r</w:t>
      </w:r>
      <w:r w:rsidRPr="0009716C">
        <w:t xml:space="preserve">elated </w:t>
      </w:r>
      <w:r>
        <w:t>quality of life</w:t>
      </w:r>
      <w:r w:rsidRPr="0009716C">
        <w:t xml:space="preserve"> (change from </w:t>
      </w:r>
      <w:r>
        <w:t>B</w:t>
      </w:r>
      <w:r w:rsidRPr="0009716C">
        <w:t xml:space="preserve">aseline in the 5-D </w:t>
      </w:r>
      <w:r>
        <w:t>i</w:t>
      </w:r>
      <w:r w:rsidRPr="0009716C">
        <w:t xml:space="preserve">tch </w:t>
      </w:r>
      <w:r>
        <w:t>s</w:t>
      </w:r>
      <w:r w:rsidRPr="0009716C">
        <w:t xml:space="preserve">cale and total Skindex-10 </w:t>
      </w:r>
      <w:r>
        <w:t>s</w:t>
      </w:r>
      <w:r w:rsidRPr="0009716C">
        <w:t>cale score at Week 12).</w:t>
      </w:r>
      <w:r w:rsidR="00893AC0">
        <w:t xml:space="preserve"> </w:t>
      </w:r>
      <w:r w:rsidRPr="0009716C">
        <w:t>The sponsor has justified the use of WI-NRS as the primary efficacy endpoint. The WI-NRS has been widely used for evaluation of chronic itch, including CKD-</w:t>
      </w:r>
      <w:proofErr w:type="spellStart"/>
      <w:r w:rsidRPr="0009716C">
        <w:t>aP.</w:t>
      </w:r>
      <w:proofErr w:type="spellEnd"/>
    </w:p>
    <w:p w14:paraId="7414CD13" w14:textId="5C991D60" w:rsidR="0009716C" w:rsidRPr="0009716C" w:rsidRDefault="0009716C" w:rsidP="0009716C">
      <w:r w:rsidRPr="0009716C">
        <w:t xml:space="preserve">In addition, qualitative and quantitative validation of the </w:t>
      </w:r>
      <w:proofErr w:type="gramStart"/>
      <w:r w:rsidRPr="0009716C">
        <w:t>24</w:t>
      </w:r>
      <w:r>
        <w:t xml:space="preserve"> </w:t>
      </w:r>
      <w:r w:rsidRPr="0009716C">
        <w:t>hour</w:t>
      </w:r>
      <w:proofErr w:type="gramEnd"/>
      <w:r w:rsidRPr="0009716C">
        <w:t xml:space="preserve"> WI-NRS item</w:t>
      </w:r>
      <w:r>
        <w:t xml:space="preserve"> </w:t>
      </w:r>
      <w:r w:rsidRPr="0009716C">
        <w:t>consistent with standards outlined by FDA guidance was undertaken, supporting robust</w:t>
      </w:r>
      <w:r>
        <w:t xml:space="preserve"> </w:t>
      </w:r>
      <w:r w:rsidRPr="0009716C">
        <w:t>performance of the measure for the target population (</w:t>
      </w:r>
      <w:r>
        <w:t>that is</w:t>
      </w:r>
      <w:r w:rsidRPr="0009716C">
        <w:t xml:space="preserve">, </w:t>
      </w:r>
      <w:r w:rsidR="001F495E">
        <w:t>haemodialysis</w:t>
      </w:r>
      <w:r w:rsidRPr="0009716C">
        <w:t xml:space="preserve"> patients with moderate</w:t>
      </w:r>
      <w:r>
        <w:t xml:space="preserve"> </w:t>
      </w:r>
      <w:r w:rsidRPr="0009716C">
        <w:t>to</w:t>
      </w:r>
      <w:r>
        <w:t xml:space="preserve"> </w:t>
      </w:r>
      <w:r w:rsidRPr="0009716C">
        <w:t>severe CKD-</w:t>
      </w:r>
      <w:proofErr w:type="spellStart"/>
      <w:r w:rsidRPr="0009716C">
        <w:t>aP</w:t>
      </w:r>
      <w:proofErr w:type="spellEnd"/>
      <w:r w:rsidRPr="0009716C">
        <w:t>).</w:t>
      </w:r>
    </w:p>
    <w:p w14:paraId="58561AF9" w14:textId="78A8BCAC" w:rsidR="006C03D1" w:rsidRDefault="0009716C" w:rsidP="0009716C">
      <w:r w:rsidRPr="0009716C">
        <w:t xml:space="preserve">Results from the Phase </w:t>
      </w:r>
      <w:r>
        <w:t>II</w:t>
      </w:r>
      <w:r w:rsidRPr="0009716C">
        <w:t xml:space="preserve"> </w:t>
      </w:r>
      <w:r>
        <w:t>S</w:t>
      </w:r>
      <w:r w:rsidRPr="0009716C">
        <w:t xml:space="preserve">tudy CR845-CLIN2101 showed that a </w:t>
      </w:r>
      <w:proofErr w:type="gramStart"/>
      <w:r>
        <w:t xml:space="preserve">3 </w:t>
      </w:r>
      <w:r w:rsidRPr="0009716C">
        <w:t>point</w:t>
      </w:r>
      <w:proofErr w:type="gramEnd"/>
      <w:r w:rsidRPr="0009716C">
        <w:t xml:space="preserve"> difference in the</w:t>
      </w:r>
      <w:r>
        <w:t xml:space="preserve"> </w:t>
      </w:r>
      <w:r w:rsidRPr="0009716C">
        <w:t>WI</w:t>
      </w:r>
      <w:r>
        <w:noBreakHyphen/>
      </w:r>
      <w:r w:rsidRPr="0009716C">
        <w:t xml:space="preserve">NRS from </w:t>
      </w:r>
      <w:r>
        <w:t>B</w:t>
      </w:r>
      <w:r w:rsidRPr="0009716C">
        <w:t>aseline was a clinically meaningful improvement.</w:t>
      </w:r>
    </w:p>
    <w:p w14:paraId="5FF22195" w14:textId="127D4767" w:rsidR="0009716C" w:rsidRDefault="0009716C" w:rsidP="0009716C">
      <w:pPr>
        <w:pStyle w:val="Heading7"/>
      </w:pPr>
      <w:r>
        <w:t>Participant flow</w:t>
      </w:r>
    </w:p>
    <w:p w14:paraId="622C12CB" w14:textId="6420ADF8" w:rsidR="00A374D0" w:rsidRDefault="0009716C" w:rsidP="0009716C">
      <w:r>
        <w:t xml:space="preserve">A total of 378 subjects were randomised </w:t>
      </w:r>
      <w:r w:rsidR="00A374D0">
        <w:t xml:space="preserve">for Study CR845-CLIN3102, n = 189 for difelikefalin and n = 189 for placebo (see </w:t>
      </w:r>
      <w:r w:rsidR="00A374D0">
        <w:fldChar w:fldCharType="begin"/>
      </w:r>
      <w:r w:rsidR="00A374D0">
        <w:instrText xml:space="preserve"> REF _Ref140563513 \h </w:instrText>
      </w:r>
      <w:r w:rsidR="00A374D0">
        <w:fldChar w:fldCharType="separate"/>
      </w:r>
      <w:r w:rsidR="00B44DE2">
        <w:t xml:space="preserve">Figure </w:t>
      </w:r>
      <w:r w:rsidR="00B44DE2">
        <w:rPr>
          <w:noProof/>
        </w:rPr>
        <w:t>3</w:t>
      </w:r>
      <w:r w:rsidR="00A374D0">
        <w:fldChar w:fldCharType="end"/>
      </w:r>
      <w:r w:rsidR="00A374D0">
        <w:t>).</w:t>
      </w:r>
    </w:p>
    <w:p w14:paraId="3E6A1C0E" w14:textId="5C8EDE97" w:rsidR="00A374D0" w:rsidRPr="00A374D0" w:rsidRDefault="00A374D0" w:rsidP="00A374D0">
      <w:r w:rsidRPr="00A374D0">
        <w:t xml:space="preserve">Of these, 377 subjects received at least </w:t>
      </w:r>
      <w:r>
        <w:t xml:space="preserve">one </w:t>
      </w:r>
      <w:r w:rsidRPr="00A374D0">
        <w:t xml:space="preserve">treatment with </w:t>
      </w:r>
      <w:r>
        <w:t>d</w:t>
      </w:r>
      <w:r w:rsidRPr="00A374D0">
        <w:t xml:space="preserve">ifelikefalin or </w:t>
      </w:r>
      <w:r>
        <w:t>the placebo</w:t>
      </w:r>
      <w:r w:rsidRPr="00A374D0">
        <w:t xml:space="preserve"> (one subject was randomised to placebo group but did not receive any study drug).</w:t>
      </w:r>
    </w:p>
    <w:p w14:paraId="2299FBCB" w14:textId="2E50745C" w:rsidR="00A374D0" w:rsidRPr="00A374D0" w:rsidRDefault="00A374D0" w:rsidP="00A374D0">
      <w:r w:rsidRPr="00A374D0">
        <w:t xml:space="preserve">A total of 332 subjects completed the </w:t>
      </w:r>
      <w:proofErr w:type="gramStart"/>
      <w:r>
        <w:t>double blind</w:t>
      </w:r>
      <w:proofErr w:type="gramEnd"/>
      <w:r>
        <w:t xml:space="preserve"> t</w:t>
      </w:r>
      <w:r w:rsidRPr="00A374D0">
        <w:t xml:space="preserve">reatment </w:t>
      </w:r>
      <w:r>
        <w:t>p</w:t>
      </w:r>
      <w:r w:rsidRPr="00A374D0">
        <w:t xml:space="preserve">eriod (162 in the </w:t>
      </w:r>
      <w:r>
        <w:t>d</w:t>
      </w:r>
      <w:r w:rsidRPr="00A374D0">
        <w:t>ifelikefalin group, and 170 in</w:t>
      </w:r>
      <w:r>
        <w:t xml:space="preserve"> the placebo</w:t>
      </w:r>
      <w:r w:rsidRPr="00A374D0">
        <w:t xml:space="preserve"> group).</w:t>
      </w:r>
    </w:p>
    <w:p w14:paraId="458DC201" w14:textId="5B17EE4C" w:rsidR="00A374D0" w:rsidRPr="00A374D0" w:rsidRDefault="00A374D0" w:rsidP="00A374D0">
      <w:r w:rsidRPr="00A374D0">
        <w:t xml:space="preserve">The most common reasons for early discontinuation from the </w:t>
      </w:r>
      <w:proofErr w:type="gramStart"/>
      <w:r>
        <w:t>double blind</w:t>
      </w:r>
      <w:proofErr w:type="gramEnd"/>
      <w:r>
        <w:t xml:space="preserve"> t</w:t>
      </w:r>
      <w:r w:rsidRPr="00A374D0">
        <w:t xml:space="preserve">reatment </w:t>
      </w:r>
      <w:r>
        <w:t>p</w:t>
      </w:r>
      <w:r w:rsidRPr="00A374D0">
        <w:t xml:space="preserve">eriod were adverse events (4.8% and 7.4% respectively in </w:t>
      </w:r>
      <w:r>
        <w:t>the placebo</w:t>
      </w:r>
      <w:r w:rsidRPr="00A374D0">
        <w:t xml:space="preserve"> and </w:t>
      </w:r>
      <w:r>
        <w:t>d</w:t>
      </w:r>
      <w:r w:rsidRPr="00A374D0">
        <w:t xml:space="preserve">ifelikefalin groups) and subject withdrawal of consent (3.2% and 4.2% respectively in </w:t>
      </w:r>
      <w:r>
        <w:t>the placebo and d</w:t>
      </w:r>
      <w:r w:rsidRPr="00A374D0">
        <w:t>ifelikefalin groups</w:t>
      </w:r>
      <w:r>
        <w:t>)</w:t>
      </w:r>
      <w:r w:rsidRPr="00A374D0">
        <w:t>.</w:t>
      </w:r>
    </w:p>
    <w:p w14:paraId="451C91F9" w14:textId="2F0B835A" w:rsidR="00A374D0" w:rsidRDefault="00A374D0" w:rsidP="00A374D0">
      <w:pPr>
        <w:pStyle w:val="FigureTitle"/>
      </w:pPr>
      <w:bookmarkStart w:id="58" w:name="_Ref140563513"/>
      <w:r>
        <w:lastRenderedPageBreak/>
        <w:t xml:space="preserve">Figure </w:t>
      </w:r>
      <w:r>
        <w:fldChar w:fldCharType="begin"/>
      </w:r>
      <w:r>
        <w:instrText>SEQ Figure \* ARABIC</w:instrText>
      </w:r>
      <w:r>
        <w:fldChar w:fldCharType="separate"/>
      </w:r>
      <w:r w:rsidR="00B44DE2">
        <w:rPr>
          <w:noProof/>
        </w:rPr>
        <w:t>3</w:t>
      </w:r>
      <w:r>
        <w:fldChar w:fldCharType="end"/>
      </w:r>
      <w:bookmarkEnd w:id="58"/>
      <w:r>
        <w:t xml:space="preserve">: Study CR845-CLIN3102 </w:t>
      </w:r>
      <w:r w:rsidR="007D473D">
        <w:t>D</w:t>
      </w:r>
      <w:r>
        <w:t>isposition flow</w:t>
      </w:r>
    </w:p>
    <w:p w14:paraId="5E7170A7" w14:textId="491DC621" w:rsidR="0009716C" w:rsidRDefault="00A374D0" w:rsidP="0009716C">
      <w:r>
        <w:rPr>
          <w:noProof/>
        </w:rPr>
        <w:drawing>
          <wp:inline distT="0" distB="0" distL="0" distR="0" wp14:anchorId="523BCAC5" wp14:editId="5306EF84">
            <wp:extent cx="5286375" cy="5638800"/>
            <wp:effectExtent l="0" t="0" r="9525" b="0"/>
            <wp:docPr id="4" name="Picture 4" descr="A total 503 subjects were assessed for eligibility for Study CR845-CLIN3102. Of these, 125 were excluded and 378 were randomised and allocated to the placebo and difelikefalin groups. In the placebo group 18 subjects discontinued treatment and 170 subjects completed treatment, 179 subjects entered the discontinuation period with 173 subjects completing this period. For the difelikefalin group 27 subjects discontinued treatment and 162 subjects completed treatment, 176 subjects entered the discontinuation periods and 171 subjects completed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otal 503 subjects were assessed for eligibility for Study CR845-CLIN3102. Of these, 125 were excluded and 378 were randomised and allocated to the placebo and difelikefalin groups. In the placebo group 18 subjects discontinued treatment and 170 subjects completed treatment, 179 subjects entered the discontinuation period with 173 subjects completing this period. For the difelikefalin group 27 subjects discontinued treatment and 162 subjects completed treatment, 176 subjects entered the discontinuation periods and 171 subjects completed this period. "/>
                    <pic:cNvPicPr/>
                  </pic:nvPicPr>
                  <pic:blipFill rotWithShape="1">
                    <a:blip r:embed="rId30"/>
                    <a:srcRect l="7608" t="1140" r="606" b="2496"/>
                    <a:stretch/>
                  </pic:blipFill>
                  <pic:spPr bwMode="auto">
                    <a:xfrm>
                      <a:off x="0" y="0"/>
                      <a:ext cx="5286375" cy="5638800"/>
                    </a:xfrm>
                    <a:prstGeom prst="rect">
                      <a:avLst/>
                    </a:prstGeom>
                    <a:ln>
                      <a:noFill/>
                    </a:ln>
                    <a:extLst>
                      <a:ext uri="{53640926-AAD7-44D8-BBD7-CCE9431645EC}">
                        <a14:shadowObscured xmlns:a14="http://schemas.microsoft.com/office/drawing/2010/main"/>
                      </a:ext>
                    </a:extLst>
                  </pic:spPr>
                </pic:pic>
              </a:graphicData>
            </a:graphic>
          </wp:inline>
        </w:drawing>
      </w:r>
    </w:p>
    <w:p w14:paraId="1646ACA5" w14:textId="0D21403C" w:rsidR="00A374D0" w:rsidRDefault="00A374D0" w:rsidP="00A374D0">
      <w:pPr>
        <w:pStyle w:val="FigureDescription"/>
      </w:pPr>
      <w:r>
        <w:t>Abbreviations: NRS = numerical rating scale</w:t>
      </w:r>
    </w:p>
    <w:p w14:paraId="6AF12F00" w14:textId="27BA81CD" w:rsidR="00A374D0" w:rsidRPr="00A374D0" w:rsidRDefault="00A374D0" w:rsidP="00A374D0">
      <w:pPr>
        <w:pStyle w:val="Heading7"/>
      </w:pPr>
      <w:bookmarkStart w:id="59" w:name="_Ref141170390"/>
      <w:r w:rsidRPr="00A374D0">
        <w:t>Analysis of populations</w:t>
      </w:r>
      <w:bookmarkEnd w:id="59"/>
    </w:p>
    <w:p w14:paraId="41A4FE39" w14:textId="39125144" w:rsidR="00A374D0" w:rsidRPr="00A374D0" w:rsidRDefault="00A374D0" w:rsidP="00A374D0">
      <w:r w:rsidRPr="00A374D0">
        <w:t>Several analysis sets were defined in the study.</w:t>
      </w:r>
    </w:p>
    <w:p w14:paraId="71B9A7D9" w14:textId="13474BC3" w:rsidR="00A374D0" w:rsidRPr="00A374D0" w:rsidRDefault="00A374D0" w:rsidP="00A374D0">
      <w:pPr>
        <w:pStyle w:val="ListBullet"/>
      </w:pPr>
      <w:r w:rsidRPr="00A374D0">
        <w:t xml:space="preserve">The </w:t>
      </w:r>
      <w:r>
        <w:t>i</w:t>
      </w:r>
      <w:r w:rsidRPr="00A374D0">
        <w:t>ntent</w:t>
      </w:r>
      <w:r>
        <w:t xml:space="preserve"> </w:t>
      </w:r>
      <w:r w:rsidRPr="00A374D0">
        <w:t>to</w:t>
      </w:r>
      <w:r>
        <w:t xml:space="preserve"> </w:t>
      </w:r>
      <w:r w:rsidRPr="00A374D0">
        <w:t>treat (</w:t>
      </w:r>
      <w:r w:rsidRPr="00DC22EC">
        <w:t>ITT)</w:t>
      </w:r>
      <w:r w:rsidR="007D473D">
        <w:rPr>
          <w:rStyle w:val="FootnoteReference"/>
        </w:rPr>
        <w:footnoteReference w:id="11"/>
      </w:r>
      <w:r w:rsidRPr="00A374D0">
        <w:t xml:space="preserve"> </w:t>
      </w:r>
      <w:r>
        <w:t>p</w:t>
      </w:r>
      <w:r w:rsidRPr="00A374D0">
        <w:t>opulation comprised of all subjects who were randomised to a treatment group.</w:t>
      </w:r>
    </w:p>
    <w:p w14:paraId="7A69132F" w14:textId="38059FD9" w:rsidR="00A374D0" w:rsidRPr="00A374D0" w:rsidRDefault="00A374D0" w:rsidP="00A374D0">
      <w:pPr>
        <w:pStyle w:val="ListBullet"/>
      </w:pPr>
      <w:r w:rsidRPr="00A374D0">
        <w:t xml:space="preserve">Subjects in the ITT </w:t>
      </w:r>
      <w:r>
        <w:t>p</w:t>
      </w:r>
      <w:r w:rsidRPr="00A374D0">
        <w:t>opulation were analysed according to their randomised treatment, regardless of the actual treatment received.</w:t>
      </w:r>
    </w:p>
    <w:p w14:paraId="2C11ECE2" w14:textId="29B5B959" w:rsidR="00A374D0" w:rsidRPr="00A374D0" w:rsidRDefault="00A374D0" w:rsidP="00A374D0">
      <w:pPr>
        <w:pStyle w:val="ListBullet"/>
      </w:pPr>
      <w:r w:rsidRPr="00A374D0">
        <w:t xml:space="preserve">The ITT </w:t>
      </w:r>
      <w:r>
        <w:t>p</w:t>
      </w:r>
      <w:r w:rsidRPr="00A374D0">
        <w:t>opulation was used to analyse all efficacy endpoints collected during the</w:t>
      </w:r>
      <w:r>
        <w:t xml:space="preserve"> </w:t>
      </w:r>
      <w:proofErr w:type="gramStart"/>
      <w:r>
        <w:t>double blind</w:t>
      </w:r>
      <w:proofErr w:type="gramEnd"/>
      <w:r>
        <w:t xml:space="preserve"> t</w:t>
      </w:r>
      <w:r w:rsidRPr="00A374D0">
        <w:t xml:space="preserve">reatment </w:t>
      </w:r>
      <w:r>
        <w:t>p</w:t>
      </w:r>
      <w:r w:rsidRPr="00A374D0">
        <w:t>hase.</w:t>
      </w:r>
    </w:p>
    <w:p w14:paraId="46B968DA" w14:textId="52FA60A7" w:rsidR="00A374D0" w:rsidRPr="00A374D0" w:rsidRDefault="00A374D0" w:rsidP="00A374D0">
      <w:pPr>
        <w:pStyle w:val="ListBullet"/>
      </w:pPr>
      <w:r w:rsidRPr="00A374D0">
        <w:t xml:space="preserve">The </w:t>
      </w:r>
      <w:proofErr w:type="gramStart"/>
      <w:r>
        <w:t>double blind</w:t>
      </w:r>
      <w:proofErr w:type="gramEnd"/>
      <w:r>
        <w:t xml:space="preserve"> s</w:t>
      </w:r>
      <w:r w:rsidRPr="00A374D0">
        <w:t xml:space="preserve">afety </w:t>
      </w:r>
      <w:r>
        <w:t>p</w:t>
      </w:r>
      <w:r w:rsidRPr="00A374D0">
        <w:t xml:space="preserve">opulation comprised all randomised subjects who received at least </w:t>
      </w:r>
      <w:r>
        <w:t xml:space="preserve">one </w:t>
      </w:r>
      <w:r w:rsidRPr="00A374D0">
        <w:t xml:space="preserve">dose of </w:t>
      </w:r>
      <w:r>
        <w:t>double blind</w:t>
      </w:r>
      <w:r w:rsidRPr="00A374D0">
        <w:t xml:space="preserve"> study drug during the </w:t>
      </w:r>
      <w:r>
        <w:t>double blind t</w:t>
      </w:r>
      <w:r w:rsidRPr="00A374D0">
        <w:t xml:space="preserve">reatment </w:t>
      </w:r>
      <w:r>
        <w:t>p</w:t>
      </w:r>
      <w:r w:rsidRPr="00A374D0">
        <w:t>eriod.</w:t>
      </w:r>
    </w:p>
    <w:p w14:paraId="51F8495D" w14:textId="767A757E" w:rsidR="00A374D0" w:rsidRPr="00A374D0" w:rsidRDefault="00A374D0" w:rsidP="00A374D0">
      <w:pPr>
        <w:pStyle w:val="ListBullet"/>
      </w:pPr>
      <w:r w:rsidRPr="00A374D0">
        <w:lastRenderedPageBreak/>
        <w:t xml:space="preserve">Subjects in the </w:t>
      </w:r>
      <w:proofErr w:type="gramStart"/>
      <w:r>
        <w:t>double blind</w:t>
      </w:r>
      <w:proofErr w:type="gramEnd"/>
      <w:r>
        <w:t xml:space="preserve"> s</w:t>
      </w:r>
      <w:r w:rsidRPr="00A374D0">
        <w:t xml:space="preserve">afety </w:t>
      </w:r>
      <w:r>
        <w:t>p</w:t>
      </w:r>
      <w:r w:rsidRPr="00A374D0">
        <w:t xml:space="preserve">opulation were analysed according to the actual treatment received. This population was used to analyse all safety endpoints collected during the </w:t>
      </w:r>
      <w:proofErr w:type="gramStart"/>
      <w:r>
        <w:t>double blind</w:t>
      </w:r>
      <w:proofErr w:type="gramEnd"/>
      <w:r>
        <w:t xml:space="preserve"> p</w:t>
      </w:r>
      <w:r w:rsidRPr="00A374D0">
        <w:t>hase.</w:t>
      </w:r>
    </w:p>
    <w:p w14:paraId="3D234A47" w14:textId="0BD4AA22" w:rsidR="00A374D0" w:rsidRPr="00A374D0" w:rsidRDefault="00A374D0" w:rsidP="00A374D0">
      <w:pPr>
        <w:pStyle w:val="ListBullet"/>
      </w:pPr>
      <w:r w:rsidRPr="00A374D0">
        <w:t xml:space="preserve">The </w:t>
      </w:r>
      <w:r>
        <w:t>p</w:t>
      </w:r>
      <w:r w:rsidRPr="00A374D0">
        <w:t>er</w:t>
      </w:r>
      <w:r w:rsidR="007D473D">
        <w:t>-</w:t>
      </w:r>
      <w:r>
        <w:t>p</w:t>
      </w:r>
      <w:r w:rsidRPr="00A374D0">
        <w:t>rotocol</w:t>
      </w:r>
      <w:r>
        <w:t xml:space="preserve"> p</w:t>
      </w:r>
      <w:r w:rsidRPr="00A374D0">
        <w:t xml:space="preserve">opulation was a subset of subjects in the ITT </w:t>
      </w:r>
      <w:r>
        <w:t>p</w:t>
      </w:r>
      <w:r w:rsidRPr="00A374D0">
        <w:t xml:space="preserve">opulation who did not have any major protocol deviations that could have affected the efficacy analyses of the </w:t>
      </w:r>
      <w:proofErr w:type="gramStart"/>
      <w:r w:rsidRPr="00A374D0">
        <w:t>double</w:t>
      </w:r>
      <w:r>
        <w:t xml:space="preserve"> </w:t>
      </w:r>
      <w:r w:rsidRPr="00A374D0">
        <w:t>blind</w:t>
      </w:r>
      <w:proofErr w:type="gramEnd"/>
      <w:r w:rsidRPr="00A374D0">
        <w:t xml:space="preserve"> data.</w:t>
      </w:r>
    </w:p>
    <w:p w14:paraId="0DE5694D" w14:textId="5824DBDF" w:rsidR="00A374D0" w:rsidRDefault="00A374D0" w:rsidP="00A374D0">
      <w:pPr>
        <w:pStyle w:val="ListBullet"/>
      </w:pPr>
      <w:r w:rsidRPr="00A374D0">
        <w:t xml:space="preserve">The </w:t>
      </w:r>
      <w:r w:rsidR="00DC22EC">
        <w:t>per</w:t>
      </w:r>
      <w:r w:rsidR="00E81FD4">
        <w:t>-</w:t>
      </w:r>
      <w:r w:rsidR="00DC22EC">
        <w:t>protocol</w:t>
      </w:r>
      <w:r w:rsidR="007D473D">
        <w:rPr>
          <w:rStyle w:val="FootnoteReference"/>
        </w:rPr>
        <w:footnoteReference w:id="12"/>
      </w:r>
      <w:r w:rsidRPr="00A374D0">
        <w:t xml:space="preserve"> </w:t>
      </w:r>
      <w:r>
        <w:t>p</w:t>
      </w:r>
      <w:r w:rsidRPr="00A374D0">
        <w:t>opulation was used for supportive efficacy analyses.</w:t>
      </w:r>
    </w:p>
    <w:p w14:paraId="051993F5" w14:textId="7B23F02D" w:rsidR="00A374D0" w:rsidRDefault="00A374D0" w:rsidP="00A374D0">
      <w:pPr>
        <w:rPr>
          <w:rFonts w:cs="Cambria"/>
          <w:color w:val="000000"/>
          <w:szCs w:val="22"/>
        </w:rPr>
      </w:pPr>
      <w:r>
        <w:t xml:space="preserve">The clinical evaluation concluded </w:t>
      </w:r>
      <w:r>
        <w:rPr>
          <w:rFonts w:cs="Cambria"/>
          <w:color w:val="000000"/>
          <w:szCs w:val="22"/>
        </w:rPr>
        <w:t>t</w:t>
      </w:r>
      <w:r w:rsidRPr="00A374D0">
        <w:rPr>
          <w:rFonts w:cs="Cambria"/>
          <w:color w:val="000000"/>
          <w:szCs w:val="22"/>
        </w:rPr>
        <w:t>he definitions of the analysis populations and the efficacy analyses on the intent</w:t>
      </w:r>
      <w:r>
        <w:rPr>
          <w:rFonts w:cs="Cambria"/>
          <w:color w:val="000000"/>
          <w:szCs w:val="22"/>
        </w:rPr>
        <w:t xml:space="preserve"> </w:t>
      </w:r>
      <w:r w:rsidRPr="00A374D0">
        <w:rPr>
          <w:rFonts w:cs="Cambria"/>
          <w:color w:val="000000"/>
          <w:szCs w:val="22"/>
        </w:rPr>
        <w:t>to</w:t>
      </w:r>
      <w:r>
        <w:rPr>
          <w:rFonts w:cs="Cambria"/>
          <w:color w:val="000000"/>
          <w:szCs w:val="22"/>
        </w:rPr>
        <w:t xml:space="preserve"> </w:t>
      </w:r>
      <w:r w:rsidRPr="00A374D0">
        <w:rPr>
          <w:rFonts w:cs="Cambria"/>
          <w:color w:val="000000"/>
          <w:szCs w:val="22"/>
        </w:rPr>
        <w:t>treat population are in keeping with TGA</w:t>
      </w:r>
      <w:r>
        <w:rPr>
          <w:rFonts w:cs="Cambria"/>
          <w:color w:val="000000"/>
          <w:szCs w:val="22"/>
        </w:rPr>
        <w:t xml:space="preserve"> </w:t>
      </w:r>
      <w:r w:rsidRPr="00A374D0">
        <w:rPr>
          <w:rFonts w:cs="Cambria"/>
          <w:color w:val="000000"/>
          <w:szCs w:val="22"/>
        </w:rPr>
        <w:t>adopted</w:t>
      </w:r>
      <w:r>
        <w:rPr>
          <w:rFonts w:cs="Cambria"/>
          <w:color w:val="000000"/>
          <w:szCs w:val="22"/>
        </w:rPr>
        <w:t xml:space="preserve"> guidelines and </w:t>
      </w:r>
      <w:r w:rsidRPr="00A374D0">
        <w:rPr>
          <w:rFonts w:cs="Cambria"/>
          <w:color w:val="000000"/>
          <w:szCs w:val="22"/>
        </w:rPr>
        <w:t>with the intent</w:t>
      </w:r>
      <w:r>
        <w:rPr>
          <w:rFonts w:cs="Cambria"/>
          <w:color w:val="000000"/>
          <w:szCs w:val="22"/>
        </w:rPr>
        <w:t xml:space="preserve"> </w:t>
      </w:r>
      <w:r w:rsidRPr="00A374D0">
        <w:rPr>
          <w:rFonts w:cs="Cambria"/>
          <w:color w:val="000000"/>
          <w:szCs w:val="22"/>
        </w:rPr>
        <w:t>to</w:t>
      </w:r>
      <w:r>
        <w:rPr>
          <w:rFonts w:cs="Cambria"/>
          <w:color w:val="000000"/>
          <w:szCs w:val="22"/>
        </w:rPr>
        <w:t xml:space="preserve"> </w:t>
      </w:r>
      <w:r w:rsidRPr="00A374D0">
        <w:rPr>
          <w:rFonts w:cs="Cambria"/>
          <w:color w:val="000000"/>
          <w:szCs w:val="22"/>
        </w:rPr>
        <w:t>treat principle of efficacy analyses.</w:t>
      </w:r>
      <w:r>
        <w:rPr>
          <w:rStyle w:val="FootnoteReference"/>
          <w:rFonts w:cs="Cambria"/>
          <w:color w:val="000000"/>
          <w:szCs w:val="22"/>
        </w:rPr>
        <w:footnoteReference w:id="13"/>
      </w:r>
    </w:p>
    <w:p w14:paraId="5C2A26C6" w14:textId="5BDEA7E2" w:rsidR="00A374D0" w:rsidRPr="00A374D0" w:rsidRDefault="00A374D0" w:rsidP="00A374D0">
      <w:pPr>
        <w:pStyle w:val="Heading7"/>
      </w:pPr>
      <w:bookmarkStart w:id="60" w:name="_Ref141170449"/>
      <w:r w:rsidRPr="00A374D0">
        <w:t>Sample size</w:t>
      </w:r>
      <w:bookmarkEnd w:id="60"/>
    </w:p>
    <w:p w14:paraId="581E653A" w14:textId="4A030DFE" w:rsidR="00A374D0" w:rsidRPr="00A374D0" w:rsidRDefault="00A374D0" w:rsidP="00A374D0">
      <w:r w:rsidRPr="00A374D0">
        <w:t>The planned sample size for the study was 350 (175 per treatment group) male and female subjects undergoing haemodialysis and experiencing moderate</w:t>
      </w:r>
      <w:r>
        <w:t xml:space="preserve"> </w:t>
      </w:r>
      <w:r w:rsidRPr="00A374D0">
        <w:t>to</w:t>
      </w:r>
      <w:r>
        <w:t xml:space="preserve"> </w:t>
      </w:r>
      <w:r w:rsidRPr="00A374D0">
        <w:t xml:space="preserve">severe pruritus. The sample size could be increased to 500 subjects (250 per treatment group) based on the results of a planned unblinded interim assessment conducted, when approximately 50% of the planned first 350 subjects had been randomised and had either completed the </w:t>
      </w:r>
      <w:proofErr w:type="gramStart"/>
      <w:r w:rsidRPr="00A374D0">
        <w:t>12</w:t>
      </w:r>
      <w:r>
        <w:t xml:space="preserve"> </w:t>
      </w:r>
      <w:r w:rsidRPr="00A374D0">
        <w:t>week</w:t>
      </w:r>
      <w:proofErr w:type="gramEnd"/>
      <w:r w:rsidRPr="00A374D0">
        <w:t xml:space="preserve"> </w:t>
      </w:r>
      <w:r>
        <w:t>double blind t</w:t>
      </w:r>
      <w:r w:rsidRPr="00A374D0">
        <w:t xml:space="preserve">reatment </w:t>
      </w:r>
      <w:r>
        <w:t>p</w:t>
      </w:r>
      <w:r w:rsidRPr="00A374D0">
        <w:t>eriod or had discontinued from treatment early.</w:t>
      </w:r>
    </w:p>
    <w:p w14:paraId="211E401C" w14:textId="38BBFE81" w:rsidR="00A374D0" w:rsidRPr="00A374D0" w:rsidRDefault="00A374D0" w:rsidP="00A374D0">
      <w:r w:rsidRPr="00A374D0">
        <w:t xml:space="preserve">The sample size calculation was based on the results of a completed </w:t>
      </w:r>
      <w:r>
        <w:t>P</w:t>
      </w:r>
      <w:r w:rsidRPr="00A374D0">
        <w:t xml:space="preserve">hase </w:t>
      </w:r>
      <w:r>
        <w:t>II</w:t>
      </w:r>
      <w:r w:rsidRPr="00A374D0">
        <w:t>,</w:t>
      </w:r>
      <w:r>
        <w:t xml:space="preserve"> double blind</w:t>
      </w:r>
      <w:r w:rsidRPr="00A374D0">
        <w:t xml:space="preserve">, </w:t>
      </w:r>
      <w:proofErr w:type="gramStart"/>
      <w:r w:rsidRPr="00A374D0">
        <w:t>placebo</w:t>
      </w:r>
      <w:r>
        <w:t xml:space="preserve"> </w:t>
      </w:r>
      <w:r w:rsidRPr="00A374D0">
        <w:t>controlled</w:t>
      </w:r>
      <w:proofErr w:type="gramEnd"/>
      <w:r w:rsidRPr="00A374D0">
        <w:t xml:space="preserve"> study (</w:t>
      </w:r>
      <w:r>
        <w:t xml:space="preserve">Study </w:t>
      </w:r>
      <w:r w:rsidRPr="00A374D0">
        <w:t xml:space="preserve">CR845-CLIN2101) of </w:t>
      </w:r>
      <w:r>
        <w:t>d</w:t>
      </w:r>
      <w:r w:rsidRPr="00A374D0">
        <w:t>ifelikefalin in subjects with ESRD who were undergoing haemodialysis and experiencing moderate</w:t>
      </w:r>
      <w:r>
        <w:t xml:space="preserve"> </w:t>
      </w:r>
      <w:r w:rsidRPr="00A374D0">
        <w:t>to</w:t>
      </w:r>
      <w:r>
        <w:t xml:space="preserve"> </w:t>
      </w:r>
      <w:r w:rsidRPr="00A374D0">
        <w:t>severe pruritus. In this study, 30% of subjects randomised to the placebo group reported a 3</w:t>
      </w:r>
      <w:r>
        <w:t xml:space="preserve"> </w:t>
      </w:r>
      <w:r w:rsidRPr="00A374D0">
        <w:t>point</w:t>
      </w:r>
      <w:r>
        <w:t xml:space="preserve"> or greater</w:t>
      </w:r>
      <w:r w:rsidRPr="00A374D0">
        <w:t xml:space="preserve"> improvement from </w:t>
      </w:r>
      <w:r>
        <w:t>B</w:t>
      </w:r>
      <w:r w:rsidRPr="00A374D0">
        <w:t xml:space="preserve">aseline with respect to the </w:t>
      </w:r>
      <w:proofErr w:type="gramStart"/>
      <w:r w:rsidRPr="00A374D0">
        <w:t>24</w:t>
      </w:r>
      <w:r>
        <w:t xml:space="preserve"> </w:t>
      </w:r>
      <w:r w:rsidRPr="00A374D0">
        <w:t>hour</w:t>
      </w:r>
      <w:proofErr w:type="gramEnd"/>
      <w:r w:rsidRPr="00A374D0">
        <w:t xml:space="preserve"> WI-NRS at the end of treatment (Week 8). The proportion of subjects who received </w:t>
      </w:r>
      <w:r>
        <w:t>d</w:t>
      </w:r>
      <w:r w:rsidRPr="00A374D0">
        <w:t>ifelikefalin and reported a similar improvement in itch scores ranged from approximately 60% to 45% (</w:t>
      </w:r>
      <w:r>
        <w:t>that is</w:t>
      </w:r>
      <w:r w:rsidRPr="00A374D0">
        <w:t>, 30% to 15% difference from placebo), depending on the dose of active study drug (0.5</w:t>
      </w:r>
      <w:r>
        <w:t> </w:t>
      </w:r>
      <w:r w:rsidR="00A33AB5">
        <w:t>µ</w:t>
      </w:r>
      <w:r>
        <w:t>g</w:t>
      </w:r>
      <w:r w:rsidRPr="00A374D0">
        <w:t>/kg, 1</w:t>
      </w:r>
      <w:r>
        <w:t> </w:t>
      </w:r>
      <w:r w:rsidR="00A33AB5">
        <w:t>µ</w:t>
      </w:r>
      <w:r w:rsidRPr="00A374D0">
        <w:t>g/kg, or 1.5</w:t>
      </w:r>
      <w:r>
        <w:t> </w:t>
      </w:r>
      <w:r w:rsidR="00A33AB5">
        <w:t>µ</w:t>
      </w:r>
      <w:r>
        <w:t>g</w:t>
      </w:r>
      <w:r w:rsidRPr="00A374D0">
        <w:t>/kg).</w:t>
      </w:r>
    </w:p>
    <w:p w14:paraId="34E2F9D8" w14:textId="010F4214" w:rsidR="00A374D0" w:rsidRPr="00A374D0" w:rsidRDefault="00A374D0" w:rsidP="00A374D0">
      <w:r w:rsidRPr="00A374D0">
        <w:t xml:space="preserve">Given a sample size of 350 subjects (175 per treatment group) and assuming a true response rate of 30% for the placebo group and a true response rate of 50% for the </w:t>
      </w:r>
      <w:r>
        <w:t>d</w:t>
      </w:r>
      <w:r w:rsidRPr="00A374D0">
        <w:t>ifelikefalin group (defining response as a 3</w:t>
      </w:r>
      <w:r>
        <w:t xml:space="preserve"> </w:t>
      </w:r>
      <w:r w:rsidRPr="00A374D0">
        <w:t>point</w:t>
      </w:r>
      <w:r>
        <w:t xml:space="preserve"> or greater</w:t>
      </w:r>
      <w:r w:rsidRPr="00A374D0">
        <w:t xml:space="preserve"> improvement from </w:t>
      </w:r>
      <w:r>
        <w:t>B</w:t>
      </w:r>
      <w:r w:rsidRPr="00A374D0">
        <w:t>aseline with respect to the WI</w:t>
      </w:r>
      <w:r>
        <w:noBreakHyphen/>
      </w:r>
      <w:r w:rsidRPr="00A374D0">
        <w:t>NRS at Week 12), a 2-sided continuity</w:t>
      </w:r>
      <w:r>
        <w:t xml:space="preserve"> </w:t>
      </w:r>
      <w:r w:rsidRPr="00A374D0">
        <w:t xml:space="preserve">corrected Chi square would have 96% power to detect a treatment difference. The power of this test statistic would be 84% </w:t>
      </w:r>
      <w:r>
        <w:t xml:space="preserve">or greater </w:t>
      </w:r>
      <w:r w:rsidRPr="00A374D0">
        <w:t xml:space="preserve">for differences from placebo as low as 0.16. Based on the results of the planned interim assessment, the sample size could be increased to up to 500 subjects (250 per treatment group). Given this maximum sample size, and assuming a true response rate of 30% in the placebo group, a 2-sided continuity corrected Chi square would have approximately 90% power to detect a treatment difference with a </w:t>
      </w:r>
      <w:r>
        <w:t>d</w:t>
      </w:r>
      <w:r w:rsidRPr="00A374D0">
        <w:t>ifelikefalin response rate of 45% (</w:t>
      </w:r>
      <w:r>
        <w:t>that is,</w:t>
      </w:r>
      <w:r w:rsidRPr="00A374D0">
        <w:t xml:space="preserve"> a 15% difference from placebo).</w:t>
      </w:r>
    </w:p>
    <w:p w14:paraId="02979F73" w14:textId="6D2BDD67" w:rsidR="00A374D0" w:rsidRPr="00A374D0" w:rsidRDefault="00A374D0" w:rsidP="00A374D0">
      <w:r w:rsidRPr="00A374D0">
        <w:t xml:space="preserve">An unblinded interim analysis for sample size re-estimation was conducted when approximately 50% of the first 350 subjects had been randomised and had either completed the </w:t>
      </w:r>
      <w:proofErr w:type="gramStart"/>
      <w:r w:rsidRPr="00A374D0">
        <w:t>12</w:t>
      </w:r>
      <w:r>
        <w:t xml:space="preserve"> </w:t>
      </w:r>
      <w:r w:rsidRPr="00A374D0">
        <w:t>week</w:t>
      </w:r>
      <w:proofErr w:type="gramEnd"/>
      <w:r w:rsidRPr="00A374D0">
        <w:t xml:space="preserve"> treatment period or had discontinued from treatment early. The planned interim assessment was conducted by the Independent Data Monitoring Committee (</w:t>
      </w:r>
      <w:r w:rsidRPr="00DC22EC">
        <w:t>IDMC</w:t>
      </w:r>
      <w:r w:rsidRPr="00A374D0">
        <w:t>). Based on the recommendation of the IDMC, there were no changes to the original enrolment target of 350</w:t>
      </w:r>
      <w:r w:rsidR="007D473D">
        <w:t> </w:t>
      </w:r>
      <w:r w:rsidRPr="00A374D0">
        <w:t>subjects.</w:t>
      </w:r>
    </w:p>
    <w:p w14:paraId="0DCCB94D" w14:textId="520B176A" w:rsidR="00A374D0" w:rsidRPr="00A374D0" w:rsidRDefault="00A374D0" w:rsidP="00A374D0">
      <w:pPr>
        <w:pStyle w:val="Heading7"/>
      </w:pPr>
      <w:bookmarkStart w:id="61" w:name="_Ref141170760"/>
      <w:r w:rsidRPr="00A374D0">
        <w:lastRenderedPageBreak/>
        <w:t>Statistical methods</w:t>
      </w:r>
      <w:bookmarkEnd w:id="61"/>
    </w:p>
    <w:p w14:paraId="01ED6D23" w14:textId="369DAB67" w:rsidR="00A374D0" w:rsidRPr="00A374D0" w:rsidRDefault="00A374D0" w:rsidP="00A374D0">
      <w:r w:rsidRPr="00A374D0">
        <w:t>The primary efficacy endpoint was the proportion of subjects achieving a 3</w:t>
      </w:r>
      <w:r>
        <w:t xml:space="preserve"> </w:t>
      </w:r>
      <w:r w:rsidRPr="00A374D0">
        <w:t>point</w:t>
      </w:r>
      <w:r>
        <w:t xml:space="preserve"> or greater</w:t>
      </w:r>
      <w:r w:rsidRPr="00A374D0">
        <w:t xml:space="preserve"> improvement from </w:t>
      </w:r>
      <w:r>
        <w:t>B</w:t>
      </w:r>
      <w:r w:rsidRPr="00A374D0">
        <w:t xml:space="preserve">aseline with respect to the weekly mean of the daily </w:t>
      </w:r>
      <w:r w:rsidR="007D473D">
        <w:t>(</w:t>
      </w:r>
      <w:r w:rsidRPr="00A374D0">
        <w:t>24</w:t>
      </w:r>
      <w:r>
        <w:t xml:space="preserve"> </w:t>
      </w:r>
      <w:r w:rsidRPr="00A374D0">
        <w:t>hour</w:t>
      </w:r>
      <w:r w:rsidR="007D473D">
        <w:t>)</w:t>
      </w:r>
      <w:r w:rsidRPr="00A374D0">
        <w:t xml:space="preserve"> WI-NRS at Week 12 of the </w:t>
      </w:r>
      <w:proofErr w:type="gramStart"/>
      <w:r>
        <w:t>double blind</w:t>
      </w:r>
      <w:proofErr w:type="gramEnd"/>
      <w:r>
        <w:t xml:space="preserve"> t</w:t>
      </w:r>
      <w:r w:rsidRPr="00A374D0">
        <w:t xml:space="preserve">reatment </w:t>
      </w:r>
      <w:r>
        <w:t>p</w:t>
      </w:r>
      <w:r w:rsidRPr="00A374D0">
        <w:t>eriod.</w:t>
      </w:r>
    </w:p>
    <w:p w14:paraId="0C8077A3" w14:textId="317B4DB3" w:rsidR="00A374D0" w:rsidRPr="00A374D0" w:rsidRDefault="00A374D0" w:rsidP="00A374D0">
      <w:r w:rsidRPr="00A374D0">
        <w:t>Differences between difelikefalin and placebo with respect to the primary endpoint w</w:t>
      </w:r>
      <w:r w:rsidR="00DC22EC">
        <w:t>ere</w:t>
      </w:r>
      <w:r w:rsidRPr="00A374D0">
        <w:t xml:space="preserve"> compared using a logistic regression model containing terms for treatment group, baseline WI</w:t>
      </w:r>
      <w:r w:rsidRPr="00A374D0">
        <w:noBreakHyphen/>
        <w:t>NRS score, region, use of anti-itch medication during the week prior to randomisation, and presence of specific medical conditions.</w:t>
      </w:r>
    </w:p>
    <w:p w14:paraId="377A6A3B" w14:textId="55EEEA5C" w:rsidR="00A374D0" w:rsidRPr="00A374D0" w:rsidRDefault="00A374D0" w:rsidP="00A374D0">
      <w:r w:rsidRPr="00A374D0">
        <w:t>The 5-D itch scale and the Skindex-10 scale scores were analysed at Week 12 using an analysis of covariance (</w:t>
      </w:r>
      <w:r w:rsidRPr="00DC22EC">
        <w:t>ANCOVA).</w:t>
      </w:r>
      <w:r w:rsidRPr="00A374D0">
        <w:t xml:space="preserve"> The model contained treatment as a fixed effect, with baseline score and the randomisation stratification variables as covariates.</w:t>
      </w:r>
    </w:p>
    <w:p w14:paraId="6E4A24E0" w14:textId="49A1C1A9" w:rsidR="00A374D0" w:rsidRPr="00A374D0" w:rsidRDefault="00A374D0" w:rsidP="00A374D0">
      <w:pPr>
        <w:pStyle w:val="Heading7"/>
      </w:pPr>
      <w:r w:rsidRPr="00A374D0">
        <w:t>Baseline data</w:t>
      </w:r>
    </w:p>
    <w:p w14:paraId="4FAA0427" w14:textId="1142CF53" w:rsidR="00A374D0" w:rsidRDefault="00A374D0" w:rsidP="00A374D0">
      <w:r w:rsidRPr="00A374D0">
        <w:t xml:space="preserve">Baseline demographic characteristics were generally comparable between </w:t>
      </w:r>
      <w:r>
        <w:t>d</w:t>
      </w:r>
      <w:r w:rsidRPr="00A374D0">
        <w:t xml:space="preserve">ifelikefalin and placebo groups. </w:t>
      </w:r>
      <w:proofErr w:type="gramStart"/>
      <w:r w:rsidRPr="00A374D0">
        <w:t>The majority of</w:t>
      </w:r>
      <w:proofErr w:type="gramEnd"/>
      <w:r w:rsidRPr="00A374D0">
        <w:t xml:space="preserve"> patients were male (61%: </w:t>
      </w:r>
      <w:r>
        <w:t xml:space="preserve">placebo </w:t>
      </w:r>
      <w:r w:rsidRPr="00A374D0">
        <w:t>=</w:t>
      </w:r>
      <w:r>
        <w:t xml:space="preserve"> </w:t>
      </w:r>
      <w:r w:rsidRPr="00A374D0">
        <w:t xml:space="preserve">62.8%, </w:t>
      </w:r>
      <w:r>
        <w:t>d</w:t>
      </w:r>
      <w:r w:rsidRPr="00A374D0">
        <w:t>ifelikefalin</w:t>
      </w:r>
      <w:r>
        <w:t> </w:t>
      </w:r>
      <w:r w:rsidRPr="00A374D0">
        <w:t>=</w:t>
      </w:r>
      <w:r>
        <w:t> </w:t>
      </w:r>
      <w:r w:rsidRPr="00A374D0">
        <w:t>59.3%), and the median age was 58 years (</w:t>
      </w:r>
      <w:r>
        <w:t>placebo </w:t>
      </w:r>
      <w:r w:rsidRPr="00A374D0">
        <w:t>=</w:t>
      </w:r>
      <w:r>
        <w:t> </w:t>
      </w:r>
      <w:r w:rsidRPr="00A374D0">
        <w:t xml:space="preserve">57.5 years, </w:t>
      </w:r>
      <w:r>
        <w:t>d</w:t>
      </w:r>
      <w:r w:rsidRPr="00A374D0">
        <w:t>ifelikefalin</w:t>
      </w:r>
      <w:r>
        <w:t> </w:t>
      </w:r>
      <w:r w:rsidRPr="00A374D0">
        <w:t>=</w:t>
      </w:r>
      <w:r>
        <w:t> </w:t>
      </w:r>
      <w:r w:rsidRPr="00A374D0">
        <w:t>59</w:t>
      </w:r>
      <w:r>
        <w:t> </w:t>
      </w:r>
      <w:r w:rsidRPr="00A374D0">
        <w:t xml:space="preserve">years). The predominant races were </w:t>
      </w:r>
      <w:r>
        <w:t>W</w:t>
      </w:r>
      <w:r w:rsidRPr="00A374D0">
        <w:t xml:space="preserve">hite (48.8%: </w:t>
      </w:r>
      <w:r>
        <w:t>placebo </w:t>
      </w:r>
      <w:r w:rsidRPr="00A374D0">
        <w:t>=</w:t>
      </w:r>
      <w:r>
        <w:t> </w:t>
      </w:r>
      <w:r w:rsidRPr="00A374D0">
        <w:t xml:space="preserve">49.5%, </w:t>
      </w:r>
      <w:r>
        <w:t>d</w:t>
      </w:r>
      <w:r w:rsidRPr="00A374D0">
        <w:t>ifelikefalin</w:t>
      </w:r>
      <w:r>
        <w:t> </w:t>
      </w:r>
      <w:r w:rsidRPr="00A374D0">
        <w:t>=</w:t>
      </w:r>
      <w:r>
        <w:t> </w:t>
      </w:r>
      <w:r w:rsidRPr="00A374D0">
        <w:t xml:space="preserve">48.1%) and </w:t>
      </w:r>
      <w:r>
        <w:t>B</w:t>
      </w:r>
      <w:r w:rsidRPr="00A374D0">
        <w:t xml:space="preserve">lack/African American (41.6%: </w:t>
      </w:r>
      <w:r>
        <w:t>placebo </w:t>
      </w:r>
      <w:r w:rsidRPr="00A374D0">
        <w:t>=</w:t>
      </w:r>
      <w:r>
        <w:t> </w:t>
      </w:r>
      <w:r w:rsidRPr="00A374D0">
        <w:t xml:space="preserve">39.9%, </w:t>
      </w:r>
      <w:r>
        <w:t>d</w:t>
      </w:r>
      <w:r w:rsidRPr="00A374D0">
        <w:t>ifelikefalin</w:t>
      </w:r>
      <w:r>
        <w:t> </w:t>
      </w:r>
      <w:r w:rsidRPr="00A374D0">
        <w:t>=</w:t>
      </w:r>
      <w:r>
        <w:t> </w:t>
      </w:r>
      <w:r w:rsidRPr="00A374D0">
        <w:t>43.4%).</w:t>
      </w:r>
    </w:p>
    <w:p w14:paraId="7F473C7D" w14:textId="0F1306B4" w:rsidR="00A374D0" w:rsidRDefault="00A374D0" w:rsidP="00A374D0">
      <w:pPr>
        <w:pStyle w:val="TableTitle"/>
      </w:pPr>
      <w:r>
        <w:lastRenderedPageBreak/>
        <w:t xml:space="preserve">Table </w:t>
      </w:r>
      <w:r>
        <w:fldChar w:fldCharType="begin"/>
      </w:r>
      <w:r>
        <w:instrText>SEQ Table \* ARABIC</w:instrText>
      </w:r>
      <w:r>
        <w:fldChar w:fldCharType="separate"/>
      </w:r>
      <w:r w:rsidR="00B44DE2">
        <w:rPr>
          <w:noProof/>
        </w:rPr>
        <w:t>5</w:t>
      </w:r>
      <w:r>
        <w:fldChar w:fldCharType="end"/>
      </w:r>
      <w:r>
        <w:t xml:space="preserve">: Study CR845-CLIN3102 </w:t>
      </w:r>
      <w:r w:rsidR="007D473D">
        <w:t>S</w:t>
      </w:r>
      <w:r>
        <w:t>ubject demographics</w:t>
      </w:r>
    </w:p>
    <w:p w14:paraId="7FD51EA9" w14:textId="48D25977" w:rsidR="00A374D0" w:rsidRDefault="00A374D0" w:rsidP="00A374D0">
      <w:r>
        <w:rPr>
          <w:noProof/>
        </w:rPr>
        <w:drawing>
          <wp:inline distT="0" distB="0" distL="0" distR="0" wp14:anchorId="75CD5D0F" wp14:editId="42C74501">
            <wp:extent cx="5759450" cy="5753100"/>
            <wp:effectExtent l="0" t="0" r="0" b="0"/>
            <wp:docPr id="6" name="Picture 6" descr="Study CR845-CLIN3102 subjec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CR845-CLIN3102 subject demographics"/>
                    <pic:cNvPicPr/>
                  </pic:nvPicPr>
                  <pic:blipFill rotWithShape="1">
                    <a:blip r:embed="rId31"/>
                    <a:srcRect b="6704"/>
                    <a:stretch/>
                  </pic:blipFill>
                  <pic:spPr bwMode="auto">
                    <a:xfrm>
                      <a:off x="0" y="0"/>
                      <a:ext cx="5759450" cy="5753100"/>
                    </a:xfrm>
                    <a:prstGeom prst="rect">
                      <a:avLst/>
                    </a:prstGeom>
                    <a:ln>
                      <a:noFill/>
                    </a:ln>
                    <a:extLst>
                      <a:ext uri="{53640926-AAD7-44D8-BBD7-CCE9431645EC}">
                        <a14:shadowObscured xmlns:a14="http://schemas.microsoft.com/office/drawing/2010/main"/>
                      </a:ext>
                    </a:extLst>
                  </pic:spPr>
                </pic:pic>
              </a:graphicData>
            </a:graphic>
          </wp:inline>
        </w:drawing>
      </w:r>
    </w:p>
    <w:p w14:paraId="48BEFB01" w14:textId="57FD2AA5" w:rsidR="00A374D0" w:rsidRDefault="00A374D0" w:rsidP="00A374D0">
      <w:pPr>
        <w:pStyle w:val="TableDescription"/>
      </w:pPr>
      <w:r>
        <w:t>Abbreviations: max = maximum, min = minimum, SD = standard deviation</w:t>
      </w:r>
    </w:p>
    <w:p w14:paraId="44FCF22A" w14:textId="77777777" w:rsidR="00A374D0" w:rsidRPr="00A374D0" w:rsidRDefault="00A374D0" w:rsidP="00E81FD4">
      <w:pPr>
        <w:pStyle w:val="Heading8"/>
      </w:pPr>
      <w:r w:rsidRPr="00A374D0">
        <w:t>Baseline disease characteristics</w:t>
      </w:r>
    </w:p>
    <w:p w14:paraId="2659D974" w14:textId="524CF498" w:rsidR="00A374D0" w:rsidRDefault="00A374D0" w:rsidP="00A374D0">
      <w:r w:rsidRPr="00A374D0">
        <w:t xml:space="preserve">The </w:t>
      </w:r>
      <w:r>
        <w:t xml:space="preserve">baseline disease characteristics </w:t>
      </w:r>
      <w:r w:rsidRPr="00A374D0">
        <w:t>were generally comparable between treatment groups. The median duration of CKD-</w:t>
      </w:r>
      <w:proofErr w:type="spellStart"/>
      <w:r w:rsidRPr="00A374D0">
        <w:t>aP</w:t>
      </w:r>
      <w:proofErr w:type="spellEnd"/>
      <w:r w:rsidRPr="00A374D0">
        <w:t xml:space="preserve"> for all subjects was 2.5 years (</w:t>
      </w:r>
      <w:r>
        <w:t>placebo </w:t>
      </w:r>
      <w:r w:rsidRPr="00A374D0">
        <w:t xml:space="preserve">= 2.57, </w:t>
      </w:r>
      <w:r>
        <w:t>d</w:t>
      </w:r>
      <w:r w:rsidRPr="00A374D0">
        <w:t>ifelikefalin</w:t>
      </w:r>
      <w:r>
        <w:t> </w:t>
      </w:r>
      <w:r w:rsidRPr="00A374D0">
        <w:t>=</w:t>
      </w:r>
      <w:r>
        <w:t> </w:t>
      </w:r>
      <w:r w:rsidRPr="00A374D0">
        <w:t xml:space="preserve">2.2) and the median WI-NRS score at </w:t>
      </w:r>
      <w:r>
        <w:t>B</w:t>
      </w:r>
      <w:r w:rsidRPr="00A374D0">
        <w:t xml:space="preserve">aseline was 7.14 </w:t>
      </w:r>
      <w:r>
        <w:t>(placebo </w:t>
      </w:r>
      <w:r w:rsidRPr="00A374D0">
        <w:t>=</w:t>
      </w:r>
      <w:r>
        <w:t> </w:t>
      </w:r>
      <w:r w:rsidRPr="00A374D0">
        <w:t xml:space="preserve">7.44, </w:t>
      </w:r>
      <w:r>
        <w:t>d</w:t>
      </w:r>
      <w:r w:rsidRPr="00A374D0">
        <w:t>ifelikefalin</w:t>
      </w:r>
      <w:r>
        <w:t> </w:t>
      </w:r>
      <w:r w:rsidRPr="00A374D0">
        <w:t>=</w:t>
      </w:r>
      <w:r>
        <w:t> </w:t>
      </w:r>
      <w:r w:rsidRPr="00A374D0">
        <w:t>7</w:t>
      </w:r>
      <w:r>
        <w:t>)</w:t>
      </w:r>
      <w:r w:rsidRPr="00A374D0">
        <w:t>.</w:t>
      </w:r>
    </w:p>
    <w:p w14:paraId="6D505AC9" w14:textId="77022916" w:rsidR="00A374D0" w:rsidRDefault="00A374D0" w:rsidP="00A374D0">
      <w:pPr>
        <w:pStyle w:val="TableTitle"/>
      </w:pPr>
      <w:r>
        <w:lastRenderedPageBreak/>
        <w:t xml:space="preserve">Table </w:t>
      </w:r>
      <w:r>
        <w:fldChar w:fldCharType="begin"/>
      </w:r>
      <w:r>
        <w:instrText>SEQ Table \* ARABIC</w:instrText>
      </w:r>
      <w:r>
        <w:fldChar w:fldCharType="separate"/>
      </w:r>
      <w:r w:rsidR="00B44DE2">
        <w:rPr>
          <w:noProof/>
        </w:rPr>
        <w:t>6</w:t>
      </w:r>
      <w:r>
        <w:fldChar w:fldCharType="end"/>
      </w:r>
      <w:r>
        <w:t xml:space="preserve">: Study CR845-CLIN3102 </w:t>
      </w:r>
      <w:r w:rsidR="007D473D">
        <w:t>S</w:t>
      </w:r>
      <w:r>
        <w:t>ubject baseline characteristics</w:t>
      </w:r>
    </w:p>
    <w:p w14:paraId="2145A826" w14:textId="1F64B1EF" w:rsidR="00A374D0" w:rsidRDefault="00A374D0" w:rsidP="00A374D0">
      <w:r>
        <w:rPr>
          <w:noProof/>
        </w:rPr>
        <w:drawing>
          <wp:inline distT="0" distB="0" distL="0" distR="0" wp14:anchorId="6E4FF522" wp14:editId="749AC4AC">
            <wp:extent cx="5124450" cy="8039100"/>
            <wp:effectExtent l="0" t="0" r="0" b="0"/>
            <wp:docPr id="15" name="Picture 15" descr="Study CR845-CLIN3102 subjec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CR845-CLIN3102 subject baseline characteristics"/>
                    <pic:cNvPicPr/>
                  </pic:nvPicPr>
                  <pic:blipFill rotWithShape="1">
                    <a:blip r:embed="rId32"/>
                    <a:srcRect t="1055"/>
                    <a:stretch/>
                  </pic:blipFill>
                  <pic:spPr bwMode="auto">
                    <a:xfrm>
                      <a:off x="0" y="0"/>
                      <a:ext cx="5124450" cy="8039100"/>
                    </a:xfrm>
                    <a:prstGeom prst="rect">
                      <a:avLst/>
                    </a:prstGeom>
                    <a:ln>
                      <a:noFill/>
                    </a:ln>
                    <a:extLst>
                      <a:ext uri="{53640926-AAD7-44D8-BBD7-CCE9431645EC}">
                        <a14:shadowObscured xmlns:a14="http://schemas.microsoft.com/office/drawing/2010/main"/>
                      </a:ext>
                    </a:extLst>
                  </pic:spPr>
                </pic:pic>
              </a:graphicData>
            </a:graphic>
          </wp:inline>
        </w:drawing>
      </w:r>
    </w:p>
    <w:p w14:paraId="06120961" w14:textId="41BA1312" w:rsidR="00A374D0" w:rsidRDefault="00A374D0" w:rsidP="00A374D0">
      <w:pPr>
        <w:pStyle w:val="TableDescription"/>
      </w:pPr>
      <w:r>
        <w:t>Abbreviations: CKD = chronic kidney disease, ESRD = end stage renal disease, max = maximum, min = minimum, NRS</w:t>
      </w:r>
      <w:r w:rsidR="00D12774">
        <w:t> </w:t>
      </w:r>
      <w:r>
        <w:t>= numerical rating scale, SD = standard deviation.</w:t>
      </w:r>
    </w:p>
    <w:p w14:paraId="7CFE8828" w14:textId="77777777" w:rsidR="00A374D0" w:rsidRDefault="00A374D0" w:rsidP="00A374D0">
      <w:pPr>
        <w:pStyle w:val="TableDescription"/>
      </w:pPr>
      <w:r>
        <w:t>[1] Observed stratum values.</w:t>
      </w:r>
    </w:p>
    <w:p w14:paraId="750AE514" w14:textId="10683E32" w:rsidR="00A374D0" w:rsidRDefault="00A374D0" w:rsidP="00A374D0">
      <w:pPr>
        <w:pStyle w:val="TableDescription"/>
      </w:pPr>
      <w:r>
        <w:t>[2] More than one item may have been checked.</w:t>
      </w:r>
    </w:p>
    <w:p w14:paraId="4DD13C31" w14:textId="6657DC27" w:rsidR="00A374D0" w:rsidRDefault="00A374D0" w:rsidP="00A374D0">
      <w:pPr>
        <w:spacing w:before="240"/>
      </w:pPr>
      <w:r>
        <w:lastRenderedPageBreak/>
        <w:t>The clinical evaluation concluded overall, the baseline demographic and disease characteristics were comparable between treatment groups and were consistent with the target patient population.</w:t>
      </w:r>
    </w:p>
    <w:p w14:paraId="33E0A97C" w14:textId="77777777" w:rsidR="00A374D0" w:rsidRPr="00A374D0" w:rsidRDefault="00A374D0" w:rsidP="00A374D0">
      <w:pPr>
        <w:pStyle w:val="Heading7"/>
      </w:pPr>
      <w:r w:rsidRPr="00A374D0">
        <w:t>Major protocol violations/deviations</w:t>
      </w:r>
    </w:p>
    <w:p w14:paraId="4CD2DC6D" w14:textId="4290836A" w:rsidR="00A374D0" w:rsidRPr="00A374D0" w:rsidRDefault="00A374D0" w:rsidP="00A374D0">
      <w:r w:rsidRPr="00A374D0">
        <w:t xml:space="preserve">Overall, 29.4% of subjects reported at least </w:t>
      </w:r>
      <w:r>
        <w:t>one</w:t>
      </w:r>
      <w:r w:rsidRPr="00A374D0">
        <w:t xml:space="preserve"> major protocol deviation (29.6% and 29.3% in the </w:t>
      </w:r>
      <w:r>
        <w:t>d</w:t>
      </w:r>
      <w:r w:rsidRPr="00A374D0">
        <w:t>ifelikefalin and placebo groups, respectively).</w:t>
      </w:r>
    </w:p>
    <w:p w14:paraId="505F2E65" w14:textId="77777777" w:rsidR="00A374D0" w:rsidRPr="00A374D0" w:rsidRDefault="00A374D0" w:rsidP="00A374D0">
      <w:r w:rsidRPr="00A374D0">
        <w:t>The most frequently identified categories of major deviations were:</w:t>
      </w:r>
    </w:p>
    <w:p w14:paraId="6E83A8A3" w14:textId="10E8DED3" w:rsidR="00A374D0" w:rsidRPr="00A374D0" w:rsidRDefault="007D473D" w:rsidP="00A374D0">
      <w:pPr>
        <w:pStyle w:val="ListBullet"/>
      </w:pPr>
      <w:r>
        <w:t>i</w:t>
      </w:r>
      <w:r w:rsidR="00A374D0" w:rsidRPr="00A374D0">
        <w:t>nformed consent (5.3%)</w:t>
      </w:r>
    </w:p>
    <w:p w14:paraId="4BE96E26" w14:textId="23D382BD" w:rsidR="00A374D0" w:rsidRPr="00A374D0" w:rsidRDefault="007D473D" w:rsidP="00A374D0">
      <w:pPr>
        <w:pStyle w:val="ListBullet"/>
      </w:pPr>
      <w:r>
        <w:t>i</w:t>
      </w:r>
      <w:r w:rsidR="00A374D0" w:rsidRPr="00A374D0">
        <w:t>nvestigational product accountability management (4.5%)</w:t>
      </w:r>
    </w:p>
    <w:p w14:paraId="5533883D" w14:textId="405395B1" w:rsidR="00A374D0" w:rsidRPr="00A374D0" w:rsidRDefault="007D473D" w:rsidP="00A374D0">
      <w:pPr>
        <w:pStyle w:val="ListBullet"/>
      </w:pPr>
      <w:r>
        <w:t>d</w:t>
      </w:r>
      <w:r w:rsidR="00A374D0" w:rsidRPr="00A374D0">
        <w:t>elegation of authority (4.5%)</w:t>
      </w:r>
    </w:p>
    <w:p w14:paraId="34FE5D3C" w14:textId="37BA373B" w:rsidR="00A374D0" w:rsidRPr="00A374D0" w:rsidRDefault="007D473D" w:rsidP="00A374D0">
      <w:pPr>
        <w:pStyle w:val="ListBullet"/>
      </w:pPr>
      <w:r>
        <w:t>t</w:t>
      </w:r>
      <w:r w:rsidR="00A374D0">
        <w:t>wenty five percent (</w:t>
      </w:r>
      <w:r w:rsidR="00A374D0" w:rsidRPr="00A374D0">
        <w:t>25%</w:t>
      </w:r>
      <w:r w:rsidR="00A374D0">
        <w:t>) or more</w:t>
      </w:r>
      <w:r w:rsidR="00A374D0" w:rsidRPr="00A374D0">
        <w:t xml:space="preserve"> WI-NRS scores missing (4.5%)</w:t>
      </w:r>
      <w:r w:rsidR="00D12774">
        <w:t>.</w:t>
      </w:r>
    </w:p>
    <w:p w14:paraId="18CAF291" w14:textId="4916D6A0" w:rsidR="0084188E" w:rsidRDefault="0084188E" w:rsidP="00A374D0">
      <w:pPr>
        <w:pStyle w:val="Heading7"/>
      </w:pPr>
      <w:r w:rsidRPr="0084188E">
        <w:t>Results for other efficacy outcomes</w:t>
      </w:r>
    </w:p>
    <w:p w14:paraId="1D4B8ECE" w14:textId="17F478CC" w:rsidR="00A374D0" w:rsidRPr="00A374D0" w:rsidRDefault="00A374D0" w:rsidP="00E81FD4">
      <w:pPr>
        <w:pStyle w:val="Heading8"/>
      </w:pPr>
      <w:r>
        <w:t>Primary e</w:t>
      </w:r>
      <w:r w:rsidRPr="00A374D0">
        <w:t>fficacy outcomes</w:t>
      </w:r>
    </w:p>
    <w:p w14:paraId="53A5C245" w14:textId="4B9E0E6D" w:rsidR="00A374D0" w:rsidRDefault="00A374D0" w:rsidP="00A374D0">
      <w:r w:rsidRPr="00A374D0">
        <w:t>At Week 12, the least squares (</w:t>
      </w:r>
      <w:r w:rsidRPr="00D12774">
        <w:t>LS</w:t>
      </w:r>
      <w:r w:rsidRPr="00A374D0">
        <w:t>) mean percentage of subjects with a 3</w:t>
      </w:r>
      <w:r>
        <w:t xml:space="preserve"> </w:t>
      </w:r>
      <w:r w:rsidRPr="00A374D0">
        <w:t>point</w:t>
      </w:r>
      <w:r>
        <w:t xml:space="preserve"> or greater</w:t>
      </w:r>
      <w:r w:rsidRPr="00A374D0">
        <w:t xml:space="preserve"> improvement from </w:t>
      </w:r>
      <w:r>
        <w:t>B</w:t>
      </w:r>
      <w:r w:rsidRPr="00A374D0">
        <w:t xml:space="preserve">aseline in the WI-NRS score was 51% in the </w:t>
      </w:r>
      <w:r>
        <w:t>d</w:t>
      </w:r>
      <w:r w:rsidRPr="00A374D0">
        <w:t>ifelikefalin group, compared with 27.6% in the placebo group. The odds ratio for a 3</w:t>
      </w:r>
      <w:r>
        <w:t xml:space="preserve"> </w:t>
      </w:r>
      <w:r w:rsidRPr="00A374D0">
        <w:t>point</w:t>
      </w:r>
      <w:r>
        <w:t xml:space="preserve"> or greater</w:t>
      </w:r>
      <w:r w:rsidRPr="00A374D0">
        <w:t xml:space="preserve"> improvement from </w:t>
      </w:r>
      <w:r>
        <w:t>B</w:t>
      </w:r>
      <w:r w:rsidRPr="00A374D0">
        <w:t xml:space="preserve">aseline with </w:t>
      </w:r>
      <w:r>
        <w:t>d</w:t>
      </w:r>
      <w:r w:rsidRPr="00A374D0">
        <w:t>ifelikefalin versus placebo</w:t>
      </w:r>
      <w:r>
        <w:t xml:space="preserve"> </w:t>
      </w:r>
      <w:r w:rsidRPr="00A374D0">
        <w:t xml:space="preserve">was 2.72 (95% confidence interval </w:t>
      </w:r>
      <w:r>
        <w:t>(</w:t>
      </w:r>
      <w:r w:rsidRPr="00D12774">
        <w:t>CI):</w:t>
      </w:r>
      <w:r w:rsidRPr="00A374D0">
        <w:t xml:space="preserve"> 1.72 to 4.30), which was statistically significant (P</w:t>
      </w:r>
      <w:r>
        <w:t xml:space="preserve"> </w:t>
      </w:r>
      <w:r w:rsidRPr="00A374D0">
        <w:t>&lt;</w:t>
      </w:r>
      <w:r>
        <w:t xml:space="preserve"> </w:t>
      </w:r>
      <w:r w:rsidRPr="00A374D0">
        <w:t>0.001)</w:t>
      </w:r>
      <w:r w:rsidR="000F7318">
        <w:t xml:space="preserve"> (see </w:t>
      </w:r>
      <w:r w:rsidR="000F7318">
        <w:fldChar w:fldCharType="begin"/>
      </w:r>
      <w:r w:rsidR="000F7318">
        <w:instrText xml:space="preserve"> REF _Ref140578502 \h </w:instrText>
      </w:r>
      <w:r w:rsidR="000F7318">
        <w:fldChar w:fldCharType="separate"/>
      </w:r>
      <w:r w:rsidR="00B44DE2">
        <w:t xml:space="preserve">Table </w:t>
      </w:r>
      <w:r w:rsidR="00B44DE2">
        <w:rPr>
          <w:noProof/>
        </w:rPr>
        <w:t>7</w:t>
      </w:r>
      <w:r w:rsidR="000F7318">
        <w:fldChar w:fldCharType="end"/>
      </w:r>
      <w:r w:rsidR="000F7318">
        <w:t>).</w:t>
      </w:r>
    </w:p>
    <w:p w14:paraId="42356300" w14:textId="1C7EC8BE" w:rsidR="00A374D0" w:rsidRDefault="00A374D0" w:rsidP="00A374D0">
      <w:pPr>
        <w:pStyle w:val="TableTitle"/>
      </w:pPr>
      <w:bookmarkStart w:id="62" w:name="_Ref140578502"/>
      <w:r>
        <w:t xml:space="preserve">Table </w:t>
      </w:r>
      <w:r>
        <w:fldChar w:fldCharType="begin"/>
      </w:r>
      <w:r>
        <w:instrText>SEQ Table \* ARABIC</w:instrText>
      </w:r>
      <w:r>
        <w:fldChar w:fldCharType="separate"/>
      </w:r>
      <w:r w:rsidR="00B44DE2">
        <w:rPr>
          <w:noProof/>
        </w:rPr>
        <w:t>7</w:t>
      </w:r>
      <w:r>
        <w:fldChar w:fldCharType="end"/>
      </w:r>
      <w:bookmarkEnd w:id="62"/>
      <w:r>
        <w:t xml:space="preserve">: Study CR845-CLIN3102 </w:t>
      </w:r>
      <w:r w:rsidR="00D12774">
        <w:t>P</w:t>
      </w:r>
      <w:r>
        <w:t>rimary analysis</w:t>
      </w:r>
      <w:r w:rsidR="00D12774">
        <w:t>, s</w:t>
      </w:r>
      <w:r>
        <w:t>ubjects with a 3 point or greater improvement from Baseline at Week 12 with respect to the worst itching intensity numerical rating scale score</w:t>
      </w:r>
      <w:r w:rsidR="00D12774">
        <w:t>, mu</w:t>
      </w:r>
      <w:r>
        <w:t>ltiple imputation with missing at random assumption</w:t>
      </w:r>
      <w:r w:rsidR="00D12774">
        <w:t xml:space="preserve"> (</w:t>
      </w:r>
      <w:r>
        <w:t>intention to treat population</w:t>
      </w:r>
      <w:r w:rsidR="00D12774">
        <w:t>)</w:t>
      </w:r>
    </w:p>
    <w:p w14:paraId="09047883" w14:textId="28988B3B" w:rsidR="00A374D0" w:rsidRDefault="00A374D0" w:rsidP="00A374D0">
      <w:r w:rsidRPr="00A374D0">
        <w:rPr>
          <w:noProof/>
        </w:rPr>
        <w:drawing>
          <wp:inline distT="0" distB="0" distL="0" distR="0" wp14:anchorId="2858A128" wp14:editId="41699080">
            <wp:extent cx="5759450" cy="1754505"/>
            <wp:effectExtent l="0" t="0" r="0" b="0"/>
            <wp:docPr id="16" name="Picture 16" descr="Study CR845-CLIN3102 Primary analysis, subjects with a 3 point or greater improvement from Baseline at Week 12 with respect to the worst itching intensity numerical rating scale score,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CR845-CLIN3102 Primary analysis, subjects with a 3 point or greater improvement from Baseline at Week 12 with respect to the worst itching intensity numerical rating scale score, multiple imputation with missing at random assumption (intention to treat population)"/>
                    <pic:cNvPicPr/>
                  </pic:nvPicPr>
                  <pic:blipFill>
                    <a:blip r:embed="rId33"/>
                    <a:stretch>
                      <a:fillRect/>
                    </a:stretch>
                  </pic:blipFill>
                  <pic:spPr>
                    <a:xfrm>
                      <a:off x="0" y="0"/>
                      <a:ext cx="5759450" cy="1754505"/>
                    </a:xfrm>
                    <a:prstGeom prst="rect">
                      <a:avLst/>
                    </a:prstGeom>
                  </pic:spPr>
                </pic:pic>
              </a:graphicData>
            </a:graphic>
          </wp:inline>
        </w:drawing>
      </w:r>
    </w:p>
    <w:p w14:paraId="51A57BC7" w14:textId="0940D7B4" w:rsidR="00A374D0" w:rsidRDefault="00A374D0" w:rsidP="00A374D0">
      <w:pPr>
        <w:pStyle w:val="TableDescription"/>
      </w:pPr>
      <w:r>
        <w:t>Abbreviations: CHW = Cui, Hung, Wang, CI = confidence interval, ITT = intention to treat, LH = Lawrence, Hung, LS</w:t>
      </w:r>
      <w:r w:rsidR="00D12774">
        <w:t> </w:t>
      </w:r>
      <w:r>
        <w:t>=</w:t>
      </w:r>
      <w:r w:rsidR="00D12774">
        <w:t> </w:t>
      </w:r>
      <w:r>
        <w:t>least squares, NRS = numerical rating scale.</w:t>
      </w:r>
    </w:p>
    <w:p w14:paraId="548A65C5" w14:textId="77777777" w:rsidR="00A374D0" w:rsidRDefault="00A374D0" w:rsidP="00A374D0">
      <w:pPr>
        <w:pStyle w:val="TableDescription"/>
      </w:pPr>
      <w:r>
        <w:t>[1] Counts and percentages were based on non-missing data.</w:t>
      </w:r>
    </w:p>
    <w:p w14:paraId="1A63E79D" w14:textId="77777777" w:rsidR="00A374D0" w:rsidRDefault="00A374D0" w:rsidP="00A374D0">
      <w:pPr>
        <w:pStyle w:val="TableDescription"/>
      </w:pPr>
      <w:r>
        <w:t>[2] Estimated percent, odds ratio, and P value used a logistic regression model with terms for treatment group, baseline worst itching intensity numerical rating scale score, use of anti-itch medication during the week prior to randomisation, and the presence of specific medical conditions. Missing values were imputed using multiple imputation under missing at random missing data assumption for interim subjects and post-interim subjects separately.</w:t>
      </w:r>
    </w:p>
    <w:p w14:paraId="7F221166" w14:textId="2E9C4233" w:rsidR="00A374D0" w:rsidRDefault="00A374D0" w:rsidP="00A374D0">
      <w:pPr>
        <w:pStyle w:val="TableDescription"/>
      </w:pPr>
      <w:r>
        <w:t>Note: Combined analysis used the separate interim and post-interim results to generate an adjusted overall estimate and P value using the LH/CHW methodology.</w:t>
      </w:r>
    </w:p>
    <w:p w14:paraId="0D8C3909" w14:textId="0484C76D" w:rsidR="00DD1232" w:rsidRDefault="00DD1232" w:rsidP="00DD1232">
      <w:pPr>
        <w:spacing w:before="240"/>
      </w:pPr>
      <w:r>
        <w:t>Supportive and sensitivity analyses findings were consistent with those of the primary efficacy</w:t>
      </w:r>
    </w:p>
    <w:p w14:paraId="5774D2FA" w14:textId="3BA9365B" w:rsidR="00DD1232" w:rsidRDefault="00DD1232" w:rsidP="00DD1232">
      <w:r>
        <w:t>analysis for the percentage of subjects with a</w:t>
      </w:r>
      <w:r w:rsidR="000803E2">
        <w:t xml:space="preserve"> </w:t>
      </w:r>
      <w:r>
        <w:t>3</w:t>
      </w:r>
      <w:r w:rsidR="000803E2">
        <w:t xml:space="preserve"> </w:t>
      </w:r>
      <w:r>
        <w:t xml:space="preserve">point </w:t>
      </w:r>
      <w:r w:rsidR="000803E2">
        <w:t xml:space="preserve">or greater </w:t>
      </w:r>
      <w:r>
        <w:t xml:space="preserve">improvement in WI-NRS score at </w:t>
      </w:r>
      <w:r w:rsidR="000803E2">
        <w:t>W</w:t>
      </w:r>
      <w:r>
        <w:t>eek 12</w:t>
      </w:r>
      <w:r w:rsidR="000803E2">
        <w:t xml:space="preserve"> for the ITT and per</w:t>
      </w:r>
      <w:r w:rsidR="00E81FD4">
        <w:t>-</w:t>
      </w:r>
      <w:r w:rsidR="000803E2">
        <w:t xml:space="preserve">protocol populations (see </w:t>
      </w:r>
      <w:r w:rsidR="000803E2">
        <w:fldChar w:fldCharType="begin"/>
      </w:r>
      <w:r w:rsidR="000803E2">
        <w:instrText xml:space="preserve"> REF _Ref140577543 \h </w:instrText>
      </w:r>
      <w:r w:rsidR="000803E2">
        <w:fldChar w:fldCharType="separate"/>
      </w:r>
      <w:r w:rsidR="00B44DE2">
        <w:t xml:space="preserve">Table </w:t>
      </w:r>
      <w:r w:rsidR="00B44DE2">
        <w:rPr>
          <w:noProof/>
        </w:rPr>
        <w:t>8</w:t>
      </w:r>
      <w:r w:rsidR="000803E2">
        <w:fldChar w:fldCharType="end"/>
      </w:r>
      <w:r w:rsidR="000803E2">
        <w:t>).</w:t>
      </w:r>
    </w:p>
    <w:p w14:paraId="3E46E8A7" w14:textId="776F2CAA" w:rsidR="000803E2" w:rsidRDefault="000803E2" w:rsidP="000803E2">
      <w:pPr>
        <w:pStyle w:val="TableTitle"/>
      </w:pPr>
      <w:bookmarkStart w:id="63" w:name="_Ref140577543"/>
      <w:r>
        <w:lastRenderedPageBreak/>
        <w:t xml:space="preserve">Table </w:t>
      </w:r>
      <w:r>
        <w:fldChar w:fldCharType="begin"/>
      </w:r>
      <w:r>
        <w:instrText>SEQ Table \* ARABIC</w:instrText>
      </w:r>
      <w:r>
        <w:fldChar w:fldCharType="separate"/>
      </w:r>
      <w:r w:rsidR="00B44DE2">
        <w:rPr>
          <w:noProof/>
        </w:rPr>
        <w:t>8</w:t>
      </w:r>
      <w:r>
        <w:fldChar w:fldCharType="end"/>
      </w:r>
      <w:bookmarkEnd w:id="63"/>
      <w:r>
        <w:t>: Study CR845-CLIN3102 Key results of supportive and sensitivity analyses of the primary efficacy endpoint</w:t>
      </w:r>
      <w:r w:rsidR="000F7318">
        <w:t xml:space="preserve">, </w:t>
      </w:r>
      <w:r>
        <w:t xml:space="preserve">percentage of subjects with a 3 point or greater improvement in worst itching intensity numerical rating scale at Week 12 </w:t>
      </w:r>
      <w:r w:rsidR="00D12774">
        <w:t>(i</w:t>
      </w:r>
      <w:r>
        <w:t>ntention to treat and per</w:t>
      </w:r>
      <w:r w:rsidR="00E81FD4">
        <w:noBreakHyphen/>
      </w:r>
      <w:r>
        <w:t>protocol populations</w:t>
      </w:r>
      <w:r w:rsidR="00D12774">
        <w:t>)</w:t>
      </w:r>
    </w:p>
    <w:p w14:paraId="3BA47033" w14:textId="2B788EF6" w:rsidR="00DD1232" w:rsidRDefault="000803E2" w:rsidP="00DD1232">
      <w:r>
        <w:rPr>
          <w:noProof/>
        </w:rPr>
        <w:drawing>
          <wp:inline distT="0" distB="0" distL="0" distR="0" wp14:anchorId="1994C96D" wp14:editId="55B6C045">
            <wp:extent cx="5581650" cy="4991100"/>
            <wp:effectExtent l="0" t="0" r="0" b="0"/>
            <wp:docPr id="18" name="Picture 18" descr="Study CR845-CLIN3102 Key results of supportive and sensitivity analyses of the primary efficacy endpoint, percentage of subjects with a 3 point or greater improvement in worst itching intensity numerical rating scale at Week 12 (intention to treat and per protoco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CR845-CLIN3102 Key results of supportive and sensitivity analyses of the primary efficacy endpoint, percentage of subjects with a 3 point or greater improvement in worst itching intensity numerical rating scale at Week 12 (intention to treat and per protocol populations)"/>
                    <pic:cNvPicPr/>
                  </pic:nvPicPr>
                  <pic:blipFill rotWithShape="1">
                    <a:blip r:embed="rId34"/>
                    <a:srcRect l="837" t="1849" r="1006" b="1294"/>
                    <a:stretch/>
                  </pic:blipFill>
                  <pic:spPr bwMode="auto">
                    <a:xfrm>
                      <a:off x="0" y="0"/>
                      <a:ext cx="5581650" cy="4991100"/>
                    </a:xfrm>
                    <a:prstGeom prst="rect">
                      <a:avLst/>
                    </a:prstGeom>
                    <a:ln>
                      <a:noFill/>
                    </a:ln>
                    <a:extLst>
                      <a:ext uri="{53640926-AAD7-44D8-BBD7-CCE9431645EC}">
                        <a14:shadowObscured xmlns:a14="http://schemas.microsoft.com/office/drawing/2010/main"/>
                      </a:ext>
                    </a:extLst>
                  </pic:spPr>
                </pic:pic>
              </a:graphicData>
            </a:graphic>
          </wp:inline>
        </w:drawing>
      </w:r>
    </w:p>
    <w:p w14:paraId="2EEB262E" w14:textId="33B6CF58" w:rsidR="000803E2" w:rsidRDefault="000803E2" w:rsidP="000803E2">
      <w:pPr>
        <w:pStyle w:val="TableDescription"/>
      </w:pPr>
      <w:r>
        <w:t xml:space="preserve">Abbreviations: CHW = Cui, Hung, Wang, CI = confidence interval, ITT = </w:t>
      </w:r>
      <w:r w:rsidR="00D12774">
        <w:t>i</w:t>
      </w:r>
      <w:r>
        <w:t>ntention to treat, LH = Lawrence, Hung, LS</w:t>
      </w:r>
      <w:r w:rsidR="00D12774">
        <w:t> </w:t>
      </w:r>
      <w:r>
        <w:t>=</w:t>
      </w:r>
      <w:r w:rsidR="00D12774">
        <w:t> </w:t>
      </w:r>
      <w:r>
        <w:t>least squares, MNAR = missing not at random.</w:t>
      </w:r>
    </w:p>
    <w:p w14:paraId="4B11354E" w14:textId="25DA0A48" w:rsidR="000803E2" w:rsidRDefault="000803E2" w:rsidP="000803E2">
      <w:pPr>
        <w:pStyle w:val="TableDescription"/>
      </w:pPr>
      <w:r>
        <w:t>[1] Analysis based on interim and post-interim subjects combined.</w:t>
      </w:r>
    </w:p>
    <w:p w14:paraId="38C930A5" w14:textId="5D1E0E2E" w:rsidR="000803E2" w:rsidRDefault="000803E2" w:rsidP="000803E2">
      <w:pPr>
        <w:spacing w:before="240"/>
      </w:pPr>
      <w:r w:rsidRPr="000803E2">
        <w:t>Analyses of the LS mean percentage of ITT subjects with a 3</w:t>
      </w:r>
      <w:r>
        <w:t xml:space="preserve"> </w:t>
      </w:r>
      <w:r w:rsidRPr="000803E2">
        <w:t xml:space="preserve">point </w:t>
      </w:r>
      <w:r>
        <w:t xml:space="preserve">or greater </w:t>
      </w:r>
      <w:r w:rsidRPr="000803E2">
        <w:t xml:space="preserve">improvement from </w:t>
      </w:r>
      <w:r>
        <w:t>B</w:t>
      </w:r>
      <w:r w:rsidRPr="000803E2">
        <w:t xml:space="preserve">aseline in WI-NRS score by study week, showed that a statistically significant treatment group difference favouring </w:t>
      </w:r>
      <w:r>
        <w:t>d</w:t>
      </w:r>
      <w:r w:rsidRPr="000803E2">
        <w:t>ifelikefalin was observed as early as Week 3 (P</w:t>
      </w:r>
      <w:r>
        <w:t xml:space="preserve"> </w:t>
      </w:r>
      <w:r w:rsidRPr="000803E2">
        <w:t>&lt;</w:t>
      </w:r>
      <w:r>
        <w:t xml:space="preserve"> </w:t>
      </w:r>
      <w:r w:rsidRPr="000803E2">
        <w:t xml:space="preserve">0.001) and was maintained throughout the remainder of the </w:t>
      </w:r>
      <w:proofErr w:type="gramStart"/>
      <w:r>
        <w:t>double blind</w:t>
      </w:r>
      <w:proofErr w:type="gramEnd"/>
      <w:r>
        <w:t xml:space="preserve"> t</w:t>
      </w:r>
      <w:r w:rsidRPr="000803E2">
        <w:t xml:space="preserve">reatment </w:t>
      </w:r>
      <w:r>
        <w:t>p</w:t>
      </w:r>
      <w:r w:rsidRPr="000803E2">
        <w:t xml:space="preserve">eriod. At Week 8, the LS mean percentage of subjects in the </w:t>
      </w:r>
      <w:r>
        <w:t>d</w:t>
      </w:r>
      <w:r w:rsidRPr="000803E2">
        <w:t>ifelikefalin group with a 3</w:t>
      </w:r>
      <w:r>
        <w:t xml:space="preserve"> </w:t>
      </w:r>
      <w:r w:rsidRPr="000803E2">
        <w:t>point</w:t>
      </w:r>
      <w:r>
        <w:t xml:space="preserve"> or greater</w:t>
      </w:r>
      <w:r w:rsidRPr="000803E2">
        <w:t xml:space="preserve"> improvement from </w:t>
      </w:r>
      <w:r>
        <w:t>B</w:t>
      </w:r>
      <w:r w:rsidRPr="000803E2">
        <w:t>aseline in WI-NRS score was 42.7% versus 25.1% for the placebo group (P</w:t>
      </w:r>
      <w:r>
        <w:t xml:space="preserve"> </w:t>
      </w:r>
      <w:r w:rsidRPr="000803E2">
        <w:t>&lt;</w:t>
      </w:r>
      <w:r>
        <w:t xml:space="preserve"> </w:t>
      </w:r>
      <w:r w:rsidRPr="000803E2">
        <w:t>0.001), and at Week 4, the respective percentages were 33.5% versus 16.7% (P</w:t>
      </w:r>
      <w:r>
        <w:t xml:space="preserve"> </w:t>
      </w:r>
      <w:r w:rsidRPr="000803E2">
        <w:t>&lt;</w:t>
      </w:r>
      <w:r>
        <w:t xml:space="preserve"> </w:t>
      </w:r>
      <w:r w:rsidRPr="000803E2">
        <w:t>0.001)</w:t>
      </w:r>
      <w:r>
        <w:t xml:space="preserve"> (see </w:t>
      </w:r>
      <w:r>
        <w:fldChar w:fldCharType="begin"/>
      </w:r>
      <w:r>
        <w:instrText xml:space="preserve"> REF _Ref140577571 \h </w:instrText>
      </w:r>
      <w:r>
        <w:fldChar w:fldCharType="separate"/>
      </w:r>
      <w:r w:rsidR="00B44DE2">
        <w:t xml:space="preserve">Figure </w:t>
      </w:r>
      <w:r w:rsidR="00B44DE2">
        <w:rPr>
          <w:noProof/>
        </w:rPr>
        <w:t>4</w:t>
      </w:r>
      <w:r>
        <w:fldChar w:fldCharType="end"/>
      </w:r>
      <w:r>
        <w:t>)</w:t>
      </w:r>
      <w:r w:rsidRPr="000803E2">
        <w:t>.</w:t>
      </w:r>
    </w:p>
    <w:p w14:paraId="1B6E336C" w14:textId="18EFAFAA" w:rsidR="000803E2" w:rsidRDefault="000803E2" w:rsidP="000803E2">
      <w:pPr>
        <w:pStyle w:val="FigureTitle"/>
      </w:pPr>
      <w:bookmarkStart w:id="64" w:name="_Ref140577571"/>
      <w:r>
        <w:lastRenderedPageBreak/>
        <w:t xml:space="preserve">Figure </w:t>
      </w:r>
      <w:r>
        <w:fldChar w:fldCharType="begin"/>
      </w:r>
      <w:r>
        <w:instrText>SEQ Figure \* ARABIC</w:instrText>
      </w:r>
      <w:r>
        <w:fldChar w:fldCharType="separate"/>
      </w:r>
      <w:r w:rsidR="00B44DE2">
        <w:rPr>
          <w:noProof/>
        </w:rPr>
        <w:t>4</w:t>
      </w:r>
      <w:r>
        <w:fldChar w:fldCharType="end"/>
      </w:r>
      <w:bookmarkEnd w:id="64"/>
      <w:r>
        <w:t xml:space="preserve">: Study CR845-CLIN3102 Percentage of subjects with a 3 point or greater </w:t>
      </w:r>
      <w:r w:rsidR="00D12774">
        <w:t>i</w:t>
      </w:r>
      <w:r>
        <w:t xml:space="preserve">mprovement in worst itching intensity numerical rating scale score by week </w:t>
      </w:r>
      <w:r w:rsidR="00D12774">
        <w:t>(</w:t>
      </w:r>
      <w:r>
        <w:t>intention to treat population</w:t>
      </w:r>
      <w:r w:rsidR="00D12774">
        <w:t>)</w:t>
      </w:r>
    </w:p>
    <w:p w14:paraId="569F4F16" w14:textId="7ABE0EEE" w:rsidR="000803E2" w:rsidRDefault="000803E2" w:rsidP="000803E2">
      <w:r w:rsidRPr="000803E2">
        <w:rPr>
          <w:noProof/>
        </w:rPr>
        <w:drawing>
          <wp:inline distT="0" distB="0" distL="0" distR="0" wp14:anchorId="42BD0340" wp14:editId="25F85725">
            <wp:extent cx="5626100" cy="2781300"/>
            <wp:effectExtent l="0" t="0" r="0" b="0"/>
            <wp:docPr id="19" name="Picture 19" descr="Study CR845-CLIN3102 Percentage of subjects with a 3 point or greater improvement in worst itching intensity numerical rating scale score by week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CR845-CLIN3102 Percentage of subjects with a 3 point or greater improvement in worst itching intensity numerical rating scale score by week (intention to treat population)"/>
                    <pic:cNvPicPr/>
                  </pic:nvPicPr>
                  <pic:blipFill rotWithShape="1">
                    <a:blip r:embed="rId35"/>
                    <a:srcRect l="2315" b="2341"/>
                    <a:stretch/>
                  </pic:blipFill>
                  <pic:spPr bwMode="auto">
                    <a:xfrm>
                      <a:off x="0" y="0"/>
                      <a:ext cx="5626100" cy="2781300"/>
                    </a:xfrm>
                    <a:prstGeom prst="rect">
                      <a:avLst/>
                    </a:prstGeom>
                    <a:ln>
                      <a:noFill/>
                    </a:ln>
                    <a:extLst>
                      <a:ext uri="{53640926-AAD7-44D8-BBD7-CCE9431645EC}">
                        <a14:shadowObscured xmlns:a14="http://schemas.microsoft.com/office/drawing/2010/main"/>
                      </a:ext>
                    </a:extLst>
                  </pic:spPr>
                </pic:pic>
              </a:graphicData>
            </a:graphic>
          </wp:inline>
        </w:drawing>
      </w:r>
    </w:p>
    <w:p w14:paraId="68722C8C" w14:textId="32B751E9" w:rsidR="000803E2" w:rsidRDefault="000803E2" w:rsidP="000803E2">
      <w:pPr>
        <w:pStyle w:val="FigureDescription"/>
      </w:pPr>
      <w:r>
        <w:t>Abbreviations: CI = confidence interval, ITT = intention to treat, LS = least squares.</w:t>
      </w:r>
    </w:p>
    <w:p w14:paraId="290B8B25" w14:textId="6E518237" w:rsidR="000803E2" w:rsidRDefault="000803E2" w:rsidP="000803E2">
      <w:pPr>
        <w:pStyle w:val="FigureDescription"/>
      </w:pPr>
      <w:r>
        <w:t>Note: Estimated percentages and CIs used a logistic regression model with terms for treatment group, baseline worst itching intensity numerical rating scale score, use of anti-itch medication during the week prior to randomisation, and the presence of specific medical conditions. Missing values were imputed using multiple imputation under a missing at random missing data assumption for interim subjects and post-interim subjects separately.</w:t>
      </w:r>
    </w:p>
    <w:p w14:paraId="684FC9E1" w14:textId="74DDC42C" w:rsidR="000803E2" w:rsidRDefault="000803E2" w:rsidP="000803E2">
      <w:pPr>
        <w:pStyle w:val="FigureDescription"/>
      </w:pPr>
      <w:r>
        <w:t>Note: Combined analysis used the separate interim and post-interim results to generate an adjusted overall estimate and P value using the Lawrence, Hung/Cui, Hung, Wang methodology.</w:t>
      </w:r>
    </w:p>
    <w:p w14:paraId="7ABBC30B" w14:textId="70AED233" w:rsidR="000803E2" w:rsidRDefault="000F7318" w:rsidP="00E81FD4">
      <w:pPr>
        <w:pStyle w:val="Heading8"/>
      </w:pPr>
      <w:r>
        <w:t>Secondary</w:t>
      </w:r>
      <w:r w:rsidRPr="000F7318">
        <w:t xml:space="preserve"> efficacy outcomes</w:t>
      </w:r>
    </w:p>
    <w:p w14:paraId="7DC2E642" w14:textId="366A4D9B" w:rsidR="000F7318" w:rsidRDefault="000F7318" w:rsidP="000F7318">
      <w:r w:rsidRPr="000F7318">
        <w:t>At Week 12, the LS mean percentage of subjects with a 4</w:t>
      </w:r>
      <w:r>
        <w:t xml:space="preserve"> </w:t>
      </w:r>
      <w:r w:rsidRPr="000F7318">
        <w:t>point</w:t>
      </w:r>
      <w:r>
        <w:t xml:space="preserve"> or greater </w:t>
      </w:r>
      <w:r w:rsidRPr="000F7318">
        <w:t>improvement in WI</w:t>
      </w:r>
      <w:r>
        <w:noBreakHyphen/>
      </w:r>
      <w:r w:rsidRPr="000F7318">
        <w:t xml:space="preserve">NRS score from </w:t>
      </w:r>
      <w:r>
        <w:t>B</w:t>
      </w:r>
      <w:r w:rsidRPr="000F7318">
        <w:t xml:space="preserve">aseline was statistically significantly higher in the </w:t>
      </w:r>
      <w:r>
        <w:t>d</w:t>
      </w:r>
      <w:r w:rsidRPr="000F7318">
        <w:t>ifelikefalin group compared to the placebo group (38.9% v</w:t>
      </w:r>
      <w:r>
        <w:t>ersus</w:t>
      </w:r>
      <w:r w:rsidRPr="000F7318">
        <w:t xml:space="preserve"> 18%; odds ratio of 2.89 </w:t>
      </w:r>
      <w:r>
        <w:t>(</w:t>
      </w:r>
      <w:r w:rsidRPr="000F7318">
        <w:t>95% CI: 1.75 to 4.76, P</w:t>
      </w:r>
      <w:r>
        <w:t> </w:t>
      </w:r>
      <w:r w:rsidRPr="000F7318">
        <w:t>&lt;</w:t>
      </w:r>
      <w:r>
        <w:t> </w:t>
      </w:r>
      <w:r w:rsidRPr="000F7318">
        <w:t>0.001)</w:t>
      </w:r>
      <w:r>
        <w:t xml:space="preserve"> (see </w:t>
      </w:r>
      <w:r>
        <w:fldChar w:fldCharType="begin"/>
      </w:r>
      <w:r>
        <w:instrText xml:space="preserve"> REF _Ref140578525 \h </w:instrText>
      </w:r>
      <w:r>
        <w:fldChar w:fldCharType="separate"/>
      </w:r>
      <w:r w:rsidR="00B44DE2">
        <w:t xml:space="preserve">Table </w:t>
      </w:r>
      <w:r w:rsidR="00B44DE2">
        <w:rPr>
          <w:noProof/>
        </w:rPr>
        <w:t>9</w:t>
      </w:r>
      <w:r>
        <w:fldChar w:fldCharType="end"/>
      </w:r>
      <w:r>
        <w:t>).</w:t>
      </w:r>
    </w:p>
    <w:p w14:paraId="41D21C98" w14:textId="2E9E4F47" w:rsidR="000F7318" w:rsidRDefault="000F7318" w:rsidP="000F7318">
      <w:pPr>
        <w:pStyle w:val="TableTitle"/>
      </w:pPr>
      <w:bookmarkStart w:id="65" w:name="_Ref140578525"/>
      <w:r>
        <w:t xml:space="preserve">Table </w:t>
      </w:r>
      <w:r>
        <w:fldChar w:fldCharType="begin"/>
      </w:r>
      <w:r>
        <w:instrText>SEQ Table \* ARABIC</w:instrText>
      </w:r>
      <w:r>
        <w:fldChar w:fldCharType="separate"/>
      </w:r>
      <w:r w:rsidR="00B44DE2">
        <w:rPr>
          <w:noProof/>
        </w:rPr>
        <w:t>9</w:t>
      </w:r>
      <w:r>
        <w:fldChar w:fldCharType="end"/>
      </w:r>
      <w:bookmarkEnd w:id="65"/>
      <w:r>
        <w:t>: Study CR845-CLIN3102 Subjects with a 4 point or greater improvement from Baseline at Week 12 in worst itching intensity numerical rating scale score</w:t>
      </w:r>
      <w:r w:rsidR="00D12774">
        <w:t xml:space="preserve">, </w:t>
      </w:r>
      <w:r>
        <w:t xml:space="preserve">multiple imputation with missing at random assumption </w:t>
      </w:r>
      <w:r w:rsidR="00D12774">
        <w:t>(</w:t>
      </w:r>
      <w:r>
        <w:t>intention to treat population</w:t>
      </w:r>
      <w:r w:rsidR="00D12774">
        <w:t>)</w:t>
      </w:r>
    </w:p>
    <w:p w14:paraId="37DE44D6" w14:textId="7DEFA4BB" w:rsidR="000F7318" w:rsidRDefault="000F7318" w:rsidP="000F7318">
      <w:r w:rsidRPr="000F7318">
        <w:rPr>
          <w:noProof/>
        </w:rPr>
        <w:drawing>
          <wp:inline distT="0" distB="0" distL="0" distR="0" wp14:anchorId="2771D65F" wp14:editId="5A7C2AD5">
            <wp:extent cx="5683250" cy="1744345"/>
            <wp:effectExtent l="0" t="0" r="0" b="8255"/>
            <wp:docPr id="20" name="Picture 20" descr="Study CR845-CLIN3102 Subjects with a 4 point or greater improvement from Baseline at Week 12 in worst itching intensity numerical rating scale score,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CR845-CLIN3102 Subjects with a 4 point or greater improvement from Baseline at Week 12 in worst itching intensity numerical rating scale score, multiple imputation with missing at random assumption (intention to treat population)"/>
                    <pic:cNvPicPr/>
                  </pic:nvPicPr>
                  <pic:blipFill rotWithShape="1">
                    <a:blip r:embed="rId36"/>
                    <a:srcRect l="1323"/>
                    <a:stretch/>
                  </pic:blipFill>
                  <pic:spPr bwMode="auto">
                    <a:xfrm>
                      <a:off x="0" y="0"/>
                      <a:ext cx="5683250" cy="1744345"/>
                    </a:xfrm>
                    <a:prstGeom prst="rect">
                      <a:avLst/>
                    </a:prstGeom>
                    <a:ln>
                      <a:noFill/>
                    </a:ln>
                    <a:extLst>
                      <a:ext uri="{53640926-AAD7-44D8-BBD7-CCE9431645EC}">
                        <a14:shadowObscured xmlns:a14="http://schemas.microsoft.com/office/drawing/2010/main"/>
                      </a:ext>
                    </a:extLst>
                  </pic:spPr>
                </pic:pic>
              </a:graphicData>
            </a:graphic>
          </wp:inline>
        </w:drawing>
      </w:r>
    </w:p>
    <w:p w14:paraId="7736D1B5" w14:textId="229305A2" w:rsidR="000F7318" w:rsidRDefault="000F7318" w:rsidP="000F7318">
      <w:pPr>
        <w:pStyle w:val="TableDescription"/>
      </w:pPr>
      <w:r>
        <w:t>Abbreviations: CHW = Cui, Hung, Wang, CI = confidence interval, ITT = intention to treat, LH = Lawrence, Hung, LS</w:t>
      </w:r>
      <w:r w:rsidR="00D12774">
        <w:t> </w:t>
      </w:r>
      <w:r>
        <w:t>=</w:t>
      </w:r>
      <w:r w:rsidR="00D12774">
        <w:t> </w:t>
      </w:r>
      <w:r>
        <w:t>least squares, NRS = numerical rating scale.</w:t>
      </w:r>
    </w:p>
    <w:p w14:paraId="0D181307" w14:textId="77777777" w:rsidR="000F7318" w:rsidRDefault="000F7318" w:rsidP="000F7318">
      <w:pPr>
        <w:pStyle w:val="TableDescription"/>
      </w:pPr>
      <w:r>
        <w:t>[1] Counts and percentages were based on non-missing data.</w:t>
      </w:r>
    </w:p>
    <w:p w14:paraId="300ADC7E" w14:textId="65F76851" w:rsidR="000F7318" w:rsidRDefault="000F7318" w:rsidP="000F7318">
      <w:pPr>
        <w:pStyle w:val="TableDescription"/>
      </w:pPr>
      <w:r>
        <w:lastRenderedPageBreak/>
        <w:t>[2] Estimated percent, odds ratio, and P value use a logistic regression model with terms for treatment group, baseline worst itching intensity numerical rating scale score, use of anti-itch medication during the week prior to randomisation, and the presence of specific medical conditions. Missing values were imputed using multiple imputation under missing at random missing data assumption for interim subjects and post-interim subjects separately.</w:t>
      </w:r>
    </w:p>
    <w:p w14:paraId="6D8F8767" w14:textId="170DF706" w:rsidR="000F7318" w:rsidRDefault="000F7318" w:rsidP="000F7318">
      <w:pPr>
        <w:pStyle w:val="TableDescription"/>
      </w:pPr>
      <w:r>
        <w:t>Note: Combined analysis used the separate interim and post-interim results to generate an adjusted overall estimate and P value using the LH/CHW methodology.</w:t>
      </w:r>
    </w:p>
    <w:p w14:paraId="0DCA4CB7" w14:textId="62A7FA19" w:rsidR="000F7318" w:rsidRDefault="000F7318" w:rsidP="000F7318">
      <w:pPr>
        <w:spacing w:before="240"/>
      </w:pPr>
      <w:r w:rsidRPr="000F7318">
        <w:t>Analyses of the LS mean percentage of ITT subjects with a</w:t>
      </w:r>
      <w:r>
        <w:t xml:space="preserve"> </w:t>
      </w:r>
      <w:r w:rsidRPr="000F7318">
        <w:t>4</w:t>
      </w:r>
      <w:r>
        <w:t xml:space="preserve"> </w:t>
      </w:r>
      <w:r w:rsidRPr="000F7318">
        <w:t>point</w:t>
      </w:r>
      <w:r>
        <w:t xml:space="preserve"> or greater</w:t>
      </w:r>
      <w:r w:rsidRPr="000F7318">
        <w:t xml:space="preserve"> improvement from </w:t>
      </w:r>
      <w:r>
        <w:t>B</w:t>
      </w:r>
      <w:r w:rsidRPr="000F7318">
        <w:t xml:space="preserve">aseline in the WI-NRS score by study week, showed that a statistically significant treatment group difference favouring </w:t>
      </w:r>
      <w:r>
        <w:t>d</w:t>
      </w:r>
      <w:r w:rsidRPr="000F7318">
        <w:t>ifelikefalin was observed by Week 4 (P</w:t>
      </w:r>
      <w:r>
        <w:t> </w:t>
      </w:r>
      <w:r w:rsidRPr="000F7318">
        <w:t>=</w:t>
      </w:r>
      <w:r>
        <w:t> </w:t>
      </w:r>
      <w:r w:rsidRPr="000F7318">
        <w:t xml:space="preserve">0.003) and maintained throughout the remainder of the </w:t>
      </w:r>
      <w:proofErr w:type="gramStart"/>
      <w:r>
        <w:t>double blind</w:t>
      </w:r>
      <w:proofErr w:type="gramEnd"/>
      <w:r>
        <w:t xml:space="preserve"> t</w:t>
      </w:r>
      <w:r w:rsidRPr="000F7318">
        <w:t xml:space="preserve">reatment </w:t>
      </w:r>
      <w:r>
        <w:t>p</w:t>
      </w:r>
      <w:r w:rsidRPr="000F7318">
        <w:t xml:space="preserve">eriod. At Week 8, the LS mean percentage of subjects in the </w:t>
      </w:r>
      <w:r>
        <w:t>d</w:t>
      </w:r>
      <w:r w:rsidRPr="000F7318">
        <w:t>ifelikefalin group with a 4</w:t>
      </w:r>
      <w:r>
        <w:t xml:space="preserve"> </w:t>
      </w:r>
      <w:r w:rsidRPr="000F7318">
        <w:t>point</w:t>
      </w:r>
      <w:r>
        <w:t xml:space="preserve"> or greater</w:t>
      </w:r>
      <w:r w:rsidRPr="000F7318">
        <w:t xml:space="preserve"> improvement from </w:t>
      </w:r>
      <w:r>
        <w:t>B</w:t>
      </w:r>
      <w:r w:rsidRPr="000F7318">
        <w:t>aseline in WI-NRS score was 26.9% versus 14.9% for the placebo group (P</w:t>
      </w:r>
      <w:r>
        <w:t> </w:t>
      </w:r>
      <w:r w:rsidRPr="000F7318">
        <w:t>=</w:t>
      </w:r>
      <w:r>
        <w:t> </w:t>
      </w:r>
      <w:r w:rsidRPr="000F7318">
        <w:t>0.005), and at Week 4, the respective percentages were 16.4% versus 6.6% (P</w:t>
      </w:r>
      <w:r>
        <w:t> </w:t>
      </w:r>
      <w:r w:rsidRPr="000F7318">
        <w:t>=</w:t>
      </w:r>
      <w:r>
        <w:t> </w:t>
      </w:r>
      <w:r w:rsidRPr="000F7318">
        <w:t>0.003)</w:t>
      </w:r>
      <w:r>
        <w:t xml:space="preserve"> (see </w:t>
      </w:r>
      <w:r>
        <w:fldChar w:fldCharType="begin"/>
      </w:r>
      <w:r>
        <w:instrText xml:space="preserve"> REF _Ref140579094 \h </w:instrText>
      </w:r>
      <w:r>
        <w:fldChar w:fldCharType="separate"/>
      </w:r>
      <w:r w:rsidR="00B44DE2">
        <w:t xml:space="preserve">Figure </w:t>
      </w:r>
      <w:r w:rsidR="00B44DE2">
        <w:rPr>
          <w:noProof/>
        </w:rPr>
        <w:t>5</w:t>
      </w:r>
      <w:r>
        <w:fldChar w:fldCharType="end"/>
      </w:r>
      <w:r>
        <w:t>)</w:t>
      </w:r>
      <w:r w:rsidRPr="000F7318">
        <w:t>.</w:t>
      </w:r>
    </w:p>
    <w:p w14:paraId="309B6D47" w14:textId="742DE062" w:rsidR="000F7318" w:rsidRDefault="000F7318" w:rsidP="000F7318">
      <w:pPr>
        <w:pStyle w:val="FigureTitle"/>
      </w:pPr>
      <w:bookmarkStart w:id="66" w:name="_Ref140579094"/>
      <w:r>
        <w:t xml:space="preserve">Figure </w:t>
      </w:r>
      <w:r>
        <w:fldChar w:fldCharType="begin"/>
      </w:r>
      <w:r>
        <w:instrText>SEQ Figure \* ARABIC</w:instrText>
      </w:r>
      <w:r>
        <w:fldChar w:fldCharType="separate"/>
      </w:r>
      <w:r w:rsidR="00B44DE2">
        <w:rPr>
          <w:noProof/>
        </w:rPr>
        <w:t>5</w:t>
      </w:r>
      <w:r>
        <w:fldChar w:fldCharType="end"/>
      </w:r>
      <w:bookmarkEnd w:id="66"/>
      <w:r>
        <w:t>: Study CR845-CLIN3102 Percentage of subjects with a 4 point or greater improvement in worst itching intensity numerical rating scale score by week</w:t>
      </w:r>
      <w:r w:rsidR="00D12774">
        <w:t xml:space="preserve"> (</w:t>
      </w:r>
      <w:r>
        <w:t>multiple imputation with missing at random assumption in the intention to treat population</w:t>
      </w:r>
      <w:r w:rsidR="00D12774">
        <w:t>)</w:t>
      </w:r>
    </w:p>
    <w:p w14:paraId="7017EFF3" w14:textId="1B2EA0D0" w:rsidR="000F7318" w:rsidRDefault="000F7318" w:rsidP="000F7318">
      <w:r w:rsidRPr="000F7318">
        <w:rPr>
          <w:noProof/>
        </w:rPr>
        <w:drawing>
          <wp:inline distT="0" distB="0" distL="0" distR="0" wp14:anchorId="0DDB1F5F" wp14:editId="75305FC5">
            <wp:extent cx="5626100" cy="2734945"/>
            <wp:effectExtent l="0" t="0" r="0" b="8255"/>
            <wp:docPr id="21" name="Picture 21" descr="Study CR845-CLIN3102 Percentage of subjects with a 4 point or greater improvement in worst itching intensity numerical rating scale score by week (multiple imputation with missing at random assumption in th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CR845-CLIN3102 Percentage of subjects with a 4 point or greater improvement in worst itching intensity numerical rating scale score by week (multiple imputation with missing at random assumption in the intention to treat population)"/>
                    <pic:cNvPicPr/>
                  </pic:nvPicPr>
                  <pic:blipFill rotWithShape="1">
                    <a:blip r:embed="rId37"/>
                    <a:srcRect l="2315" t="2047"/>
                    <a:stretch/>
                  </pic:blipFill>
                  <pic:spPr bwMode="auto">
                    <a:xfrm>
                      <a:off x="0" y="0"/>
                      <a:ext cx="5626100" cy="2734945"/>
                    </a:xfrm>
                    <a:prstGeom prst="rect">
                      <a:avLst/>
                    </a:prstGeom>
                    <a:ln>
                      <a:noFill/>
                    </a:ln>
                    <a:extLst>
                      <a:ext uri="{53640926-AAD7-44D8-BBD7-CCE9431645EC}">
                        <a14:shadowObscured xmlns:a14="http://schemas.microsoft.com/office/drawing/2010/main"/>
                      </a:ext>
                    </a:extLst>
                  </pic:spPr>
                </pic:pic>
              </a:graphicData>
            </a:graphic>
          </wp:inline>
        </w:drawing>
      </w:r>
    </w:p>
    <w:p w14:paraId="75F0278C" w14:textId="3B0D6F83" w:rsidR="000F7318" w:rsidRDefault="000F7318" w:rsidP="000F7318">
      <w:pPr>
        <w:pStyle w:val="FigureDescription"/>
      </w:pPr>
      <w:r>
        <w:t>Abbreviations: CI = confidence interval, ITT= intention to treat, LS = least squares.</w:t>
      </w:r>
    </w:p>
    <w:p w14:paraId="1041B869" w14:textId="4DB40363" w:rsidR="000F7318" w:rsidRDefault="000F7318" w:rsidP="000F7318">
      <w:pPr>
        <w:pStyle w:val="FigureDescription"/>
      </w:pPr>
      <w:r>
        <w:t>Note: Estimated percentages and CIs used a logistic regression model with terms for treatment group, baseline worst itching intensity numerical rating scale score, use of anti-itch medication during the week prior to randomisation, and the presence of specific medical conditions. Missing values were imputed using multiple imputation under a missing at random missing data assumption for interim subjects and post-interim subjects separately.</w:t>
      </w:r>
    </w:p>
    <w:p w14:paraId="66DC1BF5" w14:textId="795EFE16" w:rsidR="000F7318" w:rsidRDefault="000F7318" w:rsidP="000F7318">
      <w:pPr>
        <w:pStyle w:val="FigureDescription"/>
      </w:pPr>
      <w:r>
        <w:t>Note. Combined analysis used the separate interim and post-interim results to generate an adjusted overall estimate and P value using the Lawrence, Hung/Cui, Hung, Wang methodology.</w:t>
      </w:r>
    </w:p>
    <w:p w14:paraId="4C467D70" w14:textId="3308D93F" w:rsidR="000F7318" w:rsidRPr="000F7318" w:rsidRDefault="000F7318" w:rsidP="000F7318">
      <w:pPr>
        <w:spacing w:before="240"/>
      </w:pPr>
      <w:r w:rsidRPr="000F7318">
        <w:t xml:space="preserve">Analyses of the change from </w:t>
      </w:r>
      <w:r>
        <w:t>B</w:t>
      </w:r>
      <w:r w:rsidRPr="000F7318">
        <w:t xml:space="preserve">aseline in total 5-D </w:t>
      </w:r>
      <w:r>
        <w:t>i</w:t>
      </w:r>
      <w:r w:rsidRPr="000F7318">
        <w:t xml:space="preserve">tch </w:t>
      </w:r>
      <w:r>
        <w:t>s</w:t>
      </w:r>
      <w:r w:rsidRPr="000F7318">
        <w:t xml:space="preserve">cale score at the end of Week 12 using ANCOVA, showed that there was a statistically significant reduction in total 5-D </w:t>
      </w:r>
      <w:r>
        <w:t>i</w:t>
      </w:r>
      <w:r w:rsidRPr="000F7318">
        <w:t xml:space="preserve">tch </w:t>
      </w:r>
      <w:r>
        <w:t>s</w:t>
      </w:r>
      <w:r w:rsidRPr="000F7318">
        <w:t xml:space="preserve">cale score at the end of Week 12 with </w:t>
      </w:r>
      <w:r>
        <w:t>d</w:t>
      </w:r>
      <w:r w:rsidRPr="000F7318">
        <w:t>ifelikefalin compared to placebo (-5 v</w:t>
      </w:r>
      <w:r>
        <w:t>ersus</w:t>
      </w:r>
      <w:r w:rsidRPr="000F7318">
        <w:t xml:space="preserve"> -3.7; LS mean treatment group difference of -1.3 </w:t>
      </w:r>
      <w:r>
        <w:t>(</w:t>
      </w:r>
      <w:r w:rsidRPr="000F7318">
        <w:t>95% CI: -2 to -0.5</w:t>
      </w:r>
      <w:r>
        <w:t>)</w:t>
      </w:r>
      <w:r w:rsidRPr="000F7318">
        <w:t>, P</w:t>
      </w:r>
      <w:r w:rsidR="00D12774">
        <w:t> </w:t>
      </w:r>
      <w:r w:rsidRPr="000F7318">
        <w:t>&lt;</w:t>
      </w:r>
      <w:r w:rsidR="00D12774">
        <w:t> </w:t>
      </w:r>
      <w:r w:rsidRPr="000F7318">
        <w:t xml:space="preserve">0.001) (see </w:t>
      </w:r>
      <w:r w:rsidRPr="000F7318">
        <w:fldChar w:fldCharType="begin"/>
      </w:r>
      <w:r w:rsidRPr="000F7318">
        <w:instrText xml:space="preserve"> REF _Ref140579506 \h </w:instrText>
      </w:r>
      <w:r>
        <w:instrText xml:space="preserve"> \* MERGEFORMAT </w:instrText>
      </w:r>
      <w:r w:rsidRPr="000F7318">
        <w:fldChar w:fldCharType="separate"/>
      </w:r>
      <w:r w:rsidR="00B44DE2">
        <w:t>Table 10</w:t>
      </w:r>
      <w:r w:rsidRPr="000F7318">
        <w:fldChar w:fldCharType="end"/>
      </w:r>
      <w:r w:rsidRPr="000F7318">
        <w:t>).</w:t>
      </w:r>
    </w:p>
    <w:p w14:paraId="3DF3EA08" w14:textId="266AD6BA" w:rsidR="000F7318" w:rsidRDefault="000F7318" w:rsidP="000F7318">
      <w:pPr>
        <w:pStyle w:val="TableTitle"/>
      </w:pPr>
      <w:bookmarkStart w:id="67" w:name="_Ref140579506"/>
      <w:r>
        <w:lastRenderedPageBreak/>
        <w:t xml:space="preserve">Table </w:t>
      </w:r>
      <w:r>
        <w:fldChar w:fldCharType="begin"/>
      </w:r>
      <w:r>
        <w:instrText>SEQ Table \* ARABIC</w:instrText>
      </w:r>
      <w:r>
        <w:fldChar w:fldCharType="separate"/>
      </w:r>
      <w:r w:rsidR="00B44DE2">
        <w:rPr>
          <w:noProof/>
        </w:rPr>
        <w:t>10</w:t>
      </w:r>
      <w:r>
        <w:fldChar w:fldCharType="end"/>
      </w:r>
      <w:bookmarkEnd w:id="67"/>
      <w:r>
        <w:t>: Study CR845-CLIN</w:t>
      </w:r>
      <w:proofErr w:type="gramStart"/>
      <w:r>
        <w:t xml:space="preserve">3102 </w:t>
      </w:r>
      <w:r w:rsidR="00FE0067">
        <w:t xml:space="preserve"> </w:t>
      </w:r>
      <w:bookmarkStart w:id="68" w:name="_Hlk146288219"/>
      <w:r w:rsidR="00FE0067">
        <w:t>A</w:t>
      </w:r>
      <w:r w:rsidR="00FE0067" w:rsidRPr="00FE0067">
        <w:t>nalysis</w:t>
      </w:r>
      <w:proofErr w:type="gramEnd"/>
      <w:r w:rsidR="00FE0067" w:rsidRPr="00FE0067">
        <w:t xml:space="preserve"> of covariance</w:t>
      </w:r>
      <w:r w:rsidR="00FE0067" w:rsidRPr="00FE0067" w:rsidDel="00FE0067">
        <w:t xml:space="preserve"> </w:t>
      </w:r>
      <w:bookmarkEnd w:id="68"/>
      <w:r>
        <w:t>of change from Baseline in total 5-D itch score at Week 12</w:t>
      </w:r>
      <w:r w:rsidR="00D12774">
        <w:t xml:space="preserve">, </w:t>
      </w:r>
      <w:r>
        <w:t xml:space="preserve">multiple imputation </w:t>
      </w:r>
      <w:r w:rsidR="00D12774">
        <w:t>(</w:t>
      </w:r>
      <w:r>
        <w:t>intention to treat population</w:t>
      </w:r>
      <w:r w:rsidR="00D12774">
        <w:t>)</w:t>
      </w:r>
    </w:p>
    <w:p w14:paraId="3ED0FFB5" w14:textId="719DD0ED" w:rsidR="000F7318" w:rsidRDefault="000F7318" w:rsidP="000F7318">
      <w:r>
        <w:rPr>
          <w:noProof/>
        </w:rPr>
        <w:drawing>
          <wp:inline distT="0" distB="0" distL="0" distR="0" wp14:anchorId="0E62EC43" wp14:editId="3AEC4F9A">
            <wp:extent cx="5759450" cy="1278890"/>
            <wp:effectExtent l="0" t="0" r="0" b="0"/>
            <wp:docPr id="23" name="Picture 23" descr="Study CR845-CLIN3102 ANCOVA analysis of change from Baseline in total 5-D itch score at Week 12, multiple imputa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CR845-CLIN3102 ANCOVA analysis of change from Baseline in total 5-D itch score at Week 12, multiple imputation (intention to treat population)"/>
                    <pic:cNvPicPr/>
                  </pic:nvPicPr>
                  <pic:blipFill>
                    <a:blip r:embed="rId38"/>
                    <a:stretch>
                      <a:fillRect/>
                    </a:stretch>
                  </pic:blipFill>
                  <pic:spPr>
                    <a:xfrm>
                      <a:off x="0" y="0"/>
                      <a:ext cx="5759450" cy="1278890"/>
                    </a:xfrm>
                    <a:prstGeom prst="rect">
                      <a:avLst/>
                    </a:prstGeom>
                  </pic:spPr>
                </pic:pic>
              </a:graphicData>
            </a:graphic>
          </wp:inline>
        </w:drawing>
      </w:r>
    </w:p>
    <w:p w14:paraId="60F958B0" w14:textId="0BF7CF6A" w:rsidR="000F7318" w:rsidRDefault="000F7318" w:rsidP="000F7318">
      <w:pPr>
        <w:pStyle w:val="TableDescription"/>
      </w:pPr>
      <w:r>
        <w:t>Abbreviations: ANCOVA = analysis of covariance, CI = confidence interval, ITT = intention to treat, LS = least squares, SE = standard error.</w:t>
      </w:r>
    </w:p>
    <w:p w14:paraId="4E64F774" w14:textId="569E3C2D" w:rsidR="000F7318" w:rsidRDefault="000F7318" w:rsidP="000F7318">
      <w:pPr>
        <w:pStyle w:val="TableDescription"/>
      </w:pPr>
      <w:r>
        <w:t>Note: LS means, SEs, and 95% CIs were based on ANCOVA with fixed effects for treatment, with baseline score and the randomisation stratification variables as covariates. Missing values were imputed using multiple imputation under missing-at-random missing data assumption.</w:t>
      </w:r>
    </w:p>
    <w:p w14:paraId="4DE09C9D" w14:textId="7488EA3E" w:rsidR="000F7318" w:rsidRPr="000F7318" w:rsidRDefault="000F7318" w:rsidP="000F7318">
      <w:pPr>
        <w:spacing w:before="240"/>
      </w:pPr>
      <w:r w:rsidRPr="000F7318">
        <w:t xml:space="preserve">Analyses of the change from </w:t>
      </w:r>
      <w:r>
        <w:t>B</w:t>
      </w:r>
      <w:r w:rsidRPr="000F7318">
        <w:t xml:space="preserve">aseline in total Skindex-10 </w:t>
      </w:r>
      <w:r>
        <w:t>s</w:t>
      </w:r>
      <w:r w:rsidRPr="000F7318">
        <w:t xml:space="preserve">cale score at the end of Week 12 using ANCOVA, showed that there was a statistically significant reduction in total Skindex-10 </w:t>
      </w:r>
      <w:r>
        <w:t>s</w:t>
      </w:r>
      <w:r w:rsidRPr="000F7318">
        <w:t xml:space="preserve">cale score at the end of Week 12 with </w:t>
      </w:r>
      <w:r>
        <w:t>d</w:t>
      </w:r>
      <w:r w:rsidRPr="000F7318">
        <w:t xml:space="preserve">ifelikefalin compared to placebo (-17.2 </w:t>
      </w:r>
      <w:r>
        <w:t>versus</w:t>
      </w:r>
      <w:r w:rsidRPr="000F7318">
        <w:t xml:space="preserve"> -12; LS mean treatment group difference of -5.1 </w:t>
      </w:r>
      <w:r>
        <w:t>(</w:t>
      </w:r>
      <w:r w:rsidRPr="000F7318">
        <w:t>95% CI: -8 to -2.3</w:t>
      </w:r>
      <w:r>
        <w:t>)</w:t>
      </w:r>
      <w:r w:rsidRPr="000F7318">
        <w:t>, P</w:t>
      </w:r>
      <w:r>
        <w:t> </w:t>
      </w:r>
      <w:r w:rsidRPr="000F7318">
        <w:t>&lt;</w:t>
      </w:r>
      <w:r>
        <w:t xml:space="preserve"> </w:t>
      </w:r>
      <w:r w:rsidRPr="000F7318">
        <w:t xml:space="preserve">0.001) (see </w:t>
      </w:r>
      <w:r w:rsidRPr="000F7318">
        <w:fldChar w:fldCharType="begin"/>
      </w:r>
      <w:r w:rsidRPr="000F7318">
        <w:instrText xml:space="preserve"> REF _Ref140579525 \h </w:instrText>
      </w:r>
      <w:r>
        <w:instrText xml:space="preserve"> \* MERGEFORMAT </w:instrText>
      </w:r>
      <w:r w:rsidRPr="000F7318">
        <w:fldChar w:fldCharType="separate"/>
      </w:r>
      <w:r w:rsidR="00B44DE2">
        <w:t>Table 11</w:t>
      </w:r>
      <w:r w:rsidRPr="000F7318">
        <w:fldChar w:fldCharType="end"/>
      </w:r>
      <w:r w:rsidRPr="000F7318">
        <w:t>).</w:t>
      </w:r>
    </w:p>
    <w:p w14:paraId="0B9A09E7" w14:textId="594EB94F" w:rsidR="000F7318" w:rsidRDefault="000F7318" w:rsidP="000F7318">
      <w:pPr>
        <w:pStyle w:val="TableTitle"/>
      </w:pPr>
      <w:bookmarkStart w:id="69" w:name="_Ref140579525"/>
      <w:r>
        <w:t xml:space="preserve">Table </w:t>
      </w:r>
      <w:r>
        <w:fldChar w:fldCharType="begin"/>
      </w:r>
      <w:r>
        <w:instrText>SEQ Table \* ARABIC</w:instrText>
      </w:r>
      <w:r>
        <w:fldChar w:fldCharType="separate"/>
      </w:r>
      <w:r w:rsidR="00B44DE2">
        <w:rPr>
          <w:noProof/>
        </w:rPr>
        <w:t>11</w:t>
      </w:r>
      <w:r>
        <w:fldChar w:fldCharType="end"/>
      </w:r>
      <w:bookmarkEnd w:id="69"/>
      <w:r>
        <w:t>: Study CR845-CLIN3102</w:t>
      </w:r>
      <w:r w:rsidRPr="000F7318">
        <w:t xml:space="preserve"> </w:t>
      </w:r>
      <w:r w:rsidR="00FE0067" w:rsidRPr="00FE0067">
        <w:t xml:space="preserve">Analysis of covariance </w:t>
      </w:r>
      <w:r>
        <w:t>of change from Baseline in total Skindex-10 scale at Week 12</w:t>
      </w:r>
      <w:r w:rsidR="00D12774">
        <w:t>,</w:t>
      </w:r>
      <w:r>
        <w:t xml:space="preserve"> multiple imputation</w:t>
      </w:r>
      <w:r w:rsidR="00D12774">
        <w:t xml:space="preserve"> (</w:t>
      </w:r>
      <w:r>
        <w:t>intention to treat population</w:t>
      </w:r>
      <w:r w:rsidR="00D12774">
        <w:t>)</w:t>
      </w:r>
    </w:p>
    <w:p w14:paraId="2AB1566B" w14:textId="77777777" w:rsidR="000F7318" w:rsidRDefault="000F7318" w:rsidP="000F7318">
      <w:r>
        <w:rPr>
          <w:noProof/>
        </w:rPr>
        <w:drawing>
          <wp:inline distT="0" distB="0" distL="0" distR="0" wp14:anchorId="4500F2B5" wp14:editId="3839CCC8">
            <wp:extent cx="5759450" cy="1200150"/>
            <wp:effectExtent l="0" t="0" r="0" b="0"/>
            <wp:docPr id="24" name="Picture 24" descr="Study CR845-CLIN3102 ANCOVA analysis of change from Baseline in total Skindex-10 scale at Week 12, multiple imputa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CR845-CLIN3102 ANCOVA analysis of change from Baseline in total Skindex-10 scale at Week 12, multiple imputation (intention to treat population)"/>
                    <pic:cNvPicPr/>
                  </pic:nvPicPr>
                  <pic:blipFill rotWithShape="1">
                    <a:blip r:embed="rId39"/>
                    <a:srcRect b="2224"/>
                    <a:stretch/>
                  </pic:blipFill>
                  <pic:spPr bwMode="auto">
                    <a:xfrm>
                      <a:off x="0" y="0"/>
                      <a:ext cx="5759450" cy="1200150"/>
                    </a:xfrm>
                    <a:prstGeom prst="rect">
                      <a:avLst/>
                    </a:prstGeom>
                    <a:ln>
                      <a:noFill/>
                    </a:ln>
                    <a:extLst>
                      <a:ext uri="{53640926-AAD7-44D8-BBD7-CCE9431645EC}">
                        <a14:shadowObscured xmlns:a14="http://schemas.microsoft.com/office/drawing/2010/main"/>
                      </a:ext>
                    </a:extLst>
                  </pic:spPr>
                </pic:pic>
              </a:graphicData>
            </a:graphic>
          </wp:inline>
        </w:drawing>
      </w:r>
    </w:p>
    <w:p w14:paraId="39C959EA" w14:textId="1C86DAE5" w:rsidR="000F7318" w:rsidRPr="000F7318" w:rsidRDefault="000F7318" w:rsidP="000F7318">
      <w:pPr>
        <w:pStyle w:val="TableDescription"/>
      </w:pPr>
      <w:r w:rsidRPr="000F7318">
        <w:t>Abbreviations: ANCOVA = analysis of covariance, CI = confidence interval, LS = least squares, SE = standard error, ITT</w:t>
      </w:r>
      <w:r w:rsidR="00D12774">
        <w:t> </w:t>
      </w:r>
      <w:r w:rsidRPr="000F7318">
        <w:t>= intention to treat.</w:t>
      </w:r>
    </w:p>
    <w:p w14:paraId="5976640D" w14:textId="3272A05B" w:rsidR="000F7318" w:rsidRDefault="000F7318" w:rsidP="000F7318">
      <w:pPr>
        <w:pStyle w:val="TableDescription"/>
      </w:pPr>
      <w:r w:rsidRPr="000F7318">
        <w:t>Note: LS means, SEs, and 95% CIs were based on ANCOVA with fixed effects for treatment, with baseline score</w:t>
      </w:r>
      <w:r>
        <w:t xml:space="preserve"> </w:t>
      </w:r>
      <w:r w:rsidRPr="000F7318">
        <w:t>and the randomi</w:t>
      </w:r>
      <w:r>
        <w:t>s</w:t>
      </w:r>
      <w:r w:rsidRPr="000F7318">
        <w:t>ation stratification variables as covariates. Missing values were imputed using multiple</w:t>
      </w:r>
      <w:r>
        <w:t xml:space="preserve"> </w:t>
      </w:r>
      <w:r w:rsidRPr="000F7318">
        <w:t>imputation under missing</w:t>
      </w:r>
      <w:r>
        <w:t xml:space="preserve"> </w:t>
      </w:r>
      <w:r w:rsidRPr="000F7318">
        <w:t>at</w:t>
      </w:r>
      <w:r>
        <w:t xml:space="preserve"> </w:t>
      </w:r>
      <w:r w:rsidRPr="000F7318">
        <w:t>random missing data assumption.</w:t>
      </w:r>
    </w:p>
    <w:p w14:paraId="727E9075" w14:textId="355E8E29" w:rsidR="000F7318" w:rsidRDefault="000F7318" w:rsidP="000F7318">
      <w:pPr>
        <w:pStyle w:val="Heading6"/>
      </w:pPr>
      <w:r>
        <w:t>Study CR845-CLIN3103</w:t>
      </w:r>
    </w:p>
    <w:p w14:paraId="07809CD4" w14:textId="0D441CA2" w:rsidR="000F7318" w:rsidRDefault="000F7318" w:rsidP="000F7318">
      <w:r>
        <w:t xml:space="preserve">Study CR845-CLIN3103 is a Phase III, multicentre, double blind, randomised, </w:t>
      </w:r>
      <w:proofErr w:type="gramStart"/>
      <w:r>
        <w:t>placebo controlled</w:t>
      </w:r>
      <w:proofErr w:type="gramEnd"/>
      <w:r>
        <w:t xml:space="preserve"> study to evaluate the safety and efficacy of intravenous difelikefalin in haemodialysis patients, with moderate to severe pruritus. The study also has an open label extension phase.</w:t>
      </w:r>
    </w:p>
    <w:p w14:paraId="090B3D42" w14:textId="1915F438" w:rsidR="0084188E" w:rsidRDefault="0084188E" w:rsidP="00E81FD4">
      <w:pPr>
        <w:pStyle w:val="Heading7"/>
      </w:pPr>
      <w:r>
        <w:t>Study design</w:t>
      </w:r>
    </w:p>
    <w:p w14:paraId="39E41E84" w14:textId="14EC82AC" w:rsidR="002C0DB2" w:rsidRDefault="002C0DB2" w:rsidP="002C0DB2">
      <w:r>
        <w:t xml:space="preserve">The study design consists of three periods (see </w:t>
      </w:r>
      <w:r>
        <w:fldChar w:fldCharType="begin"/>
      </w:r>
      <w:r>
        <w:instrText xml:space="preserve"> REF _Ref140753644 \h </w:instrText>
      </w:r>
      <w:r>
        <w:fldChar w:fldCharType="separate"/>
      </w:r>
      <w:r w:rsidR="00B44DE2">
        <w:t xml:space="preserve">Figure </w:t>
      </w:r>
      <w:r w:rsidR="00B44DE2">
        <w:rPr>
          <w:noProof/>
        </w:rPr>
        <w:t>6</w:t>
      </w:r>
      <w:r>
        <w:fldChar w:fldCharType="end"/>
      </w:r>
      <w:r>
        <w:t>):</w:t>
      </w:r>
    </w:p>
    <w:p w14:paraId="2266D172" w14:textId="7B0C093B" w:rsidR="002C0DB2" w:rsidRDefault="007D473D" w:rsidP="002C0DB2">
      <w:pPr>
        <w:pStyle w:val="ListBullet"/>
      </w:pPr>
      <w:r>
        <w:t>s</w:t>
      </w:r>
      <w:r w:rsidR="002C0DB2">
        <w:t>creening visit</w:t>
      </w:r>
    </w:p>
    <w:p w14:paraId="723AF189" w14:textId="0C43F6A3" w:rsidR="002C0DB2" w:rsidRDefault="007D473D" w:rsidP="002C0DB2">
      <w:pPr>
        <w:pStyle w:val="ListBullet"/>
      </w:pPr>
      <w:proofErr w:type="gramStart"/>
      <w:r>
        <w:t>s</w:t>
      </w:r>
      <w:r w:rsidR="002C0DB2">
        <w:t>even day</w:t>
      </w:r>
      <w:proofErr w:type="gramEnd"/>
      <w:r w:rsidR="002C0DB2">
        <w:t xml:space="preserve"> run</w:t>
      </w:r>
      <w:r w:rsidR="00E81FD4">
        <w:t>-</w:t>
      </w:r>
      <w:r w:rsidR="002C0DB2">
        <w:t>in period</w:t>
      </w:r>
    </w:p>
    <w:p w14:paraId="1AF27579" w14:textId="20DCFCEC" w:rsidR="002C0DB2" w:rsidRDefault="007D473D" w:rsidP="002C0DB2">
      <w:pPr>
        <w:pStyle w:val="ListBullet"/>
      </w:pPr>
      <w:proofErr w:type="gramStart"/>
      <w:r>
        <w:t>t</w:t>
      </w:r>
      <w:r w:rsidR="002C0DB2">
        <w:t>welve week</w:t>
      </w:r>
      <w:proofErr w:type="gramEnd"/>
      <w:r w:rsidR="002C0DB2">
        <w:t xml:space="preserve"> double blind treatment period</w:t>
      </w:r>
      <w:r>
        <w:t>.</w:t>
      </w:r>
    </w:p>
    <w:p w14:paraId="3E5DFA63" w14:textId="440208A6" w:rsidR="002C0DB2" w:rsidRDefault="002C0DB2" w:rsidP="002C0DB2">
      <w:r w:rsidRPr="002C0DB2">
        <w:t xml:space="preserve">Subjects who had received at least 30 doses of study drug (either </w:t>
      </w:r>
      <w:r>
        <w:t>d</w:t>
      </w:r>
      <w:r w:rsidRPr="002C0DB2">
        <w:t xml:space="preserve">ifelikefalin or placebo) during the </w:t>
      </w:r>
      <w:proofErr w:type="gramStart"/>
      <w:r w:rsidRPr="002C0DB2">
        <w:t>12</w:t>
      </w:r>
      <w:r>
        <w:t xml:space="preserve"> </w:t>
      </w:r>
      <w:r w:rsidRPr="002C0DB2">
        <w:t>week</w:t>
      </w:r>
      <w:proofErr w:type="gramEnd"/>
      <w:r w:rsidRPr="002C0DB2">
        <w:t xml:space="preserve"> </w:t>
      </w:r>
      <w:r>
        <w:t>double blind t</w:t>
      </w:r>
      <w:r w:rsidRPr="002C0DB2">
        <w:t xml:space="preserve">reatment </w:t>
      </w:r>
      <w:r>
        <w:t>p</w:t>
      </w:r>
      <w:r w:rsidRPr="002C0DB2">
        <w:t>eriod, had the option to receive open</w:t>
      </w:r>
      <w:r>
        <w:t xml:space="preserve"> </w:t>
      </w:r>
      <w:r w:rsidRPr="002C0DB2">
        <w:t xml:space="preserve">label </w:t>
      </w:r>
      <w:r>
        <w:t>d</w:t>
      </w:r>
      <w:r w:rsidRPr="002C0DB2">
        <w:t xml:space="preserve">ifelikefalin for up to an additional 52 weeks in the </w:t>
      </w:r>
      <w:r>
        <w:t>open label extension p</w:t>
      </w:r>
      <w:r w:rsidRPr="002C0DB2">
        <w:t>hase.</w:t>
      </w:r>
    </w:p>
    <w:p w14:paraId="1D129E7A" w14:textId="2211784C" w:rsidR="002C0DB2" w:rsidRDefault="002C0DB2" w:rsidP="002C0DB2">
      <w:pPr>
        <w:pStyle w:val="FigureTitle"/>
      </w:pPr>
      <w:bookmarkStart w:id="70" w:name="_Ref140753644"/>
      <w:r>
        <w:lastRenderedPageBreak/>
        <w:t xml:space="preserve">Figure </w:t>
      </w:r>
      <w:r>
        <w:fldChar w:fldCharType="begin"/>
      </w:r>
      <w:r>
        <w:instrText>SEQ Figure \* ARABIC</w:instrText>
      </w:r>
      <w:r>
        <w:fldChar w:fldCharType="separate"/>
      </w:r>
      <w:r w:rsidR="00B44DE2">
        <w:rPr>
          <w:noProof/>
        </w:rPr>
        <w:t>6</w:t>
      </w:r>
      <w:r>
        <w:fldChar w:fldCharType="end"/>
      </w:r>
      <w:bookmarkEnd w:id="70"/>
      <w:r>
        <w:t xml:space="preserve">: </w:t>
      </w:r>
      <w:r w:rsidRPr="002C0DB2">
        <w:t>Study CR845-CLIN310</w:t>
      </w:r>
      <w:r>
        <w:t>3</w:t>
      </w:r>
      <w:r w:rsidRPr="002C0DB2">
        <w:t xml:space="preserve"> </w:t>
      </w:r>
      <w:r w:rsidR="00FE0067">
        <w:t>S</w:t>
      </w:r>
      <w:r w:rsidRPr="002C0DB2">
        <w:t>tudy design</w:t>
      </w:r>
    </w:p>
    <w:p w14:paraId="4A5E76BF" w14:textId="16041601" w:rsidR="002C0DB2" w:rsidRDefault="002C0DB2" w:rsidP="002C0DB2">
      <w:r>
        <w:rPr>
          <w:noProof/>
        </w:rPr>
        <w:drawing>
          <wp:inline distT="0" distB="0" distL="0" distR="0" wp14:anchorId="3B1B3B82" wp14:editId="43D2E056">
            <wp:extent cx="5514975" cy="2152650"/>
            <wp:effectExtent l="0" t="0" r="9525" b="0"/>
            <wp:docPr id="5" name="Picture 5" descr="Study CR845-CLIN3103 design consists of three periods including a screening period, a seven day run in period and a twelve week double blind treatment period. Eligible subjects could also participate in an additional open label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CR845-CLIN3103 design consists of three periods including a screening period, a seven day run in period and a twelve week double blind treatment period. Eligible subjects could also participate in an additional open label extension phase."/>
                    <pic:cNvPicPr/>
                  </pic:nvPicPr>
                  <pic:blipFill rotWithShape="1">
                    <a:blip r:embed="rId40"/>
                    <a:srcRect l="2150" t="3655" r="2095" b="4574"/>
                    <a:stretch/>
                  </pic:blipFill>
                  <pic:spPr bwMode="auto">
                    <a:xfrm>
                      <a:off x="0" y="0"/>
                      <a:ext cx="5514975" cy="2152650"/>
                    </a:xfrm>
                    <a:prstGeom prst="rect">
                      <a:avLst/>
                    </a:prstGeom>
                    <a:ln>
                      <a:noFill/>
                    </a:ln>
                    <a:extLst>
                      <a:ext uri="{53640926-AAD7-44D8-BBD7-CCE9431645EC}">
                        <a14:shadowObscured xmlns:a14="http://schemas.microsoft.com/office/drawing/2010/main"/>
                      </a:ext>
                    </a:extLst>
                  </pic:spPr>
                </pic:pic>
              </a:graphicData>
            </a:graphic>
          </wp:inline>
        </w:drawing>
      </w:r>
    </w:p>
    <w:p w14:paraId="565044CC" w14:textId="0BF51DFC" w:rsidR="000F7318" w:rsidRDefault="002C0DB2" w:rsidP="002C0DB2">
      <w:pPr>
        <w:pStyle w:val="Heading7"/>
      </w:pPr>
      <w:r>
        <w:t>Study objectives</w:t>
      </w:r>
    </w:p>
    <w:p w14:paraId="558BFEBF" w14:textId="007C8CFC" w:rsidR="009E48F8" w:rsidRDefault="009E48F8" w:rsidP="009E48F8">
      <w:r w:rsidRPr="009E48F8">
        <w:t xml:space="preserve">Assessment of </w:t>
      </w:r>
      <w:r>
        <w:t>d</w:t>
      </w:r>
      <w:r w:rsidRPr="009E48F8">
        <w:t>ifelikefalin at a dose of 0.5</w:t>
      </w:r>
      <w:r>
        <w:t> </w:t>
      </w:r>
      <w:r w:rsidR="00A33AB5">
        <w:t>µ</w:t>
      </w:r>
      <w:r>
        <w:t>g</w:t>
      </w:r>
      <w:r w:rsidRPr="009E48F8">
        <w:t>/kg compared with placebo, in subjects undergoing haemodialysis and experiencing moderate</w:t>
      </w:r>
      <w:r>
        <w:t xml:space="preserve"> </w:t>
      </w:r>
      <w:r w:rsidRPr="009E48F8">
        <w:t>to</w:t>
      </w:r>
      <w:r>
        <w:t xml:space="preserve"> </w:t>
      </w:r>
      <w:r w:rsidRPr="009E48F8">
        <w:t>severe pruritus</w:t>
      </w:r>
      <w:r>
        <w:t>.</w:t>
      </w:r>
    </w:p>
    <w:p w14:paraId="4037B5ED" w14:textId="4D013BAB" w:rsidR="009E48F8" w:rsidRDefault="009E48F8" w:rsidP="009E48F8">
      <w:r>
        <w:t>The primary objective was to evaluate efficacy in reducing the intensity of itch.</w:t>
      </w:r>
    </w:p>
    <w:p w14:paraId="435AEAAF" w14:textId="0CD6A023" w:rsidR="009E48F8" w:rsidRDefault="009E48F8" w:rsidP="009E48F8">
      <w:r>
        <w:t>The secondary objectives were to evaluate the efficacy in improving itch related quality of life measures and safety of difelikefalin.</w:t>
      </w:r>
    </w:p>
    <w:p w14:paraId="20CA2993" w14:textId="719EBB3C" w:rsidR="009E48F8" w:rsidRDefault="009E48F8" w:rsidP="009E48F8">
      <w:pPr>
        <w:pStyle w:val="Heading7"/>
      </w:pPr>
      <w:r>
        <w:t>Inclusion criteria</w:t>
      </w:r>
    </w:p>
    <w:p w14:paraId="0B38A0C5" w14:textId="3FF42AA2" w:rsidR="002C0DB2" w:rsidRDefault="009E48F8" w:rsidP="002C0DB2">
      <w:r>
        <w:t xml:space="preserve">The inclusion criteria were as per Study CR845-CLIN3102 (see </w:t>
      </w:r>
      <w:r>
        <w:fldChar w:fldCharType="begin"/>
      </w:r>
      <w:r>
        <w:instrText xml:space="preserve"> REF _Ref140827639 \h </w:instrText>
      </w:r>
      <w:r>
        <w:fldChar w:fldCharType="separate"/>
      </w:r>
      <w:r w:rsidR="00B44DE2">
        <w:t>Inclusion criteria</w:t>
      </w:r>
      <w:r>
        <w:fldChar w:fldCharType="end"/>
      </w:r>
      <w:r>
        <w:t xml:space="preserve">) </w:t>
      </w:r>
      <w:r w:rsidRPr="009E48F8">
        <w:t xml:space="preserve">except for the statement </w:t>
      </w:r>
      <w:r>
        <w:t>‘p</w:t>
      </w:r>
      <w:r w:rsidRPr="009E48F8">
        <w:t xml:space="preserve">rior to randomisation, subjects had to have completed at least </w:t>
      </w:r>
      <w:r>
        <w:t>four</w:t>
      </w:r>
      <w:r w:rsidRPr="009E48F8">
        <w:t xml:space="preserve"> WI-NRS worksheets during the </w:t>
      </w:r>
      <w:r>
        <w:t>r</w:t>
      </w:r>
      <w:r w:rsidRPr="009E48F8">
        <w:t>un</w:t>
      </w:r>
      <w:r w:rsidR="00E81FD4">
        <w:t>-</w:t>
      </w:r>
      <w:r w:rsidRPr="009E48F8">
        <w:t xml:space="preserve">in </w:t>
      </w:r>
      <w:r>
        <w:t>p</w:t>
      </w:r>
      <w:r w:rsidRPr="009E48F8">
        <w:t>eriod and have a mean baseline WI-NRS score 5</w:t>
      </w:r>
      <w:r>
        <w:t xml:space="preserve"> or greater’</w:t>
      </w:r>
      <w:r w:rsidRPr="009E48F8">
        <w:t>. In Study CR845-CLIN3102, the mean baseline WI-NRS score 4</w:t>
      </w:r>
      <w:r>
        <w:t xml:space="preserve"> or greater</w:t>
      </w:r>
      <w:r w:rsidRPr="009E48F8">
        <w:t>.</w:t>
      </w:r>
    </w:p>
    <w:p w14:paraId="70292E6B" w14:textId="5F8880FC" w:rsidR="009E48F8" w:rsidRDefault="009E48F8" w:rsidP="009E48F8">
      <w:r>
        <w:t>The clinical evaluation concluded the inclusion and exclusion criteria were appropriate. Overall, the study aimed to recruit adult ESRD patients on haemodialysis with mean baseline WI-NRS score 5 or greater.</w:t>
      </w:r>
    </w:p>
    <w:p w14:paraId="4189E52F" w14:textId="12C92FBF" w:rsidR="009E48F8" w:rsidRDefault="009E48F8" w:rsidP="009E48F8">
      <w:r>
        <w:t>The Delegate noted the above change in the inclusion criteria would suggest that patients in Study CR845-CLIN3102 experienced more itch at Baseline than those in Study CR845-CLIN3103.</w:t>
      </w:r>
    </w:p>
    <w:p w14:paraId="35170C0C" w14:textId="77777777" w:rsidR="009E48F8" w:rsidRDefault="009E48F8" w:rsidP="009E48F8">
      <w:pPr>
        <w:pStyle w:val="Heading7"/>
      </w:pPr>
      <w:r>
        <w:t>Study treatments</w:t>
      </w:r>
    </w:p>
    <w:p w14:paraId="6A2529A4" w14:textId="082CC543" w:rsidR="009E48F8" w:rsidRDefault="009E48F8" w:rsidP="009E48F8">
      <w:r>
        <w:t xml:space="preserve">As per Study CR845-CLIN3102 above (see </w:t>
      </w:r>
      <w:r>
        <w:fldChar w:fldCharType="begin"/>
      </w:r>
      <w:r>
        <w:instrText xml:space="preserve"> REF _Ref140828070 \h </w:instrText>
      </w:r>
      <w:r>
        <w:fldChar w:fldCharType="separate"/>
      </w:r>
      <w:r w:rsidR="00B44DE2">
        <w:t>Study treatments</w:t>
      </w:r>
      <w:r>
        <w:fldChar w:fldCharType="end"/>
      </w:r>
      <w:r>
        <w:t>).</w:t>
      </w:r>
    </w:p>
    <w:p w14:paraId="412AA548" w14:textId="77777777" w:rsidR="009E48F8" w:rsidRDefault="009E48F8" w:rsidP="009E48F8">
      <w:pPr>
        <w:pStyle w:val="Heading7"/>
      </w:pPr>
      <w:r>
        <w:t>Randomisation and blinding methods</w:t>
      </w:r>
    </w:p>
    <w:p w14:paraId="4B3970F4" w14:textId="3B56FD89" w:rsidR="009E48F8" w:rsidRDefault="009E48F8" w:rsidP="009E48F8">
      <w:r>
        <w:t xml:space="preserve">As per Study CR845-CLIN3102 above (see </w:t>
      </w:r>
      <w:r>
        <w:fldChar w:fldCharType="begin"/>
      </w:r>
      <w:r>
        <w:instrText xml:space="preserve"> REF _Ref140828080 \h </w:instrText>
      </w:r>
      <w:r>
        <w:fldChar w:fldCharType="separate"/>
      </w:r>
      <w:r w:rsidR="00B44DE2" w:rsidRPr="006C03D1">
        <w:t>Randomisation and blinding methods</w:t>
      </w:r>
      <w:r>
        <w:fldChar w:fldCharType="end"/>
      </w:r>
      <w:r>
        <w:t>).</w:t>
      </w:r>
    </w:p>
    <w:p w14:paraId="0E4F8004" w14:textId="51BEB8E2" w:rsidR="0084188E" w:rsidRDefault="0084188E" w:rsidP="009E48F8">
      <w:pPr>
        <w:pStyle w:val="Heading7"/>
      </w:pPr>
      <w:r>
        <w:t>Efficacy parameters/endpoints</w:t>
      </w:r>
    </w:p>
    <w:p w14:paraId="70BB5EE2" w14:textId="46784081" w:rsidR="009E48F8" w:rsidRDefault="009E48F8" w:rsidP="00E81FD4">
      <w:pPr>
        <w:pStyle w:val="Heading8"/>
      </w:pPr>
      <w:r>
        <w:t>Primary efficacy parameters/endpoints</w:t>
      </w:r>
    </w:p>
    <w:p w14:paraId="4FF2EAEC" w14:textId="5945375C" w:rsidR="009E48F8" w:rsidRDefault="009E48F8" w:rsidP="009E48F8">
      <w:r>
        <w:t>T</w:t>
      </w:r>
      <w:r w:rsidRPr="009E48F8">
        <w:t>he proportion of subjects achieving a 3</w:t>
      </w:r>
      <w:r>
        <w:t xml:space="preserve"> </w:t>
      </w:r>
      <w:r w:rsidRPr="009E48F8">
        <w:t>point</w:t>
      </w:r>
      <w:r>
        <w:t xml:space="preserve"> or greater</w:t>
      </w:r>
      <w:r w:rsidRPr="009E48F8">
        <w:t xml:space="preserve"> improvement from </w:t>
      </w:r>
      <w:r>
        <w:t>B</w:t>
      </w:r>
      <w:r w:rsidRPr="009E48F8">
        <w:t xml:space="preserve">aseline with respect to the weekly mean of the daily </w:t>
      </w:r>
      <w:proofErr w:type="gramStart"/>
      <w:r w:rsidRPr="009E48F8">
        <w:t>24</w:t>
      </w:r>
      <w:r>
        <w:t xml:space="preserve"> </w:t>
      </w:r>
      <w:r w:rsidRPr="009E48F8">
        <w:t>hour</w:t>
      </w:r>
      <w:proofErr w:type="gramEnd"/>
      <w:r w:rsidRPr="009E48F8">
        <w:t xml:space="preserve"> WI-NRS score at Week 12 of the </w:t>
      </w:r>
      <w:r>
        <w:t>double blind t</w:t>
      </w:r>
      <w:r w:rsidRPr="009E48F8">
        <w:t xml:space="preserve">reatment </w:t>
      </w:r>
      <w:r>
        <w:t>p</w:t>
      </w:r>
      <w:r w:rsidRPr="009E48F8">
        <w:t>eriod.</w:t>
      </w:r>
    </w:p>
    <w:p w14:paraId="4F699831" w14:textId="53D053D6" w:rsidR="009E48F8" w:rsidRDefault="009E48F8" w:rsidP="00E81FD4">
      <w:pPr>
        <w:pStyle w:val="Heading8"/>
      </w:pPr>
      <w:r>
        <w:t>Key secondary efficacy parameters/endpoints</w:t>
      </w:r>
    </w:p>
    <w:p w14:paraId="714E1D80" w14:textId="38962557" w:rsidR="009E48F8" w:rsidRPr="009E48F8" w:rsidRDefault="009E48F8" w:rsidP="009E48F8">
      <w:r w:rsidRPr="009E48F8">
        <w:t>The proportion of subjects achieving a:</w:t>
      </w:r>
    </w:p>
    <w:p w14:paraId="7969D603" w14:textId="1EA6FB85" w:rsidR="009E48F8" w:rsidRPr="009E48F8" w:rsidRDefault="009E48F8" w:rsidP="009E48F8">
      <w:pPr>
        <w:pStyle w:val="ListBullet"/>
      </w:pPr>
      <w:r w:rsidRPr="009E48F8">
        <w:t xml:space="preserve">Greater than or equal to </w:t>
      </w:r>
      <w:proofErr w:type="gramStart"/>
      <w:r w:rsidRPr="009E48F8">
        <w:t>4 point</w:t>
      </w:r>
      <w:proofErr w:type="gramEnd"/>
      <w:r w:rsidRPr="009E48F8">
        <w:t xml:space="preserve"> improvement from Baseline with respect to the weekly mean of the daily 24 hour WI-NRS score at Week 12 of the double blind treatment period.</w:t>
      </w:r>
    </w:p>
    <w:p w14:paraId="1EBD2297" w14:textId="70317B2E" w:rsidR="009E48F8" w:rsidRPr="009E48F8" w:rsidRDefault="009E48F8" w:rsidP="009E4B11">
      <w:pPr>
        <w:pStyle w:val="ListBullet"/>
      </w:pPr>
      <w:r>
        <w:t xml:space="preserve">Greater than or equal to </w:t>
      </w:r>
      <w:proofErr w:type="gramStart"/>
      <w:r>
        <w:t xml:space="preserve">3 </w:t>
      </w:r>
      <w:r w:rsidRPr="009E48F8">
        <w:t>point</w:t>
      </w:r>
      <w:proofErr w:type="gramEnd"/>
      <w:r w:rsidRPr="009E48F8">
        <w:t xml:space="preserve"> improvement from </w:t>
      </w:r>
      <w:r>
        <w:t>B</w:t>
      </w:r>
      <w:r w:rsidRPr="009E48F8">
        <w:t>aseline with respect to</w:t>
      </w:r>
      <w:r>
        <w:t xml:space="preserve"> </w:t>
      </w:r>
      <w:r w:rsidRPr="009E48F8">
        <w:t>the weekly mean of the daily 24</w:t>
      </w:r>
      <w:r>
        <w:t xml:space="preserve"> </w:t>
      </w:r>
      <w:r w:rsidRPr="009E48F8">
        <w:t>hour WI-NRS score at</w:t>
      </w:r>
      <w:r>
        <w:t xml:space="preserve"> </w:t>
      </w:r>
      <w:r w:rsidRPr="009E48F8">
        <w:t xml:space="preserve">Week 8 of the </w:t>
      </w:r>
      <w:r>
        <w:t>double blind t</w:t>
      </w:r>
      <w:r w:rsidRPr="009E48F8">
        <w:t xml:space="preserve">reatment </w:t>
      </w:r>
      <w:r>
        <w:t>p</w:t>
      </w:r>
      <w:r w:rsidRPr="009E48F8">
        <w:t>eriod.</w:t>
      </w:r>
    </w:p>
    <w:p w14:paraId="32872FC9" w14:textId="61ECD4EA" w:rsidR="009E48F8" w:rsidRPr="009E48F8" w:rsidRDefault="009E48F8" w:rsidP="009E4B11">
      <w:pPr>
        <w:pStyle w:val="ListBullet"/>
      </w:pPr>
      <w:r>
        <w:lastRenderedPageBreak/>
        <w:t xml:space="preserve">Greater than or equal to </w:t>
      </w:r>
      <w:proofErr w:type="gramStart"/>
      <w:r w:rsidRPr="009E48F8">
        <w:t>3</w:t>
      </w:r>
      <w:r>
        <w:t xml:space="preserve"> </w:t>
      </w:r>
      <w:r w:rsidRPr="009E48F8">
        <w:t>point</w:t>
      </w:r>
      <w:proofErr w:type="gramEnd"/>
      <w:r w:rsidRPr="009E48F8">
        <w:t xml:space="preserve"> improvement from </w:t>
      </w:r>
      <w:r>
        <w:t>B</w:t>
      </w:r>
      <w:r w:rsidRPr="009E48F8">
        <w:t>aseline with respect to</w:t>
      </w:r>
      <w:r>
        <w:t xml:space="preserve"> </w:t>
      </w:r>
      <w:r w:rsidRPr="009E48F8">
        <w:t>the weekly mean of the daily 24</w:t>
      </w:r>
      <w:r>
        <w:t xml:space="preserve"> </w:t>
      </w:r>
      <w:r w:rsidRPr="009E48F8">
        <w:t>hour WI-NRS score at</w:t>
      </w:r>
      <w:r>
        <w:t xml:space="preserve"> </w:t>
      </w:r>
      <w:r w:rsidRPr="009E48F8">
        <w:t xml:space="preserve">Week 4 of the </w:t>
      </w:r>
      <w:r>
        <w:t>double blind tr</w:t>
      </w:r>
      <w:r w:rsidRPr="009E48F8">
        <w:t xml:space="preserve">eatment </w:t>
      </w:r>
      <w:r>
        <w:t>p</w:t>
      </w:r>
      <w:r w:rsidRPr="009E48F8">
        <w:t>eriod.</w:t>
      </w:r>
    </w:p>
    <w:p w14:paraId="78483168" w14:textId="5AD3D621" w:rsidR="009E48F8" w:rsidRPr="009E48F8" w:rsidRDefault="009E48F8" w:rsidP="009E4B11">
      <w:pPr>
        <w:pStyle w:val="ListBullet"/>
      </w:pPr>
      <w:r>
        <w:t xml:space="preserve">Greater than or equal to </w:t>
      </w:r>
      <w:proofErr w:type="gramStart"/>
      <w:r>
        <w:t xml:space="preserve">4 </w:t>
      </w:r>
      <w:r w:rsidRPr="009E48F8">
        <w:t>point</w:t>
      </w:r>
      <w:proofErr w:type="gramEnd"/>
      <w:r w:rsidRPr="009E48F8">
        <w:t xml:space="preserve"> improvement from </w:t>
      </w:r>
      <w:r>
        <w:t>B</w:t>
      </w:r>
      <w:r w:rsidRPr="009E48F8">
        <w:t>aseline with respect</w:t>
      </w:r>
      <w:r>
        <w:t xml:space="preserve"> </w:t>
      </w:r>
      <w:r w:rsidRPr="009E48F8">
        <w:t>to the weekly mean of the daily 24</w:t>
      </w:r>
      <w:r>
        <w:t xml:space="preserve"> </w:t>
      </w:r>
      <w:r w:rsidRPr="009E48F8">
        <w:t>hour WI-NRS score</w:t>
      </w:r>
      <w:r>
        <w:t xml:space="preserve"> </w:t>
      </w:r>
      <w:r w:rsidRPr="009E48F8">
        <w:t xml:space="preserve">at Week 8 of the </w:t>
      </w:r>
      <w:r>
        <w:t>double blind t</w:t>
      </w:r>
      <w:r w:rsidRPr="009E48F8">
        <w:t xml:space="preserve">reatment </w:t>
      </w:r>
      <w:r>
        <w:t>p</w:t>
      </w:r>
      <w:r w:rsidRPr="009E48F8">
        <w:t>eriod.</w:t>
      </w:r>
    </w:p>
    <w:p w14:paraId="7A2D0F35" w14:textId="05680B5A" w:rsidR="009E48F8" w:rsidRDefault="009E48F8" w:rsidP="009E4B11">
      <w:pPr>
        <w:pStyle w:val="ListBullet"/>
      </w:pPr>
      <w:r>
        <w:t xml:space="preserve">Greater than or equal to </w:t>
      </w:r>
      <w:proofErr w:type="gramStart"/>
      <w:r>
        <w:t xml:space="preserve">4 </w:t>
      </w:r>
      <w:r w:rsidRPr="009E48F8">
        <w:t>point</w:t>
      </w:r>
      <w:proofErr w:type="gramEnd"/>
      <w:r w:rsidRPr="009E48F8">
        <w:t xml:space="preserve"> improvement from </w:t>
      </w:r>
      <w:r>
        <w:t>B</w:t>
      </w:r>
      <w:r w:rsidRPr="009E48F8">
        <w:t>aseline with respect</w:t>
      </w:r>
      <w:r>
        <w:t xml:space="preserve"> </w:t>
      </w:r>
      <w:r w:rsidRPr="009E48F8">
        <w:t>to the weekly mean of the daily 24</w:t>
      </w:r>
      <w:r>
        <w:t xml:space="preserve"> </w:t>
      </w:r>
      <w:r w:rsidRPr="009E48F8">
        <w:t>hour WI-NRS score</w:t>
      </w:r>
      <w:r>
        <w:t xml:space="preserve"> </w:t>
      </w:r>
      <w:r w:rsidRPr="009E48F8">
        <w:t xml:space="preserve">at Week 4 of the </w:t>
      </w:r>
      <w:r>
        <w:t>double blind t</w:t>
      </w:r>
      <w:r w:rsidRPr="009E48F8">
        <w:t xml:space="preserve">reatment </w:t>
      </w:r>
      <w:r>
        <w:t>p</w:t>
      </w:r>
      <w:r w:rsidRPr="009E48F8">
        <w:t>eriod.</w:t>
      </w:r>
    </w:p>
    <w:p w14:paraId="03883791" w14:textId="20F61665" w:rsidR="009E48F8" w:rsidRDefault="009E48F8" w:rsidP="00E81FD4">
      <w:pPr>
        <w:pStyle w:val="Heading8"/>
      </w:pPr>
      <w:r>
        <w:t>Other secondary efficacy parameters/endpoints</w:t>
      </w:r>
    </w:p>
    <w:p w14:paraId="1676FC7B" w14:textId="4DE58BE1" w:rsidR="009E48F8" w:rsidRPr="009E48F8" w:rsidRDefault="009E48F8" w:rsidP="009E48F8">
      <w:pPr>
        <w:pStyle w:val="ListBullet"/>
      </w:pPr>
      <w:r w:rsidRPr="009E48F8">
        <w:t xml:space="preserve">change from </w:t>
      </w:r>
      <w:r>
        <w:t>B</w:t>
      </w:r>
      <w:r w:rsidRPr="009E48F8">
        <w:t xml:space="preserve">aseline in itch related </w:t>
      </w:r>
      <w:r>
        <w:t>quality of life</w:t>
      </w:r>
      <w:r w:rsidRPr="009E48F8">
        <w:t xml:space="preserve"> at the end of Week 12 of the </w:t>
      </w:r>
      <w:proofErr w:type="gramStart"/>
      <w:r>
        <w:t>double blind</w:t>
      </w:r>
      <w:proofErr w:type="gramEnd"/>
      <w:r>
        <w:t xml:space="preserve"> t</w:t>
      </w:r>
      <w:r w:rsidRPr="009E48F8">
        <w:t xml:space="preserve">reatment </w:t>
      </w:r>
      <w:r>
        <w:t>p</w:t>
      </w:r>
      <w:r w:rsidRPr="009E48F8">
        <w:t>eriod, as assessed by the:</w:t>
      </w:r>
    </w:p>
    <w:p w14:paraId="6DC0AE9B" w14:textId="7C885336" w:rsidR="009E48F8" w:rsidRPr="009E48F8" w:rsidRDefault="009E48F8" w:rsidP="009E48F8">
      <w:pPr>
        <w:pStyle w:val="ListBullet2"/>
      </w:pPr>
      <w:r w:rsidRPr="009E48F8">
        <w:t xml:space="preserve">total Skindex-10 </w:t>
      </w:r>
      <w:r>
        <w:t>s</w:t>
      </w:r>
      <w:r w:rsidRPr="009E48F8">
        <w:t>cale score</w:t>
      </w:r>
    </w:p>
    <w:p w14:paraId="1BC5F656" w14:textId="14ED3E86" w:rsidR="009E48F8" w:rsidRDefault="009E48F8" w:rsidP="009E48F8">
      <w:pPr>
        <w:pStyle w:val="ListBullet2"/>
      </w:pPr>
      <w:r w:rsidRPr="009E48F8">
        <w:t xml:space="preserve">5-D </w:t>
      </w:r>
      <w:r>
        <w:t>i</w:t>
      </w:r>
      <w:r w:rsidRPr="009E48F8">
        <w:t xml:space="preserve">tch </w:t>
      </w:r>
      <w:r>
        <w:t>s</w:t>
      </w:r>
      <w:r w:rsidRPr="009E48F8">
        <w:t>cale score</w:t>
      </w:r>
    </w:p>
    <w:p w14:paraId="066B933F" w14:textId="2F35D11E" w:rsidR="009E48F8" w:rsidRDefault="009E48F8" w:rsidP="009E48F8">
      <w:r w:rsidRPr="009E48F8">
        <w:t>Efficacy endpoints were assessed according to the schedule below:</w:t>
      </w:r>
    </w:p>
    <w:p w14:paraId="3EA43CBF" w14:textId="12B48D7B" w:rsidR="009E48F8" w:rsidRPr="009E48F8" w:rsidRDefault="009E48F8" w:rsidP="009E48F8">
      <w:pPr>
        <w:pStyle w:val="TableTitle"/>
      </w:pPr>
      <w:r>
        <w:t xml:space="preserve">Table </w:t>
      </w:r>
      <w:r>
        <w:fldChar w:fldCharType="begin"/>
      </w:r>
      <w:r>
        <w:instrText>SEQ Table \* ARABIC</w:instrText>
      </w:r>
      <w:r>
        <w:fldChar w:fldCharType="separate"/>
      </w:r>
      <w:r w:rsidR="00B44DE2">
        <w:rPr>
          <w:noProof/>
        </w:rPr>
        <w:t>12</w:t>
      </w:r>
      <w:r>
        <w:fldChar w:fldCharType="end"/>
      </w:r>
      <w:r>
        <w:t xml:space="preserve">: Study CR845-CLIN3103 </w:t>
      </w:r>
      <w:r w:rsidR="00FE0067">
        <w:t>S</w:t>
      </w:r>
      <w:r>
        <w:t>chedule of assessments double blind phase</w:t>
      </w:r>
    </w:p>
    <w:p w14:paraId="44006561" w14:textId="61732C7C" w:rsidR="009E48F8" w:rsidRDefault="009E48F8" w:rsidP="009E48F8">
      <w:r>
        <w:rPr>
          <w:noProof/>
        </w:rPr>
        <w:drawing>
          <wp:inline distT="0" distB="0" distL="0" distR="0" wp14:anchorId="399C41B9" wp14:editId="0659C89D">
            <wp:extent cx="5711825" cy="4448175"/>
            <wp:effectExtent l="0" t="0" r="3175" b="9525"/>
            <wp:docPr id="7" name="Picture 7" descr="Study CR845-CLIN3103 schedule of assessments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CR845-CLIN3103 schedule of assessments double blind phase"/>
                    <pic:cNvPicPr/>
                  </pic:nvPicPr>
                  <pic:blipFill rotWithShape="1">
                    <a:blip r:embed="rId41"/>
                    <a:srcRect l="827" b="1002"/>
                    <a:stretch/>
                  </pic:blipFill>
                  <pic:spPr bwMode="auto">
                    <a:xfrm>
                      <a:off x="0" y="0"/>
                      <a:ext cx="5711825" cy="4448175"/>
                    </a:xfrm>
                    <a:prstGeom prst="rect">
                      <a:avLst/>
                    </a:prstGeom>
                    <a:ln>
                      <a:noFill/>
                    </a:ln>
                    <a:extLst>
                      <a:ext uri="{53640926-AAD7-44D8-BBD7-CCE9431645EC}">
                        <a14:shadowObscured xmlns:a14="http://schemas.microsoft.com/office/drawing/2010/main"/>
                      </a:ext>
                    </a:extLst>
                  </pic:spPr>
                </pic:pic>
              </a:graphicData>
            </a:graphic>
          </wp:inline>
        </w:drawing>
      </w:r>
    </w:p>
    <w:p w14:paraId="3E8BF750" w14:textId="03AB120B" w:rsidR="009E48F8" w:rsidRDefault="000C0127" w:rsidP="000C0127">
      <w:pPr>
        <w:pStyle w:val="TableDescription"/>
      </w:pPr>
      <w:r>
        <w:t xml:space="preserve">Abbreviations: </w:t>
      </w:r>
      <w:r w:rsidR="009E48F8">
        <w:t>F = Friday</w:t>
      </w:r>
      <w:r>
        <w:t>,</w:t>
      </w:r>
      <w:r w:rsidR="009E48F8">
        <w:t xml:space="preserve"> IV = intravenous</w:t>
      </w:r>
      <w:r>
        <w:t xml:space="preserve">, </w:t>
      </w:r>
      <w:r w:rsidR="009E48F8">
        <w:t>M = Monday</w:t>
      </w:r>
      <w:r>
        <w:t>,</w:t>
      </w:r>
      <w:r w:rsidR="009E48F8">
        <w:t xml:space="preserve"> PRO = patient</w:t>
      </w:r>
      <w:r>
        <w:t xml:space="preserve"> </w:t>
      </w:r>
      <w:r w:rsidR="009E48F8">
        <w:t>reported outcome</w:t>
      </w:r>
      <w:r>
        <w:t>,</w:t>
      </w:r>
      <w:r w:rsidR="009E48F8">
        <w:t xml:space="preserve"> Sa</w:t>
      </w:r>
      <w:r>
        <w:t> </w:t>
      </w:r>
      <w:r w:rsidR="009E48F8">
        <w:t>=</w:t>
      </w:r>
      <w:r>
        <w:t> </w:t>
      </w:r>
      <w:r w:rsidR="009E48F8">
        <w:t>Saturday</w:t>
      </w:r>
      <w:r>
        <w:t>,</w:t>
      </w:r>
      <w:r w:rsidR="009E48F8">
        <w:t xml:space="preserve"> Th</w:t>
      </w:r>
      <w:r w:rsidR="00D12774">
        <w:t> </w:t>
      </w:r>
      <w:r w:rsidR="009E48F8">
        <w:t>=</w:t>
      </w:r>
      <w:r w:rsidR="00D12774">
        <w:t> </w:t>
      </w:r>
      <w:r w:rsidR="009E48F8">
        <w:t>Thursday</w:t>
      </w:r>
      <w:r>
        <w:t>,</w:t>
      </w:r>
      <w:r w:rsidR="009E48F8">
        <w:t xml:space="preserve"> Tu = Tuesday</w:t>
      </w:r>
      <w:r>
        <w:t>,</w:t>
      </w:r>
      <w:r w:rsidR="009E48F8">
        <w:t xml:space="preserve"> W = Wednesday</w:t>
      </w:r>
      <w:r>
        <w:t>,</w:t>
      </w:r>
      <w:r w:rsidR="009E48F8">
        <w:t xml:space="preserve"> WI-NRS = </w:t>
      </w:r>
      <w:r>
        <w:t>w</w:t>
      </w:r>
      <w:r w:rsidR="009E48F8">
        <w:t xml:space="preserve">orst </w:t>
      </w:r>
      <w:r>
        <w:t>i</w:t>
      </w:r>
      <w:r w:rsidR="009E48F8">
        <w:t xml:space="preserve">tching </w:t>
      </w:r>
      <w:r>
        <w:t>i</w:t>
      </w:r>
      <w:r w:rsidR="009E48F8">
        <w:t>ntensity</w:t>
      </w:r>
      <w:r>
        <w:t xml:space="preserve"> </w:t>
      </w:r>
      <w:r w:rsidR="009E48F8">
        <w:t>numerical rating scale</w:t>
      </w:r>
    </w:p>
    <w:p w14:paraId="1A9B7B33" w14:textId="576D39B6" w:rsidR="009E48F8" w:rsidRDefault="009E48F8" w:rsidP="000C0127">
      <w:pPr>
        <w:pStyle w:val="TableDescription"/>
      </w:pPr>
      <w:r>
        <w:t xml:space="preserve">a. Each visit during the </w:t>
      </w:r>
      <w:proofErr w:type="gramStart"/>
      <w:r w:rsidR="000C0127">
        <w:t>double blind</w:t>
      </w:r>
      <w:proofErr w:type="gramEnd"/>
      <w:r w:rsidR="000C0127">
        <w:t xml:space="preserve"> t</w:t>
      </w:r>
      <w:r>
        <w:t xml:space="preserve">reatment </w:t>
      </w:r>
      <w:r w:rsidR="000C0127">
        <w:t>p</w:t>
      </w:r>
      <w:r>
        <w:t>eriod coincided with the subject’s normal dialysis treatments.</w:t>
      </w:r>
    </w:p>
    <w:p w14:paraId="13459FAD" w14:textId="5B13243E" w:rsidR="009E48F8" w:rsidRDefault="009E48F8" w:rsidP="000C0127">
      <w:pPr>
        <w:pStyle w:val="TableDescription"/>
      </w:pPr>
      <w:r>
        <w:t xml:space="preserve">b. The </w:t>
      </w:r>
      <w:r w:rsidR="000C0127">
        <w:t>e</w:t>
      </w:r>
      <w:r>
        <w:t xml:space="preserve">nd of </w:t>
      </w:r>
      <w:r w:rsidR="000C0127">
        <w:t>t</w:t>
      </w:r>
      <w:r>
        <w:t xml:space="preserve">reatment </w:t>
      </w:r>
      <w:proofErr w:type="gramStart"/>
      <w:r w:rsidR="000C0127">
        <w:t>v</w:t>
      </w:r>
      <w:r>
        <w:t>isit</w:t>
      </w:r>
      <w:proofErr w:type="gramEnd"/>
      <w:r>
        <w:t xml:space="preserve"> in the </w:t>
      </w:r>
      <w:r w:rsidR="000C0127">
        <w:t>d</w:t>
      </w:r>
      <w:r>
        <w:t>ouble</w:t>
      </w:r>
      <w:r w:rsidR="000C0127">
        <w:t xml:space="preserve"> </w:t>
      </w:r>
      <w:r>
        <w:t xml:space="preserve">blind </w:t>
      </w:r>
      <w:r w:rsidR="000C0127">
        <w:t>p</w:t>
      </w:r>
      <w:r>
        <w:t>hase was the first dialysis visit following the last dose of study drug (</w:t>
      </w:r>
      <w:r w:rsidR="000C0127">
        <w:t>that is,</w:t>
      </w:r>
      <w:r>
        <w:t xml:space="preserve"> first dialysis on Week 13 </w:t>
      </w:r>
      <w:r w:rsidR="000C0127">
        <w:t>(</w:t>
      </w:r>
      <w:r>
        <w:t>Day 85</w:t>
      </w:r>
      <w:r w:rsidR="000C0127">
        <w:t>)</w:t>
      </w:r>
      <w:r>
        <w:t>), which also</w:t>
      </w:r>
      <w:r w:rsidR="00D12774">
        <w:t xml:space="preserve"> </w:t>
      </w:r>
      <w:r>
        <w:t xml:space="preserve">corresponded to Day 1 of the </w:t>
      </w:r>
      <w:r w:rsidR="000C0127">
        <w:t>f</w:t>
      </w:r>
      <w:r>
        <w:t>ollow</w:t>
      </w:r>
      <w:r w:rsidR="000C0127">
        <w:t xml:space="preserve"> </w:t>
      </w:r>
      <w:r>
        <w:t xml:space="preserve">up </w:t>
      </w:r>
      <w:r w:rsidR="000C0127">
        <w:t>p</w:t>
      </w:r>
      <w:r>
        <w:t>eriod (</w:t>
      </w:r>
      <w:r w:rsidR="000C0127">
        <w:t>f</w:t>
      </w:r>
      <w:r>
        <w:t>ollow</w:t>
      </w:r>
      <w:r w:rsidR="000C0127">
        <w:t xml:space="preserve"> </w:t>
      </w:r>
      <w:r>
        <w:t xml:space="preserve">up </w:t>
      </w:r>
      <w:r w:rsidRPr="00D12774">
        <w:t>Day</w:t>
      </w:r>
      <w:r w:rsidR="00D12774">
        <w:t> </w:t>
      </w:r>
      <w:r w:rsidRPr="00D12774">
        <w:t>1</w:t>
      </w:r>
      <w:r>
        <w:t xml:space="preserve">). Only subjects not participating in the </w:t>
      </w:r>
      <w:r w:rsidR="000C0127">
        <w:t>o</w:t>
      </w:r>
      <w:r>
        <w:t>pen</w:t>
      </w:r>
      <w:r w:rsidR="000C0127">
        <w:t xml:space="preserve"> </w:t>
      </w:r>
      <w:r>
        <w:t xml:space="preserve">label </w:t>
      </w:r>
      <w:r w:rsidR="000C0127">
        <w:t>e</w:t>
      </w:r>
      <w:r>
        <w:t xml:space="preserve">xtension </w:t>
      </w:r>
      <w:r w:rsidR="000C0127">
        <w:t>p</w:t>
      </w:r>
      <w:r>
        <w:t xml:space="preserve">hase were required to complete the </w:t>
      </w:r>
      <w:r w:rsidR="000C0127">
        <w:t>f</w:t>
      </w:r>
      <w:r>
        <w:t>ollow</w:t>
      </w:r>
      <w:r w:rsidR="000C0127">
        <w:t xml:space="preserve"> </w:t>
      </w:r>
      <w:r>
        <w:t>up</w:t>
      </w:r>
      <w:r w:rsidR="000C0127">
        <w:t xml:space="preserve"> p</w:t>
      </w:r>
      <w:r>
        <w:t>eriod.</w:t>
      </w:r>
    </w:p>
    <w:p w14:paraId="5F835B14" w14:textId="688D5536" w:rsidR="009E48F8" w:rsidRDefault="009E48F8" w:rsidP="000C0127">
      <w:pPr>
        <w:pStyle w:val="TableDescription"/>
      </w:pPr>
      <w:r>
        <w:lastRenderedPageBreak/>
        <w:t xml:space="preserve">c. </w:t>
      </w:r>
      <w:proofErr w:type="gramStart"/>
      <w:r>
        <w:t>Medical</w:t>
      </w:r>
      <w:proofErr w:type="gramEnd"/>
      <w:r>
        <w:t xml:space="preserve"> history was updated on Day 1 with any changes since the </w:t>
      </w:r>
      <w:r w:rsidR="000C0127">
        <w:t>s</w:t>
      </w:r>
      <w:r>
        <w:t xml:space="preserve">creening </w:t>
      </w:r>
      <w:r w:rsidR="000C0127">
        <w:t>v</w:t>
      </w:r>
      <w:r>
        <w:t>isit, and inclusion/exclusion criteria were confirmed prior to randomi</w:t>
      </w:r>
      <w:r w:rsidR="000C0127">
        <w:t>s</w:t>
      </w:r>
      <w:r>
        <w:t>ation. Antipruritic</w:t>
      </w:r>
      <w:r w:rsidR="000C0127">
        <w:t xml:space="preserve"> </w:t>
      </w:r>
      <w:r>
        <w:t xml:space="preserve">medication was updated at each dialysis visit during the </w:t>
      </w:r>
      <w:r w:rsidR="000C0127">
        <w:t>r</w:t>
      </w:r>
      <w:r>
        <w:t>un</w:t>
      </w:r>
      <w:r w:rsidR="00E81FD4">
        <w:t>-</w:t>
      </w:r>
      <w:r>
        <w:t xml:space="preserve">in </w:t>
      </w:r>
      <w:r w:rsidR="000C0127">
        <w:t>p</w:t>
      </w:r>
      <w:r>
        <w:t>eriod.</w:t>
      </w:r>
    </w:p>
    <w:p w14:paraId="4D49F2E5" w14:textId="066393D2" w:rsidR="009E48F8" w:rsidRDefault="009E48F8" w:rsidP="000C0127">
      <w:pPr>
        <w:pStyle w:val="TableDescription"/>
      </w:pPr>
      <w:r>
        <w:t>d. Electrocardiogram had to be performed prior to the start of dialysis at screening and Day 85 (</w:t>
      </w:r>
      <w:r w:rsidR="000C0127">
        <w:t>e</w:t>
      </w:r>
      <w:r>
        <w:t xml:space="preserve">nd of </w:t>
      </w:r>
      <w:r w:rsidR="000C0127">
        <w:t>t</w:t>
      </w:r>
      <w:r>
        <w:t xml:space="preserve">reatment), or </w:t>
      </w:r>
      <w:r w:rsidR="000C0127">
        <w:t>e</w:t>
      </w:r>
      <w:r>
        <w:t xml:space="preserve">arly </w:t>
      </w:r>
      <w:r w:rsidR="000C0127">
        <w:t>t</w:t>
      </w:r>
      <w:r>
        <w:t xml:space="preserve">ermination </w:t>
      </w:r>
      <w:r w:rsidR="000C0127">
        <w:t>v</w:t>
      </w:r>
      <w:r>
        <w:t>isit.</w:t>
      </w:r>
    </w:p>
    <w:p w14:paraId="0321F954" w14:textId="49BAC8BB" w:rsidR="009E48F8" w:rsidRDefault="009E48F8" w:rsidP="000C0127">
      <w:pPr>
        <w:pStyle w:val="TableDescription"/>
      </w:pPr>
      <w:r>
        <w:t>e. Pre-dialysis vital signs, including body temperature, heart rate, and blood pressure, were recorded on Days 1, 15, 29, 43, 57, 71, and 85 (</w:t>
      </w:r>
      <w:r w:rsidR="000C0127">
        <w:t>e</w:t>
      </w:r>
      <w:r>
        <w:t xml:space="preserve">nd of </w:t>
      </w:r>
      <w:r w:rsidR="000C0127">
        <w:t>t</w:t>
      </w:r>
      <w:r>
        <w:t xml:space="preserve">reatment), or at </w:t>
      </w:r>
      <w:r w:rsidR="000C0127">
        <w:t>e</w:t>
      </w:r>
      <w:r>
        <w:t>arly</w:t>
      </w:r>
      <w:r w:rsidR="000C0127">
        <w:t xml:space="preserve"> t</w:t>
      </w:r>
      <w:r>
        <w:t xml:space="preserve">ermination </w:t>
      </w:r>
      <w:r w:rsidR="000C0127">
        <w:t>v</w:t>
      </w:r>
      <w:r>
        <w:t xml:space="preserve">isit, only when the subject was in a sitting or </w:t>
      </w:r>
      <w:proofErr w:type="spellStart"/>
      <w:r>
        <w:t>semirecumbent</w:t>
      </w:r>
      <w:proofErr w:type="spellEnd"/>
      <w:r>
        <w:t xml:space="preserve"> position. Heart rate was measured at each dialysis; if heart rate was clinically significant and outside</w:t>
      </w:r>
      <w:r w:rsidR="000C0127">
        <w:t xml:space="preserve"> </w:t>
      </w:r>
      <w:r>
        <w:t xml:space="preserve">the prespecified visits per </w:t>
      </w:r>
      <w:r w:rsidR="000C0127">
        <w:t>s</w:t>
      </w:r>
      <w:r>
        <w:t xml:space="preserve">chedule of </w:t>
      </w:r>
      <w:r w:rsidR="000C0127">
        <w:t>a</w:t>
      </w:r>
      <w:r>
        <w:t>ssessments, the heart rate was recorded on the relevant case report form page.</w:t>
      </w:r>
    </w:p>
    <w:p w14:paraId="1A7E75AE" w14:textId="607617CF" w:rsidR="009E48F8" w:rsidRDefault="009E48F8" w:rsidP="000C0127">
      <w:pPr>
        <w:pStyle w:val="TableDescription"/>
      </w:pPr>
      <w:r>
        <w:t>f. Pre-dialysis</w:t>
      </w:r>
      <w:r w:rsidRPr="009E48F8">
        <w:t xml:space="preserve"> </w:t>
      </w:r>
      <w:r>
        <w:t xml:space="preserve">vital signs, including body temperature, heart rate, and blood pressure, were recorded at the </w:t>
      </w:r>
      <w:r w:rsidR="000C0127">
        <w:t>f</w:t>
      </w:r>
      <w:r>
        <w:t>ollow</w:t>
      </w:r>
      <w:r w:rsidR="000C0127">
        <w:t xml:space="preserve"> </w:t>
      </w:r>
      <w:r>
        <w:t xml:space="preserve">up </w:t>
      </w:r>
      <w:r w:rsidR="000C0127">
        <w:t>v</w:t>
      </w:r>
      <w:r>
        <w:t xml:space="preserve">isit (7-10 days after </w:t>
      </w:r>
      <w:r w:rsidR="000C0127">
        <w:t>e</w:t>
      </w:r>
      <w:r>
        <w:t xml:space="preserve">nd of </w:t>
      </w:r>
      <w:r w:rsidR="000C0127">
        <w:t>t</w:t>
      </w:r>
      <w:r>
        <w:t>reatment/</w:t>
      </w:r>
      <w:r w:rsidR="000C0127">
        <w:t>e</w:t>
      </w:r>
      <w:r>
        <w:t xml:space="preserve">arly </w:t>
      </w:r>
      <w:r w:rsidR="000C0127">
        <w:t>t</w:t>
      </w:r>
      <w:r>
        <w:t>ermination</w:t>
      </w:r>
      <w:r w:rsidR="000C0127">
        <w:t xml:space="preserve"> v</w:t>
      </w:r>
      <w:r>
        <w:t>isit).</w:t>
      </w:r>
    </w:p>
    <w:p w14:paraId="4C61EF2B" w14:textId="3E74B96A" w:rsidR="009E48F8" w:rsidRDefault="009E48F8" w:rsidP="000C0127">
      <w:pPr>
        <w:pStyle w:val="TableDescription"/>
      </w:pPr>
      <w:r>
        <w:t>g. Blood samples for clinical laboratory evaluation were taken at screening, Day 1, and Day 85 (</w:t>
      </w:r>
      <w:r w:rsidR="000C0127">
        <w:t>e</w:t>
      </w:r>
      <w:r>
        <w:t xml:space="preserve">nd of </w:t>
      </w:r>
      <w:r w:rsidR="000C0127">
        <w:t>t</w:t>
      </w:r>
      <w:r>
        <w:t xml:space="preserve">reatment), or </w:t>
      </w:r>
      <w:r w:rsidR="000C0127">
        <w:t>e</w:t>
      </w:r>
      <w:r>
        <w:t xml:space="preserve">arly </w:t>
      </w:r>
      <w:r w:rsidR="000C0127">
        <w:t>t</w:t>
      </w:r>
      <w:r>
        <w:t xml:space="preserve">ermination </w:t>
      </w:r>
      <w:r w:rsidR="000C0127">
        <w:t>v</w:t>
      </w:r>
      <w:r>
        <w:t>isit.</w:t>
      </w:r>
    </w:p>
    <w:p w14:paraId="642110D2" w14:textId="69FBC45C" w:rsidR="009E48F8" w:rsidRDefault="009E48F8" w:rsidP="000C0127">
      <w:pPr>
        <w:pStyle w:val="TableDescription"/>
      </w:pPr>
      <w:r>
        <w:t xml:space="preserve">h. Training on WI-NRS was conducted prior to the first day of the </w:t>
      </w:r>
      <w:r w:rsidR="000C0127">
        <w:t>r</w:t>
      </w:r>
      <w:r>
        <w:t>un</w:t>
      </w:r>
      <w:r w:rsidR="00E81FD4">
        <w:t>-</w:t>
      </w:r>
      <w:r>
        <w:t xml:space="preserve">in </w:t>
      </w:r>
      <w:r w:rsidR="000C0127">
        <w:t>p</w:t>
      </w:r>
      <w:r>
        <w:t>eriod (Day -7).</w:t>
      </w:r>
    </w:p>
    <w:p w14:paraId="638F3E13" w14:textId="57CB59C5" w:rsidR="009E48F8" w:rsidRDefault="009E48F8" w:rsidP="000C0127">
      <w:pPr>
        <w:pStyle w:val="TableDescription"/>
      </w:pPr>
      <w:proofErr w:type="spellStart"/>
      <w:r>
        <w:t>i</w:t>
      </w:r>
      <w:proofErr w:type="spellEnd"/>
      <w:r>
        <w:t xml:space="preserve">. Training on Skindex-10 </w:t>
      </w:r>
      <w:proofErr w:type="gramStart"/>
      <w:r w:rsidR="000C0127">
        <w:t>s</w:t>
      </w:r>
      <w:r>
        <w:t>cale</w:t>
      </w:r>
      <w:proofErr w:type="gramEnd"/>
      <w:r>
        <w:t xml:space="preserve"> and 5-D </w:t>
      </w:r>
      <w:r w:rsidR="000C0127">
        <w:t>i</w:t>
      </w:r>
      <w:r>
        <w:t xml:space="preserve">tch </w:t>
      </w:r>
      <w:r w:rsidR="000C0127">
        <w:t>s</w:t>
      </w:r>
      <w:r>
        <w:t>cale could be performed at any time during screening prior to randomi</w:t>
      </w:r>
      <w:r w:rsidR="000C0127">
        <w:t>s</w:t>
      </w:r>
      <w:r>
        <w:t xml:space="preserve">ation on Day 1 of the </w:t>
      </w:r>
      <w:r w:rsidR="000C0127">
        <w:t>d</w:t>
      </w:r>
      <w:r>
        <w:t>ouble</w:t>
      </w:r>
      <w:r w:rsidR="000C0127">
        <w:t xml:space="preserve"> </w:t>
      </w:r>
      <w:r>
        <w:t xml:space="preserve">blind </w:t>
      </w:r>
      <w:r w:rsidR="000C0127">
        <w:t>t</w:t>
      </w:r>
      <w:r>
        <w:t xml:space="preserve">reatment </w:t>
      </w:r>
      <w:r w:rsidR="000C0127">
        <w:t>p</w:t>
      </w:r>
      <w:r>
        <w:t>eriod.</w:t>
      </w:r>
    </w:p>
    <w:p w14:paraId="759FFF00" w14:textId="3FBC440C" w:rsidR="009E48F8" w:rsidRDefault="009E48F8" w:rsidP="000C0127">
      <w:pPr>
        <w:pStyle w:val="TableDescription"/>
      </w:pPr>
      <w:r>
        <w:t>j. Subjects were requested to complete their WI-NRS worksheets each day at a similar time (either at home on non</w:t>
      </w:r>
      <w:r w:rsidR="00D12774">
        <w:noBreakHyphen/>
      </w:r>
      <w:r>
        <w:t>dialysis days around the normal start time of their dialysis or in</w:t>
      </w:r>
      <w:r w:rsidR="000C0127">
        <w:t xml:space="preserve"> </w:t>
      </w:r>
      <w:r>
        <w:t>the dialysis unit). On dialysis days, the worksheets were to be completed prior to or during dialysis</w:t>
      </w:r>
      <w:r w:rsidR="000C0127">
        <w:t xml:space="preserve"> </w:t>
      </w:r>
      <w:r>
        <w:t>but had</w:t>
      </w:r>
      <w:r w:rsidR="000C0127">
        <w:t xml:space="preserve"> to</w:t>
      </w:r>
      <w:r>
        <w:t xml:space="preserve"> be completed prior to dosing.</w:t>
      </w:r>
    </w:p>
    <w:p w14:paraId="365F2588" w14:textId="3D84CF8A" w:rsidR="009E48F8" w:rsidRDefault="009E48F8" w:rsidP="000C0127">
      <w:pPr>
        <w:pStyle w:val="TableDescription"/>
      </w:pPr>
      <w:r>
        <w:t xml:space="preserve">k. 5-D </w:t>
      </w:r>
      <w:r w:rsidR="000C0127">
        <w:t>i</w:t>
      </w:r>
      <w:r>
        <w:t xml:space="preserve">tch </w:t>
      </w:r>
      <w:r w:rsidR="000C0127">
        <w:t>s</w:t>
      </w:r>
      <w:r>
        <w:t xml:space="preserve">cale and Skindex-10 </w:t>
      </w:r>
      <w:r w:rsidR="000C0127">
        <w:t>s</w:t>
      </w:r>
      <w:r>
        <w:t xml:space="preserve">cale were completed on Day 1 and the first visit of Weeks 5, 9, and 11 (on Days 29, 57, and 71) and Week 13 (Day 85). 5-D </w:t>
      </w:r>
      <w:r w:rsidR="000C0127">
        <w:t>i</w:t>
      </w:r>
      <w:r>
        <w:t>tch scale was</w:t>
      </w:r>
      <w:r w:rsidR="000C0127">
        <w:t xml:space="preserve"> </w:t>
      </w:r>
      <w:r>
        <w:t>preferably completed first. If the first visit of the week was missed, the subject could complete the worksheets at their next visit for the same week. The worksheets were to be</w:t>
      </w:r>
      <w:r w:rsidR="000C0127">
        <w:t xml:space="preserve"> </w:t>
      </w:r>
      <w:r>
        <w:t>completed prior to or during dialysis (preferably within 1 hour of the dialysis)</w:t>
      </w:r>
      <w:r w:rsidR="000C0127">
        <w:t xml:space="preserve"> </w:t>
      </w:r>
      <w:r>
        <w:t>but had to be completed prior to dosing.</w:t>
      </w:r>
    </w:p>
    <w:p w14:paraId="7B2F90F8" w14:textId="77777777" w:rsidR="009E48F8" w:rsidRDefault="009E48F8" w:rsidP="000C0127">
      <w:pPr>
        <w:pStyle w:val="TableDescription"/>
      </w:pPr>
      <w:r>
        <w:t>l. Biomarker samples had to be collected prior to the start of dialysis on Day 1 and Day 85.</w:t>
      </w:r>
    </w:p>
    <w:p w14:paraId="324FBD4A" w14:textId="58F09E0A" w:rsidR="009E48F8" w:rsidRDefault="009E48F8" w:rsidP="000C0127">
      <w:pPr>
        <w:pStyle w:val="TableDescription"/>
      </w:pPr>
      <w:r>
        <w:t>m</w:t>
      </w:r>
      <w:r w:rsidR="000C0127">
        <w:t xml:space="preserve">. </w:t>
      </w:r>
      <w:r>
        <w:t xml:space="preserve">Concomitant medications, including antipruritic medications, were updated at each dialysis visit during the </w:t>
      </w:r>
      <w:proofErr w:type="gramStart"/>
      <w:r w:rsidR="000C0127">
        <w:t>d</w:t>
      </w:r>
      <w:r>
        <w:t>ouble</w:t>
      </w:r>
      <w:r w:rsidR="000C0127">
        <w:t xml:space="preserve"> </w:t>
      </w:r>
      <w:r>
        <w:t>blind</w:t>
      </w:r>
      <w:proofErr w:type="gramEnd"/>
      <w:r>
        <w:t xml:space="preserve"> </w:t>
      </w:r>
      <w:r w:rsidR="000C0127">
        <w:t>t</w:t>
      </w:r>
      <w:r>
        <w:t xml:space="preserve">reatment </w:t>
      </w:r>
      <w:r w:rsidR="000C0127">
        <w:t>p</w:t>
      </w:r>
      <w:r>
        <w:t xml:space="preserve">eriod and until the end of the </w:t>
      </w:r>
      <w:r w:rsidR="000C0127">
        <w:t>f</w:t>
      </w:r>
      <w:r>
        <w:t>ollow</w:t>
      </w:r>
      <w:r w:rsidR="000C0127">
        <w:t xml:space="preserve"> </w:t>
      </w:r>
      <w:r>
        <w:t>up</w:t>
      </w:r>
      <w:r w:rsidR="000C0127">
        <w:t xml:space="preserve"> p</w:t>
      </w:r>
      <w:r>
        <w:t>eriod.</w:t>
      </w:r>
    </w:p>
    <w:p w14:paraId="5FCAC078" w14:textId="3D92D1C4" w:rsidR="009E48F8" w:rsidRDefault="009E48F8" w:rsidP="000C0127">
      <w:pPr>
        <w:pStyle w:val="TableDescription"/>
      </w:pPr>
      <w:r>
        <w:t xml:space="preserve">n. A list of specific signs/symptoms were verified with the subject by qualified site staff, preferably on Wednesday/Thursday each week during the </w:t>
      </w:r>
      <w:r w:rsidR="000C0127">
        <w:t>r</w:t>
      </w:r>
      <w:r>
        <w:t>un</w:t>
      </w:r>
      <w:r w:rsidR="00E81FD4">
        <w:t>-</w:t>
      </w:r>
      <w:r>
        <w:t xml:space="preserve">in </w:t>
      </w:r>
      <w:r w:rsidR="000C0127">
        <w:t>p</w:t>
      </w:r>
      <w:r>
        <w:t xml:space="preserve">eriod, the </w:t>
      </w:r>
      <w:proofErr w:type="gramStart"/>
      <w:r w:rsidR="000C0127">
        <w:t>d</w:t>
      </w:r>
      <w:r>
        <w:t>ouble</w:t>
      </w:r>
      <w:r w:rsidR="000C0127">
        <w:t xml:space="preserve"> </w:t>
      </w:r>
      <w:r>
        <w:t>blind</w:t>
      </w:r>
      <w:proofErr w:type="gramEnd"/>
      <w:r w:rsidR="000C0127">
        <w:t xml:space="preserve"> t</w:t>
      </w:r>
      <w:r>
        <w:t xml:space="preserve">reatment </w:t>
      </w:r>
      <w:r w:rsidR="000C0127">
        <w:t>p</w:t>
      </w:r>
      <w:r>
        <w:t xml:space="preserve">eriod, and the </w:t>
      </w:r>
      <w:r w:rsidR="000C0127">
        <w:t>f</w:t>
      </w:r>
      <w:r>
        <w:t>ollow</w:t>
      </w:r>
      <w:r w:rsidR="000C0127">
        <w:t xml:space="preserve"> </w:t>
      </w:r>
      <w:r>
        <w:t xml:space="preserve">up </w:t>
      </w:r>
      <w:r w:rsidR="000C0127">
        <w:t>p</w:t>
      </w:r>
      <w:r>
        <w:t>eriod. It was not to be completed on Monday/Tuesday.</w:t>
      </w:r>
    </w:p>
    <w:p w14:paraId="08BF58DA" w14:textId="21C92066" w:rsidR="009E48F8" w:rsidRDefault="009E48F8" w:rsidP="000C0127">
      <w:pPr>
        <w:pStyle w:val="TableDescription"/>
      </w:pPr>
      <w:r>
        <w:t>o. The serum pregnancy test had to be performed within 7 days prior to the first study dose.</w:t>
      </w:r>
    </w:p>
    <w:p w14:paraId="5BFFFD9F" w14:textId="3144C209" w:rsidR="000C0127" w:rsidRDefault="000C0127" w:rsidP="000C0127">
      <w:r>
        <w:t>The clinical evaluation concluded overall, the primary and secondary endpoints of Study CR845</w:t>
      </w:r>
      <w:r>
        <w:noBreakHyphen/>
        <w:t>CLIN3103 are appropriate.</w:t>
      </w:r>
    </w:p>
    <w:p w14:paraId="3BECB2A3" w14:textId="3F269E4D" w:rsidR="000C0127" w:rsidRDefault="000C0127" w:rsidP="000C0127">
      <w:r>
        <w:t>The primary and secondary efficacy endpoints allowed assessment of the effect of difelikefalin on the intensity of itch (the proportion of subjects achieving a 3 point or 4 point or greater improvement from Baseline in WI-NRS at Week 12) and on itch-related quality of life (change from Baseline in the 5-D itch scale and total Skindex-10 scale score at Week 12).</w:t>
      </w:r>
    </w:p>
    <w:p w14:paraId="70EB75FA" w14:textId="77777777" w:rsidR="000C0127" w:rsidRDefault="000C0127" w:rsidP="000C0127">
      <w:r>
        <w:t>The sponsor has justified the use of WI-NRS as the primary efficacy endpoint. The WI-NRS has been widely used for evaluation of chronic itch, including CKD-</w:t>
      </w:r>
      <w:proofErr w:type="spellStart"/>
      <w:r>
        <w:t>aP.</w:t>
      </w:r>
      <w:proofErr w:type="spellEnd"/>
    </w:p>
    <w:p w14:paraId="1419EBBD" w14:textId="3514AC54" w:rsidR="000C0127" w:rsidRDefault="000C0127" w:rsidP="000C0127">
      <w:r>
        <w:t xml:space="preserve">In addition, qualitative and quantitative validation of the </w:t>
      </w:r>
      <w:proofErr w:type="gramStart"/>
      <w:r>
        <w:t>24 hour</w:t>
      </w:r>
      <w:proofErr w:type="gramEnd"/>
      <w:r>
        <w:t xml:space="preserve"> WI-NRS item consistent with standards outlined by FDA guidance was undertaken, supporting robust performance of the measure for the target population (that is, </w:t>
      </w:r>
      <w:r w:rsidR="001F495E">
        <w:t>haemodialysis</w:t>
      </w:r>
      <w:r>
        <w:t xml:space="preserve"> patients with moderate to severe CKD</w:t>
      </w:r>
      <w:r w:rsidR="007D473D">
        <w:noBreakHyphen/>
      </w:r>
      <w:proofErr w:type="spellStart"/>
      <w:r>
        <w:t>aP</w:t>
      </w:r>
      <w:proofErr w:type="spellEnd"/>
      <w:r>
        <w:t>).</w:t>
      </w:r>
    </w:p>
    <w:p w14:paraId="6E69DD24" w14:textId="4D27BBC2" w:rsidR="000C0127" w:rsidRDefault="000C0127" w:rsidP="000C0127">
      <w:r>
        <w:t xml:space="preserve">Results from the Phase II Study CR845-CLIN2101 showed that a </w:t>
      </w:r>
      <w:proofErr w:type="gramStart"/>
      <w:r>
        <w:t>3 point</w:t>
      </w:r>
      <w:proofErr w:type="gramEnd"/>
      <w:r>
        <w:t xml:space="preserve"> difference in the WI</w:t>
      </w:r>
      <w:r>
        <w:noBreakHyphen/>
        <w:t>NRS from Baseline was a clinically meaningful improvement.</w:t>
      </w:r>
    </w:p>
    <w:p w14:paraId="05DF65F0" w14:textId="1A3BDCC2" w:rsidR="000C0127" w:rsidRPr="000C0127" w:rsidRDefault="000C0127" w:rsidP="000C0127">
      <w:pPr>
        <w:pStyle w:val="Heading7"/>
      </w:pPr>
      <w:r w:rsidRPr="000C0127">
        <w:t>Participant flow</w:t>
      </w:r>
    </w:p>
    <w:p w14:paraId="085AE67C" w14:textId="7DED0359" w:rsidR="000C0127" w:rsidRDefault="000C0127" w:rsidP="000C0127">
      <w:r w:rsidRPr="000C0127">
        <w:t xml:space="preserve">A total of 473 subjects were randomised as per </w:t>
      </w:r>
      <w:r w:rsidR="00BE3780">
        <w:fldChar w:fldCharType="begin"/>
      </w:r>
      <w:r w:rsidR="00BE3780">
        <w:instrText xml:space="preserve"> REF _Ref141170173 \h </w:instrText>
      </w:r>
      <w:r w:rsidR="00BE3780">
        <w:fldChar w:fldCharType="separate"/>
      </w:r>
      <w:r w:rsidR="00B44DE2">
        <w:t xml:space="preserve">Figure </w:t>
      </w:r>
      <w:r w:rsidR="00B44DE2">
        <w:rPr>
          <w:noProof/>
        </w:rPr>
        <w:t>7</w:t>
      </w:r>
      <w:r w:rsidR="00BE3780">
        <w:fldChar w:fldCharType="end"/>
      </w:r>
      <w:r w:rsidR="00BE3780">
        <w:t xml:space="preserve"> </w:t>
      </w:r>
      <w:r w:rsidRPr="000C0127">
        <w:t>below (n</w:t>
      </w:r>
      <w:r>
        <w:t xml:space="preserve"> </w:t>
      </w:r>
      <w:r w:rsidRPr="000C0127">
        <w:t>=</w:t>
      </w:r>
      <w:r>
        <w:t xml:space="preserve"> </w:t>
      </w:r>
      <w:r w:rsidRPr="000C0127">
        <w:t xml:space="preserve">237 for </w:t>
      </w:r>
      <w:r>
        <w:t>d</w:t>
      </w:r>
      <w:r w:rsidRPr="000C0127">
        <w:t>ifelikefalin and n</w:t>
      </w:r>
      <w:r>
        <w:t> </w:t>
      </w:r>
      <w:r w:rsidRPr="000C0127">
        <w:t>=</w:t>
      </w:r>
      <w:r>
        <w:t> </w:t>
      </w:r>
      <w:r w:rsidRPr="000C0127">
        <w:t>236 for placebo).</w:t>
      </w:r>
    </w:p>
    <w:p w14:paraId="102C4DCE" w14:textId="2C9F78CE" w:rsidR="000C0127" w:rsidRDefault="000C0127" w:rsidP="00BE3780">
      <w:pPr>
        <w:pStyle w:val="FigureTitle"/>
      </w:pPr>
      <w:bookmarkStart w:id="71" w:name="_Ref141170173"/>
      <w:r>
        <w:lastRenderedPageBreak/>
        <w:t xml:space="preserve">Figure </w:t>
      </w:r>
      <w:r>
        <w:fldChar w:fldCharType="begin"/>
      </w:r>
      <w:r>
        <w:instrText>SEQ Figure \* ARABIC</w:instrText>
      </w:r>
      <w:r>
        <w:fldChar w:fldCharType="separate"/>
      </w:r>
      <w:r w:rsidR="00B44DE2">
        <w:rPr>
          <w:noProof/>
        </w:rPr>
        <w:t>7</w:t>
      </w:r>
      <w:r>
        <w:fldChar w:fldCharType="end"/>
      </w:r>
      <w:bookmarkEnd w:id="71"/>
      <w:r>
        <w:t xml:space="preserve">: </w:t>
      </w:r>
      <w:r w:rsidR="00BE3780" w:rsidRPr="00BE3780">
        <w:t>Study CR845-CLIN310</w:t>
      </w:r>
      <w:r w:rsidR="00BE3780">
        <w:t>3</w:t>
      </w:r>
      <w:r w:rsidR="00BE3780" w:rsidRPr="00BE3780">
        <w:t xml:space="preserve"> </w:t>
      </w:r>
      <w:r w:rsidR="00FE0067">
        <w:t>D</w:t>
      </w:r>
      <w:r w:rsidR="00BE3780" w:rsidRPr="00BE3780">
        <w:t>isposition flow</w:t>
      </w:r>
    </w:p>
    <w:p w14:paraId="507957CD" w14:textId="7046B8BE" w:rsidR="000C0127" w:rsidRDefault="00BE3780" w:rsidP="000C0127">
      <w:r>
        <w:rPr>
          <w:noProof/>
        </w:rPr>
        <w:drawing>
          <wp:inline distT="0" distB="0" distL="0" distR="0" wp14:anchorId="642A38A6" wp14:editId="3F00F1DF">
            <wp:extent cx="5632450" cy="5281930"/>
            <wp:effectExtent l="0" t="0" r="6350" b="0"/>
            <wp:docPr id="9" name="Picture 9" descr="A total 620 subjects were assessed for eligibility for Study CR845-CLIN3103. Of these 161 were excluded and 473 were randomised and allocated to the placebo (236) or difelikefalin (237) groups. In the placebo group 13 subjects discontinued treatment and 223 subjects completed treatment. In the difelikefalin group 29 subjects discontinued treatment and 206 subjects complet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otal 620 subjects were assessed for eligibility for Study CR845-CLIN3103. Of these 161 were excluded and 473 were randomised and allocated to the placebo (236) or difelikefalin (237) groups. In the placebo group 13 subjects discontinued treatment and 223 subjects completed treatment. In the difelikefalin group 29 subjects discontinued treatment and 206 subjects completed treatment."/>
                    <pic:cNvPicPr/>
                  </pic:nvPicPr>
                  <pic:blipFill rotWithShape="1">
                    <a:blip r:embed="rId42"/>
                    <a:srcRect l="2205" t="835"/>
                    <a:stretch/>
                  </pic:blipFill>
                  <pic:spPr bwMode="auto">
                    <a:xfrm>
                      <a:off x="0" y="0"/>
                      <a:ext cx="5632450" cy="5281930"/>
                    </a:xfrm>
                    <a:prstGeom prst="rect">
                      <a:avLst/>
                    </a:prstGeom>
                    <a:ln>
                      <a:noFill/>
                    </a:ln>
                    <a:extLst>
                      <a:ext uri="{53640926-AAD7-44D8-BBD7-CCE9431645EC}">
                        <a14:shadowObscured xmlns:a14="http://schemas.microsoft.com/office/drawing/2010/main"/>
                      </a:ext>
                    </a:extLst>
                  </pic:spPr>
                </pic:pic>
              </a:graphicData>
            </a:graphic>
          </wp:inline>
        </w:drawing>
      </w:r>
    </w:p>
    <w:p w14:paraId="69749510" w14:textId="4DD1FF23" w:rsidR="00BE3780" w:rsidRPr="00BE3780" w:rsidRDefault="00BE3780" w:rsidP="00BE3780">
      <w:r w:rsidRPr="00BE3780">
        <w:t xml:space="preserve">Of these, 471 subjects received at least </w:t>
      </w:r>
      <w:r>
        <w:t>one</w:t>
      </w:r>
      <w:r w:rsidRPr="00BE3780">
        <w:t xml:space="preserve"> treatment with </w:t>
      </w:r>
      <w:r>
        <w:t>d</w:t>
      </w:r>
      <w:r w:rsidRPr="00BE3780">
        <w:t xml:space="preserve">ifelikefalin or </w:t>
      </w:r>
      <w:r>
        <w:t>placebo</w:t>
      </w:r>
      <w:r w:rsidRPr="00BE3780">
        <w:t xml:space="preserve"> (two subjects were randomised to </w:t>
      </w:r>
      <w:r>
        <w:t>d</w:t>
      </w:r>
      <w:r w:rsidRPr="00BE3780">
        <w:t>ifelikefalin group but did not receive any study drug</w:t>
      </w:r>
      <w:r>
        <w:t>)</w:t>
      </w:r>
      <w:r w:rsidRPr="00BE3780">
        <w:t>.</w:t>
      </w:r>
    </w:p>
    <w:p w14:paraId="0EF0DA9D" w14:textId="2ECC9BB9" w:rsidR="00BE3780" w:rsidRDefault="00BE3780" w:rsidP="00BE3780">
      <w:r w:rsidRPr="00BE3780">
        <w:t xml:space="preserve">A total of 429 subjects completed the </w:t>
      </w:r>
      <w:proofErr w:type="gramStart"/>
      <w:r>
        <w:t>double blind</w:t>
      </w:r>
      <w:proofErr w:type="gramEnd"/>
      <w:r>
        <w:t xml:space="preserve"> t</w:t>
      </w:r>
      <w:r w:rsidRPr="00BE3780">
        <w:t xml:space="preserve">reatment </w:t>
      </w:r>
      <w:r>
        <w:t>p</w:t>
      </w:r>
      <w:r w:rsidRPr="00BE3780">
        <w:t xml:space="preserve">eriod (206 in the </w:t>
      </w:r>
      <w:r>
        <w:t>d</w:t>
      </w:r>
      <w:r w:rsidRPr="00BE3780">
        <w:t>ifelikefalin group, and 170 in</w:t>
      </w:r>
      <w:r>
        <w:t xml:space="preserve"> the placebo</w:t>
      </w:r>
      <w:r w:rsidRPr="00BE3780">
        <w:t xml:space="preserve"> group).</w:t>
      </w:r>
    </w:p>
    <w:p w14:paraId="7A7EDB60" w14:textId="3B68797B" w:rsidR="00BE3780" w:rsidRDefault="00BE3780" w:rsidP="00BE3780">
      <w:r w:rsidRPr="00BE3780">
        <w:t xml:space="preserve">The most common reasons for early discontinuation from the </w:t>
      </w:r>
      <w:proofErr w:type="gramStart"/>
      <w:r>
        <w:t>double blind</w:t>
      </w:r>
      <w:proofErr w:type="gramEnd"/>
      <w:r>
        <w:t xml:space="preserve"> t</w:t>
      </w:r>
      <w:r w:rsidRPr="00BE3780">
        <w:t xml:space="preserve">reatment </w:t>
      </w:r>
      <w:r>
        <w:t>p</w:t>
      </w:r>
      <w:r w:rsidRPr="00BE3780">
        <w:t xml:space="preserve">eriod were adverse events (2.9% and 5.5% respectively in </w:t>
      </w:r>
      <w:r>
        <w:t>placebo</w:t>
      </w:r>
      <w:r w:rsidRPr="00BE3780">
        <w:t xml:space="preserve"> and </w:t>
      </w:r>
      <w:r>
        <w:t>d</w:t>
      </w:r>
      <w:r w:rsidRPr="00BE3780">
        <w:t xml:space="preserve">ifelikefalin groups) and subject withdrawal of consent (0.42% and 2.1% respectively in </w:t>
      </w:r>
      <w:r>
        <w:t>placebo</w:t>
      </w:r>
      <w:r w:rsidRPr="00BE3780">
        <w:t xml:space="preserve"> and </w:t>
      </w:r>
      <w:r>
        <w:t>d</w:t>
      </w:r>
      <w:r w:rsidRPr="00BE3780">
        <w:t>ifelikefalin groups</w:t>
      </w:r>
      <w:r>
        <w:t>).</w:t>
      </w:r>
    </w:p>
    <w:p w14:paraId="69F4CAB2" w14:textId="495EEAB8" w:rsidR="00BE3780" w:rsidRPr="00BE3780" w:rsidRDefault="00BE3780" w:rsidP="00BE3780">
      <w:pPr>
        <w:pStyle w:val="Heading7"/>
      </w:pPr>
      <w:r w:rsidRPr="00BE3780">
        <w:t>Analysis of populations</w:t>
      </w:r>
    </w:p>
    <w:p w14:paraId="2E071702" w14:textId="478545C5" w:rsidR="00BE3780" w:rsidRDefault="00BE3780" w:rsidP="00BE3780">
      <w:r>
        <w:t xml:space="preserve">As per Study CR845-CLIN3102 above (see </w:t>
      </w:r>
      <w:r>
        <w:fldChar w:fldCharType="begin"/>
      </w:r>
      <w:r>
        <w:instrText xml:space="preserve"> REF _Ref141170390 \h </w:instrText>
      </w:r>
      <w:r>
        <w:fldChar w:fldCharType="separate"/>
      </w:r>
      <w:r w:rsidR="00B44DE2" w:rsidRPr="00A374D0">
        <w:t>Analysis of populations</w:t>
      </w:r>
      <w:r>
        <w:fldChar w:fldCharType="end"/>
      </w:r>
      <w:r>
        <w:t>).</w:t>
      </w:r>
    </w:p>
    <w:p w14:paraId="7A5204E4" w14:textId="7717E6A5" w:rsidR="00BE3780" w:rsidRPr="00BE3780" w:rsidRDefault="00BE3780" w:rsidP="00BE3780">
      <w:pPr>
        <w:pStyle w:val="Heading7"/>
      </w:pPr>
      <w:r w:rsidRPr="00BE3780">
        <w:t>Sample size</w:t>
      </w:r>
    </w:p>
    <w:p w14:paraId="379287F4" w14:textId="0D551C9F" w:rsidR="00BE3780" w:rsidRPr="00BE3780" w:rsidRDefault="00BE3780" w:rsidP="00BE3780">
      <w:r>
        <w:t xml:space="preserve">As per Study </w:t>
      </w:r>
      <w:r w:rsidRPr="00BE3780">
        <w:t>CR845-CLIN3102 above</w:t>
      </w:r>
      <w:r>
        <w:t xml:space="preserve"> (</w:t>
      </w:r>
      <w:r w:rsidR="007D473D">
        <w:t xml:space="preserve">see </w:t>
      </w:r>
      <w:r>
        <w:fldChar w:fldCharType="begin"/>
      </w:r>
      <w:r>
        <w:instrText xml:space="preserve"> REF _Ref141170449 \h </w:instrText>
      </w:r>
      <w:r>
        <w:fldChar w:fldCharType="separate"/>
      </w:r>
      <w:r w:rsidR="00B44DE2" w:rsidRPr="00A374D0">
        <w:t>Sample size</w:t>
      </w:r>
      <w:r>
        <w:fldChar w:fldCharType="end"/>
      </w:r>
      <w:r>
        <w:t>).</w:t>
      </w:r>
    </w:p>
    <w:p w14:paraId="0B766F7D" w14:textId="345F8B23" w:rsidR="00BE3780" w:rsidRPr="00BE3780" w:rsidRDefault="00BE3780" w:rsidP="00BE3780">
      <w:r w:rsidRPr="00BE3780">
        <w:t xml:space="preserve">An unblinded interim analysis for sample size re-estimation was conducted when approximately 50% of the first 350 subjects had been randomised and had either completed the </w:t>
      </w:r>
      <w:proofErr w:type="gramStart"/>
      <w:r w:rsidRPr="00BE3780">
        <w:t>12</w:t>
      </w:r>
      <w:r>
        <w:t xml:space="preserve"> </w:t>
      </w:r>
      <w:r w:rsidRPr="00BE3780">
        <w:t>week</w:t>
      </w:r>
      <w:proofErr w:type="gramEnd"/>
      <w:r w:rsidRPr="00BE3780">
        <w:t xml:space="preserve"> treatment period or had discontinued from treatment early. The planned interim assessment was conducted by the Independent Data Monitoring Committee (</w:t>
      </w:r>
      <w:r w:rsidRPr="00DC22EC">
        <w:t>IDMC</w:t>
      </w:r>
      <w:r w:rsidRPr="00BE3780">
        <w:t xml:space="preserve">). Based on the </w:t>
      </w:r>
      <w:r w:rsidRPr="00BE3780">
        <w:lastRenderedPageBreak/>
        <w:t>recommendation of the IDMC, there were no changes to the original enrolment target of 350 to 450 subjects.</w:t>
      </w:r>
    </w:p>
    <w:p w14:paraId="599FCBB3" w14:textId="506987BE" w:rsidR="00BE3780" w:rsidRPr="00BE3780" w:rsidRDefault="00BE3780" w:rsidP="00BE3780">
      <w:pPr>
        <w:pStyle w:val="Heading7"/>
      </w:pPr>
      <w:r w:rsidRPr="00BE3780">
        <w:t>Statistical methods</w:t>
      </w:r>
    </w:p>
    <w:p w14:paraId="62568231" w14:textId="76951D52" w:rsidR="00BE3780" w:rsidRPr="00BE3780" w:rsidRDefault="00BE3780" w:rsidP="00BE3780">
      <w:r w:rsidRPr="00BE3780">
        <w:t xml:space="preserve">Essentially </w:t>
      </w:r>
      <w:r>
        <w:t>as per Study</w:t>
      </w:r>
      <w:r w:rsidRPr="00BE3780">
        <w:t xml:space="preserve"> CR845-CLIN3102 above</w:t>
      </w:r>
      <w:r>
        <w:t xml:space="preserve"> (see </w:t>
      </w:r>
      <w:r>
        <w:fldChar w:fldCharType="begin"/>
      </w:r>
      <w:r>
        <w:instrText xml:space="preserve"> REF _Ref141170760 \h </w:instrText>
      </w:r>
      <w:r>
        <w:fldChar w:fldCharType="separate"/>
      </w:r>
      <w:r w:rsidR="00B44DE2" w:rsidRPr="00A374D0">
        <w:t>Statistical methods</w:t>
      </w:r>
      <w:r>
        <w:fldChar w:fldCharType="end"/>
      </w:r>
      <w:r>
        <w:t>).</w:t>
      </w:r>
    </w:p>
    <w:p w14:paraId="2BCD8EC8" w14:textId="7993DFEA" w:rsidR="00BE3780" w:rsidRPr="00BE3780" w:rsidRDefault="00BE3780" w:rsidP="00BE3780">
      <w:r w:rsidRPr="00BE3780">
        <w:t>The key secondary efficacy endpoints were analysed in a hierarchical testing order as specified below.</w:t>
      </w:r>
    </w:p>
    <w:p w14:paraId="07EB679A" w14:textId="5078FE9B" w:rsidR="00BE3780" w:rsidRPr="00BE3780" w:rsidRDefault="00BE3780" w:rsidP="00BE3780">
      <w:pPr>
        <w:pStyle w:val="ListBullet"/>
      </w:pPr>
      <w:r w:rsidRPr="00BE3780">
        <w:t>The proportion of subjects achieving a 4</w:t>
      </w:r>
      <w:r>
        <w:t xml:space="preserve"> </w:t>
      </w:r>
      <w:r w:rsidRPr="00BE3780">
        <w:t>point</w:t>
      </w:r>
      <w:r>
        <w:t xml:space="preserve"> or greater</w:t>
      </w:r>
      <w:r w:rsidRPr="00BE3780">
        <w:t xml:space="preserve"> improvement from </w:t>
      </w:r>
      <w:r>
        <w:t>B</w:t>
      </w:r>
      <w:r w:rsidRPr="00BE3780">
        <w:t xml:space="preserve">aseline with respect to the weekly mean of the daily </w:t>
      </w:r>
      <w:proofErr w:type="gramStart"/>
      <w:r w:rsidRPr="00BE3780">
        <w:t>24</w:t>
      </w:r>
      <w:r>
        <w:t xml:space="preserve"> </w:t>
      </w:r>
      <w:r w:rsidRPr="00BE3780">
        <w:t>hour</w:t>
      </w:r>
      <w:proofErr w:type="gramEnd"/>
      <w:r w:rsidRPr="00BE3780">
        <w:t xml:space="preserve"> WI-NRS at Week 12 of the </w:t>
      </w:r>
      <w:r>
        <w:t>d</w:t>
      </w:r>
      <w:r w:rsidRPr="00BE3780">
        <w:t>ouble</w:t>
      </w:r>
      <w:r>
        <w:t xml:space="preserve"> </w:t>
      </w:r>
      <w:r w:rsidRPr="00BE3780">
        <w:t xml:space="preserve">blind </w:t>
      </w:r>
      <w:r>
        <w:t>t</w:t>
      </w:r>
      <w:r w:rsidRPr="00BE3780">
        <w:t xml:space="preserve">reatment </w:t>
      </w:r>
      <w:r>
        <w:t>p</w:t>
      </w:r>
      <w:r w:rsidRPr="00BE3780">
        <w:t>eriod was tested first.</w:t>
      </w:r>
    </w:p>
    <w:p w14:paraId="6CF2235C" w14:textId="19402D37" w:rsidR="00BE3780" w:rsidRPr="00BE3780" w:rsidRDefault="00BE3780" w:rsidP="00BE3780">
      <w:pPr>
        <w:pStyle w:val="ListBullet"/>
      </w:pPr>
      <w:r w:rsidRPr="00BE3780">
        <w:t>The proportion of subjects achieving a 3</w:t>
      </w:r>
      <w:r>
        <w:t xml:space="preserve"> </w:t>
      </w:r>
      <w:r w:rsidRPr="00BE3780">
        <w:t>point</w:t>
      </w:r>
      <w:r>
        <w:t xml:space="preserve"> or greater</w:t>
      </w:r>
      <w:r w:rsidRPr="00BE3780">
        <w:t xml:space="preserve"> improvement from </w:t>
      </w:r>
      <w:r>
        <w:t>B</w:t>
      </w:r>
      <w:r w:rsidRPr="00BE3780">
        <w:t>aseline with respect to the WI-NRS at Week 8 was tested next, followed by Week 4.</w:t>
      </w:r>
    </w:p>
    <w:p w14:paraId="204364E7" w14:textId="779127EF" w:rsidR="00BE3780" w:rsidRPr="00BE3780" w:rsidRDefault="00BE3780" w:rsidP="00BE3780">
      <w:pPr>
        <w:pStyle w:val="ListBullet"/>
      </w:pPr>
      <w:r w:rsidRPr="00BE3780">
        <w:t xml:space="preserve">Testing continued with the proportion of subjects achieving a </w:t>
      </w:r>
      <w:r>
        <w:t xml:space="preserve">4 </w:t>
      </w:r>
      <w:r w:rsidRPr="00BE3780">
        <w:t xml:space="preserve">point </w:t>
      </w:r>
      <w:r>
        <w:t xml:space="preserve">or greater </w:t>
      </w:r>
      <w:r w:rsidRPr="00BE3780">
        <w:t>improvement at Week 8, followed by Week 4, in an identical manner.</w:t>
      </w:r>
    </w:p>
    <w:p w14:paraId="5482BBB9" w14:textId="32FF373E" w:rsidR="00BE3780" w:rsidRPr="00BE3780" w:rsidRDefault="00BE3780" w:rsidP="00BE3780">
      <w:pPr>
        <w:pStyle w:val="ListBullet"/>
      </w:pPr>
      <w:r w:rsidRPr="00BE3780">
        <w:t xml:space="preserve">Change from </w:t>
      </w:r>
      <w:r>
        <w:t>B</w:t>
      </w:r>
      <w:r w:rsidRPr="00BE3780">
        <w:t xml:space="preserve">aseline in Skindex-10 </w:t>
      </w:r>
      <w:r>
        <w:t>sc</w:t>
      </w:r>
      <w:r w:rsidRPr="00BE3780">
        <w:t xml:space="preserve">ale total score at Week 12 of the </w:t>
      </w:r>
      <w:proofErr w:type="gramStart"/>
      <w:r>
        <w:t>d</w:t>
      </w:r>
      <w:r w:rsidRPr="00BE3780">
        <w:t>ouble</w:t>
      </w:r>
      <w:r>
        <w:t xml:space="preserve"> </w:t>
      </w:r>
      <w:r w:rsidRPr="00BE3780">
        <w:t>blind</w:t>
      </w:r>
      <w:proofErr w:type="gramEnd"/>
      <w:r w:rsidRPr="00BE3780">
        <w:t xml:space="preserve"> </w:t>
      </w:r>
      <w:r>
        <w:t>t</w:t>
      </w:r>
      <w:r w:rsidRPr="00BE3780">
        <w:t xml:space="preserve">reatment </w:t>
      </w:r>
      <w:r>
        <w:t>p</w:t>
      </w:r>
      <w:r w:rsidRPr="00BE3780">
        <w:t>eriod using the ANCOVA approach.</w:t>
      </w:r>
    </w:p>
    <w:p w14:paraId="36687ED3" w14:textId="1BCC9DE9" w:rsidR="00BE3780" w:rsidRPr="00BE3780" w:rsidRDefault="00BE3780" w:rsidP="00BE3780">
      <w:pPr>
        <w:pStyle w:val="ListBullet"/>
      </w:pPr>
      <w:r w:rsidRPr="00BE3780">
        <w:t xml:space="preserve">Change from </w:t>
      </w:r>
      <w:r>
        <w:t>B</w:t>
      </w:r>
      <w:r w:rsidRPr="00BE3780">
        <w:t>aseline in 5</w:t>
      </w:r>
      <w:r w:rsidR="00D12774">
        <w:t>-</w:t>
      </w:r>
      <w:r w:rsidRPr="00BE3780">
        <w:t>D</w:t>
      </w:r>
      <w:r w:rsidR="00D12774">
        <w:t xml:space="preserve"> </w:t>
      </w:r>
      <w:r>
        <w:t>i</w:t>
      </w:r>
      <w:r w:rsidRPr="00BE3780">
        <w:t xml:space="preserve">tch </w:t>
      </w:r>
      <w:r>
        <w:t>s</w:t>
      </w:r>
      <w:r w:rsidRPr="00BE3780">
        <w:t xml:space="preserve">cale total scores at Week 12 of the </w:t>
      </w:r>
      <w:proofErr w:type="gramStart"/>
      <w:r>
        <w:t>d</w:t>
      </w:r>
      <w:r w:rsidRPr="00BE3780">
        <w:t>ouble</w:t>
      </w:r>
      <w:r>
        <w:t xml:space="preserve"> </w:t>
      </w:r>
      <w:r w:rsidRPr="00BE3780">
        <w:t>blind</w:t>
      </w:r>
      <w:proofErr w:type="gramEnd"/>
      <w:r w:rsidRPr="00BE3780">
        <w:t xml:space="preserve"> </w:t>
      </w:r>
      <w:r>
        <w:t>t</w:t>
      </w:r>
      <w:r w:rsidRPr="00BE3780">
        <w:t xml:space="preserve">reatment </w:t>
      </w:r>
      <w:r>
        <w:t>p</w:t>
      </w:r>
      <w:r w:rsidRPr="00BE3780">
        <w:t>eriod using the ANCOVA approach.</w:t>
      </w:r>
    </w:p>
    <w:p w14:paraId="7305BAFF" w14:textId="3CE2D96C" w:rsidR="00BE3780" w:rsidRPr="00BE3780" w:rsidRDefault="00BE3780" w:rsidP="00BE3780">
      <w:r w:rsidRPr="00BE3780">
        <w:t>If the test of an endpoint in the sequence was not statistically significant, the P value for the tests corresponding to the remaining endpoints in the sequence were not considered inferential and the null hypotheses for the subsequent tests were not rejected.</w:t>
      </w:r>
    </w:p>
    <w:p w14:paraId="3DE3AD1E" w14:textId="65BBE6FD" w:rsidR="00BE3780" w:rsidRPr="00BE3780" w:rsidRDefault="00BE3780" w:rsidP="00BE3780">
      <w:pPr>
        <w:pStyle w:val="Heading7"/>
      </w:pPr>
      <w:r w:rsidRPr="00BE3780">
        <w:t>Baseline data</w:t>
      </w:r>
    </w:p>
    <w:p w14:paraId="75C9DCD8" w14:textId="4D26EE78" w:rsidR="00BE3780" w:rsidRDefault="00BE3780" w:rsidP="00BE3780">
      <w:r w:rsidRPr="00BE3780">
        <w:t xml:space="preserve">Baseline demographic characteristics were generally comparable between </w:t>
      </w:r>
      <w:r>
        <w:t>d</w:t>
      </w:r>
      <w:r w:rsidRPr="00BE3780">
        <w:t xml:space="preserve">ifelikefalin and placebo groups. </w:t>
      </w:r>
      <w:proofErr w:type="gramStart"/>
      <w:r w:rsidRPr="00BE3780">
        <w:t>The majority of</w:t>
      </w:r>
      <w:proofErr w:type="gramEnd"/>
      <w:r w:rsidRPr="00BE3780">
        <w:t xml:space="preserve"> patients were male (58.2%: </w:t>
      </w:r>
      <w:r>
        <w:t>placebo</w:t>
      </w:r>
      <w:r w:rsidRPr="00BE3780">
        <w:t xml:space="preserve"> = 58.9%, </w:t>
      </w:r>
      <w:r>
        <w:t>d</w:t>
      </w:r>
      <w:r w:rsidRPr="00BE3780">
        <w:t>ifelikefalin</w:t>
      </w:r>
      <w:r>
        <w:t> </w:t>
      </w:r>
      <w:r w:rsidRPr="00BE3780">
        <w:t>=</w:t>
      </w:r>
      <w:r>
        <w:t> </w:t>
      </w:r>
      <w:r w:rsidRPr="00BE3780">
        <w:t>57.4%), and the median age was 60 years (</w:t>
      </w:r>
      <w:r>
        <w:t>placebo</w:t>
      </w:r>
      <w:r w:rsidRPr="00BE3780">
        <w:t xml:space="preserve"> = 60 years, </w:t>
      </w:r>
      <w:r>
        <w:t>d</w:t>
      </w:r>
      <w:r w:rsidRPr="00BE3780">
        <w:t>ifelikefalin</w:t>
      </w:r>
      <w:r>
        <w:t> </w:t>
      </w:r>
      <w:r w:rsidRPr="00BE3780">
        <w:t>=</w:t>
      </w:r>
      <w:r>
        <w:t> </w:t>
      </w:r>
      <w:r w:rsidRPr="00BE3780">
        <w:t>61</w:t>
      </w:r>
      <w:r w:rsidR="00D12774">
        <w:t> </w:t>
      </w:r>
      <w:r w:rsidRPr="00BE3780">
        <w:t xml:space="preserve">years). The predominant races were </w:t>
      </w:r>
      <w:r>
        <w:t>W</w:t>
      </w:r>
      <w:r w:rsidRPr="00BE3780">
        <w:t xml:space="preserve">hite (70.3%: </w:t>
      </w:r>
      <w:r>
        <w:t>placebo</w:t>
      </w:r>
      <w:r w:rsidRPr="00BE3780">
        <w:t xml:space="preserve"> = 71.6%, </w:t>
      </w:r>
      <w:r>
        <w:t>d</w:t>
      </w:r>
      <w:r w:rsidRPr="00BE3780">
        <w:t xml:space="preserve">ifelikefalin = 68.9%) and </w:t>
      </w:r>
      <w:r>
        <w:t>B</w:t>
      </w:r>
      <w:r w:rsidRPr="00BE3780">
        <w:t xml:space="preserve">lack/African American (19.3%: </w:t>
      </w:r>
      <w:r>
        <w:t>placebo</w:t>
      </w:r>
      <w:r w:rsidRPr="00BE3780">
        <w:t xml:space="preserve"> = 16.1%, </w:t>
      </w:r>
      <w:r>
        <w:t>d</w:t>
      </w:r>
      <w:r w:rsidRPr="00BE3780">
        <w:t>ifelikefalin</w:t>
      </w:r>
      <w:r w:rsidR="00D12774">
        <w:t> </w:t>
      </w:r>
      <w:r w:rsidRPr="00BE3780">
        <w:t>=</w:t>
      </w:r>
      <w:r w:rsidR="00D12774">
        <w:t> </w:t>
      </w:r>
      <w:r w:rsidRPr="00BE3780">
        <w:t>22.6%)</w:t>
      </w:r>
      <w:r w:rsidR="00D12774">
        <w:t xml:space="preserve"> (see </w:t>
      </w:r>
      <w:r w:rsidR="00D12774">
        <w:fldChar w:fldCharType="begin"/>
      </w:r>
      <w:r w:rsidR="00D12774">
        <w:instrText xml:space="preserve"> REF _Ref142554002 \h </w:instrText>
      </w:r>
      <w:r w:rsidR="00D12774">
        <w:fldChar w:fldCharType="separate"/>
      </w:r>
      <w:r w:rsidR="00B44DE2">
        <w:t xml:space="preserve">Table </w:t>
      </w:r>
      <w:r w:rsidR="00B44DE2">
        <w:rPr>
          <w:noProof/>
        </w:rPr>
        <w:t>13</w:t>
      </w:r>
      <w:r w:rsidR="00D12774">
        <w:fldChar w:fldCharType="end"/>
      </w:r>
      <w:r w:rsidR="00D12774">
        <w:t>)</w:t>
      </w:r>
      <w:r w:rsidRPr="00BE3780">
        <w:t>.</w:t>
      </w:r>
    </w:p>
    <w:p w14:paraId="73BC1047" w14:textId="4FBF4794" w:rsidR="007072DF" w:rsidRDefault="007072DF" w:rsidP="007072DF">
      <w:pPr>
        <w:pStyle w:val="TableTitle"/>
      </w:pPr>
      <w:bookmarkStart w:id="72" w:name="_Ref142554002"/>
      <w:r>
        <w:lastRenderedPageBreak/>
        <w:t xml:space="preserve">Table </w:t>
      </w:r>
      <w:r>
        <w:fldChar w:fldCharType="begin"/>
      </w:r>
      <w:r>
        <w:instrText>SEQ Table \* ARABIC</w:instrText>
      </w:r>
      <w:r>
        <w:fldChar w:fldCharType="separate"/>
      </w:r>
      <w:r w:rsidR="00B44DE2">
        <w:rPr>
          <w:noProof/>
        </w:rPr>
        <w:t>13</w:t>
      </w:r>
      <w:r>
        <w:fldChar w:fldCharType="end"/>
      </w:r>
      <w:bookmarkEnd w:id="72"/>
      <w:r>
        <w:t>: Study CR845-CLIN3103 Subject demographics</w:t>
      </w:r>
    </w:p>
    <w:p w14:paraId="4C2B0601" w14:textId="06D9F5FB" w:rsidR="007072DF" w:rsidRPr="007072DF" w:rsidRDefault="007072DF" w:rsidP="007072DF">
      <w:r>
        <w:rPr>
          <w:noProof/>
        </w:rPr>
        <w:drawing>
          <wp:inline distT="0" distB="0" distL="0" distR="0" wp14:anchorId="41D07B2A" wp14:editId="53AF1CB7">
            <wp:extent cx="5779770" cy="8391525"/>
            <wp:effectExtent l="0" t="0" r="0" b="9525"/>
            <wp:docPr id="14" name="Picture 14" descr="Study CR845-CLIN3103 Subjec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CR845-CLIN3103 Subject demographics"/>
                    <pic:cNvPicPr>
                      <a:picLocks noChangeAspect="1" noChangeArrowheads="1"/>
                    </pic:cNvPicPr>
                  </pic:nvPicPr>
                  <pic:blipFill rotWithShape="1">
                    <a:blip r:embed="rId43">
                      <a:extLst>
                        <a:ext uri="{28A0092B-C50C-407E-A947-70E740481C1C}">
                          <a14:useLocalDpi xmlns:a14="http://schemas.microsoft.com/office/drawing/2010/main" val="0"/>
                        </a:ext>
                      </a:extLst>
                    </a:blip>
                    <a:srcRect b="7871"/>
                    <a:stretch/>
                  </pic:blipFill>
                  <pic:spPr bwMode="auto">
                    <a:xfrm>
                      <a:off x="0" y="0"/>
                      <a:ext cx="5779770"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2512EA64" w14:textId="590649A3" w:rsidR="007072DF" w:rsidRPr="007072DF" w:rsidRDefault="007072DF" w:rsidP="007072DF">
      <w:pPr>
        <w:pStyle w:val="TableDescription"/>
      </w:pPr>
      <w:r>
        <w:lastRenderedPageBreak/>
        <w:t xml:space="preserve">Abbreviations: </w:t>
      </w:r>
      <w:r w:rsidRPr="007072DF">
        <w:t>AUS = Australia</w:t>
      </w:r>
      <w:r>
        <w:t>,</w:t>
      </w:r>
      <w:r w:rsidRPr="007072DF">
        <w:t xml:space="preserve"> CAN = Canada</w:t>
      </w:r>
      <w:r>
        <w:t>,</w:t>
      </w:r>
      <w:r w:rsidRPr="007072DF">
        <w:t xml:space="preserve"> CZE = Czech Republic</w:t>
      </w:r>
      <w:r>
        <w:t>,</w:t>
      </w:r>
      <w:r w:rsidRPr="007072DF">
        <w:t xml:space="preserve"> DEU = Germany</w:t>
      </w:r>
      <w:r>
        <w:t>,</w:t>
      </w:r>
      <w:r w:rsidRPr="007072DF">
        <w:t xml:space="preserve"> GBR</w:t>
      </w:r>
      <w:r>
        <w:t> </w:t>
      </w:r>
      <w:r w:rsidRPr="007072DF">
        <w:t>=</w:t>
      </w:r>
      <w:r>
        <w:t> </w:t>
      </w:r>
      <w:r w:rsidRPr="007072DF">
        <w:t>Great Britain</w:t>
      </w:r>
      <w:r>
        <w:t xml:space="preserve">, </w:t>
      </w:r>
      <w:r w:rsidRPr="007072DF">
        <w:t>HUN</w:t>
      </w:r>
      <w:r>
        <w:t> </w:t>
      </w:r>
      <w:r w:rsidRPr="007072DF">
        <w:t>=</w:t>
      </w:r>
      <w:r>
        <w:t> </w:t>
      </w:r>
      <w:r w:rsidRPr="007072DF">
        <w:t>Hungary</w:t>
      </w:r>
      <w:r>
        <w:t>,</w:t>
      </w:r>
      <w:r w:rsidRPr="007072DF">
        <w:t xml:space="preserve"> KOR =</w:t>
      </w:r>
      <w:r>
        <w:t xml:space="preserve"> </w:t>
      </w:r>
      <w:r w:rsidRPr="007072DF">
        <w:t>Korea</w:t>
      </w:r>
      <w:r>
        <w:t>,</w:t>
      </w:r>
      <w:r w:rsidRPr="007072DF">
        <w:t xml:space="preserve"> max = maximum</w:t>
      </w:r>
      <w:r>
        <w:t>,</w:t>
      </w:r>
      <w:r w:rsidRPr="007072DF">
        <w:t xml:space="preserve"> min = minimum</w:t>
      </w:r>
      <w:r>
        <w:t>,</w:t>
      </w:r>
      <w:r w:rsidRPr="007072DF">
        <w:t xml:space="preserve"> NZL</w:t>
      </w:r>
      <w:r>
        <w:t> </w:t>
      </w:r>
      <w:r w:rsidRPr="007072DF">
        <w:t>=</w:t>
      </w:r>
      <w:r>
        <w:t> </w:t>
      </w:r>
      <w:r w:rsidRPr="007072DF">
        <w:t>New Zealand</w:t>
      </w:r>
      <w:r>
        <w:t>,</w:t>
      </w:r>
      <w:r w:rsidRPr="007072DF">
        <w:t xml:space="preserve"> POL = Poland</w:t>
      </w:r>
      <w:r>
        <w:t>,</w:t>
      </w:r>
      <w:r w:rsidRPr="007072DF">
        <w:t xml:space="preserve"> SD = standard deviation</w:t>
      </w:r>
      <w:r>
        <w:t>,</w:t>
      </w:r>
      <w:r w:rsidRPr="007072DF">
        <w:t xml:space="preserve"> TWN = Taiwan</w:t>
      </w:r>
      <w:r>
        <w:t xml:space="preserve">, </w:t>
      </w:r>
      <w:r w:rsidRPr="007072DF">
        <w:t>USA = United States</w:t>
      </w:r>
    </w:p>
    <w:p w14:paraId="79DB6E27" w14:textId="61B6BF37" w:rsidR="00BE3780" w:rsidRPr="007072DF" w:rsidRDefault="007072DF" w:rsidP="007072DF">
      <w:pPr>
        <w:pStyle w:val="TableDescription"/>
      </w:pPr>
      <w:r w:rsidRPr="007072DF">
        <w:t>Note: Percentages were based on the number of subjects in each group and noted parenthetically.</w:t>
      </w:r>
    </w:p>
    <w:p w14:paraId="0977EF23" w14:textId="77777777" w:rsidR="007072DF" w:rsidRPr="007072DF" w:rsidRDefault="007072DF" w:rsidP="00E81FD4">
      <w:pPr>
        <w:pStyle w:val="Heading8"/>
      </w:pPr>
      <w:r w:rsidRPr="007072DF">
        <w:t>Baseline disease characteristics</w:t>
      </w:r>
    </w:p>
    <w:p w14:paraId="646EE99C" w14:textId="4B7FC094" w:rsidR="00BE3780" w:rsidRDefault="007072DF" w:rsidP="007072DF">
      <w:r w:rsidRPr="007072DF">
        <w:t>The above were also generally comparable between treatment groups. The median duration of chronic kidney disease associated pruritus (CKD-</w:t>
      </w:r>
      <w:proofErr w:type="spellStart"/>
      <w:r w:rsidRPr="007072DF">
        <w:t>aP</w:t>
      </w:r>
      <w:proofErr w:type="spellEnd"/>
      <w:r w:rsidRPr="007072DF">
        <w:t>) for all subjects was 2.28 years (placebo = 2.50, difelikefalin = 2.03) and the median WI-NRS score at Baseline was 7.13 (placebo = 7, difelikefalin = 7.20)</w:t>
      </w:r>
      <w:r w:rsidR="00D12774">
        <w:t xml:space="preserve"> (see </w:t>
      </w:r>
      <w:r w:rsidR="00D12774">
        <w:fldChar w:fldCharType="begin"/>
      </w:r>
      <w:r w:rsidR="00D12774">
        <w:instrText xml:space="preserve"> REF _Ref142554019 \h </w:instrText>
      </w:r>
      <w:r w:rsidR="00D12774">
        <w:fldChar w:fldCharType="separate"/>
      </w:r>
      <w:r w:rsidR="00B44DE2">
        <w:t xml:space="preserve">Table </w:t>
      </w:r>
      <w:r w:rsidR="00B44DE2">
        <w:rPr>
          <w:noProof/>
        </w:rPr>
        <w:t>14</w:t>
      </w:r>
      <w:r w:rsidR="00D12774">
        <w:fldChar w:fldCharType="end"/>
      </w:r>
      <w:r w:rsidR="00D12774">
        <w:t>)</w:t>
      </w:r>
      <w:r w:rsidRPr="007072DF">
        <w:t>.</w:t>
      </w:r>
    </w:p>
    <w:p w14:paraId="53A4DA9C" w14:textId="341F9FFF" w:rsidR="007072DF" w:rsidRPr="007072DF" w:rsidRDefault="007072DF" w:rsidP="007072DF">
      <w:pPr>
        <w:pStyle w:val="TableTitle"/>
      </w:pPr>
      <w:bookmarkStart w:id="73" w:name="_Ref142554019"/>
      <w:r>
        <w:lastRenderedPageBreak/>
        <w:t xml:space="preserve">Table </w:t>
      </w:r>
      <w:r>
        <w:fldChar w:fldCharType="begin"/>
      </w:r>
      <w:r>
        <w:instrText>SEQ Table \* ARABIC</w:instrText>
      </w:r>
      <w:r>
        <w:fldChar w:fldCharType="separate"/>
      </w:r>
      <w:r w:rsidR="00B44DE2">
        <w:rPr>
          <w:noProof/>
        </w:rPr>
        <w:t>14</w:t>
      </w:r>
      <w:r>
        <w:fldChar w:fldCharType="end"/>
      </w:r>
      <w:bookmarkEnd w:id="73"/>
      <w:r>
        <w:t>: Study CR845-CLIN3103 Subject baseline characteristics</w:t>
      </w:r>
    </w:p>
    <w:p w14:paraId="6466BD40" w14:textId="72239DB3" w:rsidR="007072DF" w:rsidRPr="007072DF" w:rsidRDefault="007072DF" w:rsidP="007072DF">
      <w:r>
        <w:rPr>
          <w:noProof/>
        </w:rPr>
        <w:drawing>
          <wp:inline distT="0" distB="0" distL="0" distR="0" wp14:anchorId="5FC4ECFB" wp14:editId="075C6FB5">
            <wp:extent cx="5773420" cy="8239125"/>
            <wp:effectExtent l="0" t="0" r="0" b="9525"/>
            <wp:docPr id="26" name="Picture 26" descr="Study CR845-CLIN3103 Subjec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CR845-CLIN3103 Subject baseline characteristics"/>
                    <pic:cNvPicPr>
                      <a:picLocks noChangeAspect="1" noChangeArrowheads="1"/>
                    </pic:cNvPicPr>
                  </pic:nvPicPr>
                  <pic:blipFill rotWithShape="1">
                    <a:blip r:embed="rId44">
                      <a:extLst>
                        <a:ext uri="{28A0092B-C50C-407E-A947-70E740481C1C}">
                          <a14:useLocalDpi xmlns:a14="http://schemas.microsoft.com/office/drawing/2010/main" val="0"/>
                        </a:ext>
                      </a:extLst>
                    </a:blip>
                    <a:srcRect b="6413"/>
                    <a:stretch/>
                  </pic:blipFill>
                  <pic:spPr bwMode="auto">
                    <a:xfrm>
                      <a:off x="0" y="0"/>
                      <a:ext cx="5773420" cy="8239125"/>
                    </a:xfrm>
                    <a:prstGeom prst="rect">
                      <a:avLst/>
                    </a:prstGeom>
                    <a:noFill/>
                    <a:ln>
                      <a:noFill/>
                    </a:ln>
                    <a:extLst>
                      <a:ext uri="{53640926-AAD7-44D8-BBD7-CCE9431645EC}">
                        <a14:shadowObscured xmlns:a14="http://schemas.microsoft.com/office/drawing/2010/main"/>
                      </a:ext>
                    </a:extLst>
                  </pic:spPr>
                </pic:pic>
              </a:graphicData>
            </a:graphic>
          </wp:inline>
        </w:drawing>
      </w:r>
    </w:p>
    <w:p w14:paraId="5E9F9465" w14:textId="00C728F6" w:rsidR="007072DF" w:rsidRDefault="007072DF" w:rsidP="007072DF">
      <w:pPr>
        <w:pStyle w:val="TableDescription"/>
      </w:pPr>
      <w:r>
        <w:t>Abbreviations: CKD = chronic kidney disease, ESRD = end stage renal disease, max = maximum, min = minimum, NRS = numerical rating scale, SD = standard deviation</w:t>
      </w:r>
    </w:p>
    <w:p w14:paraId="2B0CC94C" w14:textId="77777777" w:rsidR="007072DF" w:rsidRDefault="007072DF" w:rsidP="007072DF">
      <w:pPr>
        <w:pStyle w:val="TableDescription"/>
      </w:pPr>
      <w:r>
        <w:t>[1] Observed stratum values.</w:t>
      </w:r>
    </w:p>
    <w:p w14:paraId="7718BF61" w14:textId="77BF250B" w:rsidR="002C0DB2" w:rsidRDefault="007072DF" w:rsidP="007072DF">
      <w:pPr>
        <w:pStyle w:val="TableDescription"/>
      </w:pPr>
      <w:r>
        <w:lastRenderedPageBreak/>
        <w:t>[2] More than one item may be checked.</w:t>
      </w:r>
    </w:p>
    <w:p w14:paraId="5363D46D" w14:textId="57DC091E" w:rsidR="007072DF" w:rsidRDefault="007072DF" w:rsidP="007072DF">
      <w:r w:rsidRPr="007072DF">
        <w:t>The clinical evaluation concluded overall, the baseline demographic and disease characteristics were comparable between treatment groups and were consistent with the target patient population.</w:t>
      </w:r>
    </w:p>
    <w:p w14:paraId="1ECF4926" w14:textId="77777777" w:rsidR="007072DF" w:rsidRPr="007072DF" w:rsidRDefault="007072DF" w:rsidP="007072DF">
      <w:pPr>
        <w:pStyle w:val="Heading7"/>
      </w:pPr>
      <w:r w:rsidRPr="007072DF">
        <w:t>Major protocol violations/deviations</w:t>
      </w:r>
    </w:p>
    <w:p w14:paraId="11360230" w14:textId="59CED884" w:rsidR="007072DF" w:rsidRPr="007072DF" w:rsidRDefault="007072DF" w:rsidP="007072DF">
      <w:r w:rsidRPr="007072DF">
        <w:t xml:space="preserve">Overall, 34.2% of subjects reported at least </w:t>
      </w:r>
      <w:r>
        <w:t>one</w:t>
      </w:r>
      <w:r w:rsidRPr="007072DF">
        <w:t xml:space="preserve"> major protocol deviation (37.9% and 30.5% in the </w:t>
      </w:r>
      <w:r>
        <w:t>d</w:t>
      </w:r>
      <w:r w:rsidRPr="007072DF">
        <w:t>ifelikefalin and placebo groups, respectively).</w:t>
      </w:r>
    </w:p>
    <w:p w14:paraId="5FFE9492" w14:textId="77777777" w:rsidR="007072DF" w:rsidRPr="007072DF" w:rsidRDefault="007072DF" w:rsidP="007072DF">
      <w:r w:rsidRPr="007072DF">
        <w:t>The most frequently identified categories of major deviations were:</w:t>
      </w:r>
    </w:p>
    <w:p w14:paraId="44969A87" w14:textId="1E9E3E5E" w:rsidR="007072DF" w:rsidRPr="007072DF" w:rsidRDefault="007072DF" w:rsidP="007072DF">
      <w:pPr>
        <w:pStyle w:val="ListBullet"/>
      </w:pPr>
      <w:r w:rsidRPr="007072DF">
        <w:t>dosing non-compliance (17.4%)</w:t>
      </w:r>
    </w:p>
    <w:p w14:paraId="60B2FFB0" w14:textId="325CDB6B" w:rsidR="007072DF" w:rsidRPr="007072DF" w:rsidRDefault="007072DF" w:rsidP="007072DF">
      <w:pPr>
        <w:pStyle w:val="ListBullet"/>
      </w:pPr>
      <w:r w:rsidRPr="007072DF">
        <w:t>procedure not performed (15.3%)</w:t>
      </w:r>
    </w:p>
    <w:p w14:paraId="1F645F64" w14:textId="64A8A8D3" w:rsidR="007072DF" w:rsidRDefault="007072DF" w:rsidP="009E4B11">
      <w:pPr>
        <w:pStyle w:val="ListBullet"/>
      </w:pPr>
      <w:r w:rsidRPr="007072DF">
        <w:t>procedure performed out of window (6.2%)</w:t>
      </w:r>
      <w:r w:rsidR="007D473D">
        <w:t>.</w:t>
      </w:r>
    </w:p>
    <w:p w14:paraId="20B018D1" w14:textId="4A98DBE3" w:rsidR="007072DF" w:rsidRPr="007072DF" w:rsidRDefault="007072DF" w:rsidP="007072DF">
      <w:r w:rsidRPr="007072DF">
        <w:t>Subjects who had deviations categori</w:t>
      </w:r>
      <w:r w:rsidR="00AD0797">
        <w:t>s</w:t>
      </w:r>
      <w:r w:rsidRPr="007072DF">
        <w:t xml:space="preserve">ed as </w:t>
      </w:r>
      <w:r>
        <w:t>‘</w:t>
      </w:r>
      <w:r w:rsidRPr="007072DF">
        <w:t>other</w:t>
      </w:r>
      <w:r>
        <w:t>’</w:t>
      </w:r>
      <w:r w:rsidRPr="007072DF">
        <w:t xml:space="preserve"> represented 14% of the </w:t>
      </w:r>
      <w:proofErr w:type="gramStart"/>
      <w:r>
        <w:t>double blind</w:t>
      </w:r>
      <w:proofErr w:type="gramEnd"/>
      <w:r>
        <w:t xml:space="preserve"> s</w:t>
      </w:r>
      <w:r w:rsidRPr="007072DF">
        <w:t xml:space="preserve">afety </w:t>
      </w:r>
      <w:r>
        <w:t>p</w:t>
      </w:r>
      <w:r w:rsidRPr="007072DF">
        <w:t xml:space="preserve">opulation </w:t>
      </w:r>
      <w:r>
        <w:t>(examples included)</w:t>
      </w:r>
      <w:r w:rsidRPr="007072DF">
        <w:t>:</w:t>
      </w:r>
    </w:p>
    <w:p w14:paraId="1EB4DA8D" w14:textId="1BA2270F" w:rsidR="007072DF" w:rsidRPr="007072DF" w:rsidRDefault="007072DF" w:rsidP="007072DF">
      <w:pPr>
        <w:pStyle w:val="ListBullet"/>
      </w:pPr>
      <w:r w:rsidRPr="007072DF">
        <w:t>error in stratification of subject by medical history</w:t>
      </w:r>
    </w:p>
    <w:p w14:paraId="1B3117C9" w14:textId="5292D776" w:rsidR="007072DF" w:rsidRPr="007072DF" w:rsidRDefault="007072DF" w:rsidP="007072DF">
      <w:pPr>
        <w:pStyle w:val="ListBullet"/>
      </w:pPr>
      <w:r w:rsidRPr="007072DF">
        <w:t>incorrect recording of use of anti-itch medication at the time of randomisation</w:t>
      </w:r>
    </w:p>
    <w:p w14:paraId="456A3536" w14:textId="38FAF062" w:rsidR="007072DF" w:rsidRPr="007072DF" w:rsidRDefault="00D12774" w:rsidP="007072DF">
      <w:pPr>
        <w:pStyle w:val="ListBullet"/>
      </w:pPr>
      <w:r>
        <w:t>a</w:t>
      </w:r>
      <w:r w:rsidR="007072DF">
        <w:t>dverse event</w:t>
      </w:r>
      <w:r w:rsidR="007072DF" w:rsidRPr="007072DF">
        <w:t>/</w:t>
      </w:r>
      <w:r w:rsidR="007072DF">
        <w:t xml:space="preserve">serious adverse event </w:t>
      </w:r>
      <w:r w:rsidR="007072DF" w:rsidRPr="007072DF">
        <w:t>not reported within 24 hours</w:t>
      </w:r>
    </w:p>
    <w:p w14:paraId="1688457E" w14:textId="6D4A51A0" w:rsidR="007072DF" w:rsidRPr="007072DF" w:rsidRDefault="007072DF" w:rsidP="007072DF">
      <w:pPr>
        <w:pStyle w:val="ListBullet"/>
      </w:pPr>
      <w:r w:rsidRPr="007072DF">
        <w:t>incomplete laboratory sample processing</w:t>
      </w:r>
    </w:p>
    <w:p w14:paraId="04DEA355" w14:textId="18343181" w:rsidR="007072DF" w:rsidRPr="007072DF" w:rsidRDefault="007072DF" w:rsidP="007072DF">
      <w:pPr>
        <w:pStyle w:val="ListBullet"/>
      </w:pPr>
      <w:r w:rsidRPr="007072DF">
        <w:t>inadequate informed consent administration</w:t>
      </w:r>
    </w:p>
    <w:p w14:paraId="6C2C9BF7" w14:textId="1237889C" w:rsidR="007072DF" w:rsidRPr="007072DF" w:rsidRDefault="007072DF" w:rsidP="007072DF">
      <w:pPr>
        <w:pStyle w:val="ListBullet"/>
      </w:pPr>
      <w:r w:rsidRPr="007072DF">
        <w:t>incorrect handling of investigational product</w:t>
      </w:r>
    </w:p>
    <w:p w14:paraId="2F56BABC" w14:textId="1BE09598" w:rsidR="007072DF" w:rsidRDefault="007072DF" w:rsidP="007072DF">
      <w:pPr>
        <w:pStyle w:val="ListBullet"/>
      </w:pPr>
      <w:r w:rsidRPr="007072DF">
        <w:t>insufficient subject training on questionnaires and other documentation</w:t>
      </w:r>
      <w:r w:rsidR="007D473D">
        <w:t>.</w:t>
      </w:r>
    </w:p>
    <w:p w14:paraId="31C0773B" w14:textId="0D34A79B" w:rsidR="0084188E" w:rsidRDefault="0084188E" w:rsidP="007072DF">
      <w:pPr>
        <w:pStyle w:val="Heading7"/>
      </w:pPr>
      <w:r w:rsidRPr="0084188E">
        <w:t>Results for efficacy outcome</w:t>
      </w:r>
    </w:p>
    <w:p w14:paraId="2CD65A61" w14:textId="5CBBF55A" w:rsidR="007072DF" w:rsidRDefault="007072DF" w:rsidP="00E81FD4">
      <w:pPr>
        <w:pStyle w:val="Heading8"/>
      </w:pPr>
      <w:r>
        <w:t>Primary efficacy outcomes</w:t>
      </w:r>
    </w:p>
    <w:p w14:paraId="7009245E" w14:textId="7EFC0CCD" w:rsidR="007072DF" w:rsidRDefault="007072DF" w:rsidP="007072DF">
      <w:r w:rsidRPr="007072DF">
        <w:t>At Week 12, the least squares (</w:t>
      </w:r>
      <w:r w:rsidRPr="00D12774">
        <w:t>LS</w:t>
      </w:r>
      <w:r w:rsidRPr="007072DF">
        <w:t>) mean percentage of subjects with a 3</w:t>
      </w:r>
      <w:r>
        <w:t xml:space="preserve"> </w:t>
      </w:r>
      <w:r w:rsidRPr="007072DF">
        <w:t xml:space="preserve">point </w:t>
      </w:r>
      <w:r>
        <w:t xml:space="preserve">or greater </w:t>
      </w:r>
      <w:r w:rsidRPr="007072DF">
        <w:t xml:space="preserve">improvement from </w:t>
      </w:r>
      <w:r>
        <w:t>B</w:t>
      </w:r>
      <w:r w:rsidRPr="007072DF">
        <w:t xml:space="preserve">aseline in the WI-NRS score was 54% in the </w:t>
      </w:r>
      <w:r>
        <w:t>d</w:t>
      </w:r>
      <w:r w:rsidRPr="007072DF">
        <w:t xml:space="preserve">ifelikefalin group, compared with 42.2% in the placebo group. The estimated odds ratio for a </w:t>
      </w:r>
      <w:r>
        <w:t xml:space="preserve">3 </w:t>
      </w:r>
      <w:r w:rsidRPr="007072DF">
        <w:t>point</w:t>
      </w:r>
      <w:r>
        <w:t xml:space="preserve"> or greater</w:t>
      </w:r>
      <w:r w:rsidRPr="007072DF">
        <w:t xml:space="preserve"> improvement from </w:t>
      </w:r>
      <w:r>
        <w:t>B</w:t>
      </w:r>
      <w:r w:rsidRPr="007072DF">
        <w:t xml:space="preserve">aseline with </w:t>
      </w:r>
      <w:r>
        <w:t>d</w:t>
      </w:r>
      <w:r w:rsidRPr="007072DF">
        <w:t xml:space="preserve">ifelikefalin versus placebo was 1.61 (95% confidence interval </w:t>
      </w:r>
      <w:r>
        <w:t>(</w:t>
      </w:r>
      <w:r w:rsidRPr="00D12774">
        <w:t>CI</w:t>
      </w:r>
      <w:r>
        <w:t>)</w:t>
      </w:r>
      <w:r w:rsidRPr="007072DF">
        <w:t>: 1.08 to 2.41), which was statistically significant (P</w:t>
      </w:r>
      <w:r>
        <w:t xml:space="preserve"> </w:t>
      </w:r>
      <w:r w:rsidRPr="007072DF">
        <w:t>&lt;</w:t>
      </w:r>
      <w:r>
        <w:t xml:space="preserve"> </w:t>
      </w:r>
      <w:r w:rsidRPr="007072DF">
        <w:t>0.020)</w:t>
      </w:r>
      <w:r w:rsidR="00D12774">
        <w:t xml:space="preserve"> (see </w:t>
      </w:r>
      <w:r w:rsidR="00D12774">
        <w:fldChar w:fldCharType="begin"/>
      </w:r>
      <w:r w:rsidR="00D12774">
        <w:instrText xml:space="preserve"> REF _Ref142554248 \h </w:instrText>
      </w:r>
      <w:r w:rsidR="00D12774">
        <w:fldChar w:fldCharType="separate"/>
      </w:r>
      <w:r w:rsidR="00B44DE2">
        <w:t xml:space="preserve">Table </w:t>
      </w:r>
      <w:r w:rsidR="00B44DE2">
        <w:rPr>
          <w:noProof/>
        </w:rPr>
        <w:t>15</w:t>
      </w:r>
      <w:r w:rsidR="00D12774">
        <w:fldChar w:fldCharType="end"/>
      </w:r>
      <w:r w:rsidR="00D12774">
        <w:t>)</w:t>
      </w:r>
      <w:r>
        <w:t>.</w:t>
      </w:r>
    </w:p>
    <w:p w14:paraId="0178A1CE" w14:textId="77777777" w:rsidR="00E36472" w:rsidRDefault="007072DF" w:rsidP="00E36472">
      <w:pPr>
        <w:pStyle w:val="TableTitle"/>
      </w:pPr>
      <w:bookmarkStart w:id="74" w:name="_Ref142554248"/>
      <w:r>
        <w:t xml:space="preserve">Table </w:t>
      </w:r>
      <w:r>
        <w:fldChar w:fldCharType="begin"/>
      </w:r>
      <w:r>
        <w:instrText>SEQ Table \* ARABIC</w:instrText>
      </w:r>
      <w:r>
        <w:fldChar w:fldCharType="separate"/>
      </w:r>
      <w:r w:rsidR="00B44DE2">
        <w:rPr>
          <w:noProof/>
        </w:rPr>
        <w:t>15</w:t>
      </w:r>
      <w:r>
        <w:fldChar w:fldCharType="end"/>
      </w:r>
      <w:bookmarkEnd w:id="74"/>
      <w:r>
        <w:t xml:space="preserve">: Study CR845-CLIN3103 </w:t>
      </w:r>
      <w:r w:rsidR="00D12774">
        <w:t>P</w:t>
      </w:r>
      <w:r>
        <w:t>rimary analysis</w:t>
      </w:r>
      <w:r w:rsidR="00D12774">
        <w:t>, s</w:t>
      </w:r>
      <w:r>
        <w:t>ubjects with 3 point or greater improvement from Baseline at Week 12 with respect to the worst itching intensity numerical rating scale score</w:t>
      </w:r>
      <w:r w:rsidR="00D12774">
        <w:t xml:space="preserve">, </w:t>
      </w:r>
      <w:r>
        <w:t xml:space="preserve">multiple imputations with missing at random assumption </w:t>
      </w:r>
      <w:r w:rsidR="00D12774">
        <w:t>(</w:t>
      </w:r>
      <w:r>
        <w:t>intention to treat population</w:t>
      </w:r>
      <w:r w:rsidR="00D12774">
        <w:t>)</w:t>
      </w:r>
    </w:p>
    <w:p w14:paraId="7BA6054C" w14:textId="59D95401" w:rsidR="007072DF" w:rsidRPr="007072DF" w:rsidRDefault="007072DF" w:rsidP="00E36472">
      <w:r>
        <w:rPr>
          <w:noProof/>
        </w:rPr>
        <w:drawing>
          <wp:inline distT="0" distB="0" distL="0" distR="0" wp14:anchorId="3748642D" wp14:editId="51999AEE">
            <wp:extent cx="5759450" cy="1729105"/>
            <wp:effectExtent l="0" t="0" r="0" b="4445"/>
            <wp:docPr id="27" name="Picture 27" descr="Study CR845-CLIN3103 Primary analysis, subjects with 3 point or greater improvement from Baseline at Week 12 with respect to the worst itching intensity numerical rating scale score, multiple imputations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CR845-CLIN3103 Primary analysis, subjects with 3 point or greater improvement from Baseline at Week 12 with respect to the worst itching intensity numerical rating scale score, multiple imputations with missing at random assumption (intention to treat population)"/>
                    <pic:cNvPicPr/>
                  </pic:nvPicPr>
                  <pic:blipFill>
                    <a:blip r:embed="rId45"/>
                    <a:stretch>
                      <a:fillRect/>
                    </a:stretch>
                  </pic:blipFill>
                  <pic:spPr>
                    <a:xfrm>
                      <a:off x="0" y="0"/>
                      <a:ext cx="5759450" cy="1729105"/>
                    </a:xfrm>
                    <a:prstGeom prst="rect">
                      <a:avLst/>
                    </a:prstGeom>
                  </pic:spPr>
                </pic:pic>
              </a:graphicData>
            </a:graphic>
          </wp:inline>
        </w:drawing>
      </w:r>
    </w:p>
    <w:p w14:paraId="7C77BA0B" w14:textId="760B0B7E" w:rsidR="007072DF" w:rsidRDefault="007072DF" w:rsidP="007072DF">
      <w:pPr>
        <w:pStyle w:val="TableDescription"/>
      </w:pPr>
      <w:r>
        <w:t>Abbreviations: CHW = Cui, Hung, Wang, CI = confidence interval, ITT = intention to treat, LH = Lawrence, Hung, LS = least squares, NRS = numerical rating scale</w:t>
      </w:r>
    </w:p>
    <w:p w14:paraId="18294251" w14:textId="77777777" w:rsidR="007072DF" w:rsidRDefault="007072DF" w:rsidP="007072DF">
      <w:pPr>
        <w:pStyle w:val="TableDescription"/>
      </w:pPr>
      <w:r>
        <w:lastRenderedPageBreak/>
        <w:t>[1] Counts and percentages were based on non-missing data.</w:t>
      </w:r>
    </w:p>
    <w:p w14:paraId="5CE1FF8E" w14:textId="2CD91D5E" w:rsidR="007072DF" w:rsidRDefault="007072DF" w:rsidP="007072DF">
      <w:pPr>
        <w:pStyle w:val="TableDescription"/>
      </w:pPr>
      <w:r>
        <w:t>[2] Estimated percentage, odds ratio and P value used a logistic regression model with terms for treatment group, baseline NRS score, region, use of anti-itch medication during the week prior to randomisation, and the presence of specific medical conditions. Missing values were imputed using MI under MAR missing data assumption for interim subjects and post-interim subjects separately.</w:t>
      </w:r>
    </w:p>
    <w:p w14:paraId="6BBEBEBA" w14:textId="4C9ABF87" w:rsidR="007072DF" w:rsidRDefault="007072DF" w:rsidP="007072DF">
      <w:pPr>
        <w:pStyle w:val="TableDescription"/>
      </w:pPr>
      <w:r>
        <w:t>Note: Combined analysis used the separate interim and post-interim results to generate an adjusted overall estimate and P value using the LH/CHW methodology.</w:t>
      </w:r>
    </w:p>
    <w:p w14:paraId="3E18186E" w14:textId="69BEC20B" w:rsidR="007072DF" w:rsidRDefault="007072DF" w:rsidP="007072DF">
      <w:r>
        <w:t>Regarding other analysis of the primary efficacy endpoint, supportive and sensitivity analyses findings were consistent with those of the primary efficacy analysis for the percentage of subjects with a 3 point or greater improvement in WI-NRS score at Week 12 for intention to treat and per</w:t>
      </w:r>
      <w:r w:rsidR="00E81FD4">
        <w:t>-</w:t>
      </w:r>
      <w:r>
        <w:t>protocol populations.</w:t>
      </w:r>
    </w:p>
    <w:p w14:paraId="000CA5C4" w14:textId="77777777" w:rsidR="00E36472" w:rsidRDefault="007072DF" w:rsidP="001F6D9E">
      <w:pPr>
        <w:pStyle w:val="TableTitle"/>
      </w:pPr>
      <w:r>
        <w:t xml:space="preserve">Table </w:t>
      </w:r>
      <w:r>
        <w:fldChar w:fldCharType="begin"/>
      </w:r>
      <w:r>
        <w:instrText>SEQ Table \* ARABIC</w:instrText>
      </w:r>
      <w:r>
        <w:fldChar w:fldCharType="separate"/>
      </w:r>
      <w:r w:rsidR="00B44DE2">
        <w:rPr>
          <w:noProof/>
        </w:rPr>
        <w:t>16</w:t>
      </w:r>
      <w:r>
        <w:fldChar w:fldCharType="end"/>
      </w:r>
      <w:r>
        <w:t>: Study CR845-CLIN3103 Key results of sensitivity and supportive analyses of the primary efficacy endpoint, percentage of subjects with a 3 point or greater improvement in worst itching intensity numerical rating scale at Week 12</w:t>
      </w:r>
      <w:r w:rsidR="001F6D9E">
        <w:t xml:space="preserve"> (intention to treat and per</w:t>
      </w:r>
      <w:r w:rsidR="00E81FD4">
        <w:noBreakHyphen/>
      </w:r>
      <w:r w:rsidR="001F6D9E">
        <w:t>protocol population)</w:t>
      </w:r>
    </w:p>
    <w:p w14:paraId="43344EAF" w14:textId="1CCD0384" w:rsidR="007072DF" w:rsidRDefault="007072DF" w:rsidP="00E36472">
      <w:r w:rsidRPr="007072DF">
        <w:rPr>
          <w:noProof/>
        </w:rPr>
        <w:drawing>
          <wp:inline distT="0" distB="0" distL="0" distR="0" wp14:anchorId="08745D6E" wp14:editId="3FFEAA8E">
            <wp:extent cx="5759450" cy="5149215"/>
            <wp:effectExtent l="0" t="0" r="0" b="0"/>
            <wp:docPr id="28" name="Picture 28" descr="Study CR845-CLIN3103 Key results of sensitivity and supportive analyses of the primary efficacy endpoint, percentage of subjects with a 3 point or greater improvement in worst itching intensity numerical rating scale at Week 12 (intention to treat and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CR845-CLIN3103 Key results of sensitivity and supportive analyses of the primary efficacy endpoint, percentage of subjects with a 3 point or greater improvement in worst itching intensity numerical rating scale at Week 12 (intention to treat and per protocol population)"/>
                    <pic:cNvPicPr/>
                  </pic:nvPicPr>
                  <pic:blipFill>
                    <a:blip r:embed="rId46"/>
                    <a:stretch>
                      <a:fillRect/>
                    </a:stretch>
                  </pic:blipFill>
                  <pic:spPr>
                    <a:xfrm>
                      <a:off x="0" y="0"/>
                      <a:ext cx="5759450" cy="5149215"/>
                    </a:xfrm>
                    <a:prstGeom prst="rect">
                      <a:avLst/>
                    </a:prstGeom>
                  </pic:spPr>
                </pic:pic>
              </a:graphicData>
            </a:graphic>
          </wp:inline>
        </w:drawing>
      </w:r>
    </w:p>
    <w:p w14:paraId="5F808993" w14:textId="4B0EAADC" w:rsidR="007072DF" w:rsidRPr="007072DF" w:rsidRDefault="007072DF" w:rsidP="007072DF">
      <w:pPr>
        <w:pStyle w:val="TableDescription"/>
      </w:pPr>
      <w:r>
        <w:t xml:space="preserve">Abbreviations: </w:t>
      </w:r>
      <w:r w:rsidRPr="007072DF">
        <w:t>CHW = Cui, Hung, Wang</w:t>
      </w:r>
      <w:r>
        <w:t>,</w:t>
      </w:r>
      <w:r w:rsidRPr="007072DF">
        <w:t xml:space="preserve"> CI = confidence interval</w:t>
      </w:r>
      <w:r>
        <w:t>,</w:t>
      </w:r>
      <w:r w:rsidRPr="007072DF">
        <w:t xml:space="preserve"> ITT = </w:t>
      </w:r>
      <w:r>
        <w:t>i</w:t>
      </w:r>
      <w:r w:rsidRPr="007072DF">
        <w:t>ntent</w:t>
      </w:r>
      <w:r>
        <w:t xml:space="preserve">ion </w:t>
      </w:r>
      <w:r w:rsidRPr="007072DF">
        <w:t>to</w:t>
      </w:r>
      <w:r>
        <w:t xml:space="preserve"> </w:t>
      </w:r>
      <w:r w:rsidRPr="007072DF">
        <w:t>treat</w:t>
      </w:r>
      <w:r>
        <w:t>,</w:t>
      </w:r>
      <w:r w:rsidRPr="007072DF">
        <w:t xml:space="preserve"> LH = Lawrence, Hung</w:t>
      </w:r>
      <w:r>
        <w:t>,</w:t>
      </w:r>
      <w:r w:rsidRPr="007072DF">
        <w:t xml:space="preserve"> LS</w:t>
      </w:r>
      <w:r>
        <w:t> </w:t>
      </w:r>
      <w:r w:rsidRPr="007072DF">
        <w:t>=</w:t>
      </w:r>
      <w:r>
        <w:t> </w:t>
      </w:r>
      <w:r w:rsidRPr="007072DF">
        <w:t>least</w:t>
      </w:r>
      <w:r>
        <w:t xml:space="preserve"> </w:t>
      </w:r>
      <w:r w:rsidRPr="007072DF">
        <w:t>squares</w:t>
      </w:r>
      <w:r>
        <w:t>,</w:t>
      </w:r>
      <w:r w:rsidRPr="007072DF">
        <w:t xml:space="preserve"> MNAR = missing not at random</w:t>
      </w:r>
    </w:p>
    <w:p w14:paraId="295C87CC" w14:textId="20C4E446" w:rsidR="007072DF" w:rsidRDefault="007072DF" w:rsidP="007072DF">
      <w:pPr>
        <w:pStyle w:val="TableDescription"/>
      </w:pPr>
      <w:r w:rsidRPr="007072DF">
        <w:t>[1] Analysis based on interim and post-interim subjects combined</w:t>
      </w:r>
      <w:r>
        <w:t>.</w:t>
      </w:r>
    </w:p>
    <w:p w14:paraId="3C7622E1" w14:textId="57ECD6ED" w:rsidR="007072DF" w:rsidRDefault="007072DF" w:rsidP="00E81FD4">
      <w:pPr>
        <w:pStyle w:val="Heading8"/>
      </w:pPr>
      <w:r>
        <w:t>Key secondary efficacy outcomes</w:t>
      </w:r>
    </w:p>
    <w:p w14:paraId="771F222F" w14:textId="4E833A33" w:rsidR="007072DF" w:rsidRDefault="007072DF" w:rsidP="007072DF">
      <w:r>
        <w:t>Percentage of subjects with a 3 point or greater improvement from Baseline in WI-NRS score:</w:t>
      </w:r>
    </w:p>
    <w:p w14:paraId="33FE1E56" w14:textId="43FB8459" w:rsidR="007072DF" w:rsidRDefault="007072DF" w:rsidP="007072DF">
      <w:pPr>
        <w:pStyle w:val="ListBullet"/>
      </w:pPr>
      <w:r w:rsidRPr="007072DF">
        <w:lastRenderedPageBreak/>
        <w:t xml:space="preserve">At Week 8, the LS mean percentage of subjects in the </w:t>
      </w:r>
      <w:r>
        <w:t>d</w:t>
      </w:r>
      <w:r w:rsidRPr="007072DF">
        <w:t>ifelikefalin group with a 3</w:t>
      </w:r>
      <w:r>
        <w:t xml:space="preserve"> </w:t>
      </w:r>
      <w:r w:rsidRPr="007072DF">
        <w:t>point</w:t>
      </w:r>
      <w:r>
        <w:t xml:space="preserve"> or greater </w:t>
      </w:r>
      <w:r w:rsidRPr="007072DF">
        <w:t xml:space="preserve">improvement from </w:t>
      </w:r>
      <w:r>
        <w:t>B</w:t>
      </w:r>
      <w:r w:rsidRPr="007072DF">
        <w:t xml:space="preserve">aseline in WI-NRS score was statistically significantly higher in the </w:t>
      </w:r>
      <w:r>
        <w:t>d</w:t>
      </w:r>
      <w:r w:rsidRPr="007072DF">
        <w:t xml:space="preserve">ifelikefalin group compared to the placebo group (49% versus 36.2%; odds ratio of 1.69 </w:t>
      </w:r>
      <w:r>
        <w:t>(</w:t>
      </w:r>
      <w:r w:rsidRPr="007072DF">
        <w:t>95% CI: 1.13 to 2.53</w:t>
      </w:r>
      <w:r>
        <w:t>)</w:t>
      </w:r>
      <w:r w:rsidRPr="007072DF">
        <w:t>, P</w:t>
      </w:r>
      <w:r>
        <w:t xml:space="preserve"> </w:t>
      </w:r>
      <w:r w:rsidRPr="007072DF">
        <w:t>=</w:t>
      </w:r>
      <w:r>
        <w:t xml:space="preserve"> </w:t>
      </w:r>
      <w:r w:rsidRPr="007072DF">
        <w:t xml:space="preserve">0.010). At Week 4, the LS mean percentage of subjects in the </w:t>
      </w:r>
      <w:r>
        <w:t>d</w:t>
      </w:r>
      <w:r w:rsidRPr="007072DF">
        <w:t>ifelikefalin group with a 3</w:t>
      </w:r>
      <w:r>
        <w:t xml:space="preserve"> </w:t>
      </w:r>
      <w:r w:rsidRPr="007072DF">
        <w:t>point</w:t>
      </w:r>
      <w:r>
        <w:t xml:space="preserve"> or greater</w:t>
      </w:r>
      <w:r w:rsidRPr="007072DF">
        <w:t xml:space="preserve"> improvement from </w:t>
      </w:r>
      <w:r>
        <w:t>B</w:t>
      </w:r>
      <w:r w:rsidRPr="007072DF">
        <w:t xml:space="preserve">aseline in WI-NRS was also statistically significantly higher in the </w:t>
      </w:r>
      <w:r>
        <w:t>d</w:t>
      </w:r>
      <w:r w:rsidRPr="007072DF">
        <w:t xml:space="preserve">ifelikefalin group compared to the placebo group (38.3% versus 23.8%; odds ratio of 1.99 </w:t>
      </w:r>
      <w:r>
        <w:t>(</w:t>
      </w:r>
      <w:r w:rsidRPr="007072DF">
        <w:t>95% CI: 1.29 to 3.06</w:t>
      </w:r>
      <w:r>
        <w:t>)</w:t>
      </w:r>
      <w:r w:rsidRPr="007072DF">
        <w:t>, P</w:t>
      </w:r>
      <w:r>
        <w:t xml:space="preserve"> </w:t>
      </w:r>
      <w:r w:rsidRPr="007072DF">
        <w:t>=</w:t>
      </w:r>
      <w:r>
        <w:t xml:space="preserve"> </w:t>
      </w:r>
      <w:r w:rsidRPr="007072DF">
        <w:t>0.002)</w:t>
      </w:r>
      <w:r w:rsidR="001F6D9E">
        <w:t xml:space="preserve"> (see </w:t>
      </w:r>
      <w:r w:rsidR="001F6D9E">
        <w:fldChar w:fldCharType="begin"/>
      </w:r>
      <w:r w:rsidR="001F6D9E">
        <w:instrText xml:space="preserve"> REF _Ref141355688 \h </w:instrText>
      </w:r>
      <w:r w:rsidR="001F6D9E">
        <w:fldChar w:fldCharType="separate"/>
      </w:r>
      <w:r w:rsidR="00B44DE2">
        <w:t xml:space="preserve">Table </w:t>
      </w:r>
      <w:r w:rsidR="00B44DE2">
        <w:rPr>
          <w:noProof/>
        </w:rPr>
        <w:t>17</w:t>
      </w:r>
      <w:r w:rsidR="001F6D9E">
        <w:fldChar w:fldCharType="end"/>
      </w:r>
      <w:r w:rsidR="001F6D9E">
        <w:t>)</w:t>
      </w:r>
      <w:r w:rsidRPr="007072DF">
        <w:t>.</w:t>
      </w:r>
    </w:p>
    <w:p w14:paraId="4B36EB63" w14:textId="509A6A07" w:rsidR="007D473D" w:rsidRDefault="007D473D" w:rsidP="007D473D">
      <w:pPr>
        <w:pStyle w:val="ListBullet"/>
        <w:spacing w:before="240"/>
        <w:ind w:left="357" w:hanging="357"/>
      </w:pPr>
      <w:r w:rsidRPr="001F6D9E">
        <w:t>Analyses of the LS mean percentage of ITT subjects with a 3</w:t>
      </w:r>
      <w:r>
        <w:t xml:space="preserve"> </w:t>
      </w:r>
      <w:r w:rsidRPr="001F6D9E">
        <w:t>point</w:t>
      </w:r>
      <w:r>
        <w:t xml:space="preserve"> or greater</w:t>
      </w:r>
      <w:r w:rsidRPr="001F6D9E">
        <w:t xml:space="preserve"> improvement from </w:t>
      </w:r>
      <w:r>
        <w:t>B</w:t>
      </w:r>
      <w:r w:rsidRPr="001F6D9E">
        <w:t>aseline</w:t>
      </w:r>
      <w:r>
        <w:t xml:space="preserve"> </w:t>
      </w:r>
      <w:r w:rsidRPr="001F6D9E">
        <w:t>in WI-NRS by study week, showed that a statistically significant treatment group difference</w:t>
      </w:r>
      <w:r>
        <w:t xml:space="preserve"> </w:t>
      </w:r>
      <w:r w:rsidRPr="001F6D9E">
        <w:t xml:space="preserve">favouring </w:t>
      </w:r>
      <w:r>
        <w:t>d</w:t>
      </w:r>
      <w:r w:rsidRPr="001F6D9E">
        <w:t>ifelikefalin was observed as early as Week 2 (</w:t>
      </w:r>
      <w:r>
        <w:t>P</w:t>
      </w:r>
      <w:r w:rsidRPr="001F6D9E">
        <w:t xml:space="preserve"> =</w:t>
      </w:r>
      <w:r>
        <w:t xml:space="preserve"> </w:t>
      </w:r>
      <w:r w:rsidRPr="001F6D9E">
        <w:t>0.003) and was maintained</w:t>
      </w:r>
      <w:r>
        <w:t xml:space="preserve"> </w:t>
      </w:r>
      <w:r w:rsidRPr="001F6D9E">
        <w:t xml:space="preserve">throughout the remainder of the </w:t>
      </w:r>
      <w:r>
        <w:t>double blind t</w:t>
      </w:r>
      <w:r w:rsidRPr="001F6D9E">
        <w:t xml:space="preserve">reatment </w:t>
      </w:r>
      <w:r>
        <w:t>p</w:t>
      </w:r>
      <w:r w:rsidRPr="001F6D9E">
        <w:t>eriod</w:t>
      </w:r>
      <w:r>
        <w:t xml:space="preserve"> (see </w:t>
      </w:r>
      <w:r>
        <w:fldChar w:fldCharType="begin"/>
      </w:r>
      <w:r>
        <w:instrText xml:space="preserve"> REF _Ref141355775 \h </w:instrText>
      </w:r>
      <w:r>
        <w:fldChar w:fldCharType="separate"/>
      </w:r>
      <w:r w:rsidR="00B44DE2">
        <w:t xml:space="preserve">Figure </w:t>
      </w:r>
      <w:r w:rsidR="00B44DE2">
        <w:rPr>
          <w:noProof/>
        </w:rPr>
        <w:t>8</w:t>
      </w:r>
      <w:r>
        <w:fldChar w:fldCharType="end"/>
      </w:r>
      <w:r>
        <w:t>).</w:t>
      </w:r>
    </w:p>
    <w:p w14:paraId="515FB2AE" w14:textId="48D39CCB" w:rsidR="001F6D9E" w:rsidRPr="001F6D9E" w:rsidRDefault="001F6D9E" w:rsidP="001F6D9E">
      <w:pPr>
        <w:pStyle w:val="TableTitle"/>
      </w:pPr>
      <w:bookmarkStart w:id="75" w:name="_Ref141355688"/>
      <w:r>
        <w:t xml:space="preserve">Table </w:t>
      </w:r>
      <w:r>
        <w:fldChar w:fldCharType="begin"/>
      </w:r>
      <w:r>
        <w:instrText>SEQ Table \* ARABIC</w:instrText>
      </w:r>
      <w:r>
        <w:fldChar w:fldCharType="separate"/>
      </w:r>
      <w:r w:rsidR="00B44DE2">
        <w:rPr>
          <w:noProof/>
        </w:rPr>
        <w:t>17</w:t>
      </w:r>
      <w:r>
        <w:fldChar w:fldCharType="end"/>
      </w:r>
      <w:bookmarkEnd w:id="75"/>
      <w:r>
        <w:t>: Study CR845-CLIN3101 Subjects with a 3 point or greater improvement from Baseline at Weeks 8 and 4 in worst itching intensity numerical rating scale score, multiple imputation with missing at random assumption (intention to treat population)</w:t>
      </w:r>
    </w:p>
    <w:p w14:paraId="3BD4FAE1" w14:textId="23924514" w:rsidR="007072DF" w:rsidRDefault="001F6D9E" w:rsidP="00E36472">
      <w:r>
        <w:rPr>
          <w:noProof/>
        </w:rPr>
        <w:drawing>
          <wp:inline distT="0" distB="0" distL="0" distR="0" wp14:anchorId="17B52835" wp14:editId="4A370E4C">
            <wp:extent cx="5759450" cy="3381375"/>
            <wp:effectExtent l="0" t="0" r="0" b="9525"/>
            <wp:docPr id="8" name="Picture 8" descr="Study CR845-CLIN3101 Subjects with a 3 point or greater improvement from Baseline at Weeks 8 and 4 in worst itching intensity numerical rating scale score,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CR845-CLIN3101 Subjects with a 3 point or greater improvement from Baseline at Weeks 8 and 4 in worst itching intensity numerical rating scale score, multiple imputation with missing at random assumption (intention to treat population)"/>
                    <pic:cNvPicPr/>
                  </pic:nvPicPr>
                  <pic:blipFill rotWithShape="1">
                    <a:blip r:embed="rId47"/>
                    <a:srcRect b="22748"/>
                    <a:stretch/>
                  </pic:blipFill>
                  <pic:spPr bwMode="auto">
                    <a:xfrm>
                      <a:off x="0" y="0"/>
                      <a:ext cx="5759450" cy="3381375"/>
                    </a:xfrm>
                    <a:prstGeom prst="rect">
                      <a:avLst/>
                    </a:prstGeom>
                    <a:ln>
                      <a:noFill/>
                    </a:ln>
                    <a:extLst>
                      <a:ext uri="{53640926-AAD7-44D8-BBD7-CCE9431645EC}">
                        <a14:shadowObscured xmlns:a14="http://schemas.microsoft.com/office/drawing/2010/main"/>
                      </a:ext>
                    </a:extLst>
                  </pic:spPr>
                </pic:pic>
              </a:graphicData>
            </a:graphic>
          </wp:inline>
        </w:drawing>
      </w:r>
    </w:p>
    <w:p w14:paraId="797CA4EC" w14:textId="5772C4BA" w:rsidR="001F6D9E" w:rsidRPr="001F6D9E" w:rsidRDefault="001F6D9E" w:rsidP="001F6D9E">
      <w:pPr>
        <w:pStyle w:val="TableDescription"/>
      </w:pPr>
      <w:r>
        <w:t xml:space="preserve">Abbreviations: </w:t>
      </w:r>
      <w:r w:rsidRPr="001F6D9E">
        <w:t>CHW = Cui, Hung, Wang</w:t>
      </w:r>
      <w:r>
        <w:t>,</w:t>
      </w:r>
      <w:r w:rsidRPr="001F6D9E">
        <w:t xml:space="preserve"> CI = confidence interval</w:t>
      </w:r>
      <w:r>
        <w:t>,</w:t>
      </w:r>
      <w:r w:rsidRPr="001F6D9E">
        <w:t xml:space="preserve"> ITT = </w:t>
      </w:r>
      <w:r>
        <w:t>i</w:t>
      </w:r>
      <w:r w:rsidRPr="001F6D9E">
        <w:t>ntent</w:t>
      </w:r>
      <w:r>
        <w:t xml:space="preserve">ion </w:t>
      </w:r>
      <w:r w:rsidRPr="001F6D9E">
        <w:t>to</w:t>
      </w:r>
      <w:r>
        <w:t xml:space="preserve"> </w:t>
      </w:r>
      <w:r w:rsidRPr="001F6D9E">
        <w:t>treat</w:t>
      </w:r>
      <w:r>
        <w:t>,</w:t>
      </w:r>
      <w:r w:rsidRPr="001F6D9E">
        <w:t xml:space="preserve"> LH = Lawrence, Hung</w:t>
      </w:r>
      <w:r>
        <w:t>,</w:t>
      </w:r>
      <w:r w:rsidRPr="001F6D9E">
        <w:t xml:space="preserve"> LS</w:t>
      </w:r>
      <w:r>
        <w:t> </w:t>
      </w:r>
      <w:r w:rsidRPr="001F6D9E">
        <w:t>=</w:t>
      </w:r>
      <w:r>
        <w:t> </w:t>
      </w:r>
      <w:r w:rsidRPr="001F6D9E">
        <w:t>least</w:t>
      </w:r>
      <w:r>
        <w:t xml:space="preserve"> </w:t>
      </w:r>
      <w:r w:rsidRPr="001F6D9E">
        <w:t>squares</w:t>
      </w:r>
      <w:r>
        <w:t>,</w:t>
      </w:r>
      <w:r w:rsidRPr="001F6D9E">
        <w:t xml:space="preserve"> NRS = </w:t>
      </w:r>
      <w:r>
        <w:t>n</w:t>
      </w:r>
      <w:r w:rsidRPr="001F6D9E">
        <w:t xml:space="preserve">umerical </w:t>
      </w:r>
      <w:r>
        <w:t>r</w:t>
      </w:r>
      <w:r w:rsidRPr="001F6D9E">
        <w:t xml:space="preserve">ating </w:t>
      </w:r>
      <w:r>
        <w:t>s</w:t>
      </w:r>
      <w:r w:rsidRPr="001F6D9E">
        <w:t>cale</w:t>
      </w:r>
    </w:p>
    <w:p w14:paraId="3DCFF1B6" w14:textId="77777777" w:rsidR="001F6D9E" w:rsidRPr="001F6D9E" w:rsidRDefault="001F6D9E" w:rsidP="001F6D9E">
      <w:pPr>
        <w:pStyle w:val="TableDescription"/>
      </w:pPr>
      <w:r w:rsidRPr="001F6D9E">
        <w:t>[1] Counts and percentages were based on non-missing data.</w:t>
      </w:r>
    </w:p>
    <w:p w14:paraId="63939D45" w14:textId="4A69C057" w:rsidR="001F6D9E" w:rsidRPr="001F6D9E" w:rsidRDefault="001F6D9E" w:rsidP="001F6D9E">
      <w:pPr>
        <w:pStyle w:val="TableDescription"/>
      </w:pPr>
      <w:r w:rsidRPr="001F6D9E">
        <w:t>[2] Estimated percentage, odds ratio, and P value used a logistic regression model with terms for treatment group,</w:t>
      </w:r>
      <w:r>
        <w:t xml:space="preserve"> </w:t>
      </w:r>
      <w:r w:rsidRPr="001F6D9E">
        <w:t>baseline NRS score, region, use of anti-itch medication during the week prior to randomi</w:t>
      </w:r>
      <w:r>
        <w:t>s</w:t>
      </w:r>
      <w:r w:rsidRPr="001F6D9E">
        <w:t>ation, and the presence</w:t>
      </w:r>
      <w:r>
        <w:t xml:space="preserve"> </w:t>
      </w:r>
      <w:r w:rsidRPr="001F6D9E">
        <w:t>of specific medical conditions. Missing values were imputed using MI under MAR missing data assumption for</w:t>
      </w:r>
      <w:r>
        <w:t xml:space="preserve"> </w:t>
      </w:r>
      <w:r w:rsidRPr="001F6D9E">
        <w:t>interim subjects and post-interim subjects separately.</w:t>
      </w:r>
    </w:p>
    <w:p w14:paraId="5F21EA3A" w14:textId="38B0C9C0" w:rsidR="001F6D9E" w:rsidRDefault="001F6D9E" w:rsidP="001F6D9E">
      <w:pPr>
        <w:pStyle w:val="TableDescription"/>
      </w:pPr>
      <w:r w:rsidRPr="001F6D9E">
        <w:t>Note: Combined analysis used the separate interim and post-interim results to generate an adjusted overall estimate</w:t>
      </w:r>
      <w:r>
        <w:t xml:space="preserve"> </w:t>
      </w:r>
      <w:r w:rsidRPr="001F6D9E">
        <w:t>and P value using the LH/CHW methodology.</w:t>
      </w:r>
    </w:p>
    <w:p w14:paraId="6C20CF7E" w14:textId="4F61810C" w:rsidR="001F6D9E" w:rsidRDefault="001F6D9E" w:rsidP="001F6D9E">
      <w:pPr>
        <w:pStyle w:val="FigureTitle"/>
      </w:pPr>
      <w:bookmarkStart w:id="76" w:name="_Ref141355775"/>
      <w:r>
        <w:lastRenderedPageBreak/>
        <w:t xml:space="preserve">Figure </w:t>
      </w:r>
      <w:r>
        <w:fldChar w:fldCharType="begin"/>
      </w:r>
      <w:r>
        <w:instrText>SEQ Figure \* ARABIC</w:instrText>
      </w:r>
      <w:r>
        <w:fldChar w:fldCharType="separate"/>
      </w:r>
      <w:r w:rsidR="00B44DE2">
        <w:rPr>
          <w:noProof/>
        </w:rPr>
        <w:t>8</w:t>
      </w:r>
      <w:r>
        <w:fldChar w:fldCharType="end"/>
      </w:r>
      <w:bookmarkEnd w:id="76"/>
      <w:r>
        <w:t>: Study CR845-CLIN3103 Percentage of subjects with a 3 point or greater improvement in worst itching intensity numerical rating scale score by week (primary efficacy imputation, intention to treat population)</w:t>
      </w:r>
    </w:p>
    <w:p w14:paraId="650B89BF" w14:textId="1B84B234" w:rsidR="001F6D9E" w:rsidRDefault="001F6D9E" w:rsidP="001F6D9E">
      <w:r>
        <w:rPr>
          <w:noProof/>
        </w:rPr>
        <w:drawing>
          <wp:inline distT="0" distB="0" distL="0" distR="0" wp14:anchorId="49B080B3" wp14:editId="1BB3F196">
            <wp:extent cx="5616575" cy="2602865"/>
            <wp:effectExtent l="0" t="0" r="3175" b="6985"/>
            <wp:docPr id="22" name="Picture 22" descr="Study CR845-CLIN3103 Percentage of subjects with a 3 point or greater improvement in worst itching intensity numerical rating scale score by week (primary efficacy imputa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CR845-CLIN3103 Percentage of subjects with a 3 point or greater improvement in worst itching intensity numerical rating scale score by week (primary efficacy imputation, intention to treat population)"/>
                    <pic:cNvPicPr/>
                  </pic:nvPicPr>
                  <pic:blipFill rotWithShape="1">
                    <a:blip r:embed="rId48"/>
                    <a:srcRect l="2481" t="2149"/>
                    <a:stretch/>
                  </pic:blipFill>
                  <pic:spPr bwMode="auto">
                    <a:xfrm>
                      <a:off x="0" y="0"/>
                      <a:ext cx="5616575" cy="2602865"/>
                    </a:xfrm>
                    <a:prstGeom prst="rect">
                      <a:avLst/>
                    </a:prstGeom>
                    <a:ln>
                      <a:noFill/>
                    </a:ln>
                    <a:extLst>
                      <a:ext uri="{53640926-AAD7-44D8-BBD7-CCE9431645EC}">
                        <a14:shadowObscured xmlns:a14="http://schemas.microsoft.com/office/drawing/2010/main"/>
                      </a:ext>
                    </a:extLst>
                  </pic:spPr>
                </pic:pic>
              </a:graphicData>
            </a:graphic>
          </wp:inline>
        </w:drawing>
      </w:r>
    </w:p>
    <w:p w14:paraId="0478633A" w14:textId="33A5364A" w:rsidR="001F6D9E" w:rsidRDefault="001F6D9E" w:rsidP="001F6D9E">
      <w:pPr>
        <w:pStyle w:val="FigureDescription"/>
      </w:pPr>
      <w:r>
        <w:t>Abbreviations: CI = confidence interval, ITT = intention to treat, LS = least squares</w:t>
      </w:r>
    </w:p>
    <w:p w14:paraId="1C081774" w14:textId="1ECC0864" w:rsidR="001F6D9E" w:rsidRDefault="001F6D9E" w:rsidP="001F6D9E">
      <w:pPr>
        <w:pStyle w:val="FigureDescription"/>
      </w:pPr>
      <w:r>
        <w:t>Note: Estimated percentages and CIs used a logistic regression model with terms for treatment group, baseline worst itching intensity numerical rating scale score, region, use of anti-itch medication during the week prior to randomisation, and the presence of specific medical conditions. Missing values were imputed using multiple imputation under a missing at random missing data assumption for interim subjects and post-interim subjects separately.</w:t>
      </w:r>
    </w:p>
    <w:p w14:paraId="4CB545F6" w14:textId="0B90B1E2" w:rsidR="001F6D9E" w:rsidRDefault="001F6D9E" w:rsidP="001F6D9E">
      <w:pPr>
        <w:pStyle w:val="FigureDescription"/>
      </w:pPr>
      <w:r>
        <w:t>Note: Combined analysis used the separate interim and post-interim results to generate an adjusted overall estimate and P value using the Lawrence, Hung/Cui, Hung, Wang methodology.</w:t>
      </w:r>
    </w:p>
    <w:p w14:paraId="024E8CC2" w14:textId="5D038B57" w:rsidR="001F6D9E" w:rsidRPr="001F6D9E" w:rsidRDefault="001F6D9E" w:rsidP="001F6D9E">
      <w:pPr>
        <w:spacing w:before="240"/>
      </w:pPr>
      <w:r w:rsidRPr="001F6D9E">
        <w:t>Percentage of subjects with a 4 point or greater improvement from Baseline in WI-NRS score:</w:t>
      </w:r>
    </w:p>
    <w:p w14:paraId="4904EAB7" w14:textId="32186A44" w:rsidR="001F6D9E" w:rsidRDefault="001F6D9E" w:rsidP="001F6D9E">
      <w:pPr>
        <w:pStyle w:val="ListBullet"/>
      </w:pPr>
      <w:r w:rsidRPr="001F6D9E">
        <w:t>At Week 12, the LS mean percentage of subjects with a 4</w:t>
      </w:r>
      <w:r>
        <w:t xml:space="preserve"> </w:t>
      </w:r>
      <w:r w:rsidRPr="001F6D9E">
        <w:t>point</w:t>
      </w:r>
      <w:r>
        <w:t xml:space="preserve"> or greater</w:t>
      </w:r>
      <w:r w:rsidRPr="001F6D9E">
        <w:t xml:space="preserve"> improvement in WI-NRS from </w:t>
      </w:r>
      <w:r>
        <w:t>B</w:t>
      </w:r>
      <w:r w:rsidRPr="001F6D9E">
        <w:t xml:space="preserve">aseline was statistically significantly higher in the </w:t>
      </w:r>
      <w:r>
        <w:t>d</w:t>
      </w:r>
      <w:r w:rsidRPr="001F6D9E">
        <w:t>ifelikefalin group compared to the placebo group (41.2% v</w:t>
      </w:r>
      <w:r>
        <w:t>ersus</w:t>
      </w:r>
      <w:r w:rsidRPr="001F6D9E">
        <w:t xml:space="preserve"> 28.4%; odds ratio of 1.77 </w:t>
      </w:r>
      <w:r>
        <w:t>(</w:t>
      </w:r>
      <w:r w:rsidRPr="001F6D9E">
        <w:t>95% CI: 1.14 to 2.74</w:t>
      </w:r>
      <w:r>
        <w:t>)</w:t>
      </w:r>
      <w:r w:rsidRPr="001F6D9E">
        <w:t>, P</w:t>
      </w:r>
      <w:r>
        <w:t xml:space="preserve"> </w:t>
      </w:r>
      <w:r w:rsidRPr="001F6D9E">
        <w:t>=</w:t>
      </w:r>
      <w:r>
        <w:t xml:space="preserve"> </w:t>
      </w:r>
      <w:r w:rsidRPr="001F6D9E">
        <w:t>0.010)</w:t>
      </w:r>
      <w:r>
        <w:t xml:space="preserve"> (see </w:t>
      </w:r>
      <w:r>
        <w:fldChar w:fldCharType="begin"/>
      </w:r>
      <w:r>
        <w:instrText xml:space="preserve"> REF _Ref141357230 \h </w:instrText>
      </w:r>
      <w:r>
        <w:fldChar w:fldCharType="separate"/>
      </w:r>
      <w:r w:rsidR="00B44DE2">
        <w:t xml:space="preserve">Table </w:t>
      </w:r>
      <w:r w:rsidR="00B44DE2">
        <w:rPr>
          <w:noProof/>
        </w:rPr>
        <w:t>18</w:t>
      </w:r>
      <w:r>
        <w:fldChar w:fldCharType="end"/>
      </w:r>
      <w:r>
        <w:t>).</w:t>
      </w:r>
    </w:p>
    <w:p w14:paraId="2DA344CF" w14:textId="24B6E0E9" w:rsidR="001F6D9E" w:rsidRPr="001F6D9E" w:rsidRDefault="001F6D9E" w:rsidP="001F6D9E">
      <w:pPr>
        <w:pStyle w:val="TableTitle"/>
      </w:pPr>
      <w:bookmarkStart w:id="77" w:name="_Ref141357230"/>
      <w:r>
        <w:t xml:space="preserve">Table </w:t>
      </w:r>
      <w:r>
        <w:fldChar w:fldCharType="begin"/>
      </w:r>
      <w:r>
        <w:instrText>SEQ Table \* ARABIC</w:instrText>
      </w:r>
      <w:r>
        <w:fldChar w:fldCharType="separate"/>
      </w:r>
      <w:r w:rsidR="00B44DE2">
        <w:rPr>
          <w:noProof/>
        </w:rPr>
        <w:t>18</w:t>
      </w:r>
      <w:r>
        <w:fldChar w:fldCharType="end"/>
      </w:r>
      <w:bookmarkEnd w:id="77"/>
      <w:r>
        <w:t>:</w:t>
      </w:r>
      <w:r w:rsidRPr="001F6D9E">
        <w:t xml:space="preserve"> </w:t>
      </w:r>
      <w:r>
        <w:t>Study CR845-CLIN3103 Subjects with a 4 point or greater improvement from Baseline at Week 12 in worst itching intensity numerical rating scale score, multiple imputation with missing at random assumption (intention to treat population)</w:t>
      </w:r>
    </w:p>
    <w:p w14:paraId="15D69F1A" w14:textId="7C593643" w:rsidR="001F6D9E" w:rsidRDefault="001F6D9E" w:rsidP="001F6D9E">
      <w:r>
        <w:rPr>
          <w:noProof/>
        </w:rPr>
        <w:drawing>
          <wp:inline distT="0" distB="0" distL="0" distR="0" wp14:anchorId="7876B79D" wp14:editId="56025725">
            <wp:extent cx="5759450" cy="1712595"/>
            <wp:effectExtent l="0" t="0" r="0" b="1905"/>
            <wp:docPr id="30" name="Picture 30" descr="Study CR845-CLIN3103 Subjects with a 4 point or greater improvement from Baseline at Week 12 in worst itching intensity numerical rating scale score,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CR845-CLIN3103 Subjects with a 4 point or greater improvement from Baseline at Week 12 in worst itching intensity numerical rating scale score, multiple imputation with missing at random assumption (intention to treat population)"/>
                    <pic:cNvPicPr/>
                  </pic:nvPicPr>
                  <pic:blipFill>
                    <a:blip r:embed="rId49"/>
                    <a:stretch>
                      <a:fillRect/>
                    </a:stretch>
                  </pic:blipFill>
                  <pic:spPr>
                    <a:xfrm>
                      <a:off x="0" y="0"/>
                      <a:ext cx="5759450" cy="1712595"/>
                    </a:xfrm>
                    <a:prstGeom prst="rect">
                      <a:avLst/>
                    </a:prstGeom>
                  </pic:spPr>
                </pic:pic>
              </a:graphicData>
            </a:graphic>
          </wp:inline>
        </w:drawing>
      </w:r>
    </w:p>
    <w:p w14:paraId="29332330" w14:textId="71CAE1CD" w:rsidR="001F6D9E" w:rsidRPr="001F6D9E" w:rsidRDefault="001F6D9E" w:rsidP="001F6D9E">
      <w:pPr>
        <w:pStyle w:val="TableDescription"/>
      </w:pPr>
      <w:r>
        <w:t xml:space="preserve">Abbreviations: </w:t>
      </w:r>
      <w:r w:rsidRPr="001F6D9E">
        <w:t>CHW = Cui, Hung, Wang</w:t>
      </w:r>
      <w:r>
        <w:t>,</w:t>
      </w:r>
      <w:r w:rsidRPr="001F6D9E">
        <w:t xml:space="preserve"> CI = confidence interval</w:t>
      </w:r>
      <w:r>
        <w:t>,</w:t>
      </w:r>
      <w:r w:rsidRPr="001F6D9E">
        <w:t xml:space="preserve"> ITT = </w:t>
      </w:r>
      <w:r>
        <w:t>i</w:t>
      </w:r>
      <w:r w:rsidRPr="001F6D9E">
        <w:t>ntent</w:t>
      </w:r>
      <w:r>
        <w:t xml:space="preserve">ion </w:t>
      </w:r>
      <w:r w:rsidRPr="001F6D9E">
        <w:t>to</w:t>
      </w:r>
      <w:r>
        <w:t xml:space="preserve"> </w:t>
      </w:r>
      <w:r w:rsidRPr="001F6D9E">
        <w:t>treat</w:t>
      </w:r>
      <w:r>
        <w:t>, L</w:t>
      </w:r>
      <w:r w:rsidRPr="001F6D9E">
        <w:t>H</w:t>
      </w:r>
      <w:r>
        <w:t> </w:t>
      </w:r>
      <w:r w:rsidRPr="001F6D9E">
        <w:t>=</w:t>
      </w:r>
      <w:r>
        <w:t> </w:t>
      </w:r>
      <w:r w:rsidRPr="001F6D9E">
        <w:t>Lawrence, Hung</w:t>
      </w:r>
      <w:r>
        <w:t>,</w:t>
      </w:r>
      <w:r w:rsidRPr="001F6D9E">
        <w:t xml:space="preserve"> LS</w:t>
      </w:r>
      <w:r w:rsidR="00E13387">
        <w:t> </w:t>
      </w:r>
      <w:r w:rsidRPr="001F6D9E">
        <w:t>=</w:t>
      </w:r>
      <w:r w:rsidR="00E13387">
        <w:t> </w:t>
      </w:r>
      <w:r w:rsidRPr="001F6D9E">
        <w:t>least</w:t>
      </w:r>
      <w:r>
        <w:t xml:space="preserve"> </w:t>
      </w:r>
      <w:r w:rsidRPr="001F6D9E">
        <w:t>squares</w:t>
      </w:r>
      <w:r>
        <w:t>,</w:t>
      </w:r>
      <w:r w:rsidRPr="001F6D9E">
        <w:t xml:space="preserve"> NRS = numerical rating scale</w:t>
      </w:r>
    </w:p>
    <w:p w14:paraId="29D9A6EE" w14:textId="77777777" w:rsidR="001F6D9E" w:rsidRPr="001F6D9E" w:rsidRDefault="001F6D9E" w:rsidP="001F6D9E">
      <w:pPr>
        <w:pStyle w:val="TableDescription"/>
      </w:pPr>
      <w:r w:rsidRPr="001F6D9E">
        <w:t>[1] Counts and percentages were based on non-missing data.</w:t>
      </w:r>
    </w:p>
    <w:p w14:paraId="60158FE2" w14:textId="007A391C" w:rsidR="001F6D9E" w:rsidRPr="001F6D9E" w:rsidRDefault="001F6D9E" w:rsidP="001F6D9E">
      <w:pPr>
        <w:pStyle w:val="TableDescription"/>
      </w:pPr>
      <w:r w:rsidRPr="001F6D9E">
        <w:t>[2] Estimated percent, odds ratio, and P value use a logistic regression model with terms for treatment group,</w:t>
      </w:r>
      <w:r>
        <w:t xml:space="preserve"> </w:t>
      </w:r>
      <w:r w:rsidRPr="001F6D9E">
        <w:t xml:space="preserve">baseline </w:t>
      </w:r>
      <w:r>
        <w:t>w</w:t>
      </w:r>
      <w:r w:rsidRPr="001F6D9E">
        <w:t xml:space="preserve">orst </w:t>
      </w:r>
      <w:r>
        <w:t>i</w:t>
      </w:r>
      <w:r w:rsidRPr="001F6D9E">
        <w:t xml:space="preserve">tching </w:t>
      </w:r>
      <w:r>
        <w:t>i</w:t>
      </w:r>
      <w:r w:rsidRPr="001F6D9E">
        <w:t>ntensity numerical rating scale score, region, use of anti-itch medication during the week</w:t>
      </w:r>
      <w:r>
        <w:t xml:space="preserve"> </w:t>
      </w:r>
      <w:r w:rsidRPr="001F6D9E">
        <w:t xml:space="preserve">prior to </w:t>
      </w:r>
      <w:r w:rsidRPr="001F6D9E">
        <w:lastRenderedPageBreak/>
        <w:t>randomi</w:t>
      </w:r>
      <w:r>
        <w:t>s</w:t>
      </w:r>
      <w:r w:rsidRPr="001F6D9E">
        <w:t>ation, and the presence of specific medical conditions. Missing values were imputed using</w:t>
      </w:r>
      <w:r>
        <w:t xml:space="preserve"> m</w:t>
      </w:r>
      <w:r w:rsidRPr="001F6D9E">
        <w:t>ultiple imputation under missing</w:t>
      </w:r>
      <w:r>
        <w:t xml:space="preserve"> </w:t>
      </w:r>
      <w:r w:rsidRPr="001F6D9E">
        <w:t>at</w:t>
      </w:r>
      <w:r>
        <w:t xml:space="preserve"> </w:t>
      </w:r>
      <w:r w:rsidRPr="001F6D9E">
        <w:t>random missing data assumption for interim subjects and post-interim</w:t>
      </w:r>
      <w:r>
        <w:t xml:space="preserve"> </w:t>
      </w:r>
      <w:r w:rsidRPr="001F6D9E">
        <w:t>subjects separately.</w:t>
      </w:r>
    </w:p>
    <w:p w14:paraId="0583B07D" w14:textId="745D4F3E" w:rsidR="001F6D9E" w:rsidRDefault="001F6D9E" w:rsidP="001F6D9E">
      <w:pPr>
        <w:pStyle w:val="TableDescription"/>
      </w:pPr>
      <w:r w:rsidRPr="001F6D9E">
        <w:t>Note: Combined analysis used the separate interim and post-interim results to generate an adjusted overall estimate</w:t>
      </w:r>
      <w:r>
        <w:t xml:space="preserve"> </w:t>
      </w:r>
      <w:r w:rsidRPr="001F6D9E">
        <w:t>and P value using the LH/CHW methodology.</w:t>
      </w:r>
    </w:p>
    <w:p w14:paraId="3AB5E560" w14:textId="5D52A195" w:rsidR="001F6D9E" w:rsidRDefault="001F6D9E" w:rsidP="001F6D9E">
      <w:pPr>
        <w:pStyle w:val="ListBullet"/>
      </w:pPr>
      <w:r w:rsidRPr="001F6D9E">
        <w:t xml:space="preserve">At Week 8, the LS mean percentage of subjects in the </w:t>
      </w:r>
      <w:r>
        <w:t>d</w:t>
      </w:r>
      <w:r w:rsidRPr="001F6D9E">
        <w:t>ifelikefalin group with a 4</w:t>
      </w:r>
      <w:r>
        <w:t xml:space="preserve"> </w:t>
      </w:r>
      <w:r w:rsidRPr="001F6D9E">
        <w:t>point</w:t>
      </w:r>
      <w:r>
        <w:t xml:space="preserve"> or greater </w:t>
      </w:r>
      <w:r w:rsidRPr="001F6D9E">
        <w:t xml:space="preserve">improvement from </w:t>
      </w:r>
      <w:r>
        <w:t>B</w:t>
      </w:r>
      <w:r w:rsidRPr="001F6D9E">
        <w:t xml:space="preserve">aseline in WI-NRS was statistically significantly higher in the </w:t>
      </w:r>
      <w:r>
        <w:t>d</w:t>
      </w:r>
      <w:r w:rsidRPr="001F6D9E">
        <w:t>ifelikefalin</w:t>
      </w:r>
      <w:r>
        <w:t xml:space="preserve"> </w:t>
      </w:r>
      <w:r w:rsidRPr="001F6D9E">
        <w:t xml:space="preserve">group compared to the placebo group (36.1% versus 23.7%; odds ratio of 1.82 </w:t>
      </w:r>
      <w:r>
        <w:t>(</w:t>
      </w:r>
      <w:r w:rsidRPr="001F6D9E">
        <w:t>95% CI: 1.16 to 2.86</w:t>
      </w:r>
      <w:r>
        <w:t>)</w:t>
      </w:r>
      <w:r w:rsidRPr="001F6D9E">
        <w:t>, P</w:t>
      </w:r>
      <w:r>
        <w:t xml:space="preserve"> </w:t>
      </w:r>
      <w:r w:rsidRPr="001F6D9E">
        <w:t>=</w:t>
      </w:r>
      <w:r>
        <w:t xml:space="preserve"> </w:t>
      </w:r>
      <w:r w:rsidRPr="001F6D9E">
        <w:t xml:space="preserve">0.010). At Week 4, the LS mean percentage of subjects in the </w:t>
      </w:r>
      <w:r>
        <w:t>d</w:t>
      </w:r>
      <w:r w:rsidRPr="001F6D9E">
        <w:t>ifelikefalin group with a 4</w:t>
      </w:r>
      <w:r>
        <w:t xml:space="preserve"> </w:t>
      </w:r>
      <w:r w:rsidRPr="001F6D9E">
        <w:t>point</w:t>
      </w:r>
      <w:r>
        <w:t xml:space="preserve"> or greater</w:t>
      </w:r>
      <w:r w:rsidRPr="001F6D9E">
        <w:t xml:space="preserve"> improvement from </w:t>
      </w:r>
      <w:r>
        <w:t>B</w:t>
      </w:r>
      <w:r w:rsidRPr="001F6D9E">
        <w:t xml:space="preserve">aseline in WI-NRS was also statistically significantly higher in the </w:t>
      </w:r>
      <w:r>
        <w:t>d</w:t>
      </w:r>
      <w:r w:rsidRPr="001F6D9E">
        <w:t xml:space="preserve">ifelikefalin group compared to the placebo group (26.1% versus 16.7%; odds ratio of 1.76 </w:t>
      </w:r>
      <w:r>
        <w:t>(</w:t>
      </w:r>
      <w:r w:rsidRPr="001F6D9E">
        <w:t>95% CI: 1.04 to 2.98</w:t>
      </w:r>
      <w:r>
        <w:t>)</w:t>
      </w:r>
      <w:r w:rsidRPr="001F6D9E">
        <w:t>, P</w:t>
      </w:r>
      <w:r>
        <w:t xml:space="preserve"> </w:t>
      </w:r>
      <w:r w:rsidRPr="001F6D9E">
        <w:t>=</w:t>
      </w:r>
      <w:r>
        <w:t xml:space="preserve"> </w:t>
      </w:r>
      <w:r w:rsidRPr="001F6D9E">
        <w:t>0.036)</w:t>
      </w:r>
      <w:r>
        <w:t xml:space="preserve"> (see </w:t>
      </w:r>
      <w:r>
        <w:fldChar w:fldCharType="begin"/>
      </w:r>
      <w:r>
        <w:instrText xml:space="preserve"> REF _Ref141357617 \h </w:instrText>
      </w:r>
      <w:r>
        <w:fldChar w:fldCharType="separate"/>
      </w:r>
      <w:r w:rsidR="00B44DE2">
        <w:t xml:space="preserve">Table </w:t>
      </w:r>
      <w:r w:rsidR="00B44DE2">
        <w:rPr>
          <w:noProof/>
        </w:rPr>
        <w:t>19</w:t>
      </w:r>
      <w:r>
        <w:fldChar w:fldCharType="end"/>
      </w:r>
      <w:r>
        <w:t>).</w:t>
      </w:r>
    </w:p>
    <w:p w14:paraId="529DC519" w14:textId="5256C6B3" w:rsidR="001F6D9E" w:rsidRDefault="001F6D9E" w:rsidP="001F6D9E">
      <w:pPr>
        <w:pStyle w:val="TableTitle"/>
      </w:pPr>
      <w:bookmarkStart w:id="78" w:name="_Ref141357617"/>
      <w:r>
        <w:t xml:space="preserve">Table </w:t>
      </w:r>
      <w:r>
        <w:fldChar w:fldCharType="begin"/>
      </w:r>
      <w:r>
        <w:instrText>SEQ Table \* ARABIC</w:instrText>
      </w:r>
      <w:r>
        <w:fldChar w:fldCharType="separate"/>
      </w:r>
      <w:r w:rsidR="00B44DE2">
        <w:rPr>
          <w:noProof/>
        </w:rPr>
        <w:t>19</w:t>
      </w:r>
      <w:r>
        <w:fldChar w:fldCharType="end"/>
      </w:r>
      <w:bookmarkEnd w:id="78"/>
      <w:r>
        <w:t>: Study CR845-CLIN3103 Subjects with a 4 point or greater improvement from Baseline at Weeks 8 and 4 in worst itching intensity numerical rating scale score, multiple imputation with missing at random assumption (intention to treat population)</w:t>
      </w:r>
    </w:p>
    <w:p w14:paraId="40FF8C2F" w14:textId="4D303591" w:rsidR="001F6D9E" w:rsidRDefault="001F6D9E" w:rsidP="001F6D9E">
      <w:r>
        <w:rPr>
          <w:noProof/>
        </w:rPr>
        <w:drawing>
          <wp:inline distT="0" distB="0" distL="0" distR="0" wp14:anchorId="23C74A3E" wp14:editId="0A6D89B5">
            <wp:extent cx="5759450" cy="3402330"/>
            <wp:effectExtent l="0" t="0" r="0" b="7620"/>
            <wp:docPr id="32" name="Picture 32" descr="Study CR845-CLIN3103 Subjects with a 4 point or greater improvement from Baseline at Weeks 8 and 4 in worst itching intensity numerical rating scale score,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CR845-CLIN3103 Subjects with a 4 point or greater improvement from Baseline at Weeks 8 and 4 in worst itching intensity numerical rating scale score, multiple imputation with missing at random assumption (intention to treat population)"/>
                    <pic:cNvPicPr/>
                  </pic:nvPicPr>
                  <pic:blipFill>
                    <a:blip r:embed="rId50"/>
                    <a:stretch>
                      <a:fillRect/>
                    </a:stretch>
                  </pic:blipFill>
                  <pic:spPr>
                    <a:xfrm>
                      <a:off x="0" y="0"/>
                      <a:ext cx="5759450" cy="3402330"/>
                    </a:xfrm>
                    <a:prstGeom prst="rect">
                      <a:avLst/>
                    </a:prstGeom>
                  </pic:spPr>
                </pic:pic>
              </a:graphicData>
            </a:graphic>
          </wp:inline>
        </w:drawing>
      </w:r>
    </w:p>
    <w:p w14:paraId="17FABEED" w14:textId="2E7CBA72" w:rsidR="001F6D9E" w:rsidRPr="001F6D9E" w:rsidRDefault="001F6D9E" w:rsidP="001F6D9E">
      <w:pPr>
        <w:pStyle w:val="TableDescription"/>
      </w:pPr>
      <w:r>
        <w:t xml:space="preserve">Abbreviations: </w:t>
      </w:r>
      <w:r w:rsidRPr="001F6D9E">
        <w:t>CHW = Cui, Hung, Wang</w:t>
      </w:r>
      <w:r>
        <w:t>,</w:t>
      </w:r>
      <w:r w:rsidRPr="001F6D9E">
        <w:t xml:space="preserve"> CI = confidence interval</w:t>
      </w:r>
      <w:r>
        <w:t>,</w:t>
      </w:r>
      <w:r w:rsidRPr="001F6D9E">
        <w:t xml:space="preserve"> ITT = </w:t>
      </w:r>
      <w:r>
        <w:t>i</w:t>
      </w:r>
      <w:r w:rsidRPr="001F6D9E">
        <w:t>ntent</w:t>
      </w:r>
      <w:r>
        <w:t xml:space="preserve">ion </w:t>
      </w:r>
      <w:r w:rsidRPr="001F6D9E">
        <w:t>to</w:t>
      </w:r>
      <w:r>
        <w:t xml:space="preserve"> </w:t>
      </w:r>
      <w:r w:rsidRPr="001F6D9E">
        <w:t>treat</w:t>
      </w:r>
      <w:r>
        <w:t>,</w:t>
      </w:r>
      <w:r w:rsidRPr="001F6D9E">
        <w:t xml:space="preserve"> LH</w:t>
      </w:r>
      <w:r>
        <w:t> </w:t>
      </w:r>
      <w:r w:rsidRPr="001F6D9E">
        <w:t>=</w:t>
      </w:r>
      <w:r>
        <w:t> </w:t>
      </w:r>
      <w:r w:rsidRPr="001F6D9E">
        <w:t>Lawrence, Hung</w:t>
      </w:r>
      <w:r>
        <w:t>,</w:t>
      </w:r>
      <w:r w:rsidRPr="001F6D9E">
        <w:t xml:space="preserve"> LS</w:t>
      </w:r>
      <w:r w:rsidR="00E13387">
        <w:t> </w:t>
      </w:r>
      <w:r w:rsidRPr="001F6D9E">
        <w:t>=</w:t>
      </w:r>
      <w:r w:rsidR="00E13387">
        <w:t> </w:t>
      </w:r>
      <w:r w:rsidRPr="001F6D9E">
        <w:t>least</w:t>
      </w:r>
      <w:r>
        <w:t xml:space="preserve"> </w:t>
      </w:r>
      <w:r w:rsidRPr="001F6D9E">
        <w:t>squares</w:t>
      </w:r>
      <w:r>
        <w:t>,</w:t>
      </w:r>
      <w:r w:rsidRPr="001F6D9E">
        <w:t xml:space="preserve"> NRS = numerical rating scale</w:t>
      </w:r>
    </w:p>
    <w:p w14:paraId="097B4A51" w14:textId="77777777" w:rsidR="001F6D9E" w:rsidRPr="001F6D9E" w:rsidRDefault="001F6D9E" w:rsidP="001F6D9E">
      <w:pPr>
        <w:pStyle w:val="TableDescription"/>
      </w:pPr>
      <w:r w:rsidRPr="001F6D9E">
        <w:t>[1] Counts and percentages were based on non-missing data.</w:t>
      </w:r>
    </w:p>
    <w:p w14:paraId="667E5830" w14:textId="0F728475" w:rsidR="001F6D9E" w:rsidRPr="001F6D9E" w:rsidRDefault="001F6D9E" w:rsidP="001F6D9E">
      <w:pPr>
        <w:pStyle w:val="TableDescription"/>
      </w:pPr>
      <w:r w:rsidRPr="001F6D9E">
        <w:t>[2] Estimated percent, odds ratio, and P value use a logistic regression model with terms for treatment group,</w:t>
      </w:r>
      <w:r>
        <w:t xml:space="preserve"> </w:t>
      </w:r>
      <w:r w:rsidRPr="001F6D9E">
        <w:t xml:space="preserve">baseline </w:t>
      </w:r>
      <w:r>
        <w:t>w</w:t>
      </w:r>
      <w:r w:rsidRPr="001F6D9E">
        <w:t xml:space="preserve">orst </w:t>
      </w:r>
      <w:r>
        <w:t>i</w:t>
      </w:r>
      <w:r w:rsidRPr="001F6D9E">
        <w:t xml:space="preserve">tching </w:t>
      </w:r>
      <w:r>
        <w:t>i</w:t>
      </w:r>
      <w:r w:rsidRPr="001F6D9E">
        <w:t>ntensity numerical rating scale score, region, use of anti-itch medication during the week</w:t>
      </w:r>
      <w:r>
        <w:t xml:space="preserve"> </w:t>
      </w:r>
      <w:r w:rsidRPr="001F6D9E">
        <w:t>prior to randomi</w:t>
      </w:r>
      <w:r>
        <w:t>s</w:t>
      </w:r>
      <w:r w:rsidRPr="001F6D9E">
        <w:t>ation, and the presence of specific medical conditions. Missing values were imputed using</w:t>
      </w:r>
      <w:r>
        <w:t xml:space="preserve"> </w:t>
      </w:r>
      <w:r w:rsidRPr="001F6D9E">
        <w:t>multiple imputation under missing</w:t>
      </w:r>
      <w:r>
        <w:t xml:space="preserve"> </w:t>
      </w:r>
      <w:r w:rsidRPr="001F6D9E">
        <w:t>at</w:t>
      </w:r>
      <w:r>
        <w:t xml:space="preserve"> </w:t>
      </w:r>
      <w:r w:rsidRPr="001F6D9E">
        <w:t>random missing data assumption for interim subjects and post-interim</w:t>
      </w:r>
      <w:r>
        <w:t xml:space="preserve"> </w:t>
      </w:r>
      <w:r w:rsidRPr="001F6D9E">
        <w:t>subjects separately.</w:t>
      </w:r>
    </w:p>
    <w:p w14:paraId="4D83EA58" w14:textId="6BE0DBD5" w:rsidR="001F6D9E" w:rsidRPr="001F6D9E" w:rsidRDefault="001F6D9E" w:rsidP="001F6D9E">
      <w:pPr>
        <w:pStyle w:val="TableDescription"/>
      </w:pPr>
      <w:r w:rsidRPr="001F6D9E">
        <w:t>Note: Combined analysis used the separate interim and post-interim results to generate an adjusted overall estimate</w:t>
      </w:r>
      <w:r>
        <w:t xml:space="preserve"> </w:t>
      </w:r>
      <w:r w:rsidRPr="001F6D9E">
        <w:t>and P value using the LH/CHW methodology.</w:t>
      </w:r>
    </w:p>
    <w:p w14:paraId="4A1BD21A" w14:textId="7124B3BE" w:rsidR="001F6D9E" w:rsidRDefault="001F6D9E" w:rsidP="001F6D9E">
      <w:pPr>
        <w:pStyle w:val="ListBullet"/>
      </w:pPr>
      <w:r w:rsidRPr="001F6D9E">
        <w:t>Analyses of the LS mean percentage of ITT subjects with a 4</w:t>
      </w:r>
      <w:r>
        <w:t xml:space="preserve"> </w:t>
      </w:r>
      <w:r w:rsidRPr="001F6D9E">
        <w:t>point</w:t>
      </w:r>
      <w:r>
        <w:t xml:space="preserve"> or greater</w:t>
      </w:r>
      <w:r w:rsidRPr="001F6D9E">
        <w:t xml:space="preserve"> improvement from </w:t>
      </w:r>
      <w:r>
        <w:t>B</w:t>
      </w:r>
      <w:r w:rsidRPr="001F6D9E">
        <w:t xml:space="preserve">aseline in the WI-NRS by study week showed that a statistically significant treatment group difference favouring </w:t>
      </w:r>
      <w:r>
        <w:t>d</w:t>
      </w:r>
      <w:r w:rsidRPr="001F6D9E">
        <w:t>ifelikefalin was observed by Week 3 (P</w:t>
      </w:r>
      <w:r>
        <w:t xml:space="preserve"> </w:t>
      </w:r>
      <w:r w:rsidRPr="001F6D9E">
        <w:t>=</w:t>
      </w:r>
      <w:r>
        <w:t xml:space="preserve"> </w:t>
      </w:r>
      <w:r w:rsidRPr="001F6D9E">
        <w:t xml:space="preserve">0.018) and maintained throughout the remainder of the </w:t>
      </w:r>
      <w:r>
        <w:t>double blind t</w:t>
      </w:r>
      <w:r w:rsidRPr="001F6D9E">
        <w:t xml:space="preserve">reatment </w:t>
      </w:r>
      <w:r>
        <w:t>p</w:t>
      </w:r>
      <w:r w:rsidRPr="001F6D9E">
        <w:t xml:space="preserve">eriod </w:t>
      </w:r>
      <w:r>
        <w:t xml:space="preserve">(see </w:t>
      </w:r>
      <w:r>
        <w:fldChar w:fldCharType="begin"/>
      </w:r>
      <w:r>
        <w:instrText xml:space="preserve"> REF _Ref141358018 \h </w:instrText>
      </w:r>
      <w:r>
        <w:fldChar w:fldCharType="separate"/>
      </w:r>
      <w:r w:rsidR="00B44DE2" w:rsidRPr="00E13387">
        <w:t xml:space="preserve">Figure </w:t>
      </w:r>
      <w:r w:rsidR="00B44DE2">
        <w:rPr>
          <w:noProof/>
        </w:rPr>
        <w:t>9</w:t>
      </w:r>
      <w:r>
        <w:fldChar w:fldCharType="end"/>
      </w:r>
      <w:r>
        <w:t>).</w:t>
      </w:r>
    </w:p>
    <w:p w14:paraId="4E1A57B1" w14:textId="0BFACBFF" w:rsidR="001F6D9E" w:rsidRDefault="001F6D9E" w:rsidP="00E13387">
      <w:pPr>
        <w:pStyle w:val="FigureTitle"/>
      </w:pPr>
      <w:bookmarkStart w:id="79" w:name="_Ref141358018"/>
      <w:r w:rsidRPr="00E13387">
        <w:lastRenderedPageBreak/>
        <w:t xml:space="preserve">Figure </w:t>
      </w:r>
      <w:r>
        <w:fldChar w:fldCharType="begin"/>
      </w:r>
      <w:r>
        <w:instrText>SEQ Figure \* ARABIC</w:instrText>
      </w:r>
      <w:r>
        <w:fldChar w:fldCharType="separate"/>
      </w:r>
      <w:r w:rsidR="00B44DE2">
        <w:rPr>
          <w:noProof/>
        </w:rPr>
        <w:t>9</w:t>
      </w:r>
      <w:r>
        <w:fldChar w:fldCharType="end"/>
      </w:r>
      <w:bookmarkEnd w:id="79"/>
      <w:r w:rsidRPr="00E13387">
        <w:t xml:space="preserve">: </w:t>
      </w:r>
      <w:r w:rsidR="00E13387" w:rsidRPr="00E13387">
        <w:t>Study CR845-CLIN3103 Percentage of subjects with a 4 point or greater improvement in worst itching intensity numerical rating scale score by Week, multiple imputation with missing at random assumption (intention to treat population)</w:t>
      </w:r>
    </w:p>
    <w:p w14:paraId="6FF00F8B" w14:textId="7ABDAAF2" w:rsidR="00E13387" w:rsidRDefault="00E13387" w:rsidP="00E13387">
      <w:r>
        <w:rPr>
          <w:noProof/>
        </w:rPr>
        <w:drawing>
          <wp:inline distT="0" distB="0" distL="0" distR="0" wp14:anchorId="7C5BED89" wp14:editId="0F3C83E9">
            <wp:extent cx="5759450" cy="2657475"/>
            <wp:effectExtent l="0" t="0" r="0" b="9525"/>
            <wp:docPr id="34" name="Picture 34" descr="Study CR845-CLIN3103 Percentage of subjects with a 4 point or greater improvement in worst itching intensity numerical rating scale score by Week, multiple imputation with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udy CR845-CLIN3103 Percentage of subjects with a 4 point or greater improvement in worst itching intensity numerical rating scale score by Week, multiple imputation with missing at random assumption (intention to treat population)"/>
                    <pic:cNvPicPr/>
                  </pic:nvPicPr>
                  <pic:blipFill>
                    <a:blip r:embed="rId51"/>
                    <a:stretch>
                      <a:fillRect/>
                    </a:stretch>
                  </pic:blipFill>
                  <pic:spPr>
                    <a:xfrm>
                      <a:off x="0" y="0"/>
                      <a:ext cx="5759450" cy="2657475"/>
                    </a:xfrm>
                    <a:prstGeom prst="rect">
                      <a:avLst/>
                    </a:prstGeom>
                  </pic:spPr>
                </pic:pic>
              </a:graphicData>
            </a:graphic>
          </wp:inline>
        </w:drawing>
      </w:r>
    </w:p>
    <w:p w14:paraId="45E62CCF" w14:textId="7731D97D" w:rsidR="00E13387" w:rsidRPr="00E13387" w:rsidRDefault="00E13387" w:rsidP="00E13387">
      <w:pPr>
        <w:pStyle w:val="FigureDescription"/>
      </w:pPr>
      <w:r w:rsidRPr="00E13387">
        <w:t>Abbreviations: CI = confidence interval, ITT = intention to treat, LS = least squares</w:t>
      </w:r>
    </w:p>
    <w:p w14:paraId="53042B9A" w14:textId="29962FAE" w:rsidR="00E13387" w:rsidRPr="00E13387" w:rsidRDefault="00E13387" w:rsidP="00E13387">
      <w:pPr>
        <w:pStyle w:val="FigureDescription"/>
      </w:pPr>
      <w:r w:rsidRPr="00E13387">
        <w:t>Note: Estimated percentages and CIs used a logistic regression model with terms for treatment group, baseline worst itching intensity numerical rating scale score, region, use of anti-itch medication during the week prior to randomisation, and the presence of specific medical conditions. Missing values were imputed using multiple imputation under a missing at random missing data assumption for interim subjects and post-interim subjects separately.</w:t>
      </w:r>
    </w:p>
    <w:p w14:paraId="1D232FC8" w14:textId="1D4BCF8F" w:rsidR="00E13387" w:rsidRDefault="00E13387" w:rsidP="00E13387">
      <w:pPr>
        <w:pStyle w:val="FigureDescription"/>
      </w:pPr>
      <w:r w:rsidRPr="00E13387">
        <w:t>Note. Combined analysis used the separate interim and post-interim results to generate an adjusted overall estimate and P value using the Lawrence, Hung/Cui, Hung, Wang methodology.</w:t>
      </w:r>
    </w:p>
    <w:p w14:paraId="00666297" w14:textId="517F383A" w:rsidR="00E13387" w:rsidRDefault="00E13387" w:rsidP="00E81FD4">
      <w:pPr>
        <w:pStyle w:val="Heading8"/>
      </w:pPr>
      <w:r>
        <w:t>Other secondary efficacy outcomes</w:t>
      </w:r>
    </w:p>
    <w:p w14:paraId="0D15C555" w14:textId="22422F8C" w:rsidR="00E13387" w:rsidRDefault="00E13387" w:rsidP="00E81FD4">
      <w:r w:rsidRPr="00E81FD4">
        <w:rPr>
          <w:i/>
          <w:iCs/>
        </w:rPr>
        <w:t>Change from Baseline in total Skindex-10 scale score</w:t>
      </w:r>
      <w:r w:rsidRPr="00E13387">
        <w:t>:</w:t>
      </w:r>
      <w:r w:rsidR="007D473D">
        <w:t xml:space="preserve"> </w:t>
      </w:r>
      <w:r w:rsidRPr="00E13387">
        <w:t xml:space="preserve">Analyses of the change from </w:t>
      </w:r>
      <w:r>
        <w:t>B</w:t>
      </w:r>
      <w:r w:rsidRPr="00E13387">
        <w:t xml:space="preserve">aseline in total Skindex-10 </w:t>
      </w:r>
      <w:r>
        <w:t>s</w:t>
      </w:r>
      <w:r w:rsidRPr="00E13387">
        <w:t>cale score at the end of Week 12</w:t>
      </w:r>
      <w:r>
        <w:t xml:space="preserve"> </w:t>
      </w:r>
      <w:r w:rsidRPr="00E13387">
        <w:t xml:space="preserve">using ANCOVA showed, that there was a numerically greater reduction in LS </w:t>
      </w:r>
      <w:r>
        <w:t>m</w:t>
      </w:r>
      <w:r w:rsidRPr="00E13387">
        <w:t xml:space="preserve">ean total Skindex-10 </w:t>
      </w:r>
      <w:r>
        <w:t>s</w:t>
      </w:r>
      <w:r w:rsidRPr="00E13387">
        <w:t xml:space="preserve">cale score with </w:t>
      </w:r>
      <w:r>
        <w:t>d</w:t>
      </w:r>
      <w:r w:rsidRPr="00E13387">
        <w:t>ifelikefalin compared to placebo (-16.6 v</w:t>
      </w:r>
      <w:r>
        <w:t>ersus</w:t>
      </w:r>
      <w:r w:rsidRPr="00E13387">
        <w:t xml:space="preserve"> -14.8), but the difference was not statistically significant (LS mean treatment group difference of -1.8 </w:t>
      </w:r>
      <w:r>
        <w:t>(</w:t>
      </w:r>
      <w:r w:rsidRPr="00E13387">
        <w:t>95% CI: -4.3 to 0.8</w:t>
      </w:r>
      <w:r>
        <w:t>)</w:t>
      </w:r>
      <w:r w:rsidRPr="00E13387">
        <w:t>, P</w:t>
      </w:r>
      <w:r>
        <w:t xml:space="preserve"> </w:t>
      </w:r>
      <w:r w:rsidRPr="00E13387">
        <w:t>=</w:t>
      </w:r>
      <w:r>
        <w:t xml:space="preserve"> </w:t>
      </w:r>
      <w:r w:rsidRPr="00E13387">
        <w:t>0.171)</w:t>
      </w:r>
      <w:r>
        <w:t xml:space="preserve"> (see </w:t>
      </w:r>
      <w:r>
        <w:fldChar w:fldCharType="begin"/>
      </w:r>
      <w:r>
        <w:instrText xml:space="preserve"> REF _Ref141365042 \h </w:instrText>
      </w:r>
      <w:r>
        <w:fldChar w:fldCharType="separate"/>
      </w:r>
      <w:r w:rsidR="00B44DE2">
        <w:t xml:space="preserve">Table </w:t>
      </w:r>
      <w:r w:rsidR="00B44DE2">
        <w:rPr>
          <w:noProof/>
        </w:rPr>
        <w:t>20</w:t>
      </w:r>
      <w:r>
        <w:fldChar w:fldCharType="end"/>
      </w:r>
      <w:r>
        <w:t>).</w:t>
      </w:r>
    </w:p>
    <w:p w14:paraId="54922F66" w14:textId="06EDD977" w:rsidR="00E13387" w:rsidRPr="00E13387" w:rsidRDefault="00E13387" w:rsidP="00E13387">
      <w:pPr>
        <w:pStyle w:val="TableTitle"/>
      </w:pPr>
      <w:bookmarkStart w:id="80" w:name="_Ref141365042"/>
      <w:r>
        <w:t xml:space="preserve">Table </w:t>
      </w:r>
      <w:r>
        <w:fldChar w:fldCharType="begin"/>
      </w:r>
      <w:r>
        <w:instrText>SEQ Table \* ARABIC</w:instrText>
      </w:r>
      <w:r>
        <w:fldChar w:fldCharType="separate"/>
      </w:r>
      <w:r w:rsidR="00B44DE2">
        <w:rPr>
          <w:noProof/>
        </w:rPr>
        <w:t>20</w:t>
      </w:r>
      <w:r>
        <w:fldChar w:fldCharType="end"/>
      </w:r>
      <w:bookmarkEnd w:id="80"/>
      <w:r>
        <w:t>: Study CR845-CLIN3103 ANCOVA analysis of change from Baseline in total Skindex-10 scale at Week 12, multiple imputation under missing at random assumption (intention to treat population)</w:t>
      </w:r>
    </w:p>
    <w:p w14:paraId="298BAB98" w14:textId="088DADB5" w:rsidR="00E13387" w:rsidRDefault="00E13387" w:rsidP="00E13387">
      <w:r>
        <w:rPr>
          <w:noProof/>
        </w:rPr>
        <w:drawing>
          <wp:inline distT="0" distB="0" distL="0" distR="0" wp14:anchorId="7843042B" wp14:editId="4B069A68">
            <wp:extent cx="5759450" cy="1047750"/>
            <wp:effectExtent l="0" t="0" r="0" b="0"/>
            <wp:docPr id="35" name="Picture 35" descr="Study CR845-CLIN3103 ANCOVA analysis of change from Baseline in total Skindex-10 scale at Week 12, multiple imputation under missing at random assump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CR845-CLIN3103 ANCOVA analysis of change from Baseline in total Skindex-10 scale at Week 12, multiple imputation under missing at random assumption (intention to treat population)"/>
                    <pic:cNvPicPr/>
                  </pic:nvPicPr>
                  <pic:blipFill>
                    <a:blip r:embed="rId52"/>
                    <a:stretch>
                      <a:fillRect/>
                    </a:stretch>
                  </pic:blipFill>
                  <pic:spPr>
                    <a:xfrm>
                      <a:off x="0" y="0"/>
                      <a:ext cx="5759450" cy="1047750"/>
                    </a:xfrm>
                    <a:prstGeom prst="rect">
                      <a:avLst/>
                    </a:prstGeom>
                  </pic:spPr>
                </pic:pic>
              </a:graphicData>
            </a:graphic>
          </wp:inline>
        </w:drawing>
      </w:r>
    </w:p>
    <w:p w14:paraId="06D6E8C3" w14:textId="0415FB87" w:rsidR="00E13387" w:rsidRDefault="00E13387" w:rsidP="00E13387">
      <w:pPr>
        <w:pStyle w:val="TableDescription"/>
      </w:pPr>
      <w:r>
        <w:t>Abbreviations: ANCOVA = analysis of covariance, CI = confidence interval, LS = least squares, SE = standard error, ITT = intention to treat</w:t>
      </w:r>
    </w:p>
    <w:p w14:paraId="785FA6C4" w14:textId="72C0EDA2" w:rsidR="00E13387" w:rsidRDefault="00E13387" w:rsidP="00E13387">
      <w:pPr>
        <w:pStyle w:val="TableDescription"/>
      </w:pPr>
      <w:r>
        <w:t>Note: LS means, SEs, and 95% CIs were based on ANCOVA with fixed effects for treatment, with baseline score and the randomisation stratification variables as covariates. Missing values were imputed using multiple imputation under missing at random missing data assumption.</w:t>
      </w:r>
    </w:p>
    <w:p w14:paraId="6E69497F" w14:textId="4257F8B3" w:rsidR="00E13387" w:rsidRDefault="00E13387" w:rsidP="00E81FD4">
      <w:r w:rsidRPr="00E81FD4">
        <w:rPr>
          <w:i/>
          <w:iCs/>
        </w:rPr>
        <w:t>Change from Baseline in total 5-D itch scale score</w:t>
      </w:r>
      <w:r>
        <w:t>:</w:t>
      </w:r>
      <w:r w:rsidR="007D473D">
        <w:t xml:space="preserve"> </w:t>
      </w:r>
      <w:r>
        <w:t>Analyses of the change from Baseline in total 5</w:t>
      </w:r>
      <w:r w:rsidR="007D473D">
        <w:noBreakHyphen/>
      </w:r>
      <w:r>
        <w:t xml:space="preserve">D itch scale score at the end of Week 12 using ANCOVA showed that there was a numerically greater reduction in total 5-D itch scale score at the end of Week 12 with difelikefalin compared </w:t>
      </w:r>
      <w:r>
        <w:lastRenderedPageBreak/>
        <w:t>to placebo (-4.9 versus -3.8; LS mean treatment group difference of -1.1 (95% CI: -1.7 to -0.4), P</w:t>
      </w:r>
      <w:r w:rsidR="007D473D">
        <w:t> </w:t>
      </w:r>
      <w:r>
        <w:t>= 0.002). Although the nominal P value was 0.002, this difference could not be declared as statistically significant based on the hierarchical testing order, as the prior secondary endpoint (Skindex-10 at Week 12) was not statistically significant (see</w:t>
      </w:r>
      <w:r w:rsidR="00D12774">
        <w:t xml:space="preserve"> </w:t>
      </w:r>
      <w:r w:rsidR="00D12774">
        <w:fldChar w:fldCharType="begin"/>
      </w:r>
      <w:r w:rsidR="00D12774">
        <w:instrText xml:space="preserve"> REF _Ref142555094 \h </w:instrText>
      </w:r>
      <w:r w:rsidR="00D12774">
        <w:fldChar w:fldCharType="separate"/>
      </w:r>
      <w:r w:rsidR="00B44DE2">
        <w:t xml:space="preserve">Table </w:t>
      </w:r>
      <w:r w:rsidR="00B44DE2">
        <w:rPr>
          <w:noProof/>
        </w:rPr>
        <w:t>21</w:t>
      </w:r>
      <w:r w:rsidR="00D12774">
        <w:fldChar w:fldCharType="end"/>
      </w:r>
      <w:r w:rsidR="00D12774">
        <w:t>)</w:t>
      </w:r>
    </w:p>
    <w:p w14:paraId="59978F50" w14:textId="1E862622" w:rsidR="00E13387" w:rsidRDefault="00E13387" w:rsidP="00E13387">
      <w:pPr>
        <w:pStyle w:val="TableTitle"/>
      </w:pPr>
      <w:bookmarkStart w:id="81" w:name="_Ref142555094"/>
      <w:r>
        <w:t xml:space="preserve">Table </w:t>
      </w:r>
      <w:r>
        <w:fldChar w:fldCharType="begin"/>
      </w:r>
      <w:r>
        <w:instrText>SEQ Table \* ARABIC</w:instrText>
      </w:r>
      <w:r>
        <w:fldChar w:fldCharType="separate"/>
      </w:r>
      <w:r w:rsidR="00B44DE2">
        <w:rPr>
          <w:noProof/>
        </w:rPr>
        <w:t>21</w:t>
      </w:r>
      <w:r>
        <w:fldChar w:fldCharType="end"/>
      </w:r>
      <w:bookmarkEnd w:id="81"/>
      <w:r>
        <w:t xml:space="preserve">: Study CR845-CLIN3103 </w:t>
      </w:r>
      <w:r w:rsidR="00FE0067" w:rsidRPr="00FE0067">
        <w:t xml:space="preserve">Analysis of covariance </w:t>
      </w:r>
      <w:r>
        <w:t>of change from Baseline in total 5-D itch score at Week 12, multiple imputation (intention to treat population)</w:t>
      </w:r>
    </w:p>
    <w:p w14:paraId="06193840" w14:textId="15A4E34A" w:rsidR="00E13387" w:rsidRDefault="00E13387" w:rsidP="00E13387">
      <w:r>
        <w:rPr>
          <w:noProof/>
        </w:rPr>
        <w:drawing>
          <wp:inline distT="0" distB="0" distL="0" distR="0" wp14:anchorId="1CC99557" wp14:editId="5AD1937B">
            <wp:extent cx="5759450" cy="1241425"/>
            <wp:effectExtent l="0" t="0" r="0" b="0"/>
            <wp:docPr id="36" name="Picture 36" descr="Study CR845-CLIN3103 ANCOVA analysis of change from Baseline in total 5-D itch score at Week 12, multiple imputatio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y CR845-CLIN3103 ANCOVA analysis of change from Baseline in total 5-D itch score at Week 12, multiple imputation (intention to treat population)"/>
                    <pic:cNvPicPr/>
                  </pic:nvPicPr>
                  <pic:blipFill>
                    <a:blip r:embed="rId53"/>
                    <a:stretch>
                      <a:fillRect/>
                    </a:stretch>
                  </pic:blipFill>
                  <pic:spPr>
                    <a:xfrm>
                      <a:off x="0" y="0"/>
                      <a:ext cx="5759450" cy="1241425"/>
                    </a:xfrm>
                    <a:prstGeom prst="rect">
                      <a:avLst/>
                    </a:prstGeom>
                  </pic:spPr>
                </pic:pic>
              </a:graphicData>
            </a:graphic>
          </wp:inline>
        </w:drawing>
      </w:r>
    </w:p>
    <w:p w14:paraId="40169486" w14:textId="19B2EEA1" w:rsidR="00E13387" w:rsidRDefault="00E13387" w:rsidP="00E13387">
      <w:pPr>
        <w:pStyle w:val="TableDescription"/>
      </w:pPr>
      <w:r>
        <w:t>Abbreviations: ANCOVA = analysis of covariance, CI = confidence interval, ITT = intention to treat, LS = least squares, MAR = missing at random, SE = standard error</w:t>
      </w:r>
    </w:p>
    <w:p w14:paraId="71B05177" w14:textId="06F5FE94" w:rsidR="00E13387" w:rsidRDefault="00E13387" w:rsidP="00E13387">
      <w:pPr>
        <w:pStyle w:val="TableDescription"/>
      </w:pPr>
      <w:r>
        <w:t>Note: LS means, SEs, and 95% CIs were based on ANCOVA with fixed effects for treatment, with baseline score, region, and the randomisation stratification variables as covariates. Missing values were imputed using multiple imputation under MAR missing data assumption.</w:t>
      </w:r>
    </w:p>
    <w:p w14:paraId="26342AB1" w14:textId="2D39D57A" w:rsidR="00E13387" w:rsidRDefault="00E13387" w:rsidP="00E13387">
      <w:pPr>
        <w:pStyle w:val="Heading6"/>
      </w:pPr>
      <w:r>
        <w:t>Other studies</w:t>
      </w:r>
    </w:p>
    <w:p w14:paraId="23C0DD29" w14:textId="3B8E35AD" w:rsidR="00DF0812" w:rsidRPr="00DF0812" w:rsidRDefault="00DF0812" w:rsidP="00DF0812">
      <w:r w:rsidRPr="00DF0812">
        <w:t xml:space="preserve">The sponsor has indicated that the following three randomised Phase </w:t>
      </w:r>
      <w:r>
        <w:t>II</w:t>
      </w:r>
      <w:r w:rsidRPr="00DF0812">
        <w:t xml:space="preserve"> </w:t>
      </w:r>
      <w:r>
        <w:t>S</w:t>
      </w:r>
      <w:r w:rsidRPr="00DF0812">
        <w:t>tudies CR845</w:t>
      </w:r>
      <w:r>
        <w:noBreakHyphen/>
      </w:r>
      <w:r w:rsidRPr="00DF0812">
        <w:t>CLIN2005, CR845-CLIN2101 and PR-13A9-P2-A were submitted to provide supportive clinical safety data and not efficacy data</w:t>
      </w:r>
      <w:r>
        <w:t>.</w:t>
      </w:r>
    </w:p>
    <w:p w14:paraId="19D2DA8F" w14:textId="565D03D6" w:rsidR="00DF0812" w:rsidRPr="00DF0812" w:rsidRDefault="00DF0812" w:rsidP="00DF0812">
      <w:r w:rsidRPr="00DF0812">
        <w:t>Study CR845-CLIN2005</w:t>
      </w:r>
      <w:r>
        <w:t>:</w:t>
      </w:r>
      <w:r w:rsidRPr="00DF0812">
        <w:t xml:space="preserve"> </w:t>
      </w:r>
      <w:r>
        <w:t>a</w:t>
      </w:r>
      <w:r w:rsidRPr="00DF0812">
        <w:t xml:space="preserve"> double</w:t>
      </w:r>
      <w:r>
        <w:t xml:space="preserve"> </w:t>
      </w:r>
      <w:r w:rsidRPr="00DF0812">
        <w:t xml:space="preserve">blind, randomised, </w:t>
      </w:r>
      <w:proofErr w:type="gramStart"/>
      <w:r w:rsidRPr="00DF0812">
        <w:t>placebo</w:t>
      </w:r>
      <w:r>
        <w:t xml:space="preserve"> </w:t>
      </w:r>
      <w:r w:rsidRPr="00DF0812">
        <w:t>controlled</w:t>
      </w:r>
      <w:proofErr w:type="gramEnd"/>
      <w:r w:rsidRPr="00DF0812">
        <w:t xml:space="preserve"> study to evaluate the safety</w:t>
      </w:r>
      <w:r>
        <w:t xml:space="preserve"> </w:t>
      </w:r>
      <w:r w:rsidRPr="00DF0812">
        <w:t xml:space="preserve">and pharmacokinetics of intravenous </w:t>
      </w:r>
      <w:r>
        <w:t>d</w:t>
      </w:r>
      <w:r w:rsidRPr="00DF0812">
        <w:t>ifelikefalin in haemodialysis patients (Part A), and its safety and efficacy in haemodialysis patients with uraemic pruritus (Part B).</w:t>
      </w:r>
    </w:p>
    <w:p w14:paraId="213A1900" w14:textId="5B19B87E" w:rsidR="00DF0812" w:rsidRPr="00DF0812" w:rsidRDefault="00DF0812" w:rsidP="00DF0812">
      <w:r>
        <w:t xml:space="preserve">Study </w:t>
      </w:r>
      <w:r w:rsidRPr="00DF0812">
        <w:t>CR845-CLIN2101</w:t>
      </w:r>
      <w:r>
        <w:t>:</w:t>
      </w:r>
      <w:r w:rsidRPr="00DF0812">
        <w:t xml:space="preserve"> </w:t>
      </w:r>
      <w:r>
        <w:t>a</w:t>
      </w:r>
      <w:r w:rsidRPr="00DF0812">
        <w:t xml:space="preserve"> multicentre, randomised, double</w:t>
      </w:r>
      <w:r>
        <w:t xml:space="preserve"> </w:t>
      </w:r>
      <w:r w:rsidRPr="00DF0812">
        <w:t xml:space="preserve">blind, </w:t>
      </w:r>
      <w:proofErr w:type="gramStart"/>
      <w:r w:rsidRPr="00DF0812">
        <w:t>placebo</w:t>
      </w:r>
      <w:r>
        <w:t xml:space="preserve"> </w:t>
      </w:r>
      <w:r w:rsidRPr="00DF0812">
        <w:t>controlled</w:t>
      </w:r>
      <w:proofErr w:type="gramEnd"/>
      <w:r w:rsidRPr="00DF0812">
        <w:t xml:space="preserve"> study to evaluate the</w:t>
      </w:r>
      <w:r>
        <w:t xml:space="preserve"> </w:t>
      </w:r>
      <w:r w:rsidRPr="00DF0812">
        <w:t xml:space="preserve">safety and efficacy of IV </w:t>
      </w:r>
      <w:r>
        <w:t>d</w:t>
      </w:r>
      <w:r w:rsidRPr="00DF0812">
        <w:t xml:space="preserve">ifelikefalin administered for 8 weeks after each of </w:t>
      </w:r>
      <w:r>
        <w:t xml:space="preserve">three </w:t>
      </w:r>
      <w:r w:rsidRPr="00DF0812">
        <w:t>dialysis</w:t>
      </w:r>
      <w:r>
        <w:t xml:space="preserve"> </w:t>
      </w:r>
      <w:r w:rsidRPr="00DF0812">
        <w:t>sessions per week in haemodialysis subjects with moderate</w:t>
      </w:r>
      <w:r>
        <w:t xml:space="preserve"> </w:t>
      </w:r>
      <w:r w:rsidRPr="00DF0812">
        <w:t>to</w:t>
      </w:r>
      <w:r>
        <w:t xml:space="preserve"> </w:t>
      </w:r>
      <w:r w:rsidRPr="00DF0812">
        <w:t>severe pruritus.</w:t>
      </w:r>
    </w:p>
    <w:p w14:paraId="67FE0F2E" w14:textId="3A89EBFF" w:rsidR="00DF0812" w:rsidRDefault="00DF0812" w:rsidP="00DF0812">
      <w:r w:rsidRPr="00DF0812">
        <w:t>Study PR-13A9-P2</w:t>
      </w:r>
      <w:r>
        <w:t xml:space="preserve">: </w:t>
      </w:r>
      <w:r w:rsidRPr="00DF0812">
        <w:t>a placebo</w:t>
      </w:r>
      <w:r>
        <w:t xml:space="preserve"> </w:t>
      </w:r>
      <w:r w:rsidRPr="00DF0812">
        <w:t>controlled, randomised, double</w:t>
      </w:r>
      <w:r>
        <w:t xml:space="preserve"> </w:t>
      </w:r>
      <w:r w:rsidRPr="00DF0812">
        <w:t>blind, parallel</w:t>
      </w:r>
      <w:r>
        <w:t xml:space="preserve"> </w:t>
      </w:r>
      <w:r w:rsidRPr="00DF0812">
        <w:t>group comparative trial investigating the efficacy and safety of difelikefalin (0.25</w:t>
      </w:r>
      <w:r>
        <w:t> </w:t>
      </w:r>
      <w:r w:rsidR="00A33AB5">
        <w:t>µ</w:t>
      </w:r>
      <w:r w:rsidRPr="00DF0812">
        <w:t>g/kg, 0.5</w:t>
      </w:r>
      <w:r>
        <w:t> </w:t>
      </w:r>
      <w:r w:rsidR="00A33AB5">
        <w:t>µ</w:t>
      </w:r>
      <w:r w:rsidRPr="00DF0812">
        <w:t>g/kg, 1.0</w:t>
      </w:r>
      <w:r>
        <w:t> </w:t>
      </w:r>
      <w:r w:rsidR="00A33AB5">
        <w:t>µ</w:t>
      </w:r>
      <w:r w:rsidRPr="00DF0812">
        <w:t>g/kg, or 1.5</w:t>
      </w:r>
      <w:r>
        <w:t> </w:t>
      </w:r>
      <w:r w:rsidR="00A33AB5">
        <w:t>µ</w:t>
      </w:r>
      <w:r w:rsidRPr="00DF0812">
        <w:t>g/kg) on haemodialysis patients with pruritus</w:t>
      </w:r>
      <w:r>
        <w:t>.</w:t>
      </w:r>
    </w:p>
    <w:p w14:paraId="1EBF63C4" w14:textId="3DE9B94B" w:rsidR="00E13387" w:rsidRDefault="00DF0812" w:rsidP="00DF0812">
      <w:r>
        <w:t>T</w:t>
      </w:r>
      <w:r w:rsidRPr="00DF0812">
        <w:t xml:space="preserve">he efficacy results of the above three Phase </w:t>
      </w:r>
      <w:r>
        <w:t>II</w:t>
      </w:r>
      <w:r w:rsidRPr="00DF0812">
        <w:t xml:space="preserve"> studies were </w:t>
      </w:r>
      <w:r>
        <w:t>evaluated as part of the clinical evaluation</w:t>
      </w:r>
      <w:r w:rsidRPr="00DF0812">
        <w:t xml:space="preserve"> and did not raise any concerns.</w:t>
      </w:r>
    </w:p>
    <w:p w14:paraId="062500A3" w14:textId="77777777" w:rsidR="00DF0812" w:rsidRDefault="00DF0812" w:rsidP="00DF0812">
      <w:pPr>
        <w:pStyle w:val="Heading6"/>
      </w:pPr>
      <w:r>
        <w:t>Analyses performed across trials: pooled and meta-analyses</w:t>
      </w:r>
    </w:p>
    <w:p w14:paraId="4A763A2D" w14:textId="7FCB5896" w:rsidR="00DF0812" w:rsidRDefault="00DF0812" w:rsidP="00DF0812">
      <w:r w:rsidRPr="00DF0812">
        <w:t xml:space="preserve">Subgroup analyses conducted using the pooled data from </w:t>
      </w:r>
      <w:r>
        <w:t>S</w:t>
      </w:r>
      <w:r w:rsidRPr="00DF0812">
        <w:t>tudies CR845-CLIN3102 and CR845</w:t>
      </w:r>
      <w:r>
        <w:noBreakHyphen/>
      </w:r>
      <w:r w:rsidRPr="00DF0812">
        <w:t xml:space="preserve">CLIN3103 with respect to 3 </w:t>
      </w:r>
      <w:r>
        <w:t xml:space="preserve">or greater </w:t>
      </w:r>
      <w:r w:rsidRPr="00DF0812">
        <w:t>and 4</w:t>
      </w:r>
      <w:r>
        <w:t xml:space="preserve"> or greater </w:t>
      </w:r>
      <w:r w:rsidRPr="00DF0812">
        <w:t xml:space="preserve">point changes from </w:t>
      </w:r>
      <w:r>
        <w:t>B</w:t>
      </w:r>
      <w:r w:rsidRPr="00DF0812">
        <w:t>aseline in the WI-NRS at Week 12 showed results generally consistent with those in the overall population</w:t>
      </w:r>
      <w:r>
        <w:t>.</w:t>
      </w:r>
    </w:p>
    <w:p w14:paraId="37127E76" w14:textId="72B0BDA6" w:rsidR="00DF0812" w:rsidRDefault="00DF0812" w:rsidP="00DF0812">
      <w:pPr>
        <w:pStyle w:val="FigureTitle"/>
      </w:pPr>
      <w:r>
        <w:lastRenderedPageBreak/>
        <w:t xml:space="preserve">Figure </w:t>
      </w:r>
      <w:r>
        <w:fldChar w:fldCharType="begin"/>
      </w:r>
      <w:r>
        <w:instrText>SEQ Figure \* ARABIC</w:instrText>
      </w:r>
      <w:r>
        <w:fldChar w:fldCharType="separate"/>
      </w:r>
      <w:r w:rsidR="00B44DE2">
        <w:rPr>
          <w:noProof/>
        </w:rPr>
        <w:t>10</w:t>
      </w:r>
      <w:r>
        <w:fldChar w:fldCharType="end"/>
      </w:r>
      <w:r>
        <w:t>: Studies CR845-CLIN3102 and CR845-CLIN3103 Subjects with 3 point or greater improvement from Baseline to Week 12 with respect to the WI-NRS score by subgroup (intention to treat population, pooled dataset)</w:t>
      </w:r>
    </w:p>
    <w:p w14:paraId="27513D0E" w14:textId="331A1CB6" w:rsidR="00DF0812" w:rsidRDefault="00DF0812" w:rsidP="00DF0812">
      <w:r>
        <w:rPr>
          <w:noProof/>
        </w:rPr>
        <w:drawing>
          <wp:inline distT="0" distB="0" distL="0" distR="0" wp14:anchorId="655D3ED3" wp14:editId="26C5DFBF">
            <wp:extent cx="5702300" cy="2743200"/>
            <wp:effectExtent l="0" t="0" r="0" b="0"/>
            <wp:docPr id="10" name="Picture 10" descr="Studies CR845-CLIN3102 and CR845-CLIN3103 Subjects with 3 point or greater improvement from Baseline to Week 12 with respect to the WI-NRS score by subgroup (intention to treat population,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ies CR845-CLIN3102 and CR845-CLIN3103 Subjects with 3 point or greater improvement from Baseline to Week 12 with respect to the WI-NRS score by subgroup (intention to treat population, pooled dataset)"/>
                    <pic:cNvPicPr/>
                  </pic:nvPicPr>
                  <pic:blipFill rotWithShape="1">
                    <a:blip r:embed="rId54"/>
                    <a:srcRect l="992" t="1673" b="1941"/>
                    <a:stretch/>
                  </pic:blipFill>
                  <pic:spPr bwMode="auto">
                    <a:xfrm>
                      <a:off x="0" y="0"/>
                      <a:ext cx="5702300" cy="2743200"/>
                    </a:xfrm>
                    <a:prstGeom prst="rect">
                      <a:avLst/>
                    </a:prstGeom>
                    <a:ln>
                      <a:noFill/>
                    </a:ln>
                    <a:extLst>
                      <a:ext uri="{53640926-AAD7-44D8-BBD7-CCE9431645EC}">
                        <a14:shadowObscured xmlns:a14="http://schemas.microsoft.com/office/drawing/2010/main"/>
                      </a:ext>
                    </a:extLst>
                  </pic:spPr>
                </pic:pic>
              </a:graphicData>
            </a:graphic>
          </wp:inline>
        </w:drawing>
      </w:r>
    </w:p>
    <w:p w14:paraId="48E84055" w14:textId="77777777" w:rsidR="00DF0812" w:rsidRDefault="00DF0812" w:rsidP="00DF0812">
      <w:pPr>
        <w:pStyle w:val="FigureDescription"/>
        <w:keepNext w:val="0"/>
      </w:pPr>
      <w:r>
        <w:t>Abbreviations: CI = confidence interval, ITT = intention to treat, MAR = missing at random, MI = multiple imputation, WI-NRS = worst itching numerical rating scale</w:t>
      </w:r>
    </w:p>
    <w:p w14:paraId="0BCC38C7" w14:textId="4E766F5D" w:rsidR="00DF0812" w:rsidRPr="00DF0812" w:rsidRDefault="00DF0812" w:rsidP="00DF0812">
      <w:pPr>
        <w:pStyle w:val="FigureDescription"/>
      </w:pPr>
      <w:r w:rsidRPr="00DF0812">
        <w:t>Estimated percent</w:t>
      </w:r>
      <w:r>
        <w:t>ages</w:t>
      </w:r>
      <w:r w:rsidRPr="00DF0812">
        <w:t>, odds ratio, and confidence intervals were based on a logistic regression with terms for treatment group,</w:t>
      </w:r>
      <w:r>
        <w:t xml:space="preserve"> </w:t>
      </w:r>
      <w:r w:rsidRPr="00DF0812">
        <w:t>baseline WI-NRS score, region/study, use of anti-itch medication during the week prior to randomi</w:t>
      </w:r>
      <w:r>
        <w:t>s</w:t>
      </w:r>
      <w:r w:rsidRPr="00DF0812">
        <w:t>ation, and the presence of</w:t>
      </w:r>
      <w:r>
        <w:t xml:space="preserve"> </w:t>
      </w:r>
      <w:r w:rsidRPr="00DF0812">
        <w:t>specific medical conditions. For the analysis by geographic region and randomi</w:t>
      </w:r>
      <w:r>
        <w:t>s</w:t>
      </w:r>
      <w:r w:rsidRPr="00DF0812">
        <w:t>ation strata, the corresponding subgroup variables</w:t>
      </w:r>
      <w:r>
        <w:t xml:space="preserve"> </w:t>
      </w:r>
      <w:r w:rsidRPr="00DF0812">
        <w:t>were removed from the model, and Study ID was included in the model of United States. Missing values were imputed using</w:t>
      </w:r>
      <w:r>
        <w:t xml:space="preserve"> </w:t>
      </w:r>
      <w:r w:rsidRPr="00DF0812">
        <w:t>MI under</w:t>
      </w:r>
      <w:r>
        <w:t xml:space="preserve"> </w:t>
      </w:r>
      <w:r w:rsidRPr="00DF0812">
        <w:t>MAR missing data assumption for interim subjects and post-interim subjects separately.</w:t>
      </w:r>
    </w:p>
    <w:p w14:paraId="17DF382B" w14:textId="147EC330" w:rsidR="00DF0812" w:rsidRDefault="00DF0812" w:rsidP="00DF0812">
      <w:pPr>
        <w:pStyle w:val="FigureTitle"/>
      </w:pPr>
      <w:r>
        <w:t xml:space="preserve">Figure </w:t>
      </w:r>
      <w:r>
        <w:fldChar w:fldCharType="begin"/>
      </w:r>
      <w:r>
        <w:instrText>SEQ Figure \* ARABIC</w:instrText>
      </w:r>
      <w:r>
        <w:fldChar w:fldCharType="separate"/>
      </w:r>
      <w:r w:rsidR="00B44DE2">
        <w:rPr>
          <w:noProof/>
        </w:rPr>
        <w:t>11</w:t>
      </w:r>
      <w:r>
        <w:fldChar w:fldCharType="end"/>
      </w:r>
      <w:r>
        <w:t>:</w:t>
      </w:r>
      <w:r w:rsidRPr="00DF0812">
        <w:t xml:space="preserve"> </w:t>
      </w:r>
      <w:r>
        <w:t>Studies CR845-CLIN3102 and CR845-CLIN3103</w:t>
      </w:r>
      <w:r w:rsidRPr="00DF0812">
        <w:t xml:space="preserve"> </w:t>
      </w:r>
      <w:r>
        <w:t>Subjects with 4 point or greater improvement from Baseline to Week 12 with respect to the WI-NRS Score by subgroup (intention to treat population, pooled dataset)</w:t>
      </w:r>
    </w:p>
    <w:p w14:paraId="188C2773" w14:textId="21215045" w:rsidR="00DF0812" w:rsidRDefault="00DF0812" w:rsidP="00DF0812">
      <w:r>
        <w:rPr>
          <w:noProof/>
        </w:rPr>
        <w:drawing>
          <wp:inline distT="0" distB="0" distL="0" distR="0" wp14:anchorId="3F5C8310" wp14:editId="3CF2E532">
            <wp:extent cx="5673725" cy="2714625"/>
            <wp:effectExtent l="0" t="0" r="3175" b="9525"/>
            <wp:docPr id="17" name="Picture 17" descr="Studies CR845-CLIN3102 and CR845-CLIN3103 Subjects with 4 point or greater improvement from Baseline to Week 12 with respect to the WI-NRS Score by subgroup (intention to treat population,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ies CR845-CLIN3102 and CR845-CLIN3103 Subjects with 4 point or greater improvement from Baseline to Week 12 with respect to the WI-NRS Score by subgroup (intention to treat population, pooled dataset)"/>
                    <pic:cNvPicPr/>
                  </pic:nvPicPr>
                  <pic:blipFill rotWithShape="1">
                    <a:blip r:embed="rId55"/>
                    <a:srcRect l="1488" t="3540" b="4762"/>
                    <a:stretch/>
                  </pic:blipFill>
                  <pic:spPr bwMode="auto">
                    <a:xfrm>
                      <a:off x="0" y="0"/>
                      <a:ext cx="5673725" cy="2714625"/>
                    </a:xfrm>
                    <a:prstGeom prst="rect">
                      <a:avLst/>
                    </a:prstGeom>
                    <a:ln>
                      <a:noFill/>
                    </a:ln>
                    <a:extLst>
                      <a:ext uri="{53640926-AAD7-44D8-BBD7-CCE9431645EC}">
                        <a14:shadowObscured xmlns:a14="http://schemas.microsoft.com/office/drawing/2010/main"/>
                      </a:ext>
                    </a:extLst>
                  </pic:spPr>
                </pic:pic>
              </a:graphicData>
            </a:graphic>
          </wp:inline>
        </w:drawing>
      </w:r>
    </w:p>
    <w:p w14:paraId="79012DF6" w14:textId="5D720240" w:rsidR="00DF0812" w:rsidRDefault="00DF0812" w:rsidP="00DF0812">
      <w:pPr>
        <w:pStyle w:val="FigureDescription"/>
        <w:keepNext w:val="0"/>
      </w:pPr>
      <w:r>
        <w:t>Abbreviations: CI = confidence interval, ITT = intention to treat, MAR = missing at random, MI = multiple imputation, WI-NRS = worst itching numerical rating scale</w:t>
      </w:r>
    </w:p>
    <w:p w14:paraId="1AA4058A" w14:textId="35DCF71F" w:rsidR="00DF0812" w:rsidRDefault="00DF0812" w:rsidP="00DF0812">
      <w:pPr>
        <w:pStyle w:val="FigureDescription"/>
        <w:keepNext w:val="0"/>
      </w:pPr>
      <w:r w:rsidRPr="00DF0812">
        <w:t>Estimated percentages, odds ratio, and confidence intervals were based on a logistic regression with terms for treatment group, baseline WI-NRS score, region/study, use of anti-itch medication during the week prior to randomi</w:t>
      </w:r>
      <w:r>
        <w:t>s</w:t>
      </w:r>
      <w:r w:rsidRPr="00DF0812">
        <w:t xml:space="preserve">ation, and the presence of specific medical conditions. For the analysis by geographic region and </w:t>
      </w:r>
      <w:r w:rsidRPr="00DF0812">
        <w:lastRenderedPageBreak/>
        <w:t>randomi</w:t>
      </w:r>
      <w:r>
        <w:t>s</w:t>
      </w:r>
      <w:r w:rsidRPr="00DF0812">
        <w:t>ation strata, the corresponding subgroup variables were removed from the model, and Study ID was included in the model of United States. Missing values were imputed using MI under MAR missing data assumption for interim subjects and post-interim subjects separately.</w:t>
      </w:r>
    </w:p>
    <w:p w14:paraId="0BDA97DE" w14:textId="154D4AA2" w:rsidR="00DF0812" w:rsidRDefault="00DF0812" w:rsidP="00DF0812">
      <w:r w:rsidRPr="00DF0812">
        <w:t xml:space="preserve">Efficacy results in the pooled population in </w:t>
      </w:r>
      <w:r>
        <w:t>S</w:t>
      </w:r>
      <w:r w:rsidRPr="00DF0812">
        <w:t>tudies CR845-CLIN3102 and CR845-CLIN3103 were generally consistent with results in the individual studies</w:t>
      </w:r>
      <w:r>
        <w:t>.</w:t>
      </w:r>
    </w:p>
    <w:p w14:paraId="5134E3F8" w14:textId="7CC0C364" w:rsidR="00DF0812" w:rsidRDefault="00DF0812" w:rsidP="00DF0812">
      <w:pPr>
        <w:pStyle w:val="FigureTitle"/>
      </w:pPr>
      <w:r>
        <w:t xml:space="preserve">Figure </w:t>
      </w:r>
      <w:r>
        <w:fldChar w:fldCharType="begin"/>
      </w:r>
      <w:r>
        <w:instrText>SEQ Figure \* ARABIC</w:instrText>
      </w:r>
      <w:r>
        <w:fldChar w:fldCharType="separate"/>
      </w:r>
      <w:r w:rsidR="00B44DE2">
        <w:rPr>
          <w:noProof/>
        </w:rPr>
        <w:t>12</w:t>
      </w:r>
      <w:r>
        <w:fldChar w:fldCharType="end"/>
      </w:r>
      <w:r>
        <w:t xml:space="preserve">: Studies CR845-CLIN3102 and CR845-CLIN3103 Percentage of subjects with </w:t>
      </w:r>
      <w:r w:rsidRPr="00DF0812">
        <w:t>3</w:t>
      </w:r>
      <w:r>
        <w:t> </w:t>
      </w:r>
      <w:r w:rsidRPr="00DF0812">
        <w:t>point</w:t>
      </w:r>
      <w:r>
        <w:t xml:space="preserve"> or greater improvement with respect to the WI-NRS at Week 12 (Intention to treat population, multiple imputation with missing at random assumption)</w:t>
      </w:r>
    </w:p>
    <w:p w14:paraId="010D8963" w14:textId="394A7E47" w:rsidR="00DF0812" w:rsidRDefault="00DF0812" w:rsidP="00DF0812">
      <w:r>
        <w:rPr>
          <w:noProof/>
        </w:rPr>
        <w:drawing>
          <wp:inline distT="0" distB="0" distL="0" distR="0" wp14:anchorId="4C30F60E" wp14:editId="581EF7EB">
            <wp:extent cx="5616575" cy="2583180"/>
            <wp:effectExtent l="0" t="0" r="3175" b="7620"/>
            <wp:docPr id="25" name="Picture 25" descr="Studies CR845-CLIN3102 and CR845-CLIN3103 Percentage of subjects with 3 point or greater improvement with respect to the WI-NRS at Week 12 (Intention to treat population, multiple imputation with missing at random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ies CR845-CLIN3102 and CR845-CLIN3103 Percentage of subjects with 3 point or greater improvement with respect to the WI-NRS at Week 12 (Intention to treat population, multiple imputation with missing at random assumption)"/>
                    <pic:cNvPicPr/>
                  </pic:nvPicPr>
                  <pic:blipFill rotWithShape="1">
                    <a:blip r:embed="rId56"/>
                    <a:srcRect l="2481"/>
                    <a:stretch/>
                  </pic:blipFill>
                  <pic:spPr bwMode="auto">
                    <a:xfrm>
                      <a:off x="0" y="0"/>
                      <a:ext cx="5616575" cy="2583180"/>
                    </a:xfrm>
                    <a:prstGeom prst="rect">
                      <a:avLst/>
                    </a:prstGeom>
                    <a:ln>
                      <a:noFill/>
                    </a:ln>
                    <a:extLst>
                      <a:ext uri="{53640926-AAD7-44D8-BBD7-CCE9431645EC}">
                        <a14:shadowObscured xmlns:a14="http://schemas.microsoft.com/office/drawing/2010/main"/>
                      </a:ext>
                    </a:extLst>
                  </pic:spPr>
                </pic:pic>
              </a:graphicData>
            </a:graphic>
          </wp:inline>
        </w:drawing>
      </w:r>
    </w:p>
    <w:p w14:paraId="0A13832B" w14:textId="3B1419D0" w:rsidR="00DF0812" w:rsidRDefault="00DF0812" w:rsidP="00DF0812">
      <w:pPr>
        <w:pStyle w:val="FigureDescription"/>
      </w:pPr>
      <w:r>
        <w:t>Abbreviations: CI = confidence interval, DB = double blind, ITT = intention to treat, LS = least squares, MAR = missing at random, MI = multiple imputation, WI-NRS = worst itching numerical rating scale</w:t>
      </w:r>
    </w:p>
    <w:p w14:paraId="79DB4E32" w14:textId="72E29382" w:rsidR="00DF0812" w:rsidRPr="00DF0812" w:rsidRDefault="00DF0812" w:rsidP="00DF0812">
      <w:pPr>
        <w:pStyle w:val="FigureDescription"/>
      </w:pPr>
      <w:r>
        <w:t>Estimated percent and confidence interval used logistic regression model with terms for treatment group, baseline score, use of anti-itch medication during the week prior to randomisation, and the presence of specific medical conditions. Missing values were imputed using MI under MAR missing data assumption for interim subjects and post-interim subjects separately. Region was also included in the model for the 3103 DB analysis, while a region/study combined variable was also included in the model for the pooled analysis.</w:t>
      </w:r>
    </w:p>
    <w:p w14:paraId="09951D21" w14:textId="5DA66BC3" w:rsidR="00DF0812" w:rsidRDefault="00DF0812" w:rsidP="00DF0812">
      <w:pPr>
        <w:pStyle w:val="TableTitle"/>
      </w:pPr>
      <w:r>
        <w:t xml:space="preserve">Table </w:t>
      </w:r>
      <w:r>
        <w:fldChar w:fldCharType="begin"/>
      </w:r>
      <w:r>
        <w:instrText>SEQ Table \* ARABIC</w:instrText>
      </w:r>
      <w:r>
        <w:fldChar w:fldCharType="separate"/>
      </w:r>
      <w:r w:rsidR="00B44DE2">
        <w:rPr>
          <w:noProof/>
        </w:rPr>
        <w:t>22</w:t>
      </w:r>
      <w:r>
        <w:fldChar w:fldCharType="end"/>
      </w:r>
      <w:r>
        <w:t xml:space="preserve">: Studies CR845-CLIN3102 and CR845-CLIN3103 </w:t>
      </w:r>
      <w:r w:rsidR="00FE0067" w:rsidRPr="00FE0067">
        <w:t xml:space="preserve">Analysis of covariance </w:t>
      </w:r>
      <w:r>
        <w:t>of change from Baseline in total 5-D itch scale (intention to treat population, multiple imputation with missing at random assumption)</w:t>
      </w:r>
    </w:p>
    <w:p w14:paraId="7EC6D5BB" w14:textId="08B5E150" w:rsidR="00DF0812" w:rsidRDefault="00DF0812" w:rsidP="00DF0812">
      <w:r>
        <w:rPr>
          <w:noProof/>
        </w:rPr>
        <w:drawing>
          <wp:inline distT="0" distB="0" distL="0" distR="0" wp14:anchorId="7ADBB561" wp14:editId="53B96E89">
            <wp:extent cx="5759450" cy="1802765"/>
            <wp:effectExtent l="0" t="0" r="0" b="6985"/>
            <wp:docPr id="29" name="Picture 29" descr="Studies CR845-CLIN3102 and CR845-CLIN3103 ANCOVA analysis of change from Baseline in total 5-D itch scale (intention to treat population, multiple imputation with missing at random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ies CR845-CLIN3102 and CR845-CLIN3103 ANCOVA analysis of change from Baseline in total 5-D itch scale (intention to treat population, multiple imputation with missing at random assumption)"/>
                    <pic:cNvPicPr/>
                  </pic:nvPicPr>
                  <pic:blipFill>
                    <a:blip r:embed="rId57"/>
                    <a:stretch>
                      <a:fillRect/>
                    </a:stretch>
                  </pic:blipFill>
                  <pic:spPr>
                    <a:xfrm>
                      <a:off x="0" y="0"/>
                      <a:ext cx="5759450" cy="1802765"/>
                    </a:xfrm>
                    <a:prstGeom prst="rect">
                      <a:avLst/>
                    </a:prstGeom>
                  </pic:spPr>
                </pic:pic>
              </a:graphicData>
            </a:graphic>
          </wp:inline>
        </w:drawing>
      </w:r>
    </w:p>
    <w:p w14:paraId="5F86A4CA" w14:textId="2351C0FD" w:rsidR="00DF0812" w:rsidRDefault="00DF0812" w:rsidP="00DF0812">
      <w:pPr>
        <w:pStyle w:val="TableDescription"/>
      </w:pPr>
      <w:r>
        <w:t>Abbreviations: ANCOVA = analysis of covariance, CI = confidence interval. DB = double blind, LS = least squares, MAR</w:t>
      </w:r>
      <w:r w:rsidR="00D12774">
        <w:t> </w:t>
      </w:r>
      <w:r>
        <w:t>= missing at random, MI = multiple imputation, SE = standard error</w:t>
      </w:r>
    </w:p>
    <w:p w14:paraId="449180F2" w14:textId="0FB9AA73" w:rsidR="00DF0812" w:rsidRPr="00DF0812" w:rsidRDefault="00DF0812" w:rsidP="00DF0812">
      <w:pPr>
        <w:pStyle w:val="TableDescription"/>
      </w:pPr>
      <w:r>
        <w:t>Note: Least squares means, SEs, and 95% CIs were based on ANCOVA with fixed effects for treatment, baseline score, use of anti-itch medication during the week prior to randomisation, and the presence of specific medical conditions as covariates. Missing values are imputed using multiple imputation under MAR missing data assumption. Region was also included in the model for the 3103 DB analysis, while a region/study combined variable was also included in the model for the pooled analysis.</w:t>
      </w:r>
    </w:p>
    <w:p w14:paraId="7F4DF1CB" w14:textId="7571A1AD" w:rsidR="00DF0812" w:rsidRDefault="00DF0812" w:rsidP="00C7429A">
      <w:pPr>
        <w:pStyle w:val="TableTitle"/>
      </w:pPr>
      <w:r>
        <w:lastRenderedPageBreak/>
        <w:t xml:space="preserve">Table </w:t>
      </w:r>
      <w:r>
        <w:fldChar w:fldCharType="begin"/>
      </w:r>
      <w:r>
        <w:instrText>SEQ Table \* ARABIC</w:instrText>
      </w:r>
      <w:r>
        <w:fldChar w:fldCharType="separate"/>
      </w:r>
      <w:r w:rsidR="00B44DE2">
        <w:rPr>
          <w:noProof/>
        </w:rPr>
        <w:t>23</w:t>
      </w:r>
      <w:r>
        <w:fldChar w:fldCharType="end"/>
      </w:r>
      <w:r>
        <w:t xml:space="preserve">: </w:t>
      </w:r>
      <w:r w:rsidR="00C7429A">
        <w:t xml:space="preserve">Studies CR845-CLIN3102 and CR845-CLIN3103 </w:t>
      </w:r>
      <w:r w:rsidR="00FE0067" w:rsidRPr="00FE0067">
        <w:t xml:space="preserve">Analysis of covariance </w:t>
      </w:r>
      <w:r w:rsidR="00C7429A">
        <w:t>of change from Baseline in total Skindex-10 scale Week 12 (intention to treat population, multiple imputation with missing at random assumption)</w:t>
      </w:r>
    </w:p>
    <w:p w14:paraId="0FC6FDF8" w14:textId="6F067C9F" w:rsidR="00C7429A" w:rsidRPr="00C7429A" w:rsidRDefault="00C7429A" w:rsidP="00C7429A">
      <w:r>
        <w:rPr>
          <w:noProof/>
        </w:rPr>
        <w:drawing>
          <wp:inline distT="0" distB="0" distL="0" distR="0" wp14:anchorId="66E7DE04" wp14:editId="70794555">
            <wp:extent cx="5676900" cy="1716405"/>
            <wp:effectExtent l="0" t="0" r="0" b="0"/>
            <wp:docPr id="31" name="Picture 31" descr="Studies CR845-CLIN3102 and CR845-CLIN3103 ANCOVA analysis of change from Baseline in total Skindex-10 scale Week 12 (intention to treat population, multiple imputation with missing at random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ies CR845-CLIN3102 and CR845-CLIN3103 ANCOVA analysis of change from Baseline in total Skindex-10 scale Week 12 (intention to treat population, multiple imputation with missing at random assumption)"/>
                    <pic:cNvPicPr/>
                  </pic:nvPicPr>
                  <pic:blipFill rotWithShape="1">
                    <a:blip r:embed="rId58"/>
                    <a:srcRect r="1433"/>
                    <a:stretch/>
                  </pic:blipFill>
                  <pic:spPr bwMode="auto">
                    <a:xfrm>
                      <a:off x="0" y="0"/>
                      <a:ext cx="5676900" cy="1716405"/>
                    </a:xfrm>
                    <a:prstGeom prst="rect">
                      <a:avLst/>
                    </a:prstGeom>
                    <a:ln>
                      <a:noFill/>
                    </a:ln>
                    <a:extLst>
                      <a:ext uri="{53640926-AAD7-44D8-BBD7-CCE9431645EC}">
                        <a14:shadowObscured xmlns:a14="http://schemas.microsoft.com/office/drawing/2010/main"/>
                      </a:ext>
                    </a:extLst>
                  </pic:spPr>
                </pic:pic>
              </a:graphicData>
            </a:graphic>
          </wp:inline>
        </w:drawing>
      </w:r>
    </w:p>
    <w:p w14:paraId="2C2AAACD" w14:textId="173B31D4" w:rsidR="00C7429A" w:rsidRDefault="00C7429A" w:rsidP="00C7429A">
      <w:pPr>
        <w:pStyle w:val="TableDescription"/>
      </w:pPr>
      <w:r>
        <w:t>Abbreviations: ANCOVA = analysis of covariance, CI = confidence interval, DB = double blind, LS = least squares, MAR</w:t>
      </w:r>
      <w:r w:rsidR="00D12774">
        <w:t> </w:t>
      </w:r>
      <w:r>
        <w:t>= missing at random, MI = multiple imputation, SE = standard error</w:t>
      </w:r>
    </w:p>
    <w:p w14:paraId="38D81CE8" w14:textId="7AA4CFEB" w:rsidR="00DF0812" w:rsidRDefault="00C7429A" w:rsidP="00C7429A">
      <w:pPr>
        <w:pStyle w:val="TableDescription"/>
      </w:pPr>
      <w:r>
        <w:t>Note: Least squares means, SEs, and 95% CIs were based on ANCOVA with fixed effects for treatment, baseline score, use of anti-itch medication during the week prior to randomisation, and the presence of specific medical conditions as covariates. Missing values are imputed using multiple imputation under MAR missing data assumption. Region was also included in the model for the 3103 DB analysis, while a region/study combined variable was also included in the model for the pooled analysis.</w:t>
      </w:r>
    </w:p>
    <w:p w14:paraId="1FC96182" w14:textId="04A91116" w:rsidR="00C7429A" w:rsidRDefault="00C7429A" w:rsidP="00C7429A">
      <w:pPr>
        <w:pStyle w:val="Heading5"/>
      </w:pPr>
      <w:r>
        <w:t xml:space="preserve">Overall conclusions on </w:t>
      </w:r>
      <w:r w:rsidR="0084188E">
        <w:t>efficacy</w:t>
      </w:r>
    </w:p>
    <w:p w14:paraId="04A79124" w14:textId="047F3737" w:rsidR="00C7429A" w:rsidRDefault="00C7429A" w:rsidP="00C7429A">
      <w:r w:rsidRPr="00C7429A">
        <w:t xml:space="preserve">Overall, the study design, inclusion and exclusion criteria, and study endpoints of the pivotal efficacy </w:t>
      </w:r>
      <w:r>
        <w:t>S</w:t>
      </w:r>
      <w:r w:rsidRPr="00C7429A">
        <w:t>tudies CR845-CLIN3102 and CR845-CLIN3103 were appropriate.</w:t>
      </w:r>
    </w:p>
    <w:p w14:paraId="2E837782" w14:textId="7BAA3FA0" w:rsidR="00C7429A" w:rsidRPr="00C7429A" w:rsidRDefault="00C7429A" w:rsidP="00C7429A">
      <w:r w:rsidRPr="00C7429A">
        <w:t xml:space="preserve">The primary and secondary efficacy endpoints allowed assessment of the effect of </w:t>
      </w:r>
      <w:r>
        <w:t>d</w:t>
      </w:r>
      <w:r w:rsidRPr="00C7429A">
        <w:t>ifelikefalin on the intensity of itch (the proportion of subjects achieving a 3</w:t>
      </w:r>
      <w:r>
        <w:t xml:space="preserve"> </w:t>
      </w:r>
      <w:r w:rsidRPr="00C7429A">
        <w:t xml:space="preserve">point </w:t>
      </w:r>
      <w:r>
        <w:t xml:space="preserve">or greater </w:t>
      </w:r>
      <w:r w:rsidRPr="00C7429A">
        <w:t>or 4</w:t>
      </w:r>
      <w:r>
        <w:t xml:space="preserve"> </w:t>
      </w:r>
      <w:r w:rsidRPr="00C7429A">
        <w:t>point</w:t>
      </w:r>
      <w:r>
        <w:t xml:space="preserve"> or greater</w:t>
      </w:r>
      <w:r w:rsidRPr="00C7429A">
        <w:t xml:space="preserve"> improvement from </w:t>
      </w:r>
      <w:r>
        <w:t>B</w:t>
      </w:r>
      <w:r w:rsidRPr="00C7429A">
        <w:t xml:space="preserve">aseline in WI-NRS) and on itch-related </w:t>
      </w:r>
      <w:r>
        <w:t>quality of life</w:t>
      </w:r>
      <w:r w:rsidRPr="00C7429A">
        <w:t xml:space="preserve"> (change from </w:t>
      </w:r>
      <w:r>
        <w:t>B</w:t>
      </w:r>
      <w:r w:rsidRPr="00C7429A">
        <w:t xml:space="preserve">aseline in the 5-D </w:t>
      </w:r>
      <w:r>
        <w:t>i</w:t>
      </w:r>
      <w:r w:rsidRPr="00C7429A">
        <w:t xml:space="preserve">tch </w:t>
      </w:r>
      <w:r>
        <w:t>s</w:t>
      </w:r>
      <w:r w:rsidRPr="00C7429A">
        <w:t xml:space="preserve">cale and total Skindex-10 </w:t>
      </w:r>
      <w:r>
        <w:t>s</w:t>
      </w:r>
      <w:r w:rsidRPr="00C7429A">
        <w:t>cale score).</w:t>
      </w:r>
    </w:p>
    <w:p w14:paraId="048C7984" w14:textId="1981D039" w:rsidR="00C7429A" w:rsidRDefault="00C7429A" w:rsidP="00C7429A">
      <w:r w:rsidRPr="00C7429A">
        <w:t>Baseline demographic and disease characteristics were comparable between treatment groups in the respective studies and were consistent with the target patient population of CKD patients on haemodialysis with moderate</w:t>
      </w:r>
      <w:r>
        <w:t xml:space="preserve"> </w:t>
      </w:r>
      <w:r w:rsidRPr="00C7429A">
        <w:t>to</w:t>
      </w:r>
      <w:r>
        <w:t xml:space="preserve"> </w:t>
      </w:r>
      <w:r w:rsidRPr="00C7429A">
        <w:t>severe CKD-associated pruritus.</w:t>
      </w:r>
    </w:p>
    <w:p w14:paraId="5772B621" w14:textId="3B890DD2" w:rsidR="00C7429A" w:rsidRDefault="00C7429A" w:rsidP="00C7429A">
      <w:r w:rsidRPr="00C7429A">
        <w:t xml:space="preserve">Efficacy results were generally supportive of a positive effect of </w:t>
      </w:r>
      <w:r>
        <w:t>d</w:t>
      </w:r>
      <w:r w:rsidRPr="00C7429A">
        <w:t>ifelikefalin in the treatment of moderate</w:t>
      </w:r>
      <w:r>
        <w:t xml:space="preserve"> </w:t>
      </w:r>
      <w:r w:rsidRPr="00C7429A">
        <w:t>to</w:t>
      </w:r>
      <w:r>
        <w:t xml:space="preserve"> </w:t>
      </w:r>
      <w:r w:rsidRPr="00C7429A">
        <w:t>severe pruritus associated with chronic kidney disease in adult patients on haemodialysis.</w:t>
      </w:r>
    </w:p>
    <w:p w14:paraId="3C8F8982" w14:textId="4E8D8642" w:rsidR="00C7429A" w:rsidRDefault="00C7429A" w:rsidP="00C7429A">
      <w:r w:rsidRPr="00C7429A">
        <w:t>Primary efficacy analyses showed that the:</w:t>
      </w:r>
    </w:p>
    <w:p w14:paraId="0009FB6B" w14:textId="00BC66C8" w:rsidR="00C7429A" w:rsidRDefault="00C7429A" w:rsidP="00C7429A">
      <w:pPr>
        <w:pStyle w:val="ListBullet"/>
      </w:pPr>
      <w:r>
        <w:t>The LS</w:t>
      </w:r>
      <w:r w:rsidRPr="00C7429A">
        <w:t xml:space="preserve"> mean percentage of subjects with a 3</w:t>
      </w:r>
      <w:r>
        <w:t xml:space="preserve"> </w:t>
      </w:r>
      <w:r w:rsidRPr="00C7429A">
        <w:t>point</w:t>
      </w:r>
      <w:r>
        <w:t xml:space="preserve"> or greater</w:t>
      </w:r>
      <w:r w:rsidRPr="00C7429A">
        <w:t xml:space="preserve"> improvement from </w:t>
      </w:r>
      <w:r>
        <w:t>B</w:t>
      </w:r>
      <w:r w:rsidRPr="00C7429A">
        <w:t xml:space="preserve">aseline in the WI-NRS Score at Week 12 was statistically significantly greater with </w:t>
      </w:r>
      <w:r>
        <w:t>d</w:t>
      </w:r>
      <w:r w:rsidRPr="00C7429A">
        <w:t xml:space="preserve">ifelikefalin compared to placebo (Study CR845-CLIN3102: 51% </w:t>
      </w:r>
      <w:r>
        <w:t>versus</w:t>
      </w:r>
      <w:r w:rsidRPr="00C7429A">
        <w:t xml:space="preserve"> 27.6% </w:t>
      </w:r>
      <w:r>
        <w:t>(</w:t>
      </w:r>
      <w:r w:rsidRPr="00C7429A">
        <w:t>odds ratio of 2.72, P</w:t>
      </w:r>
      <w:r>
        <w:t> </w:t>
      </w:r>
      <w:r w:rsidRPr="00C7429A">
        <w:t>&lt;</w:t>
      </w:r>
      <w:r>
        <w:t> </w:t>
      </w:r>
      <w:r w:rsidRPr="00C7429A">
        <w:t>0.001</w:t>
      </w:r>
      <w:r>
        <w:t>)</w:t>
      </w:r>
      <w:r w:rsidRPr="00C7429A">
        <w:t>; Study CR845-CLIN3103: 54% v</w:t>
      </w:r>
      <w:r>
        <w:t>ersus</w:t>
      </w:r>
      <w:r w:rsidRPr="00C7429A">
        <w:t xml:space="preserve"> 42.2% </w:t>
      </w:r>
      <w:r>
        <w:t>(</w:t>
      </w:r>
      <w:r w:rsidRPr="00C7429A">
        <w:t>odds ratio of 1.62, P</w:t>
      </w:r>
      <w:r>
        <w:t> </w:t>
      </w:r>
      <w:r w:rsidRPr="00C7429A">
        <w:t>=</w:t>
      </w:r>
      <w:r>
        <w:t> </w:t>
      </w:r>
      <w:r w:rsidRPr="00C7429A">
        <w:t>0.020</w:t>
      </w:r>
      <w:r>
        <w:t>)</w:t>
      </w:r>
      <w:r w:rsidRPr="00C7429A">
        <w:t>).</w:t>
      </w:r>
    </w:p>
    <w:p w14:paraId="63AE85F8" w14:textId="2C3C7B26" w:rsidR="00C7429A" w:rsidRPr="00C7429A" w:rsidRDefault="00C7429A" w:rsidP="00C7429A">
      <w:pPr>
        <w:pStyle w:val="ListBullet"/>
      </w:pPr>
      <w:r w:rsidRPr="00C7429A">
        <w:t>The LS mean percentage of subjects with a 4</w:t>
      </w:r>
      <w:r>
        <w:t xml:space="preserve"> </w:t>
      </w:r>
      <w:r w:rsidRPr="00C7429A">
        <w:t>point</w:t>
      </w:r>
      <w:r>
        <w:t xml:space="preserve"> or greater</w:t>
      </w:r>
      <w:r w:rsidRPr="00C7429A">
        <w:t xml:space="preserve"> improvement from </w:t>
      </w:r>
      <w:r>
        <w:t>B</w:t>
      </w:r>
      <w:r w:rsidRPr="00C7429A">
        <w:t xml:space="preserve">aseline in the WI-NRS Score at Week 12 was also statistically significantly greater with </w:t>
      </w:r>
      <w:r>
        <w:t>d</w:t>
      </w:r>
      <w:r w:rsidRPr="00C7429A">
        <w:t xml:space="preserve">ifelikefalin compared to placebo (Study CR845-CLIN3102: 38.9% </w:t>
      </w:r>
      <w:r>
        <w:t>versus</w:t>
      </w:r>
      <w:r w:rsidRPr="00C7429A">
        <w:t xml:space="preserve"> 18% </w:t>
      </w:r>
      <w:r>
        <w:t>(</w:t>
      </w:r>
      <w:r w:rsidRPr="00C7429A">
        <w:t>odds ratio of 2.89, P</w:t>
      </w:r>
      <w:r>
        <w:t> </w:t>
      </w:r>
      <w:r w:rsidRPr="00C7429A">
        <w:t>&lt;</w:t>
      </w:r>
      <w:r>
        <w:t> </w:t>
      </w:r>
      <w:r w:rsidRPr="00C7429A">
        <w:t>0.001</w:t>
      </w:r>
      <w:r w:rsidR="007D473D">
        <w:t>)</w:t>
      </w:r>
      <w:r w:rsidRPr="00C7429A">
        <w:t xml:space="preserve">; Study CR845-CLIN3103: 41.2% </w:t>
      </w:r>
      <w:r>
        <w:t>versus</w:t>
      </w:r>
      <w:r w:rsidRPr="00C7429A">
        <w:t xml:space="preserve"> 28.4% </w:t>
      </w:r>
      <w:r>
        <w:t>(</w:t>
      </w:r>
      <w:r w:rsidRPr="00C7429A">
        <w:t>odds ratio of 1.7, P</w:t>
      </w:r>
      <w:r>
        <w:t> </w:t>
      </w:r>
      <w:r w:rsidRPr="00C7429A">
        <w:t>=</w:t>
      </w:r>
      <w:r>
        <w:t> </w:t>
      </w:r>
      <w:r w:rsidRPr="00C7429A">
        <w:t>0.010</w:t>
      </w:r>
      <w:r>
        <w:t>)</w:t>
      </w:r>
      <w:r w:rsidRPr="00C7429A">
        <w:t>).</w:t>
      </w:r>
    </w:p>
    <w:p w14:paraId="1E7A3BA5" w14:textId="519E8208" w:rsidR="00C7429A" w:rsidRPr="00C7429A" w:rsidRDefault="00C7429A" w:rsidP="00C7429A">
      <w:pPr>
        <w:pStyle w:val="ListBullet"/>
        <w:numPr>
          <w:ilvl w:val="0"/>
          <w:numId w:val="0"/>
        </w:numPr>
      </w:pPr>
      <w:r w:rsidRPr="00C7429A">
        <w:t xml:space="preserve">Analyses over time showed that a statistically significant treatment group difference favouring </w:t>
      </w:r>
      <w:r>
        <w:t>d</w:t>
      </w:r>
      <w:r w:rsidRPr="00C7429A">
        <w:t>ifelikefalin over placebo in the LS mean percentage of subjects with a 3</w:t>
      </w:r>
      <w:r>
        <w:t xml:space="preserve"> </w:t>
      </w:r>
      <w:r w:rsidRPr="00C7429A">
        <w:t xml:space="preserve">point </w:t>
      </w:r>
      <w:r>
        <w:t xml:space="preserve">or greater </w:t>
      </w:r>
      <w:r w:rsidRPr="00C7429A">
        <w:t>improvement from</w:t>
      </w:r>
      <w:r>
        <w:t xml:space="preserve"> B</w:t>
      </w:r>
      <w:r w:rsidRPr="00C7429A">
        <w:t xml:space="preserve">aseline in WI-NRS </w:t>
      </w:r>
      <w:r>
        <w:t>s</w:t>
      </w:r>
      <w:r w:rsidRPr="00C7429A">
        <w:t>core was observed as early as Week 3 (Study</w:t>
      </w:r>
      <w:r>
        <w:t> </w:t>
      </w:r>
      <w:r w:rsidRPr="00C7429A">
        <w:t>CR845</w:t>
      </w:r>
      <w:r>
        <w:noBreakHyphen/>
      </w:r>
      <w:r w:rsidRPr="00C7429A">
        <w:t xml:space="preserve">CLIN3102) or Week 2 (Study CR845-CLIN3103) and was maintained throughout the remainder of the </w:t>
      </w:r>
      <w:proofErr w:type="gramStart"/>
      <w:r>
        <w:t>double blind</w:t>
      </w:r>
      <w:proofErr w:type="gramEnd"/>
      <w:r>
        <w:t xml:space="preserve"> t</w:t>
      </w:r>
      <w:r w:rsidRPr="00C7429A">
        <w:t xml:space="preserve">reatment </w:t>
      </w:r>
      <w:r>
        <w:t>p</w:t>
      </w:r>
      <w:r w:rsidRPr="00C7429A">
        <w:t>eriod</w:t>
      </w:r>
      <w:r>
        <w:t>.</w:t>
      </w:r>
    </w:p>
    <w:p w14:paraId="37705AC6" w14:textId="3C23FA75" w:rsidR="00C7429A" w:rsidRDefault="00C7429A" w:rsidP="00C7429A">
      <w:pPr>
        <w:pStyle w:val="ListBullet"/>
      </w:pPr>
      <w:r w:rsidRPr="00C7429A">
        <w:lastRenderedPageBreak/>
        <w:t>The LS mean percentage of subjects with a 3</w:t>
      </w:r>
      <w:r>
        <w:t xml:space="preserve"> </w:t>
      </w:r>
      <w:r w:rsidRPr="00C7429A">
        <w:t xml:space="preserve">point </w:t>
      </w:r>
      <w:r>
        <w:t xml:space="preserve">or greater </w:t>
      </w:r>
      <w:r w:rsidRPr="00C7429A">
        <w:t xml:space="preserve">improvement from </w:t>
      </w:r>
      <w:r>
        <w:t>B</w:t>
      </w:r>
      <w:r w:rsidRPr="00C7429A">
        <w:t xml:space="preserve">aseline in the WI-NRS </w:t>
      </w:r>
      <w:r>
        <w:t>s</w:t>
      </w:r>
      <w:r w:rsidRPr="00C7429A">
        <w:t xml:space="preserve">core was statistically significantly greater with </w:t>
      </w:r>
      <w:r>
        <w:t>d</w:t>
      </w:r>
      <w:r w:rsidRPr="00C7429A">
        <w:t xml:space="preserve">ifelikefalin compared to placebo at Week 4 (Study CR845-CLIN3102: 33.5% </w:t>
      </w:r>
      <w:r>
        <w:t>versus</w:t>
      </w:r>
      <w:r w:rsidRPr="00C7429A">
        <w:t xml:space="preserve"> 16.7% </w:t>
      </w:r>
      <w:r>
        <w:t>(</w:t>
      </w:r>
      <w:r w:rsidRPr="00C7429A">
        <w:t>P</w:t>
      </w:r>
      <w:r>
        <w:t> </w:t>
      </w:r>
      <w:r w:rsidRPr="00C7429A">
        <w:t>&lt;</w:t>
      </w:r>
      <w:r>
        <w:t> </w:t>
      </w:r>
      <w:r w:rsidRPr="00C7429A">
        <w:t>0.001</w:t>
      </w:r>
      <w:r>
        <w:t>)</w:t>
      </w:r>
      <w:r w:rsidRPr="00C7429A">
        <w:t>; Study</w:t>
      </w:r>
      <w:r>
        <w:t> </w:t>
      </w:r>
      <w:r w:rsidRPr="00C7429A">
        <w:t>CR845</w:t>
      </w:r>
      <w:r>
        <w:noBreakHyphen/>
      </w:r>
      <w:r w:rsidRPr="00C7429A">
        <w:t>CLIN3103: 38.3% v</w:t>
      </w:r>
      <w:r>
        <w:t>ersus</w:t>
      </w:r>
      <w:r w:rsidRPr="00C7429A">
        <w:t xml:space="preserve"> 23.8% </w:t>
      </w:r>
      <w:r>
        <w:t>(</w:t>
      </w:r>
      <w:r w:rsidRPr="00C7429A">
        <w:t>P</w:t>
      </w:r>
      <w:r>
        <w:t> </w:t>
      </w:r>
      <w:r w:rsidRPr="00C7429A">
        <w:t>=</w:t>
      </w:r>
      <w:r>
        <w:t> </w:t>
      </w:r>
      <w:r w:rsidRPr="00C7429A">
        <w:t>0.020</w:t>
      </w:r>
      <w:r>
        <w:t>)</w:t>
      </w:r>
      <w:r w:rsidRPr="00C7429A">
        <w:t>) as well as at Week 8 (Study</w:t>
      </w:r>
      <w:r>
        <w:t> </w:t>
      </w:r>
      <w:r w:rsidRPr="00C7429A">
        <w:t>CR845-CLIN3102: 42.7% v</w:t>
      </w:r>
      <w:r>
        <w:t>ersus</w:t>
      </w:r>
      <w:r w:rsidRPr="00C7429A">
        <w:t xml:space="preserve"> 25.1% </w:t>
      </w:r>
      <w:r>
        <w:t>(</w:t>
      </w:r>
      <w:r w:rsidRPr="00C7429A">
        <w:t>P</w:t>
      </w:r>
      <w:r>
        <w:t> </w:t>
      </w:r>
      <w:r w:rsidRPr="00C7429A">
        <w:t>&lt;</w:t>
      </w:r>
      <w:r>
        <w:t> </w:t>
      </w:r>
      <w:r w:rsidRPr="00C7429A">
        <w:t>0.001</w:t>
      </w:r>
      <w:r>
        <w:t>)</w:t>
      </w:r>
      <w:r w:rsidRPr="00C7429A">
        <w:t>; Study CR845-CLIN3103: 49% v</w:t>
      </w:r>
      <w:r>
        <w:t xml:space="preserve">ersus </w:t>
      </w:r>
      <w:r w:rsidRPr="00C7429A">
        <w:t xml:space="preserve">36.2% </w:t>
      </w:r>
      <w:r>
        <w:t>(</w:t>
      </w:r>
      <w:r w:rsidRPr="00C7429A">
        <w:t>P</w:t>
      </w:r>
      <w:r>
        <w:t> </w:t>
      </w:r>
      <w:r w:rsidRPr="00C7429A">
        <w:t>=</w:t>
      </w:r>
      <w:r>
        <w:t> </w:t>
      </w:r>
      <w:r w:rsidRPr="00C7429A">
        <w:t>0.010</w:t>
      </w:r>
      <w:r>
        <w:t>)</w:t>
      </w:r>
      <w:r w:rsidRPr="00C7429A">
        <w:t>).</w:t>
      </w:r>
    </w:p>
    <w:p w14:paraId="6A3CA424" w14:textId="643BC71D" w:rsidR="00C7429A" w:rsidRPr="00C7429A" w:rsidRDefault="00C7429A" w:rsidP="00C7429A">
      <w:r w:rsidRPr="00C7429A">
        <w:t xml:space="preserve">Also, analyses over time showed statistically significant treatment group difference favouring </w:t>
      </w:r>
      <w:r>
        <w:t>d</w:t>
      </w:r>
      <w:r w:rsidRPr="00C7429A">
        <w:t>ifelikefalin over placebo in the LS mean percentage of subjects with a 4</w:t>
      </w:r>
      <w:r>
        <w:t xml:space="preserve"> </w:t>
      </w:r>
      <w:r w:rsidRPr="00C7429A">
        <w:t xml:space="preserve">point </w:t>
      </w:r>
      <w:r>
        <w:t xml:space="preserve">or greater </w:t>
      </w:r>
      <w:r w:rsidRPr="00C7429A">
        <w:t xml:space="preserve">improvement from </w:t>
      </w:r>
      <w:r>
        <w:t>B</w:t>
      </w:r>
      <w:r w:rsidRPr="00C7429A">
        <w:t>aseline in WI-NRS was observed as early as Week 4 (Study</w:t>
      </w:r>
      <w:r>
        <w:t> </w:t>
      </w:r>
      <w:r w:rsidRPr="00C7429A">
        <w:t>CR845</w:t>
      </w:r>
      <w:r>
        <w:noBreakHyphen/>
      </w:r>
      <w:r w:rsidRPr="00C7429A">
        <w:t xml:space="preserve">CLIN3102) or Week 3 (Study CR845-CLIN3103) and was maintained throughout the remainder of the </w:t>
      </w:r>
      <w:proofErr w:type="gramStart"/>
      <w:r>
        <w:t>double blind</w:t>
      </w:r>
      <w:proofErr w:type="gramEnd"/>
      <w:r>
        <w:t xml:space="preserve"> t</w:t>
      </w:r>
      <w:r w:rsidRPr="00C7429A">
        <w:t xml:space="preserve">reatment </w:t>
      </w:r>
      <w:r>
        <w:t>p</w:t>
      </w:r>
      <w:r w:rsidRPr="00C7429A">
        <w:t>eriod</w:t>
      </w:r>
      <w:r>
        <w:t>.</w:t>
      </w:r>
    </w:p>
    <w:p w14:paraId="3253406C" w14:textId="34D3D9D0" w:rsidR="00C7429A" w:rsidRPr="00C7429A" w:rsidRDefault="00C7429A" w:rsidP="00C7429A">
      <w:pPr>
        <w:pStyle w:val="ListBullet"/>
      </w:pPr>
      <w:r w:rsidRPr="00C7429A">
        <w:t>The LS mean percentage of subjects with a 4</w:t>
      </w:r>
      <w:r>
        <w:t xml:space="preserve"> </w:t>
      </w:r>
      <w:r w:rsidRPr="00C7429A">
        <w:t>point</w:t>
      </w:r>
      <w:r>
        <w:t xml:space="preserve"> or greater</w:t>
      </w:r>
      <w:r w:rsidRPr="00C7429A">
        <w:t xml:space="preserve"> improvement from </w:t>
      </w:r>
      <w:r>
        <w:t>B</w:t>
      </w:r>
      <w:r w:rsidRPr="00C7429A">
        <w:t xml:space="preserve">aseline in the WI-NRS was statistically significantly greater with </w:t>
      </w:r>
      <w:r>
        <w:t>d</w:t>
      </w:r>
      <w:r w:rsidRPr="00C7429A">
        <w:t>ifelikefalin compared to placebo at Week 4 (Study CR845-CLIN3102: 16.4% v</w:t>
      </w:r>
      <w:r>
        <w:t xml:space="preserve">ersus </w:t>
      </w:r>
      <w:r w:rsidRPr="00C7429A">
        <w:t xml:space="preserve">6.6% </w:t>
      </w:r>
      <w:r>
        <w:t>(</w:t>
      </w:r>
      <w:r w:rsidRPr="00C7429A">
        <w:t>P</w:t>
      </w:r>
      <w:r>
        <w:t> </w:t>
      </w:r>
      <w:r w:rsidRPr="00C7429A">
        <w:t>=</w:t>
      </w:r>
      <w:r>
        <w:t> </w:t>
      </w:r>
      <w:r w:rsidRPr="00C7429A">
        <w:t>0.003</w:t>
      </w:r>
      <w:r>
        <w:t>)</w:t>
      </w:r>
      <w:r w:rsidRPr="00C7429A">
        <w:t>; Study CR845-CLIN3103: 26.1% v</w:t>
      </w:r>
      <w:r>
        <w:t>ersus</w:t>
      </w:r>
      <w:r w:rsidRPr="00C7429A">
        <w:t xml:space="preserve"> 16.7% </w:t>
      </w:r>
      <w:r>
        <w:t>(</w:t>
      </w:r>
      <w:r w:rsidRPr="00C7429A">
        <w:t>P</w:t>
      </w:r>
      <w:r>
        <w:t> </w:t>
      </w:r>
      <w:r w:rsidRPr="00C7429A">
        <w:t>=</w:t>
      </w:r>
      <w:r>
        <w:t> </w:t>
      </w:r>
      <w:r w:rsidRPr="00C7429A">
        <w:t>0.036</w:t>
      </w:r>
      <w:r>
        <w:t>)</w:t>
      </w:r>
      <w:r w:rsidRPr="00C7429A">
        <w:t>) as well as at Week 8 Study CR845-CLIN3102: 26.9% v</w:t>
      </w:r>
      <w:r>
        <w:t>ersus</w:t>
      </w:r>
      <w:r w:rsidRPr="00C7429A">
        <w:t xml:space="preserve"> 14.9% </w:t>
      </w:r>
      <w:r>
        <w:t>(</w:t>
      </w:r>
      <w:r w:rsidRPr="00C7429A">
        <w:t>P</w:t>
      </w:r>
      <w:r>
        <w:t> </w:t>
      </w:r>
      <w:r w:rsidRPr="00C7429A">
        <w:t>=</w:t>
      </w:r>
      <w:r>
        <w:t> </w:t>
      </w:r>
      <w:r w:rsidRPr="00C7429A">
        <w:t>0.005</w:t>
      </w:r>
      <w:r>
        <w:t>)</w:t>
      </w:r>
      <w:r w:rsidRPr="00C7429A">
        <w:t>; Study CR845-CLIN3103: 36.1% v</w:t>
      </w:r>
      <w:r>
        <w:t>ersus</w:t>
      </w:r>
      <w:r w:rsidRPr="00C7429A">
        <w:t xml:space="preserve"> 23.7% </w:t>
      </w:r>
      <w:r>
        <w:t>(</w:t>
      </w:r>
      <w:r w:rsidRPr="00C7429A">
        <w:t>P</w:t>
      </w:r>
      <w:r>
        <w:t> </w:t>
      </w:r>
      <w:r w:rsidRPr="00C7429A">
        <w:t>=</w:t>
      </w:r>
      <w:r>
        <w:t> </w:t>
      </w:r>
      <w:r w:rsidRPr="00C7429A">
        <w:t>0.010</w:t>
      </w:r>
      <w:r>
        <w:t>)</w:t>
      </w:r>
      <w:r w:rsidRPr="00C7429A">
        <w:t>).</w:t>
      </w:r>
    </w:p>
    <w:p w14:paraId="7ACC0F63" w14:textId="79D49FEE" w:rsidR="00C7429A" w:rsidRPr="00C7429A" w:rsidRDefault="00C7429A" w:rsidP="00C7429A">
      <w:r w:rsidRPr="00C7429A">
        <w:t xml:space="preserve">Results on the effect of </w:t>
      </w:r>
      <w:r>
        <w:t>d</w:t>
      </w:r>
      <w:r w:rsidRPr="00C7429A">
        <w:t xml:space="preserve">ifelikefalin on itch-related </w:t>
      </w:r>
      <w:r>
        <w:t xml:space="preserve">quality of life </w:t>
      </w:r>
      <w:r w:rsidRPr="00C7429A">
        <w:t xml:space="preserve">showed that there was greater reduction (improvement) from </w:t>
      </w:r>
      <w:r>
        <w:t>B</w:t>
      </w:r>
      <w:r w:rsidRPr="00C7429A">
        <w:t xml:space="preserve">aseline in the total Skindex-10 </w:t>
      </w:r>
      <w:r>
        <w:t>s</w:t>
      </w:r>
      <w:r w:rsidRPr="00C7429A">
        <w:t>cale score at the end of Week</w:t>
      </w:r>
      <w:r>
        <w:t> </w:t>
      </w:r>
      <w:r w:rsidRPr="00C7429A">
        <w:t xml:space="preserve">12 with </w:t>
      </w:r>
      <w:r>
        <w:t>d</w:t>
      </w:r>
      <w:r w:rsidRPr="00C7429A">
        <w:t>ifelikefalin compared to placebo; the treatment difference was statistically significant in study CR845-CLIN3102 but was not statistically significant in Study</w:t>
      </w:r>
      <w:r>
        <w:t> </w:t>
      </w:r>
      <w:r w:rsidRPr="00C7429A">
        <w:t>CR845</w:t>
      </w:r>
      <w:r>
        <w:noBreakHyphen/>
      </w:r>
      <w:r w:rsidRPr="00C7429A">
        <w:t>CLIN3103 (Study CR845-CLIN3102: -17.2 v</w:t>
      </w:r>
      <w:r>
        <w:t>ersus</w:t>
      </w:r>
      <w:r w:rsidRPr="00C7429A">
        <w:t xml:space="preserve"> -12</w:t>
      </w:r>
      <w:r>
        <w:t>.0 (</w:t>
      </w:r>
      <w:r w:rsidRPr="00C7429A">
        <w:t>P</w:t>
      </w:r>
      <w:r>
        <w:t> </w:t>
      </w:r>
      <w:r w:rsidRPr="00C7429A">
        <w:t>&lt;</w:t>
      </w:r>
      <w:r>
        <w:t> </w:t>
      </w:r>
      <w:r w:rsidRPr="00C7429A">
        <w:t>0.001</w:t>
      </w:r>
      <w:r>
        <w:t>)</w:t>
      </w:r>
      <w:r w:rsidRPr="00C7429A">
        <w:t>; Study</w:t>
      </w:r>
      <w:r>
        <w:t> </w:t>
      </w:r>
      <w:r w:rsidRPr="00C7429A">
        <w:t>CR845</w:t>
      </w:r>
      <w:r>
        <w:noBreakHyphen/>
      </w:r>
      <w:r w:rsidRPr="00C7429A">
        <w:t>CLIN3103: -16.6 v</w:t>
      </w:r>
      <w:r>
        <w:t>ersus</w:t>
      </w:r>
      <w:r w:rsidRPr="00C7429A">
        <w:t xml:space="preserve"> -14.8 </w:t>
      </w:r>
      <w:r>
        <w:t>(</w:t>
      </w:r>
      <w:r w:rsidRPr="00C7429A">
        <w:t>P</w:t>
      </w:r>
      <w:r>
        <w:t> </w:t>
      </w:r>
      <w:r w:rsidRPr="00C7429A">
        <w:t>=</w:t>
      </w:r>
      <w:r>
        <w:t> </w:t>
      </w:r>
      <w:r w:rsidRPr="00C7429A">
        <w:t>0.171</w:t>
      </w:r>
      <w:r>
        <w:t>)</w:t>
      </w:r>
      <w:r w:rsidRPr="00C7429A">
        <w:t>).</w:t>
      </w:r>
    </w:p>
    <w:p w14:paraId="54E06F2A" w14:textId="180D92C9" w:rsidR="00C7429A" w:rsidRPr="00C7429A" w:rsidRDefault="00C7429A" w:rsidP="00C7429A">
      <w:r w:rsidRPr="00C7429A">
        <w:t xml:space="preserve">There was also greater reduction (improvement) from </w:t>
      </w:r>
      <w:r>
        <w:t>B</w:t>
      </w:r>
      <w:r w:rsidRPr="00C7429A">
        <w:t xml:space="preserve">aseline in the total 5-D </w:t>
      </w:r>
      <w:r>
        <w:t>i</w:t>
      </w:r>
      <w:r w:rsidRPr="00C7429A">
        <w:t xml:space="preserve">tch </w:t>
      </w:r>
      <w:r>
        <w:t>s</w:t>
      </w:r>
      <w:r w:rsidRPr="00C7429A">
        <w:t xml:space="preserve">cale score at the end of Week 12 with </w:t>
      </w:r>
      <w:r>
        <w:t>d</w:t>
      </w:r>
      <w:r w:rsidRPr="00C7429A">
        <w:t xml:space="preserve">ifelikefalin compared to placebo; the treatment difference was statistically significant in Study CR845-CLIN3102 but was not considered inferential in </w:t>
      </w:r>
      <w:r>
        <w:t>S</w:t>
      </w:r>
      <w:r w:rsidRPr="00C7429A">
        <w:t>tudy</w:t>
      </w:r>
      <w:r>
        <w:t> </w:t>
      </w:r>
      <w:r w:rsidRPr="00C7429A">
        <w:t xml:space="preserve">CR845-CLIN3103 due to hierarchical testing rules (Study CR845-CLIN3102: -5.0 </w:t>
      </w:r>
      <w:r>
        <w:t xml:space="preserve">versus </w:t>
      </w:r>
      <w:r>
        <w:noBreakHyphen/>
      </w:r>
      <w:r w:rsidRPr="00C7429A">
        <w:t xml:space="preserve">3.7 </w:t>
      </w:r>
      <w:r>
        <w:t>(</w:t>
      </w:r>
      <w:r w:rsidRPr="00C7429A">
        <w:t>P</w:t>
      </w:r>
      <w:r>
        <w:t> </w:t>
      </w:r>
      <w:r w:rsidRPr="00C7429A">
        <w:t>&lt;</w:t>
      </w:r>
      <w:r>
        <w:t> </w:t>
      </w:r>
      <w:r w:rsidRPr="00C7429A">
        <w:t>0.001</w:t>
      </w:r>
      <w:r>
        <w:t>)</w:t>
      </w:r>
      <w:r w:rsidRPr="00C7429A">
        <w:t>; Study CR845-CLIN3103: -4.9 v</w:t>
      </w:r>
      <w:r>
        <w:t>ersus</w:t>
      </w:r>
      <w:r w:rsidRPr="00C7429A">
        <w:t xml:space="preserve"> -3.8 </w:t>
      </w:r>
      <w:r w:rsidR="00D12774">
        <w:t>(</w:t>
      </w:r>
      <w:r w:rsidRPr="00C7429A">
        <w:t>nominal P</w:t>
      </w:r>
      <w:r>
        <w:t> </w:t>
      </w:r>
      <w:r w:rsidRPr="00C7429A">
        <w:t>=</w:t>
      </w:r>
      <w:r>
        <w:t> </w:t>
      </w:r>
      <w:r w:rsidRPr="00C7429A">
        <w:t>0.002</w:t>
      </w:r>
      <w:r>
        <w:t>)</w:t>
      </w:r>
      <w:r w:rsidRPr="00C7429A">
        <w:t>).</w:t>
      </w:r>
    </w:p>
    <w:p w14:paraId="42CEBE5F" w14:textId="3B68366D" w:rsidR="00C7429A" w:rsidRDefault="00C7429A" w:rsidP="00C7429A">
      <w:pPr>
        <w:pStyle w:val="Heading4"/>
      </w:pPr>
      <w:bookmarkStart w:id="82" w:name="_Toc147404312"/>
      <w:r>
        <w:t>Safety</w:t>
      </w:r>
      <w:bookmarkEnd w:id="82"/>
    </w:p>
    <w:p w14:paraId="6F493F2B" w14:textId="367F7073" w:rsidR="00C7429A" w:rsidRPr="00C7429A" w:rsidRDefault="00C7429A" w:rsidP="00C7429A">
      <w:r w:rsidRPr="00C7429A">
        <w:t xml:space="preserve">Overall, the safety data showed that </w:t>
      </w:r>
      <w:r>
        <w:t>d</w:t>
      </w:r>
      <w:r w:rsidRPr="00C7429A">
        <w:t>ifelikefalin was generally well</w:t>
      </w:r>
      <w:r>
        <w:t xml:space="preserve"> </w:t>
      </w:r>
      <w:r w:rsidRPr="00C7429A">
        <w:t>tolerated.</w:t>
      </w:r>
    </w:p>
    <w:p w14:paraId="68094264" w14:textId="35BA8F17" w:rsidR="00C7429A" w:rsidRPr="00C7429A" w:rsidRDefault="00C7429A" w:rsidP="00C7429A">
      <w:r w:rsidRPr="00C7429A">
        <w:t xml:space="preserve">In the pivotal Phase </w:t>
      </w:r>
      <w:r>
        <w:t>III</w:t>
      </w:r>
      <w:r w:rsidRPr="00C7429A">
        <w:t xml:space="preserve"> </w:t>
      </w:r>
      <w:r>
        <w:t>S</w:t>
      </w:r>
      <w:r w:rsidRPr="00C7429A">
        <w:t>tudies CR845-CLIN3102 and CR845-CLIN3103, the incidence of treatment</w:t>
      </w:r>
      <w:r>
        <w:t>-</w:t>
      </w:r>
      <w:r w:rsidRPr="00C7429A">
        <w:t xml:space="preserve">emergent adverse events </w:t>
      </w:r>
      <w:r>
        <w:t>(</w:t>
      </w:r>
      <w:r w:rsidRPr="00C7429A">
        <w:t>TEAEs</w:t>
      </w:r>
      <w:r>
        <w:t>)</w:t>
      </w:r>
      <w:r w:rsidRPr="00C7429A">
        <w:t xml:space="preserve"> was low (</w:t>
      </w:r>
      <w:r>
        <w:t xml:space="preserve">Study </w:t>
      </w:r>
      <w:r w:rsidRPr="00C7429A">
        <w:t xml:space="preserve">CR845-CLIN3102: 6.9% with </w:t>
      </w:r>
      <w:r>
        <w:t>d</w:t>
      </w:r>
      <w:r w:rsidRPr="00C7429A">
        <w:t>ifelikefalin v</w:t>
      </w:r>
      <w:r>
        <w:t xml:space="preserve">ersus </w:t>
      </w:r>
      <w:r w:rsidRPr="00C7429A">
        <w:t xml:space="preserve">5.3% with placebo; </w:t>
      </w:r>
      <w:r>
        <w:t xml:space="preserve">Study </w:t>
      </w:r>
      <w:r w:rsidRPr="00C7429A">
        <w:t xml:space="preserve">CR845-CLIN3103: 9.4% with </w:t>
      </w:r>
      <w:r>
        <w:t>d</w:t>
      </w:r>
      <w:r w:rsidRPr="00C7429A">
        <w:t>ifelikefalin v</w:t>
      </w:r>
      <w:r>
        <w:t xml:space="preserve">ersus </w:t>
      </w:r>
      <w:r w:rsidRPr="00C7429A">
        <w:t>6.8% with placebo).</w:t>
      </w:r>
    </w:p>
    <w:p w14:paraId="27FCBC34" w14:textId="257A07C2" w:rsidR="00C7429A" w:rsidRPr="00C7429A" w:rsidRDefault="00C7429A" w:rsidP="00C7429A">
      <w:r w:rsidRPr="00C7429A">
        <w:t xml:space="preserve">The </w:t>
      </w:r>
      <w:proofErr w:type="gramStart"/>
      <w:r w:rsidRPr="00C7429A">
        <w:t>most commonly reported</w:t>
      </w:r>
      <w:proofErr w:type="gramEnd"/>
      <w:r w:rsidRPr="00C7429A">
        <w:t xml:space="preserve"> TEAEs with </w:t>
      </w:r>
      <w:r>
        <w:t>d</w:t>
      </w:r>
      <w:r w:rsidRPr="00C7429A">
        <w:t>ifelikefalin</w:t>
      </w:r>
      <w:r>
        <w:t xml:space="preserve"> </w:t>
      </w:r>
      <w:r w:rsidRPr="00C7429A">
        <w:t>were:</w:t>
      </w:r>
    </w:p>
    <w:p w14:paraId="408F9A78" w14:textId="68157DA1" w:rsidR="00C7429A" w:rsidRPr="00C7429A" w:rsidRDefault="00C7429A" w:rsidP="00C7429A">
      <w:pPr>
        <w:pStyle w:val="ListBullet"/>
      </w:pPr>
      <w:r w:rsidRPr="00C7429A">
        <w:t xml:space="preserve">dizziness (1.6% </w:t>
      </w:r>
      <w:r>
        <w:t>difelikefalin versus</w:t>
      </w:r>
      <w:r w:rsidRPr="00C7429A">
        <w:t xml:space="preserve"> 0% placebo) and somnolence (1.6% </w:t>
      </w:r>
      <w:r>
        <w:t>difelikefalin versus</w:t>
      </w:r>
      <w:r w:rsidRPr="00C7429A">
        <w:t xml:space="preserve"> 0% </w:t>
      </w:r>
      <w:r>
        <w:t>placebo</w:t>
      </w:r>
      <w:r w:rsidRPr="00C7429A">
        <w:t>) in Study CR845-CLIN3102.</w:t>
      </w:r>
    </w:p>
    <w:p w14:paraId="6025C914" w14:textId="60CADBE3" w:rsidR="00C7429A" w:rsidRPr="00C7429A" w:rsidRDefault="00C7429A" w:rsidP="00C7429A">
      <w:pPr>
        <w:pStyle w:val="ListBullet"/>
      </w:pPr>
      <w:r w:rsidRPr="00C7429A">
        <w:t xml:space="preserve">somnolence (1.7% </w:t>
      </w:r>
      <w:r>
        <w:t>difelikefalin versus</w:t>
      </w:r>
      <w:r w:rsidRPr="00C7429A">
        <w:t xml:space="preserve"> 1.7% </w:t>
      </w:r>
      <w:r>
        <w:t>placebo</w:t>
      </w:r>
      <w:r w:rsidRPr="00C7429A">
        <w:t xml:space="preserve">), nausea (1.3% </w:t>
      </w:r>
      <w:r>
        <w:t>difelikefalin versus</w:t>
      </w:r>
      <w:r w:rsidRPr="00C7429A">
        <w:t xml:space="preserve"> 1.3% </w:t>
      </w:r>
      <w:r>
        <w:t>placebo</w:t>
      </w:r>
      <w:r w:rsidRPr="00C7429A">
        <w:t xml:space="preserve">), vomiting (1.3% </w:t>
      </w:r>
      <w:r>
        <w:t>difelikefalin versus</w:t>
      </w:r>
      <w:r w:rsidRPr="00C7429A">
        <w:t xml:space="preserve"> 0.4% </w:t>
      </w:r>
      <w:r>
        <w:t>placebo</w:t>
      </w:r>
      <w:r w:rsidRPr="00C7429A">
        <w:t xml:space="preserve">), gait disturbance (1.3% </w:t>
      </w:r>
      <w:r>
        <w:t>difelikefalin versus</w:t>
      </w:r>
      <w:r w:rsidRPr="00C7429A">
        <w:t xml:space="preserve"> 0% </w:t>
      </w:r>
      <w:r>
        <w:t>placebo</w:t>
      </w:r>
      <w:r w:rsidRPr="00C7429A">
        <w:t xml:space="preserve">) and dizziness (1.3% </w:t>
      </w:r>
      <w:r>
        <w:t>difelikefalin versus</w:t>
      </w:r>
      <w:r w:rsidRPr="00C7429A">
        <w:t xml:space="preserve"> 0.8% </w:t>
      </w:r>
      <w:r>
        <w:t>placebo</w:t>
      </w:r>
      <w:r w:rsidRPr="00C7429A">
        <w:t xml:space="preserve">) in </w:t>
      </w:r>
      <w:r>
        <w:t>S</w:t>
      </w:r>
      <w:r w:rsidRPr="00C7429A">
        <w:t>tudy CR845-CLIN3103.</w:t>
      </w:r>
    </w:p>
    <w:p w14:paraId="249FFC27" w14:textId="12512448" w:rsidR="00C7429A" w:rsidRPr="00C7429A" w:rsidRDefault="00C7429A" w:rsidP="00C7429A">
      <w:pPr>
        <w:pStyle w:val="ListBullet"/>
      </w:pPr>
      <w:r w:rsidRPr="00C7429A">
        <w:t xml:space="preserve">somnolence (1.9% </w:t>
      </w:r>
      <w:r>
        <w:t>difelikefalin</w:t>
      </w:r>
      <w:r w:rsidRPr="00C7429A">
        <w:t xml:space="preserve"> and 0.9% </w:t>
      </w:r>
      <w:r>
        <w:t>placebo</w:t>
      </w:r>
      <w:r w:rsidRPr="00C7429A">
        <w:t>) and dizziness (1.4%</w:t>
      </w:r>
      <w:r>
        <w:t xml:space="preserve"> difelikefalin</w:t>
      </w:r>
      <w:r w:rsidRPr="00C7429A">
        <w:t xml:space="preserve"> and 0.2% </w:t>
      </w:r>
      <w:r>
        <w:t>placebo</w:t>
      </w:r>
      <w:r w:rsidRPr="00C7429A">
        <w:t xml:space="preserve">, respectively) in the </w:t>
      </w:r>
      <w:r>
        <w:t>p</w:t>
      </w:r>
      <w:r w:rsidRPr="00C7429A">
        <w:t>ooled analyses of Studies CR845-CLIN3102 and</w:t>
      </w:r>
      <w:r>
        <w:t> </w:t>
      </w:r>
      <w:r w:rsidRPr="00C7429A">
        <w:t>CR845</w:t>
      </w:r>
      <w:r>
        <w:noBreakHyphen/>
      </w:r>
      <w:r w:rsidRPr="00C7429A">
        <w:t>CLIN3103.</w:t>
      </w:r>
    </w:p>
    <w:p w14:paraId="28992F9F" w14:textId="165C3051" w:rsidR="00C7429A" w:rsidRPr="00C7429A" w:rsidRDefault="00C7429A" w:rsidP="00C7429A">
      <w:r w:rsidRPr="00C7429A">
        <w:t>The majority of the TEAEs were mild or moderate severity.</w:t>
      </w:r>
    </w:p>
    <w:p w14:paraId="17C4BD3B" w14:textId="1AFE0BE9" w:rsidR="00C7429A" w:rsidRPr="00C7429A" w:rsidRDefault="00C7429A" w:rsidP="00C7429A">
      <w:r w:rsidRPr="00C7429A">
        <w:t>No study drug</w:t>
      </w:r>
      <w:r>
        <w:t xml:space="preserve"> </w:t>
      </w:r>
      <w:r w:rsidRPr="00C7429A">
        <w:t xml:space="preserve">related deaths were reported in the </w:t>
      </w:r>
      <w:r>
        <w:t xml:space="preserve">two </w:t>
      </w:r>
      <w:r w:rsidRPr="00C7429A">
        <w:t>pivotal studies.</w:t>
      </w:r>
    </w:p>
    <w:p w14:paraId="719C4B6F" w14:textId="1DBC0D67" w:rsidR="00C7429A" w:rsidRPr="00C7429A" w:rsidRDefault="00C7429A" w:rsidP="00C7429A">
      <w:r w:rsidRPr="00C7429A">
        <w:lastRenderedPageBreak/>
        <w:t>The incidence of all</w:t>
      </w:r>
      <w:r>
        <w:t xml:space="preserve"> </w:t>
      </w:r>
      <w:r w:rsidRPr="00C7429A">
        <w:t xml:space="preserve">causality </w:t>
      </w:r>
      <w:r>
        <w:t>s</w:t>
      </w:r>
      <w:r w:rsidRPr="00C7429A">
        <w:t xml:space="preserve">erious </w:t>
      </w:r>
      <w:r>
        <w:t>a</w:t>
      </w:r>
      <w:r w:rsidRPr="00C7429A">
        <w:t xml:space="preserve">dverse </w:t>
      </w:r>
      <w:r>
        <w:t>events</w:t>
      </w:r>
      <w:r w:rsidRPr="00C7429A">
        <w:t xml:space="preserve"> was generally comparable between </w:t>
      </w:r>
      <w:r>
        <w:t>d</w:t>
      </w:r>
      <w:r w:rsidRPr="00C7429A">
        <w:t>ifelikefalin and placebo (</w:t>
      </w:r>
      <w:r>
        <w:t xml:space="preserve">Study </w:t>
      </w:r>
      <w:r w:rsidRPr="00C7429A">
        <w:t xml:space="preserve">CR845-CLIN3102: 25.9% </w:t>
      </w:r>
      <w:r>
        <w:t>difelikefalin versus</w:t>
      </w:r>
      <w:r w:rsidRPr="00C7429A">
        <w:t xml:space="preserve"> 21.8% </w:t>
      </w:r>
      <w:r>
        <w:t>placebo</w:t>
      </w:r>
      <w:r w:rsidRPr="00C7429A">
        <w:t xml:space="preserve">; </w:t>
      </w:r>
      <w:r>
        <w:t xml:space="preserve">Study </w:t>
      </w:r>
      <w:r w:rsidRPr="00C7429A">
        <w:t xml:space="preserve">CR845-CLIN3103: 24.7% </w:t>
      </w:r>
      <w:r>
        <w:t>difelikefalin versus</w:t>
      </w:r>
      <w:r w:rsidRPr="00C7429A">
        <w:t xml:space="preserve"> 21.6% </w:t>
      </w:r>
      <w:r>
        <w:t>placebo</w:t>
      </w:r>
      <w:r w:rsidRPr="00C7429A">
        <w:t>). The incidence of treatment</w:t>
      </w:r>
      <w:r>
        <w:t xml:space="preserve"> </w:t>
      </w:r>
      <w:r w:rsidRPr="00C7429A">
        <w:t xml:space="preserve">related </w:t>
      </w:r>
      <w:r>
        <w:t xml:space="preserve">serious adverse events </w:t>
      </w:r>
      <w:r w:rsidRPr="00C7429A">
        <w:t>was low (</w:t>
      </w:r>
      <w:r>
        <w:t xml:space="preserve">Study </w:t>
      </w:r>
      <w:r w:rsidRPr="00C7429A">
        <w:t xml:space="preserve">CR845-CLIN3102: 0% in both </w:t>
      </w:r>
      <w:r>
        <w:t xml:space="preserve">difelikefalin </w:t>
      </w:r>
      <w:r w:rsidRPr="00C7429A">
        <w:t xml:space="preserve">and </w:t>
      </w:r>
      <w:r>
        <w:t>placebo</w:t>
      </w:r>
      <w:r w:rsidRPr="00C7429A">
        <w:t xml:space="preserve">; </w:t>
      </w:r>
      <w:r>
        <w:t xml:space="preserve">Study </w:t>
      </w:r>
      <w:r w:rsidRPr="00C7429A">
        <w:t xml:space="preserve">CR845-CLIN3103: 0.4% </w:t>
      </w:r>
      <w:r>
        <w:t>(</w:t>
      </w:r>
      <w:r w:rsidRPr="00C7429A">
        <w:t>1</w:t>
      </w:r>
      <w:r>
        <w:t xml:space="preserve"> out of </w:t>
      </w:r>
      <w:r w:rsidRPr="00C7429A">
        <w:t>235</w:t>
      </w:r>
      <w:r>
        <w:t>)</w:t>
      </w:r>
      <w:r w:rsidRPr="00C7429A">
        <w:t xml:space="preserve"> </w:t>
      </w:r>
      <w:r>
        <w:t>difelikefalin versus</w:t>
      </w:r>
      <w:r w:rsidRPr="00C7429A">
        <w:t xml:space="preserve"> 0% </w:t>
      </w:r>
      <w:r>
        <w:t>placebo</w:t>
      </w:r>
      <w:r w:rsidRPr="00C7429A">
        <w:t>).</w:t>
      </w:r>
    </w:p>
    <w:p w14:paraId="648C6496" w14:textId="15958845" w:rsidR="00C7429A" w:rsidRDefault="00C7429A" w:rsidP="00C7429A">
      <w:r w:rsidRPr="00C7429A">
        <w:t xml:space="preserve">Analyses of </w:t>
      </w:r>
      <w:proofErr w:type="gramStart"/>
      <w:r w:rsidRPr="00C7429A">
        <w:t>long</w:t>
      </w:r>
      <w:r>
        <w:t xml:space="preserve"> </w:t>
      </w:r>
      <w:r w:rsidRPr="00C7429A">
        <w:t>term</w:t>
      </w:r>
      <w:proofErr w:type="gramEnd"/>
      <w:r w:rsidRPr="00C7429A">
        <w:t xml:space="preserve"> safety data in the </w:t>
      </w:r>
      <w:r>
        <w:t>difelikefalin e</w:t>
      </w:r>
      <w:r w:rsidRPr="00C7429A">
        <w:t xml:space="preserve">xposure </w:t>
      </w:r>
      <w:r>
        <w:t>s</w:t>
      </w:r>
      <w:r w:rsidRPr="00C7429A">
        <w:t xml:space="preserve">afety </w:t>
      </w:r>
      <w:r>
        <w:t>p</w:t>
      </w:r>
      <w:r w:rsidRPr="00C7429A">
        <w:t xml:space="preserve">ool did not raise major safety concerns. The incidence of TEAEs was low (6.6%) in the pooled </w:t>
      </w:r>
      <w:r>
        <w:t>d</w:t>
      </w:r>
      <w:r w:rsidRPr="00C7429A">
        <w:t xml:space="preserve">ifelikefalin group. The </w:t>
      </w:r>
      <w:proofErr w:type="gramStart"/>
      <w:r w:rsidRPr="00C7429A">
        <w:t>most commonly reported</w:t>
      </w:r>
      <w:proofErr w:type="gramEnd"/>
      <w:r w:rsidRPr="00C7429A">
        <w:t xml:space="preserve"> TEAE was somnolence (1.1%). The majority of the TEAEs were mild or moderate severity. There were no study drug</w:t>
      </w:r>
      <w:r>
        <w:t xml:space="preserve"> </w:t>
      </w:r>
      <w:r w:rsidRPr="00C7429A">
        <w:t>related deaths in this safety pool.</w:t>
      </w:r>
    </w:p>
    <w:p w14:paraId="24997D8F" w14:textId="379F065C" w:rsidR="00D12774" w:rsidRDefault="0084188E" w:rsidP="00D12774">
      <w:pPr>
        <w:pStyle w:val="Heading4"/>
      </w:pPr>
      <w:bookmarkStart w:id="83" w:name="_Toc147404313"/>
      <w:r w:rsidRPr="0084188E">
        <w:t>Recommendation following the clinical evaluation</w:t>
      </w:r>
      <w:bookmarkEnd w:id="83"/>
    </w:p>
    <w:p w14:paraId="4E2A867A" w14:textId="59F6C487" w:rsidR="00D12774" w:rsidRPr="00D12774" w:rsidRDefault="00D12774" w:rsidP="00D12774">
      <w:r w:rsidRPr="00D12774">
        <w:t>Overall, the clinical evaluation concluded the benefit-risk balance for the use of difelikefalin for the treatment of moderate to severe pruritus associated with chronic kidney disease (CKD-</w:t>
      </w:r>
      <w:proofErr w:type="spellStart"/>
      <w:r w:rsidRPr="00D12774">
        <w:t>aP</w:t>
      </w:r>
      <w:proofErr w:type="spellEnd"/>
      <w:r w:rsidRPr="00D12774">
        <w:t>) in adult patients on haemodialysis is positive.</w:t>
      </w:r>
    </w:p>
    <w:p w14:paraId="5075D10F" w14:textId="3C971016" w:rsidR="00D12774" w:rsidRPr="00D12774" w:rsidRDefault="00D12774" w:rsidP="00D12774">
      <w:r w:rsidRPr="00D12774">
        <w:t>Efficacy results were generally supportive of a positive effect of difelikefalin on moderate to severe CKD-</w:t>
      </w:r>
      <w:proofErr w:type="spellStart"/>
      <w:r w:rsidRPr="00D12774">
        <w:t>aP.</w:t>
      </w:r>
      <w:proofErr w:type="spellEnd"/>
      <w:r w:rsidRPr="00D12774">
        <w:t xml:space="preserve"> Safety results showed that difelikefalin was well tolerated.</w:t>
      </w:r>
    </w:p>
    <w:p w14:paraId="52E20503" w14:textId="77777777" w:rsidR="00D12774" w:rsidRPr="00D12774" w:rsidRDefault="00D12774" w:rsidP="00D12774">
      <w:r w:rsidRPr="00D12774">
        <w:t>The benefit-risk balance is also assessed in the context that there are currently no specific therapies with proven efficacy approved for CKD-</w:t>
      </w:r>
      <w:proofErr w:type="spellStart"/>
      <w:r w:rsidRPr="00D12774">
        <w:t>aP.</w:t>
      </w:r>
      <w:proofErr w:type="spellEnd"/>
    </w:p>
    <w:p w14:paraId="67EC6205" w14:textId="0279F564" w:rsidR="00D12774" w:rsidRPr="00D12774" w:rsidRDefault="00D12774" w:rsidP="00D12774">
      <w:r w:rsidRPr="00D12774">
        <w:t>It is recommended that the application for the registration of difelikefalin for the treatment of moderate to severe pruritus associated with chronic kidney disease in adult patients on haemodialysis be approved.</w:t>
      </w:r>
    </w:p>
    <w:p w14:paraId="2858B006" w14:textId="77777777" w:rsidR="00C22214" w:rsidRDefault="00C22214" w:rsidP="00C22214">
      <w:pPr>
        <w:pStyle w:val="Heading3"/>
        <w:rPr>
          <w:lang w:eastAsia="en-AU"/>
        </w:rPr>
      </w:pPr>
      <w:bookmarkStart w:id="84" w:name="_Toc314842514"/>
      <w:bookmarkStart w:id="85" w:name="_Toc103679298"/>
      <w:bookmarkStart w:id="86" w:name="_Toc147404314"/>
      <w:r>
        <w:rPr>
          <w:lang w:eastAsia="en-AU"/>
        </w:rPr>
        <w:t>Risk management plan</w:t>
      </w:r>
      <w:bookmarkEnd w:id="84"/>
      <w:bookmarkEnd w:id="85"/>
      <w:bookmarkEnd w:id="86"/>
    </w:p>
    <w:p w14:paraId="086E3C4D" w14:textId="7F2A0162" w:rsidR="00C7429A" w:rsidRPr="00D12774" w:rsidRDefault="0084188E" w:rsidP="00D12774">
      <w:bookmarkStart w:id="87" w:name="_Toc247691531"/>
      <w:bookmarkStart w:id="88" w:name="_Toc314842515"/>
      <w:r>
        <w:t xml:space="preserve">The sponsor </w:t>
      </w:r>
      <w:r w:rsidR="00C7429A" w:rsidRPr="00D12774">
        <w:t>has submitted European Union (EU) risk management plan (RMP) version 1.0 (date 12 February 2021; data lock point (DLP) 15 May 2020) and Australia specific annex (ASA) version 0.1 (date 20 August 2021) in support of this application. In response to a TGA request for information, the sponsor has submitted EU-RMP version 1.5 (dated 8 March 2022; DLP 15 May 2020) and ASA version 1.0 (dated 14 April 2022) to support its application. In response to an additional TGA request for information, the sponsor has submitted ASA version 1.0 (dated 17 June 2022) to support its application.</w:t>
      </w:r>
    </w:p>
    <w:p w14:paraId="39F3CD1D" w14:textId="138F9CA9" w:rsidR="0072003B" w:rsidRDefault="00C22214" w:rsidP="0084188E">
      <w:r w:rsidRPr="00D12774">
        <w:t>The summary of safety concerns and their associated risk monitoring and mitigation strategies are summarised in</w:t>
      </w:r>
      <w:r w:rsidR="003B149C" w:rsidRPr="00D12774">
        <w:t xml:space="preserve"> </w:t>
      </w:r>
      <w:r w:rsidR="0084188E">
        <w:fldChar w:fldCharType="begin"/>
      </w:r>
      <w:r w:rsidR="0084188E">
        <w:instrText xml:space="preserve"> REF _Ref143011487 \h </w:instrText>
      </w:r>
      <w:r w:rsidR="0084188E">
        <w:fldChar w:fldCharType="separate"/>
      </w:r>
      <w:r w:rsidR="00B44DE2">
        <w:t xml:space="preserve">Table </w:t>
      </w:r>
      <w:r w:rsidR="00B44DE2">
        <w:rPr>
          <w:noProof/>
        </w:rPr>
        <w:t>24</w:t>
      </w:r>
      <w:r w:rsidR="0084188E">
        <w:fldChar w:fldCharType="end"/>
      </w:r>
      <w:r w:rsidR="008C49C6" w:rsidRPr="00D12774">
        <w:t>.</w:t>
      </w:r>
      <w:r w:rsidR="0072003B" w:rsidRPr="00D12774">
        <w:t xml:space="preserve"> The TGA</w:t>
      </w:r>
      <w:r w:rsidR="00C07551" w:rsidRPr="00D12774">
        <w:t xml:space="preserve"> may</w:t>
      </w:r>
      <w:r w:rsidR="0072003B" w:rsidRPr="00D12774">
        <w:t xml:space="preserve"> request an updated RMP at any stage of a product's life</w:t>
      </w:r>
      <w:r w:rsidR="00D12774" w:rsidRPr="00D12774">
        <w:t xml:space="preserve"> </w:t>
      </w:r>
      <w:r w:rsidR="0072003B" w:rsidRPr="00D12774">
        <w:t>cycle, during both the pre-approval and post-approval phases.</w:t>
      </w:r>
    </w:p>
    <w:p w14:paraId="0DA433C9" w14:textId="0F3CE311" w:rsidR="00D12774" w:rsidRDefault="00D12774" w:rsidP="00D12774">
      <w:pPr>
        <w:pStyle w:val="TableTitle"/>
        <w:keepNext w:val="0"/>
      </w:pPr>
      <w:bookmarkStart w:id="89" w:name="_Ref143011487"/>
      <w:r>
        <w:t xml:space="preserve">Table </w:t>
      </w:r>
      <w:r>
        <w:fldChar w:fldCharType="begin"/>
      </w:r>
      <w:r>
        <w:instrText>SEQ Table \* ARABIC</w:instrText>
      </w:r>
      <w:r>
        <w:fldChar w:fldCharType="separate"/>
      </w:r>
      <w:r w:rsidR="00B44DE2">
        <w:rPr>
          <w:noProof/>
        </w:rPr>
        <w:t>24</w:t>
      </w:r>
      <w:r>
        <w:fldChar w:fldCharType="end"/>
      </w:r>
      <w:bookmarkEnd w:id="89"/>
      <w:r>
        <w:t>: Summary of safety concerns</w:t>
      </w:r>
    </w:p>
    <w:tbl>
      <w:tblPr>
        <w:tblStyle w:val="TableTGAblue2023"/>
        <w:tblpPr w:leftFromText="180" w:rightFromText="180" w:vertAnchor="text" w:horzAnchor="margin" w:tblpY="63"/>
        <w:tblW w:w="9469" w:type="dxa"/>
        <w:tblLayout w:type="fixed"/>
        <w:tblLook w:val="04A0" w:firstRow="1" w:lastRow="0" w:firstColumn="1" w:lastColumn="0" w:noHBand="0" w:noVBand="1"/>
      </w:tblPr>
      <w:tblGrid>
        <w:gridCol w:w="1555"/>
        <w:gridCol w:w="3402"/>
        <w:gridCol w:w="992"/>
        <w:gridCol w:w="1276"/>
        <w:gridCol w:w="992"/>
        <w:gridCol w:w="1252"/>
      </w:tblGrid>
      <w:tr w:rsidR="00D12774" w:rsidRPr="00BF52F4" w14:paraId="548AC4A9" w14:textId="77777777" w:rsidTr="00D12774">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Borders>
              <w:bottom w:val="single" w:sz="4" w:space="0" w:color="auto"/>
            </w:tcBorders>
          </w:tcPr>
          <w:p w14:paraId="24FCB0B4" w14:textId="77777777" w:rsidR="00D12774" w:rsidRPr="00C7429A" w:rsidRDefault="00D12774" w:rsidP="00D12774">
            <w:pPr>
              <w:pStyle w:val="Tabletext0"/>
              <w:rPr>
                <w:b w:val="0"/>
                <w:kern w:val="0"/>
                <w:sz w:val="20"/>
                <w:szCs w:val="20"/>
              </w:rPr>
            </w:pPr>
            <w:bookmarkStart w:id="90" w:name="_Ref97629131"/>
            <w:r w:rsidRPr="00C7429A">
              <w:rPr>
                <w:kern w:val="0"/>
                <w:sz w:val="20"/>
                <w:szCs w:val="20"/>
              </w:rPr>
              <w:t>Summary of safety concerns</w:t>
            </w:r>
          </w:p>
        </w:tc>
        <w:tc>
          <w:tcPr>
            <w:tcW w:w="2268" w:type="dxa"/>
            <w:gridSpan w:val="2"/>
          </w:tcPr>
          <w:p w14:paraId="0D13B5E5" w14:textId="77777777" w:rsidR="00D12774" w:rsidRPr="00BF52F4" w:rsidRDefault="00D12774" w:rsidP="00D12774">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2244" w:type="dxa"/>
            <w:gridSpan w:val="2"/>
          </w:tcPr>
          <w:p w14:paraId="4835D720" w14:textId="77777777" w:rsidR="00D12774" w:rsidRPr="00BF52F4" w:rsidRDefault="00D12774" w:rsidP="00D12774">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D12774" w:rsidRPr="00BF52F4" w14:paraId="681D8C84" w14:textId="77777777" w:rsidTr="00D12774">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Borders>
              <w:top w:val="nil"/>
              <w:bottom w:val="single" w:sz="4" w:space="0" w:color="auto"/>
            </w:tcBorders>
          </w:tcPr>
          <w:p w14:paraId="6AA75FA8" w14:textId="77777777" w:rsidR="00D12774" w:rsidRPr="00C7429A" w:rsidRDefault="00D12774" w:rsidP="00D12774">
            <w:pPr>
              <w:pStyle w:val="Tabletext0"/>
              <w:rPr>
                <w:b/>
                <w:kern w:val="0"/>
                <w:sz w:val="20"/>
                <w:szCs w:val="20"/>
              </w:rPr>
            </w:pPr>
          </w:p>
        </w:tc>
        <w:tc>
          <w:tcPr>
            <w:tcW w:w="992" w:type="dxa"/>
            <w:shd w:val="clear" w:color="auto" w:fill="DEEAF6"/>
          </w:tcPr>
          <w:p w14:paraId="320DAF30" w14:textId="77777777" w:rsidR="00D12774" w:rsidRPr="00BF52F4" w:rsidRDefault="00D12774" w:rsidP="00D12774">
            <w:pPr>
              <w:pStyle w:val="Tabletext0"/>
              <w:keepNext/>
              <w:cnfStyle w:val="000000000000" w:firstRow="0" w:lastRow="0" w:firstColumn="0" w:lastColumn="0" w:oddVBand="0" w:evenVBand="0" w:oddHBand="0" w:evenHBand="0" w:firstRowFirstColumn="0" w:firstRowLastColumn="0" w:lastRowFirstColumn="0" w:lastRowLastColumn="0"/>
              <w:rPr>
                <w:kern w:val="0"/>
                <w:sz w:val="18"/>
              </w:rPr>
            </w:pPr>
            <w:r w:rsidRPr="00C7429A">
              <w:rPr>
                <w:b/>
                <w:color w:val="263287"/>
                <w:kern w:val="0"/>
                <w:sz w:val="18"/>
              </w:rPr>
              <w:t>Routine</w:t>
            </w:r>
          </w:p>
        </w:tc>
        <w:tc>
          <w:tcPr>
            <w:tcW w:w="1276" w:type="dxa"/>
            <w:shd w:val="clear" w:color="auto" w:fill="DEEAF6"/>
          </w:tcPr>
          <w:p w14:paraId="52068147" w14:textId="77777777" w:rsidR="00D12774" w:rsidRPr="00BF52F4" w:rsidRDefault="00D12774" w:rsidP="00D12774">
            <w:pPr>
              <w:pStyle w:val="Tabletext0"/>
              <w:keepNext/>
              <w:cnfStyle w:val="000000000000" w:firstRow="0" w:lastRow="0" w:firstColumn="0" w:lastColumn="0" w:oddVBand="0" w:evenVBand="0" w:oddHBand="0" w:evenHBand="0" w:firstRowFirstColumn="0" w:firstRowLastColumn="0" w:lastRowFirstColumn="0" w:lastRowLastColumn="0"/>
              <w:rPr>
                <w:kern w:val="0"/>
                <w:sz w:val="18"/>
              </w:rPr>
            </w:pPr>
            <w:r w:rsidRPr="00C7429A">
              <w:rPr>
                <w:b/>
                <w:color w:val="263287"/>
                <w:kern w:val="0"/>
                <w:sz w:val="18"/>
              </w:rPr>
              <w:t>Additional</w:t>
            </w:r>
          </w:p>
        </w:tc>
        <w:tc>
          <w:tcPr>
            <w:tcW w:w="992" w:type="dxa"/>
            <w:shd w:val="clear" w:color="auto" w:fill="DEEAF6"/>
          </w:tcPr>
          <w:p w14:paraId="5E9A6D83" w14:textId="77777777" w:rsidR="00D12774" w:rsidRPr="00BF52F4" w:rsidRDefault="00D12774" w:rsidP="00D12774">
            <w:pPr>
              <w:pStyle w:val="Tabletext0"/>
              <w:keepNext/>
              <w:cnfStyle w:val="000000000000" w:firstRow="0" w:lastRow="0" w:firstColumn="0" w:lastColumn="0" w:oddVBand="0" w:evenVBand="0" w:oddHBand="0" w:evenHBand="0" w:firstRowFirstColumn="0" w:firstRowLastColumn="0" w:lastRowFirstColumn="0" w:lastRowLastColumn="0"/>
              <w:rPr>
                <w:kern w:val="0"/>
                <w:sz w:val="18"/>
              </w:rPr>
            </w:pPr>
            <w:r w:rsidRPr="00C7429A">
              <w:rPr>
                <w:b/>
                <w:color w:val="263287"/>
                <w:kern w:val="0"/>
                <w:sz w:val="18"/>
              </w:rPr>
              <w:t>Routine</w:t>
            </w:r>
          </w:p>
        </w:tc>
        <w:tc>
          <w:tcPr>
            <w:tcW w:w="1252" w:type="dxa"/>
            <w:shd w:val="clear" w:color="auto" w:fill="DEEAF6"/>
          </w:tcPr>
          <w:p w14:paraId="656829EE" w14:textId="77777777" w:rsidR="00D12774" w:rsidRPr="00BF52F4" w:rsidRDefault="00D12774" w:rsidP="00D12774">
            <w:pPr>
              <w:pStyle w:val="Tabletext0"/>
              <w:keepNext/>
              <w:cnfStyle w:val="000000000000" w:firstRow="0" w:lastRow="0" w:firstColumn="0" w:lastColumn="0" w:oddVBand="0" w:evenVBand="0" w:oddHBand="0" w:evenHBand="0" w:firstRowFirstColumn="0" w:firstRowLastColumn="0" w:lastRowFirstColumn="0" w:lastRowLastColumn="0"/>
              <w:rPr>
                <w:kern w:val="0"/>
                <w:sz w:val="18"/>
              </w:rPr>
            </w:pPr>
            <w:r w:rsidRPr="00C7429A">
              <w:rPr>
                <w:b/>
                <w:color w:val="263287"/>
                <w:kern w:val="0"/>
                <w:sz w:val="18"/>
              </w:rPr>
              <w:t>Additional</w:t>
            </w:r>
          </w:p>
        </w:tc>
      </w:tr>
      <w:tr w:rsidR="00D12774" w:rsidRPr="00BF52F4" w14:paraId="42200D95" w14:textId="77777777" w:rsidTr="00D12774">
        <w:trPr>
          <w:trHeight w:val="13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14:paraId="50A483DC" w14:textId="77777777" w:rsidR="00D12774" w:rsidRPr="00C7429A" w:rsidRDefault="00D12774" w:rsidP="00D12774">
            <w:pPr>
              <w:pStyle w:val="Tabletext0"/>
              <w:rPr>
                <w:b/>
                <w:kern w:val="0"/>
                <w:sz w:val="20"/>
                <w:szCs w:val="20"/>
              </w:rPr>
            </w:pPr>
            <w:r w:rsidRPr="00C7429A">
              <w:rPr>
                <w:b/>
                <w:kern w:val="0"/>
                <w:sz w:val="20"/>
                <w:szCs w:val="20"/>
              </w:rPr>
              <w:t>Important identified risks</w:t>
            </w:r>
          </w:p>
        </w:tc>
        <w:tc>
          <w:tcPr>
            <w:tcW w:w="3402" w:type="dxa"/>
            <w:tcBorders>
              <w:top w:val="single" w:sz="4" w:space="0" w:color="auto"/>
            </w:tcBorders>
          </w:tcPr>
          <w:p w14:paraId="52637BF1" w14:textId="77777777" w:rsidR="00D12774" w:rsidRPr="00C7429A" w:rsidRDefault="00D12774" w:rsidP="00D12774">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None</w:t>
            </w:r>
          </w:p>
        </w:tc>
        <w:tc>
          <w:tcPr>
            <w:tcW w:w="992" w:type="dxa"/>
          </w:tcPr>
          <w:p w14:paraId="4D96B167"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c>
          <w:tcPr>
            <w:tcW w:w="1276" w:type="dxa"/>
          </w:tcPr>
          <w:p w14:paraId="2920A8FE"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c>
          <w:tcPr>
            <w:tcW w:w="992" w:type="dxa"/>
          </w:tcPr>
          <w:p w14:paraId="64FFD351"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c>
          <w:tcPr>
            <w:tcW w:w="1252" w:type="dxa"/>
          </w:tcPr>
          <w:p w14:paraId="455AA95C"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r>
      <w:tr w:rsidR="00D12774" w:rsidRPr="00BF52F4" w14:paraId="4FD81193" w14:textId="77777777" w:rsidTr="00D12774">
        <w:trPr>
          <w:trHeight w:val="159"/>
        </w:trPr>
        <w:tc>
          <w:tcPr>
            <w:cnfStyle w:val="001000000000" w:firstRow="0" w:lastRow="0" w:firstColumn="1" w:lastColumn="0" w:oddVBand="0" w:evenVBand="0" w:oddHBand="0" w:evenHBand="0" w:firstRowFirstColumn="0" w:firstRowLastColumn="0" w:lastRowFirstColumn="0" w:lastRowLastColumn="0"/>
            <w:tcW w:w="1555" w:type="dxa"/>
          </w:tcPr>
          <w:p w14:paraId="62B5DAD4" w14:textId="77777777" w:rsidR="00D12774" w:rsidRPr="00C7429A" w:rsidRDefault="00D12774" w:rsidP="00D12774">
            <w:pPr>
              <w:pStyle w:val="Tabletext0"/>
              <w:rPr>
                <w:b/>
                <w:kern w:val="0"/>
                <w:sz w:val="20"/>
                <w:szCs w:val="20"/>
              </w:rPr>
            </w:pPr>
            <w:r w:rsidRPr="00C7429A">
              <w:rPr>
                <w:b/>
                <w:kern w:val="0"/>
                <w:sz w:val="20"/>
                <w:szCs w:val="20"/>
              </w:rPr>
              <w:t>Important potential risks</w:t>
            </w:r>
          </w:p>
        </w:tc>
        <w:tc>
          <w:tcPr>
            <w:tcW w:w="3402" w:type="dxa"/>
          </w:tcPr>
          <w:p w14:paraId="7598DEB7" w14:textId="09D2A3C1" w:rsidR="00D12774" w:rsidRPr="00C7429A" w:rsidRDefault="00D12774" w:rsidP="00D12774">
            <w:pPr>
              <w:pStyle w:val="Tabletext0"/>
              <w:cnfStyle w:val="000000000000" w:firstRow="0" w:lastRow="0" w:firstColumn="0" w:lastColumn="0" w:oddVBand="0" w:evenVBand="0" w:oddHBand="0" w:evenHBand="0" w:firstRowFirstColumn="0" w:firstRowLastColumn="0" w:lastRowFirstColumn="0" w:lastRowLastColumn="0"/>
              <w:rPr>
                <w:color w:val="auto"/>
                <w:kern w:val="0"/>
                <w:sz w:val="20"/>
                <w:szCs w:val="20"/>
              </w:rPr>
            </w:pPr>
            <w:r w:rsidRPr="00C7429A">
              <w:rPr>
                <w:color w:val="auto"/>
                <w:kern w:val="0"/>
                <w:sz w:val="20"/>
                <w:szCs w:val="20"/>
              </w:rPr>
              <w:t xml:space="preserve">Cardiac failure and arrhythmias including AF in </w:t>
            </w:r>
            <w:r w:rsidR="001F495E">
              <w:rPr>
                <w:color w:val="auto"/>
                <w:kern w:val="0"/>
                <w:sz w:val="20"/>
                <w:szCs w:val="20"/>
              </w:rPr>
              <w:t>haemodialysis</w:t>
            </w:r>
            <w:r w:rsidRPr="00C7429A">
              <w:rPr>
                <w:color w:val="auto"/>
                <w:kern w:val="0"/>
                <w:sz w:val="20"/>
                <w:szCs w:val="20"/>
              </w:rPr>
              <w:t xml:space="preserve"> patients with a medical history of AF</w:t>
            </w:r>
          </w:p>
        </w:tc>
        <w:tc>
          <w:tcPr>
            <w:tcW w:w="992" w:type="dxa"/>
          </w:tcPr>
          <w:p w14:paraId="04A4FB4F"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rFonts w:ascii="Wingdings" w:eastAsia="Wingdings" w:hAnsi="Wingdings" w:cs="Wingdings"/>
                <w:color w:val="000000" w:themeColor="text1"/>
                <w:kern w:val="0"/>
                <w:sz w:val="20"/>
                <w:szCs w:val="20"/>
              </w:rPr>
              <w:t>ü</w:t>
            </w:r>
            <w:r w:rsidRPr="00E81FD4">
              <w:rPr>
                <w:rFonts w:eastAsia="Cambria"/>
                <w:color w:val="000000" w:themeColor="text1"/>
                <w:kern w:val="0"/>
                <w:sz w:val="20"/>
                <w:szCs w:val="20"/>
              </w:rPr>
              <w:t>**</w:t>
            </w:r>
          </w:p>
        </w:tc>
        <w:tc>
          <w:tcPr>
            <w:tcW w:w="1276" w:type="dxa"/>
          </w:tcPr>
          <w:p w14:paraId="4FFE3D42" w14:textId="32ED6D3F"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rFonts w:ascii="Wingdings" w:eastAsia="Wingdings" w:hAnsi="Wingdings" w:cs="Wingdings"/>
                <w:color w:val="000000" w:themeColor="text1"/>
                <w:kern w:val="0"/>
                <w:sz w:val="20"/>
                <w:szCs w:val="20"/>
              </w:rPr>
              <w:t>ü</w:t>
            </w:r>
            <w:r w:rsidRPr="00E81FD4">
              <w:rPr>
                <w:rFonts w:asciiTheme="majorHAnsi" w:hAnsiTheme="majorHAnsi"/>
                <w:color w:val="000000" w:themeColor="text1"/>
                <w:kern w:val="0"/>
                <w:sz w:val="20"/>
                <w:szCs w:val="20"/>
              </w:rPr>
              <w:t>†</w:t>
            </w:r>
          </w:p>
        </w:tc>
        <w:tc>
          <w:tcPr>
            <w:tcW w:w="992" w:type="dxa"/>
          </w:tcPr>
          <w:p w14:paraId="6780FBA5"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rFonts w:ascii="Wingdings" w:eastAsia="Wingdings" w:hAnsi="Wingdings" w:cs="Wingdings"/>
                <w:color w:val="000000" w:themeColor="text1"/>
                <w:kern w:val="0"/>
                <w:sz w:val="20"/>
                <w:szCs w:val="20"/>
              </w:rPr>
              <w:t>ü</w:t>
            </w:r>
          </w:p>
        </w:tc>
        <w:tc>
          <w:tcPr>
            <w:tcW w:w="1252" w:type="dxa"/>
          </w:tcPr>
          <w:p w14:paraId="5A42CDA5"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color w:val="7030A0"/>
                <w:kern w:val="0"/>
                <w:sz w:val="20"/>
                <w:szCs w:val="20"/>
              </w:rPr>
              <w:t>–</w:t>
            </w:r>
          </w:p>
        </w:tc>
      </w:tr>
      <w:tr w:rsidR="00D12774" w:rsidRPr="00BF52F4" w14:paraId="30CC96C9" w14:textId="77777777" w:rsidTr="00D12774">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F271E0D" w14:textId="77777777" w:rsidR="00D12774" w:rsidRPr="00C7429A" w:rsidRDefault="00D12774" w:rsidP="00D12774">
            <w:pPr>
              <w:pStyle w:val="Tabletext0"/>
              <w:rPr>
                <w:b/>
                <w:kern w:val="0"/>
                <w:sz w:val="20"/>
                <w:szCs w:val="20"/>
              </w:rPr>
            </w:pPr>
            <w:r w:rsidRPr="00C7429A">
              <w:rPr>
                <w:b/>
                <w:kern w:val="0"/>
                <w:sz w:val="20"/>
                <w:szCs w:val="20"/>
              </w:rPr>
              <w:t>Missing information</w:t>
            </w:r>
          </w:p>
        </w:tc>
        <w:tc>
          <w:tcPr>
            <w:tcW w:w="3402" w:type="dxa"/>
          </w:tcPr>
          <w:p w14:paraId="0AB8B6E9" w14:textId="77777777" w:rsidR="00D12774" w:rsidRPr="00C7429A" w:rsidRDefault="00D12774" w:rsidP="00D12774">
            <w:pPr>
              <w:pStyle w:val="Tabletext0"/>
              <w:cnfStyle w:val="000000000000" w:firstRow="0" w:lastRow="0" w:firstColumn="0" w:lastColumn="0" w:oddVBand="0" w:evenVBand="0" w:oddHBand="0" w:evenHBand="0" w:firstRowFirstColumn="0" w:firstRowLastColumn="0" w:lastRowFirstColumn="0" w:lastRowLastColumn="0"/>
              <w:rPr>
                <w:color w:val="auto"/>
                <w:kern w:val="0"/>
                <w:sz w:val="20"/>
                <w:szCs w:val="20"/>
              </w:rPr>
            </w:pPr>
            <w:r w:rsidRPr="00C7429A">
              <w:rPr>
                <w:color w:val="auto"/>
                <w:kern w:val="0"/>
                <w:sz w:val="20"/>
                <w:szCs w:val="20"/>
              </w:rPr>
              <w:t>Use in pregnant and lactating women</w:t>
            </w:r>
          </w:p>
        </w:tc>
        <w:tc>
          <w:tcPr>
            <w:tcW w:w="992" w:type="dxa"/>
          </w:tcPr>
          <w:p w14:paraId="6B4DC87B"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rFonts w:ascii="Wingdings" w:eastAsia="Wingdings" w:hAnsi="Wingdings" w:cs="Wingdings"/>
                <w:kern w:val="0"/>
                <w:sz w:val="20"/>
                <w:szCs w:val="20"/>
              </w:rPr>
              <w:t>ü</w:t>
            </w:r>
            <w:r w:rsidRPr="00C7429A">
              <w:rPr>
                <w:rFonts w:eastAsia="Cambria"/>
                <w:kern w:val="0"/>
                <w:sz w:val="20"/>
                <w:szCs w:val="20"/>
              </w:rPr>
              <w:t>*</w:t>
            </w:r>
          </w:p>
        </w:tc>
        <w:tc>
          <w:tcPr>
            <w:tcW w:w="1276" w:type="dxa"/>
          </w:tcPr>
          <w:p w14:paraId="22110D99"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c>
          <w:tcPr>
            <w:tcW w:w="992" w:type="dxa"/>
          </w:tcPr>
          <w:p w14:paraId="03436441"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rFonts w:ascii="Wingdings" w:eastAsia="Wingdings" w:hAnsi="Wingdings" w:cs="Wingdings"/>
                <w:kern w:val="0"/>
                <w:sz w:val="20"/>
                <w:szCs w:val="20"/>
              </w:rPr>
              <w:t>ü</w:t>
            </w:r>
          </w:p>
        </w:tc>
        <w:tc>
          <w:tcPr>
            <w:tcW w:w="1252" w:type="dxa"/>
          </w:tcPr>
          <w:p w14:paraId="4B69B188"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r>
      <w:tr w:rsidR="00D12774" w:rsidRPr="00BF52F4" w14:paraId="2B064613" w14:textId="77777777" w:rsidTr="00D1277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33C16879" w14:textId="77777777" w:rsidR="00D12774" w:rsidRPr="00BF52F4" w:rsidRDefault="00D12774" w:rsidP="00D12774">
            <w:pPr>
              <w:pStyle w:val="Tabletext0"/>
              <w:rPr>
                <w:kern w:val="0"/>
              </w:rPr>
            </w:pPr>
          </w:p>
        </w:tc>
        <w:tc>
          <w:tcPr>
            <w:tcW w:w="3402" w:type="dxa"/>
          </w:tcPr>
          <w:p w14:paraId="1DD1C06D" w14:textId="77777777" w:rsidR="00D12774" w:rsidRPr="00C7429A" w:rsidRDefault="00D12774" w:rsidP="00D12774">
            <w:pPr>
              <w:pStyle w:val="Tabletext0"/>
              <w:cnfStyle w:val="000000000000" w:firstRow="0" w:lastRow="0" w:firstColumn="0" w:lastColumn="0" w:oddVBand="0" w:evenVBand="0" w:oddHBand="0" w:evenHBand="0" w:firstRowFirstColumn="0" w:firstRowLastColumn="0" w:lastRowFirstColumn="0" w:lastRowLastColumn="0"/>
              <w:rPr>
                <w:color w:val="auto"/>
                <w:kern w:val="0"/>
                <w:sz w:val="20"/>
                <w:szCs w:val="20"/>
              </w:rPr>
            </w:pPr>
            <w:r w:rsidRPr="00C7429A">
              <w:rPr>
                <w:color w:val="auto"/>
                <w:kern w:val="0"/>
                <w:sz w:val="20"/>
                <w:szCs w:val="20"/>
              </w:rPr>
              <w:t>Use in patients with impaired blood brain barrier</w:t>
            </w:r>
          </w:p>
        </w:tc>
        <w:tc>
          <w:tcPr>
            <w:tcW w:w="992" w:type="dxa"/>
          </w:tcPr>
          <w:p w14:paraId="12CFE09B"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C7429A">
              <w:rPr>
                <w:rFonts w:ascii="Wingdings" w:eastAsia="Wingdings" w:hAnsi="Wingdings" w:cs="Wingdings"/>
                <w:kern w:val="0"/>
                <w:sz w:val="20"/>
                <w:szCs w:val="20"/>
              </w:rPr>
              <w:t>ü</w:t>
            </w:r>
          </w:p>
        </w:tc>
        <w:tc>
          <w:tcPr>
            <w:tcW w:w="1276" w:type="dxa"/>
          </w:tcPr>
          <w:p w14:paraId="4BE846F7"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c>
          <w:tcPr>
            <w:tcW w:w="992" w:type="dxa"/>
          </w:tcPr>
          <w:p w14:paraId="28F75576"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C7429A">
              <w:rPr>
                <w:rFonts w:ascii="Wingdings" w:eastAsia="Wingdings" w:hAnsi="Wingdings" w:cs="Wingdings"/>
                <w:kern w:val="0"/>
                <w:sz w:val="20"/>
                <w:szCs w:val="20"/>
              </w:rPr>
              <w:t>ü</w:t>
            </w:r>
          </w:p>
        </w:tc>
        <w:tc>
          <w:tcPr>
            <w:tcW w:w="1252" w:type="dxa"/>
          </w:tcPr>
          <w:p w14:paraId="339660A4" w14:textId="77777777" w:rsidR="00D12774" w:rsidRPr="00C7429A"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C7429A">
              <w:rPr>
                <w:kern w:val="0"/>
                <w:sz w:val="20"/>
                <w:szCs w:val="20"/>
              </w:rPr>
              <w:t>–</w:t>
            </w:r>
          </w:p>
        </w:tc>
      </w:tr>
      <w:tr w:rsidR="00D12774" w:rsidRPr="00BF52F4" w14:paraId="6FD859B7" w14:textId="77777777" w:rsidTr="00D12774">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2ABB2038" w14:textId="77777777" w:rsidR="00D12774" w:rsidRPr="00BF52F4" w:rsidRDefault="00D12774" w:rsidP="00D12774">
            <w:pPr>
              <w:pStyle w:val="Tabletext0"/>
              <w:rPr>
                <w:kern w:val="0"/>
              </w:rPr>
            </w:pPr>
          </w:p>
        </w:tc>
        <w:tc>
          <w:tcPr>
            <w:tcW w:w="3402" w:type="dxa"/>
          </w:tcPr>
          <w:p w14:paraId="67CFCB99" w14:textId="77777777" w:rsidR="00D12774" w:rsidRPr="00C7429A" w:rsidRDefault="00D12774" w:rsidP="00D12774">
            <w:pPr>
              <w:pStyle w:val="Tabletext0"/>
              <w:cnfStyle w:val="000000000000" w:firstRow="0" w:lastRow="0" w:firstColumn="0" w:lastColumn="0" w:oddVBand="0" w:evenVBand="0" w:oddHBand="0" w:evenHBand="0" w:firstRowFirstColumn="0" w:firstRowLastColumn="0" w:lastRowFirstColumn="0" w:lastRowLastColumn="0"/>
              <w:rPr>
                <w:color w:val="auto"/>
                <w:kern w:val="0"/>
                <w:sz w:val="20"/>
                <w:szCs w:val="20"/>
              </w:rPr>
            </w:pPr>
            <w:r w:rsidRPr="00C7429A">
              <w:rPr>
                <w:color w:val="auto"/>
                <w:kern w:val="0"/>
                <w:sz w:val="20"/>
                <w:szCs w:val="20"/>
              </w:rPr>
              <w:t>Use in patients with severe hepatic impairment</w:t>
            </w:r>
          </w:p>
        </w:tc>
        <w:tc>
          <w:tcPr>
            <w:tcW w:w="992" w:type="dxa"/>
          </w:tcPr>
          <w:p w14:paraId="29C2A2D2"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rFonts w:ascii="Wingdings" w:eastAsia="Wingdings" w:hAnsi="Wingdings" w:cs="Wingdings"/>
                <w:color w:val="000000" w:themeColor="text1"/>
                <w:kern w:val="0"/>
                <w:sz w:val="20"/>
                <w:szCs w:val="20"/>
              </w:rPr>
              <w:t>ü</w:t>
            </w:r>
          </w:p>
        </w:tc>
        <w:tc>
          <w:tcPr>
            <w:tcW w:w="1276" w:type="dxa"/>
          </w:tcPr>
          <w:p w14:paraId="2AED1DE5"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color w:val="000000" w:themeColor="text1"/>
                <w:kern w:val="0"/>
                <w:sz w:val="20"/>
                <w:szCs w:val="20"/>
              </w:rPr>
              <w:t>–</w:t>
            </w:r>
          </w:p>
        </w:tc>
        <w:tc>
          <w:tcPr>
            <w:tcW w:w="992" w:type="dxa"/>
          </w:tcPr>
          <w:p w14:paraId="65A0983B"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rFonts w:ascii="Wingdings" w:eastAsia="Wingdings" w:hAnsi="Wingdings" w:cs="Wingdings"/>
                <w:color w:val="000000" w:themeColor="text1"/>
                <w:kern w:val="0"/>
                <w:sz w:val="20"/>
                <w:szCs w:val="20"/>
              </w:rPr>
              <w:t>ü</w:t>
            </w:r>
          </w:p>
        </w:tc>
        <w:tc>
          <w:tcPr>
            <w:tcW w:w="1252" w:type="dxa"/>
          </w:tcPr>
          <w:p w14:paraId="5CFCF88E" w14:textId="77777777" w:rsidR="00D12774" w:rsidRPr="00E81FD4" w:rsidRDefault="00D12774" w:rsidP="00D12774">
            <w:pPr>
              <w:pStyle w:val="Tabletext0"/>
              <w:jc w:val="center"/>
              <w:cnfStyle w:val="000000000000" w:firstRow="0" w:lastRow="0" w:firstColumn="0" w:lastColumn="0" w:oddVBand="0" w:evenVBand="0" w:oddHBand="0" w:evenHBand="0" w:firstRowFirstColumn="0" w:firstRowLastColumn="0" w:lastRowFirstColumn="0" w:lastRowLastColumn="0"/>
              <w:rPr>
                <w:color w:val="000000" w:themeColor="text1"/>
                <w:kern w:val="0"/>
                <w:sz w:val="20"/>
                <w:szCs w:val="20"/>
              </w:rPr>
            </w:pPr>
            <w:r w:rsidRPr="00E81FD4">
              <w:rPr>
                <w:color w:val="000000" w:themeColor="text1"/>
                <w:kern w:val="0"/>
                <w:sz w:val="20"/>
                <w:szCs w:val="20"/>
              </w:rPr>
              <w:t>–</w:t>
            </w:r>
          </w:p>
        </w:tc>
      </w:tr>
    </w:tbl>
    <w:bookmarkEnd w:id="90"/>
    <w:p w14:paraId="76CFDA39" w14:textId="77777777" w:rsidR="00C7429A" w:rsidRDefault="00C7429A" w:rsidP="00C7429A">
      <w:pPr>
        <w:pStyle w:val="TableDescription"/>
      </w:pPr>
      <w:r w:rsidRPr="003402F2">
        <w:t>*Pregnancy follow-up form</w:t>
      </w:r>
    </w:p>
    <w:p w14:paraId="1EF3BD5C" w14:textId="77777777" w:rsidR="00C7429A" w:rsidRPr="00C7429A" w:rsidRDefault="00C7429A" w:rsidP="00C7429A">
      <w:pPr>
        <w:pStyle w:val="TableDescription"/>
      </w:pPr>
      <w:r w:rsidRPr="00C7429A">
        <w:t>**Targeted Questionnaire</w:t>
      </w:r>
    </w:p>
    <w:p w14:paraId="07B4479E" w14:textId="442159BA" w:rsidR="00C7429A" w:rsidRPr="00C7429A" w:rsidRDefault="00C7429A" w:rsidP="00C7429A">
      <w:pPr>
        <w:pStyle w:val="TableDescription"/>
      </w:pPr>
      <w:r w:rsidRPr="00C7429A">
        <w:t xml:space="preserve">† Three Phase 3 clinical trials </w:t>
      </w:r>
      <w:bookmarkStart w:id="91" w:name="_Hlk104972290"/>
      <w:r w:rsidRPr="00C7429A">
        <w:t>of oral difelikefalin in other indications, including pruritus associated with atopic dermatitis and pruritus associated with earlier stages of CKD not dependent on dialysis</w:t>
      </w:r>
    </w:p>
    <w:p w14:paraId="009C89FB" w14:textId="41FEEEFC" w:rsidR="00C7429A" w:rsidRPr="00D12774" w:rsidRDefault="00C7429A" w:rsidP="00E81FD4">
      <w:pPr>
        <w:pStyle w:val="ListBullet"/>
      </w:pPr>
      <w:r w:rsidRPr="00D12774">
        <w:t xml:space="preserve">The sponsor has not proposed any important identified risks. ‘Cardiac failure and arrhythmias including AF </w:t>
      </w:r>
      <w:r w:rsidR="007D473D">
        <w:t>(</w:t>
      </w:r>
      <w:r w:rsidRPr="00D12774">
        <w:t>atrial fibrillation</w:t>
      </w:r>
      <w:r w:rsidR="007D473D">
        <w:t>)</w:t>
      </w:r>
      <w:r w:rsidRPr="00D12774">
        <w:t xml:space="preserve"> in </w:t>
      </w:r>
      <w:r w:rsidR="001F495E">
        <w:t>haemodialysis</w:t>
      </w:r>
      <w:r w:rsidRPr="00D12774">
        <w:t xml:space="preserve"> patients with a medical history of AF’ has been added as an important potential risk and ‘Use in patients with severe hepatic impairment’ has been added as missing information in EU-RMP version 1.5 and ASA version 1.0. No new safety concerns have been identified by the clinical and nonclinical evaluations. Therefore, the safety concerns are acceptable.</w:t>
      </w:r>
    </w:p>
    <w:p w14:paraId="10660C39" w14:textId="72F6B6D9" w:rsidR="00C7429A" w:rsidRPr="00D12774" w:rsidRDefault="00C7429A" w:rsidP="00E81FD4">
      <w:pPr>
        <w:pStyle w:val="ListBullet"/>
      </w:pPr>
      <w:r w:rsidRPr="00D12774">
        <w:t xml:space="preserve">Routine and additional pharmacovigilance activities have been proposed by the sponsor. A pregnancy follow-up form has been included as enhanced routine pharmacovigilance for missing information ‘use in pregnant and lactating women’. There is also a targeted questionnaire for the important potential risk ‘Cardiac failure and arrhythmias including AF in </w:t>
      </w:r>
      <w:r w:rsidR="001F495E">
        <w:t>haemodialysis</w:t>
      </w:r>
      <w:r w:rsidRPr="00D12774">
        <w:t xml:space="preserve"> patients with a medical history of AF’. Both include a field for the collection of ethnicity data for the Aboriginal and Torres Strait Islander population.</w:t>
      </w:r>
    </w:p>
    <w:p w14:paraId="35EF965D" w14:textId="1647DA12" w:rsidR="00C7429A" w:rsidRPr="00D12774" w:rsidRDefault="00C7429A" w:rsidP="00E81FD4">
      <w:pPr>
        <w:pStyle w:val="ListBullet"/>
      </w:pPr>
      <w:r w:rsidRPr="00D12774">
        <w:t>Additional pharmacovigilance activities include three Phase III clinical trials of oral difelikefalin in other indications, including pruritus associated with atopic dermatitis and pruritus associated with earlier stages of CKD not dependent on dialysis. Whilst the oral preparation may not have the same bioavailability as the intravenous form, the ongoing trials will provide further evidence regarding potential cardiac side effects despite not including patients receiving dialysis and being an oral formulation. The pharmacovigilance plan is consistent with the EU-RMP and is acceptable.</w:t>
      </w:r>
    </w:p>
    <w:p w14:paraId="4E7C1D3F" w14:textId="14549808" w:rsidR="00C7429A" w:rsidRPr="00D12774" w:rsidRDefault="00C7429A" w:rsidP="00E81FD4">
      <w:pPr>
        <w:pStyle w:val="ListBullet"/>
      </w:pPr>
      <w:r w:rsidRPr="00D12774">
        <w:t>Routine risk minimisation activities only have been proposed. This is acceptable as the PI has been updated and the information in the PI is now adequate to mitigate the risks associated with the administration with difelikefalin.</w:t>
      </w:r>
    </w:p>
    <w:p w14:paraId="74A4F87F" w14:textId="77777777" w:rsidR="00C22214" w:rsidRDefault="00C22214" w:rsidP="00C22214">
      <w:pPr>
        <w:pStyle w:val="Heading3"/>
      </w:pPr>
      <w:bookmarkStart w:id="92" w:name="_Toc103679299"/>
      <w:bookmarkStart w:id="93" w:name="_Toc147404315"/>
      <w:bookmarkEnd w:id="91"/>
      <w:r>
        <w:t>Risk-benefit analysis</w:t>
      </w:r>
      <w:bookmarkEnd w:id="87"/>
      <w:bookmarkEnd w:id="88"/>
      <w:bookmarkEnd w:id="92"/>
      <w:bookmarkEnd w:id="93"/>
    </w:p>
    <w:p w14:paraId="77DE2655" w14:textId="77777777" w:rsidR="00C22214" w:rsidRDefault="00C22214" w:rsidP="00C22214">
      <w:pPr>
        <w:pStyle w:val="Heading4"/>
      </w:pPr>
      <w:bookmarkStart w:id="94" w:name="_Toc98931932"/>
      <w:bookmarkStart w:id="95" w:name="_Toc147404316"/>
      <w:r>
        <w:t>Delegate’s considerations</w:t>
      </w:r>
      <w:bookmarkEnd w:id="94"/>
      <w:bookmarkEnd w:id="95"/>
    </w:p>
    <w:p w14:paraId="08122C1D" w14:textId="0E9494E4" w:rsidR="00C7429A" w:rsidRPr="007D2140" w:rsidRDefault="00C7429A" w:rsidP="007D2140">
      <w:r w:rsidRPr="007D2140">
        <w:t xml:space="preserve">Chronic </w:t>
      </w:r>
      <w:r w:rsidR="00D12774">
        <w:t>k</w:t>
      </w:r>
      <w:r w:rsidRPr="007D2140">
        <w:t xml:space="preserve">idney </w:t>
      </w:r>
      <w:r w:rsidR="00D12774">
        <w:t>d</w:t>
      </w:r>
      <w:r w:rsidRPr="007D2140">
        <w:t xml:space="preserve">isease-associated </w:t>
      </w:r>
      <w:r w:rsidR="00D12774">
        <w:t>p</w:t>
      </w:r>
      <w:r w:rsidRPr="007D2140">
        <w:t>ruritus (CKD-</w:t>
      </w:r>
      <w:proofErr w:type="spellStart"/>
      <w:r w:rsidRPr="007D2140">
        <w:t>aP</w:t>
      </w:r>
      <w:proofErr w:type="spellEnd"/>
      <w:r w:rsidRPr="007D2140">
        <w:t>;</w:t>
      </w:r>
      <w:r w:rsidR="007D2140" w:rsidRPr="007D2140">
        <w:t xml:space="preserve"> also known as</w:t>
      </w:r>
      <w:r w:rsidRPr="007D2140">
        <w:t xml:space="preserve"> uraemic pruritus) is a distressing medical condition characterised by a generalised and intractable itch. The ensuing systemic pruritus manifests as a persistent itch sensation that often leads to considerable mechanical skin damage, due to a continuous and uncontrollable urge to scratch. The pathophysiology of CKD-</w:t>
      </w:r>
      <w:proofErr w:type="spellStart"/>
      <w:r w:rsidRPr="007D2140">
        <w:t>aP</w:t>
      </w:r>
      <w:proofErr w:type="spellEnd"/>
      <w:r w:rsidRPr="007D2140">
        <w:t xml:space="preserve"> is likely multi-factorial and includes abnormalities related to uraemia, immune system dysfunction, opioid </w:t>
      </w:r>
      <w:proofErr w:type="gramStart"/>
      <w:r w:rsidRPr="007D2140">
        <w:t>dysregulation</w:t>
      </w:r>
      <w:proofErr w:type="gramEnd"/>
      <w:r w:rsidRPr="007D2140">
        <w:t xml:space="preserve"> and neuropathic changes. It is unlikely that histamine plays a major pathogenic role.</w:t>
      </w:r>
    </w:p>
    <w:p w14:paraId="3C32FBE0" w14:textId="62B895F7" w:rsidR="00C7429A" w:rsidRPr="007D2140" w:rsidRDefault="00C7429A" w:rsidP="007D2140">
      <w:r w:rsidRPr="007D2140">
        <w:t>Patients with CKD undergoing haemodialysis have a lower quality of life and shorter life expectancy than the general population. Their</w:t>
      </w:r>
      <w:r w:rsidR="007D2140" w:rsidRPr="007D2140">
        <w:t xml:space="preserve"> quality of life</w:t>
      </w:r>
      <w:r w:rsidRPr="007D2140">
        <w:t xml:space="preserve"> and life expectancy may be further reduced when they suffer from CKD-</w:t>
      </w:r>
      <w:proofErr w:type="spellStart"/>
      <w:r w:rsidRPr="007D2140">
        <w:t>aP.</w:t>
      </w:r>
      <w:proofErr w:type="spellEnd"/>
    </w:p>
    <w:p w14:paraId="0AF581B7" w14:textId="63C9FB6E" w:rsidR="00C7429A" w:rsidRPr="00C7429A" w:rsidRDefault="00C7429A" w:rsidP="007D2140">
      <w:r w:rsidRPr="007D2140">
        <w:lastRenderedPageBreak/>
        <w:t>A large international, observational study on CKD-</w:t>
      </w:r>
      <w:proofErr w:type="spellStart"/>
      <w:r w:rsidRPr="007D2140">
        <w:t>aP</w:t>
      </w:r>
      <w:proofErr w:type="spellEnd"/>
      <w:r w:rsidRPr="007D2140">
        <w:t xml:space="preserve"> in haemodialysis patients in 12 countries including Australia, New Zealand, Japan, Canada, Sweden, the United Kingdom, and the United States found that up to 70% of haemodialysis patients reported pruritus and 41.7% of patients reported moderate to extreme pruritus</w:t>
      </w:r>
      <w:r w:rsidRPr="00C7429A">
        <w:t>.</w:t>
      </w:r>
      <w:r w:rsidR="007D2140">
        <w:fldChar w:fldCharType="begin"/>
      </w:r>
      <w:r w:rsidR="007D2140">
        <w:instrText xml:space="preserve"> NOTEREF _Ref142305434 \f \h </w:instrText>
      </w:r>
      <w:r w:rsidR="007D2140">
        <w:fldChar w:fldCharType="separate"/>
      </w:r>
      <w:r w:rsidR="00B44DE2" w:rsidRPr="00B44DE2">
        <w:rPr>
          <w:rStyle w:val="FootnoteReference"/>
        </w:rPr>
        <w:t>2</w:t>
      </w:r>
      <w:r w:rsidR="007D2140">
        <w:fldChar w:fldCharType="end"/>
      </w:r>
    </w:p>
    <w:p w14:paraId="077E0BF2" w14:textId="77777777" w:rsidR="00C7429A" w:rsidRPr="007D2140" w:rsidRDefault="00C7429A" w:rsidP="007D2140">
      <w:r w:rsidRPr="007D2140">
        <w:t>There are currently no specific therapies approved for the treatment of CKD-</w:t>
      </w:r>
      <w:proofErr w:type="spellStart"/>
      <w:r w:rsidRPr="007D2140">
        <w:t>aP.</w:t>
      </w:r>
      <w:proofErr w:type="spellEnd"/>
      <w:r w:rsidRPr="007D2140">
        <w:t xml:space="preserve"> Current treatment options include: </w:t>
      </w:r>
    </w:p>
    <w:p w14:paraId="099CFAD0" w14:textId="0F7A19B7" w:rsidR="00C7429A" w:rsidRDefault="007D2140" w:rsidP="007D2140">
      <w:pPr>
        <w:pStyle w:val="ListBullet"/>
      </w:pPr>
      <w:r>
        <w:t>T</w:t>
      </w:r>
      <w:r w:rsidR="00C7429A" w:rsidRPr="00C7429A">
        <w:t>opical therapies such as lotions or creams which have little efficacy.</w:t>
      </w:r>
    </w:p>
    <w:p w14:paraId="76D03CF0" w14:textId="53307C52" w:rsidR="00C7429A" w:rsidRPr="00C7429A" w:rsidRDefault="00C7429A" w:rsidP="007D2140">
      <w:pPr>
        <w:pStyle w:val="ListBullet"/>
      </w:pPr>
      <w:r w:rsidRPr="00C7429A">
        <w:t>Ultraviolet light therapy may sometimes help but is inconvenient and often not available</w:t>
      </w:r>
      <w:r w:rsidR="007D2140">
        <w:t>.</w:t>
      </w:r>
    </w:p>
    <w:p w14:paraId="062D5530" w14:textId="4E15649B" w:rsidR="00C7429A" w:rsidRDefault="00C7429A" w:rsidP="007D2140">
      <w:pPr>
        <w:pStyle w:val="ListBullet"/>
      </w:pPr>
      <w:r w:rsidRPr="00C7429A">
        <w:t xml:space="preserve">Use of several oral medications as </w:t>
      </w:r>
      <w:r w:rsidR="007D2140">
        <w:t>‘</w:t>
      </w:r>
      <w:r w:rsidRPr="00C7429A">
        <w:t>off-label treatments</w:t>
      </w:r>
      <w:r w:rsidR="007D2140">
        <w:t>’</w:t>
      </w:r>
      <w:r w:rsidRPr="00C7429A">
        <w:t xml:space="preserve"> for CKD-</w:t>
      </w:r>
      <w:proofErr w:type="spellStart"/>
      <w:r w:rsidRPr="00C7429A">
        <w:t>aP</w:t>
      </w:r>
      <w:proofErr w:type="spellEnd"/>
      <w:r w:rsidRPr="00C7429A">
        <w:t xml:space="preserve"> (</w:t>
      </w:r>
      <w:r w:rsidR="007D2140">
        <w:t>for example,</w:t>
      </w:r>
      <w:r w:rsidRPr="00C7429A">
        <w:t xml:space="preserve"> antihistamines, corticosteroids, gabapentin, and pregabalin). However, these therapies are neither specifically suited to treat CKD-</w:t>
      </w:r>
      <w:proofErr w:type="spellStart"/>
      <w:r w:rsidRPr="00C7429A">
        <w:t>aP</w:t>
      </w:r>
      <w:proofErr w:type="spellEnd"/>
      <w:r w:rsidRPr="00C7429A">
        <w:t xml:space="preserve"> nor generally effective in this condition</w:t>
      </w:r>
      <w:r w:rsidR="007D2140">
        <w:t>.</w:t>
      </w:r>
    </w:p>
    <w:p w14:paraId="225B0B04" w14:textId="212E3E40" w:rsidR="00C7429A" w:rsidRDefault="00C7429A" w:rsidP="007D2140">
      <w:pPr>
        <w:pStyle w:val="ListBullet2"/>
      </w:pPr>
      <w:r w:rsidRPr="00C7429A">
        <w:t>The limited role of histamine in the pathophysiology of CKD-</w:t>
      </w:r>
      <w:proofErr w:type="spellStart"/>
      <w:r w:rsidRPr="00C7429A">
        <w:t>aP</w:t>
      </w:r>
      <w:proofErr w:type="spellEnd"/>
      <w:r w:rsidRPr="00C7429A">
        <w:t xml:space="preserve"> could explain why the condition is commonly unresponsive to antihistamines.</w:t>
      </w:r>
    </w:p>
    <w:p w14:paraId="19C26A47" w14:textId="7C593BEE" w:rsidR="00C7429A" w:rsidRPr="00C7429A" w:rsidRDefault="00C7429A" w:rsidP="007D2140">
      <w:pPr>
        <w:pStyle w:val="ListBullet2"/>
      </w:pPr>
      <w:r w:rsidRPr="00C7429A">
        <w:t>Gabapentinoids and antidepressants may help alleviating the suffering of CKD-</w:t>
      </w:r>
      <w:proofErr w:type="spellStart"/>
      <w:r w:rsidRPr="00C7429A">
        <w:t>aP</w:t>
      </w:r>
      <w:proofErr w:type="spellEnd"/>
      <w:r w:rsidRPr="00C7429A">
        <w:t xml:space="preserve"> patients, but they have central actions that are associated with considerable side effects. In addition, the evidence of their antipruritic efficacy is limited and lacking support from randomised, well</w:t>
      </w:r>
      <w:r w:rsidR="007D2140">
        <w:t xml:space="preserve"> </w:t>
      </w:r>
      <w:r w:rsidRPr="00C7429A">
        <w:t>controlled studies.</w:t>
      </w:r>
    </w:p>
    <w:p w14:paraId="43686676" w14:textId="69D69E7B" w:rsidR="00C7429A" w:rsidRPr="00C7429A" w:rsidRDefault="007D2140" w:rsidP="00C7429A">
      <w:r>
        <w:t>T</w:t>
      </w:r>
      <w:r w:rsidR="00C7429A" w:rsidRPr="00C7429A">
        <w:t>he impact and consequence of CKD-</w:t>
      </w:r>
      <w:proofErr w:type="spellStart"/>
      <w:r w:rsidR="00C7429A" w:rsidRPr="00C7429A">
        <w:t>aP</w:t>
      </w:r>
      <w:proofErr w:type="spellEnd"/>
      <w:r w:rsidR="00C7429A" w:rsidRPr="00C7429A">
        <w:t xml:space="preserve"> on patients and the lack of proven efficacious treatment options, led the sponsor to consider that there is an unmet medical need for safe and efficacious treatment options for CKD-</w:t>
      </w:r>
      <w:proofErr w:type="spellStart"/>
      <w:r w:rsidR="00C7429A" w:rsidRPr="00C7429A">
        <w:t>aP.</w:t>
      </w:r>
      <w:proofErr w:type="spellEnd"/>
    </w:p>
    <w:p w14:paraId="172F895F" w14:textId="0467A28F" w:rsidR="00C7429A" w:rsidRPr="007D2140" w:rsidRDefault="00C7429A" w:rsidP="007D2140">
      <w:r w:rsidRPr="007D2140">
        <w:t xml:space="preserve">The small synthetic peptide </w:t>
      </w:r>
      <w:r w:rsidR="007D2140" w:rsidRPr="007D2140">
        <w:t>d</w:t>
      </w:r>
      <w:r w:rsidRPr="007D2140">
        <w:t xml:space="preserve">ifelikefalin is a novel, highly selective, peripherally restricted, full </w:t>
      </w:r>
      <w:r w:rsidR="00D12774">
        <w:t>k</w:t>
      </w:r>
      <w:r w:rsidRPr="007D2140">
        <w:t xml:space="preserve">appa-opioid receptor (KOR) agonist, with no identified off-target activity. The pharmacological actions of </w:t>
      </w:r>
      <w:r w:rsidR="007D2140" w:rsidRPr="007D2140">
        <w:t>d</w:t>
      </w:r>
      <w:r w:rsidRPr="007D2140">
        <w:t>ifelikefalin on peripheral sensory neurons and immune cells are considered mechanistically responsible for its antipruritic and anti-inflammatory effects and, were the basis for its development to treat CKD-</w:t>
      </w:r>
      <w:proofErr w:type="spellStart"/>
      <w:r w:rsidRPr="007D2140">
        <w:t>aP</w:t>
      </w:r>
      <w:proofErr w:type="spellEnd"/>
      <w:r w:rsidRPr="007D2140">
        <w:t xml:space="preserve"> in adult patients undergoing </w:t>
      </w:r>
      <w:r w:rsidR="001F495E">
        <w:t>haemodialysis</w:t>
      </w:r>
      <w:r w:rsidRPr="007D2140">
        <w:t>.</w:t>
      </w:r>
    </w:p>
    <w:p w14:paraId="5FF7D10B" w14:textId="0DCDFCDA" w:rsidR="00C7429A" w:rsidRPr="007D2140" w:rsidRDefault="007D2140" w:rsidP="007D2140">
      <w:r>
        <w:t>T</w:t>
      </w:r>
      <w:r w:rsidR="00C7429A" w:rsidRPr="007D2140">
        <w:t xml:space="preserve">he </w:t>
      </w:r>
      <w:r>
        <w:t xml:space="preserve">clinical evaluation </w:t>
      </w:r>
      <w:r w:rsidR="00C7429A" w:rsidRPr="007D2140">
        <w:t xml:space="preserve">has recommended approval of </w:t>
      </w:r>
      <w:r>
        <w:t>d</w:t>
      </w:r>
      <w:r w:rsidR="00C7429A" w:rsidRPr="007D2140">
        <w:t>ifelikefalin for the treatment of moderate</w:t>
      </w:r>
      <w:r>
        <w:t xml:space="preserve"> </w:t>
      </w:r>
      <w:r w:rsidR="00C7429A" w:rsidRPr="007D2140">
        <w:t>to</w:t>
      </w:r>
      <w:r>
        <w:t xml:space="preserve"> </w:t>
      </w:r>
      <w:r w:rsidR="00C7429A" w:rsidRPr="007D2140">
        <w:t>severe pruritus associated with chronic kidney disease in adult patients on haemodialysis.</w:t>
      </w:r>
      <w:r>
        <w:t xml:space="preserve"> </w:t>
      </w:r>
      <w:r w:rsidR="00C7429A" w:rsidRPr="007D2140">
        <w:t>Th</w:t>
      </w:r>
      <w:r>
        <w:t>is</w:t>
      </w:r>
      <w:r w:rsidR="00C7429A" w:rsidRPr="007D2140">
        <w:t xml:space="preserve"> is based on the evaluation outcomes of </w:t>
      </w:r>
      <w:proofErr w:type="gramStart"/>
      <w:r w:rsidR="00C7429A" w:rsidRPr="007D2140">
        <w:t>two Phase III</w:t>
      </w:r>
      <w:proofErr w:type="gramEnd"/>
      <w:r w:rsidR="00C7429A" w:rsidRPr="007D2140">
        <w:t xml:space="preserve"> pivotal studies</w:t>
      </w:r>
      <w:r>
        <w:t>, S</w:t>
      </w:r>
      <w:r w:rsidR="00C7429A" w:rsidRPr="007D2140">
        <w:t>tud</w:t>
      </w:r>
      <w:r>
        <w:t>ies </w:t>
      </w:r>
      <w:r w:rsidR="00C7429A" w:rsidRPr="007D2140">
        <w:t>CR845</w:t>
      </w:r>
      <w:r>
        <w:noBreakHyphen/>
      </w:r>
      <w:r w:rsidR="00C7429A" w:rsidRPr="007D2140">
        <w:t xml:space="preserve">CLIN3102 </w:t>
      </w:r>
      <w:r>
        <w:t>and</w:t>
      </w:r>
      <w:r w:rsidR="00C7429A" w:rsidRPr="007D2140">
        <w:t xml:space="preserve"> CR845-CLIN3103</w:t>
      </w:r>
      <w:r>
        <w:t xml:space="preserve">. </w:t>
      </w:r>
      <w:r w:rsidR="00C7429A" w:rsidRPr="007D2140">
        <w:t xml:space="preserve">Both </w:t>
      </w:r>
      <w:r>
        <w:t xml:space="preserve">studies </w:t>
      </w:r>
      <w:r w:rsidR="00C7429A" w:rsidRPr="007D2140">
        <w:t>are Phase III, multicentre, double</w:t>
      </w:r>
      <w:r>
        <w:t xml:space="preserve"> </w:t>
      </w:r>
      <w:r w:rsidR="00C7429A" w:rsidRPr="007D2140">
        <w:t xml:space="preserve">blind, randomised, </w:t>
      </w:r>
      <w:proofErr w:type="gramStart"/>
      <w:r w:rsidR="00C7429A" w:rsidRPr="007D2140">
        <w:t>placebo</w:t>
      </w:r>
      <w:r>
        <w:t xml:space="preserve"> </w:t>
      </w:r>
      <w:r w:rsidR="00C7429A" w:rsidRPr="007D2140">
        <w:t>controlled</w:t>
      </w:r>
      <w:proofErr w:type="gramEnd"/>
      <w:r w:rsidR="00C7429A" w:rsidRPr="007D2140">
        <w:t xml:space="preserve"> studies evaluating the safety and efficacy of intravenous </w:t>
      </w:r>
      <w:r>
        <w:t>d</w:t>
      </w:r>
      <w:r w:rsidR="00C7429A" w:rsidRPr="007D2140">
        <w:t>ifelikefalin in haemodialysis patients, with moderate</w:t>
      </w:r>
      <w:r>
        <w:t xml:space="preserve"> </w:t>
      </w:r>
      <w:r w:rsidR="00C7429A" w:rsidRPr="007D2140">
        <w:t>to</w:t>
      </w:r>
      <w:r>
        <w:t xml:space="preserve"> s</w:t>
      </w:r>
      <w:r w:rsidR="00C7429A" w:rsidRPr="007D2140">
        <w:t xml:space="preserve">evere pruritus. The studies also have </w:t>
      </w:r>
      <w:r>
        <w:t>o</w:t>
      </w:r>
      <w:r w:rsidR="00C7429A" w:rsidRPr="007D2140">
        <w:t xml:space="preserve">pen </w:t>
      </w:r>
      <w:r>
        <w:t>l</w:t>
      </w:r>
      <w:r w:rsidR="00C7429A" w:rsidRPr="007D2140">
        <w:t xml:space="preserve">abel </w:t>
      </w:r>
      <w:r>
        <w:t>e</w:t>
      </w:r>
      <w:r w:rsidR="00C7429A" w:rsidRPr="007D2140">
        <w:t xml:space="preserve">xtension </w:t>
      </w:r>
      <w:r>
        <w:t>p</w:t>
      </w:r>
      <w:r w:rsidR="00C7429A" w:rsidRPr="007D2140">
        <w:t>hases.</w:t>
      </w:r>
    </w:p>
    <w:p w14:paraId="52906008" w14:textId="682ADD32" w:rsidR="00C7429A" w:rsidRPr="007D2140" w:rsidRDefault="00C7429A" w:rsidP="007D2140">
      <w:r w:rsidRPr="007D2140">
        <w:t xml:space="preserve">The delegate agrees with the </w:t>
      </w:r>
      <w:r w:rsidR="007D2140">
        <w:t>clinical evaluation</w:t>
      </w:r>
      <w:r w:rsidRPr="007D2140">
        <w:t xml:space="preserve">, that there is adequate documented evidence for the efficacy of intravenous </w:t>
      </w:r>
      <w:r w:rsidR="007D2140">
        <w:t>d</w:t>
      </w:r>
      <w:r w:rsidRPr="007D2140">
        <w:t>ifelikefalin in haemodialysis patients, with moderate</w:t>
      </w:r>
      <w:r w:rsidR="007D2140">
        <w:t xml:space="preserve"> </w:t>
      </w:r>
      <w:r w:rsidRPr="007D2140">
        <w:t>to</w:t>
      </w:r>
      <w:r w:rsidR="007D2140">
        <w:t xml:space="preserve"> </w:t>
      </w:r>
      <w:r w:rsidRPr="007D2140">
        <w:t xml:space="preserve">severe pruritus, as per </w:t>
      </w:r>
      <w:r w:rsidR="007D2140">
        <w:t>S</w:t>
      </w:r>
      <w:r w:rsidRPr="007D2140">
        <w:t xml:space="preserve">tudies CR845-CLIN3102 </w:t>
      </w:r>
      <w:r w:rsidR="007D2140">
        <w:t>and</w:t>
      </w:r>
      <w:r w:rsidRPr="007D2140">
        <w:t xml:space="preserve"> CR845-CLIN3103. Th</w:t>
      </w:r>
      <w:r w:rsidR="007D2140">
        <w:t>e</w:t>
      </w:r>
      <w:r w:rsidRPr="007D2140">
        <w:t xml:space="preserve"> studies revealed significant improvements over placebo from </w:t>
      </w:r>
      <w:r w:rsidR="007D2140">
        <w:t>B</w:t>
      </w:r>
      <w:r w:rsidRPr="007D2140">
        <w:t>aseline</w:t>
      </w:r>
      <w:r w:rsidR="007D2140">
        <w:t>.</w:t>
      </w:r>
    </w:p>
    <w:p w14:paraId="6C9659A7" w14:textId="6DA5AA50" w:rsidR="00C7429A" w:rsidRDefault="00C7429A" w:rsidP="00C7429A">
      <w:r w:rsidRPr="00C7429A">
        <w:t>Primary efficacy analyses showed that the:</w:t>
      </w:r>
    </w:p>
    <w:p w14:paraId="4330A7F4" w14:textId="0298AF4D" w:rsidR="00C7429A" w:rsidRPr="00C7429A" w:rsidRDefault="007D2140" w:rsidP="007D2140">
      <w:pPr>
        <w:pStyle w:val="ListBullet"/>
      </w:pPr>
      <w:r>
        <w:t>The least squares (LS) m</w:t>
      </w:r>
      <w:r w:rsidR="00C7429A" w:rsidRPr="00C7429A">
        <w:t>ean percentage of subjects with a 3</w:t>
      </w:r>
      <w:r>
        <w:t xml:space="preserve"> </w:t>
      </w:r>
      <w:r w:rsidR="00C7429A" w:rsidRPr="00C7429A">
        <w:t xml:space="preserve">point </w:t>
      </w:r>
      <w:r>
        <w:t xml:space="preserve">or greater </w:t>
      </w:r>
      <w:r w:rsidR="00C7429A" w:rsidRPr="00C7429A">
        <w:t xml:space="preserve">improvement from </w:t>
      </w:r>
      <w:r>
        <w:t>B</w:t>
      </w:r>
      <w:r w:rsidR="00C7429A" w:rsidRPr="00C7429A">
        <w:t xml:space="preserve">aseline in the WI-NRS </w:t>
      </w:r>
      <w:r>
        <w:t>s</w:t>
      </w:r>
      <w:r w:rsidR="00C7429A" w:rsidRPr="00C7429A">
        <w:t xml:space="preserve">core at Week 12 was statistically significantly greater with </w:t>
      </w:r>
      <w:r>
        <w:t>d</w:t>
      </w:r>
      <w:r w:rsidR="00C7429A" w:rsidRPr="00C7429A">
        <w:t>ifelikefalin compared to placebo (Study CR845-CLIN3102: 51% v</w:t>
      </w:r>
      <w:r>
        <w:t>ersus</w:t>
      </w:r>
      <w:r w:rsidR="00C7429A" w:rsidRPr="00C7429A">
        <w:t xml:space="preserve"> 27.6% </w:t>
      </w:r>
      <w:r>
        <w:t>(</w:t>
      </w:r>
      <w:r w:rsidR="00C7429A" w:rsidRPr="00C7429A">
        <w:t>odds ratio of 2.72, P</w:t>
      </w:r>
      <w:r>
        <w:t> </w:t>
      </w:r>
      <w:r w:rsidR="00C7429A" w:rsidRPr="00C7429A">
        <w:t>&lt;</w:t>
      </w:r>
      <w:r>
        <w:t> </w:t>
      </w:r>
      <w:r w:rsidR="00C7429A" w:rsidRPr="00C7429A">
        <w:t>0.001</w:t>
      </w:r>
      <w:r>
        <w:t>)</w:t>
      </w:r>
      <w:r w:rsidR="00C7429A" w:rsidRPr="00C7429A">
        <w:t>; Study CR845-CLIN3103: 54% v</w:t>
      </w:r>
      <w:r>
        <w:t>ersus</w:t>
      </w:r>
      <w:r w:rsidR="00C7429A" w:rsidRPr="00C7429A">
        <w:t xml:space="preserve"> 42.2% </w:t>
      </w:r>
      <w:r>
        <w:t>(</w:t>
      </w:r>
      <w:r w:rsidR="00C7429A" w:rsidRPr="00C7429A">
        <w:t>odds ratio of 1.62, P</w:t>
      </w:r>
      <w:r>
        <w:t> </w:t>
      </w:r>
      <w:r w:rsidR="00C7429A" w:rsidRPr="00C7429A">
        <w:t>=</w:t>
      </w:r>
      <w:r>
        <w:t> </w:t>
      </w:r>
      <w:r w:rsidR="00C7429A" w:rsidRPr="00C7429A">
        <w:t>0.020</w:t>
      </w:r>
      <w:r>
        <w:t>)</w:t>
      </w:r>
      <w:r w:rsidR="00C7429A" w:rsidRPr="00C7429A">
        <w:t>).</w:t>
      </w:r>
    </w:p>
    <w:p w14:paraId="14EE5CA5" w14:textId="030050CB" w:rsidR="00C7429A" w:rsidRPr="00C7429A" w:rsidRDefault="00C7429A" w:rsidP="007D2140">
      <w:pPr>
        <w:pStyle w:val="ListBullet"/>
      </w:pPr>
      <w:r w:rsidRPr="00C7429A">
        <w:t>The LS mean percentage of subjects with a 4</w:t>
      </w:r>
      <w:r w:rsidR="007D2140">
        <w:t xml:space="preserve"> </w:t>
      </w:r>
      <w:r w:rsidRPr="00C7429A">
        <w:t>point</w:t>
      </w:r>
      <w:r w:rsidR="007D2140">
        <w:t xml:space="preserve"> or greater</w:t>
      </w:r>
      <w:r w:rsidRPr="00C7429A">
        <w:t xml:space="preserve"> improvement from </w:t>
      </w:r>
      <w:r w:rsidR="007D2140">
        <w:t>B</w:t>
      </w:r>
      <w:r w:rsidRPr="00C7429A">
        <w:t xml:space="preserve">aseline in the WI-NRS </w:t>
      </w:r>
      <w:r w:rsidR="007D2140">
        <w:t>s</w:t>
      </w:r>
      <w:r w:rsidRPr="00C7429A">
        <w:t xml:space="preserve">core at Week 12 was also statistically significantly greater with </w:t>
      </w:r>
      <w:r w:rsidR="007D2140">
        <w:t>d</w:t>
      </w:r>
      <w:r w:rsidRPr="00C7429A">
        <w:t>ifelikefalin compared to placebo (Study CR845-CLIN3102: 38.9% v</w:t>
      </w:r>
      <w:r w:rsidR="007D2140">
        <w:t xml:space="preserve">ersus </w:t>
      </w:r>
      <w:r w:rsidRPr="00C7429A">
        <w:t xml:space="preserve">18% </w:t>
      </w:r>
      <w:r w:rsidR="007D2140">
        <w:t>(</w:t>
      </w:r>
      <w:r w:rsidRPr="00C7429A">
        <w:t>odds ratio of 2.89, P</w:t>
      </w:r>
      <w:r w:rsidR="007D2140">
        <w:t> </w:t>
      </w:r>
      <w:r w:rsidRPr="00C7429A">
        <w:t>&lt;</w:t>
      </w:r>
      <w:r w:rsidR="007D2140">
        <w:t> </w:t>
      </w:r>
      <w:r w:rsidRPr="00C7429A">
        <w:t>0.001</w:t>
      </w:r>
      <w:r w:rsidR="007D2140">
        <w:t>)</w:t>
      </w:r>
      <w:r w:rsidRPr="00C7429A">
        <w:t>; Study CR845-CLIN3103: 41.2% v</w:t>
      </w:r>
      <w:r w:rsidR="007D2140">
        <w:t>ersus</w:t>
      </w:r>
      <w:r w:rsidRPr="00C7429A">
        <w:t xml:space="preserve"> 28.4% </w:t>
      </w:r>
      <w:r w:rsidR="007D2140">
        <w:t>(</w:t>
      </w:r>
      <w:r w:rsidRPr="00C7429A">
        <w:t>odds ratio of 1.7, P</w:t>
      </w:r>
      <w:r w:rsidR="007D2140">
        <w:t> </w:t>
      </w:r>
      <w:r w:rsidRPr="00C7429A">
        <w:t>=</w:t>
      </w:r>
      <w:r w:rsidR="007D2140">
        <w:t> </w:t>
      </w:r>
      <w:r w:rsidRPr="00C7429A">
        <w:t>0.010</w:t>
      </w:r>
      <w:r w:rsidR="007D2140">
        <w:t>)</w:t>
      </w:r>
      <w:r w:rsidRPr="00C7429A">
        <w:t>).</w:t>
      </w:r>
    </w:p>
    <w:p w14:paraId="16B8A439" w14:textId="1CE774DE" w:rsidR="00C7429A" w:rsidRDefault="00C7429A" w:rsidP="00C7429A">
      <w:r w:rsidRPr="00C7429A">
        <w:lastRenderedPageBreak/>
        <w:t xml:space="preserve">Analyses over time showed that a statistically significant treatment group difference favouring </w:t>
      </w:r>
      <w:r w:rsidR="007D2140">
        <w:t>d</w:t>
      </w:r>
      <w:r w:rsidRPr="00C7429A">
        <w:t>ifelikefalin over placebo in the LS mean percentage of subjects with a 3</w:t>
      </w:r>
      <w:r w:rsidR="007D2140">
        <w:t xml:space="preserve"> </w:t>
      </w:r>
      <w:r w:rsidRPr="00C7429A">
        <w:t>point</w:t>
      </w:r>
      <w:r w:rsidR="007D2140">
        <w:t xml:space="preserve"> or greater</w:t>
      </w:r>
      <w:r w:rsidRPr="00C7429A">
        <w:t xml:space="preserve"> improvement from </w:t>
      </w:r>
      <w:r w:rsidR="007D2140">
        <w:t>B</w:t>
      </w:r>
      <w:r w:rsidRPr="00C7429A">
        <w:t xml:space="preserve">aseline in WI-NRS </w:t>
      </w:r>
      <w:r w:rsidR="007D2140">
        <w:t>s</w:t>
      </w:r>
      <w:r w:rsidRPr="00C7429A">
        <w:t>core was observed as early as Week 3 (Study</w:t>
      </w:r>
      <w:r w:rsidR="007D2140">
        <w:t> </w:t>
      </w:r>
      <w:r w:rsidRPr="00C7429A">
        <w:t>CR845</w:t>
      </w:r>
      <w:r w:rsidR="007D2140">
        <w:noBreakHyphen/>
      </w:r>
      <w:r w:rsidRPr="00C7429A">
        <w:t xml:space="preserve">CLIN3102) or Week 2 (Study CR845-CLIN3103) and was maintained throughout the remainder of the </w:t>
      </w:r>
      <w:proofErr w:type="gramStart"/>
      <w:r w:rsidR="007D2140">
        <w:t>double blind</w:t>
      </w:r>
      <w:proofErr w:type="gramEnd"/>
      <w:r w:rsidRPr="00C7429A">
        <w:t xml:space="preserve"> </w:t>
      </w:r>
      <w:r w:rsidR="007D2140">
        <w:t>t</w:t>
      </w:r>
      <w:r w:rsidRPr="00C7429A">
        <w:t xml:space="preserve">reatment </w:t>
      </w:r>
      <w:r w:rsidR="007D2140">
        <w:t>p</w:t>
      </w:r>
      <w:r w:rsidRPr="00C7429A">
        <w:t>eriod</w:t>
      </w:r>
      <w:r w:rsidR="007D2140">
        <w:t>.</w:t>
      </w:r>
    </w:p>
    <w:p w14:paraId="1D0F069F" w14:textId="29E87FE6" w:rsidR="00C7429A" w:rsidRPr="00C7429A" w:rsidRDefault="00C7429A" w:rsidP="007D2140">
      <w:pPr>
        <w:pStyle w:val="ListBullet"/>
      </w:pPr>
      <w:r w:rsidRPr="00C7429A">
        <w:t>The LS mean percentage of subjects with a 3</w:t>
      </w:r>
      <w:r w:rsidR="007D2140">
        <w:t xml:space="preserve"> </w:t>
      </w:r>
      <w:r w:rsidRPr="00C7429A">
        <w:t>point</w:t>
      </w:r>
      <w:r w:rsidR="007D2140">
        <w:t xml:space="preserve"> or greater</w:t>
      </w:r>
      <w:r w:rsidRPr="00C7429A">
        <w:t xml:space="preserve"> improvement from </w:t>
      </w:r>
      <w:r w:rsidR="007D2140">
        <w:t>B</w:t>
      </w:r>
      <w:r w:rsidRPr="00C7429A">
        <w:t xml:space="preserve">aseline in the WI-NRS </w:t>
      </w:r>
      <w:r w:rsidR="007D2140">
        <w:t>s</w:t>
      </w:r>
      <w:r w:rsidRPr="00C7429A">
        <w:t xml:space="preserve">core was statistically significantly greater with </w:t>
      </w:r>
      <w:r w:rsidR="007D2140">
        <w:t>d</w:t>
      </w:r>
      <w:r w:rsidRPr="00C7429A">
        <w:t xml:space="preserve">ifelikefalin compared to placebo at Week 4 (Study CR845-CLIN3102: 33.5% </w:t>
      </w:r>
      <w:r w:rsidR="007D2140">
        <w:t>versus</w:t>
      </w:r>
      <w:r w:rsidRPr="00C7429A">
        <w:t xml:space="preserve"> 16.7% </w:t>
      </w:r>
      <w:r w:rsidR="007D2140">
        <w:t>(</w:t>
      </w:r>
      <w:r w:rsidRPr="00C7429A">
        <w:t>P</w:t>
      </w:r>
      <w:r w:rsidR="007D2140">
        <w:t> </w:t>
      </w:r>
      <w:r w:rsidRPr="00C7429A">
        <w:t>&lt;</w:t>
      </w:r>
      <w:r w:rsidR="007D2140">
        <w:t> </w:t>
      </w:r>
      <w:r w:rsidRPr="00C7429A">
        <w:t>0.001</w:t>
      </w:r>
      <w:r w:rsidR="007D2140">
        <w:t>)</w:t>
      </w:r>
      <w:r w:rsidRPr="00C7429A">
        <w:t>; Study</w:t>
      </w:r>
      <w:r w:rsidR="007D2140">
        <w:t> </w:t>
      </w:r>
      <w:r w:rsidRPr="00C7429A">
        <w:t>CR845</w:t>
      </w:r>
      <w:r w:rsidR="007D2140">
        <w:noBreakHyphen/>
      </w:r>
      <w:r w:rsidRPr="00C7429A">
        <w:t>CLIN3103: 38.3% v</w:t>
      </w:r>
      <w:r w:rsidR="007D2140">
        <w:t>ersus</w:t>
      </w:r>
      <w:r w:rsidRPr="00C7429A">
        <w:t xml:space="preserve"> 23.8% </w:t>
      </w:r>
      <w:r w:rsidR="007D2140">
        <w:t>(</w:t>
      </w:r>
      <w:r w:rsidRPr="00C7429A">
        <w:t>P</w:t>
      </w:r>
      <w:r w:rsidR="007D2140">
        <w:t> </w:t>
      </w:r>
      <w:r w:rsidRPr="00C7429A">
        <w:t>=</w:t>
      </w:r>
      <w:r w:rsidR="007D2140">
        <w:t> </w:t>
      </w:r>
      <w:r w:rsidRPr="00C7429A">
        <w:t>0.020</w:t>
      </w:r>
      <w:r w:rsidR="007D2140">
        <w:t>)</w:t>
      </w:r>
      <w:r w:rsidRPr="00C7429A">
        <w:t>) as well as at Week 8 (Study</w:t>
      </w:r>
      <w:r w:rsidR="007D2140">
        <w:t> </w:t>
      </w:r>
      <w:r w:rsidRPr="00C7429A">
        <w:t>CR845-CLIN3102: 42.7% v</w:t>
      </w:r>
      <w:r w:rsidR="007D2140">
        <w:t>ersus</w:t>
      </w:r>
      <w:r w:rsidRPr="00C7429A">
        <w:t xml:space="preserve"> 25.1% </w:t>
      </w:r>
      <w:r w:rsidR="007D2140">
        <w:t>(</w:t>
      </w:r>
      <w:r w:rsidRPr="00C7429A">
        <w:t>P</w:t>
      </w:r>
      <w:r w:rsidR="007D2140">
        <w:t> </w:t>
      </w:r>
      <w:r w:rsidRPr="00C7429A">
        <w:t>&lt;</w:t>
      </w:r>
      <w:r w:rsidR="007D2140">
        <w:t> </w:t>
      </w:r>
      <w:r w:rsidRPr="00C7429A">
        <w:t>0.001</w:t>
      </w:r>
      <w:r w:rsidR="007D2140">
        <w:t>)</w:t>
      </w:r>
      <w:r w:rsidRPr="00C7429A">
        <w:t>; Study CR845-CLIN3103: 49% v</w:t>
      </w:r>
      <w:r w:rsidR="007D2140">
        <w:t xml:space="preserve">ersus </w:t>
      </w:r>
      <w:r w:rsidRPr="00C7429A">
        <w:t xml:space="preserve">36.2% </w:t>
      </w:r>
      <w:r w:rsidR="007D2140">
        <w:t>(</w:t>
      </w:r>
      <w:r w:rsidRPr="00C7429A">
        <w:t>P</w:t>
      </w:r>
      <w:r w:rsidR="007D2140">
        <w:t> </w:t>
      </w:r>
      <w:r w:rsidRPr="00C7429A">
        <w:t>=</w:t>
      </w:r>
      <w:r w:rsidR="007D2140">
        <w:t> </w:t>
      </w:r>
      <w:r w:rsidRPr="00C7429A">
        <w:t>0.010</w:t>
      </w:r>
      <w:r w:rsidR="007D2140">
        <w:t>)</w:t>
      </w:r>
      <w:r w:rsidRPr="00C7429A">
        <w:t>).</w:t>
      </w:r>
    </w:p>
    <w:p w14:paraId="39534345" w14:textId="3689D9E4" w:rsidR="007D2140" w:rsidRDefault="00C7429A" w:rsidP="00C7429A">
      <w:r w:rsidRPr="00C7429A">
        <w:t xml:space="preserve">Also, analyses over time showed statistically significant treatment group difference favouring </w:t>
      </w:r>
      <w:r w:rsidR="007D2140">
        <w:t>d</w:t>
      </w:r>
      <w:r w:rsidRPr="00C7429A">
        <w:t>ifelikefalin over placebo in the LS mean percentage of subjects with a 4</w:t>
      </w:r>
      <w:r w:rsidR="007D2140">
        <w:t xml:space="preserve"> </w:t>
      </w:r>
      <w:r w:rsidRPr="00C7429A">
        <w:t xml:space="preserve">point </w:t>
      </w:r>
      <w:r w:rsidR="007D2140">
        <w:t xml:space="preserve">or greater </w:t>
      </w:r>
      <w:r w:rsidRPr="00C7429A">
        <w:t xml:space="preserve">improvement from </w:t>
      </w:r>
      <w:r w:rsidR="007D2140">
        <w:t>B</w:t>
      </w:r>
      <w:r w:rsidRPr="00C7429A">
        <w:t>aseline in WI-NRS was observed as early as Week 4 (Study</w:t>
      </w:r>
      <w:r w:rsidR="007D2140">
        <w:t> </w:t>
      </w:r>
      <w:r w:rsidRPr="00C7429A">
        <w:t>CR845</w:t>
      </w:r>
      <w:r w:rsidR="007D2140">
        <w:noBreakHyphen/>
      </w:r>
      <w:r w:rsidRPr="00C7429A">
        <w:t>CLIN3102) or Week 3 (Study CR845-CLIN3103) and was maintained throughout the remainder of the</w:t>
      </w:r>
      <w:r w:rsidR="007D2140">
        <w:t xml:space="preserve"> </w:t>
      </w:r>
      <w:proofErr w:type="gramStart"/>
      <w:r w:rsidR="007D2140">
        <w:t>double blind</w:t>
      </w:r>
      <w:proofErr w:type="gramEnd"/>
      <w:r w:rsidR="007D2140">
        <w:t xml:space="preserve"> t</w:t>
      </w:r>
      <w:r w:rsidRPr="00C7429A">
        <w:t xml:space="preserve">reatment </w:t>
      </w:r>
      <w:r w:rsidR="007D2140">
        <w:t>p</w:t>
      </w:r>
      <w:r w:rsidRPr="00C7429A">
        <w:t>eriod</w:t>
      </w:r>
      <w:r w:rsidR="007D2140">
        <w:t>.</w:t>
      </w:r>
    </w:p>
    <w:p w14:paraId="7651516B" w14:textId="7E473766" w:rsidR="00C7429A" w:rsidRDefault="00C7429A" w:rsidP="007D2140">
      <w:pPr>
        <w:pStyle w:val="ListBullet"/>
      </w:pPr>
      <w:r w:rsidRPr="00C7429A">
        <w:t>The LS mean percentage of subjects with a 4</w:t>
      </w:r>
      <w:r w:rsidR="007D2140">
        <w:t xml:space="preserve"> </w:t>
      </w:r>
      <w:r w:rsidRPr="00C7429A">
        <w:t>point</w:t>
      </w:r>
      <w:r w:rsidR="007D2140">
        <w:t xml:space="preserve"> or greater</w:t>
      </w:r>
      <w:r w:rsidRPr="00C7429A">
        <w:t xml:space="preserve"> improvement from </w:t>
      </w:r>
      <w:r w:rsidR="007D2140">
        <w:t>B</w:t>
      </w:r>
      <w:r w:rsidRPr="00C7429A">
        <w:t xml:space="preserve">aseline in the WI-NRS was statistically significantly greater with </w:t>
      </w:r>
      <w:r w:rsidR="007D2140">
        <w:t>d</w:t>
      </w:r>
      <w:r w:rsidRPr="00C7429A">
        <w:t>ifelikefalin compared to placebo at Week 4 (Study CR845-CLIN3102: 16.4% v</w:t>
      </w:r>
      <w:r w:rsidR="007D2140">
        <w:t>ersus</w:t>
      </w:r>
      <w:r w:rsidRPr="00C7429A">
        <w:t xml:space="preserve"> 6.6% </w:t>
      </w:r>
      <w:r w:rsidR="007D2140">
        <w:t>(</w:t>
      </w:r>
      <w:r w:rsidRPr="00C7429A">
        <w:t>P</w:t>
      </w:r>
      <w:r w:rsidR="007D2140">
        <w:t> </w:t>
      </w:r>
      <w:r w:rsidRPr="00C7429A">
        <w:t>=</w:t>
      </w:r>
      <w:r w:rsidR="007D2140">
        <w:t> </w:t>
      </w:r>
      <w:r w:rsidRPr="00C7429A">
        <w:t>0.003</w:t>
      </w:r>
      <w:r w:rsidR="007D2140">
        <w:t>)</w:t>
      </w:r>
      <w:r w:rsidRPr="00C7429A">
        <w:t>; Study CR845-CLIN3103: 26.1% v</w:t>
      </w:r>
      <w:r w:rsidR="007D2140">
        <w:t xml:space="preserve">ersus </w:t>
      </w:r>
      <w:r w:rsidRPr="00C7429A">
        <w:t xml:space="preserve">16.7% </w:t>
      </w:r>
      <w:r w:rsidR="007D2140">
        <w:t>(</w:t>
      </w:r>
      <w:r w:rsidRPr="00C7429A">
        <w:t>P</w:t>
      </w:r>
      <w:r w:rsidR="007D2140">
        <w:t> </w:t>
      </w:r>
      <w:r w:rsidRPr="00C7429A">
        <w:t>=</w:t>
      </w:r>
      <w:r w:rsidR="007D2140">
        <w:t> </w:t>
      </w:r>
      <w:r w:rsidRPr="00C7429A">
        <w:t>0.036</w:t>
      </w:r>
      <w:r w:rsidR="007D2140">
        <w:t>)</w:t>
      </w:r>
      <w:r w:rsidRPr="00C7429A">
        <w:t>) as well as at Week 8 Study CR845-CLIN3102: 26.9% v</w:t>
      </w:r>
      <w:r w:rsidR="007D2140">
        <w:t xml:space="preserve">ersus </w:t>
      </w:r>
      <w:r w:rsidRPr="00C7429A">
        <w:t xml:space="preserve">14.9% </w:t>
      </w:r>
      <w:r w:rsidR="007D2140">
        <w:t>(</w:t>
      </w:r>
      <w:r w:rsidRPr="00C7429A">
        <w:t>P</w:t>
      </w:r>
      <w:r w:rsidR="007D2140">
        <w:t> </w:t>
      </w:r>
      <w:r w:rsidRPr="00C7429A">
        <w:t>=</w:t>
      </w:r>
      <w:r w:rsidR="007D2140">
        <w:t> </w:t>
      </w:r>
      <w:r w:rsidRPr="00C7429A">
        <w:t>0.005</w:t>
      </w:r>
      <w:r w:rsidR="007D2140">
        <w:t>)</w:t>
      </w:r>
      <w:r w:rsidRPr="00C7429A">
        <w:t>; Study CR845-CLIN3103: 36.1% v</w:t>
      </w:r>
      <w:r w:rsidR="007D2140">
        <w:t>ersus</w:t>
      </w:r>
      <w:r w:rsidRPr="00C7429A">
        <w:t xml:space="preserve"> 23.7% </w:t>
      </w:r>
      <w:r w:rsidR="007D2140">
        <w:t>(</w:t>
      </w:r>
      <w:r w:rsidRPr="00C7429A">
        <w:t>P</w:t>
      </w:r>
      <w:r w:rsidR="007D2140">
        <w:t> </w:t>
      </w:r>
      <w:r w:rsidRPr="00C7429A">
        <w:t>=</w:t>
      </w:r>
      <w:r w:rsidR="007D2140">
        <w:t> </w:t>
      </w:r>
      <w:r w:rsidRPr="00C7429A">
        <w:t>0.010</w:t>
      </w:r>
      <w:r w:rsidR="007D2140">
        <w:t>)</w:t>
      </w:r>
      <w:r w:rsidRPr="00C7429A">
        <w:t>).</w:t>
      </w:r>
    </w:p>
    <w:p w14:paraId="22ED9956" w14:textId="29A6B2F0" w:rsidR="00C7429A" w:rsidRDefault="00C7429A" w:rsidP="00C7429A">
      <w:r w:rsidRPr="00C7429A">
        <w:t xml:space="preserve">Results on the effect of </w:t>
      </w:r>
      <w:r w:rsidR="007D2140">
        <w:t>d</w:t>
      </w:r>
      <w:r w:rsidRPr="00C7429A">
        <w:t>ifelikefalin on itch</w:t>
      </w:r>
      <w:r w:rsidR="007D2140">
        <w:t xml:space="preserve"> </w:t>
      </w:r>
      <w:r w:rsidRPr="00C7429A">
        <w:t xml:space="preserve">related </w:t>
      </w:r>
      <w:r w:rsidR="007D2140">
        <w:t xml:space="preserve">quality of life </w:t>
      </w:r>
      <w:r w:rsidRPr="00C7429A">
        <w:t xml:space="preserve">showed that there was greater reduction (improvement) from </w:t>
      </w:r>
      <w:r w:rsidR="007D2140">
        <w:t>B</w:t>
      </w:r>
      <w:r w:rsidRPr="00C7429A">
        <w:t xml:space="preserve">aseline in the total Skindex-10 </w:t>
      </w:r>
      <w:r w:rsidR="007D2140">
        <w:t>s</w:t>
      </w:r>
      <w:r w:rsidRPr="00C7429A">
        <w:t>cale score at the end of Week</w:t>
      </w:r>
      <w:r w:rsidR="007D2140">
        <w:t> </w:t>
      </w:r>
      <w:r w:rsidRPr="00C7429A">
        <w:t xml:space="preserve">12 with </w:t>
      </w:r>
      <w:r w:rsidR="007D2140">
        <w:t>d</w:t>
      </w:r>
      <w:r w:rsidRPr="00C7429A">
        <w:t xml:space="preserve">ifelikefalin compared to placebo; the treatment difference was statistically significant in </w:t>
      </w:r>
      <w:r w:rsidR="007D2140">
        <w:t>S</w:t>
      </w:r>
      <w:r w:rsidRPr="00C7429A">
        <w:t>tudy CR845-CLIN3102 but was not statistically significant in Study</w:t>
      </w:r>
      <w:r w:rsidR="007D2140">
        <w:t> </w:t>
      </w:r>
      <w:r w:rsidRPr="00C7429A">
        <w:t>CR845</w:t>
      </w:r>
      <w:r w:rsidR="007D2140">
        <w:noBreakHyphen/>
      </w:r>
      <w:r w:rsidRPr="00C7429A">
        <w:t xml:space="preserve">CLIN3103 (Study CR845-CLIN3102: -17.2 </w:t>
      </w:r>
      <w:r w:rsidR="007D2140">
        <w:t>versus</w:t>
      </w:r>
      <w:r w:rsidRPr="00C7429A">
        <w:t xml:space="preserve"> -12 </w:t>
      </w:r>
      <w:r w:rsidR="007D2140">
        <w:t>(</w:t>
      </w:r>
      <w:r w:rsidRPr="00C7429A">
        <w:t>P</w:t>
      </w:r>
      <w:r w:rsidR="007D2140">
        <w:t> </w:t>
      </w:r>
      <w:r w:rsidRPr="00C7429A">
        <w:t>&lt;</w:t>
      </w:r>
      <w:r w:rsidR="007D2140">
        <w:t> </w:t>
      </w:r>
      <w:r w:rsidRPr="00C7429A">
        <w:t>0.001</w:t>
      </w:r>
      <w:r w:rsidR="007D2140">
        <w:t>)</w:t>
      </w:r>
      <w:r w:rsidRPr="00C7429A">
        <w:t>; Study</w:t>
      </w:r>
      <w:r w:rsidR="007D2140">
        <w:t> </w:t>
      </w:r>
      <w:r w:rsidRPr="00C7429A">
        <w:t>CR845</w:t>
      </w:r>
      <w:r w:rsidR="007D2140">
        <w:noBreakHyphen/>
      </w:r>
      <w:r w:rsidRPr="00C7429A">
        <w:t>CLIN3103: -16.6 v</w:t>
      </w:r>
      <w:r w:rsidR="007D2140">
        <w:t>ersus</w:t>
      </w:r>
      <w:r w:rsidRPr="00C7429A">
        <w:t xml:space="preserve"> -14.8 </w:t>
      </w:r>
      <w:r w:rsidR="007D2140">
        <w:t>(</w:t>
      </w:r>
      <w:r w:rsidRPr="00C7429A">
        <w:t>P</w:t>
      </w:r>
      <w:r w:rsidR="007D2140">
        <w:t> </w:t>
      </w:r>
      <w:r w:rsidRPr="00C7429A">
        <w:t>=</w:t>
      </w:r>
      <w:r w:rsidR="007D2140">
        <w:t> </w:t>
      </w:r>
      <w:r w:rsidRPr="00C7429A">
        <w:t>0.171</w:t>
      </w:r>
      <w:r w:rsidR="007D2140">
        <w:t>)</w:t>
      </w:r>
      <w:r w:rsidRPr="00C7429A">
        <w:t>).</w:t>
      </w:r>
    </w:p>
    <w:p w14:paraId="407E7DE2" w14:textId="72CEC226" w:rsidR="00C7429A" w:rsidRPr="00C7429A" w:rsidRDefault="00C7429A" w:rsidP="00C7429A">
      <w:r w:rsidRPr="00C7429A">
        <w:t xml:space="preserve">There was also greater reduction (improvement) from </w:t>
      </w:r>
      <w:r w:rsidR="007D2140">
        <w:t>B</w:t>
      </w:r>
      <w:r w:rsidRPr="00C7429A">
        <w:t xml:space="preserve">aseline in the total 5-D </w:t>
      </w:r>
      <w:r w:rsidR="007D2140">
        <w:t>i</w:t>
      </w:r>
      <w:r w:rsidRPr="00C7429A">
        <w:t xml:space="preserve">tch </w:t>
      </w:r>
      <w:r w:rsidR="007D2140">
        <w:t>s</w:t>
      </w:r>
      <w:r w:rsidRPr="00C7429A">
        <w:t xml:space="preserve">cale score at the end of Week 12 with </w:t>
      </w:r>
      <w:r w:rsidR="007D2140">
        <w:t>d</w:t>
      </w:r>
      <w:r w:rsidRPr="00C7429A">
        <w:t xml:space="preserve">ifelikefalin compared to placebo; the treatment difference was statistically significant in Study CR845-CLIN3102 but was not considered inferential in </w:t>
      </w:r>
      <w:r w:rsidR="007D2140">
        <w:t>S</w:t>
      </w:r>
      <w:r w:rsidRPr="00C7429A">
        <w:t>tudy</w:t>
      </w:r>
      <w:r w:rsidR="007D2140">
        <w:t> </w:t>
      </w:r>
      <w:r w:rsidRPr="00C7429A">
        <w:t>CR845-CLIN3103 due to hierarchical testing rules (Study CR845-CLIN3102: -5 v</w:t>
      </w:r>
      <w:r w:rsidR="007D2140">
        <w:t>ersus</w:t>
      </w:r>
      <w:r w:rsidRPr="00C7429A">
        <w:t xml:space="preserve"> -3.7 </w:t>
      </w:r>
      <w:r w:rsidR="007D2140">
        <w:t>(</w:t>
      </w:r>
      <w:r w:rsidRPr="00C7429A">
        <w:t>P</w:t>
      </w:r>
      <w:r w:rsidR="007D2140">
        <w:t> </w:t>
      </w:r>
      <w:r w:rsidRPr="00C7429A">
        <w:t>&lt;</w:t>
      </w:r>
      <w:r w:rsidR="007D2140">
        <w:t> </w:t>
      </w:r>
      <w:r w:rsidRPr="00C7429A">
        <w:t>0.001</w:t>
      </w:r>
      <w:r w:rsidR="007D2140">
        <w:t>)</w:t>
      </w:r>
      <w:r w:rsidRPr="00C7429A">
        <w:t>; Study CR845-CLIN3103: -4.9 v</w:t>
      </w:r>
      <w:r w:rsidR="007D2140">
        <w:t>ersus</w:t>
      </w:r>
      <w:r w:rsidRPr="00C7429A">
        <w:t xml:space="preserve"> -3.8 </w:t>
      </w:r>
      <w:r w:rsidR="007D2140">
        <w:t>(</w:t>
      </w:r>
      <w:r w:rsidRPr="00C7429A">
        <w:t>nominal P</w:t>
      </w:r>
      <w:r w:rsidR="007D2140">
        <w:t> </w:t>
      </w:r>
      <w:r w:rsidRPr="00C7429A">
        <w:t>=</w:t>
      </w:r>
      <w:r w:rsidR="007D2140">
        <w:t> </w:t>
      </w:r>
      <w:r w:rsidRPr="00C7429A">
        <w:t>0.002</w:t>
      </w:r>
      <w:r w:rsidR="007D2140">
        <w:t>)</w:t>
      </w:r>
      <w:r w:rsidRPr="00C7429A">
        <w:t>).</w:t>
      </w:r>
    </w:p>
    <w:p w14:paraId="180135F7" w14:textId="2CD5A21B" w:rsidR="00C7429A" w:rsidRPr="00C7429A" w:rsidRDefault="00C7429A" w:rsidP="00C7429A">
      <w:r w:rsidRPr="00C7429A">
        <w:t xml:space="preserve">The safety sections of the draft PI were evaluated by the </w:t>
      </w:r>
      <w:r w:rsidR="007D2140">
        <w:t>clinical evaluation</w:t>
      </w:r>
      <w:r w:rsidRPr="00C7429A">
        <w:t xml:space="preserve"> and found to be appropriate.</w:t>
      </w:r>
    </w:p>
    <w:p w14:paraId="23628087" w14:textId="0408BB10" w:rsidR="00C7429A" w:rsidRPr="00C7429A" w:rsidRDefault="007D2140" w:rsidP="00C7429A">
      <w:r>
        <w:t>The p</w:t>
      </w:r>
      <w:r w:rsidR="00C7429A" w:rsidRPr="00C7429A">
        <w:t xml:space="preserve">roposed indication, as per the </w:t>
      </w:r>
      <w:r>
        <w:t>s</w:t>
      </w:r>
      <w:r w:rsidR="00C7429A" w:rsidRPr="00C7429A">
        <w:t>ponsor</w:t>
      </w:r>
      <w:r>
        <w:t xml:space="preserve">, is </w:t>
      </w:r>
      <w:r w:rsidR="00C7429A" w:rsidRPr="00C7429A">
        <w:t xml:space="preserve">acceptable to both the </w:t>
      </w:r>
      <w:r>
        <w:t xml:space="preserve">clinical evaluation </w:t>
      </w:r>
      <w:r w:rsidR="00C7429A" w:rsidRPr="00C7429A">
        <w:t xml:space="preserve">and the </w:t>
      </w:r>
      <w:r>
        <w:t>D</w:t>
      </w:r>
      <w:r w:rsidR="00C7429A" w:rsidRPr="00C7429A">
        <w:t>elegate</w:t>
      </w:r>
      <w:r>
        <w:t>:</w:t>
      </w:r>
    </w:p>
    <w:p w14:paraId="60FDEFDD" w14:textId="724E69FD" w:rsidR="00C7429A" w:rsidRPr="007D2140" w:rsidRDefault="00C7429A" w:rsidP="007D2140">
      <w:pPr>
        <w:ind w:left="720"/>
        <w:rPr>
          <w:i/>
          <w:iCs/>
        </w:rPr>
      </w:pPr>
      <w:r w:rsidRPr="007D2140">
        <w:rPr>
          <w:i/>
          <w:iCs/>
        </w:rPr>
        <w:t>For the treatment of moderate-to-severe pruritus associated with chronic kidney disease in adult</w:t>
      </w:r>
      <w:r w:rsidR="007D2140" w:rsidRPr="007D2140">
        <w:rPr>
          <w:i/>
          <w:iCs/>
        </w:rPr>
        <w:t xml:space="preserve"> </w:t>
      </w:r>
      <w:r w:rsidRPr="007D2140">
        <w:rPr>
          <w:i/>
          <w:iCs/>
        </w:rPr>
        <w:t>patients on haemodialysis</w:t>
      </w:r>
      <w:r w:rsidR="007D2140" w:rsidRPr="007D2140">
        <w:rPr>
          <w:i/>
          <w:iCs/>
        </w:rPr>
        <w:t>.</w:t>
      </w:r>
    </w:p>
    <w:p w14:paraId="3916F296" w14:textId="77777777" w:rsidR="00C22214" w:rsidRDefault="00C22214" w:rsidP="00C22214">
      <w:pPr>
        <w:pStyle w:val="Heading4"/>
      </w:pPr>
      <w:bookmarkStart w:id="96" w:name="_Toc98931933"/>
      <w:bookmarkStart w:id="97" w:name="_Toc147404317"/>
      <w:r w:rsidRPr="00D23139">
        <w:t>Proposed action</w:t>
      </w:r>
      <w:bookmarkEnd w:id="96"/>
      <w:bookmarkEnd w:id="97"/>
    </w:p>
    <w:p w14:paraId="1C790711" w14:textId="5A0D77B3" w:rsidR="00C7429A" w:rsidRPr="00C7429A" w:rsidRDefault="00C7429A" w:rsidP="00C7429A">
      <w:r w:rsidRPr="00C7429A">
        <w:t xml:space="preserve">The efficacy and safety of </w:t>
      </w:r>
      <w:r w:rsidR="007D2140">
        <w:t>d</w:t>
      </w:r>
      <w:r w:rsidRPr="00C7429A">
        <w:t>ifelikefalin in the management of moderate</w:t>
      </w:r>
      <w:r w:rsidR="007D2140">
        <w:t xml:space="preserve"> </w:t>
      </w:r>
      <w:r w:rsidRPr="00C7429A">
        <w:t>to</w:t>
      </w:r>
      <w:r w:rsidR="007D2140">
        <w:t xml:space="preserve"> </w:t>
      </w:r>
      <w:r w:rsidRPr="00C7429A">
        <w:t>severe pruritus associated with chronic kidney disease in adult patients on haemodialysis have been documented in two pivotal trials, to warrant a positive risk/balance analytical outcome.</w:t>
      </w:r>
    </w:p>
    <w:p w14:paraId="318CFABC" w14:textId="77777777" w:rsidR="00C22214" w:rsidRPr="00F73346" w:rsidRDefault="00C22214" w:rsidP="00C22214">
      <w:pPr>
        <w:pStyle w:val="Heading4"/>
      </w:pPr>
      <w:bookmarkStart w:id="98" w:name="_Toc98931936"/>
      <w:bookmarkStart w:id="99" w:name="_Toc147404318"/>
      <w:bookmarkStart w:id="100" w:name="_Toc247691532"/>
      <w:bookmarkStart w:id="101" w:name="_Toc314842516"/>
      <w:r w:rsidRPr="00F73346">
        <w:lastRenderedPageBreak/>
        <w:t>Advisory Committee considerations</w:t>
      </w:r>
      <w:bookmarkEnd w:id="98"/>
      <w:bookmarkEnd w:id="99"/>
    </w:p>
    <w:p w14:paraId="087BB9CB" w14:textId="10083399" w:rsidR="00C22214" w:rsidRPr="00BD5DBD" w:rsidRDefault="00C22214" w:rsidP="00C22214">
      <w:pPr>
        <w:rPr>
          <w:bCs/>
          <w:szCs w:val="22"/>
        </w:rPr>
      </w:pPr>
      <w:r w:rsidRPr="00BD5DBD">
        <w:rPr>
          <w:bCs/>
          <w:szCs w:val="22"/>
        </w:rPr>
        <w:t xml:space="preserve">The </w:t>
      </w:r>
      <w:hyperlink r:id="rId59"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4E55DB24" w14:textId="0D43F86E" w:rsidR="00AD2A93" w:rsidRPr="00AD2A93" w:rsidRDefault="00AD2A93" w:rsidP="00AD2A93">
      <w:pPr>
        <w:pStyle w:val="Numberbullet0"/>
        <w:rPr>
          <w:b/>
          <w:bCs/>
          <w:i/>
          <w:iCs/>
        </w:rPr>
      </w:pPr>
      <w:r w:rsidRPr="00AD2A93">
        <w:rPr>
          <w:b/>
          <w:bCs/>
          <w:i/>
          <w:iCs/>
        </w:rPr>
        <w:t xml:space="preserve">Approvability or otherwise of the submission, bearing in mind the outstanding issues, as in </w:t>
      </w:r>
      <w:r w:rsidR="00FE0067">
        <w:rPr>
          <w:b/>
          <w:bCs/>
          <w:i/>
          <w:iCs/>
        </w:rPr>
        <w:t>the [quality module (</w:t>
      </w:r>
      <w:r w:rsidRPr="00AD2A93">
        <w:rPr>
          <w:b/>
          <w:bCs/>
          <w:i/>
          <w:iCs/>
        </w:rPr>
        <w:t>Primary)</w:t>
      </w:r>
      <w:r w:rsidR="00FE0067">
        <w:rPr>
          <w:b/>
          <w:bCs/>
          <w:i/>
          <w:iCs/>
        </w:rPr>
        <w:t>]</w:t>
      </w:r>
      <w:r w:rsidRPr="00AD2A93">
        <w:rPr>
          <w:b/>
          <w:bCs/>
          <w:i/>
          <w:iCs/>
        </w:rPr>
        <w:t xml:space="preserve"> and in relation to the suggested modifications to the draft PI.</w:t>
      </w:r>
    </w:p>
    <w:p w14:paraId="4EC4DEDA" w14:textId="2D0F97DF" w:rsidR="00AD2A93" w:rsidRPr="00AD2A93" w:rsidRDefault="00AD2A93" w:rsidP="00AD2A93">
      <w:pPr>
        <w:pStyle w:val="Numberbullet2"/>
        <w:rPr>
          <w:b/>
          <w:bCs/>
          <w:i/>
          <w:iCs/>
        </w:rPr>
      </w:pPr>
      <w:r w:rsidRPr="00AD2A93">
        <w:rPr>
          <w:b/>
          <w:bCs/>
          <w:i/>
          <w:iCs/>
        </w:rPr>
        <w:t xml:space="preserve">Minor deficiencies: sponsor’s response yet to be reviewed by </w:t>
      </w:r>
      <w:r w:rsidR="00D12774">
        <w:rPr>
          <w:b/>
          <w:bCs/>
          <w:i/>
          <w:iCs/>
        </w:rPr>
        <w:t>overseas regulator</w:t>
      </w:r>
    </w:p>
    <w:p w14:paraId="71A624D0" w14:textId="2A199633" w:rsidR="00AD2A93" w:rsidRPr="00AD2A93" w:rsidRDefault="00AD2A93" w:rsidP="00AD2A93">
      <w:r w:rsidRPr="00AD2A93">
        <w:t xml:space="preserve">The ACM were informed that the </w:t>
      </w:r>
      <w:r>
        <w:t>quality</w:t>
      </w:r>
      <w:r w:rsidRPr="00AD2A93">
        <w:t xml:space="preserve"> issues related to assurances of nitrosamine quality control, quality of the starting materials, and incomplete reference to drug substance secondary packaging (aluminium pouch) for storage.</w:t>
      </w:r>
    </w:p>
    <w:p w14:paraId="0DDF34AE" w14:textId="3C81465B" w:rsidR="00AD2A93" w:rsidRPr="00AD2A93" w:rsidRDefault="00AD2A93" w:rsidP="00AD2A93">
      <w:r w:rsidRPr="00AD2A93">
        <w:t xml:space="preserve">The ACM was advised that all quality issues had been resolved and approval was now recommended from a TGA </w:t>
      </w:r>
      <w:r>
        <w:t>quality</w:t>
      </w:r>
      <w:r w:rsidRPr="00AD2A93">
        <w:t xml:space="preserve"> perspective.</w:t>
      </w:r>
    </w:p>
    <w:p w14:paraId="46F4A717" w14:textId="77777777" w:rsidR="00AD2A93" w:rsidRPr="00AD2A93" w:rsidRDefault="00AD2A93" w:rsidP="00AD2A93">
      <w:pPr>
        <w:pStyle w:val="Numberbullet2"/>
        <w:rPr>
          <w:b/>
          <w:bCs/>
          <w:i/>
          <w:iCs/>
        </w:rPr>
      </w:pPr>
      <w:r w:rsidRPr="00AD2A93">
        <w:rPr>
          <w:b/>
          <w:bCs/>
          <w:i/>
          <w:iCs/>
        </w:rPr>
        <w:t>Approvability considering draft PI modifications</w:t>
      </w:r>
    </w:p>
    <w:p w14:paraId="32BAF9D1" w14:textId="510B9831" w:rsidR="00AD2A93" w:rsidRPr="00AD2A93" w:rsidRDefault="00AD2A93" w:rsidP="00AD2A93">
      <w:pPr>
        <w:ind w:left="425"/>
        <w:rPr>
          <w:b/>
          <w:bCs/>
          <w:i/>
          <w:iCs/>
        </w:rPr>
      </w:pPr>
      <w:r w:rsidRPr="00AD2A93">
        <w:rPr>
          <w:b/>
          <w:bCs/>
          <w:i/>
          <w:iCs/>
        </w:rPr>
        <w:t>The pharmacokinetics of intravenous difelikefalin are dose proportional over a single and multiple dosage range of 0.5 to 2.5</w:t>
      </w:r>
      <w:r>
        <w:rPr>
          <w:b/>
          <w:bCs/>
          <w:i/>
          <w:iCs/>
        </w:rPr>
        <w:t> </w:t>
      </w:r>
      <w:r w:rsidR="00A33AB5">
        <w:rPr>
          <w:b/>
          <w:bCs/>
          <w:i/>
          <w:iCs/>
        </w:rPr>
        <w:t>µ</w:t>
      </w:r>
      <w:r w:rsidR="00D12774">
        <w:rPr>
          <w:b/>
          <w:bCs/>
          <w:i/>
          <w:iCs/>
        </w:rPr>
        <w:t>g</w:t>
      </w:r>
      <w:r w:rsidRPr="00AD2A93">
        <w:rPr>
          <w:b/>
          <w:bCs/>
          <w:i/>
          <w:iCs/>
        </w:rPr>
        <w:t>/kg (1 to 5 times the recommended dosage) in chronic kidney disease patients undergoing haemodialysis. Steady</w:t>
      </w:r>
      <w:r>
        <w:rPr>
          <w:b/>
          <w:bCs/>
          <w:i/>
          <w:iCs/>
        </w:rPr>
        <w:t xml:space="preserve"> </w:t>
      </w:r>
      <w:r w:rsidRPr="00AD2A93">
        <w:rPr>
          <w:b/>
          <w:bCs/>
          <w:i/>
          <w:iCs/>
        </w:rPr>
        <w:t>state was reached after the second administered dosage and the mean accumulation ratio was up to 1.6.</w:t>
      </w:r>
    </w:p>
    <w:p w14:paraId="4A0EA64F" w14:textId="6A4DC39F" w:rsidR="00AD2A93" w:rsidRPr="00AD2A93" w:rsidRDefault="00AD2A93" w:rsidP="00AD2A93">
      <w:r w:rsidRPr="00AD2A93">
        <w:t>The ACM recommended replacement of the ‘Linearity/non-linearity’ heading with ‘Dose proportionality’.</w:t>
      </w:r>
    </w:p>
    <w:p w14:paraId="2F0F074E" w14:textId="77777777" w:rsidR="00AD2A93" w:rsidRPr="00AD2A93" w:rsidRDefault="00AD2A93" w:rsidP="00AD2A93">
      <w:r w:rsidRPr="00AD2A93">
        <w:t>Based on available evidence, there is no indication that factors such as age, sex, ethnicity, or mild to moderate hepatic impairment have any impact on the pharmacokinetics of difelikefalin. However, the ACM considered that data from a single subject with moderate hepatic impairment is not justified for inclusion in the PI. The ACM recommended a comment stating ‘not examined in this population’ would be more appropriate.</w:t>
      </w:r>
    </w:p>
    <w:p w14:paraId="6E9816AC" w14:textId="7EBF5A75" w:rsidR="00AD2A93" w:rsidRPr="00AD2A93" w:rsidRDefault="00AD2A93" w:rsidP="00AD2A93">
      <w:r w:rsidRPr="00AD2A93">
        <w:t xml:space="preserve">The ACM considered that concurrent administration of medicinal products such as sedating antihistamines, opioid analgesics, or other </w:t>
      </w:r>
      <w:r>
        <w:t>central nervous system (</w:t>
      </w:r>
      <w:r w:rsidRPr="00D12774">
        <w:t>CNS</w:t>
      </w:r>
      <w:r>
        <w:t xml:space="preserve">) </w:t>
      </w:r>
      <w:r w:rsidRPr="00AD2A93">
        <w:t>depressants (</w:t>
      </w:r>
      <w:r>
        <w:t>for example</w:t>
      </w:r>
      <w:r w:rsidRPr="00AD2A93">
        <w:t xml:space="preserve">, clonidine, ondansetron, gabapentin, pregabalin, zolpidem, alprazolam, sertraline, trazodone) may increase the likelihood of dizziness and somnolence (see </w:t>
      </w:r>
      <w:r w:rsidR="00FE0067">
        <w:t>S</w:t>
      </w:r>
      <w:r w:rsidRPr="00AD2A93">
        <w:t>ections 4.4 Special Warnings and Precautions for Use and 4.8 Undesirable Effects (Adverse Effects)</w:t>
      </w:r>
      <w:r w:rsidR="00FE0067">
        <w:t xml:space="preserve"> [of the PI]</w:t>
      </w:r>
      <w:r w:rsidRPr="00AD2A93">
        <w:t>) had been satisfactorily addressed.</w:t>
      </w:r>
    </w:p>
    <w:p w14:paraId="5BAAAE6E" w14:textId="1F110A83" w:rsidR="00AD2A93" w:rsidRPr="00E81FD4" w:rsidRDefault="00AD2A93" w:rsidP="00AD2A93">
      <w:pPr>
        <w:pStyle w:val="Numberbullet0"/>
        <w:numPr>
          <w:ilvl w:val="0"/>
          <w:numId w:val="0"/>
        </w:numPr>
        <w:ind w:left="425"/>
        <w:rPr>
          <w:b/>
          <w:i/>
        </w:rPr>
      </w:pPr>
      <w:r w:rsidRPr="00E81FD4">
        <w:rPr>
          <w:b/>
          <w:i/>
        </w:rPr>
        <w:t>Regarding the draft PI, the Delegate would support the clinical evaluations recommendation on the hepatic issue statement</w:t>
      </w:r>
    </w:p>
    <w:p w14:paraId="3DF2AC2B" w14:textId="4A272595" w:rsidR="00AD2A93" w:rsidRPr="00E81FD4" w:rsidRDefault="00AD2A93" w:rsidP="00AD2A93">
      <w:pPr>
        <w:ind w:left="425"/>
        <w:rPr>
          <w:b/>
        </w:rPr>
      </w:pPr>
      <w:r w:rsidRPr="00E81FD4">
        <w:rPr>
          <w:b/>
          <w:i/>
          <w:iCs/>
        </w:rPr>
        <w:t>No dose adjustment is required for patients with mild hepatic impairment. Clinical data following IV dosing in patients with moderate hepatic impairment is currently limited and therefore, difelikefalin treatment should be used with caution in this population group. In addition, Korsuva has not been studied in subjects with severe hepatic impairment and is therefore, not recommended for use in this patient population</w:t>
      </w:r>
      <w:r w:rsidR="00D12774" w:rsidRPr="00E81FD4">
        <w:rPr>
          <w:b/>
        </w:rPr>
        <w:t>.</w:t>
      </w:r>
    </w:p>
    <w:p w14:paraId="21C3D147" w14:textId="0D520670" w:rsidR="00AD2A93" w:rsidRPr="00AD2A93" w:rsidRDefault="00AD2A93" w:rsidP="00AD2A93">
      <w:r>
        <w:t xml:space="preserve">The ACM were supportive of the clinical evaluations proposed statement regarding hepatic impairment but considered </w:t>
      </w:r>
      <w:r w:rsidRPr="00A8157A">
        <w:t>additional words (underlined</w:t>
      </w:r>
      <w:r>
        <w:t>) be included to further clarify the currently available data: ‘</w:t>
      </w:r>
      <w:r>
        <w:rPr>
          <w:i/>
          <w:iCs/>
        </w:rPr>
        <w:t>C</w:t>
      </w:r>
      <w:r w:rsidRPr="004A5C78">
        <w:rPr>
          <w:i/>
          <w:iCs/>
        </w:rPr>
        <w:t xml:space="preserve">linical data following IV dosing in patients with moderate hepatic impairment is currently limited. The influence of severe hepatic impairment </w:t>
      </w:r>
      <w:r w:rsidRPr="00E81FD4">
        <w:rPr>
          <w:i/>
          <w:iCs/>
        </w:rPr>
        <w:t xml:space="preserve">on the </w:t>
      </w:r>
      <w:r w:rsidRPr="00E81FD4">
        <w:rPr>
          <w:i/>
          <w:iCs/>
        </w:rPr>
        <w:lastRenderedPageBreak/>
        <w:t>pharmacokinetics of difelikefalin in HD patients has not been evaluated</w:t>
      </w:r>
      <w:r w:rsidRPr="00FE0067">
        <w:rPr>
          <w:i/>
          <w:iCs/>
        </w:rPr>
        <w:t>;</w:t>
      </w:r>
      <w:r w:rsidRPr="004A5C78">
        <w:rPr>
          <w:i/>
          <w:iCs/>
        </w:rPr>
        <w:t xml:space="preserve"> therefore, use in this population is not recommended</w:t>
      </w:r>
      <w:r>
        <w:rPr>
          <w:i/>
          <w:iCs/>
        </w:rPr>
        <w:t>’.</w:t>
      </w:r>
    </w:p>
    <w:p w14:paraId="70405A98" w14:textId="102FA2B7" w:rsidR="00AD2A93" w:rsidRDefault="00AD2A93" w:rsidP="00AD2A93">
      <w:r w:rsidRPr="00AD2A93">
        <w:t xml:space="preserve">The majority of end stage renal </w:t>
      </w:r>
      <w:r w:rsidRPr="00D12774">
        <w:t>failure (ESRF)</w:t>
      </w:r>
      <w:r w:rsidRPr="00AD2A93">
        <w:t xml:space="preserve"> patients have a degree of functional</w:t>
      </w:r>
      <w:r>
        <w:t xml:space="preserve"> </w:t>
      </w:r>
      <w:r w:rsidRPr="00AD2A93">
        <w:t>hepatic</w:t>
      </w:r>
      <w:r>
        <w:t xml:space="preserve"> </w:t>
      </w:r>
      <w:r w:rsidRPr="00AD2A93">
        <w:t>impairment</w:t>
      </w:r>
      <w:r>
        <w:t xml:space="preserve"> </w:t>
      </w:r>
      <w:r w:rsidRPr="00AD2A93">
        <w:t>affecting drug clearance with reversibility post-dialysis. Given that difelikefalin is largely excreted without being metabolised, mild to moderate hepatic impairment is not likely to represent a significant clinical risk. The ACM considered that the main perceivable risk would be the cumulative potential sedative effects in patients at risk of hepatic encephalopathy. In the absence of clinical data, including a precaution against use in severe hepatic impairment is considered appropriate </w:t>
      </w:r>
      <w:proofErr w:type="gramStart"/>
      <w:r w:rsidRPr="00AD2A93">
        <w:t>and also</w:t>
      </w:r>
      <w:proofErr w:type="gramEnd"/>
      <w:r w:rsidRPr="00AD2A93">
        <w:t xml:space="preserve"> consistent with US PI.</w:t>
      </w:r>
    </w:p>
    <w:p w14:paraId="6FE07632" w14:textId="23ED88E6" w:rsidR="00AD2A93" w:rsidRPr="008D3701" w:rsidRDefault="00AD2A93" w:rsidP="00AD2A93">
      <w:pPr>
        <w:pStyle w:val="Numberbullet0"/>
        <w:numPr>
          <w:ilvl w:val="0"/>
          <w:numId w:val="0"/>
        </w:numPr>
        <w:ind w:left="360"/>
        <w:rPr>
          <w:b/>
          <w:i/>
        </w:rPr>
      </w:pPr>
      <w:r w:rsidRPr="008D3701">
        <w:rPr>
          <w:b/>
          <w:i/>
        </w:rPr>
        <w:t xml:space="preserve">The </w:t>
      </w:r>
      <w:r>
        <w:rPr>
          <w:b/>
          <w:i/>
        </w:rPr>
        <w:t>D</w:t>
      </w:r>
      <w:r w:rsidRPr="008D3701">
        <w:rPr>
          <w:b/>
          <w:i/>
        </w:rPr>
        <w:t xml:space="preserve">elegate has suggested that apart from the </w:t>
      </w:r>
      <w:r>
        <w:rPr>
          <w:b/>
          <w:i/>
        </w:rPr>
        <w:t>s</w:t>
      </w:r>
      <w:r w:rsidRPr="008D3701">
        <w:rPr>
          <w:b/>
          <w:i/>
        </w:rPr>
        <w:t>ponsor’s proposal, to include the information regarding use in patients with hepatic impairment under the Dose and Method of Administration Section, the information ought to be put in the Precaution Section as well for completeness.</w:t>
      </w:r>
    </w:p>
    <w:p w14:paraId="11235B78" w14:textId="77777777" w:rsidR="00AD2A93" w:rsidRPr="003D2788" w:rsidRDefault="00AD2A93" w:rsidP="00AD2A93">
      <w:r>
        <w:t>The ACM a</w:t>
      </w:r>
      <w:r w:rsidRPr="003D2788">
        <w:t>gree</w:t>
      </w:r>
      <w:r>
        <w:t>d that this</w:t>
      </w:r>
      <w:r w:rsidRPr="003D2788">
        <w:t xml:space="preserve"> would be sensible</w:t>
      </w:r>
      <w:r>
        <w:t xml:space="preserve"> and did not see an issue if this statement was included twice in the PI.</w:t>
      </w:r>
    </w:p>
    <w:p w14:paraId="1478D573" w14:textId="77777777" w:rsidR="00AD2A93" w:rsidRPr="003D710B" w:rsidRDefault="00AD2A93" w:rsidP="00AD2A93">
      <w:pPr>
        <w:pStyle w:val="Numberbullet0"/>
        <w:numPr>
          <w:ilvl w:val="0"/>
          <w:numId w:val="0"/>
        </w:numPr>
        <w:ind w:left="425"/>
        <w:rPr>
          <w:b/>
          <w:i/>
        </w:rPr>
      </w:pPr>
      <w:r w:rsidRPr="003D710B">
        <w:rPr>
          <w:b/>
          <w:i/>
        </w:rPr>
        <w:t xml:space="preserve">On pharmacokinetics </w:t>
      </w:r>
      <w:r>
        <w:rPr>
          <w:b/>
          <w:i/>
        </w:rPr>
        <w:t>D</w:t>
      </w:r>
      <w:r w:rsidRPr="003D710B">
        <w:rPr>
          <w:b/>
          <w:i/>
        </w:rPr>
        <w:t>elegate suggests the following statement for the PI:</w:t>
      </w:r>
    </w:p>
    <w:p w14:paraId="7AA161DC" w14:textId="2117A4F9" w:rsidR="00AD2A93" w:rsidRPr="00AD2A93" w:rsidRDefault="00AD2A93" w:rsidP="5C4B9108">
      <w:pPr>
        <w:ind w:left="425"/>
        <w:rPr>
          <w:i/>
          <w:iCs/>
        </w:rPr>
      </w:pPr>
      <w:r w:rsidRPr="5C4B9108">
        <w:rPr>
          <w:b/>
          <w:bCs/>
          <w:i/>
          <w:iCs/>
        </w:rPr>
        <w:t xml:space="preserve">While the pharmacokinetics of intravenous difelikefalin appear to be dose proportional over a single and multiple dosage range of 0.5 to 2.5 </w:t>
      </w:r>
      <w:r w:rsidR="00A33AB5" w:rsidRPr="5C4B9108">
        <w:rPr>
          <w:b/>
          <w:bCs/>
          <w:i/>
          <w:iCs/>
        </w:rPr>
        <w:t>µ</w:t>
      </w:r>
      <w:r w:rsidR="00D12774" w:rsidRPr="5C4B9108">
        <w:rPr>
          <w:b/>
          <w:bCs/>
          <w:i/>
          <w:iCs/>
        </w:rPr>
        <w:t>g</w:t>
      </w:r>
      <w:r w:rsidRPr="5C4B9108">
        <w:rPr>
          <w:b/>
          <w:bCs/>
          <w:i/>
          <w:iCs/>
        </w:rPr>
        <w:t>/kg (1 to 5 times the recommended dosage) in chronic kidney disease patients undergoing HD, the latter does not refer to all the PK parameters, such as C</w:t>
      </w:r>
      <w:r w:rsidRPr="5C4B9108">
        <w:rPr>
          <w:b/>
          <w:bCs/>
          <w:i/>
          <w:iCs/>
          <w:vertAlign w:val="subscript"/>
        </w:rPr>
        <w:t>max</w:t>
      </w:r>
      <w:r w:rsidRPr="5C4B9108">
        <w:rPr>
          <w:b/>
          <w:bCs/>
          <w:i/>
          <w:iCs/>
        </w:rPr>
        <w:t>. Steady state was reached after the second administered dosage and the mean accumulation ratio was up to 1.6. The latter appears to be a ratio factor of the loading dose (LD) to the maintenance dose (MD).</w:t>
      </w:r>
    </w:p>
    <w:p w14:paraId="1C3420E5" w14:textId="77777777" w:rsidR="00AD2A93" w:rsidRPr="003D710B" w:rsidRDefault="00AD2A93" w:rsidP="00AD2A93">
      <w:r>
        <w:t>The ACM noted that f</w:t>
      </w:r>
      <w:r w:rsidRPr="003D710B">
        <w:t>or an IV administration, C</w:t>
      </w:r>
      <w:r w:rsidRPr="00AD2A93">
        <w:rPr>
          <w:vertAlign w:val="subscript"/>
        </w:rPr>
        <w:t>max</w:t>
      </w:r>
      <w:r w:rsidRPr="003D710B">
        <w:t xml:space="preserve"> dose proportionality has less relevance </w:t>
      </w:r>
      <w:r>
        <w:t xml:space="preserve">as </w:t>
      </w:r>
      <w:r w:rsidRPr="003D710B">
        <w:t xml:space="preserve">assessing </w:t>
      </w:r>
      <w:r>
        <w:t xml:space="preserve">the </w:t>
      </w:r>
      <w:r w:rsidRPr="003D710B">
        <w:t>dose proportionality of C</w:t>
      </w:r>
      <w:r w:rsidRPr="00AD2A93">
        <w:rPr>
          <w:vertAlign w:val="subscript"/>
        </w:rPr>
        <w:t>max</w:t>
      </w:r>
      <w:r w:rsidRPr="003D710B">
        <w:t xml:space="preserve"> is primarily to assess for linearity/saturability of absorption</w:t>
      </w:r>
      <w:r>
        <w:t xml:space="preserve">. </w:t>
      </w:r>
      <w:r w:rsidRPr="003D710B">
        <w:t>The apparent less than dose proportionality for C</w:t>
      </w:r>
      <w:r w:rsidRPr="00AD2A93">
        <w:rPr>
          <w:vertAlign w:val="subscript"/>
        </w:rPr>
        <w:t>max</w:t>
      </w:r>
      <w:r w:rsidRPr="003D710B">
        <w:t>, specific to the HD population study, is noted but given the more relevant AUC is dose proportional, it is reasonable to claim dose proportionality is present without qualification.</w:t>
      </w:r>
    </w:p>
    <w:p w14:paraId="60DCE599" w14:textId="77777777" w:rsidR="00FB39D0" w:rsidRDefault="00AD2A93" w:rsidP="00AD2A93">
      <w:r>
        <w:t>The ACM further noted that d</w:t>
      </w:r>
      <w:r w:rsidRPr="003D710B">
        <w:t>ose accumulation is not unexpected given the dosing interval (every 2</w:t>
      </w:r>
      <w:r>
        <w:t xml:space="preserve"> to </w:t>
      </w:r>
      <w:r w:rsidRPr="003D710B">
        <w:t>4 days) and half</w:t>
      </w:r>
      <w:r>
        <w:t>-</w:t>
      </w:r>
      <w:r w:rsidRPr="003D710B">
        <w:t>life (38 hours in ESRF, outside of dialysis) for some individuals</w:t>
      </w:r>
      <w:r>
        <w:t>, g</w:t>
      </w:r>
      <w:r w:rsidRPr="003D710B">
        <w:t>iven 70</w:t>
      </w:r>
      <w:r>
        <w:t xml:space="preserve"> to </w:t>
      </w:r>
      <w:r w:rsidRPr="003D710B">
        <w:t xml:space="preserve">80% of </w:t>
      </w:r>
      <w:r>
        <w:t xml:space="preserve">the </w:t>
      </w:r>
      <w:r w:rsidRPr="003D710B">
        <w:t xml:space="preserve">remaining concentration is cleared by dialysis and otherwise approaching </w:t>
      </w:r>
      <w:r>
        <w:t xml:space="preserve">approximately </w:t>
      </w:r>
      <w:r w:rsidRPr="003D710B">
        <w:t>4 half</w:t>
      </w:r>
      <w:r>
        <w:t>-</w:t>
      </w:r>
      <w:r w:rsidRPr="003D710B">
        <w:t xml:space="preserve">lives </w:t>
      </w:r>
      <w:r>
        <w:t>(</w:t>
      </w:r>
      <w:r w:rsidRPr="003D710B">
        <w:t>non-dialysis half-lives</w:t>
      </w:r>
      <w:r>
        <w:t>)</w:t>
      </w:r>
      <w:r w:rsidRPr="003D710B">
        <w:t>, the observation of steady</w:t>
      </w:r>
      <w:r>
        <w:t xml:space="preserve"> </w:t>
      </w:r>
      <w:r w:rsidRPr="003D710B">
        <w:t>state like condition after 2 dialysis sessions is also expected. The clinically relevant parameters for drugs with dose accumulation are time to steady state (monitoring period) and maximum potential dose accumulation (probability of delayed adverse events). From the Japanese HD study 1.6 was the maximum observed accumulation ratio.</w:t>
      </w:r>
      <w:r>
        <w:t xml:space="preserve"> </w:t>
      </w:r>
      <w:r w:rsidRPr="003D710B">
        <w:t>The comment regarding </w:t>
      </w:r>
      <w:r>
        <w:t>low dose/mid dose</w:t>
      </w:r>
      <w:r w:rsidRPr="003D710B">
        <w:t xml:space="preserve"> ratios is not pharmacologically or clinically meaningful as this is an apparent observation of a multi-dose escalation study in health</w:t>
      </w:r>
      <w:r>
        <w:t>y</w:t>
      </w:r>
      <w:r w:rsidRPr="003D710B">
        <w:t xml:space="preserve"> individuals assessing maximum dose tolerance, not dose accumulation with the recommended dosing schedule</w:t>
      </w:r>
      <w:r w:rsidR="00FB39D0">
        <w:t>.</w:t>
      </w:r>
    </w:p>
    <w:p w14:paraId="7AAA1463" w14:textId="596FCEAE" w:rsidR="00AD2A93" w:rsidRPr="005A3992" w:rsidRDefault="00AD2A93" w:rsidP="00AD2A93">
      <w:pPr>
        <w:pStyle w:val="Numberbullet0"/>
        <w:numPr>
          <w:ilvl w:val="0"/>
          <w:numId w:val="0"/>
        </w:numPr>
      </w:pPr>
      <w:r w:rsidRPr="00354F51">
        <w:rPr>
          <w:bCs/>
          <w:iCs/>
        </w:rPr>
        <w:t xml:space="preserve">The ACM therefore recommended the following wording: </w:t>
      </w:r>
      <w:r w:rsidRPr="00354F51">
        <w:rPr>
          <w:i/>
          <w:iCs/>
        </w:rPr>
        <w:t xml:space="preserve">The pharmacokinetics of intravenous difelikefalin in chronic kidney disease patients undergoing HD appear to be dose proportional over a single and multiple dosage range of 0.5 to 2.5 </w:t>
      </w:r>
      <w:r w:rsidR="00A33AB5" w:rsidRPr="00354F51">
        <w:rPr>
          <w:i/>
          <w:iCs/>
        </w:rPr>
        <w:t>µ</w:t>
      </w:r>
      <w:r w:rsidR="00D12774" w:rsidRPr="00354F51">
        <w:rPr>
          <w:i/>
          <w:iCs/>
        </w:rPr>
        <w:t>g</w:t>
      </w:r>
      <w:r w:rsidRPr="00354F51">
        <w:rPr>
          <w:i/>
          <w:iCs/>
        </w:rPr>
        <w:t xml:space="preserve">/kg (1 to 5 times the recommended dosage). Steady state was observed after the second administered dosage and the mean accumulation ratio was up to 1.6. </w:t>
      </w:r>
      <w:r w:rsidRPr="00354F51">
        <w:t>The ACM was comfortable that this provided enough advice for the treating physician.</w:t>
      </w:r>
    </w:p>
    <w:p w14:paraId="69DD185E" w14:textId="77777777" w:rsidR="00AD2A93" w:rsidRPr="003D2788" w:rsidRDefault="00AD2A93" w:rsidP="00AD2A93">
      <w:pPr>
        <w:pStyle w:val="Numberbullet0"/>
        <w:spacing w:after="120"/>
        <w:ind w:left="425" w:hanging="425"/>
        <w:rPr>
          <w:b/>
          <w:i/>
        </w:rPr>
      </w:pPr>
      <w:r w:rsidRPr="003D2788">
        <w:rPr>
          <w:b/>
          <w:bCs/>
          <w:i/>
        </w:rPr>
        <w:t>Any other advice from expert that does not fit under the specific questions, including proposed changes to the PI and CMI.</w:t>
      </w:r>
    </w:p>
    <w:p w14:paraId="61FCB878" w14:textId="29099E4A" w:rsidR="00AD2A93" w:rsidRDefault="00AD2A93" w:rsidP="00AD2A93">
      <w:r>
        <w:lastRenderedPageBreak/>
        <w:t>The ACM noted that there is a h</w:t>
      </w:r>
      <w:r w:rsidRPr="003D2788">
        <w:t xml:space="preserve">igh clinical need </w:t>
      </w:r>
      <w:r>
        <w:t>in these patients.</w:t>
      </w:r>
    </w:p>
    <w:p w14:paraId="373DCA22" w14:textId="77777777" w:rsidR="00AD2A93" w:rsidRPr="003D2788" w:rsidRDefault="00AD2A93" w:rsidP="00AD2A93">
      <w:r>
        <w:t xml:space="preserve">The ACM noted that it may be beneficial for the sponsor to provide education regarding the use of </w:t>
      </w:r>
      <w:r w:rsidRPr="00E169E7">
        <w:t>difelikefalin</w:t>
      </w:r>
      <w:r>
        <w:t xml:space="preserve"> in the hospital setting. The ACM advised the PI should clearly state </w:t>
      </w:r>
      <w:r w:rsidRPr="00E169E7">
        <w:t>difelikefalin</w:t>
      </w:r>
      <w:r>
        <w:t xml:space="preserve"> is to be used only for the approved indication as off-label use may not be appropriate due to the complex nature of the drug.</w:t>
      </w:r>
    </w:p>
    <w:p w14:paraId="58803B77" w14:textId="2A1ACC6D" w:rsidR="00AD2A93" w:rsidRPr="003D710B" w:rsidRDefault="00AD2A93" w:rsidP="00AD2A93">
      <w:r>
        <w:t xml:space="preserve">The ACM recommended that the text proposed by the sponsor in the draft </w:t>
      </w:r>
      <w:r w:rsidRPr="00E169E7">
        <w:t xml:space="preserve">PI </w:t>
      </w:r>
      <w:r>
        <w:t xml:space="preserve">regarding the </w:t>
      </w:r>
      <w:r w:rsidRPr="00E169E7">
        <w:t xml:space="preserve">abuse/dependence potential </w:t>
      </w:r>
      <w:r>
        <w:t xml:space="preserve">for </w:t>
      </w:r>
      <w:r w:rsidRPr="00E169E7">
        <w:t>difelikefalin</w:t>
      </w:r>
      <w:r>
        <w:t xml:space="preserve"> ‘</w:t>
      </w:r>
      <w:r w:rsidRPr="00BA26FF">
        <w:rPr>
          <w:i/>
          <w:iCs/>
        </w:rPr>
        <w:t>The abuse and dependence potential studies in the rat suggest that difelikefalin is not likely to present a risk of physical dependence or abuse potential clinically’</w:t>
      </w:r>
      <w:r>
        <w:t xml:space="preserve"> either be </w:t>
      </w:r>
      <w:r w:rsidRPr="00E169E7">
        <w:t>omi</w:t>
      </w:r>
      <w:r>
        <w:t>t</w:t>
      </w:r>
      <w:r w:rsidRPr="00E169E7">
        <w:t>t</w:t>
      </w:r>
      <w:r>
        <w:t xml:space="preserve">ed </w:t>
      </w:r>
      <w:r w:rsidRPr="00E169E7">
        <w:t>or replace</w:t>
      </w:r>
      <w:r>
        <w:t>d</w:t>
      </w:r>
      <w:r w:rsidRPr="00E169E7">
        <w:t xml:space="preserve"> with </w:t>
      </w:r>
      <w:r>
        <w:t>‘</w:t>
      </w:r>
      <w:r w:rsidRPr="00BA26FF">
        <w:rPr>
          <w:i/>
          <w:iCs/>
        </w:rPr>
        <w:t>Abuse and dependence potential has only been examined in rat studies, which do not indicate likely potential for physical dependence or abuse in rats</w:t>
      </w:r>
      <w:r w:rsidRPr="00E169E7">
        <w:t>.</w:t>
      </w:r>
      <w:r>
        <w:t xml:space="preserve">’ It needs to be clearly spelt out that this has only been examined in rat studies which </w:t>
      </w:r>
      <w:r w:rsidRPr="003D710B">
        <w:t>do not sufficien</w:t>
      </w:r>
      <w:r>
        <w:t>tly</w:t>
      </w:r>
      <w:r w:rsidRPr="003D710B">
        <w:t xml:space="preserve"> </w:t>
      </w:r>
      <w:r w:rsidRPr="00122EDC">
        <w:t>describe the full range of human drug</w:t>
      </w:r>
      <w:r>
        <w:t xml:space="preserve"> </w:t>
      </w:r>
      <w:r w:rsidRPr="00122EDC">
        <w:t xml:space="preserve">seeking behaviours and although there may not be concerns in the proposed patient population, such claims should be avoided. The PI should reflect objective facts </w:t>
      </w:r>
      <w:r>
        <w:t>for example,</w:t>
      </w:r>
      <w:r w:rsidRPr="00122EDC">
        <w:t xml:space="preserve"> limited CNS exposure and a description of the degree of observed CNS effects</w:t>
      </w:r>
      <w:r>
        <w:t xml:space="preserve"> such as hallucinations</w:t>
      </w:r>
      <w:r w:rsidRPr="00122EDC">
        <w:t>. </w:t>
      </w:r>
      <w:r>
        <w:t>l</w:t>
      </w:r>
      <w:r w:rsidRPr="00122EDC">
        <w:t>ow CNS penetration and claimed lack of euphoria are not barriers to know</w:t>
      </w:r>
      <w:r>
        <w:t>n</w:t>
      </w:r>
      <w:r w:rsidRPr="00122EDC">
        <w:t xml:space="preserve"> wide</w:t>
      </w:r>
      <w:r>
        <w:t>-</w:t>
      </w:r>
      <w:r w:rsidRPr="00122EDC">
        <w:t>spread abuse of opioids/gabapentinoids that have similarly been subject to claims of low dependency potential</w:t>
      </w:r>
      <w:r>
        <w:t>.</w:t>
      </w:r>
    </w:p>
    <w:p w14:paraId="4A761826" w14:textId="0126017A" w:rsidR="00AD2A93" w:rsidRPr="00122EDC" w:rsidRDefault="00AD2A93" w:rsidP="00AD2A93">
      <w:r>
        <w:t>The ACM discussed the</w:t>
      </w:r>
      <w:r w:rsidRPr="008D3701">
        <w:t xml:space="preserve"> </w:t>
      </w:r>
      <w:r>
        <w:t>D</w:t>
      </w:r>
      <w:r w:rsidRPr="008D3701">
        <w:t>elegate</w:t>
      </w:r>
      <w:r>
        <w:t>’s</w:t>
      </w:r>
      <w:r w:rsidRPr="008D3701">
        <w:t xml:space="preserve"> note that the observed </w:t>
      </w:r>
      <w:r>
        <w:t>d</w:t>
      </w:r>
      <w:r w:rsidRPr="008D3701">
        <w:t xml:space="preserve">ifelikefalin associated hyperprolactinaemia </w:t>
      </w:r>
      <w:r>
        <w:t xml:space="preserve">be </w:t>
      </w:r>
      <w:r w:rsidRPr="008D3701">
        <w:t>mention</w:t>
      </w:r>
      <w:r>
        <w:t>ed</w:t>
      </w:r>
      <w:r w:rsidRPr="008D3701">
        <w:t xml:space="preserve"> in the draft PI.</w:t>
      </w:r>
      <w:r>
        <w:t xml:space="preserve"> </w:t>
      </w:r>
      <w:r w:rsidRPr="00122EDC">
        <w:t>The ACM noted that hyperprolactinaemia is present in the vast majority of ESRF patients without evidence that it has a clinical meaningful impact </w:t>
      </w:r>
      <w:r>
        <w:t>that is,</w:t>
      </w:r>
      <w:r w:rsidRPr="00122EDC">
        <w:t xml:space="preserve"> does not appear to cause adverse events such as galactorrhoea or amenorrhoea. Measuring/monitoring would not be beneficial in this population. The ACM recommended that if it is mentioned in the PI, hyperprolactinaemia should be clearly qualified </w:t>
      </w:r>
      <w:r>
        <w:t>for example</w:t>
      </w:r>
      <w:r w:rsidRPr="00122EDC">
        <w:t xml:space="preserve"> </w:t>
      </w:r>
      <w:r w:rsidRPr="00122EDC">
        <w:rPr>
          <w:i/>
          <w:iCs/>
        </w:rPr>
        <w:t>‘non clinically significant hyperprolactinaemia…’</w:t>
      </w:r>
      <w:r w:rsidRPr="00122EDC">
        <w:t xml:space="preserve"> so that unnecessary testing </w:t>
      </w:r>
      <w:r>
        <w:t>for example,</w:t>
      </w:r>
      <w:r w:rsidRPr="00122EDC">
        <w:t xml:space="preserve"> brain </w:t>
      </w:r>
      <w:r>
        <w:t>m</w:t>
      </w:r>
      <w:r w:rsidRPr="00AD2A93">
        <w:t>agnetic resonance imaging</w:t>
      </w:r>
      <w:r>
        <w:t xml:space="preserve"> </w:t>
      </w:r>
      <w:r w:rsidRPr="00122EDC">
        <w:t>etc</w:t>
      </w:r>
      <w:r>
        <w:t>etera</w:t>
      </w:r>
      <w:r w:rsidRPr="00122EDC">
        <w:t xml:space="preserve"> are not conducted.</w:t>
      </w:r>
    </w:p>
    <w:p w14:paraId="2F89546E" w14:textId="5F71EA84" w:rsidR="00AD2A93" w:rsidRPr="003D2788" w:rsidRDefault="00AD2A93" w:rsidP="00AD2A93">
      <w:r w:rsidRPr="00122EDC">
        <w:t>The ACM noted that the breastfeeding</w:t>
      </w:r>
      <w:r w:rsidRPr="003D2788">
        <w:t xml:space="preserve"> advice is vague</w:t>
      </w:r>
      <w:r>
        <w:t xml:space="preserve"> in the draft PI as it currently </w:t>
      </w:r>
      <w:proofErr w:type="gramStart"/>
      <w:r>
        <w:t>states</w:t>
      </w:r>
      <w:proofErr w:type="gramEnd"/>
      <w:r>
        <w:t xml:space="preserve"> ‘</w:t>
      </w:r>
      <w:r w:rsidRPr="005A3992">
        <w:rPr>
          <w:i/>
          <w:iCs/>
        </w:rPr>
        <w:t>cease or abstain</w:t>
      </w:r>
      <w:r>
        <w:t>’</w:t>
      </w:r>
      <w:r w:rsidRPr="003D2788">
        <w:t xml:space="preserve">. </w:t>
      </w:r>
      <w:r>
        <w:t xml:space="preserve">The ACM recommended that if the advice is kept as </w:t>
      </w:r>
      <w:r w:rsidRPr="003D2788">
        <w:t>abstaining</w:t>
      </w:r>
      <w:r>
        <w:t xml:space="preserve">, this </w:t>
      </w:r>
      <w:r w:rsidRPr="003D2788">
        <w:t>might need more specific advice in terms of timelines</w:t>
      </w:r>
      <w:r>
        <w:t xml:space="preserve"> for abstaining.</w:t>
      </w:r>
      <w:r w:rsidRPr="003D2788">
        <w:t xml:space="preserve"> </w:t>
      </w:r>
      <w:r>
        <w:t>The Consumer Medicine Information states that ‘</w:t>
      </w:r>
      <w:r w:rsidRPr="00B45212">
        <w:rPr>
          <w:i/>
          <w:iCs/>
        </w:rPr>
        <w:t>not known if can pass into milk’</w:t>
      </w:r>
      <w:r>
        <w:t xml:space="preserve"> and advises patients </w:t>
      </w:r>
      <w:r w:rsidRPr="003D2788">
        <w:t xml:space="preserve">to talk to </w:t>
      </w:r>
      <w:r>
        <w:t xml:space="preserve">their </w:t>
      </w:r>
      <w:r w:rsidRPr="003D2788">
        <w:t xml:space="preserve">doctor. </w:t>
      </w:r>
      <w:r>
        <w:t>The ACM considered this inappropriate with the knowledge of the rat data and recommended this be amended and include a statement that excretion in breast milk is likely and patients should cease or abstain from breastfeeding.</w:t>
      </w:r>
    </w:p>
    <w:p w14:paraId="4278C5A5" w14:textId="77777777" w:rsidR="00AD2A93" w:rsidRPr="003D2788" w:rsidRDefault="00AD2A93" w:rsidP="00AD2A93">
      <w:r>
        <w:t>The ACM recommended that it should be highlighted and</w:t>
      </w:r>
      <w:r w:rsidRPr="003D2788">
        <w:t xml:space="preserve"> reiterate th</w:t>
      </w:r>
      <w:r>
        <w:t>at the</w:t>
      </w:r>
      <w:r w:rsidRPr="003D2788">
        <w:t xml:space="preserve"> medication must be discarded </w:t>
      </w:r>
      <w:r>
        <w:t xml:space="preserve">if incomplete dialysis occurs </w:t>
      </w:r>
      <w:r w:rsidRPr="003D2788">
        <w:t xml:space="preserve">as </w:t>
      </w:r>
      <w:r w:rsidRPr="008D3701">
        <w:t>difelikefalin</w:t>
      </w:r>
      <w:r>
        <w:t xml:space="preserve"> is </w:t>
      </w:r>
      <w:r w:rsidRPr="003D2788">
        <w:t xml:space="preserve">only stable for an hour </w:t>
      </w:r>
      <w:r>
        <w:t>after syringe preparation.</w:t>
      </w:r>
    </w:p>
    <w:p w14:paraId="2E4321EF" w14:textId="71EFC872" w:rsidR="00AD2A93" w:rsidRPr="00A8157A" w:rsidRDefault="00AD2A93" w:rsidP="00AD2A93">
      <w:r>
        <w:t>The ACM also recommended that the statement in the draft PI ‘</w:t>
      </w:r>
      <w:r w:rsidRPr="00C16F67">
        <w:rPr>
          <w:i/>
          <w:iCs/>
        </w:rPr>
        <w:t>Doctor or Nurse must administer’</w:t>
      </w:r>
      <w:r>
        <w:t xml:space="preserve"> should be changed to ‘</w:t>
      </w:r>
      <w:r w:rsidRPr="00C16F67">
        <w:rPr>
          <w:i/>
          <w:iCs/>
        </w:rPr>
        <w:t>under HCP supervision or care</w:t>
      </w:r>
      <w:r>
        <w:t xml:space="preserve">’ or similar, as many patients are well </w:t>
      </w:r>
      <w:r w:rsidRPr="00A8157A">
        <w:t>trained to do their own drug administration and dialysis and therefore this statement may disadvantage some patients, particularly those living in remote areas who do their own home</w:t>
      </w:r>
      <w:r>
        <w:t xml:space="preserve"> </w:t>
      </w:r>
      <w:r w:rsidRPr="00A8157A">
        <w:t xml:space="preserve">care with frequent </w:t>
      </w:r>
      <w:r>
        <w:t>healthcare professional (</w:t>
      </w:r>
      <w:r w:rsidRPr="00A8157A">
        <w:t>HCP</w:t>
      </w:r>
      <w:r>
        <w:t>)</w:t>
      </w:r>
      <w:r w:rsidRPr="00A8157A">
        <w:t xml:space="preserve"> check-ups.</w:t>
      </w:r>
    </w:p>
    <w:p w14:paraId="2B6C40F4" w14:textId="355317D6" w:rsidR="00AD2A93" w:rsidRDefault="00AD2A93" w:rsidP="00AD2A93">
      <w:pPr>
        <w:pStyle w:val="Heading6"/>
      </w:pPr>
      <w:r>
        <w:t>Add</w:t>
      </w:r>
      <w:r w:rsidR="00FE0067">
        <w:t>itional advice</w:t>
      </w:r>
    </w:p>
    <w:p w14:paraId="73048876" w14:textId="77777777" w:rsidR="00AD2A93" w:rsidRPr="00AD2A93" w:rsidRDefault="00AD2A93" w:rsidP="00AD2A93">
      <w:r w:rsidRPr="00AD2A93">
        <w:t>At ACM 35 (October 2022) the ACM considered whether newly emergent safety signals should be included in the difelikefalin (Korsuva) PI.</w:t>
      </w:r>
    </w:p>
    <w:p w14:paraId="0FF3FD13" w14:textId="77777777" w:rsidR="00AD2A93" w:rsidRPr="00AD2A93" w:rsidRDefault="00AD2A93" w:rsidP="00AD2A93">
      <w:r w:rsidRPr="00AD2A93">
        <w:t>The ACM considered the following documents:</w:t>
      </w:r>
    </w:p>
    <w:p w14:paraId="1E406C17" w14:textId="65FF4463" w:rsidR="00AD2A93" w:rsidRDefault="00AD2A93" w:rsidP="00AD2A93">
      <w:pPr>
        <w:pStyle w:val="ListBullet"/>
      </w:pPr>
      <w:r>
        <w:t xml:space="preserve">Delegate </w:t>
      </w:r>
      <w:r w:rsidR="00D12774">
        <w:t>R</w:t>
      </w:r>
      <w:r>
        <w:t>equest for Advice</w:t>
      </w:r>
    </w:p>
    <w:p w14:paraId="287F6BF3" w14:textId="65CB53BA" w:rsidR="00AD2A93" w:rsidRDefault="00AD2A93" w:rsidP="00AD2A93">
      <w:pPr>
        <w:pStyle w:val="ListBullet"/>
      </w:pPr>
      <w:r>
        <w:t>Sponsor’s response to Delegate’s request dated 19 September 2022</w:t>
      </w:r>
    </w:p>
    <w:p w14:paraId="3B5D0898" w14:textId="7AD5C77A" w:rsidR="00AD2A93" w:rsidRDefault="00AD2A93" w:rsidP="00AD2A93">
      <w:pPr>
        <w:pStyle w:val="ListBullet"/>
      </w:pPr>
      <w:r>
        <w:lastRenderedPageBreak/>
        <w:t>Module 1.0.3 Adverse reactions Update, Summary of Serious unexpected adverse drug reactions</w:t>
      </w:r>
    </w:p>
    <w:p w14:paraId="7B1F7559" w14:textId="2EF6F0EF" w:rsidR="00AD2A93" w:rsidRDefault="00AD2A93" w:rsidP="00AD2A93">
      <w:r>
        <w:t>The ACM discussed the safety data regarding</w:t>
      </w:r>
      <w:r w:rsidRPr="00AD2A93">
        <w:t xml:space="preserve"> </w:t>
      </w:r>
      <w:r>
        <w:t>d</w:t>
      </w:r>
      <w:r w:rsidRPr="00AD2A93">
        <w:t>rug r</w:t>
      </w:r>
      <w:r>
        <w:t>eaction</w:t>
      </w:r>
      <w:r w:rsidRPr="00AD2A93">
        <w:t xml:space="preserve"> with eosinophilia and systemic symptoms </w:t>
      </w:r>
      <w:r>
        <w:t>(</w:t>
      </w:r>
      <w:r w:rsidRPr="00D12774">
        <w:t>DRESS</w:t>
      </w:r>
      <w:r>
        <w:t xml:space="preserve">), cardiovascular disorders, </w:t>
      </w:r>
      <w:r w:rsidR="00E36472">
        <w:t>hallucination,</w:t>
      </w:r>
      <w:r>
        <w:t xml:space="preserve"> and failure to thrive.</w:t>
      </w:r>
    </w:p>
    <w:p w14:paraId="00E5D823" w14:textId="77777777" w:rsidR="00AD2A93" w:rsidRDefault="00AD2A93" w:rsidP="00AD2A93">
      <w:r>
        <w:t>The ACM noted that it is important to highlight emerging safety signals and was of the view that DRESS should be included in the PI. The ACM noted that this reaction may not have been present within the clinical trial due to its rare occurrence.</w:t>
      </w:r>
    </w:p>
    <w:p w14:paraId="0CA1737C" w14:textId="77777777" w:rsidR="00AD2A93" w:rsidRDefault="00AD2A93" w:rsidP="00AD2A93">
      <w:r>
        <w:t>The ACM suggested the following wording for the PI:</w:t>
      </w:r>
    </w:p>
    <w:p w14:paraId="28D81B70" w14:textId="77777777" w:rsidR="00AD2A93" w:rsidRPr="00E81FD4" w:rsidRDefault="00AD2A93" w:rsidP="00E81FD4">
      <w:pPr>
        <w:ind w:left="720"/>
        <w:rPr>
          <w:i/>
          <w:iCs/>
        </w:rPr>
      </w:pPr>
      <w:r w:rsidRPr="00E81FD4">
        <w:rPr>
          <w:i/>
          <w:iCs/>
        </w:rPr>
        <w:t>In patients receiving difelikefalin DRESS has been reported in only two individual case reports, and a causal relationship is yet to be established.</w:t>
      </w:r>
    </w:p>
    <w:p w14:paraId="05A1704B" w14:textId="5E3DA3D7" w:rsidR="00AD2A93" w:rsidRDefault="00AD2A93" w:rsidP="00AD2A93">
      <w:r>
        <w:t>The ACM was of the view that the inclusion of DRESS would not cause confusion among health care professionals but rather it would add value to the PI.</w:t>
      </w:r>
    </w:p>
    <w:p w14:paraId="4C5DB35D" w14:textId="408E5331" w:rsidR="00AD2A93" w:rsidRPr="00AD2A93" w:rsidRDefault="00AD2A93" w:rsidP="00AD2A93">
      <w:r>
        <w:t>The ACM advised that hallucinations and failure to thrive may not be included in the PI at this stage. These adverse effects are less serious than DRESS. It is plausible that Korsuva being a narcotic, could cause hallucination. The expression ‘failure to thrive’ is more commonly applied in paediatric, rather than adult medicine. The ACM also noted that ‘cardiovascular disorders’ is already included in the PI.</w:t>
      </w:r>
    </w:p>
    <w:p w14:paraId="5291EA2A" w14:textId="77777777" w:rsidR="00C22214" w:rsidRPr="00F73346" w:rsidRDefault="00C22214" w:rsidP="00C22214">
      <w:pPr>
        <w:pStyle w:val="Heading5"/>
      </w:pPr>
      <w:r w:rsidRPr="00F73346">
        <w:t>Conclusion</w:t>
      </w:r>
    </w:p>
    <w:p w14:paraId="2DACC293" w14:textId="77777777" w:rsidR="00AD2A93" w:rsidRDefault="00AD2A93" w:rsidP="00AD2A93">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57B145D0" w14:textId="0997A389" w:rsidR="00AD2A93" w:rsidRPr="008D3701" w:rsidRDefault="00AD2A93" w:rsidP="00AD2A93">
      <w:pPr>
        <w:numPr>
          <w:ilvl w:val="0"/>
          <w:numId w:val="10"/>
        </w:numPr>
      </w:pPr>
      <w:r w:rsidRPr="5C4B9108">
        <w:rPr>
          <w:i/>
          <w:iCs/>
        </w:rPr>
        <w:t>For the treatment of moderate-to-severe pruritus associated with chronic kidney disease in adult patients on haemodialysis</w:t>
      </w:r>
    </w:p>
    <w:p w14:paraId="46D0102F" w14:textId="77777777" w:rsidR="00AD2A93" w:rsidRPr="0050796E" w:rsidRDefault="00AD2A93" w:rsidP="00AD2A93">
      <w:pPr>
        <w:autoSpaceDE w:val="0"/>
        <w:autoSpaceDN w:val="0"/>
        <w:adjustRightInd w:val="0"/>
        <w:spacing w:after="0"/>
        <w:rPr>
          <w:bCs/>
        </w:rPr>
      </w:pPr>
      <w:bookmarkStart w:id="102" w:name="_Hlk110875189"/>
      <w:r w:rsidRPr="0050796E">
        <w:rPr>
          <w:bCs/>
        </w:rPr>
        <w:t>The ACM recommended amendments to the PI and CMI be made if approved.</w:t>
      </w:r>
    </w:p>
    <w:p w14:paraId="307F236C" w14:textId="77777777" w:rsidR="00C22214" w:rsidRPr="002E238E" w:rsidRDefault="00C22214" w:rsidP="00C22214">
      <w:pPr>
        <w:pStyle w:val="Heading2"/>
      </w:pPr>
      <w:bookmarkStart w:id="103" w:name="_Toc103679300"/>
      <w:bookmarkStart w:id="104" w:name="_Toc147404319"/>
      <w:bookmarkEnd w:id="102"/>
      <w:r>
        <w:t>Outcome</w:t>
      </w:r>
      <w:bookmarkEnd w:id="100"/>
      <w:bookmarkEnd w:id="101"/>
      <w:bookmarkEnd w:id="103"/>
      <w:bookmarkEnd w:id="104"/>
    </w:p>
    <w:p w14:paraId="069484F7" w14:textId="36F09106" w:rsidR="00AD2A93" w:rsidRDefault="00C22214" w:rsidP="00AD2A93">
      <w:pPr>
        <w:rPr>
          <w:szCs w:val="22"/>
        </w:rPr>
      </w:pPr>
      <w:r w:rsidRPr="00BD5DBD">
        <w:rPr>
          <w:szCs w:val="22"/>
        </w:rPr>
        <w:t xml:space="preserve">Based on a review of quality, safety, and efficacy, the TGA approved the registration of </w:t>
      </w:r>
      <w:r w:rsidR="00AD2A93">
        <w:rPr>
          <w:szCs w:val="22"/>
        </w:rPr>
        <w:t xml:space="preserve">Korsuva </w:t>
      </w:r>
      <w:r w:rsidR="00AD2A93" w:rsidRPr="00BD5DBD">
        <w:rPr>
          <w:szCs w:val="22"/>
        </w:rPr>
        <w:t>(</w:t>
      </w:r>
      <w:r w:rsidR="00AD2A93">
        <w:rPr>
          <w:szCs w:val="22"/>
        </w:rPr>
        <w:t>difelikefalin</w:t>
      </w:r>
      <w:r w:rsidR="00AD2A93" w:rsidRPr="00BD5DBD">
        <w:rPr>
          <w:szCs w:val="22"/>
        </w:rPr>
        <w:t xml:space="preserve">) </w:t>
      </w:r>
      <w:r w:rsidR="00AD2A93">
        <w:rPr>
          <w:szCs w:val="22"/>
        </w:rPr>
        <w:t xml:space="preserve">50 </w:t>
      </w:r>
      <w:r w:rsidR="00A33AB5">
        <w:rPr>
          <w:szCs w:val="22"/>
        </w:rPr>
        <w:t>µ</w:t>
      </w:r>
      <w:r w:rsidR="00AD2A93">
        <w:rPr>
          <w:szCs w:val="22"/>
        </w:rPr>
        <w:t>g/mL, solution for injection vial,</w:t>
      </w:r>
      <w:r w:rsidRPr="00BD5DBD">
        <w:rPr>
          <w:szCs w:val="22"/>
        </w:rPr>
        <w:t xml:space="preserve"> indicated for</w:t>
      </w:r>
      <w:r w:rsidR="00AD2A93">
        <w:rPr>
          <w:szCs w:val="22"/>
        </w:rPr>
        <w:t>:</w:t>
      </w:r>
    </w:p>
    <w:p w14:paraId="0E05D4FB" w14:textId="70EBB6C6" w:rsidR="00AD2A93" w:rsidRPr="00AD2A93" w:rsidRDefault="00AD2A93" w:rsidP="00AD2A93">
      <w:pPr>
        <w:ind w:left="720"/>
        <w:rPr>
          <w:i/>
          <w:iCs/>
        </w:rPr>
      </w:pPr>
      <w:r w:rsidRPr="00AD2A93">
        <w:rPr>
          <w:i/>
          <w:iCs/>
        </w:rPr>
        <w:t>Korsuva is indicated for the treatment of moderate-to-severe pruritus associated with chronic kidney disease in adult patients on haemodialysis.</w:t>
      </w:r>
    </w:p>
    <w:p w14:paraId="0D732DA4" w14:textId="77777777" w:rsidR="00854D98" w:rsidRPr="00D23139" w:rsidRDefault="00854D98" w:rsidP="00854D98">
      <w:pPr>
        <w:pStyle w:val="Heading3"/>
      </w:pPr>
      <w:bookmarkStart w:id="105" w:name="_Toc103679301"/>
      <w:bookmarkStart w:id="106" w:name="_Toc147404320"/>
      <w:r w:rsidRPr="00D23139">
        <w:t>Specific conditions of registration applying to these goods</w:t>
      </w:r>
      <w:bookmarkEnd w:id="105"/>
      <w:bookmarkEnd w:id="106"/>
    </w:p>
    <w:p w14:paraId="43288924" w14:textId="63ECC217" w:rsidR="00AD2A93" w:rsidRPr="00AD2A93" w:rsidRDefault="00AD2A93" w:rsidP="00AD2A93">
      <w:pPr>
        <w:pStyle w:val="ListBullet"/>
      </w:pPr>
      <w:r w:rsidRPr="00AD2A93">
        <w:t>K</w:t>
      </w:r>
      <w:r>
        <w:t>orsuva</w:t>
      </w:r>
      <w:r w:rsidRPr="00AD2A93">
        <w:t xml:space="preserve"> (</w:t>
      </w:r>
      <w:proofErr w:type="spellStart"/>
      <w:r w:rsidRPr="00AD2A93">
        <w:t>difelikfalin</w:t>
      </w:r>
      <w:proofErr w:type="spellEnd"/>
      <w:r w:rsidRPr="00AD2A93">
        <w:t>) is to be included in the Black Triangle Scheme. The PI and CMI for K</w:t>
      </w:r>
      <w:r>
        <w:t>orsuva</w:t>
      </w:r>
      <w:r w:rsidRPr="00AD2A93">
        <w:t xml:space="preserve"> must include the black triangle symbol and mandatory accompanying text for five years, which starts from the date that the sponsor notifies the TGA of supply of the product.</w:t>
      </w:r>
    </w:p>
    <w:p w14:paraId="4429F8C7" w14:textId="4149ED5B" w:rsidR="00FB39D0" w:rsidRDefault="00AD2A93" w:rsidP="00AD2A93">
      <w:pPr>
        <w:pStyle w:val="ListBullet"/>
      </w:pPr>
      <w:r w:rsidRPr="00AD2A93">
        <w:t>The K</w:t>
      </w:r>
      <w:r>
        <w:t>orsuva</w:t>
      </w:r>
      <w:r w:rsidRPr="00AD2A93">
        <w:t xml:space="preserve"> EU-</w:t>
      </w:r>
      <w:r w:rsidR="0084188E">
        <w:t>r</w:t>
      </w:r>
      <w:r w:rsidRPr="00AD2A93">
        <w:t xml:space="preserve">isk </w:t>
      </w:r>
      <w:r w:rsidR="0084188E">
        <w:t>m</w:t>
      </w:r>
      <w:r w:rsidRPr="00AD2A93">
        <w:t xml:space="preserve">anagement </w:t>
      </w:r>
      <w:r w:rsidR="0084188E">
        <w:t>p</w:t>
      </w:r>
      <w:r w:rsidRPr="00AD2A93">
        <w:t xml:space="preserve">lan (RMP) (version 1.5, dated 8 March 2022, data lock point 15 May 2020), with Australia </w:t>
      </w:r>
      <w:r>
        <w:t>s</w:t>
      </w:r>
      <w:r w:rsidRPr="00AD2A93">
        <w:t xml:space="preserve">pecific </w:t>
      </w:r>
      <w:r>
        <w:t>a</w:t>
      </w:r>
      <w:r w:rsidRPr="00AD2A93">
        <w:t>nnex (version 1.0, dated 17 June 2022), included with submission PM-2021-04071-1-1, and any subsequent revisions, as agreed with the TGA will be implemented in Australia</w:t>
      </w:r>
      <w:r w:rsidR="00FB39D0">
        <w:t>.</w:t>
      </w:r>
    </w:p>
    <w:p w14:paraId="47EEE7A6" w14:textId="1560F880" w:rsidR="00AD2A93" w:rsidRDefault="00AD2A93" w:rsidP="00AD2A93">
      <w:pPr>
        <w:ind w:left="360"/>
      </w:pPr>
      <w:r w:rsidRPr="00AD2A93">
        <w:t>An obligatory component of risk management plans is routine pharmacovigilance. Routine pharmacovigilance includes the submission of periodic safety update reports (PSURs).</w:t>
      </w:r>
    </w:p>
    <w:p w14:paraId="5776C5E9" w14:textId="77777777" w:rsidR="00FB39D0" w:rsidRDefault="00AD2A93" w:rsidP="00AD2A93">
      <w:pPr>
        <w:ind w:left="360"/>
        <w:rPr>
          <w:szCs w:val="22"/>
        </w:rPr>
      </w:pPr>
      <w:r>
        <w:rPr>
          <w:szCs w:val="22"/>
        </w:rPr>
        <w:lastRenderedPageBreak/>
        <w:t>Reports are to be provided in line with the current published list of EU reference dates and frequency of submission of PSURs until the period covered by such reports is not less than three years from the date of the approval letter</w:t>
      </w:r>
      <w:r w:rsidR="00FB39D0">
        <w:rPr>
          <w:szCs w:val="22"/>
        </w:rPr>
        <w:t>.</w:t>
      </w:r>
    </w:p>
    <w:p w14:paraId="1082B664" w14:textId="3D88027D" w:rsidR="00AD2A93" w:rsidRDefault="00AD2A93" w:rsidP="00AD2A93">
      <w:pPr>
        <w:ind w:left="360"/>
        <w:rPr>
          <w:szCs w:val="22"/>
        </w:rPr>
      </w:pPr>
      <w:r>
        <w:rPr>
          <w:szCs w:val="22"/>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0DFF0CE" w14:textId="0033F2ED" w:rsidR="00FE0067" w:rsidRPr="00AD2A93" w:rsidRDefault="00FE0067" w:rsidP="00E81FD4">
      <w:pPr>
        <w:pStyle w:val="ListBullet"/>
      </w:pPr>
      <w:r w:rsidRPr="00FE0067">
        <w:t>For all injectable products the Product Information must be included with the product as a package insert.</w:t>
      </w:r>
    </w:p>
    <w:p w14:paraId="451DC3FC" w14:textId="77777777" w:rsidR="00C22214" w:rsidRDefault="00C22214" w:rsidP="00C22214">
      <w:pPr>
        <w:pStyle w:val="Heading2"/>
      </w:pPr>
      <w:bookmarkStart w:id="107" w:name="_Toc103679303"/>
      <w:bookmarkStart w:id="108" w:name="_Toc147404321"/>
      <w:r>
        <w:t>Attachment 1. Product Information</w:t>
      </w:r>
      <w:bookmarkEnd w:id="107"/>
      <w:bookmarkEnd w:id="108"/>
    </w:p>
    <w:p w14:paraId="53357BF3" w14:textId="75B50E50" w:rsidR="00C22214" w:rsidRPr="00AD2A93" w:rsidRDefault="00C22214" w:rsidP="00C22214">
      <w:pPr>
        <w:rPr>
          <w:szCs w:val="22"/>
        </w:rPr>
        <w:sectPr w:rsidR="00C22214" w:rsidRPr="00AD2A93" w:rsidSect="007452E8">
          <w:headerReference w:type="default" r:id="rId60"/>
          <w:footerReference w:type="even" r:id="rId61"/>
          <w:footerReference w:type="default" r:id="rId62"/>
          <w:footerReference w:type="first" r:id="rId63"/>
          <w:pgSz w:w="11906" w:h="16838" w:code="9"/>
          <w:pgMar w:top="1134" w:right="1418" w:bottom="1361" w:left="1418" w:header="573" w:footer="567" w:gutter="0"/>
          <w:cols w:space="708"/>
          <w:docGrid w:linePitch="360"/>
        </w:sectPr>
      </w:pPr>
      <w:r w:rsidRPr="00BD5DBD">
        <w:rPr>
          <w:szCs w:val="22"/>
        </w:rPr>
        <w:t xml:space="preserve">The PI for </w:t>
      </w:r>
      <w:r w:rsidR="00AD2A93">
        <w:rPr>
          <w:szCs w:val="22"/>
        </w:rPr>
        <w:t>Korsuva</w:t>
      </w:r>
      <w:r w:rsidRPr="00BD5DBD">
        <w:rPr>
          <w:szCs w:val="22"/>
        </w:rPr>
        <w:t xml:space="preserve"> approved with the submission which is described in this AusPAR is at Attachment 1. For the most recent PI, please refer to the TGA </w:t>
      </w:r>
      <w:hyperlink r:id="rId64" w:history="1">
        <w:r w:rsidRPr="00BD5DBD">
          <w:rPr>
            <w:rStyle w:val="Hyperlink"/>
            <w:szCs w:val="22"/>
          </w:rPr>
          <w:t>PI/CMI search facility.</w:t>
        </w:r>
      </w:hyperlink>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C95E61C" w:rsidR="00F02AEC" w:rsidRDefault="00F02AEC">
            <w:pPr>
              <w:pStyle w:val="Address"/>
              <w:jc w:val="center"/>
              <w:rPr>
                <w:sz w:val="22"/>
                <w:szCs w:val="22"/>
              </w:rPr>
            </w:pPr>
            <w:r w:rsidRPr="00215D48">
              <w:t xml:space="preserve">Email: </w:t>
            </w:r>
            <w:hyperlink r:id="rId65" w:history="1">
              <w:r w:rsidRPr="00215D48">
                <w:rPr>
                  <w:rStyle w:val="Hyperlink"/>
                </w:rPr>
                <w:t>info@tga.gov.au</w:t>
              </w:r>
            </w:hyperlink>
            <w:r w:rsidR="00AD0797">
              <w:t xml:space="preserve"> </w:t>
            </w:r>
            <w:r w:rsidRPr="00215D48">
              <w:t>Phone: 1800 020 653</w:t>
            </w:r>
            <w:r w:rsidR="00AD0797">
              <w:t xml:space="preserve"> </w:t>
            </w:r>
            <w:r w:rsidRPr="00215D48">
              <w:t xml:space="preserve">Fax: </w:t>
            </w:r>
            <w:r w:rsidRPr="00BA0DFC">
              <w:t>02 6203 1605</w:t>
            </w:r>
          </w:p>
          <w:p w14:paraId="4533D80F" w14:textId="6E7D9726" w:rsidR="00F02AEC" w:rsidRPr="00215D48" w:rsidRDefault="00B22495">
            <w:pPr>
              <w:pStyle w:val="Address"/>
              <w:jc w:val="center"/>
              <w:rPr>
                <w:rStyle w:val="Hyperlink"/>
                <w:b/>
                <w:color w:val="auto"/>
                <w:sz w:val="22"/>
              </w:rPr>
            </w:pPr>
            <w:hyperlink r:id="rId66"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footerReference w:type="even" r:id="rId67"/>
      <w:footerReference w:type="default" r:id="rId68"/>
      <w:headerReference w:type="first" r:id="rId69"/>
      <w:footerReference w:type="first" r:id="rId7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9FB2B" w14:textId="77777777" w:rsidR="00293FC2" w:rsidRDefault="00293FC2" w:rsidP="00F02AEC">
      <w:pPr>
        <w:spacing w:after="0" w:line="240" w:lineRule="auto"/>
      </w:pPr>
      <w:r>
        <w:separator/>
      </w:r>
    </w:p>
  </w:endnote>
  <w:endnote w:type="continuationSeparator" w:id="0">
    <w:p w14:paraId="6AB53F49" w14:textId="77777777" w:rsidR="00293FC2" w:rsidRDefault="00293FC2" w:rsidP="00F02AEC">
      <w:pPr>
        <w:spacing w:after="0" w:line="240" w:lineRule="auto"/>
      </w:pPr>
      <w:r>
        <w:continuationSeparator/>
      </w:r>
    </w:p>
  </w:endnote>
  <w:endnote w:type="continuationNotice" w:id="1">
    <w:p w14:paraId="147269C0" w14:textId="77777777" w:rsidR="00293FC2" w:rsidRDefault="00293F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DBBA" w14:textId="49AD365B" w:rsidR="00AA4EDD" w:rsidRDefault="00AA4EDD">
    <w:pPr>
      <w:pStyle w:val="Footer"/>
    </w:pPr>
    <w:r>
      <w:rPr>
        <w:noProof/>
      </w:rPr>
      <mc:AlternateContent>
        <mc:Choice Requires="wps">
          <w:drawing>
            <wp:anchor distT="0" distB="0" distL="0" distR="0" simplePos="0" relativeHeight="251658243" behindDoc="0" locked="0" layoutInCell="1" allowOverlap="1" wp14:anchorId="150B0EC3" wp14:editId="5E026D17">
              <wp:simplePos x="635" y="635"/>
              <wp:positionH relativeFrom="page">
                <wp:align>center</wp:align>
              </wp:positionH>
              <wp:positionV relativeFrom="page">
                <wp:align>bottom</wp:align>
              </wp:positionV>
              <wp:extent cx="443865" cy="443865"/>
              <wp:effectExtent l="0" t="0" r="9525" b="0"/>
              <wp:wrapNone/>
              <wp:docPr id="12" name="Text Box 12"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AFB13E" w14:textId="742F84B1"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B0EC3" id="_x0000_t202" coordsize="21600,21600" o:spt="202" path="m,l,21600r21600,l21600,xe">
              <v:stroke joinstyle="miter"/>
              <v:path gradientshapeok="t" o:connecttype="rect"/>
            </v:shapetype>
            <v:shape id="Text Box 12" o:spid="_x0000_s1026" type="#_x0000_t202" alt="BUSINESS USE"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9AFB13E" w14:textId="742F84B1"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4A3AEEBB" w:rsidR="007452E8" w:rsidRDefault="00AA4EDD" w:rsidP="007452E8">
          <w:pPr>
            <w:pStyle w:val="Footer"/>
          </w:pPr>
          <w:r>
            <w:rPr>
              <w:noProof/>
            </w:rPr>
            <mc:AlternateContent>
              <mc:Choice Requires="wps">
                <w:drawing>
                  <wp:anchor distT="0" distB="0" distL="0" distR="0" simplePos="0" relativeHeight="251658244" behindDoc="0" locked="0" layoutInCell="1" allowOverlap="1" wp14:anchorId="51E553D3" wp14:editId="51DAF9BE">
                    <wp:simplePos x="635" y="635"/>
                    <wp:positionH relativeFrom="page">
                      <wp:align>center</wp:align>
                    </wp:positionH>
                    <wp:positionV relativeFrom="page">
                      <wp:align>bottom</wp:align>
                    </wp:positionV>
                    <wp:extent cx="443865" cy="443865"/>
                    <wp:effectExtent l="0" t="0" r="9525" b="0"/>
                    <wp:wrapNone/>
                    <wp:docPr id="13" name="Text Box 13"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C7332" w14:textId="417C1FC1"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553D3" id="_x0000_t202" coordsize="21600,21600" o:spt="202" path="m,l,21600r21600,l21600,xe">
                    <v:stroke joinstyle="miter"/>
                    <v:path gradientshapeok="t" o:connecttype="rect"/>
                  </v:shapetype>
                  <v:shape id="Text Box 13" o:spid="_x0000_s1027" type="#_x0000_t202" alt="BUSINESS USE"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F1C7332" w14:textId="417C1FC1"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09DA51EA"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5355" w14:textId="6516F08B" w:rsidR="00AA4EDD" w:rsidRDefault="00AA4EDD">
    <w:pPr>
      <w:pStyle w:val="Footer"/>
    </w:pPr>
    <w:r>
      <w:rPr>
        <w:noProof/>
      </w:rPr>
      <mc:AlternateContent>
        <mc:Choice Requires="wps">
          <w:drawing>
            <wp:anchor distT="0" distB="0" distL="0" distR="0" simplePos="0" relativeHeight="251658246" behindDoc="0" locked="0" layoutInCell="1" allowOverlap="1" wp14:anchorId="3C170200" wp14:editId="5C67658D">
              <wp:simplePos x="635" y="635"/>
              <wp:positionH relativeFrom="page">
                <wp:align>center</wp:align>
              </wp:positionH>
              <wp:positionV relativeFrom="page">
                <wp:align>bottom</wp:align>
              </wp:positionV>
              <wp:extent cx="443865" cy="443865"/>
              <wp:effectExtent l="0" t="0" r="9525" b="0"/>
              <wp:wrapNone/>
              <wp:docPr id="37" name="Text Box 37"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9E3CC" w14:textId="3B44E08D"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70200" id="_x0000_t202" coordsize="21600,21600" o:spt="202" path="m,l,21600r21600,l21600,xe">
              <v:stroke joinstyle="miter"/>
              <v:path gradientshapeok="t" o:connecttype="rect"/>
            </v:shapetype>
            <v:shape id="Text Box 37" o:spid="_x0000_s1028" type="#_x0000_t202" alt="BUSINESS USE"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B19E3CC" w14:textId="3B44E08D"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642BD80" w:rsidR="007452E8" w:rsidRPr="004A3084" w:rsidRDefault="007452E8" w:rsidP="007452E8">
          <w:pPr>
            <w:pStyle w:val="Footer"/>
          </w:pPr>
          <w:r w:rsidRPr="00487162">
            <w:t>AusPA</w:t>
          </w:r>
          <w:r>
            <w:t xml:space="preserve">R - </w:t>
          </w:r>
          <w:r w:rsidR="00637CDC" w:rsidRPr="00637CDC">
            <w:t xml:space="preserve">Korsuva – </w:t>
          </w:r>
          <w:r w:rsidR="00395FED">
            <w:t>d</w:t>
          </w:r>
          <w:r w:rsidR="00637CDC" w:rsidRPr="00637CDC">
            <w:t>ifelikefalin - Vifor Pharma Pty Ltd - PM-2021-04071-1-</w:t>
          </w:r>
          <w:r w:rsidR="00637CDC">
            <w:t>1</w:t>
          </w:r>
          <w:r>
            <w:br/>
          </w:r>
          <w:r w:rsidR="00F256E4">
            <w:t>FINAL 9</w:t>
          </w:r>
          <w:r w:rsidR="007D1271">
            <w:t xml:space="preserve"> November</w:t>
          </w:r>
          <w:r w:rsidR="000E472F">
            <w:t xml:space="preserve"> </w:t>
          </w:r>
          <w:r w:rsidR="00D12774">
            <w:t>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35E86312" w:rsidR="007452E8" w:rsidRPr="00826007" w:rsidRDefault="007452E8" w:rsidP="007452E8">
    <w:pPr>
      <w:pStyle w:val="Footer"/>
      <w:tabs>
        <w:tab w:val="left" w:pos="7620"/>
        <w:tab w:val="right" w:pos="850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0A6" w14:textId="4BB601FF" w:rsidR="00AA4EDD" w:rsidRDefault="00AA4EDD">
    <w:pPr>
      <w:pStyle w:val="Footer"/>
    </w:pPr>
    <w:r>
      <w:rPr>
        <w:noProof/>
      </w:rPr>
      <mc:AlternateContent>
        <mc:Choice Requires="wps">
          <w:drawing>
            <wp:anchor distT="0" distB="0" distL="0" distR="0" simplePos="0" relativeHeight="251658245" behindDoc="0" locked="0" layoutInCell="1" allowOverlap="1" wp14:anchorId="207760E4" wp14:editId="0021FEAC">
              <wp:simplePos x="635" y="635"/>
              <wp:positionH relativeFrom="page">
                <wp:align>center</wp:align>
              </wp:positionH>
              <wp:positionV relativeFrom="page">
                <wp:align>bottom</wp:align>
              </wp:positionV>
              <wp:extent cx="443865" cy="443865"/>
              <wp:effectExtent l="0" t="0" r="9525" b="0"/>
              <wp:wrapNone/>
              <wp:docPr id="33" name="Text Box 33"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830CEC" w14:textId="31936F4F"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760E4" id="_x0000_t202" coordsize="21600,21600" o:spt="202" path="m,l,21600r21600,l21600,xe">
              <v:stroke joinstyle="miter"/>
              <v:path gradientshapeok="t" o:connecttype="rect"/>
            </v:shapetype>
            <v:shape id="Text Box 33" o:spid="_x0000_s1029" type="#_x0000_t202" alt="BUSINESS USE"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F830CEC" w14:textId="31936F4F"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785E" w14:textId="439BD30E" w:rsidR="00AA4EDD" w:rsidRDefault="00AA4EDD">
    <w:pPr>
      <w:pStyle w:val="Footer"/>
    </w:pPr>
    <w:r>
      <w:rPr>
        <w:noProof/>
      </w:rPr>
      <mc:AlternateContent>
        <mc:Choice Requires="wps">
          <w:drawing>
            <wp:anchor distT="0" distB="0" distL="0" distR="0" simplePos="0" relativeHeight="251658249" behindDoc="0" locked="0" layoutInCell="1" allowOverlap="1" wp14:anchorId="4BFC9102" wp14:editId="5BCD678C">
              <wp:simplePos x="635" y="635"/>
              <wp:positionH relativeFrom="page">
                <wp:align>center</wp:align>
              </wp:positionH>
              <wp:positionV relativeFrom="page">
                <wp:align>bottom</wp:align>
              </wp:positionV>
              <wp:extent cx="443865" cy="443865"/>
              <wp:effectExtent l="0" t="0" r="9525" b="0"/>
              <wp:wrapNone/>
              <wp:docPr id="40" name="Text Box 40"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3B1D1A" w14:textId="22D83747"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C9102" id="_x0000_t202" coordsize="21600,21600" o:spt="202" path="m,l,21600r21600,l21600,xe">
              <v:stroke joinstyle="miter"/>
              <v:path gradientshapeok="t" o:connecttype="rect"/>
            </v:shapetype>
            <v:shape id="Text Box 40" o:spid="_x0000_s1030" type="#_x0000_t202" alt="BUSINESS USE"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C3B1D1A" w14:textId="22D83747"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8F00" w14:textId="6CA008B1" w:rsidR="00AA4EDD" w:rsidRDefault="00AA4EDD">
    <w:pPr>
      <w:pStyle w:val="Footer"/>
    </w:pPr>
    <w:r>
      <w:rPr>
        <w:noProof/>
      </w:rPr>
      <mc:AlternateContent>
        <mc:Choice Requires="wps">
          <w:drawing>
            <wp:anchor distT="0" distB="0" distL="0" distR="0" simplePos="0" relativeHeight="251658250" behindDoc="0" locked="0" layoutInCell="1" allowOverlap="1" wp14:anchorId="527A6E34" wp14:editId="6390CA2C">
              <wp:simplePos x="635" y="635"/>
              <wp:positionH relativeFrom="page">
                <wp:align>center</wp:align>
              </wp:positionH>
              <wp:positionV relativeFrom="page">
                <wp:align>bottom</wp:align>
              </wp:positionV>
              <wp:extent cx="443865" cy="443865"/>
              <wp:effectExtent l="0" t="0" r="9525" b="0"/>
              <wp:wrapNone/>
              <wp:docPr id="41" name="Text Box 41"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4E5534" w14:textId="4A275FBE"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A6E34" id="_x0000_t202" coordsize="21600,21600" o:spt="202" path="m,l,21600r21600,l21600,xe">
              <v:stroke joinstyle="miter"/>
              <v:path gradientshapeok="t" o:connecttype="rect"/>
            </v:shapetype>
            <v:shape id="Text Box 41" o:spid="_x0000_s1031" type="#_x0000_t202" alt="BUSINESS USE"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A4E5534" w14:textId="4A275FBE" w:rsidR="00AA4EDD" w:rsidRPr="00AA4EDD" w:rsidRDefault="00AA4EDD" w:rsidP="00AA4EDD">
                    <w:pPr>
                      <w:spacing w:after="0"/>
                      <w:rPr>
                        <w:rFonts w:ascii="Calibri" w:eastAsia="Calibri" w:hAnsi="Calibri" w:cs="Calibri"/>
                        <w:noProof/>
                        <w:color w:val="000000"/>
                        <w:sz w:val="14"/>
                        <w:szCs w:val="14"/>
                      </w:rPr>
                    </w:pPr>
                    <w:r w:rsidRPr="00AA4EDD">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098AB886"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7684" w14:textId="77777777" w:rsidR="00293FC2" w:rsidRDefault="00293FC2" w:rsidP="00F02AEC">
      <w:pPr>
        <w:spacing w:after="0" w:line="240" w:lineRule="auto"/>
      </w:pPr>
      <w:r>
        <w:separator/>
      </w:r>
    </w:p>
  </w:footnote>
  <w:footnote w:type="continuationSeparator" w:id="0">
    <w:p w14:paraId="129E6FF1" w14:textId="77777777" w:rsidR="00293FC2" w:rsidRDefault="00293FC2" w:rsidP="00F02AEC">
      <w:pPr>
        <w:spacing w:after="0" w:line="240" w:lineRule="auto"/>
      </w:pPr>
      <w:r>
        <w:continuationSeparator/>
      </w:r>
    </w:p>
  </w:footnote>
  <w:footnote w:type="continuationNotice" w:id="1">
    <w:p w14:paraId="2175BA3C" w14:textId="77777777" w:rsidR="00293FC2" w:rsidRDefault="00293FC2">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4C5D77EC" w14:textId="5295922B" w:rsidR="00F30A5E" w:rsidRPr="008D2C52" w:rsidRDefault="00F30A5E" w:rsidP="008D2C52">
      <w:pPr>
        <w:pStyle w:val="FootnoteText"/>
      </w:pPr>
      <w:r>
        <w:rPr>
          <w:rStyle w:val="FootnoteReference"/>
        </w:rPr>
        <w:footnoteRef/>
      </w:r>
      <w:r>
        <w:t xml:space="preserve"> </w:t>
      </w:r>
      <w:r w:rsidR="008D2C52">
        <w:t xml:space="preserve">Pisoni, R, L. et al. Pruritus in haemodialysis patients: international results from the Dialysis Outcomes and Practice Patterns Study (DOPPS), </w:t>
      </w:r>
      <w:r w:rsidR="008D2C52">
        <w:rPr>
          <w:i/>
          <w:iCs/>
        </w:rPr>
        <w:t>Nephrology Dialysis Transplantation</w:t>
      </w:r>
      <w:r w:rsidR="008D2C52">
        <w:t>, 2006: 21; 3495-3505.</w:t>
      </w:r>
    </w:p>
  </w:footnote>
  <w:footnote w:id="4">
    <w:p w14:paraId="4064E2DB" w14:textId="0E9D6634" w:rsidR="00A020D9" w:rsidRDefault="00A020D9" w:rsidP="00A020D9">
      <w:pPr>
        <w:pStyle w:val="FootnoteText"/>
      </w:pPr>
      <w:r>
        <w:rPr>
          <w:rStyle w:val="FootnoteReference"/>
        </w:rPr>
        <w:footnoteRef/>
      </w:r>
      <w:r>
        <w:t xml:space="preserve"> EMA: Integrated Addendum to ICH E6(R1): </w:t>
      </w:r>
      <w:hyperlink r:id="rId1" w:history="1">
        <w:r w:rsidRPr="00A020D9">
          <w:rPr>
            <w:rStyle w:val="Hyperlink"/>
          </w:rPr>
          <w:t>Guideline for Good Clinical Practice</w:t>
        </w:r>
      </w:hyperlink>
      <w:r>
        <w:t xml:space="preserve"> (E6(R2)). TGA-adopted, effective date: 9 November 2016.</w:t>
      </w:r>
    </w:p>
  </w:footnote>
  <w:footnote w:id="5">
    <w:p w14:paraId="29CD27A5" w14:textId="77777777" w:rsidR="00892BA0" w:rsidRDefault="00892BA0" w:rsidP="00892BA0">
      <w:pPr>
        <w:pStyle w:val="FootnoteText"/>
      </w:pPr>
      <w:r>
        <w:rPr>
          <w:rStyle w:val="FootnoteReference"/>
        </w:rPr>
        <w:footnoteRef/>
      </w:r>
      <w:r>
        <w:t xml:space="preserve"> The </w:t>
      </w:r>
      <w:r w:rsidRPr="00892BA0">
        <w:rPr>
          <w:b/>
          <w:bCs/>
        </w:rPr>
        <w:t xml:space="preserve">QT interval </w:t>
      </w:r>
      <w:r>
        <w:t>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041463FF" w14:textId="6C1A54FB" w:rsidR="00892BA0" w:rsidRDefault="00892BA0" w:rsidP="00892BA0">
      <w:pPr>
        <w:pStyle w:val="FootnoteText"/>
      </w:pPr>
      <w:r>
        <w:t xml:space="preserve">The </w:t>
      </w:r>
      <w:r w:rsidRPr="00892BA0">
        <w:rPr>
          <w:b/>
          <w:bCs/>
        </w:rPr>
        <w:t>corrected QT interval</w:t>
      </w:r>
      <w:r>
        <w:t xml:space="preserve"> (QTc) estimates the QT interval at a standard heart rate. This allows comparison of QT values over time at different heart rates and improves detection of patients at increased risk of arrhythmias.</w:t>
      </w:r>
    </w:p>
  </w:footnote>
  <w:footnote w:id="6">
    <w:p w14:paraId="20E33D4D" w14:textId="27C6E06C" w:rsidR="001D7FE5" w:rsidRDefault="001D7FE5" w:rsidP="001D7FE5">
      <w:pPr>
        <w:pStyle w:val="FootnoteText"/>
      </w:pPr>
      <w:r>
        <w:rPr>
          <w:rStyle w:val="FootnoteReference"/>
        </w:rPr>
        <w:footnoteRef/>
      </w:r>
      <w:r>
        <w:t xml:space="preserve"> </w:t>
      </w:r>
      <w:r w:rsidRPr="001D7FE5">
        <w:rPr>
          <w:b/>
          <w:bCs/>
        </w:rPr>
        <w:t>Cytochrome P450 (CYP) enzymes</w:t>
      </w:r>
      <w:r>
        <w:t xml:space="preserve">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1104F37A" w14:textId="48B3761C" w:rsidR="001D7FE5" w:rsidRDefault="001D7FE5" w:rsidP="001D7FE5">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7">
    <w:p w14:paraId="4DA48E18" w14:textId="44DB760B" w:rsidR="009C32B7" w:rsidRDefault="009C32B7">
      <w:pPr>
        <w:pStyle w:val="FootnoteText"/>
      </w:pPr>
      <w:r>
        <w:rPr>
          <w:rStyle w:val="FootnoteReference"/>
        </w:rPr>
        <w:footnoteRef/>
      </w:r>
      <w:r>
        <w:t xml:space="preserve"> </w:t>
      </w:r>
      <w:r w:rsidRPr="009C32B7">
        <w:t>ng-equivalents/mL</w:t>
      </w:r>
      <w:r>
        <w:t xml:space="preserve"> or </w:t>
      </w:r>
      <w:r w:rsidRPr="009C32B7">
        <w:t>ng-</w:t>
      </w:r>
      <w:r>
        <w:t>eq</w:t>
      </w:r>
      <w:r w:rsidRPr="009C32B7">
        <w:t>/mL</w:t>
      </w:r>
      <w:r>
        <w:t xml:space="preserve"> is a unit for </w:t>
      </w:r>
      <w:r w:rsidRPr="009C32B7">
        <w:t>radioactive equivalent concentration</w:t>
      </w:r>
      <w:r>
        <w:t>.</w:t>
      </w:r>
    </w:p>
  </w:footnote>
  <w:footnote w:id="8">
    <w:p w14:paraId="26AC8751" w14:textId="42BCE4EF" w:rsidR="0009716C" w:rsidRDefault="0009716C">
      <w:pPr>
        <w:pStyle w:val="FootnoteText"/>
      </w:pPr>
      <w:r>
        <w:rPr>
          <w:rStyle w:val="FootnoteReference"/>
        </w:rPr>
        <w:footnoteRef/>
      </w:r>
      <w:r>
        <w:t xml:space="preserve"> </w:t>
      </w:r>
      <w:r w:rsidRPr="0009716C">
        <w:t xml:space="preserve">The </w:t>
      </w:r>
      <w:r w:rsidRPr="0009716C">
        <w:rPr>
          <w:b/>
          <w:bCs/>
        </w:rPr>
        <w:t>worst itching intensity - numerical rating scale (WI-NRS)</w:t>
      </w:r>
      <w:r w:rsidRPr="0009716C">
        <w:t xml:space="preserve"> is a numerical rating scale used to evaluate the intensity of itch. Subjects were asked to fill out a paper worksheet to indicate the intensity of the worst itching they experienced over the past 24 hours by marking one of 11 numbers from a numerical rating scale (NRS), from 0 (labelled with the anchor phrase </w:t>
      </w:r>
      <w:r>
        <w:t>‘</w:t>
      </w:r>
      <w:r w:rsidRPr="0009716C">
        <w:t>no itching</w:t>
      </w:r>
      <w:r>
        <w:t>’</w:t>
      </w:r>
      <w:r w:rsidRPr="0009716C">
        <w:t xml:space="preserve">) to 10 (labelled as </w:t>
      </w:r>
      <w:r>
        <w:t>‘</w:t>
      </w:r>
      <w:r w:rsidRPr="0009716C">
        <w:t>worst itching imaginable</w:t>
      </w:r>
      <w:r>
        <w:t>’</w:t>
      </w:r>
      <w:r w:rsidRPr="0009716C">
        <w:t>), that best described it. Subjects were provided with these worksheets to record their 24</w:t>
      </w:r>
      <w:r>
        <w:t xml:space="preserve"> </w:t>
      </w:r>
      <w:r w:rsidRPr="0009716C">
        <w:t>hour worst itching assessment scores, both at the clinic on haemodialysis days and at home on non-haemodialysis days</w:t>
      </w:r>
      <w:r>
        <w:t>.</w:t>
      </w:r>
    </w:p>
  </w:footnote>
  <w:footnote w:id="9">
    <w:p w14:paraId="55ED17EE" w14:textId="478C5C00" w:rsidR="0009716C" w:rsidRDefault="0009716C" w:rsidP="0009716C">
      <w:pPr>
        <w:pStyle w:val="FootnoteText"/>
      </w:pPr>
      <w:r>
        <w:rPr>
          <w:rStyle w:val="FootnoteReference"/>
        </w:rPr>
        <w:footnoteRef/>
      </w:r>
      <w:r>
        <w:t xml:space="preserve"> The </w:t>
      </w:r>
      <w:r w:rsidRPr="0009716C">
        <w:rPr>
          <w:b/>
          <w:bCs/>
        </w:rPr>
        <w:t>5-D itch scale</w:t>
      </w:r>
      <w:r>
        <w:t xml:space="preserve"> is a brief multidimensional questionnaire designed to be useful as an outcome measure in clinical studies of pruritus. The 5 dimensions of itch assessed by the scale are degree, duration, direction, disability, and distribution. Study subjects were asked to mark boxes that best described the impact of their itch over the past two weeks. The total score is the sum of the individual scores from the five dimensions and ranges from 5 to 25. The scale has been validated in patients with chronic pruritus of different origins, including patients undergoing haemodialysis, and it has been shown to be sensitive to changes in pruritus over time.</w:t>
      </w:r>
    </w:p>
    <w:p w14:paraId="6C225F6E" w14:textId="085515FA" w:rsidR="0009716C" w:rsidRDefault="0009716C" w:rsidP="0009716C">
      <w:pPr>
        <w:pStyle w:val="FootnoteText"/>
      </w:pPr>
      <w:r>
        <w:t>A psychometric analysis of the data collected from the supportive Phase II Study CR845-CLIN2101 demonstrated that a 5 point or greater reduction in total 5-D itch scale score from Baseline represents clinically meaningful improvement for this patient population.</w:t>
      </w:r>
    </w:p>
  </w:footnote>
  <w:footnote w:id="10">
    <w:p w14:paraId="7462976D" w14:textId="75770BB3" w:rsidR="0009716C" w:rsidRDefault="0009716C" w:rsidP="0009716C">
      <w:pPr>
        <w:pStyle w:val="FootnoteText"/>
      </w:pPr>
      <w:r>
        <w:rPr>
          <w:rStyle w:val="FootnoteReference"/>
        </w:rPr>
        <w:footnoteRef/>
      </w:r>
      <w:r>
        <w:t xml:space="preserve"> Developed specifically for c</w:t>
      </w:r>
      <w:r w:rsidRPr="0009716C">
        <w:t xml:space="preserve">hronic kidney disease-associated pruritus </w:t>
      </w:r>
      <w:r>
        <w:t xml:space="preserve">(CKD-aP), the </w:t>
      </w:r>
      <w:r w:rsidRPr="0009716C">
        <w:rPr>
          <w:b/>
          <w:bCs/>
        </w:rPr>
        <w:t>Skindex-10 scale</w:t>
      </w:r>
      <w:r>
        <w:t xml:space="preserve"> is a brief multidimensional questionnaire for measurement of itch condition (disease) as well as impact of itch on wellbeing (mood/emotional distress) and functioning that correlates with itch intensity. The scale includes 10 questions that evaluate three domains: disease domain (questions 1 to 3), mood/emotional distress domain (questions 4 to 6), and social functioning domain (questions 7 to 10). Scores on the scale range from 0 (labelled with the anchor phrase ‘never bothered’) to 6 (labelled as ‘always bothered’) for each of 10 questions, and subjects were asked to select responses based on the impact of itch over the past week. The total score is the sum of the numeric value of each answered question and ranges from 0 to 60. The content validity of this scale was evaluated by qualitative interviews in haemodialysis patients with CKD-aP.</w:t>
      </w:r>
    </w:p>
    <w:p w14:paraId="73B4BC6D" w14:textId="211080FC" w:rsidR="0009716C" w:rsidRDefault="0009716C" w:rsidP="0009716C">
      <w:pPr>
        <w:pStyle w:val="FootnoteText"/>
      </w:pPr>
      <w:r>
        <w:t>A psychometric analysis of the data collected from the supportive Phase II Study CR845-CLIN2101 demonstrated that a 15 point or greater reduction in the total Skindex-10 scale score from Baseline represents an improvement that is meaningful to this patient population.</w:t>
      </w:r>
    </w:p>
  </w:footnote>
  <w:footnote w:id="11">
    <w:p w14:paraId="60276A68" w14:textId="3CC57533" w:rsidR="007D473D" w:rsidRDefault="007D473D">
      <w:pPr>
        <w:pStyle w:val="FootnoteText"/>
      </w:pPr>
      <w:r>
        <w:rPr>
          <w:rStyle w:val="FootnoteReference"/>
        </w:rPr>
        <w:footnoteRef/>
      </w:r>
      <w:r>
        <w:t xml:space="preserve"> </w:t>
      </w:r>
      <w:r w:rsidRPr="007D473D">
        <w:t xml:space="preserve">The randomised clinical trials analysed by the </w:t>
      </w:r>
      <w:r w:rsidRPr="00E81FD4">
        <w:rPr>
          <w:b/>
          <w:bCs/>
        </w:rPr>
        <w:t>intention-to-treat (ITT)</w:t>
      </w:r>
      <w:r w:rsidRPr="007D473D">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12">
    <w:p w14:paraId="490DE84E" w14:textId="4F649041" w:rsidR="007D473D" w:rsidRDefault="007D473D">
      <w:pPr>
        <w:pStyle w:val="FootnoteText"/>
      </w:pPr>
      <w:r>
        <w:rPr>
          <w:rStyle w:val="FootnoteReference"/>
        </w:rPr>
        <w:footnoteRef/>
      </w:r>
      <w:r>
        <w:t xml:space="preserve"> </w:t>
      </w:r>
      <w:r w:rsidRPr="007D473D">
        <w:t xml:space="preserve">The </w:t>
      </w:r>
      <w:r w:rsidRPr="00E81FD4">
        <w:rPr>
          <w:b/>
          <w:bCs/>
        </w:rPr>
        <w:t>per-protocol (PP)</w:t>
      </w:r>
      <w:r w:rsidRPr="007D473D">
        <w:t xml:space="preserve"> analysis is restricted to the participants who strictly adhered to the protocol. Also known as ‘on-treatment’ analysis.</w:t>
      </w:r>
    </w:p>
  </w:footnote>
  <w:footnote w:id="13">
    <w:p w14:paraId="2CC1E257" w14:textId="284C21E8" w:rsidR="00A374D0" w:rsidRDefault="00A374D0" w:rsidP="00A374D0">
      <w:pPr>
        <w:pStyle w:val="FootnoteText"/>
      </w:pPr>
      <w:r>
        <w:rPr>
          <w:rStyle w:val="FootnoteReference"/>
        </w:rPr>
        <w:footnoteRef/>
      </w:r>
      <w:r>
        <w:t xml:space="preserve"> EMA: </w:t>
      </w:r>
      <w:hyperlink r:id="rId2" w:history="1">
        <w:r w:rsidRPr="00A374D0">
          <w:rPr>
            <w:rStyle w:val="Hyperlink"/>
          </w:rPr>
          <w:t>Note for Guidance on Statistical Principles for Clinical Trials</w:t>
        </w:r>
      </w:hyperlink>
      <w:r>
        <w:t xml:space="preserve"> (CPMP/ICH/363/96). TGA-adopted, effective date: 1 October 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B2249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0E4A96B2"/>
    <w:lvl w:ilvl="0" w:tplc="A6882CE2">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4848AB"/>
    <w:multiLevelType w:val="hybridMultilevel"/>
    <w:tmpl w:val="0F163DCC"/>
    <w:lvl w:ilvl="0" w:tplc="465C9A66">
      <w:start w:val="1"/>
      <w:numFmt w:val="bullet"/>
      <w:lvlText w:val=" "/>
      <w:lvlJc w:val="left"/>
      <w:pPr>
        <w:tabs>
          <w:tab w:val="num" w:pos="720"/>
        </w:tabs>
        <w:ind w:left="720" w:hanging="360"/>
      </w:pPr>
      <w:rPr>
        <w:rFonts w:ascii="Calibri" w:hAnsi="Calibri" w:hint="default"/>
      </w:rPr>
    </w:lvl>
    <w:lvl w:ilvl="1" w:tplc="9F981C76" w:tentative="1">
      <w:start w:val="1"/>
      <w:numFmt w:val="bullet"/>
      <w:lvlText w:val=" "/>
      <w:lvlJc w:val="left"/>
      <w:pPr>
        <w:tabs>
          <w:tab w:val="num" w:pos="1440"/>
        </w:tabs>
        <w:ind w:left="1440" w:hanging="360"/>
      </w:pPr>
      <w:rPr>
        <w:rFonts w:ascii="Calibri" w:hAnsi="Calibri" w:hint="default"/>
      </w:rPr>
    </w:lvl>
    <w:lvl w:ilvl="2" w:tplc="3EEA0214" w:tentative="1">
      <w:start w:val="1"/>
      <w:numFmt w:val="bullet"/>
      <w:lvlText w:val=" "/>
      <w:lvlJc w:val="left"/>
      <w:pPr>
        <w:tabs>
          <w:tab w:val="num" w:pos="2160"/>
        </w:tabs>
        <w:ind w:left="2160" w:hanging="360"/>
      </w:pPr>
      <w:rPr>
        <w:rFonts w:ascii="Calibri" w:hAnsi="Calibri" w:hint="default"/>
      </w:rPr>
    </w:lvl>
    <w:lvl w:ilvl="3" w:tplc="399C943A" w:tentative="1">
      <w:start w:val="1"/>
      <w:numFmt w:val="bullet"/>
      <w:lvlText w:val=" "/>
      <w:lvlJc w:val="left"/>
      <w:pPr>
        <w:tabs>
          <w:tab w:val="num" w:pos="2880"/>
        </w:tabs>
        <w:ind w:left="2880" w:hanging="360"/>
      </w:pPr>
      <w:rPr>
        <w:rFonts w:ascii="Calibri" w:hAnsi="Calibri" w:hint="default"/>
      </w:rPr>
    </w:lvl>
    <w:lvl w:ilvl="4" w:tplc="E2BE3E46" w:tentative="1">
      <w:start w:val="1"/>
      <w:numFmt w:val="bullet"/>
      <w:lvlText w:val=" "/>
      <w:lvlJc w:val="left"/>
      <w:pPr>
        <w:tabs>
          <w:tab w:val="num" w:pos="3600"/>
        </w:tabs>
        <w:ind w:left="3600" w:hanging="360"/>
      </w:pPr>
      <w:rPr>
        <w:rFonts w:ascii="Calibri" w:hAnsi="Calibri" w:hint="default"/>
      </w:rPr>
    </w:lvl>
    <w:lvl w:ilvl="5" w:tplc="7F5A2B84" w:tentative="1">
      <w:start w:val="1"/>
      <w:numFmt w:val="bullet"/>
      <w:lvlText w:val=" "/>
      <w:lvlJc w:val="left"/>
      <w:pPr>
        <w:tabs>
          <w:tab w:val="num" w:pos="4320"/>
        </w:tabs>
        <w:ind w:left="4320" w:hanging="360"/>
      </w:pPr>
      <w:rPr>
        <w:rFonts w:ascii="Calibri" w:hAnsi="Calibri" w:hint="default"/>
      </w:rPr>
    </w:lvl>
    <w:lvl w:ilvl="6" w:tplc="E708C37A" w:tentative="1">
      <w:start w:val="1"/>
      <w:numFmt w:val="bullet"/>
      <w:lvlText w:val=" "/>
      <w:lvlJc w:val="left"/>
      <w:pPr>
        <w:tabs>
          <w:tab w:val="num" w:pos="5040"/>
        </w:tabs>
        <w:ind w:left="5040" w:hanging="360"/>
      </w:pPr>
      <w:rPr>
        <w:rFonts w:ascii="Calibri" w:hAnsi="Calibri" w:hint="default"/>
      </w:rPr>
    </w:lvl>
    <w:lvl w:ilvl="7" w:tplc="9AE4C028" w:tentative="1">
      <w:start w:val="1"/>
      <w:numFmt w:val="bullet"/>
      <w:lvlText w:val=" "/>
      <w:lvlJc w:val="left"/>
      <w:pPr>
        <w:tabs>
          <w:tab w:val="num" w:pos="5760"/>
        </w:tabs>
        <w:ind w:left="5760" w:hanging="360"/>
      </w:pPr>
      <w:rPr>
        <w:rFonts w:ascii="Calibri" w:hAnsi="Calibri" w:hint="default"/>
      </w:rPr>
    </w:lvl>
    <w:lvl w:ilvl="8" w:tplc="6FC8E78E"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72776580">
    <w:abstractNumId w:val="3"/>
  </w:num>
  <w:num w:numId="2" w16cid:durableId="582446422">
    <w:abstractNumId w:val="1"/>
  </w:num>
  <w:num w:numId="3" w16cid:durableId="1228765551">
    <w:abstractNumId w:val="2"/>
  </w:num>
  <w:num w:numId="4" w16cid:durableId="899824100">
    <w:abstractNumId w:val="7"/>
  </w:num>
  <w:num w:numId="5" w16cid:durableId="1690060834">
    <w:abstractNumId w:val="5"/>
  </w:num>
  <w:num w:numId="6" w16cid:durableId="946304662">
    <w:abstractNumId w:val="6"/>
  </w:num>
  <w:num w:numId="7" w16cid:durableId="113961535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500727638">
    <w:abstractNumId w:val="0"/>
  </w:num>
  <w:num w:numId="9" w16cid:durableId="7788398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37002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527D0"/>
    <w:rsid w:val="00077844"/>
    <w:rsid w:val="000803E2"/>
    <w:rsid w:val="0008204E"/>
    <w:rsid w:val="0008506F"/>
    <w:rsid w:val="00094B81"/>
    <w:rsid w:val="0009716C"/>
    <w:rsid w:val="000975AA"/>
    <w:rsid w:val="000C0127"/>
    <w:rsid w:val="000D7934"/>
    <w:rsid w:val="000E472F"/>
    <w:rsid w:val="000F7318"/>
    <w:rsid w:val="00101FB1"/>
    <w:rsid w:val="00114D69"/>
    <w:rsid w:val="0012473C"/>
    <w:rsid w:val="0013132F"/>
    <w:rsid w:val="0013528C"/>
    <w:rsid w:val="00144983"/>
    <w:rsid w:val="00146C4A"/>
    <w:rsid w:val="00165D28"/>
    <w:rsid w:val="00175CD8"/>
    <w:rsid w:val="001809CD"/>
    <w:rsid w:val="001C1C2E"/>
    <w:rsid w:val="001D7FE5"/>
    <w:rsid w:val="001F495E"/>
    <w:rsid w:val="001F6D9E"/>
    <w:rsid w:val="0020369B"/>
    <w:rsid w:val="00211E76"/>
    <w:rsid w:val="00226F39"/>
    <w:rsid w:val="00241B60"/>
    <w:rsid w:val="0026686C"/>
    <w:rsid w:val="0027724C"/>
    <w:rsid w:val="00293FC2"/>
    <w:rsid w:val="002C0688"/>
    <w:rsid w:val="002C0DB2"/>
    <w:rsid w:val="002C5E29"/>
    <w:rsid w:val="002D7127"/>
    <w:rsid w:val="003008D8"/>
    <w:rsid w:val="00303959"/>
    <w:rsid w:val="00312AC3"/>
    <w:rsid w:val="00314430"/>
    <w:rsid w:val="00315439"/>
    <w:rsid w:val="00324B33"/>
    <w:rsid w:val="00337663"/>
    <w:rsid w:val="00346EC2"/>
    <w:rsid w:val="0035444D"/>
    <w:rsid w:val="00354F51"/>
    <w:rsid w:val="00387C6B"/>
    <w:rsid w:val="00395140"/>
    <w:rsid w:val="00395FED"/>
    <w:rsid w:val="003B149C"/>
    <w:rsid w:val="003C5373"/>
    <w:rsid w:val="003D71A1"/>
    <w:rsid w:val="0041688F"/>
    <w:rsid w:val="0042376F"/>
    <w:rsid w:val="00423ED8"/>
    <w:rsid w:val="004246B8"/>
    <w:rsid w:val="00433318"/>
    <w:rsid w:val="00441710"/>
    <w:rsid w:val="00454441"/>
    <w:rsid w:val="0047423F"/>
    <w:rsid w:val="00477C4E"/>
    <w:rsid w:val="00491A55"/>
    <w:rsid w:val="004B3081"/>
    <w:rsid w:val="005105AF"/>
    <w:rsid w:val="00525DF4"/>
    <w:rsid w:val="00535DFE"/>
    <w:rsid w:val="00562F42"/>
    <w:rsid w:val="0056766D"/>
    <w:rsid w:val="0058575E"/>
    <w:rsid w:val="0058783C"/>
    <w:rsid w:val="005911AE"/>
    <w:rsid w:val="0059313A"/>
    <w:rsid w:val="005A53D5"/>
    <w:rsid w:val="005B023F"/>
    <w:rsid w:val="005D2089"/>
    <w:rsid w:val="005D4F22"/>
    <w:rsid w:val="005D6429"/>
    <w:rsid w:val="005D7514"/>
    <w:rsid w:val="005E1A7B"/>
    <w:rsid w:val="005F2B34"/>
    <w:rsid w:val="006277A1"/>
    <w:rsid w:val="006351D9"/>
    <w:rsid w:val="00637130"/>
    <w:rsid w:val="00637CDC"/>
    <w:rsid w:val="00637F0E"/>
    <w:rsid w:val="00641544"/>
    <w:rsid w:val="006423F2"/>
    <w:rsid w:val="006472A0"/>
    <w:rsid w:val="006521EF"/>
    <w:rsid w:val="00680D46"/>
    <w:rsid w:val="00692CCD"/>
    <w:rsid w:val="00694733"/>
    <w:rsid w:val="006A1F0B"/>
    <w:rsid w:val="006A277A"/>
    <w:rsid w:val="006C03D1"/>
    <w:rsid w:val="006D6B44"/>
    <w:rsid w:val="006F0F9B"/>
    <w:rsid w:val="007072A1"/>
    <w:rsid w:val="007072DF"/>
    <w:rsid w:val="00710BC5"/>
    <w:rsid w:val="00715366"/>
    <w:rsid w:val="0072003B"/>
    <w:rsid w:val="00732C11"/>
    <w:rsid w:val="007357B9"/>
    <w:rsid w:val="0074369B"/>
    <w:rsid w:val="007452E8"/>
    <w:rsid w:val="00746990"/>
    <w:rsid w:val="00750D70"/>
    <w:rsid w:val="007857BC"/>
    <w:rsid w:val="00793272"/>
    <w:rsid w:val="007B04DE"/>
    <w:rsid w:val="007C2564"/>
    <w:rsid w:val="007C57BC"/>
    <w:rsid w:val="007C754E"/>
    <w:rsid w:val="007D1271"/>
    <w:rsid w:val="007D2140"/>
    <w:rsid w:val="007D4138"/>
    <w:rsid w:val="007D473D"/>
    <w:rsid w:val="007F0A77"/>
    <w:rsid w:val="007F50D3"/>
    <w:rsid w:val="007F6A43"/>
    <w:rsid w:val="0080116F"/>
    <w:rsid w:val="008329DB"/>
    <w:rsid w:val="008361C5"/>
    <w:rsid w:val="0083628F"/>
    <w:rsid w:val="00837AB9"/>
    <w:rsid w:val="0084188E"/>
    <w:rsid w:val="00850637"/>
    <w:rsid w:val="00850640"/>
    <w:rsid w:val="008535BC"/>
    <w:rsid w:val="00854D98"/>
    <w:rsid w:val="00860B29"/>
    <w:rsid w:val="00864873"/>
    <w:rsid w:val="008804CF"/>
    <w:rsid w:val="00891305"/>
    <w:rsid w:val="00892BA0"/>
    <w:rsid w:val="00893AC0"/>
    <w:rsid w:val="008964B3"/>
    <w:rsid w:val="008C49C6"/>
    <w:rsid w:val="008C754C"/>
    <w:rsid w:val="008D2C52"/>
    <w:rsid w:val="008D6A54"/>
    <w:rsid w:val="00900E78"/>
    <w:rsid w:val="0090367A"/>
    <w:rsid w:val="0090605E"/>
    <w:rsid w:val="009108CE"/>
    <w:rsid w:val="00915A9F"/>
    <w:rsid w:val="00930D58"/>
    <w:rsid w:val="00932277"/>
    <w:rsid w:val="00952E25"/>
    <w:rsid w:val="00956819"/>
    <w:rsid w:val="00966EF1"/>
    <w:rsid w:val="0098350E"/>
    <w:rsid w:val="00996FA5"/>
    <w:rsid w:val="009C32B7"/>
    <w:rsid w:val="009E48F8"/>
    <w:rsid w:val="009E4B11"/>
    <w:rsid w:val="009E6F8C"/>
    <w:rsid w:val="009F4E04"/>
    <w:rsid w:val="00A01C56"/>
    <w:rsid w:val="00A020D9"/>
    <w:rsid w:val="00A02A15"/>
    <w:rsid w:val="00A302F0"/>
    <w:rsid w:val="00A33AB5"/>
    <w:rsid w:val="00A358E7"/>
    <w:rsid w:val="00A374D0"/>
    <w:rsid w:val="00A51A2D"/>
    <w:rsid w:val="00A63D9B"/>
    <w:rsid w:val="00A65432"/>
    <w:rsid w:val="00A93DC6"/>
    <w:rsid w:val="00AA4EDD"/>
    <w:rsid w:val="00AB7CBF"/>
    <w:rsid w:val="00AD0797"/>
    <w:rsid w:val="00AD2A93"/>
    <w:rsid w:val="00AE1947"/>
    <w:rsid w:val="00B07FB4"/>
    <w:rsid w:val="00B14068"/>
    <w:rsid w:val="00B25B8F"/>
    <w:rsid w:val="00B27819"/>
    <w:rsid w:val="00B305A1"/>
    <w:rsid w:val="00B41404"/>
    <w:rsid w:val="00B44DE2"/>
    <w:rsid w:val="00B46BC0"/>
    <w:rsid w:val="00B55681"/>
    <w:rsid w:val="00B7130A"/>
    <w:rsid w:val="00B967FF"/>
    <w:rsid w:val="00BA7F7D"/>
    <w:rsid w:val="00BB1C14"/>
    <w:rsid w:val="00BD07DF"/>
    <w:rsid w:val="00BD5DBD"/>
    <w:rsid w:val="00BE3780"/>
    <w:rsid w:val="00BF4638"/>
    <w:rsid w:val="00C07551"/>
    <w:rsid w:val="00C22214"/>
    <w:rsid w:val="00C407AB"/>
    <w:rsid w:val="00C53E65"/>
    <w:rsid w:val="00C570FF"/>
    <w:rsid w:val="00C6574E"/>
    <w:rsid w:val="00C70C85"/>
    <w:rsid w:val="00C7429A"/>
    <w:rsid w:val="00C816C6"/>
    <w:rsid w:val="00CB0550"/>
    <w:rsid w:val="00CB0DCF"/>
    <w:rsid w:val="00D01DDB"/>
    <w:rsid w:val="00D078BE"/>
    <w:rsid w:val="00D12134"/>
    <w:rsid w:val="00D12774"/>
    <w:rsid w:val="00D13F8A"/>
    <w:rsid w:val="00D62877"/>
    <w:rsid w:val="00D63760"/>
    <w:rsid w:val="00D82842"/>
    <w:rsid w:val="00D918D5"/>
    <w:rsid w:val="00D94C8E"/>
    <w:rsid w:val="00DA51B0"/>
    <w:rsid w:val="00DB192C"/>
    <w:rsid w:val="00DB1CF3"/>
    <w:rsid w:val="00DC22EC"/>
    <w:rsid w:val="00DD1232"/>
    <w:rsid w:val="00DE792E"/>
    <w:rsid w:val="00DF0812"/>
    <w:rsid w:val="00DF5BFE"/>
    <w:rsid w:val="00E13387"/>
    <w:rsid w:val="00E165EF"/>
    <w:rsid w:val="00E2552F"/>
    <w:rsid w:val="00E36472"/>
    <w:rsid w:val="00E37AA6"/>
    <w:rsid w:val="00E47E0C"/>
    <w:rsid w:val="00E51813"/>
    <w:rsid w:val="00E53D3F"/>
    <w:rsid w:val="00E5579B"/>
    <w:rsid w:val="00E64BDB"/>
    <w:rsid w:val="00E7128A"/>
    <w:rsid w:val="00E81FD4"/>
    <w:rsid w:val="00EA20ED"/>
    <w:rsid w:val="00EB1BB3"/>
    <w:rsid w:val="00ED1100"/>
    <w:rsid w:val="00EF06E1"/>
    <w:rsid w:val="00F02AEC"/>
    <w:rsid w:val="00F05BC2"/>
    <w:rsid w:val="00F157FC"/>
    <w:rsid w:val="00F256E4"/>
    <w:rsid w:val="00F30A5E"/>
    <w:rsid w:val="00F30AF3"/>
    <w:rsid w:val="00F411D0"/>
    <w:rsid w:val="00F657B4"/>
    <w:rsid w:val="00F865A7"/>
    <w:rsid w:val="00FA0754"/>
    <w:rsid w:val="00FA1BC9"/>
    <w:rsid w:val="00FA49C3"/>
    <w:rsid w:val="00FB236E"/>
    <w:rsid w:val="00FB39D0"/>
    <w:rsid w:val="00FC6F56"/>
    <w:rsid w:val="00FE0067"/>
    <w:rsid w:val="00FE087C"/>
    <w:rsid w:val="1CD3862B"/>
    <w:rsid w:val="302D0080"/>
    <w:rsid w:val="484F0078"/>
    <w:rsid w:val="5C4B91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8CD88062-137F-41D2-B25B-B9402A21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36472"/>
    <w:pPr>
      <w:keepNext/>
      <w:keepLines/>
      <w:spacing w:before="40" w:after="0"/>
      <w:outlineLvl w:val="6"/>
    </w:pPr>
    <w:rPr>
      <w:rFonts w:ascii="Calibri" w:eastAsiaTheme="majorEastAsia" w:hAnsi="Calibri" w:cstheme="majorBidi"/>
      <w:i/>
      <w:iCs/>
      <w:color w:val="1F3763" w:themeColor="accent1" w:themeShade="7F"/>
    </w:rPr>
  </w:style>
  <w:style w:type="paragraph" w:styleId="Heading8">
    <w:name w:val="heading 8"/>
    <w:basedOn w:val="Normal"/>
    <w:next w:val="Normal"/>
    <w:link w:val="Heading8Char"/>
    <w:uiPriority w:val="9"/>
    <w:unhideWhenUsed/>
    <w:qFormat/>
    <w:rsid w:val="00E36472"/>
    <w:pPr>
      <w:keepNext/>
      <w:keepLines/>
      <w:spacing w:before="40" w:after="0"/>
      <w:outlineLvl w:val="7"/>
    </w:pPr>
    <w:rPr>
      <w:rFonts w:ascii="Calibri" w:eastAsiaTheme="majorEastAsia" w:hAnsi="Calibr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A374D0"/>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A374D0"/>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864873"/>
    <w:pPr>
      <w:autoSpaceDE w:val="0"/>
      <w:autoSpaceDN w:val="0"/>
      <w:adjustRightInd w:val="0"/>
      <w:spacing w:after="0" w:line="240" w:lineRule="auto"/>
    </w:pPr>
    <w:rPr>
      <w:rFonts w:ascii="Cambria" w:hAnsi="Cambria" w:cs="Cambria"/>
      <w:color w:val="000000"/>
      <w:sz w:val="24"/>
      <w:szCs w:val="24"/>
    </w:rPr>
  </w:style>
  <w:style w:type="character" w:customStyle="1" w:styleId="Heading7Char">
    <w:name w:val="Heading 7 Char"/>
    <w:basedOn w:val="DefaultParagraphFont"/>
    <w:link w:val="Heading7"/>
    <w:uiPriority w:val="9"/>
    <w:rsid w:val="00E36472"/>
    <w:rPr>
      <w:rFonts w:ascii="Calibri" w:eastAsiaTheme="majorEastAsia" w:hAnsi="Calibri" w:cstheme="majorBidi"/>
      <w:i/>
      <w:iCs/>
      <w:color w:val="1F3763" w:themeColor="accent1" w:themeShade="7F"/>
      <w:sz w:val="22"/>
    </w:rPr>
  </w:style>
  <w:style w:type="character" w:customStyle="1" w:styleId="Heading8Char">
    <w:name w:val="Heading 8 Char"/>
    <w:basedOn w:val="DefaultParagraphFont"/>
    <w:link w:val="Heading8"/>
    <w:uiPriority w:val="9"/>
    <w:rsid w:val="00E36472"/>
    <w:rPr>
      <w:rFonts w:ascii="Calibri" w:eastAsiaTheme="majorEastAsia" w:hAnsi="Calibri" w:cstheme="majorBidi"/>
      <w:color w:val="272727" w:themeColor="text1" w:themeTint="D8"/>
      <w:sz w:val="22"/>
      <w:szCs w:val="21"/>
    </w:rPr>
  </w:style>
  <w:style w:type="paragraph" w:customStyle="1" w:styleId="Standard">
    <w:name w:val="Standard"/>
    <w:basedOn w:val="Normal"/>
    <w:link w:val="StandardChar"/>
    <w:qFormat/>
    <w:rsid w:val="00C7429A"/>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7429A"/>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C7429A"/>
    <w:pPr>
      <w:spacing w:before="20" w:after="20"/>
    </w:pPr>
  </w:style>
  <w:style w:type="paragraph" w:customStyle="1" w:styleId="Bulletlist">
    <w:name w:val="Bullet list"/>
    <w:basedOn w:val="Standard"/>
    <w:link w:val="BulletlistChar"/>
    <w:qFormat/>
    <w:rsid w:val="00C7429A"/>
    <w:pPr>
      <w:numPr>
        <w:numId w:val="8"/>
      </w:numPr>
      <w:spacing w:after="180"/>
      <w:ind w:left="426" w:hanging="284"/>
    </w:pPr>
    <w:rPr>
      <w:kern w:val="2"/>
    </w:rPr>
  </w:style>
  <w:style w:type="character" w:customStyle="1" w:styleId="TabletextChar">
    <w:name w:val="Table text Char"/>
    <w:basedOn w:val="StandardChar"/>
    <w:link w:val="Tabletext0"/>
    <w:rsid w:val="00C7429A"/>
    <w:rPr>
      <w:rFonts w:ascii="Cambria" w:eastAsia="Times New Roman" w:hAnsi="Cambria" w:cs="Times New Roman"/>
      <w:snapToGrid w:val="0"/>
      <w:kern w:val="16"/>
      <w:sz w:val="23"/>
      <w:szCs w:val="24"/>
    </w:rPr>
  </w:style>
  <w:style w:type="character" w:customStyle="1" w:styleId="BulletlistChar">
    <w:name w:val="Bullet list Char"/>
    <w:basedOn w:val="StandardChar"/>
    <w:link w:val="Bulletlist"/>
    <w:rsid w:val="00C7429A"/>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2540867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6.png"/><Relationship Id="rId21" Type="http://schemas.openxmlformats.org/officeDocument/2006/relationships/hyperlink" Target="https://www.tga.gov.au/australia-canada-singapore-switzerland-united-kingdom-access-consortiu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6.xml"/><Relationship Id="rId68" Type="http://schemas.openxmlformats.org/officeDocument/2006/relationships/footer" Target="footer8.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ga.gov.au/products/australian-register-therapeutic-goods-artg/consumer-medicines-information-cmi"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www.tga.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tga.gov.au/products/australian-register-therapeutic-goods-artg/product-information-one"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tga.copyright@tga.gov.a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3.xml"/><Relationship Id="rId65"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www.tga.gov.au/picmi-search-facility" TargetMode="External"/><Relationship Id="rId69"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tga.gov.au" TargetMode="External"/><Relationship Id="rId25" Type="http://schemas.openxmlformats.org/officeDocument/2006/relationships/hyperlink" Target="https://www.tga.gov.au/picmi-search-facility"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www.tga.gov.au/committee/advisory-committee-medicines-acm" TargetMode="External"/><Relationship Id="rId67" Type="http://schemas.openxmlformats.org/officeDocument/2006/relationships/footer" Target="footer7.xml"/><Relationship Id="rId20" Type="http://schemas.openxmlformats.org/officeDocument/2006/relationships/hyperlink" Target="https://www.tga.gov.au/black-triangle-scheme"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oter" Target="footer5.xml"/><Relationship Id="rId70"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documents/scientific-guideline/ich-e-9-statistical-principles-clinical-trials-step-5_en.pdf" TargetMode="External"/><Relationship Id="rId1" Type="http://schemas.openxmlformats.org/officeDocument/2006/relationships/hyperlink" Target="https://database.ich.org/sites/default/files/E6_R2_Addendum.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p r o p e r t i e s   x m l n s = " h t t p : / / w w w . i m a n a g e . c o m / w o r k / x m l s c h e m a " >  
     < d o c u m e n t i d > P R O J E C T S ! 5 6 2 0 1 6 . 3 < / d o c u m e n t i d >  
     < s e n d e r i d > M E L I S S A . E L L I S @ C O M M E R C I A L E Y E S . C O M . A U < / s e n d e r i d >  
     < s e n d e r e m a i l > M E L I S S A . E L L I S @ C O M M E R C I A L E Y E S . C O M . A U < / s e n d e r e m a i l >  
     < l a s t m o d i f i e d > 2 0 2 3 - 1 0 - 3 0 T 2 1 : 0 7 : 0 0 . 0 0 0 0 0 0 0 + 1 1 : 0 0 < / l a s t m o d i f i e d >  
     < d a t a b a s e > P R O J E C T S < / d a t a b a s e >  
 < / 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B2D13F5FF273E44868F72488E6922AE" ma:contentTypeVersion="23" ma:contentTypeDescription="Create a new document." ma:contentTypeScope="" ma:versionID="af8d04d5987ea2a8ba8f968752a83e8c">
  <xsd:schema xmlns:xsd="http://www.w3.org/2001/XMLSchema" xmlns:xs="http://www.w3.org/2001/XMLSchema" xmlns:p="http://schemas.microsoft.com/office/2006/metadata/properties" xmlns:ns2="6aba25d7-c2e2-4a22-8767-ac9beb5a5035" xmlns:ns3="c7f08f69-20aa-4e12-96dd-feef3d1cd9cb" targetNamespace="http://schemas.microsoft.com/office/2006/metadata/properties" ma:root="true" ma:fieldsID="c9d5cd88f8c80333a27a2491c1286ad8" ns2:_="" ns3:_="">
    <xsd:import namespace="6aba25d7-c2e2-4a22-8767-ac9beb5a5035"/>
    <xsd:import namespace="c7f08f69-20aa-4e12-96dd-feef3d1cd9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a25d7-c2e2-4a22-8767-ac9beb5a5035"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f08f69-20aa-4e12-96dd-feef3d1cd9cb"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22784439-9265-471B-A64D-E1282B42C37F}">
  <ds:schemaRefs>
    <ds:schemaRef ds:uri="http://schemas.microsoft.com/sharepoint/v3/contenttype/forms"/>
  </ds:schemaRefs>
</ds:datastoreItem>
</file>

<file path=customXml/itemProps3.xml><?xml version="1.0" encoding="utf-8"?>
<ds:datastoreItem xmlns:ds="http://schemas.openxmlformats.org/officeDocument/2006/customXml" ds:itemID="{15462351-314A-4870-97C6-38AB788CCC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73BF84-2F3F-4B7A-BC5F-DF72CCE4B520}">
  <ds:schemaRefs>
    <ds:schemaRef ds:uri="http://www.imanage.com/work/xmlschema"/>
  </ds:schemaRefs>
</ds:datastoreItem>
</file>

<file path=customXml/itemProps5.xml><?xml version="1.0" encoding="utf-8"?>
<ds:datastoreItem xmlns:ds="http://schemas.openxmlformats.org/officeDocument/2006/customXml" ds:itemID="{A1C79E29-6402-4E17-A74B-B51AC57A6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a25d7-c2e2-4a22-8767-ac9beb5a5035"/>
    <ds:schemaRef ds:uri="c7f08f69-20aa-4e12-96dd-feef3d1cd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66</Pages>
  <Words>21915</Words>
  <Characters>123164</Characters>
  <Application>Microsoft Office Word</Application>
  <DocSecurity>0</DocSecurity>
  <Lines>2280</Lines>
  <Paragraphs>1179</Paragraphs>
  <ScaleCrop>false</ScaleCrop>
  <HeadingPairs>
    <vt:vector size="2" baseType="variant">
      <vt:variant>
        <vt:lpstr>Title</vt:lpstr>
      </vt:variant>
      <vt:variant>
        <vt:i4>1</vt:i4>
      </vt:variant>
    </vt:vector>
  </HeadingPairs>
  <TitlesOfParts>
    <vt:vector size="1" baseType="lpstr">
      <vt:lpstr>Australian public assessment report for Korsuva</vt:lpstr>
    </vt:vector>
  </TitlesOfParts>
  <Company>Department of Health and Aged Care</Company>
  <LinksUpToDate>false</LinksUpToDate>
  <CharactersWithSpaces>143900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Korsuva</dc:title>
  <dc:subject>Prescription medicines</dc:subject>
  <dc:creator>Therapeutic Goods Administration</dc:creator>
  <cp:keywords/>
  <dc:description/>
  <cp:lastModifiedBy>LACK, Janet</cp:lastModifiedBy>
  <cp:revision>4</cp:revision>
  <dcterms:created xsi:type="dcterms:W3CDTF">2023-11-13T22:38:00Z</dcterms:created>
  <dcterms:modified xsi:type="dcterms:W3CDTF">2023-11-14T00:32:00Z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0x010100DB2D13F5FF273E44868F72488E6922AE</vt:lpwstr>
  </property>
  <property fmtid="{D5CDD505-2E9C-101B-9397-08002B2CF9AE}" pid="3" name="ClassificationContentMarkingFooterShapeIds">
    <vt:lpwstr>b,c,d,21,25,26,27,28,29</vt:lpwstr>
  </property>
  <property fmtid="{D5CDD505-2E9C-101B-9397-08002B2CF9AE}" pid="4" name="ClassificationContentMarkingFooterFontProps">
    <vt:lpwstr>#000000,7,Calibri</vt:lpwstr>
  </property>
  <property fmtid="{D5CDD505-2E9C-101B-9397-08002B2CF9AE}" pid="5" name="ClassificationContentMarkingFooterText">
    <vt:lpwstr>BUSINESS USE</vt:lpwstr>
  </property>
  <property fmtid="{D5CDD505-2E9C-101B-9397-08002B2CF9AE}" pid="6" name="MSIP_Label_5288b588-e085-4e7c-a1a7-3e70c10d1e67_Enabled">
    <vt:lpwstr>true</vt:lpwstr>
  </property>
  <property fmtid="{D5CDD505-2E9C-101B-9397-08002B2CF9AE}" pid="7" name="MSIP_Label_5288b588-e085-4e7c-a1a7-3e70c10d1e67_SetDate">
    <vt:lpwstr>2023-10-13T08:43:33Z</vt:lpwstr>
  </property>
  <property fmtid="{D5CDD505-2E9C-101B-9397-08002B2CF9AE}" pid="8" name="MSIP_Label_5288b588-e085-4e7c-a1a7-3e70c10d1e67_Method">
    <vt:lpwstr>Standard</vt:lpwstr>
  </property>
  <property fmtid="{D5CDD505-2E9C-101B-9397-08002B2CF9AE}" pid="9" name="MSIP_Label_5288b588-e085-4e7c-a1a7-3e70c10d1e67_Name">
    <vt:lpwstr>Internal Use Data</vt:lpwstr>
  </property>
  <property fmtid="{D5CDD505-2E9C-101B-9397-08002B2CF9AE}" pid="10" name="MSIP_Label_5288b588-e085-4e7c-a1a7-3e70c10d1e67_SiteId">
    <vt:lpwstr>6dba777c-7033-4ab8-8a93-46304e7ee1b4</vt:lpwstr>
  </property>
  <property fmtid="{D5CDD505-2E9C-101B-9397-08002B2CF9AE}" pid="11" name="MSIP_Label_5288b588-e085-4e7c-a1a7-3e70c10d1e67_ActionId">
    <vt:lpwstr>0b932b0c-24c5-4419-adf4-e7f334329c22</vt:lpwstr>
  </property>
  <property fmtid="{D5CDD505-2E9C-101B-9397-08002B2CF9AE}" pid="12" name="MSIP_Label_5288b588-e085-4e7c-a1a7-3e70c10d1e67_ContentBits">
    <vt:lpwstr>2</vt:lpwstr>
  </property>
</Properties>
</file>