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C47B" w14:textId="263C791A" w:rsidR="0054700D" w:rsidRPr="00065CFF" w:rsidRDefault="0054700D" w:rsidP="0054700D">
      <w:pPr>
        <w:rPr>
          <w:color w:val="000000"/>
          <w:szCs w:val="24"/>
          <w:lang w:val="en-US" w:eastAsia="en-AU"/>
        </w:rPr>
      </w:pPr>
      <w:r w:rsidRPr="00065CFF">
        <w:rPr>
          <w:szCs w:val="24"/>
        </w:rPr>
        <w:t xml:space="preserve">▼ </w:t>
      </w:r>
      <w:r w:rsidRPr="00065CFF">
        <w:rPr>
          <w:color w:val="000000"/>
          <w:szCs w:val="24"/>
          <w:lang w:val="en-US" w:eastAsia="en-AU"/>
        </w:rPr>
        <w:t xml:space="preserve">This medicinal product is subject to additional monitoring in Australia. This will allow quick identification of new safety information. Healthcare professionals are asked to report any suspected adverse events at </w:t>
      </w:r>
      <w:r w:rsidRPr="00065CFF">
        <w:rPr>
          <w:color w:val="000000"/>
          <w:szCs w:val="24"/>
          <w:u w:val="single"/>
          <w:lang w:val="en-US" w:eastAsia="en-AU"/>
        </w:rPr>
        <w:t>www.tga.gov.au/reporting-problems</w:t>
      </w:r>
      <w:r w:rsidRPr="00065CFF">
        <w:rPr>
          <w:color w:val="000000"/>
          <w:szCs w:val="24"/>
          <w:lang w:val="en-US" w:eastAsia="en-AU"/>
        </w:rPr>
        <w:t>.</w:t>
      </w:r>
    </w:p>
    <w:p w14:paraId="7814EE3A" w14:textId="5003CEB3" w:rsidR="00033D26" w:rsidRDefault="00033D26" w:rsidP="00204AAB">
      <w:pPr>
        <w:spacing w:line="240" w:lineRule="auto"/>
        <w:rPr>
          <w:szCs w:val="22"/>
        </w:rPr>
      </w:pPr>
    </w:p>
    <w:p w14:paraId="2F915790" w14:textId="77777777" w:rsidR="0054700D" w:rsidRPr="0098782E" w:rsidRDefault="0054700D" w:rsidP="0054700D">
      <w:pPr>
        <w:keepNext/>
        <w:jc w:val="center"/>
        <w:rPr>
          <w:b/>
          <w:szCs w:val="24"/>
        </w:rPr>
      </w:pPr>
      <w:r w:rsidRPr="0098782E">
        <w:rPr>
          <w:b/>
          <w:szCs w:val="24"/>
        </w:rPr>
        <w:t>AUSTRALIAN PRODUCT INFORMATION</w:t>
      </w:r>
    </w:p>
    <w:p w14:paraId="75D9094C" w14:textId="140861F1" w:rsidR="0054700D" w:rsidRPr="0098782E" w:rsidRDefault="0054700D" w:rsidP="0054700D">
      <w:pPr>
        <w:jc w:val="center"/>
        <w:rPr>
          <w:b/>
          <w:szCs w:val="24"/>
        </w:rPr>
      </w:pPr>
      <w:r>
        <w:rPr>
          <w:b/>
          <w:szCs w:val="24"/>
        </w:rPr>
        <w:t>KORSUVA</w:t>
      </w:r>
      <w:r w:rsidRPr="0098782E">
        <w:rPr>
          <w:b/>
          <w:szCs w:val="24"/>
        </w:rPr>
        <w:t xml:space="preserve"> (</w:t>
      </w:r>
      <w:r>
        <w:rPr>
          <w:b/>
          <w:szCs w:val="24"/>
        </w:rPr>
        <w:t>difelikefalin</w:t>
      </w:r>
      <w:r w:rsidR="00453529">
        <w:rPr>
          <w:b/>
          <w:szCs w:val="24"/>
        </w:rPr>
        <w:t xml:space="preserve"> </w:t>
      </w:r>
      <w:r w:rsidR="00475CD5">
        <w:rPr>
          <w:b/>
          <w:szCs w:val="24"/>
        </w:rPr>
        <w:t>[</w:t>
      </w:r>
      <w:r w:rsidR="00453529">
        <w:rPr>
          <w:b/>
          <w:szCs w:val="24"/>
        </w:rPr>
        <w:t>as acetate</w:t>
      </w:r>
      <w:r w:rsidR="00007F3D">
        <w:rPr>
          <w:b/>
          <w:szCs w:val="24"/>
        </w:rPr>
        <w:t>]</w:t>
      </w:r>
      <w:r w:rsidRPr="0098782E">
        <w:rPr>
          <w:b/>
          <w:szCs w:val="24"/>
        </w:rPr>
        <w:t xml:space="preserve">) </w:t>
      </w:r>
      <w:r>
        <w:rPr>
          <w:b/>
          <w:szCs w:val="24"/>
        </w:rPr>
        <w:t>solution for injection</w:t>
      </w:r>
    </w:p>
    <w:p w14:paraId="3D1D7EAC" w14:textId="77777777" w:rsidR="0054700D" w:rsidRPr="00B64EE7" w:rsidRDefault="0054700D" w:rsidP="00204AAB">
      <w:pPr>
        <w:spacing w:line="240" w:lineRule="auto"/>
        <w:rPr>
          <w:szCs w:val="22"/>
        </w:rPr>
      </w:pPr>
    </w:p>
    <w:p w14:paraId="56041404" w14:textId="77777777" w:rsidR="00033D26" w:rsidRPr="00B64EE7" w:rsidRDefault="00033D26" w:rsidP="00204AAB">
      <w:pPr>
        <w:spacing w:line="240" w:lineRule="auto"/>
        <w:rPr>
          <w:szCs w:val="22"/>
        </w:rPr>
      </w:pPr>
    </w:p>
    <w:p w14:paraId="7580BB7C" w14:textId="360DCFC4" w:rsidR="00812D16" w:rsidRPr="00B17308" w:rsidRDefault="001F0D03" w:rsidP="00B17308">
      <w:pPr>
        <w:pStyle w:val="Heading1"/>
      </w:pPr>
      <w:r w:rsidRPr="00B17308">
        <w:rPr>
          <w:rStyle w:val="Heading1Char"/>
          <w:b/>
          <w:bCs/>
        </w:rPr>
        <w:t xml:space="preserve">NAME OF THE </w:t>
      </w:r>
      <w:r w:rsidR="00453529">
        <w:rPr>
          <w:rStyle w:val="Heading1Char"/>
          <w:b/>
          <w:bCs/>
        </w:rPr>
        <w:t>MEDICINE</w:t>
      </w:r>
    </w:p>
    <w:p w14:paraId="66A582AC" w14:textId="77777777" w:rsidR="00812D16" w:rsidRPr="00B64EE7" w:rsidRDefault="00812D16" w:rsidP="00204AAB">
      <w:pPr>
        <w:spacing w:line="240" w:lineRule="auto"/>
        <w:rPr>
          <w:iCs/>
          <w:noProof/>
          <w:szCs w:val="22"/>
        </w:rPr>
      </w:pPr>
    </w:p>
    <w:p w14:paraId="7692FFC9" w14:textId="58777659" w:rsidR="00812D16" w:rsidRPr="00B64EE7" w:rsidRDefault="0054700D" w:rsidP="006C1AFF">
      <w:pPr>
        <w:spacing w:line="240" w:lineRule="auto"/>
        <w:rPr>
          <w:noProof/>
          <w:szCs w:val="22"/>
        </w:rPr>
      </w:pPr>
      <w:r>
        <w:rPr>
          <w:noProof/>
          <w:szCs w:val="22"/>
        </w:rPr>
        <w:t>Difelikefalin</w:t>
      </w:r>
      <w:r w:rsidR="00453529">
        <w:rPr>
          <w:noProof/>
          <w:szCs w:val="22"/>
        </w:rPr>
        <w:t xml:space="preserve"> acetate</w:t>
      </w:r>
    </w:p>
    <w:p w14:paraId="006BB32A" w14:textId="77777777" w:rsidR="00812D16" w:rsidRPr="00B64EE7" w:rsidRDefault="00812D16" w:rsidP="00204AAB">
      <w:pPr>
        <w:spacing w:line="240" w:lineRule="auto"/>
        <w:rPr>
          <w:iCs/>
          <w:noProof/>
          <w:szCs w:val="22"/>
        </w:rPr>
      </w:pPr>
    </w:p>
    <w:p w14:paraId="3EC51086" w14:textId="77777777" w:rsidR="00812D16" w:rsidRPr="00B64EE7" w:rsidRDefault="00812D16" w:rsidP="00204AAB">
      <w:pPr>
        <w:spacing w:line="240" w:lineRule="auto"/>
        <w:rPr>
          <w:iCs/>
          <w:noProof/>
          <w:szCs w:val="22"/>
        </w:rPr>
      </w:pPr>
    </w:p>
    <w:p w14:paraId="2917BC59" w14:textId="49BAE800" w:rsidR="00812D16" w:rsidRPr="00B64EE7" w:rsidRDefault="001F0D03" w:rsidP="00B17308">
      <w:pPr>
        <w:pStyle w:val="Heading1"/>
        <w:rPr>
          <w:noProof/>
        </w:rPr>
      </w:pPr>
      <w:r w:rsidRPr="00B64EE7">
        <w:rPr>
          <w:noProof/>
        </w:rPr>
        <w:t>QUALITATIVE AND QUANTITATIVE COMPOSITION</w:t>
      </w:r>
    </w:p>
    <w:p w14:paraId="0EA17535" w14:textId="77777777" w:rsidR="00812D16" w:rsidRPr="00B64EE7" w:rsidRDefault="00812D16" w:rsidP="00204AAB">
      <w:pPr>
        <w:spacing w:line="240" w:lineRule="auto"/>
        <w:rPr>
          <w:iCs/>
          <w:noProof/>
          <w:szCs w:val="22"/>
        </w:rPr>
      </w:pPr>
    </w:p>
    <w:p w14:paraId="35C7F5B3" w14:textId="77777777" w:rsidR="00A6764E" w:rsidRPr="00B64EE7" w:rsidRDefault="00A6764E" w:rsidP="00A6764E">
      <w:pPr>
        <w:spacing w:line="240" w:lineRule="auto"/>
        <w:rPr>
          <w:bCs/>
          <w:noProof/>
          <w:szCs w:val="22"/>
        </w:rPr>
      </w:pPr>
      <w:r w:rsidRPr="00B64EE7">
        <w:rPr>
          <w:bCs/>
          <w:noProof/>
          <w:szCs w:val="22"/>
        </w:rPr>
        <w:t>Each vial of 1</w:t>
      </w:r>
      <w:r w:rsidRPr="00B64EE7">
        <w:rPr>
          <w:noProof/>
          <w:szCs w:val="22"/>
        </w:rPr>
        <w:t> </w:t>
      </w:r>
      <w:r w:rsidRPr="00B64EE7">
        <w:rPr>
          <w:bCs/>
          <w:noProof/>
          <w:szCs w:val="22"/>
        </w:rPr>
        <w:t>mL contains 50</w:t>
      </w:r>
      <w:r w:rsidRPr="00B64EE7">
        <w:rPr>
          <w:noProof/>
          <w:szCs w:val="22"/>
        </w:rPr>
        <w:t> </w:t>
      </w:r>
      <w:r w:rsidRPr="00B64EE7">
        <w:rPr>
          <w:bCs/>
          <w:noProof/>
          <w:szCs w:val="22"/>
        </w:rPr>
        <w:t>micrograms difelikefalin (as acetate).</w:t>
      </w:r>
    </w:p>
    <w:p w14:paraId="5329A6BF" w14:textId="77777777" w:rsidR="00A6764E" w:rsidRPr="00B64EE7" w:rsidRDefault="00A6764E" w:rsidP="00A6764E">
      <w:pPr>
        <w:spacing w:line="240" w:lineRule="auto"/>
        <w:rPr>
          <w:bCs/>
          <w:noProof/>
          <w:szCs w:val="22"/>
        </w:rPr>
      </w:pPr>
    </w:p>
    <w:p w14:paraId="08F4B6EC" w14:textId="77777777" w:rsidR="005812DA" w:rsidRPr="00EE21DF" w:rsidRDefault="005812DA" w:rsidP="00EE21DF">
      <w:pPr>
        <w:rPr>
          <w:u w:val="single"/>
          <w:lang w:val="en-US"/>
        </w:rPr>
      </w:pPr>
      <w:r w:rsidRPr="00EE21DF">
        <w:rPr>
          <w:u w:val="single"/>
          <w:lang w:val="en-US"/>
        </w:rPr>
        <w:t>Excipients with known effect</w:t>
      </w:r>
    </w:p>
    <w:p w14:paraId="2F1A4218" w14:textId="77777777" w:rsidR="005812DA" w:rsidRPr="00657E9D" w:rsidRDefault="005812DA" w:rsidP="00EE21DF">
      <w:pPr>
        <w:rPr>
          <w:noProof/>
          <w:lang w:val="en-US"/>
        </w:rPr>
      </w:pPr>
    </w:p>
    <w:p w14:paraId="1D665BB4" w14:textId="7AD8B8B7" w:rsidR="005812DA" w:rsidRDefault="005812DA" w:rsidP="005812DA">
      <w:pPr>
        <w:spacing w:line="240" w:lineRule="auto"/>
        <w:rPr>
          <w:rFonts w:eastAsia="SimSun"/>
          <w:color w:val="000000"/>
          <w:szCs w:val="22"/>
          <w:lang w:val="en-US" w:eastAsia="en-GB"/>
        </w:rPr>
      </w:pPr>
      <w:r w:rsidRPr="00FF01BC">
        <w:rPr>
          <w:rFonts w:eastAsia="SimSun"/>
          <w:color w:val="000000"/>
          <w:szCs w:val="22"/>
          <w:lang w:val="en-US" w:eastAsia="en-GB"/>
        </w:rPr>
        <w:t xml:space="preserve">This medicinal product contains less than 1 mmol sodium per vial, </w:t>
      </w:r>
      <w:proofErr w:type="gramStart"/>
      <w:r w:rsidRPr="00FF01BC">
        <w:rPr>
          <w:rFonts w:eastAsia="SimSun"/>
          <w:color w:val="000000"/>
          <w:szCs w:val="22"/>
          <w:lang w:val="en-US" w:eastAsia="en-GB"/>
        </w:rPr>
        <w:t>that is to say essentially</w:t>
      </w:r>
      <w:proofErr w:type="gramEnd"/>
      <w:r w:rsidRPr="00FF01BC">
        <w:rPr>
          <w:rFonts w:eastAsia="SimSun"/>
          <w:color w:val="000000"/>
          <w:szCs w:val="22"/>
          <w:lang w:val="en-US" w:eastAsia="en-GB"/>
        </w:rPr>
        <w:t xml:space="preserve"> sodium-free.</w:t>
      </w:r>
    </w:p>
    <w:p w14:paraId="67334AC0" w14:textId="77777777" w:rsidR="005812DA" w:rsidRPr="00FF01BC" w:rsidRDefault="005812DA" w:rsidP="005812DA">
      <w:pPr>
        <w:spacing w:line="240" w:lineRule="auto"/>
        <w:rPr>
          <w:rFonts w:eastAsia="SimSun"/>
          <w:color w:val="000000"/>
          <w:szCs w:val="22"/>
          <w:lang w:val="en-US" w:eastAsia="en-GB"/>
        </w:rPr>
      </w:pPr>
    </w:p>
    <w:p w14:paraId="7FEEDB9A" w14:textId="77777777" w:rsidR="00A6764E" w:rsidRPr="00B64EE7" w:rsidRDefault="00A6764E" w:rsidP="00A6764E">
      <w:pPr>
        <w:spacing w:line="240" w:lineRule="auto"/>
        <w:rPr>
          <w:noProof/>
          <w:szCs w:val="22"/>
        </w:rPr>
      </w:pPr>
      <w:r w:rsidRPr="00B64EE7">
        <w:rPr>
          <w:bCs/>
          <w:noProof/>
          <w:szCs w:val="22"/>
        </w:rPr>
        <w:t>For the full list of excipients, see section</w:t>
      </w:r>
      <w:r w:rsidRPr="00B64EE7">
        <w:rPr>
          <w:noProof/>
          <w:szCs w:val="22"/>
        </w:rPr>
        <w:t> </w:t>
      </w:r>
      <w:r w:rsidRPr="00B64EE7">
        <w:rPr>
          <w:bCs/>
          <w:noProof/>
          <w:szCs w:val="22"/>
        </w:rPr>
        <w:t>6.1.</w:t>
      </w:r>
    </w:p>
    <w:p w14:paraId="11D8A879" w14:textId="77777777" w:rsidR="00812D16" w:rsidRPr="00B64EE7" w:rsidRDefault="00812D16" w:rsidP="00204AAB">
      <w:pPr>
        <w:spacing w:line="240" w:lineRule="auto"/>
        <w:rPr>
          <w:noProof/>
          <w:szCs w:val="22"/>
        </w:rPr>
      </w:pPr>
    </w:p>
    <w:p w14:paraId="096BAA92" w14:textId="77777777" w:rsidR="00A6764E" w:rsidRPr="00B64EE7" w:rsidRDefault="00A6764E" w:rsidP="00204AAB">
      <w:pPr>
        <w:spacing w:line="240" w:lineRule="auto"/>
        <w:rPr>
          <w:noProof/>
          <w:szCs w:val="22"/>
        </w:rPr>
      </w:pPr>
    </w:p>
    <w:p w14:paraId="3FC3E839" w14:textId="78FEAAFD" w:rsidR="00812D16" w:rsidRPr="00B64EE7" w:rsidRDefault="001F0D03" w:rsidP="00AD6051">
      <w:pPr>
        <w:pStyle w:val="Heading1"/>
        <w:rPr>
          <w:caps/>
          <w:noProof/>
        </w:rPr>
      </w:pPr>
      <w:r w:rsidRPr="00B64EE7">
        <w:rPr>
          <w:noProof/>
        </w:rPr>
        <w:t xml:space="preserve">PHARMACEUTICAL </w:t>
      </w:r>
      <w:r w:rsidR="00855481" w:rsidRPr="00B64EE7">
        <w:rPr>
          <w:noProof/>
        </w:rPr>
        <w:t>FORM</w:t>
      </w:r>
    </w:p>
    <w:p w14:paraId="59B0AA5F" w14:textId="77777777" w:rsidR="00812D16" w:rsidRPr="00B64EE7" w:rsidRDefault="00812D16" w:rsidP="00204AAB">
      <w:pPr>
        <w:spacing w:line="240" w:lineRule="auto"/>
        <w:rPr>
          <w:noProof/>
          <w:szCs w:val="22"/>
        </w:rPr>
      </w:pPr>
    </w:p>
    <w:p w14:paraId="001EF334" w14:textId="77777777" w:rsidR="00A6764E" w:rsidRPr="00B64EE7" w:rsidRDefault="00A6764E" w:rsidP="00A6764E">
      <w:pPr>
        <w:spacing w:line="240" w:lineRule="auto"/>
        <w:rPr>
          <w:bCs/>
          <w:noProof/>
          <w:szCs w:val="22"/>
        </w:rPr>
      </w:pPr>
      <w:r w:rsidRPr="00B64EE7">
        <w:rPr>
          <w:bCs/>
          <w:noProof/>
          <w:szCs w:val="22"/>
        </w:rPr>
        <w:t xml:space="preserve">Solution for injection. </w:t>
      </w:r>
    </w:p>
    <w:p w14:paraId="3E64CBA9" w14:textId="658E7A39" w:rsidR="00A6764E" w:rsidRDefault="00A6764E" w:rsidP="00A6764E">
      <w:pPr>
        <w:spacing w:line="240" w:lineRule="auto"/>
        <w:rPr>
          <w:bCs/>
          <w:noProof/>
          <w:szCs w:val="22"/>
        </w:rPr>
      </w:pPr>
      <w:r w:rsidRPr="00B64EE7">
        <w:rPr>
          <w:bCs/>
          <w:noProof/>
          <w:szCs w:val="22"/>
        </w:rPr>
        <w:t>Clear, colourless solution, free from particles.</w:t>
      </w:r>
    </w:p>
    <w:p w14:paraId="25F3CE26" w14:textId="77777777" w:rsidR="00B321D0" w:rsidRPr="00B64EE7" w:rsidRDefault="00B321D0" w:rsidP="00A6764E">
      <w:pPr>
        <w:spacing w:line="240" w:lineRule="auto"/>
        <w:rPr>
          <w:bCs/>
          <w:noProof/>
          <w:szCs w:val="22"/>
        </w:rPr>
      </w:pPr>
    </w:p>
    <w:p w14:paraId="26451B4C" w14:textId="77777777" w:rsidR="00812D16" w:rsidRPr="00B64EE7" w:rsidRDefault="00812D16" w:rsidP="00204AAB">
      <w:pPr>
        <w:spacing w:line="240" w:lineRule="auto"/>
        <w:rPr>
          <w:noProof/>
          <w:szCs w:val="22"/>
        </w:rPr>
      </w:pPr>
    </w:p>
    <w:p w14:paraId="4434EE54" w14:textId="71F0495A" w:rsidR="00812D16" w:rsidRPr="00B64EE7" w:rsidRDefault="005812DA" w:rsidP="00AD6051">
      <w:pPr>
        <w:pStyle w:val="Heading1"/>
        <w:rPr>
          <w:noProof/>
        </w:rPr>
      </w:pPr>
      <w:r>
        <w:rPr>
          <w:noProof/>
        </w:rPr>
        <w:t>CLINICAL PARTICULARS</w:t>
      </w:r>
    </w:p>
    <w:p w14:paraId="5908E7E7" w14:textId="77777777" w:rsidR="005812DA" w:rsidRPr="00AD6051" w:rsidRDefault="005812DA" w:rsidP="00AD6051"/>
    <w:p w14:paraId="15E36056" w14:textId="344F8EF6" w:rsidR="00812D16" w:rsidRPr="00AD6051" w:rsidRDefault="005812DA" w:rsidP="00AD6051">
      <w:pPr>
        <w:pStyle w:val="Heading2"/>
      </w:pPr>
      <w:r>
        <w:t>THERAPEUTIC INDICATIONS</w:t>
      </w:r>
    </w:p>
    <w:p w14:paraId="4EF38B66" w14:textId="77777777" w:rsidR="00812D16" w:rsidRPr="00B64EE7" w:rsidRDefault="00812D16" w:rsidP="00204AAB">
      <w:pPr>
        <w:spacing w:line="240" w:lineRule="auto"/>
        <w:rPr>
          <w:noProof/>
          <w:szCs w:val="22"/>
        </w:rPr>
      </w:pPr>
    </w:p>
    <w:p w14:paraId="7EE6B6E0" w14:textId="53477B8A" w:rsidR="00A6764E" w:rsidRPr="00B64EE7" w:rsidRDefault="00364A36" w:rsidP="00A6764E">
      <w:pPr>
        <w:spacing w:line="240" w:lineRule="auto"/>
        <w:rPr>
          <w:bCs/>
          <w:noProof/>
          <w:szCs w:val="22"/>
        </w:rPr>
      </w:pPr>
      <w:r>
        <w:rPr>
          <w:noProof/>
          <w:szCs w:val="22"/>
        </w:rPr>
        <w:t>Korsuva</w:t>
      </w:r>
      <w:r w:rsidR="00A6764E" w:rsidRPr="00B64EE7">
        <w:rPr>
          <w:bCs/>
          <w:noProof/>
          <w:szCs w:val="22"/>
        </w:rPr>
        <w:t xml:space="preserve"> is indicated for the treatment of </w:t>
      </w:r>
      <w:r w:rsidR="00CA4C90" w:rsidRPr="00CA4C90">
        <w:rPr>
          <w:bCs/>
          <w:noProof/>
          <w:szCs w:val="22"/>
        </w:rPr>
        <w:t>moderate-to-severe</w:t>
      </w:r>
      <w:r w:rsidR="00CA4C90" w:rsidRPr="00CA4C90">
        <w:rPr>
          <w:bCs/>
          <w:i/>
          <w:iCs/>
          <w:noProof/>
          <w:szCs w:val="22"/>
        </w:rPr>
        <w:t xml:space="preserve"> </w:t>
      </w:r>
      <w:r w:rsidR="00A6764E" w:rsidRPr="00B64EE7">
        <w:rPr>
          <w:bCs/>
          <w:noProof/>
          <w:szCs w:val="22"/>
        </w:rPr>
        <w:t>pruritus associated with chronic kidney disease in adult patients on haemodialy</w:t>
      </w:r>
      <w:r w:rsidR="00613EC0">
        <w:rPr>
          <w:bCs/>
          <w:noProof/>
          <w:szCs w:val="22"/>
        </w:rPr>
        <w:t>s</w:t>
      </w:r>
      <w:r w:rsidR="00A6764E" w:rsidRPr="00B64EE7">
        <w:rPr>
          <w:bCs/>
          <w:noProof/>
          <w:szCs w:val="22"/>
        </w:rPr>
        <w:t>is</w:t>
      </w:r>
      <w:r w:rsidR="00133EA6">
        <w:rPr>
          <w:bCs/>
          <w:noProof/>
          <w:szCs w:val="22"/>
        </w:rPr>
        <w:t>.</w:t>
      </w:r>
    </w:p>
    <w:p w14:paraId="224754A2" w14:textId="77777777" w:rsidR="00812D16" w:rsidRPr="00B64EE7" w:rsidRDefault="00812D16" w:rsidP="00204AAB">
      <w:pPr>
        <w:spacing w:line="240" w:lineRule="auto"/>
        <w:rPr>
          <w:noProof/>
          <w:szCs w:val="22"/>
        </w:rPr>
      </w:pPr>
    </w:p>
    <w:p w14:paraId="2586896B" w14:textId="33C1468F" w:rsidR="00812D16" w:rsidRPr="00B64EE7" w:rsidRDefault="005812DA" w:rsidP="00AD6051">
      <w:pPr>
        <w:pStyle w:val="Heading2"/>
        <w:rPr>
          <w:noProof/>
        </w:rPr>
      </w:pPr>
      <w:r>
        <w:rPr>
          <w:noProof/>
        </w:rPr>
        <w:t>DOSE AND METHOD OF ADMINISTRATION</w:t>
      </w:r>
    </w:p>
    <w:p w14:paraId="35529B0C" w14:textId="77777777" w:rsidR="00812D16" w:rsidRPr="00B64EE7" w:rsidRDefault="00812D16" w:rsidP="00204AAB">
      <w:pPr>
        <w:spacing w:line="240" w:lineRule="auto"/>
        <w:rPr>
          <w:szCs w:val="22"/>
        </w:rPr>
      </w:pPr>
    </w:p>
    <w:p w14:paraId="3995174F" w14:textId="623C6184" w:rsidR="00A6764E" w:rsidRDefault="00A6764E" w:rsidP="00B64EE7">
      <w:pPr>
        <w:spacing w:line="240" w:lineRule="auto"/>
        <w:rPr>
          <w:bCs/>
          <w:noProof/>
          <w:szCs w:val="22"/>
        </w:rPr>
      </w:pPr>
      <w:r w:rsidRPr="00B64EE7">
        <w:rPr>
          <w:bCs/>
          <w:noProof/>
          <w:szCs w:val="22"/>
        </w:rPr>
        <w:t xml:space="preserve">The recommended dose of </w:t>
      </w:r>
      <w:r w:rsidR="00364A36">
        <w:rPr>
          <w:bCs/>
          <w:noProof/>
          <w:szCs w:val="22"/>
        </w:rPr>
        <w:t>Korsuva</w:t>
      </w:r>
      <w:r w:rsidRPr="00B64EE7">
        <w:rPr>
          <w:bCs/>
          <w:noProof/>
          <w:szCs w:val="22"/>
        </w:rPr>
        <w:t xml:space="preserve"> is 0.5 micrograms/kg dry body weight (ie, the target postdialysis weight) by intravenous bolus injection three times per week. The total dose volume (mL) required from the vial should be calculated as follows: 0.01 x prescription dry body weight (kg), rounded to the nearest tenth (0.1 mL). Recommended doses are detailed in the </w:t>
      </w:r>
      <w:r w:rsidR="005D6DD0" w:rsidRPr="005D6DD0">
        <w:rPr>
          <w:bCs/>
          <w:noProof/>
          <w:szCs w:val="22"/>
        </w:rPr>
        <w:fldChar w:fldCharType="begin"/>
      </w:r>
      <w:r w:rsidR="005D6DD0" w:rsidRPr="005D6DD0">
        <w:rPr>
          <w:bCs/>
          <w:noProof/>
          <w:szCs w:val="22"/>
        </w:rPr>
        <w:instrText xml:space="preserve"> REF _Ref74900494 \h  \* MERGEFORMAT </w:instrText>
      </w:r>
      <w:r w:rsidR="005D6DD0" w:rsidRPr="005D6DD0">
        <w:rPr>
          <w:bCs/>
          <w:noProof/>
          <w:szCs w:val="22"/>
        </w:rPr>
      </w:r>
      <w:r w:rsidR="005D6DD0" w:rsidRPr="005D6DD0">
        <w:rPr>
          <w:bCs/>
          <w:noProof/>
          <w:szCs w:val="22"/>
        </w:rPr>
        <w:fldChar w:fldCharType="separate"/>
      </w:r>
      <w:r w:rsidR="00F5656E" w:rsidRPr="005D6DD0">
        <w:rPr>
          <w:b/>
          <w:sz w:val="22"/>
          <w:szCs w:val="22"/>
        </w:rPr>
        <w:t xml:space="preserve">Table </w:t>
      </w:r>
      <w:r w:rsidR="00F5656E" w:rsidRPr="00F5656E">
        <w:rPr>
          <w:b/>
          <w:sz w:val="22"/>
          <w:szCs w:val="22"/>
        </w:rPr>
        <w:t>1</w:t>
      </w:r>
      <w:r w:rsidR="005D6DD0" w:rsidRPr="005D6DD0">
        <w:rPr>
          <w:bCs/>
          <w:noProof/>
          <w:szCs w:val="22"/>
        </w:rPr>
        <w:fldChar w:fldCharType="end"/>
      </w:r>
      <w:r w:rsidRPr="005D6DD0">
        <w:rPr>
          <w:bCs/>
          <w:noProof/>
          <w:szCs w:val="22"/>
        </w:rPr>
        <w:t xml:space="preserve"> below</w:t>
      </w:r>
      <w:r w:rsidRPr="00B64EE7">
        <w:rPr>
          <w:bCs/>
          <w:noProof/>
          <w:szCs w:val="22"/>
        </w:rPr>
        <w:t>:</w:t>
      </w:r>
    </w:p>
    <w:p w14:paraId="481E6614" w14:textId="6FB564AF" w:rsidR="005D6DD0" w:rsidRPr="00B64EE7" w:rsidRDefault="005D6DD0" w:rsidP="00B64EE7">
      <w:pPr>
        <w:spacing w:line="240" w:lineRule="auto"/>
        <w:rPr>
          <w:bCs/>
          <w:noProof/>
          <w:szCs w:val="22"/>
        </w:rPr>
      </w:pPr>
    </w:p>
    <w:p w14:paraId="27AC082B" w14:textId="5C3E0177" w:rsidR="00A6764E" w:rsidRDefault="005D6DD0" w:rsidP="00397EB1">
      <w:pPr>
        <w:pStyle w:val="Caption"/>
        <w:keepNext/>
        <w:spacing w:after="0"/>
        <w:rPr>
          <w:b/>
          <w:i w:val="0"/>
          <w:iCs w:val="0"/>
          <w:color w:val="auto"/>
          <w:sz w:val="22"/>
          <w:szCs w:val="22"/>
        </w:rPr>
      </w:pPr>
      <w:bookmarkStart w:id="0" w:name="_Ref74900494"/>
      <w:r w:rsidRPr="005D6DD0">
        <w:rPr>
          <w:b/>
          <w:i w:val="0"/>
          <w:iCs w:val="0"/>
          <w:color w:val="auto"/>
          <w:sz w:val="22"/>
          <w:szCs w:val="22"/>
        </w:rPr>
        <w:lastRenderedPageBreak/>
        <w:t xml:space="preserve">Table </w:t>
      </w:r>
      <w:r w:rsidRPr="005D6DD0">
        <w:rPr>
          <w:b/>
          <w:i w:val="0"/>
          <w:iCs w:val="0"/>
          <w:color w:val="auto"/>
          <w:sz w:val="22"/>
          <w:szCs w:val="22"/>
        </w:rPr>
        <w:fldChar w:fldCharType="begin"/>
      </w:r>
      <w:r w:rsidRPr="005D6DD0">
        <w:rPr>
          <w:b/>
          <w:i w:val="0"/>
          <w:iCs w:val="0"/>
          <w:color w:val="auto"/>
          <w:sz w:val="22"/>
          <w:szCs w:val="22"/>
        </w:rPr>
        <w:instrText xml:space="preserve"> SEQ Table \* ARABIC </w:instrText>
      </w:r>
      <w:r w:rsidRPr="005D6DD0">
        <w:rPr>
          <w:b/>
          <w:i w:val="0"/>
          <w:iCs w:val="0"/>
          <w:color w:val="auto"/>
          <w:sz w:val="22"/>
          <w:szCs w:val="22"/>
        </w:rPr>
        <w:fldChar w:fldCharType="separate"/>
      </w:r>
      <w:r w:rsidR="00F5656E">
        <w:rPr>
          <w:b/>
          <w:i w:val="0"/>
          <w:iCs w:val="0"/>
          <w:noProof/>
          <w:color w:val="auto"/>
          <w:sz w:val="22"/>
          <w:szCs w:val="22"/>
        </w:rPr>
        <w:t>1</w:t>
      </w:r>
      <w:r w:rsidRPr="005D6DD0">
        <w:rPr>
          <w:b/>
          <w:i w:val="0"/>
          <w:iCs w:val="0"/>
          <w:color w:val="auto"/>
          <w:sz w:val="22"/>
          <w:szCs w:val="22"/>
        </w:rPr>
        <w:fldChar w:fldCharType="end"/>
      </w:r>
      <w:bookmarkEnd w:id="0"/>
      <w:r w:rsidRPr="005D6DD0">
        <w:rPr>
          <w:b/>
          <w:i w:val="0"/>
          <w:iCs w:val="0"/>
          <w:color w:val="auto"/>
          <w:sz w:val="22"/>
          <w:szCs w:val="22"/>
        </w:rPr>
        <w:t>:  Recommended Korsuva dose</w:t>
      </w:r>
    </w:p>
    <w:p w14:paraId="23DC4142" w14:textId="77777777" w:rsidR="00C87674" w:rsidRPr="00C87674" w:rsidRDefault="00C87674" w:rsidP="00397EB1">
      <w:pPr>
        <w:keepNext/>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5"/>
        <w:gridCol w:w="2850"/>
      </w:tblGrid>
      <w:tr w:rsidR="00133EA6" w:rsidRPr="00133EA6" w14:paraId="1C0EEF86" w14:textId="77777777" w:rsidTr="00133EA6">
        <w:trPr>
          <w:trHeight w:val="585"/>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1FB952"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b/>
                <w:bCs/>
                <w:color w:val="000000"/>
                <w:szCs w:val="24"/>
                <w:lang w:val="en-US" w:eastAsia="en-AU"/>
              </w:rPr>
              <w:t>Weight Range</w:t>
            </w:r>
            <w:r w:rsidRPr="00133EA6">
              <w:rPr>
                <w:rFonts w:ascii="SimSun" w:eastAsia="SimSun" w:hAnsi="SimSun" w:cs="Segoe UI" w:hint="eastAsia"/>
                <w:color w:val="000000"/>
                <w:szCs w:val="24"/>
                <w:lang w:val="en-US" w:eastAsia="en-AU"/>
              </w:rPr>
              <w:t>*</w:t>
            </w:r>
            <w:r w:rsidRPr="00133EA6">
              <w:rPr>
                <w:rFonts w:ascii="SimSun" w:eastAsia="SimSun" w:hAnsi="SimSun" w:cs="Segoe UI" w:hint="eastAsia"/>
                <w:color w:val="000000"/>
                <w:szCs w:val="24"/>
                <w:lang w:val="en-AU" w:eastAsia="en-AU"/>
              </w:rPr>
              <w:t> </w:t>
            </w:r>
            <w:r w:rsidRPr="00133EA6">
              <w:rPr>
                <w:rFonts w:ascii="SimSun" w:eastAsia="SimSun" w:hAnsi="SimSun" w:cs="Segoe UI" w:hint="eastAsia"/>
                <w:color w:val="000000"/>
                <w:szCs w:val="24"/>
                <w:lang w:val="en-AU" w:eastAsia="en-AU"/>
              </w:rPr>
              <w:br/>
            </w:r>
            <w:r w:rsidRPr="00133EA6">
              <w:rPr>
                <w:color w:val="000000"/>
                <w:szCs w:val="24"/>
                <w:lang w:val="en-US" w:eastAsia="en-AU"/>
              </w:rPr>
              <w:t>(Dry Body Weight in kg)</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57AA5"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b/>
                <w:bCs/>
                <w:color w:val="000000"/>
                <w:szCs w:val="24"/>
                <w:lang w:val="en-US" w:eastAsia="en-AU"/>
              </w:rPr>
              <w:t>Dose</w:t>
            </w:r>
            <w:r w:rsidRPr="00133EA6">
              <w:rPr>
                <w:rFonts w:ascii="SimSun" w:eastAsia="SimSun" w:hAnsi="SimSun" w:cs="Segoe UI" w:hint="eastAsia"/>
                <w:color w:val="000000"/>
                <w:szCs w:val="24"/>
                <w:lang w:val="en-US" w:eastAsia="en-AU"/>
              </w:rPr>
              <w:t>** </w:t>
            </w:r>
            <w:r w:rsidRPr="00133EA6">
              <w:rPr>
                <w:rFonts w:ascii="SimSun" w:eastAsia="SimSun" w:hAnsi="SimSun" w:cs="Segoe UI" w:hint="eastAsia"/>
                <w:color w:val="000000"/>
                <w:szCs w:val="24"/>
                <w:lang w:val="en-AU" w:eastAsia="en-AU"/>
              </w:rPr>
              <w:t> </w:t>
            </w:r>
            <w:r w:rsidRPr="00133EA6">
              <w:rPr>
                <w:rFonts w:ascii="SimSun" w:eastAsia="SimSun" w:hAnsi="SimSun" w:cs="Segoe UI" w:hint="eastAsia"/>
                <w:color w:val="000000"/>
                <w:szCs w:val="24"/>
                <w:lang w:val="en-AU" w:eastAsia="en-AU"/>
              </w:rPr>
              <w:br/>
            </w:r>
            <w:r w:rsidRPr="00133EA6">
              <w:rPr>
                <w:color w:val="000000"/>
                <w:szCs w:val="24"/>
                <w:lang w:val="en-US" w:eastAsia="en-AU"/>
              </w:rPr>
              <w:t>(mL)</w:t>
            </w:r>
            <w:r w:rsidRPr="00133EA6">
              <w:rPr>
                <w:color w:val="000000"/>
                <w:szCs w:val="24"/>
                <w:lang w:val="en-AU" w:eastAsia="en-AU"/>
              </w:rPr>
              <w:t> </w:t>
            </w:r>
          </w:p>
        </w:tc>
      </w:tr>
      <w:tr w:rsidR="00133EA6" w:rsidRPr="00133EA6" w14:paraId="7694B2DD"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07AA85"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40 - 44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2564B1"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0.4</w:t>
            </w:r>
            <w:r w:rsidRPr="00133EA6">
              <w:rPr>
                <w:color w:val="000000"/>
                <w:szCs w:val="24"/>
                <w:lang w:val="en-AU" w:eastAsia="en-AU"/>
              </w:rPr>
              <w:t> </w:t>
            </w:r>
          </w:p>
        </w:tc>
      </w:tr>
      <w:tr w:rsidR="00133EA6" w:rsidRPr="00133EA6" w14:paraId="456E6CBA"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9EBCF3"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45 - 54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C38914"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0.5</w:t>
            </w:r>
            <w:r w:rsidRPr="00133EA6">
              <w:rPr>
                <w:color w:val="000000"/>
                <w:szCs w:val="24"/>
                <w:lang w:val="en-AU" w:eastAsia="en-AU"/>
              </w:rPr>
              <w:t> </w:t>
            </w:r>
          </w:p>
        </w:tc>
      </w:tr>
      <w:tr w:rsidR="00133EA6" w:rsidRPr="00133EA6" w14:paraId="371C6CCD"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4DF8B6"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55 - 64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4B2022"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0.6</w:t>
            </w:r>
            <w:r w:rsidRPr="00133EA6">
              <w:rPr>
                <w:color w:val="000000"/>
                <w:szCs w:val="24"/>
                <w:lang w:val="en-AU" w:eastAsia="en-AU"/>
              </w:rPr>
              <w:t> </w:t>
            </w:r>
          </w:p>
        </w:tc>
      </w:tr>
      <w:tr w:rsidR="00133EA6" w:rsidRPr="00133EA6" w14:paraId="18950961"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86D401"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65 - 74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801AE8"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0.7</w:t>
            </w:r>
            <w:r w:rsidRPr="00133EA6">
              <w:rPr>
                <w:color w:val="000000"/>
                <w:szCs w:val="24"/>
                <w:lang w:val="en-AU" w:eastAsia="en-AU"/>
              </w:rPr>
              <w:t> </w:t>
            </w:r>
          </w:p>
        </w:tc>
      </w:tr>
      <w:tr w:rsidR="00133EA6" w:rsidRPr="00133EA6" w14:paraId="5A6791F5"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959293"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75 - 84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24DE0F"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0.8</w:t>
            </w:r>
            <w:r w:rsidRPr="00133EA6">
              <w:rPr>
                <w:color w:val="000000"/>
                <w:szCs w:val="24"/>
                <w:lang w:val="en-AU" w:eastAsia="en-AU"/>
              </w:rPr>
              <w:t> </w:t>
            </w:r>
          </w:p>
        </w:tc>
      </w:tr>
      <w:tr w:rsidR="00133EA6" w:rsidRPr="00133EA6" w14:paraId="7E4A3D5E"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5739CC"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85 - 94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51201F"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0.9</w:t>
            </w:r>
            <w:r w:rsidRPr="00133EA6">
              <w:rPr>
                <w:color w:val="000000"/>
                <w:szCs w:val="24"/>
                <w:lang w:val="en-AU" w:eastAsia="en-AU"/>
              </w:rPr>
              <w:t> </w:t>
            </w:r>
          </w:p>
        </w:tc>
      </w:tr>
      <w:tr w:rsidR="00133EA6" w:rsidRPr="00133EA6" w14:paraId="331202CA"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2145F3"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95 - 104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85260F"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1.0</w:t>
            </w:r>
            <w:r w:rsidRPr="00133EA6">
              <w:rPr>
                <w:color w:val="000000"/>
                <w:szCs w:val="24"/>
                <w:lang w:val="en-AU" w:eastAsia="en-AU"/>
              </w:rPr>
              <w:t> </w:t>
            </w:r>
          </w:p>
        </w:tc>
      </w:tr>
      <w:tr w:rsidR="00133EA6" w:rsidRPr="00133EA6" w14:paraId="7CF93D9F"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01CFA1"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105 - 114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8741EF"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1.1</w:t>
            </w:r>
            <w:r w:rsidRPr="00133EA6">
              <w:rPr>
                <w:color w:val="000000"/>
                <w:szCs w:val="24"/>
                <w:lang w:val="en-AU" w:eastAsia="en-AU"/>
              </w:rPr>
              <w:t> </w:t>
            </w:r>
          </w:p>
        </w:tc>
      </w:tr>
      <w:tr w:rsidR="00133EA6" w:rsidRPr="00133EA6" w14:paraId="563476C0"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BDE7C3"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115 - 124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70E601"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1.2</w:t>
            </w:r>
            <w:r w:rsidRPr="00133EA6">
              <w:rPr>
                <w:color w:val="000000"/>
                <w:szCs w:val="24"/>
                <w:lang w:val="en-AU" w:eastAsia="en-AU"/>
              </w:rPr>
              <w:t> </w:t>
            </w:r>
          </w:p>
        </w:tc>
      </w:tr>
      <w:tr w:rsidR="00133EA6" w:rsidRPr="00133EA6" w14:paraId="5014814D"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C868B"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125 - 134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825C1D"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1.3</w:t>
            </w:r>
            <w:r w:rsidRPr="00133EA6">
              <w:rPr>
                <w:color w:val="000000"/>
                <w:szCs w:val="24"/>
                <w:lang w:val="en-AU" w:eastAsia="en-AU"/>
              </w:rPr>
              <w:t> </w:t>
            </w:r>
          </w:p>
        </w:tc>
      </w:tr>
      <w:tr w:rsidR="00133EA6" w:rsidRPr="00133EA6" w14:paraId="0BC5C4CE"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B14CBA"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135 - 144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948AC"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1.4</w:t>
            </w:r>
            <w:r w:rsidRPr="00133EA6">
              <w:rPr>
                <w:color w:val="000000"/>
                <w:szCs w:val="24"/>
                <w:lang w:val="en-AU" w:eastAsia="en-AU"/>
              </w:rPr>
              <w:t> </w:t>
            </w:r>
          </w:p>
        </w:tc>
      </w:tr>
      <w:tr w:rsidR="00133EA6" w:rsidRPr="00133EA6" w14:paraId="7AF143B0"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1BCFE7"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145 - 154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03AC2E"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1.5</w:t>
            </w:r>
            <w:r w:rsidRPr="00133EA6">
              <w:rPr>
                <w:color w:val="000000"/>
                <w:szCs w:val="24"/>
                <w:lang w:val="en-AU" w:eastAsia="en-AU"/>
              </w:rPr>
              <w:t> </w:t>
            </w:r>
          </w:p>
        </w:tc>
      </w:tr>
      <w:tr w:rsidR="00133EA6" w:rsidRPr="00133EA6" w14:paraId="11800ADB"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BEB532"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155 - 164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39F52F"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1.6</w:t>
            </w:r>
            <w:r w:rsidRPr="00133EA6">
              <w:rPr>
                <w:color w:val="000000"/>
                <w:szCs w:val="24"/>
                <w:lang w:val="en-AU" w:eastAsia="en-AU"/>
              </w:rPr>
              <w:t> </w:t>
            </w:r>
          </w:p>
        </w:tc>
      </w:tr>
      <w:tr w:rsidR="00133EA6" w:rsidRPr="00133EA6" w14:paraId="6B1FFD48"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2D33EB"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165 - 174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DBFB2"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1.7</w:t>
            </w:r>
            <w:r w:rsidRPr="00133EA6">
              <w:rPr>
                <w:color w:val="000000"/>
                <w:szCs w:val="24"/>
                <w:lang w:val="en-AU" w:eastAsia="en-AU"/>
              </w:rPr>
              <w:t> </w:t>
            </w:r>
          </w:p>
        </w:tc>
      </w:tr>
      <w:tr w:rsidR="00133EA6" w:rsidRPr="00133EA6" w14:paraId="3288926A"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44A978"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175 - 184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26333D"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1.8</w:t>
            </w:r>
            <w:r w:rsidRPr="00133EA6">
              <w:rPr>
                <w:color w:val="000000"/>
                <w:szCs w:val="24"/>
                <w:lang w:val="en-AU" w:eastAsia="en-AU"/>
              </w:rPr>
              <w:t> </w:t>
            </w:r>
          </w:p>
        </w:tc>
      </w:tr>
      <w:tr w:rsidR="00133EA6" w:rsidRPr="00133EA6" w14:paraId="44A8BCAD"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65ABAC"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185 - 194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77C40C"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1.9</w:t>
            </w:r>
            <w:r w:rsidRPr="00133EA6">
              <w:rPr>
                <w:color w:val="000000"/>
                <w:szCs w:val="24"/>
                <w:lang w:val="en-AU" w:eastAsia="en-AU"/>
              </w:rPr>
              <w:t> </w:t>
            </w:r>
          </w:p>
        </w:tc>
      </w:tr>
      <w:tr w:rsidR="00133EA6" w:rsidRPr="00133EA6" w14:paraId="4086E6B5" w14:textId="77777777" w:rsidTr="00133EA6">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5B1B28"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195 - 204</w:t>
            </w:r>
            <w:r w:rsidRPr="00133EA6">
              <w:rPr>
                <w:color w:val="000000"/>
                <w:szCs w:val="24"/>
                <w:lang w:val="en-AU" w:eastAsia="en-AU"/>
              </w:rPr>
              <w:t> </w:t>
            </w:r>
          </w:p>
        </w:tc>
        <w:tc>
          <w:tcPr>
            <w:tcW w:w="2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D8CFE" w14:textId="77777777" w:rsidR="00133EA6" w:rsidRPr="00133EA6" w:rsidRDefault="00133EA6" w:rsidP="00397EB1">
            <w:pPr>
              <w:keepNext/>
              <w:tabs>
                <w:tab w:val="clear" w:pos="567"/>
              </w:tabs>
              <w:spacing w:line="240" w:lineRule="auto"/>
              <w:jc w:val="center"/>
              <w:textAlignment w:val="baseline"/>
              <w:rPr>
                <w:rFonts w:ascii="Segoe UI" w:hAnsi="Segoe UI" w:cs="Segoe UI"/>
                <w:sz w:val="18"/>
                <w:szCs w:val="18"/>
                <w:lang w:val="en-AU" w:eastAsia="en-AU"/>
              </w:rPr>
            </w:pPr>
            <w:r w:rsidRPr="00133EA6">
              <w:rPr>
                <w:color w:val="000000"/>
                <w:szCs w:val="24"/>
                <w:lang w:val="en-US" w:eastAsia="en-AU"/>
              </w:rPr>
              <w:t>2.0</w:t>
            </w:r>
            <w:r w:rsidRPr="00133EA6">
              <w:rPr>
                <w:color w:val="000000"/>
                <w:szCs w:val="24"/>
                <w:lang w:val="en-AU" w:eastAsia="en-AU"/>
              </w:rPr>
              <w:t> </w:t>
            </w:r>
          </w:p>
        </w:tc>
      </w:tr>
    </w:tbl>
    <w:p w14:paraId="1105C24B" w14:textId="2AFCFE33" w:rsidR="00A6764E" w:rsidRPr="00FF55C8" w:rsidRDefault="00A6764E" w:rsidP="00397EB1">
      <w:pPr>
        <w:keepNext/>
        <w:widowControl w:val="0"/>
        <w:spacing w:line="240" w:lineRule="auto"/>
        <w:rPr>
          <w:noProof/>
          <w:sz w:val="18"/>
          <w:szCs w:val="18"/>
        </w:rPr>
      </w:pPr>
      <w:r w:rsidRPr="00FF55C8">
        <w:rPr>
          <w:noProof/>
          <w:sz w:val="18"/>
          <w:szCs w:val="18"/>
        </w:rPr>
        <w:t xml:space="preserve">*The recommended dose for patients with a dry body weight above </w:t>
      </w:r>
      <w:r w:rsidR="00167DF0" w:rsidRPr="00FF55C8">
        <w:rPr>
          <w:noProof/>
          <w:sz w:val="18"/>
          <w:szCs w:val="18"/>
        </w:rPr>
        <w:t>2</w:t>
      </w:r>
      <w:r w:rsidR="00CA4C90" w:rsidRPr="00FF55C8">
        <w:rPr>
          <w:noProof/>
          <w:sz w:val="18"/>
          <w:szCs w:val="18"/>
        </w:rPr>
        <w:t>04</w:t>
      </w:r>
      <w:r w:rsidRPr="00FF55C8">
        <w:rPr>
          <w:noProof/>
          <w:sz w:val="18"/>
          <w:szCs w:val="18"/>
        </w:rPr>
        <w:t> kg should be calculated as in above text.</w:t>
      </w:r>
    </w:p>
    <w:p w14:paraId="24FB67F4" w14:textId="1925BF8C" w:rsidR="00A6764E" w:rsidRPr="00FF55C8" w:rsidRDefault="00133EA6" w:rsidP="00397EB1">
      <w:pPr>
        <w:keepNext/>
        <w:spacing w:line="240" w:lineRule="auto"/>
        <w:rPr>
          <w:rStyle w:val="eop"/>
          <w:sz w:val="18"/>
          <w:szCs w:val="18"/>
          <w:shd w:val="clear" w:color="auto" w:fill="FFFFFF"/>
        </w:rPr>
      </w:pPr>
      <w:r w:rsidRPr="00FF55C8">
        <w:rPr>
          <w:rStyle w:val="normaltextrun"/>
          <w:sz w:val="18"/>
          <w:szCs w:val="18"/>
          <w:shd w:val="clear" w:color="auto" w:fill="FFFFFF"/>
        </w:rPr>
        <w:t>** More than 1 vial may be necessary if a dose of more than 1 mL is required</w:t>
      </w:r>
      <w:r w:rsidRPr="00FF55C8">
        <w:rPr>
          <w:rStyle w:val="eop"/>
          <w:sz w:val="18"/>
          <w:szCs w:val="18"/>
          <w:shd w:val="clear" w:color="auto" w:fill="FFFFFF"/>
        </w:rPr>
        <w:t> </w:t>
      </w:r>
    </w:p>
    <w:p w14:paraId="58321AC6" w14:textId="77777777" w:rsidR="00133EA6" w:rsidRPr="00FE1F7D" w:rsidRDefault="00133EA6" w:rsidP="00A6764E">
      <w:pPr>
        <w:spacing w:line="240" w:lineRule="auto"/>
        <w:rPr>
          <w:szCs w:val="22"/>
          <w:u w:val="single"/>
        </w:rPr>
      </w:pPr>
    </w:p>
    <w:p w14:paraId="5BCFB1AA" w14:textId="77777777" w:rsidR="00A6764E" w:rsidRDefault="00A6764E" w:rsidP="00A6764E">
      <w:pPr>
        <w:spacing w:line="240" w:lineRule="auto"/>
        <w:rPr>
          <w:i/>
          <w:color w:val="000000"/>
          <w:szCs w:val="22"/>
          <w:lang w:val="en-US"/>
        </w:rPr>
      </w:pPr>
      <w:r w:rsidRPr="000B2A2A">
        <w:rPr>
          <w:i/>
          <w:color w:val="000000"/>
          <w:szCs w:val="22"/>
          <w:lang w:val="en-US"/>
        </w:rPr>
        <w:t>Missed doses</w:t>
      </w:r>
    </w:p>
    <w:p w14:paraId="49DF9F2C" w14:textId="77777777" w:rsidR="00A6764E" w:rsidRPr="000B2A2A" w:rsidRDefault="00A6764E" w:rsidP="00A6764E">
      <w:pPr>
        <w:spacing w:line="240" w:lineRule="auto"/>
        <w:rPr>
          <w:i/>
          <w:color w:val="000000"/>
          <w:szCs w:val="22"/>
          <w:lang w:val="en-US"/>
        </w:rPr>
      </w:pPr>
    </w:p>
    <w:p w14:paraId="22EA41B7" w14:textId="2213C89D" w:rsidR="00A6764E" w:rsidRPr="00B64EE7" w:rsidRDefault="00A6764E" w:rsidP="00B64EE7">
      <w:pPr>
        <w:spacing w:line="240" w:lineRule="auto"/>
        <w:rPr>
          <w:bCs/>
          <w:noProof/>
          <w:szCs w:val="22"/>
        </w:rPr>
      </w:pPr>
      <w:r w:rsidRPr="00B64EE7">
        <w:rPr>
          <w:bCs/>
          <w:noProof/>
          <w:szCs w:val="22"/>
        </w:rPr>
        <w:t xml:space="preserve">If a regularly scheduled haemodialysis treatment is missed, </w:t>
      </w:r>
      <w:r w:rsidR="00364A36">
        <w:rPr>
          <w:noProof/>
          <w:szCs w:val="22"/>
        </w:rPr>
        <w:t>Korsuva</w:t>
      </w:r>
      <w:r w:rsidRPr="00B64EE7">
        <w:rPr>
          <w:bCs/>
          <w:noProof/>
          <w:szCs w:val="22"/>
        </w:rPr>
        <w:t xml:space="preserve"> should be administered at the next haemodialysis treatment at the same dose.</w:t>
      </w:r>
    </w:p>
    <w:p w14:paraId="0FE7BE15" w14:textId="77777777" w:rsidR="00A6764E" w:rsidRPr="00343918" w:rsidRDefault="00A6764E" w:rsidP="00A6764E">
      <w:pPr>
        <w:tabs>
          <w:tab w:val="clear" w:pos="567"/>
        </w:tabs>
        <w:autoSpaceDE w:val="0"/>
        <w:autoSpaceDN w:val="0"/>
        <w:adjustRightInd w:val="0"/>
        <w:spacing w:line="240" w:lineRule="auto"/>
        <w:rPr>
          <w:rFonts w:ascii="TimesNewRomanPSMT" w:eastAsia="SimSun" w:hAnsi="TimesNewRomanPSMT" w:cs="TimesNewRomanPSMT"/>
          <w:color w:val="000000" w:themeColor="text1"/>
          <w:szCs w:val="22"/>
          <w:lang w:val="en-US" w:eastAsia="en-GB"/>
        </w:rPr>
      </w:pPr>
    </w:p>
    <w:p w14:paraId="4873F2BC" w14:textId="77777777" w:rsidR="00A6764E" w:rsidRPr="00FF04F8" w:rsidRDefault="00A6764E" w:rsidP="00A6764E">
      <w:pPr>
        <w:tabs>
          <w:tab w:val="clear" w:pos="567"/>
        </w:tabs>
        <w:autoSpaceDE w:val="0"/>
        <w:autoSpaceDN w:val="0"/>
        <w:adjustRightInd w:val="0"/>
        <w:spacing w:line="240" w:lineRule="auto"/>
        <w:rPr>
          <w:i/>
          <w:color w:val="000000" w:themeColor="text1"/>
          <w:szCs w:val="22"/>
          <w:lang w:val="en-US"/>
        </w:rPr>
      </w:pPr>
      <w:r w:rsidRPr="00FF04F8">
        <w:rPr>
          <w:i/>
          <w:color w:val="000000" w:themeColor="text1"/>
          <w:szCs w:val="22"/>
          <w:lang w:val="en-US"/>
        </w:rPr>
        <w:t>Extra treatment</w:t>
      </w:r>
    </w:p>
    <w:p w14:paraId="2333FE99" w14:textId="77777777" w:rsidR="00A6764E" w:rsidRPr="00343918" w:rsidRDefault="00A6764E" w:rsidP="00A6764E">
      <w:pPr>
        <w:tabs>
          <w:tab w:val="clear" w:pos="567"/>
        </w:tabs>
        <w:autoSpaceDE w:val="0"/>
        <w:autoSpaceDN w:val="0"/>
        <w:adjustRightInd w:val="0"/>
        <w:spacing w:line="240" w:lineRule="auto"/>
        <w:rPr>
          <w:rFonts w:ascii="TimesNewRomanPSMT" w:eastAsia="SimSun" w:hAnsi="TimesNewRomanPSMT" w:cs="TimesNewRomanPSMT"/>
          <w:i/>
          <w:iCs/>
          <w:color w:val="000000" w:themeColor="text1"/>
          <w:szCs w:val="22"/>
          <w:lang w:val="en-US" w:eastAsia="en-GB"/>
        </w:rPr>
      </w:pPr>
    </w:p>
    <w:p w14:paraId="1CBB076E" w14:textId="6FAA8401" w:rsidR="00A6764E" w:rsidRPr="00B64EE7" w:rsidRDefault="00A6764E" w:rsidP="00B64EE7">
      <w:pPr>
        <w:spacing w:line="240" w:lineRule="auto"/>
        <w:rPr>
          <w:bCs/>
          <w:noProof/>
          <w:szCs w:val="22"/>
        </w:rPr>
      </w:pPr>
      <w:r w:rsidRPr="00B64EE7">
        <w:rPr>
          <w:bCs/>
          <w:noProof/>
          <w:szCs w:val="22"/>
        </w:rPr>
        <w:t>If a 4</w:t>
      </w:r>
      <w:r w:rsidRPr="00B64EE7">
        <w:rPr>
          <w:bCs/>
          <w:noProof/>
          <w:szCs w:val="22"/>
          <w:vertAlign w:val="superscript"/>
        </w:rPr>
        <w:t>th</w:t>
      </w:r>
      <w:r w:rsidRPr="00B64EE7">
        <w:rPr>
          <w:bCs/>
          <w:noProof/>
          <w:szCs w:val="22"/>
        </w:rPr>
        <w:t xml:space="preserve"> haemodialysis treatment is performed, </w:t>
      </w:r>
      <w:r w:rsidR="00364A36">
        <w:rPr>
          <w:noProof/>
          <w:szCs w:val="22"/>
        </w:rPr>
        <w:t>Korsuva</w:t>
      </w:r>
      <w:r w:rsidRPr="00B64EE7">
        <w:rPr>
          <w:bCs/>
          <w:noProof/>
          <w:szCs w:val="22"/>
        </w:rPr>
        <w:t xml:space="preserve"> should be administered post haemodialysis per the recommended dose. No more than 4 doses per week should be administered even if the number of haemodialysis treatments in a week exceeds 4.</w:t>
      </w:r>
    </w:p>
    <w:p w14:paraId="4E18C440" w14:textId="77777777" w:rsidR="00A6764E" w:rsidRPr="00343918" w:rsidRDefault="00A6764E" w:rsidP="00A6764E">
      <w:pPr>
        <w:tabs>
          <w:tab w:val="clear" w:pos="567"/>
        </w:tabs>
        <w:autoSpaceDE w:val="0"/>
        <w:autoSpaceDN w:val="0"/>
        <w:adjustRightInd w:val="0"/>
        <w:spacing w:line="240" w:lineRule="auto"/>
        <w:rPr>
          <w:rFonts w:ascii="TimesNewRomanPSMT" w:eastAsia="SimSun" w:hAnsi="TimesNewRomanPSMT" w:cs="TimesNewRomanPSMT"/>
          <w:color w:val="000000" w:themeColor="text1"/>
          <w:szCs w:val="22"/>
          <w:lang w:val="en-US" w:eastAsia="en-GB"/>
        </w:rPr>
      </w:pPr>
    </w:p>
    <w:p w14:paraId="272DBB6B" w14:textId="77777777" w:rsidR="00A6764E" w:rsidRDefault="00A6764E" w:rsidP="00A6764E">
      <w:pPr>
        <w:spacing w:line="240" w:lineRule="auto"/>
        <w:rPr>
          <w:i/>
          <w:color w:val="000000" w:themeColor="text1"/>
          <w:szCs w:val="22"/>
          <w:lang w:val="en-US"/>
        </w:rPr>
      </w:pPr>
      <w:r w:rsidRPr="00343918">
        <w:rPr>
          <w:i/>
          <w:color w:val="000000" w:themeColor="text1"/>
          <w:szCs w:val="22"/>
          <w:lang w:val="en-US"/>
        </w:rPr>
        <w:t>Patients with incomplete h</w:t>
      </w:r>
      <w:r>
        <w:rPr>
          <w:i/>
          <w:color w:val="000000" w:themeColor="text1"/>
          <w:szCs w:val="22"/>
          <w:lang w:val="en-US"/>
        </w:rPr>
        <w:t>a</w:t>
      </w:r>
      <w:r w:rsidRPr="00343918">
        <w:rPr>
          <w:i/>
          <w:color w:val="000000" w:themeColor="text1"/>
          <w:szCs w:val="22"/>
          <w:lang w:val="en-US"/>
        </w:rPr>
        <w:t xml:space="preserve">emodialysis treatment </w:t>
      </w:r>
    </w:p>
    <w:p w14:paraId="207BCE7E" w14:textId="36B954D5" w:rsidR="00A6764E" w:rsidRDefault="00A6764E" w:rsidP="00A6764E">
      <w:pPr>
        <w:spacing w:line="240" w:lineRule="auto"/>
        <w:rPr>
          <w:i/>
          <w:color w:val="000000" w:themeColor="text1"/>
          <w:szCs w:val="22"/>
          <w:lang w:val="en-US"/>
        </w:rPr>
      </w:pPr>
    </w:p>
    <w:p w14:paraId="143AD0BF" w14:textId="01C1317F" w:rsidR="002E2935" w:rsidRDefault="002E2935" w:rsidP="002E2935">
      <w:pPr>
        <w:autoSpaceDE w:val="0"/>
        <w:autoSpaceDN w:val="0"/>
        <w:adjustRightInd w:val="0"/>
      </w:pPr>
      <w:r w:rsidRPr="00A51EE8">
        <w:t>For haemodialysis treatments less than 1</w:t>
      </w:r>
      <w:r>
        <w:t> </w:t>
      </w:r>
      <w:r w:rsidRPr="00A51EE8">
        <w:t>hour, administration of difelikefalin should be withheld until the next haemodialysis session.</w:t>
      </w:r>
      <w:r w:rsidR="002C562A">
        <w:t xml:space="preserve"> </w:t>
      </w:r>
    </w:p>
    <w:p w14:paraId="77CF8A6D" w14:textId="77777777" w:rsidR="005852D9" w:rsidRPr="00A51EE8" w:rsidRDefault="005852D9" w:rsidP="002E2935">
      <w:pPr>
        <w:autoSpaceDE w:val="0"/>
        <w:autoSpaceDN w:val="0"/>
        <w:adjustRightInd w:val="0"/>
      </w:pPr>
    </w:p>
    <w:p w14:paraId="2F66E45D" w14:textId="57DE1EAE" w:rsidR="002E2935" w:rsidRPr="00A51EE8" w:rsidRDefault="002E2935" w:rsidP="002E2935">
      <w:pPr>
        <w:autoSpaceDE w:val="0"/>
        <w:autoSpaceDN w:val="0"/>
        <w:adjustRightInd w:val="0"/>
      </w:pPr>
      <w:r w:rsidRPr="00A51EE8">
        <w:t>Following administration of difelikefalin in haemodialysis subjects</w:t>
      </w:r>
      <w:r>
        <w:t>,</w:t>
      </w:r>
      <w:r w:rsidRPr="00A51EE8">
        <w:t xml:space="preserve"> up to 70% is eliminated from the body </w:t>
      </w:r>
      <w:r>
        <w:t>prior to the</w:t>
      </w:r>
      <w:r w:rsidRPr="00A51EE8">
        <w:t xml:space="preserve"> next </w:t>
      </w:r>
      <w:bookmarkStart w:id="1" w:name="_Hlk83973157"/>
      <w:r w:rsidRPr="00A51EE8">
        <w:t>haemodialysis</w:t>
      </w:r>
      <w:bookmarkEnd w:id="1"/>
      <w:r w:rsidRPr="00A51EE8">
        <w:t xml:space="preserve"> session </w:t>
      </w:r>
      <w:bookmarkStart w:id="2" w:name="OLE_LINK2"/>
      <w:r w:rsidRPr="00A51EE8">
        <w:t>(see section</w:t>
      </w:r>
      <w:r>
        <w:t xml:space="preserve">s 4.9 </w:t>
      </w:r>
      <w:r w:rsidR="0011342E">
        <w:t xml:space="preserve">Overdose </w:t>
      </w:r>
      <w:r>
        <w:t>and</w:t>
      </w:r>
      <w:r w:rsidRPr="00A51EE8">
        <w:t xml:space="preserve"> 5.2</w:t>
      </w:r>
      <w:r w:rsidR="0011342E">
        <w:t xml:space="preserve"> Pharmacokinetic Properties</w:t>
      </w:r>
      <w:r w:rsidRPr="00A51EE8">
        <w:t xml:space="preserve">). </w:t>
      </w:r>
      <w:bookmarkEnd w:id="2"/>
      <w:r w:rsidRPr="00A51EE8">
        <w:t xml:space="preserve">Difelikefalin plasma level remaining at the time of the next haemodialysis is reduced by about 40-50% within one hour of haemodialysis. </w:t>
      </w:r>
    </w:p>
    <w:p w14:paraId="1B934B48" w14:textId="7CBBD1AF" w:rsidR="003C3180" w:rsidRDefault="003C3180" w:rsidP="00AD6051">
      <w:pPr>
        <w:rPr>
          <w:noProof/>
          <w:lang w:val="en-US"/>
        </w:rPr>
      </w:pPr>
    </w:p>
    <w:p w14:paraId="6C5B6909" w14:textId="77777777" w:rsidR="001173AD" w:rsidRDefault="001173AD" w:rsidP="003C3180">
      <w:pPr>
        <w:spacing w:line="240" w:lineRule="auto"/>
        <w:rPr>
          <w:i/>
          <w:color w:val="000000"/>
          <w:szCs w:val="22"/>
        </w:rPr>
      </w:pPr>
      <w:bookmarkStart w:id="3" w:name="OLE_LINK7"/>
      <w:bookmarkStart w:id="4" w:name="OLE_LINK20"/>
    </w:p>
    <w:p w14:paraId="51A77D6B" w14:textId="27150487" w:rsidR="003C3180" w:rsidRPr="00A51EE8" w:rsidRDefault="003C3180" w:rsidP="003C3180">
      <w:pPr>
        <w:spacing w:line="240" w:lineRule="auto"/>
        <w:rPr>
          <w:i/>
          <w:color w:val="000000"/>
          <w:szCs w:val="22"/>
        </w:rPr>
      </w:pPr>
      <w:r w:rsidRPr="00A51EE8">
        <w:rPr>
          <w:i/>
          <w:color w:val="000000"/>
          <w:szCs w:val="22"/>
        </w:rPr>
        <w:lastRenderedPageBreak/>
        <w:t>Patients with hepatic impairment</w:t>
      </w:r>
    </w:p>
    <w:bookmarkEnd w:id="3"/>
    <w:p w14:paraId="161A7C92" w14:textId="77777777" w:rsidR="000124A2" w:rsidRDefault="000124A2" w:rsidP="003C3180">
      <w:pPr>
        <w:autoSpaceDE w:val="0"/>
        <w:autoSpaceDN w:val="0"/>
        <w:adjustRightInd w:val="0"/>
        <w:rPr>
          <w:rFonts w:eastAsia="SimSun"/>
          <w:color w:val="000000" w:themeColor="text1"/>
          <w:lang w:eastAsia="en-GB"/>
        </w:rPr>
      </w:pPr>
    </w:p>
    <w:p w14:paraId="695CCCFB" w14:textId="1883B4E1" w:rsidR="002719DC" w:rsidRPr="00A51EE8" w:rsidRDefault="002719DC" w:rsidP="003C3180">
      <w:pPr>
        <w:autoSpaceDE w:val="0"/>
        <w:autoSpaceDN w:val="0"/>
        <w:adjustRightInd w:val="0"/>
        <w:rPr>
          <w:u w:val="single"/>
        </w:rPr>
      </w:pPr>
      <w:bookmarkStart w:id="5" w:name="OLE_LINK10"/>
      <w:r w:rsidRPr="00C07A2B">
        <w:t>Metabolism by hepatic enzymes does not significantly contribute to elimination of difelikefalin. While faecal excretion contributes to elimination, it is not known whether hepatic impairment has a clinically relevant effect on overall difelikefalin clearance in h</w:t>
      </w:r>
      <w:r>
        <w:t>a</w:t>
      </w:r>
      <w:r w:rsidRPr="00C07A2B">
        <w:t>emodialysis patients</w:t>
      </w:r>
      <w:r>
        <w:t xml:space="preserve"> (see section 5.2</w:t>
      </w:r>
      <w:r w:rsidR="0070654A">
        <w:t xml:space="preserve"> Pharmacokinetic Properties</w:t>
      </w:r>
      <w:r>
        <w:t>)</w:t>
      </w:r>
      <w:r w:rsidRPr="00C07A2B">
        <w:t xml:space="preserve">. Evaluation of available population pharmacokinetic data in </w:t>
      </w:r>
      <w:r w:rsidR="003450B8">
        <w:t>haemodialysis</w:t>
      </w:r>
      <w:r w:rsidRPr="00C07A2B">
        <w:t xml:space="preserve"> patients concluded that no adjustment of intravenous K</w:t>
      </w:r>
      <w:r>
        <w:t>orsuva</w:t>
      </w:r>
      <w:r w:rsidRPr="00C07A2B">
        <w:t xml:space="preserve"> dosage is needed in patients with mild to moderate hepatic impairment; however, clinical data following IV dosing in patients with moderate hepatic impairment is currently limited</w:t>
      </w:r>
      <w:r>
        <w:t xml:space="preserve">. </w:t>
      </w:r>
      <w:r w:rsidRPr="00C07A2B">
        <w:t xml:space="preserve">The influence of severe hepatic impairment on the pharmacokinetics of difelikefalin in </w:t>
      </w:r>
      <w:r w:rsidR="003450B8">
        <w:t>haemodialysis</w:t>
      </w:r>
      <w:r w:rsidRPr="00C07A2B">
        <w:t xml:space="preserve"> patients has not been evaluated; therefore, use in this population is not recommended</w:t>
      </w:r>
      <w:r w:rsidR="00857A2E">
        <w:t>.</w:t>
      </w:r>
    </w:p>
    <w:bookmarkEnd w:id="4"/>
    <w:bookmarkEnd w:id="5"/>
    <w:p w14:paraId="7B86916A" w14:textId="77777777" w:rsidR="00A6764E" w:rsidRDefault="00A6764E" w:rsidP="0002563C">
      <w:pPr>
        <w:spacing w:line="240" w:lineRule="auto"/>
        <w:jc w:val="right"/>
        <w:rPr>
          <w:szCs w:val="22"/>
          <w:u w:val="single"/>
          <w:lang w:val="en-US"/>
        </w:rPr>
      </w:pPr>
    </w:p>
    <w:p w14:paraId="74858584" w14:textId="77777777" w:rsidR="00A6764E" w:rsidRDefault="00A6764E" w:rsidP="00A6764E">
      <w:pPr>
        <w:spacing w:line="240" w:lineRule="auto"/>
        <w:rPr>
          <w:i/>
          <w:color w:val="000000"/>
          <w:szCs w:val="22"/>
          <w:lang w:val="en-US"/>
        </w:rPr>
      </w:pPr>
      <w:r w:rsidRPr="000B2A2A">
        <w:rPr>
          <w:i/>
          <w:color w:val="000000"/>
          <w:szCs w:val="22"/>
          <w:lang w:val="en-US"/>
        </w:rPr>
        <w:t>Elderly population</w:t>
      </w:r>
      <w:r w:rsidRPr="00B321D0">
        <w:rPr>
          <w:i/>
          <w:color w:val="000000"/>
          <w:szCs w:val="22"/>
          <w:lang w:val="en-US"/>
        </w:rPr>
        <w:t xml:space="preserve"> (≥65 years of age)</w:t>
      </w:r>
      <w:r w:rsidRPr="000B2A2A">
        <w:rPr>
          <w:i/>
          <w:color w:val="000000"/>
          <w:szCs w:val="22"/>
          <w:lang w:val="en-US"/>
        </w:rPr>
        <w:t xml:space="preserve"> </w:t>
      </w:r>
    </w:p>
    <w:p w14:paraId="41601C74" w14:textId="77777777" w:rsidR="00A6764E" w:rsidRDefault="00A6764E" w:rsidP="00A6764E">
      <w:pPr>
        <w:spacing w:line="240" w:lineRule="auto"/>
        <w:rPr>
          <w:i/>
          <w:color w:val="000000"/>
          <w:szCs w:val="22"/>
          <w:lang w:val="en-US"/>
        </w:rPr>
      </w:pPr>
    </w:p>
    <w:p w14:paraId="1F305F97" w14:textId="0D906062" w:rsidR="00A6764E" w:rsidRPr="00D84542" w:rsidRDefault="00A6764E" w:rsidP="00A6764E">
      <w:pPr>
        <w:spacing w:line="240" w:lineRule="auto"/>
        <w:rPr>
          <w:rFonts w:eastAsia="SimSun"/>
          <w:color w:val="000000"/>
          <w:szCs w:val="22"/>
          <w:lang w:eastAsia="en-GB"/>
        </w:rPr>
      </w:pPr>
      <w:r w:rsidRPr="00D84542">
        <w:rPr>
          <w:rFonts w:eastAsia="SimSun"/>
          <w:color w:val="000000"/>
          <w:szCs w:val="22"/>
          <w:lang w:val="en-US" w:eastAsia="en-GB"/>
        </w:rPr>
        <w:t xml:space="preserve"> </w:t>
      </w:r>
      <w:r w:rsidRPr="00D84542">
        <w:rPr>
          <w:rFonts w:eastAsia="SimSun"/>
          <w:szCs w:val="22"/>
          <w:lang w:val="en-US" w:eastAsia="en-GB"/>
        </w:rPr>
        <w:t>Dosing recommendations for elderly patients are the same as for adult patients.</w:t>
      </w:r>
      <w:r w:rsidRPr="00D84542" w:rsidDel="00AE5A09">
        <w:rPr>
          <w:rFonts w:eastAsia="SimSun"/>
          <w:color w:val="000000"/>
          <w:szCs w:val="22"/>
          <w:lang w:val="en-US" w:eastAsia="en-GB"/>
        </w:rPr>
        <w:t xml:space="preserve"> </w:t>
      </w:r>
    </w:p>
    <w:p w14:paraId="1DCFE858" w14:textId="77777777" w:rsidR="00A6764E" w:rsidRDefault="00A6764E" w:rsidP="00A6764E">
      <w:pPr>
        <w:spacing w:line="240" w:lineRule="auto"/>
        <w:rPr>
          <w:szCs w:val="22"/>
          <w:u w:val="single"/>
          <w:lang w:val="en-US"/>
        </w:rPr>
      </w:pPr>
    </w:p>
    <w:p w14:paraId="7CF08CF7" w14:textId="5A6CFD98" w:rsidR="00812D16" w:rsidRPr="00A3136F" w:rsidRDefault="001F0D03" w:rsidP="00204AAB">
      <w:pPr>
        <w:spacing w:line="240" w:lineRule="auto"/>
        <w:rPr>
          <w:szCs w:val="22"/>
          <w:u w:val="single"/>
        </w:rPr>
      </w:pPr>
      <w:r w:rsidRPr="00A3136F">
        <w:rPr>
          <w:szCs w:val="22"/>
          <w:u w:val="single"/>
        </w:rPr>
        <w:t xml:space="preserve">Method of administration </w:t>
      </w:r>
    </w:p>
    <w:p w14:paraId="335CE81A" w14:textId="77777777" w:rsidR="00812D16" w:rsidRPr="000643D3" w:rsidRDefault="00812D16" w:rsidP="00204AAB">
      <w:pPr>
        <w:spacing w:line="240" w:lineRule="auto"/>
        <w:rPr>
          <w:szCs w:val="22"/>
          <w:u w:val="single"/>
        </w:rPr>
      </w:pPr>
    </w:p>
    <w:p w14:paraId="22E85C59" w14:textId="0AA37FF7" w:rsidR="00453529" w:rsidRDefault="00453529" w:rsidP="00FF01BC">
      <w:pPr>
        <w:spacing w:line="240" w:lineRule="auto"/>
        <w:rPr>
          <w:noProof/>
          <w:szCs w:val="22"/>
        </w:rPr>
      </w:pPr>
      <w:bookmarkStart w:id="6" w:name="OLE_LINK6"/>
      <w:r>
        <w:rPr>
          <w:noProof/>
          <w:szCs w:val="22"/>
        </w:rPr>
        <w:t>Korsuva is for single use in one patient only</w:t>
      </w:r>
      <w:r w:rsidR="00C435A1">
        <w:rPr>
          <w:noProof/>
          <w:szCs w:val="22"/>
        </w:rPr>
        <w:t xml:space="preserve"> </w:t>
      </w:r>
      <w:r w:rsidR="00971212">
        <w:rPr>
          <w:noProof/>
          <w:szCs w:val="22"/>
        </w:rPr>
        <w:t>should be administered under the guidance of a health care professional</w:t>
      </w:r>
      <w:r>
        <w:rPr>
          <w:noProof/>
          <w:szCs w:val="22"/>
        </w:rPr>
        <w:t>.</w:t>
      </w:r>
      <w:r w:rsidR="00BC3F65">
        <w:rPr>
          <w:noProof/>
          <w:szCs w:val="22"/>
        </w:rPr>
        <w:t xml:space="preserve"> Discard any residue.</w:t>
      </w:r>
    </w:p>
    <w:p w14:paraId="212E1906" w14:textId="77777777" w:rsidR="00453529" w:rsidRDefault="00453529" w:rsidP="00FF01BC">
      <w:pPr>
        <w:spacing w:line="240" w:lineRule="auto"/>
        <w:rPr>
          <w:noProof/>
          <w:szCs w:val="22"/>
        </w:rPr>
      </w:pPr>
    </w:p>
    <w:p w14:paraId="62DFBF17" w14:textId="07C76239" w:rsidR="00A6764E" w:rsidRDefault="00364A36" w:rsidP="00FF01BC">
      <w:pPr>
        <w:spacing w:line="240" w:lineRule="auto"/>
        <w:rPr>
          <w:rFonts w:eastAsia="SimSun"/>
          <w:color w:val="000000"/>
          <w:szCs w:val="22"/>
          <w:lang w:val="en-US" w:eastAsia="en-GB"/>
        </w:rPr>
      </w:pPr>
      <w:bookmarkStart w:id="7" w:name="OLE_LINK17"/>
      <w:bookmarkEnd w:id="6"/>
      <w:r>
        <w:rPr>
          <w:noProof/>
          <w:szCs w:val="22"/>
        </w:rPr>
        <w:t>Korsuva</w:t>
      </w:r>
      <w:r w:rsidR="00A6764E" w:rsidRPr="00FF01BC">
        <w:rPr>
          <w:rFonts w:eastAsia="SimSun"/>
          <w:color w:val="000000"/>
          <w:szCs w:val="22"/>
          <w:lang w:val="en-US" w:eastAsia="en-GB"/>
        </w:rPr>
        <w:t xml:space="preserve"> should not be diluted and should not be mixed with other medicinal products.</w:t>
      </w:r>
    </w:p>
    <w:bookmarkEnd w:id="7"/>
    <w:p w14:paraId="23DF67B9" w14:textId="0ACE12E7" w:rsidR="00E1710B" w:rsidRDefault="00E1710B" w:rsidP="00FF01BC">
      <w:pPr>
        <w:spacing w:line="240" w:lineRule="auto"/>
        <w:rPr>
          <w:rFonts w:eastAsia="SimSun"/>
          <w:color w:val="000000"/>
          <w:szCs w:val="22"/>
          <w:lang w:val="en-US" w:eastAsia="en-GB"/>
        </w:rPr>
      </w:pPr>
    </w:p>
    <w:p w14:paraId="1EB7CEA9" w14:textId="5A803370" w:rsidR="00E1710B" w:rsidRPr="00E1710B" w:rsidRDefault="00E1710B" w:rsidP="00FF01BC">
      <w:pPr>
        <w:spacing w:line="240" w:lineRule="auto"/>
        <w:rPr>
          <w:noProof/>
          <w:szCs w:val="22"/>
        </w:rPr>
      </w:pPr>
      <w:r w:rsidRPr="004E22A3">
        <w:rPr>
          <w:noProof/>
          <w:szCs w:val="22"/>
        </w:rPr>
        <w:t>Inspect K</w:t>
      </w:r>
      <w:r>
        <w:rPr>
          <w:noProof/>
          <w:szCs w:val="22"/>
        </w:rPr>
        <w:t>orsuva</w:t>
      </w:r>
      <w:r w:rsidRPr="004E22A3">
        <w:rPr>
          <w:noProof/>
          <w:szCs w:val="22"/>
        </w:rPr>
        <w:t xml:space="preserve"> for particulate matter and discoloration prior to administration. The solution should</w:t>
      </w:r>
      <w:r>
        <w:rPr>
          <w:noProof/>
          <w:szCs w:val="22"/>
        </w:rPr>
        <w:t xml:space="preserve"> </w:t>
      </w:r>
      <w:r w:rsidRPr="004E22A3">
        <w:rPr>
          <w:noProof/>
          <w:szCs w:val="22"/>
        </w:rPr>
        <w:t>be clear and colorless. Do not use K</w:t>
      </w:r>
      <w:r>
        <w:rPr>
          <w:noProof/>
          <w:szCs w:val="22"/>
        </w:rPr>
        <w:t>orsuva</w:t>
      </w:r>
      <w:r w:rsidRPr="004E22A3">
        <w:rPr>
          <w:noProof/>
          <w:szCs w:val="22"/>
        </w:rPr>
        <w:t xml:space="preserve"> vials if particulate matter or discoloration is observed.</w:t>
      </w:r>
    </w:p>
    <w:p w14:paraId="3CB2AE25" w14:textId="77777777" w:rsidR="00A6764E" w:rsidRPr="00FF01BC" w:rsidRDefault="00A6764E" w:rsidP="00FF01BC">
      <w:pPr>
        <w:spacing w:line="240" w:lineRule="auto"/>
        <w:rPr>
          <w:rFonts w:eastAsia="SimSun"/>
          <w:color w:val="000000"/>
          <w:szCs w:val="22"/>
          <w:lang w:val="en-US" w:eastAsia="en-GB"/>
        </w:rPr>
      </w:pPr>
    </w:p>
    <w:p w14:paraId="2DCFA4A6" w14:textId="2F2A1201" w:rsidR="00A6764E" w:rsidRDefault="00364A36" w:rsidP="00FF01BC">
      <w:pPr>
        <w:spacing w:line="240" w:lineRule="auto"/>
        <w:rPr>
          <w:rFonts w:eastAsia="SimSun"/>
          <w:color w:val="000000"/>
          <w:szCs w:val="22"/>
          <w:lang w:val="en-US" w:eastAsia="en-GB"/>
        </w:rPr>
      </w:pPr>
      <w:r>
        <w:rPr>
          <w:noProof/>
          <w:szCs w:val="22"/>
        </w:rPr>
        <w:t>Korsuva</w:t>
      </w:r>
      <w:r w:rsidR="00A6764E" w:rsidRPr="00FF01BC">
        <w:rPr>
          <w:rFonts w:eastAsia="SimSun"/>
          <w:color w:val="000000"/>
          <w:szCs w:val="22"/>
          <w:lang w:val="en-US" w:eastAsia="en-GB"/>
        </w:rPr>
        <w:t xml:space="preserve"> is administered 3 times per week by intravenous bolus injection into the venous line of the dialysis circuit at the end of the haemodialysis treatment during rinse-back or after rinse-back. </w:t>
      </w:r>
    </w:p>
    <w:p w14:paraId="48D87EDE" w14:textId="77777777" w:rsidR="00EE21DF" w:rsidRPr="00FF01BC" w:rsidRDefault="00EE21DF" w:rsidP="00FF01BC">
      <w:pPr>
        <w:spacing w:line="240" w:lineRule="auto"/>
        <w:rPr>
          <w:rFonts w:eastAsia="SimSun"/>
          <w:color w:val="000000"/>
          <w:szCs w:val="22"/>
          <w:lang w:val="en-US" w:eastAsia="en-GB"/>
        </w:rPr>
      </w:pPr>
    </w:p>
    <w:p w14:paraId="11EC3AAA" w14:textId="5D5F24C4" w:rsidR="00A6764E" w:rsidRDefault="00A6764E" w:rsidP="00FF01BC">
      <w:pPr>
        <w:spacing w:line="240" w:lineRule="auto"/>
        <w:rPr>
          <w:rFonts w:eastAsia="SimSun"/>
          <w:color w:val="000000"/>
          <w:szCs w:val="22"/>
          <w:lang w:val="en-US" w:eastAsia="en-GB"/>
        </w:rPr>
      </w:pPr>
      <w:r w:rsidRPr="00FF01BC">
        <w:rPr>
          <w:rFonts w:eastAsia="SimSun"/>
          <w:color w:val="000000"/>
          <w:szCs w:val="22"/>
          <w:lang w:val="en-US" w:eastAsia="en-GB"/>
        </w:rPr>
        <w:t xml:space="preserve">When given after rinse back, at least 10 mL of sodium chloride 9 mg/mL (0.9%) solution rinse-back volume should be administered after injection with </w:t>
      </w:r>
      <w:r w:rsidR="00364A36">
        <w:rPr>
          <w:noProof/>
          <w:szCs w:val="22"/>
        </w:rPr>
        <w:t>Korsuva</w:t>
      </w:r>
      <w:r w:rsidRPr="00FF01BC">
        <w:rPr>
          <w:rFonts w:eastAsia="SimSun"/>
          <w:color w:val="000000"/>
          <w:szCs w:val="22"/>
          <w:lang w:val="en-US" w:eastAsia="en-GB"/>
        </w:rPr>
        <w:t>. If the dose is given during rinse back, no additional sodium chloride 9 mg/mL (0.9%) solution is needed to flush the line</w:t>
      </w:r>
      <w:r w:rsidR="00E1710B">
        <w:rPr>
          <w:rFonts w:eastAsia="SimSun"/>
          <w:color w:val="000000"/>
          <w:szCs w:val="22"/>
          <w:lang w:val="en-US" w:eastAsia="en-GB"/>
        </w:rPr>
        <w:t>.</w:t>
      </w:r>
    </w:p>
    <w:p w14:paraId="26126133" w14:textId="5A227A33" w:rsidR="00E1710B" w:rsidRDefault="00E1710B" w:rsidP="00FF01BC">
      <w:pPr>
        <w:spacing w:line="240" w:lineRule="auto"/>
        <w:rPr>
          <w:rFonts w:eastAsia="SimSun"/>
          <w:color w:val="000000"/>
          <w:szCs w:val="22"/>
          <w:lang w:val="en-US" w:eastAsia="en-GB"/>
        </w:rPr>
      </w:pPr>
    </w:p>
    <w:p w14:paraId="77B6E711" w14:textId="24F25040" w:rsidR="00E1710B" w:rsidRPr="00FB732E" w:rsidRDefault="00E1710B" w:rsidP="00E1710B">
      <w:pPr>
        <w:tabs>
          <w:tab w:val="clear" w:pos="567"/>
        </w:tabs>
        <w:autoSpaceDE w:val="0"/>
        <w:autoSpaceDN w:val="0"/>
        <w:adjustRightInd w:val="0"/>
        <w:spacing w:line="240" w:lineRule="auto"/>
        <w:rPr>
          <w:rFonts w:eastAsia="SimSun"/>
          <w:color w:val="000000"/>
          <w:lang w:eastAsia="en-GB"/>
        </w:rPr>
      </w:pPr>
      <w:bookmarkStart w:id="8" w:name="OLE_LINK18"/>
      <w:bookmarkStart w:id="9" w:name="OLE_LINK16"/>
      <w:r w:rsidRPr="00FB732E">
        <w:rPr>
          <w:rFonts w:eastAsia="SimSun"/>
          <w:lang w:val="en-AU" w:eastAsia="en-GB"/>
        </w:rPr>
        <w:t>The dose must be administered within 60 minutes of the completion of the syringe preparation</w:t>
      </w:r>
      <w:bookmarkEnd w:id="8"/>
      <w:r w:rsidRPr="6DB8F870">
        <w:rPr>
          <w:rFonts w:eastAsia="SimSun"/>
          <w:lang w:val="en-AU" w:eastAsia="en-GB"/>
        </w:rPr>
        <w:t>.</w:t>
      </w:r>
      <w:bookmarkEnd w:id="9"/>
    </w:p>
    <w:p w14:paraId="1D1BFD1E" w14:textId="77777777" w:rsidR="00812D16" w:rsidRPr="006B4557" w:rsidRDefault="00812D16" w:rsidP="00204AAB">
      <w:pPr>
        <w:spacing w:line="240" w:lineRule="auto"/>
        <w:rPr>
          <w:noProof/>
          <w:szCs w:val="22"/>
        </w:rPr>
      </w:pPr>
    </w:p>
    <w:p w14:paraId="55CA25F0" w14:textId="16F941B3" w:rsidR="00812D16" w:rsidRPr="00D93CFF" w:rsidRDefault="005812DA" w:rsidP="00AD6051">
      <w:pPr>
        <w:pStyle w:val="Heading2"/>
        <w:rPr>
          <w:noProof/>
        </w:rPr>
      </w:pPr>
      <w:r>
        <w:rPr>
          <w:noProof/>
        </w:rPr>
        <w:t>CONTRAINDICATIONS</w:t>
      </w:r>
    </w:p>
    <w:p w14:paraId="471E5150" w14:textId="77777777" w:rsidR="00812D16" w:rsidRPr="00067B16" w:rsidRDefault="00812D16" w:rsidP="00204AAB">
      <w:pPr>
        <w:spacing w:line="240" w:lineRule="auto"/>
        <w:rPr>
          <w:noProof/>
          <w:szCs w:val="22"/>
        </w:rPr>
      </w:pPr>
    </w:p>
    <w:p w14:paraId="17D5359B" w14:textId="41658E23" w:rsidR="00A6764E" w:rsidRPr="00FF01BC" w:rsidRDefault="00A6764E" w:rsidP="00A6764E">
      <w:pPr>
        <w:spacing w:line="240" w:lineRule="auto"/>
        <w:rPr>
          <w:rFonts w:eastAsia="SimSun"/>
          <w:color w:val="000000"/>
          <w:szCs w:val="22"/>
          <w:lang w:val="en-US" w:eastAsia="en-GB"/>
        </w:rPr>
      </w:pPr>
      <w:r w:rsidRPr="00FF01BC">
        <w:rPr>
          <w:rFonts w:eastAsia="SimSun"/>
          <w:color w:val="000000"/>
          <w:szCs w:val="22"/>
          <w:lang w:val="en-US" w:eastAsia="en-GB"/>
        </w:rPr>
        <w:t>Hypersensitivity to the active substance or to any of the excipients listed in section 6.1.</w:t>
      </w:r>
      <w:r w:rsidR="00EE21DF">
        <w:rPr>
          <w:rFonts w:eastAsia="SimSun"/>
          <w:color w:val="000000"/>
          <w:szCs w:val="22"/>
          <w:lang w:val="en-US" w:eastAsia="en-GB"/>
        </w:rPr>
        <w:t xml:space="preserve"> List of Excipients.</w:t>
      </w:r>
    </w:p>
    <w:p w14:paraId="49AAF111" w14:textId="6526AD5A" w:rsidR="00812D16" w:rsidRPr="00067B16" w:rsidRDefault="00812D16" w:rsidP="00204AAB">
      <w:pPr>
        <w:spacing w:line="240" w:lineRule="auto"/>
        <w:rPr>
          <w:noProof/>
          <w:szCs w:val="22"/>
        </w:rPr>
      </w:pPr>
    </w:p>
    <w:p w14:paraId="3DEEE72D" w14:textId="735A39AE" w:rsidR="00812D16" w:rsidRPr="00067B16" w:rsidRDefault="005812DA" w:rsidP="00AD6051">
      <w:pPr>
        <w:pStyle w:val="Heading2"/>
        <w:rPr>
          <w:noProof/>
        </w:rPr>
      </w:pPr>
      <w:r>
        <w:rPr>
          <w:noProof/>
        </w:rPr>
        <w:t>SPECIAL WARNINGS AND PRECAUTIONS FOR USE</w:t>
      </w:r>
    </w:p>
    <w:p w14:paraId="11278690" w14:textId="7D723128" w:rsidR="00812D16" w:rsidRDefault="00812D16" w:rsidP="00A6764E">
      <w:pPr>
        <w:spacing w:line="240" w:lineRule="auto"/>
        <w:rPr>
          <w:noProof/>
          <w:szCs w:val="22"/>
        </w:rPr>
      </w:pPr>
    </w:p>
    <w:p w14:paraId="20D4D7CD" w14:textId="09E4BC73" w:rsidR="004212AC" w:rsidRDefault="004212AC" w:rsidP="00A6764E">
      <w:pPr>
        <w:spacing w:line="240" w:lineRule="auto"/>
        <w:rPr>
          <w:noProof/>
          <w:szCs w:val="22"/>
        </w:rPr>
      </w:pPr>
      <w:r>
        <w:rPr>
          <w:noProof/>
          <w:szCs w:val="22"/>
        </w:rPr>
        <w:t xml:space="preserve">Korsuva is to be used only for the approved indication as off-label use may not be appropriate due to the complex nature of the drug. </w:t>
      </w:r>
    </w:p>
    <w:p w14:paraId="7AA641DD" w14:textId="77777777" w:rsidR="004212AC" w:rsidRDefault="004212AC" w:rsidP="00A6764E">
      <w:pPr>
        <w:spacing w:line="240" w:lineRule="auto"/>
        <w:rPr>
          <w:noProof/>
          <w:szCs w:val="22"/>
        </w:rPr>
      </w:pPr>
    </w:p>
    <w:p w14:paraId="01CBB951" w14:textId="527A4965" w:rsidR="00286304" w:rsidRPr="009E06AB" w:rsidRDefault="00286304" w:rsidP="00582D6F">
      <w:pPr>
        <w:pStyle w:val="Heading3"/>
        <w:rPr>
          <w:lang w:eastAsia="en-GB"/>
        </w:rPr>
      </w:pPr>
      <w:r w:rsidRPr="009E06AB">
        <w:rPr>
          <w:lang w:eastAsia="en-GB"/>
        </w:rPr>
        <w:t>Hyperkalaemia</w:t>
      </w:r>
    </w:p>
    <w:p w14:paraId="77C50E25" w14:textId="77777777" w:rsidR="00286304" w:rsidRPr="009E06AB" w:rsidRDefault="00286304" w:rsidP="00286304">
      <w:pPr>
        <w:spacing w:line="240" w:lineRule="auto"/>
        <w:rPr>
          <w:color w:val="000000"/>
          <w:szCs w:val="22"/>
          <w:lang w:eastAsia="en-GB"/>
        </w:rPr>
      </w:pPr>
    </w:p>
    <w:p w14:paraId="0FF24829" w14:textId="1654955A" w:rsidR="00286304" w:rsidRPr="00A51EE8" w:rsidRDefault="00286304" w:rsidP="00286304">
      <w:pPr>
        <w:spacing w:line="240" w:lineRule="auto"/>
        <w:rPr>
          <w:rFonts w:eastAsia="SimSun"/>
          <w:color w:val="000000"/>
          <w:szCs w:val="22"/>
          <w:lang w:eastAsia="en-GB"/>
        </w:rPr>
      </w:pPr>
      <w:r w:rsidRPr="009E06AB">
        <w:rPr>
          <w:color w:val="000000"/>
          <w:szCs w:val="22"/>
          <w:lang w:eastAsia="en-GB"/>
        </w:rPr>
        <w:t>Hyperkalaemia frequently occurs in chronic kidney disease patients on haemodialysis (see section 4.8</w:t>
      </w:r>
      <w:r w:rsidR="000C106C">
        <w:rPr>
          <w:color w:val="000000"/>
          <w:szCs w:val="22"/>
          <w:lang w:eastAsia="en-GB"/>
        </w:rPr>
        <w:t xml:space="preserve"> Undesirable Effects (Adverse Effects)</w:t>
      </w:r>
      <w:r w:rsidRPr="009E06AB">
        <w:rPr>
          <w:color w:val="000000"/>
          <w:szCs w:val="22"/>
          <w:lang w:eastAsia="en-GB"/>
        </w:rPr>
        <w:t>). Frequent monitoring of potassium levels is recommended</w:t>
      </w:r>
      <w:r w:rsidR="00B82602">
        <w:rPr>
          <w:color w:val="000000"/>
          <w:szCs w:val="22"/>
          <w:lang w:eastAsia="en-GB"/>
        </w:rPr>
        <w:t>.</w:t>
      </w:r>
    </w:p>
    <w:p w14:paraId="20C3BB39" w14:textId="77777777" w:rsidR="00286304" w:rsidRDefault="00286304" w:rsidP="004E6961">
      <w:pPr>
        <w:spacing w:line="240" w:lineRule="auto"/>
        <w:rPr>
          <w:color w:val="000000" w:themeColor="text1"/>
          <w:szCs w:val="22"/>
          <w:u w:val="single"/>
        </w:rPr>
      </w:pPr>
    </w:p>
    <w:p w14:paraId="31469BB3" w14:textId="19EB2C02" w:rsidR="004E6961" w:rsidRPr="00A51EE8" w:rsidRDefault="004E6961" w:rsidP="00397EB1">
      <w:pPr>
        <w:pStyle w:val="Heading3"/>
        <w:keepNext/>
      </w:pPr>
      <w:r w:rsidRPr="00A51EE8">
        <w:t xml:space="preserve">Cardiac failure and atrial fibrillation </w:t>
      </w:r>
    </w:p>
    <w:p w14:paraId="7CCFE5E9" w14:textId="77777777" w:rsidR="004E6961" w:rsidRPr="00A51EE8" w:rsidRDefault="004E6961" w:rsidP="00397EB1">
      <w:pPr>
        <w:keepNext/>
        <w:spacing w:line="240" w:lineRule="auto"/>
        <w:rPr>
          <w:szCs w:val="24"/>
        </w:rPr>
      </w:pPr>
    </w:p>
    <w:p w14:paraId="4EB40B36" w14:textId="77777777" w:rsidR="004E6961" w:rsidRPr="00A51EE8" w:rsidRDefault="004E6961" w:rsidP="00397EB1">
      <w:pPr>
        <w:keepNext/>
        <w:spacing w:line="240" w:lineRule="auto"/>
        <w:rPr>
          <w:color w:val="000000" w:themeColor="text1"/>
          <w:szCs w:val="22"/>
          <w:u w:val="single"/>
        </w:rPr>
      </w:pPr>
      <w:r w:rsidRPr="00A51EE8">
        <w:t xml:space="preserve">Difelikefalin has not been studied in patients with </w:t>
      </w:r>
      <w:r w:rsidRPr="008B41C9">
        <w:t>New York Heart Association</w:t>
      </w:r>
      <w:r w:rsidRPr="00A51EE8">
        <w:t xml:space="preserve"> class IV heart failure. In the pivotal clinical studies a small numerical imbalance of cardiac failure and atrial fibrillation events was observed in the difelikefalin treated patients compared to placebo, </w:t>
      </w:r>
      <w:r w:rsidRPr="004A2442">
        <w:t>in particular among patients with a medical history of atrial fibrillation who discontinued or missed their atrial fibrillation treatment</w:t>
      </w:r>
      <w:r w:rsidRPr="007F7BD3">
        <w:t>.</w:t>
      </w:r>
      <w:r w:rsidRPr="00A51EE8">
        <w:t xml:space="preserve"> </w:t>
      </w:r>
      <w:r w:rsidRPr="007F7BD3">
        <w:t xml:space="preserve">No causal relationship was established. </w:t>
      </w:r>
    </w:p>
    <w:p w14:paraId="0F6BA57D" w14:textId="6A88AF46" w:rsidR="009C1EB4" w:rsidRDefault="009C1EB4" w:rsidP="00A6764E">
      <w:pPr>
        <w:spacing w:line="240" w:lineRule="auto"/>
        <w:rPr>
          <w:rFonts w:eastAsia="SimSun"/>
          <w:color w:val="000000"/>
          <w:szCs w:val="22"/>
          <w:lang w:val="en-US" w:eastAsia="en-GB"/>
        </w:rPr>
      </w:pPr>
    </w:p>
    <w:p w14:paraId="365DC775" w14:textId="6412E9D3" w:rsidR="009C1EB4" w:rsidRDefault="009C1EB4" w:rsidP="00A6764E">
      <w:pPr>
        <w:spacing w:line="240" w:lineRule="auto"/>
        <w:rPr>
          <w:rFonts w:eastAsia="SimSun"/>
          <w:b/>
          <w:bCs/>
          <w:color w:val="000000"/>
          <w:szCs w:val="22"/>
          <w:lang w:val="en-US" w:eastAsia="en-GB"/>
        </w:rPr>
      </w:pPr>
      <w:r w:rsidRPr="00714662">
        <w:rPr>
          <w:rFonts w:eastAsia="SimSun"/>
          <w:b/>
          <w:bCs/>
          <w:color w:val="000000"/>
          <w:szCs w:val="22"/>
          <w:lang w:val="en-US" w:eastAsia="en-GB"/>
        </w:rPr>
        <w:t>Patients with hepatic impairment</w:t>
      </w:r>
    </w:p>
    <w:p w14:paraId="44A11ED7" w14:textId="77777777" w:rsidR="009C1EB4" w:rsidRPr="00714662" w:rsidRDefault="009C1EB4" w:rsidP="00A6764E">
      <w:pPr>
        <w:spacing w:line="240" w:lineRule="auto"/>
        <w:rPr>
          <w:rFonts w:eastAsia="SimSun"/>
          <w:b/>
          <w:bCs/>
          <w:color w:val="000000"/>
          <w:szCs w:val="22"/>
          <w:lang w:val="en-US" w:eastAsia="en-GB"/>
        </w:rPr>
      </w:pPr>
    </w:p>
    <w:p w14:paraId="17219BC0" w14:textId="2221D796" w:rsidR="009C1EB4" w:rsidRPr="00A51EE8" w:rsidRDefault="00714662" w:rsidP="009C1EB4">
      <w:pPr>
        <w:autoSpaceDE w:val="0"/>
        <w:autoSpaceDN w:val="0"/>
        <w:adjustRightInd w:val="0"/>
        <w:rPr>
          <w:u w:val="single"/>
        </w:rPr>
      </w:pPr>
      <w:r>
        <w:t>C</w:t>
      </w:r>
      <w:r w:rsidR="009C1EB4" w:rsidRPr="00C07A2B">
        <w:t>linical data following IV dosing in patients with moderate hepatic impairment is currently limited</w:t>
      </w:r>
      <w:r w:rsidR="009C1EB4">
        <w:t xml:space="preserve">. </w:t>
      </w:r>
      <w:r w:rsidR="009C1EB4" w:rsidRPr="00C07A2B">
        <w:t xml:space="preserve">The influence of severe hepatic impairment on the pharmacokinetics of difelikefalin in </w:t>
      </w:r>
      <w:r w:rsidR="009C1EB4">
        <w:t>haemodialysis</w:t>
      </w:r>
      <w:r w:rsidR="009C1EB4" w:rsidRPr="00C07A2B">
        <w:t xml:space="preserve"> patients has not been evaluated; therefore, use in this population is not recommended</w:t>
      </w:r>
      <w:r w:rsidR="009C1EB4">
        <w:t>.</w:t>
      </w:r>
    </w:p>
    <w:p w14:paraId="50FB2992" w14:textId="77777777" w:rsidR="00A6764E" w:rsidRPr="00343918" w:rsidRDefault="00A6764E" w:rsidP="00A6764E">
      <w:pPr>
        <w:spacing w:line="240" w:lineRule="auto"/>
        <w:rPr>
          <w:rFonts w:ascii="TimesNewRomanPSMT" w:eastAsia="SimSun" w:hAnsi="TimesNewRomanPSMT" w:cs="TimesNewRomanPSMT"/>
          <w:color w:val="000000" w:themeColor="text1"/>
          <w:szCs w:val="22"/>
          <w:lang w:val="en-US" w:eastAsia="en-GB"/>
        </w:rPr>
      </w:pPr>
    </w:p>
    <w:p w14:paraId="4E76A20D" w14:textId="57F09BBE" w:rsidR="00A6764E" w:rsidRPr="00657E9D" w:rsidRDefault="00A6764E" w:rsidP="00582D6F">
      <w:pPr>
        <w:pStyle w:val="Heading3"/>
        <w:rPr>
          <w:lang w:val="en-US"/>
        </w:rPr>
      </w:pPr>
      <w:r w:rsidRPr="00657E9D">
        <w:rPr>
          <w:lang w:val="en-US"/>
        </w:rPr>
        <w:t xml:space="preserve">Patients with impaired blood brain barrier </w:t>
      </w:r>
    </w:p>
    <w:p w14:paraId="3833B420" w14:textId="77777777" w:rsidR="00A6764E" w:rsidRPr="00657E9D" w:rsidRDefault="00A6764E" w:rsidP="00A6764E">
      <w:pPr>
        <w:spacing w:line="240" w:lineRule="auto"/>
        <w:rPr>
          <w:i/>
          <w:color w:val="000000" w:themeColor="text1"/>
          <w:szCs w:val="22"/>
          <w:u w:val="single"/>
          <w:lang w:val="en-US"/>
        </w:rPr>
      </w:pPr>
    </w:p>
    <w:p w14:paraId="44647957" w14:textId="1511D320" w:rsidR="00EC424E" w:rsidRPr="00582D6F" w:rsidRDefault="00EC424E" w:rsidP="00582D6F">
      <w:pPr>
        <w:pStyle w:val="Heading3"/>
        <w:rPr>
          <w:b w:val="0"/>
          <w:bCs w:val="0"/>
        </w:rPr>
      </w:pPr>
      <w:r w:rsidRPr="00582D6F">
        <w:rPr>
          <w:b w:val="0"/>
          <w:bCs w:val="0"/>
        </w:rPr>
        <w:t>Difelikefalin is a peripherally acting kappa opioid receptor agonist with restricted access to the central nervous system (CNS). The blood-brain barrier (BBB) integrity is important for minimizing difelikefalin uptake into the CNS (see section 5.1</w:t>
      </w:r>
      <w:r w:rsidR="000C106C" w:rsidRPr="00582D6F">
        <w:rPr>
          <w:b w:val="0"/>
          <w:bCs w:val="0"/>
        </w:rPr>
        <w:t xml:space="preserve"> Pharmacodynamic Properties</w:t>
      </w:r>
      <w:r w:rsidRPr="00582D6F">
        <w:rPr>
          <w:b w:val="0"/>
          <w:bCs w:val="0"/>
        </w:rPr>
        <w:t>). Patients with clinically important disruptions to the BBB (e.g., primary brain malignancies, CNS metastases or other inflammatory conditions, active multiple sclerosis, advanced Alzheimer’s disease) may be at risk for difelikefalin entry into the CNS. K</w:t>
      </w:r>
      <w:r w:rsidR="004D3490" w:rsidRPr="00582D6F">
        <w:rPr>
          <w:b w:val="0"/>
          <w:bCs w:val="0"/>
        </w:rPr>
        <w:t>orsuva</w:t>
      </w:r>
      <w:r w:rsidRPr="00582D6F">
        <w:rPr>
          <w:b w:val="0"/>
          <w:bCs w:val="0"/>
        </w:rPr>
        <w:t xml:space="preserve"> should be prescribed with caution in such patients taking into account their individual benefit-risk balance with observation for potential CNS effects.</w:t>
      </w:r>
    </w:p>
    <w:p w14:paraId="25938226" w14:textId="13B24C20" w:rsidR="00A6764E" w:rsidRDefault="00A6764E" w:rsidP="00A6764E">
      <w:pPr>
        <w:spacing w:line="240" w:lineRule="auto"/>
        <w:rPr>
          <w:rFonts w:eastAsia="SimSun"/>
          <w:color w:val="000000" w:themeColor="text1"/>
          <w:szCs w:val="22"/>
          <w:lang w:val="en-US" w:eastAsia="en-GB"/>
        </w:rPr>
      </w:pPr>
    </w:p>
    <w:p w14:paraId="7C37BD46" w14:textId="7E56831B" w:rsidR="00464A9C" w:rsidRPr="00582D6F" w:rsidRDefault="00464A9C" w:rsidP="00582D6F">
      <w:pPr>
        <w:pStyle w:val="Heading3"/>
        <w:rPr>
          <w:rFonts w:eastAsia="SimSun"/>
          <w:lang w:eastAsia="en-GB"/>
        </w:rPr>
      </w:pPr>
      <w:r w:rsidRPr="004A41B9">
        <w:rPr>
          <w:rFonts w:eastAsia="SimSun"/>
          <w:lang w:eastAsia="en-GB"/>
        </w:rPr>
        <w:t>Dizziness and somnolence</w:t>
      </w:r>
    </w:p>
    <w:p w14:paraId="78FD981C" w14:textId="77777777" w:rsidR="004A41B9" w:rsidRDefault="004A41B9" w:rsidP="00464A9C">
      <w:pPr>
        <w:spacing w:line="240" w:lineRule="auto"/>
        <w:rPr>
          <w:rFonts w:eastAsia="SimSun"/>
          <w:color w:val="000000" w:themeColor="text1"/>
          <w:szCs w:val="22"/>
          <w:lang w:eastAsia="en-GB"/>
        </w:rPr>
      </w:pPr>
    </w:p>
    <w:p w14:paraId="01652344" w14:textId="225571E0" w:rsidR="00464A9C" w:rsidRPr="00464A9C" w:rsidRDefault="00464A9C" w:rsidP="00464A9C">
      <w:pPr>
        <w:spacing w:line="240" w:lineRule="auto"/>
        <w:rPr>
          <w:rFonts w:eastAsia="SimSun"/>
          <w:color w:val="000000" w:themeColor="text1"/>
          <w:szCs w:val="22"/>
          <w:lang w:eastAsia="en-GB"/>
        </w:rPr>
      </w:pPr>
      <w:r w:rsidRPr="00464A9C">
        <w:rPr>
          <w:rFonts w:eastAsia="SimSun"/>
          <w:color w:val="000000" w:themeColor="text1"/>
          <w:szCs w:val="22"/>
          <w:lang w:eastAsia="en-GB"/>
        </w:rPr>
        <w:t>Dizziness and somnolence have occurred in patients taking difelikefalin and may subside over time with continued treatment (see section 4.8</w:t>
      </w:r>
      <w:r w:rsidR="000C106C">
        <w:rPr>
          <w:rFonts w:eastAsia="SimSun"/>
          <w:color w:val="000000" w:themeColor="text1"/>
          <w:szCs w:val="22"/>
          <w:lang w:eastAsia="en-GB"/>
        </w:rPr>
        <w:t xml:space="preserve"> </w:t>
      </w:r>
      <w:r w:rsidR="000C106C">
        <w:rPr>
          <w:color w:val="000000"/>
          <w:szCs w:val="22"/>
          <w:lang w:eastAsia="en-GB"/>
        </w:rPr>
        <w:t>Undesirable Effects (Adverse Effects)</w:t>
      </w:r>
      <w:r w:rsidRPr="00464A9C">
        <w:rPr>
          <w:rFonts w:eastAsia="SimSun"/>
          <w:color w:val="000000" w:themeColor="text1"/>
          <w:szCs w:val="22"/>
          <w:lang w:eastAsia="en-GB"/>
        </w:rPr>
        <w:t>). Concomitant use of sedating antihistamines, opioid analgesics or other CNS depressants may increase the likelihood of these adverse reactions and should be used with caution during treatment with difelikefalin.</w:t>
      </w:r>
    </w:p>
    <w:p w14:paraId="3A1F34A7" w14:textId="69686A6D" w:rsidR="00464A9C" w:rsidRPr="00927A90" w:rsidRDefault="00464A9C" w:rsidP="00464A9C">
      <w:pPr>
        <w:spacing w:line="240" w:lineRule="auto"/>
        <w:rPr>
          <w:rFonts w:eastAsia="SimSun"/>
          <w:color w:val="000000" w:themeColor="text1"/>
          <w:szCs w:val="22"/>
          <w:lang w:eastAsia="en-GB"/>
        </w:rPr>
      </w:pPr>
    </w:p>
    <w:p w14:paraId="1F6E6BFE" w14:textId="65C7D1CE" w:rsidR="00EE21DF" w:rsidRPr="0098782E" w:rsidRDefault="00EE21DF" w:rsidP="00927A90">
      <w:pPr>
        <w:pStyle w:val="Heading3"/>
        <w:tabs>
          <w:tab w:val="left" w:pos="2311"/>
        </w:tabs>
      </w:pPr>
      <w:r w:rsidRPr="0098782E">
        <w:t>Use in the elderly</w:t>
      </w:r>
    </w:p>
    <w:p w14:paraId="2FC4D5AD" w14:textId="77777777" w:rsidR="00EE21DF" w:rsidRPr="000F4E17" w:rsidRDefault="00EE21DF" w:rsidP="000F4E17">
      <w:pPr>
        <w:spacing w:line="240" w:lineRule="auto"/>
        <w:rPr>
          <w:rFonts w:eastAsia="SimSun"/>
          <w:color w:val="000000"/>
          <w:szCs w:val="22"/>
          <w:lang w:val="en-US" w:eastAsia="en-GB"/>
        </w:rPr>
      </w:pPr>
    </w:p>
    <w:p w14:paraId="5C62F150" w14:textId="57013E94" w:rsidR="00B8688C" w:rsidRDefault="000F4E17" w:rsidP="000F4E17">
      <w:pPr>
        <w:spacing w:line="240" w:lineRule="auto"/>
        <w:rPr>
          <w:rFonts w:eastAsia="SimSun"/>
          <w:color w:val="000000"/>
          <w:szCs w:val="22"/>
          <w:lang w:val="en-US" w:eastAsia="en-GB"/>
        </w:rPr>
      </w:pPr>
      <w:r w:rsidRPr="000F4E17">
        <w:rPr>
          <w:rFonts w:eastAsia="SimSun"/>
          <w:color w:val="000000"/>
          <w:szCs w:val="22"/>
          <w:lang w:val="en-US" w:eastAsia="en-GB"/>
        </w:rPr>
        <w:t xml:space="preserve">Please refer to section 4.2 Dose and Method of Administration, Elderly population. Safety results suggested that </w:t>
      </w:r>
      <w:r w:rsidR="003749BD">
        <w:rPr>
          <w:rFonts w:eastAsia="SimSun"/>
          <w:color w:val="000000" w:themeColor="text1"/>
          <w:szCs w:val="22"/>
          <w:lang w:eastAsia="en-GB"/>
        </w:rPr>
        <w:t>c</w:t>
      </w:r>
      <w:r w:rsidR="003749BD" w:rsidRPr="00464A9C">
        <w:rPr>
          <w:rFonts w:eastAsia="SimSun"/>
          <w:color w:val="000000" w:themeColor="text1"/>
          <w:szCs w:val="22"/>
          <w:lang w:eastAsia="en-GB"/>
        </w:rPr>
        <w:t>ompared to placebo, the incidence of somnolence was higher in difelikefalin treated subjects 65 years of age and older (7.0%) than in difelikefalin treated subjects less than 65 years of age (2.8%).</w:t>
      </w:r>
      <w:r w:rsidRPr="000F4E17">
        <w:rPr>
          <w:rFonts w:eastAsia="SimSun"/>
          <w:color w:val="000000"/>
          <w:szCs w:val="22"/>
          <w:lang w:val="en-US" w:eastAsia="en-GB"/>
        </w:rPr>
        <w:t xml:space="preserve"> Therefore, the use of difelikefalin in this patient </w:t>
      </w:r>
      <w:r w:rsidRPr="000F4E17">
        <w:rPr>
          <w:rFonts w:eastAsia="SimSun"/>
          <w:color w:val="000000"/>
          <w:szCs w:val="22"/>
          <w:lang w:val="en-US" w:eastAsia="en-GB"/>
        </w:rPr>
        <w:lastRenderedPageBreak/>
        <w:t xml:space="preserve">population should </w:t>
      </w:r>
      <w:proofErr w:type="gramStart"/>
      <w:r w:rsidRPr="000F4E17">
        <w:rPr>
          <w:rFonts w:eastAsia="SimSun"/>
          <w:color w:val="000000"/>
          <w:szCs w:val="22"/>
          <w:lang w:val="en-US" w:eastAsia="en-GB"/>
        </w:rPr>
        <w:t>take into account</w:t>
      </w:r>
      <w:proofErr w:type="gramEnd"/>
      <w:r w:rsidRPr="000F4E17">
        <w:rPr>
          <w:rFonts w:eastAsia="SimSun"/>
          <w:color w:val="000000"/>
          <w:szCs w:val="22"/>
          <w:lang w:val="en-US" w:eastAsia="en-GB"/>
        </w:rPr>
        <w:t xml:space="preserve"> individual benefit-risk assessment and be carefully monitored</w:t>
      </w:r>
      <w:r w:rsidR="00734920">
        <w:rPr>
          <w:rFonts w:eastAsia="SimSun"/>
          <w:color w:val="000000"/>
          <w:szCs w:val="22"/>
          <w:lang w:val="en-US" w:eastAsia="en-GB"/>
        </w:rPr>
        <w:t>.</w:t>
      </w:r>
      <w:r w:rsidRPr="000F4E17">
        <w:rPr>
          <w:rFonts w:eastAsia="SimSun"/>
          <w:color w:val="000000"/>
          <w:szCs w:val="22"/>
          <w:lang w:val="en-US" w:eastAsia="en-GB"/>
        </w:rPr>
        <w:t xml:space="preserve"> </w:t>
      </w:r>
    </w:p>
    <w:p w14:paraId="751AC7C3" w14:textId="262BAA8B" w:rsidR="00EE21DF" w:rsidRPr="00397EB1" w:rsidRDefault="00EE21DF" w:rsidP="000F4E17">
      <w:pPr>
        <w:spacing w:line="240" w:lineRule="auto"/>
        <w:rPr>
          <w:rFonts w:eastAsia="SimSun"/>
          <w:color w:val="000000"/>
          <w:szCs w:val="22"/>
          <w:lang w:val="en-US" w:eastAsia="en-GB"/>
        </w:rPr>
      </w:pPr>
    </w:p>
    <w:p w14:paraId="21692433" w14:textId="15EE29E8" w:rsidR="00EE21DF" w:rsidRDefault="00EE21DF" w:rsidP="00EE21DF">
      <w:pPr>
        <w:pStyle w:val="Heading3"/>
      </w:pPr>
      <w:r>
        <w:t>Paediatric use</w:t>
      </w:r>
    </w:p>
    <w:p w14:paraId="599E75F8" w14:textId="77777777" w:rsidR="00EE21DF" w:rsidRDefault="00EE21DF" w:rsidP="00EE21DF">
      <w:pPr>
        <w:spacing w:line="240" w:lineRule="auto"/>
        <w:rPr>
          <w:bCs/>
          <w:i/>
          <w:iCs/>
          <w:szCs w:val="22"/>
        </w:rPr>
      </w:pPr>
    </w:p>
    <w:p w14:paraId="2F2082D6" w14:textId="58BF5B7F" w:rsidR="00EE21DF" w:rsidRPr="0029293F" w:rsidRDefault="00EE21DF" w:rsidP="00EE21DF">
      <w:pPr>
        <w:spacing w:line="240" w:lineRule="auto"/>
        <w:rPr>
          <w:rFonts w:eastAsia="SimSun"/>
          <w:color w:val="000000"/>
          <w:szCs w:val="22"/>
          <w:lang w:val="en-US" w:eastAsia="en-GB"/>
        </w:rPr>
      </w:pPr>
      <w:r w:rsidRPr="00FF01BC">
        <w:rPr>
          <w:rFonts w:eastAsia="SimSun"/>
          <w:color w:val="000000"/>
          <w:szCs w:val="22"/>
          <w:lang w:val="en-US" w:eastAsia="en-GB"/>
        </w:rPr>
        <w:t xml:space="preserve">The safety and efficacy of </w:t>
      </w:r>
      <w:r>
        <w:rPr>
          <w:noProof/>
          <w:szCs w:val="22"/>
        </w:rPr>
        <w:t>Korsuva</w:t>
      </w:r>
      <w:r w:rsidRPr="00FF01BC">
        <w:rPr>
          <w:rFonts w:eastAsia="SimSun"/>
          <w:color w:val="000000"/>
          <w:szCs w:val="22"/>
          <w:lang w:val="en-US" w:eastAsia="en-GB"/>
        </w:rPr>
        <w:t xml:space="preserve"> in children aged 0-17 years has not yet been established.</w:t>
      </w:r>
      <w:r>
        <w:rPr>
          <w:rFonts w:eastAsia="SimSun"/>
          <w:color w:val="000000"/>
          <w:szCs w:val="22"/>
          <w:lang w:val="en-US" w:eastAsia="en-GB"/>
        </w:rPr>
        <w:t xml:space="preserve">  </w:t>
      </w:r>
      <w:r w:rsidRPr="0029293F">
        <w:rPr>
          <w:rFonts w:eastAsia="SimSun"/>
          <w:color w:val="000000"/>
          <w:szCs w:val="22"/>
          <w:lang w:val="en-US" w:eastAsia="en-GB"/>
        </w:rPr>
        <w:t>There are no data available.</w:t>
      </w:r>
    </w:p>
    <w:p w14:paraId="40260488" w14:textId="0D88B6BE" w:rsidR="00EE21DF" w:rsidRPr="0029293F" w:rsidRDefault="00EE21DF" w:rsidP="00EE21DF">
      <w:pPr>
        <w:spacing w:line="240" w:lineRule="auto"/>
        <w:rPr>
          <w:rFonts w:eastAsia="SimSun"/>
          <w:color w:val="000000"/>
          <w:szCs w:val="22"/>
          <w:lang w:val="en-US" w:eastAsia="en-GB"/>
        </w:rPr>
      </w:pPr>
    </w:p>
    <w:p w14:paraId="31A1DB08" w14:textId="77777777" w:rsidR="00EE21DF" w:rsidRPr="0029293F" w:rsidRDefault="00EE21DF" w:rsidP="0084177F">
      <w:pPr>
        <w:pStyle w:val="Heading3"/>
      </w:pPr>
      <w:r w:rsidRPr="0029293F">
        <w:t>Effects on laboratory tests</w:t>
      </w:r>
    </w:p>
    <w:p w14:paraId="57B9A1F5" w14:textId="77777777" w:rsidR="0084177F" w:rsidRPr="0029293F" w:rsidRDefault="0084177F" w:rsidP="00EE21DF">
      <w:pPr>
        <w:spacing w:line="240" w:lineRule="auto"/>
        <w:rPr>
          <w:rFonts w:eastAsia="SimSun"/>
          <w:color w:val="000000"/>
          <w:szCs w:val="22"/>
          <w:lang w:val="en-US" w:eastAsia="en-GB"/>
        </w:rPr>
      </w:pPr>
    </w:p>
    <w:p w14:paraId="50D748A0" w14:textId="1CCF4C95" w:rsidR="00EE21DF" w:rsidRDefault="00EE21DF" w:rsidP="00EE21DF">
      <w:pPr>
        <w:spacing w:line="240" w:lineRule="auto"/>
        <w:rPr>
          <w:rFonts w:eastAsia="SimSun"/>
          <w:color w:val="000000"/>
          <w:szCs w:val="22"/>
          <w:lang w:val="en-US" w:eastAsia="en-GB"/>
        </w:rPr>
      </w:pPr>
      <w:r w:rsidRPr="0029293F">
        <w:rPr>
          <w:rFonts w:eastAsia="SimSun"/>
          <w:color w:val="000000"/>
          <w:szCs w:val="22"/>
          <w:lang w:val="en-US" w:eastAsia="en-GB"/>
        </w:rPr>
        <w:t>No data available</w:t>
      </w:r>
    </w:p>
    <w:p w14:paraId="57E16B3B" w14:textId="77777777" w:rsidR="00812D16" w:rsidRPr="00A6764E" w:rsidRDefault="00812D16" w:rsidP="00EE21DF">
      <w:pPr>
        <w:rPr>
          <w:noProof/>
          <w:lang w:val="en-US"/>
        </w:rPr>
      </w:pPr>
    </w:p>
    <w:p w14:paraId="7DDB9EE1" w14:textId="224230E2" w:rsidR="00812D16" w:rsidRPr="008225EB" w:rsidRDefault="005812DA" w:rsidP="00AD6051">
      <w:pPr>
        <w:pStyle w:val="Heading2"/>
        <w:rPr>
          <w:noProof/>
        </w:rPr>
      </w:pPr>
      <w:r>
        <w:rPr>
          <w:noProof/>
        </w:rPr>
        <w:t>INTERACTIONS WITH OTHER MEDICINAL PRODUCTS AND OTHER FORMS OF INTERACTIONS</w:t>
      </w:r>
    </w:p>
    <w:p w14:paraId="6D6B25E1" w14:textId="77777777" w:rsidR="00812D16" w:rsidRPr="00A3136F" w:rsidRDefault="00812D16" w:rsidP="00204AAB">
      <w:pPr>
        <w:spacing w:line="240" w:lineRule="auto"/>
        <w:rPr>
          <w:noProof/>
          <w:szCs w:val="22"/>
        </w:rPr>
      </w:pPr>
    </w:p>
    <w:p w14:paraId="48D69AE8" w14:textId="4C1E292B" w:rsidR="00A6764E" w:rsidRDefault="00A6764E" w:rsidP="00FF01BC">
      <w:pPr>
        <w:spacing w:line="240" w:lineRule="auto"/>
        <w:rPr>
          <w:rFonts w:eastAsia="SimSun"/>
          <w:color w:val="000000"/>
          <w:szCs w:val="22"/>
          <w:lang w:val="en-US" w:eastAsia="en-GB"/>
        </w:rPr>
      </w:pPr>
      <w:bookmarkStart w:id="10" w:name="OLE_LINK13"/>
      <w:r w:rsidRPr="00FF01BC">
        <w:rPr>
          <w:rFonts w:eastAsia="SimSun"/>
          <w:color w:val="000000"/>
          <w:szCs w:val="22"/>
          <w:lang w:val="en-US" w:eastAsia="en-GB"/>
        </w:rPr>
        <w:t>No clinical interaction studies have been performed</w:t>
      </w:r>
      <w:bookmarkEnd w:id="10"/>
      <w:r w:rsidR="008C5DA7">
        <w:rPr>
          <w:rFonts w:eastAsia="SimSun"/>
          <w:color w:val="000000"/>
          <w:szCs w:val="22"/>
          <w:lang w:val="en-US" w:eastAsia="en-GB"/>
        </w:rPr>
        <w:t xml:space="preserve">, </w:t>
      </w:r>
      <w:r w:rsidR="008C5DA7" w:rsidRPr="00963F03">
        <w:rPr>
          <w:rFonts w:eastAsia="SimSun"/>
          <w:color w:val="000000"/>
          <w:szCs w:val="22"/>
          <w:lang w:val="en-US" w:eastAsia="en-GB"/>
        </w:rPr>
        <w:t xml:space="preserve">including </w:t>
      </w:r>
      <w:r w:rsidR="008C5DA7">
        <w:rPr>
          <w:rFonts w:eastAsia="SimSun"/>
          <w:color w:val="000000"/>
          <w:szCs w:val="22"/>
          <w:lang w:val="en-US" w:eastAsia="en-GB"/>
        </w:rPr>
        <w:t xml:space="preserve">studies with </w:t>
      </w:r>
      <w:r w:rsidR="008C5DA7" w:rsidRPr="00963F03">
        <w:rPr>
          <w:rFonts w:eastAsia="SimSun"/>
          <w:color w:val="000000"/>
          <w:szCs w:val="22"/>
          <w:lang w:val="en-US" w:eastAsia="en-GB"/>
        </w:rPr>
        <w:t xml:space="preserve">drugs that are used to manage </w:t>
      </w:r>
      <w:bookmarkStart w:id="11" w:name="OLE_LINK14"/>
      <w:r w:rsidR="008C5DA7" w:rsidRPr="00963F03">
        <w:rPr>
          <w:rFonts w:eastAsia="SimSun"/>
          <w:color w:val="000000"/>
          <w:szCs w:val="22"/>
          <w:lang w:val="en-US" w:eastAsia="en-GB"/>
        </w:rPr>
        <w:t>hyperparathyroidism</w:t>
      </w:r>
      <w:bookmarkEnd w:id="11"/>
      <w:r w:rsidR="008C5DA7" w:rsidRPr="00963F03">
        <w:rPr>
          <w:rFonts w:eastAsia="SimSun"/>
          <w:color w:val="000000"/>
          <w:szCs w:val="22"/>
          <w:lang w:val="en-US" w:eastAsia="en-GB"/>
        </w:rPr>
        <w:t xml:space="preserve"> in CKD</w:t>
      </w:r>
      <w:r w:rsidRPr="00FF01BC">
        <w:rPr>
          <w:rFonts w:eastAsia="SimSun"/>
          <w:color w:val="000000"/>
          <w:szCs w:val="22"/>
          <w:lang w:val="en-US" w:eastAsia="en-GB"/>
        </w:rPr>
        <w:t xml:space="preserve">. </w:t>
      </w:r>
    </w:p>
    <w:p w14:paraId="3B1C8A62" w14:textId="77777777" w:rsidR="00C306FF" w:rsidRDefault="00C306FF" w:rsidP="00FF01BC">
      <w:pPr>
        <w:spacing w:line="240" w:lineRule="auto"/>
        <w:rPr>
          <w:rFonts w:eastAsia="SimSun"/>
          <w:color w:val="000000"/>
          <w:szCs w:val="22"/>
          <w:lang w:val="en-US" w:eastAsia="en-GB"/>
        </w:rPr>
      </w:pPr>
    </w:p>
    <w:p w14:paraId="15088EF9" w14:textId="77777777" w:rsidR="00C306FF" w:rsidRPr="00FF01BC" w:rsidRDefault="00C306FF" w:rsidP="00C306FF">
      <w:pPr>
        <w:spacing w:line="240" w:lineRule="auto"/>
        <w:rPr>
          <w:rFonts w:eastAsia="SimSun"/>
          <w:color w:val="000000"/>
          <w:szCs w:val="22"/>
          <w:lang w:val="en-US" w:eastAsia="en-GB"/>
        </w:rPr>
      </w:pPr>
      <w:r w:rsidRPr="00FF01BC">
        <w:rPr>
          <w:rFonts w:eastAsia="SimSun"/>
          <w:color w:val="000000"/>
          <w:szCs w:val="22"/>
          <w:lang w:val="en-US" w:eastAsia="en-GB"/>
        </w:rPr>
        <w:t>Difelikefalin is neither a substrate for CYP1A2, CYP2C8, CYP2C9, CYP2C19, CYP2D6, or CYP3A4, nor an inhibitor of CYP1A2, CYP2B6, CYP2C8, CYP2C9, CYP2C19, CYP2D6, or CYP3A4/5 and has minimal to no potential for induction of human CYP1A2, CYP2B6, or CYP3A. It is not an inhibitor of glucuronidation enzymes either (UGT1A3, UGT1A9, or UGT2B7).</w:t>
      </w:r>
    </w:p>
    <w:p w14:paraId="0461A181" w14:textId="48703CB3" w:rsidR="00C306FF" w:rsidRPr="00FF01BC" w:rsidRDefault="00C306FF" w:rsidP="00C306FF">
      <w:pPr>
        <w:spacing w:line="240" w:lineRule="auto"/>
        <w:rPr>
          <w:rFonts w:eastAsia="SimSun"/>
          <w:color w:val="000000"/>
          <w:szCs w:val="22"/>
          <w:lang w:val="en-US" w:eastAsia="en-GB"/>
        </w:rPr>
      </w:pPr>
    </w:p>
    <w:p w14:paraId="307D8A6F" w14:textId="790E8A3A" w:rsidR="00C306FF" w:rsidRDefault="00C306FF" w:rsidP="00C306FF">
      <w:pPr>
        <w:spacing w:line="240" w:lineRule="auto"/>
        <w:rPr>
          <w:rFonts w:eastAsia="SimSun"/>
          <w:color w:val="000000"/>
          <w:szCs w:val="22"/>
          <w:lang w:val="en-US" w:eastAsia="en-GB"/>
        </w:rPr>
      </w:pPr>
      <w:r w:rsidRPr="00FF01BC">
        <w:rPr>
          <w:rFonts w:eastAsia="SimSun"/>
          <w:color w:val="000000"/>
          <w:szCs w:val="22"/>
          <w:lang w:val="en-US" w:eastAsia="en-GB"/>
        </w:rPr>
        <w:t>In addition, difelikefalin is not an inhibitor of BCRP, BSEP, LAT1, MATE1, MATE2-K, MRP2, OAT1, OAT3, OATP1A2, OATP1B1, OATP1B3, OCT1, OCT2, OCT3, P-glycoprotein, PEPT1 or PEPT2, and is not a substrate for ASBT, BCRP, BSEP, LAT1, MATE1, MATE2-K, MRP2, OAT1, OAT2, OAT3, OATP1A2, OATP1B1, OATP1B3, OATP2B1, OCT1, OCT2, OCT3, OCTN1, OCTN2, OSTαβ, P-glycoprotein, PEPT1 or PEPT2.</w:t>
      </w:r>
    </w:p>
    <w:p w14:paraId="3DD9C7A9" w14:textId="77777777" w:rsidR="00EC498F" w:rsidRPr="00FF01BC" w:rsidRDefault="00EC498F" w:rsidP="00C306FF">
      <w:pPr>
        <w:spacing w:line="240" w:lineRule="auto"/>
        <w:rPr>
          <w:rFonts w:eastAsia="SimSun"/>
          <w:color w:val="000000"/>
          <w:szCs w:val="22"/>
          <w:lang w:val="en-US" w:eastAsia="en-GB"/>
        </w:rPr>
      </w:pPr>
    </w:p>
    <w:p w14:paraId="22ACC57D" w14:textId="0C7CF14C" w:rsidR="00927A90" w:rsidRPr="00332514" w:rsidRDefault="00927A90" w:rsidP="00927A90">
      <w:pPr>
        <w:spacing w:line="240" w:lineRule="auto"/>
        <w:rPr>
          <w:rFonts w:eastAsia="SimSun"/>
          <w:iCs/>
          <w:color w:val="000000"/>
          <w:szCs w:val="22"/>
          <w:lang w:eastAsia="en-GB"/>
        </w:rPr>
      </w:pPr>
      <w:r w:rsidRPr="00082C1B">
        <w:rPr>
          <w:rFonts w:eastAsia="SimSun"/>
          <w:color w:val="000000"/>
          <w:szCs w:val="22"/>
          <w:lang w:eastAsia="en-GB"/>
        </w:rPr>
        <w:t xml:space="preserve">Concurrent administration of medicinal products such as sedating </w:t>
      </w:r>
      <w:r w:rsidRPr="00612ADC">
        <w:rPr>
          <w:rFonts w:eastAsia="SimSun"/>
          <w:color w:val="000000"/>
          <w:szCs w:val="22"/>
          <w:lang w:eastAsia="en-GB"/>
        </w:rPr>
        <w:t>antihistamines</w:t>
      </w:r>
      <w:r>
        <w:rPr>
          <w:rFonts w:eastAsia="SimSun"/>
          <w:color w:val="000000"/>
          <w:szCs w:val="22"/>
          <w:lang w:eastAsia="en-GB"/>
        </w:rPr>
        <w:t xml:space="preserve">, </w:t>
      </w:r>
      <w:r w:rsidRPr="00612ADC">
        <w:rPr>
          <w:rFonts w:eastAsia="SimSun"/>
          <w:color w:val="000000"/>
          <w:szCs w:val="22"/>
          <w:lang w:eastAsia="en-GB"/>
        </w:rPr>
        <w:t xml:space="preserve">opioid </w:t>
      </w:r>
      <w:proofErr w:type="gramStart"/>
      <w:r w:rsidRPr="00612ADC">
        <w:rPr>
          <w:rFonts w:eastAsia="SimSun"/>
          <w:color w:val="000000"/>
          <w:szCs w:val="22"/>
          <w:lang w:eastAsia="en-GB"/>
        </w:rPr>
        <w:t>analgesics</w:t>
      </w:r>
      <w:proofErr w:type="gramEnd"/>
      <w:r w:rsidRPr="00612ADC">
        <w:rPr>
          <w:rFonts w:eastAsia="SimSun"/>
          <w:color w:val="000000"/>
          <w:szCs w:val="22"/>
          <w:lang w:eastAsia="en-GB"/>
        </w:rPr>
        <w:t xml:space="preserve"> </w:t>
      </w:r>
      <w:r>
        <w:rPr>
          <w:rFonts w:eastAsia="SimSun"/>
          <w:color w:val="000000"/>
          <w:szCs w:val="22"/>
          <w:lang w:eastAsia="en-GB"/>
        </w:rPr>
        <w:t xml:space="preserve">or other CNS </w:t>
      </w:r>
      <w:r w:rsidRPr="00082C1B">
        <w:rPr>
          <w:rFonts w:eastAsia="SimSun"/>
          <w:color w:val="000000"/>
          <w:szCs w:val="22"/>
          <w:lang w:eastAsia="en-GB"/>
        </w:rPr>
        <w:t>depressant</w:t>
      </w:r>
      <w:r>
        <w:rPr>
          <w:rFonts w:eastAsia="SimSun"/>
          <w:color w:val="000000"/>
          <w:szCs w:val="22"/>
          <w:lang w:eastAsia="en-GB"/>
        </w:rPr>
        <w:t>s</w:t>
      </w:r>
      <w:r w:rsidRPr="00082C1B">
        <w:rPr>
          <w:rFonts w:eastAsia="SimSun"/>
          <w:color w:val="000000"/>
          <w:szCs w:val="22"/>
          <w:lang w:eastAsia="en-GB"/>
        </w:rPr>
        <w:t xml:space="preserve"> </w:t>
      </w:r>
      <w:r>
        <w:rPr>
          <w:rFonts w:eastAsia="SimSun"/>
          <w:color w:val="000000"/>
          <w:szCs w:val="22"/>
          <w:lang w:eastAsia="en-GB"/>
        </w:rPr>
        <w:t>(</w:t>
      </w:r>
      <w:r w:rsidRPr="00ED4E26">
        <w:rPr>
          <w:rFonts w:eastAsia="SimSun"/>
          <w:color w:val="000000"/>
          <w:szCs w:val="22"/>
          <w:lang w:eastAsia="en-GB"/>
        </w:rPr>
        <w:t>e.g.</w:t>
      </w:r>
      <w:r>
        <w:rPr>
          <w:rFonts w:eastAsia="SimSun"/>
          <w:color w:val="000000"/>
          <w:szCs w:val="22"/>
          <w:lang w:eastAsia="en-GB"/>
        </w:rPr>
        <w:t>,</w:t>
      </w:r>
      <w:r w:rsidRPr="00ED4E26">
        <w:rPr>
          <w:rFonts w:eastAsia="SimSun"/>
          <w:color w:val="000000"/>
          <w:szCs w:val="22"/>
          <w:lang w:eastAsia="en-GB"/>
        </w:rPr>
        <w:t xml:space="preserve"> clonidine, ondansetron, gabapentin, pregabalin, zolpidem, alprazolam, sertraline, trazodone)</w:t>
      </w:r>
      <w:r w:rsidRPr="00082C1B">
        <w:rPr>
          <w:rFonts w:eastAsia="SimSun"/>
          <w:color w:val="000000"/>
          <w:szCs w:val="22"/>
          <w:lang w:eastAsia="en-GB"/>
        </w:rPr>
        <w:t xml:space="preserve"> </w:t>
      </w:r>
      <w:r w:rsidRPr="00612ADC">
        <w:rPr>
          <w:rFonts w:eastAsia="SimSun"/>
          <w:color w:val="000000"/>
          <w:szCs w:val="22"/>
          <w:lang w:eastAsia="en-GB"/>
        </w:rPr>
        <w:t>may increase the likelihood of dizziness and somnolence (see section</w:t>
      </w:r>
      <w:r w:rsidR="00107DFF">
        <w:rPr>
          <w:rFonts w:eastAsia="SimSun"/>
          <w:color w:val="000000"/>
          <w:szCs w:val="22"/>
          <w:lang w:eastAsia="en-GB"/>
        </w:rPr>
        <w:t>s</w:t>
      </w:r>
      <w:r w:rsidRPr="00612ADC">
        <w:rPr>
          <w:rFonts w:eastAsia="SimSun"/>
          <w:color w:val="000000"/>
          <w:szCs w:val="22"/>
          <w:lang w:eastAsia="en-GB"/>
        </w:rPr>
        <w:t xml:space="preserve"> 4.4</w:t>
      </w:r>
      <w:r w:rsidR="00107DFF">
        <w:rPr>
          <w:rFonts w:eastAsia="SimSun"/>
          <w:color w:val="000000"/>
          <w:szCs w:val="22"/>
          <w:lang w:eastAsia="en-GB"/>
        </w:rPr>
        <w:t xml:space="preserve"> </w:t>
      </w:r>
      <w:r w:rsidR="000C106C">
        <w:rPr>
          <w:rFonts w:eastAsia="SimSun"/>
          <w:color w:val="000000"/>
          <w:szCs w:val="22"/>
          <w:lang w:eastAsia="en-GB"/>
        </w:rPr>
        <w:t xml:space="preserve">Special Warnings and Precautions for Use </w:t>
      </w:r>
      <w:r w:rsidR="00107DFF">
        <w:rPr>
          <w:rFonts w:eastAsia="SimSun"/>
          <w:color w:val="000000"/>
          <w:szCs w:val="22"/>
          <w:lang w:eastAsia="en-GB"/>
        </w:rPr>
        <w:t>and 4.8</w:t>
      </w:r>
      <w:r w:rsidR="000C106C">
        <w:rPr>
          <w:rFonts w:eastAsia="SimSun"/>
          <w:color w:val="000000"/>
          <w:szCs w:val="22"/>
          <w:lang w:eastAsia="en-GB"/>
        </w:rPr>
        <w:t xml:space="preserve"> </w:t>
      </w:r>
      <w:r w:rsidR="000C106C">
        <w:rPr>
          <w:color w:val="000000"/>
          <w:szCs w:val="22"/>
          <w:lang w:eastAsia="en-GB"/>
        </w:rPr>
        <w:t>Undesirable Effects (Adverse Effects)</w:t>
      </w:r>
      <w:r w:rsidRPr="00612ADC">
        <w:rPr>
          <w:rFonts w:eastAsia="SimSun"/>
          <w:color w:val="000000"/>
          <w:szCs w:val="22"/>
          <w:lang w:eastAsia="en-GB"/>
        </w:rPr>
        <w:t>).</w:t>
      </w:r>
    </w:p>
    <w:p w14:paraId="629684D8" w14:textId="77777777" w:rsidR="00812D16" w:rsidRPr="006B4557" w:rsidRDefault="00812D16" w:rsidP="00204AAB">
      <w:pPr>
        <w:spacing w:line="240" w:lineRule="auto"/>
      </w:pPr>
    </w:p>
    <w:p w14:paraId="43734F4D" w14:textId="244B0015" w:rsidR="00812D16" w:rsidRPr="00157895" w:rsidRDefault="005812DA" w:rsidP="00AD6051">
      <w:pPr>
        <w:pStyle w:val="Heading2"/>
        <w:rPr>
          <w:noProof/>
        </w:rPr>
      </w:pPr>
      <w:r>
        <w:rPr>
          <w:noProof/>
        </w:rPr>
        <w:t xml:space="preserve">FERTILIY, PREGNANCY AND LACTATION </w:t>
      </w:r>
    </w:p>
    <w:p w14:paraId="39B607FA" w14:textId="77777777" w:rsidR="00812D16" w:rsidRPr="006B4557" w:rsidRDefault="00812D16" w:rsidP="00204AAB">
      <w:pPr>
        <w:spacing w:line="240" w:lineRule="auto"/>
        <w:rPr>
          <w:noProof/>
          <w:szCs w:val="22"/>
        </w:rPr>
      </w:pPr>
    </w:p>
    <w:p w14:paraId="09AFBEA7" w14:textId="2A86A31D" w:rsidR="005812DA" w:rsidRDefault="00B321D0" w:rsidP="00AD6051">
      <w:pPr>
        <w:pStyle w:val="Heading3"/>
      </w:pPr>
      <w:r>
        <w:t>Effects on f</w:t>
      </w:r>
      <w:r w:rsidR="005812DA" w:rsidRPr="00D84542">
        <w:t>ertility</w:t>
      </w:r>
    </w:p>
    <w:p w14:paraId="3631D0DB" w14:textId="77777777" w:rsidR="005812DA" w:rsidRPr="00D84542" w:rsidRDefault="005812DA" w:rsidP="005812DA">
      <w:pPr>
        <w:spacing w:line="240" w:lineRule="auto"/>
        <w:rPr>
          <w:noProof/>
          <w:szCs w:val="22"/>
        </w:rPr>
      </w:pPr>
    </w:p>
    <w:p w14:paraId="30262046" w14:textId="53F73A06" w:rsidR="005812DA" w:rsidRDefault="00760445" w:rsidP="005812DA">
      <w:pPr>
        <w:spacing w:line="240" w:lineRule="auto"/>
        <w:rPr>
          <w:rFonts w:eastAsia="SimSun"/>
          <w:color w:val="000000"/>
          <w:szCs w:val="22"/>
          <w:lang w:val="en-US" w:eastAsia="en-GB"/>
        </w:rPr>
      </w:pPr>
      <w:r>
        <w:rPr>
          <w:rFonts w:eastAsia="SimSun"/>
          <w:color w:val="000000"/>
          <w:szCs w:val="22"/>
          <w:lang w:val="en-US" w:eastAsia="en-GB"/>
        </w:rPr>
        <w:t>Difelikefalin administered via intravenous injection prolonged dioestrus in female rats at doses greater than or equal to 2.5 mg/kg/day.  The no adverse effect level was 0.25 mg/kg/day IV (17 times the AUC at the maximum recommended human dose [MRDH] based on AU</w:t>
      </w:r>
      <w:r w:rsidR="00677DF3">
        <w:rPr>
          <w:rFonts w:eastAsia="SimSun"/>
          <w:color w:val="000000"/>
          <w:szCs w:val="22"/>
          <w:lang w:val="en-US" w:eastAsia="en-GB"/>
        </w:rPr>
        <w:t>C</w:t>
      </w:r>
      <w:r>
        <w:rPr>
          <w:rFonts w:eastAsia="SimSun"/>
          <w:color w:val="000000"/>
          <w:szCs w:val="22"/>
          <w:lang w:val="en-US" w:eastAsia="en-GB"/>
        </w:rPr>
        <w:t xml:space="preserve"> comparison).  Difelikefalin had no effects on mating index, fertility index, or any ovarian or uterine parameters in female rats at doses up to 25 mg/kg/day (</w:t>
      </w:r>
      <w:r w:rsidR="00194429">
        <w:rPr>
          <w:rFonts w:eastAsia="SimSun"/>
          <w:color w:val="000000"/>
          <w:szCs w:val="22"/>
          <w:lang w:val="en-US" w:eastAsia="en-GB"/>
        </w:rPr>
        <w:t>1905</w:t>
      </w:r>
      <w:r>
        <w:rPr>
          <w:rFonts w:eastAsia="SimSun"/>
          <w:color w:val="000000"/>
          <w:szCs w:val="22"/>
          <w:lang w:val="en-US" w:eastAsia="en-GB"/>
        </w:rPr>
        <w:t xml:space="preserve"> times the AUC at the MRHD). Difelikefalin did not impair male fertility at doses up to 25 mg/kg/day (</w:t>
      </w:r>
      <w:r w:rsidR="00194429">
        <w:rPr>
          <w:rFonts w:eastAsia="SimSun"/>
          <w:color w:val="000000"/>
          <w:szCs w:val="22"/>
          <w:lang w:val="en-US" w:eastAsia="en-GB"/>
        </w:rPr>
        <w:t>2912</w:t>
      </w:r>
      <w:r>
        <w:rPr>
          <w:rFonts w:eastAsia="SimSun"/>
          <w:color w:val="000000"/>
          <w:szCs w:val="22"/>
          <w:lang w:val="en-US" w:eastAsia="en-GB"/>
        </w:rPr>
        <w:t xml:space="preserve"> times the AUC at the MRHD). </w:t>
      </w:r>
    </w:p>
    <w:p w14:paraId="3D3BC18A" w14:textId="77777777" w:rsidR="005812DA" w:rsidRPr="00FF01BC" w:rsidRDefault="005812DA" w:rsidP="005812DA">
      <w:pPr>
        <w:spacing w:line="240" w:lineRule="auto"/>
        <w:rPr>
          <w:rFonts w:eastAsia="SimSun"/>
          <w:color w:val="000000"/>
          <w:szCs w:val="22"/>
          <w:lang w:val="en-US" w:eastAsia="en-GB"/>
        </w:rPr>
      </w:pPr>
    </w:p>
    <w:p w14:paraId="1A614D6F" w14:textId="11990758" w:rsidR="00A6764E" w:rsidRPr="00AD6051" w:rsidRDefault="00B321D0" w:rsidP="00AD6051">
      <w:pPr>
        <w:pStyle w:val="Heading3"/>
      </w:pPr>
      <w:r>
        <w:lastRenderedPageBreak/>
        <w:t>Use in p</w:t>
      </w:r>
      <w:r w:rsidR="00A6764E" w:rsidRPr="00AD6051">
        <w:t>regnancy</w:t>
      </w:r>
      <w:r w:rsidR="00DD17CF">
        <w:t xml:space="preserve"> (Category B1 )</w:t>
      </w:r>
    </w:p>
    <w:p w14:paraId="21E452B3" w14:textId="77777777" w:rsidR="00A6764E" w:rsidRPr="00D84542" w:rsidRDefault="00A6764E" w:rsidP="00A6764E">
      <w:pPr>
        <w:spacing w:line="240" w:lineRule="auto"/>
        <w:rPr>
          <w:noProof/>
          <w:szCs w:val="22"/>
        </w:rPr>
      </w:pPr>
    </w:p>
    <w:p w14:paraId="4F45596B" w14:textId="2361CCCE" w:rsidR="00A6764E" w:rsidRPr="00FF01BC" w:rsidRDefault="00A6764E" w:rsidP="00A6764E">
      <w:pPr>
        <w:spacing w:line="240" w:lineRule="auto"/>
        <w:rPr>
          <w:rFonts w:eastAsia="SimSun"/>
          <w:color w:val="000000"/>
          <w:szCs w:val="22"/>
          <w:lang w:val="en-US" w:eastAsia="en-GB"/>
        </w:rPr>
      </w:pPr>
      <w:r w:rsidRPr="00FF01BC">
        <w:rPr>
          <w:rFonts w:eastAsia="SimSun"/>
          <w:color w:val="000000"/>
          <w:szCs w:val="22"/>
          <w:lang w:val="en-US" w:eastAsia="en-GB"/>
        </w:rPr>
        <w:t xml:space="preserve">There are </w:t>
      </w:r>
      <w:r w:rsidR="0084177F">
        <w:rPr>
          <w:rFonts w:eastAsia="SimSun"/>
          <w:color w:val="000000"/>
          <w:szCs w:val="22"/>
          <w:lang w:val="en-US" w:eastAsia="en-GB"/>
        </w:rPr>
        <w:t xml:space="preserve">either </w:t>
      </w:r>
      <w:r w:rsidRPr="00FF01BC">
        <w:rPr>
          <w:rFonts w:eastAsia="SimSun"/>
          <w:color w:val="000000"/>
          <w:szCs w:val="22"/>
          <w:lang w:val="en-US" w:eastAsia="en-GB"/>
        </w:rPr>
        <w:t xml:space="preserve">no or </w:t>
      </w:r>
      <w:r w:rsidR="0084177F">
        <w:rPr>
          <w:rFonts w:eastAsia="SimSun"/>
          <w:color w:val="000000"/>
          <w:szCs w:val="22"/>
          <w:lang w:val="en-US" w:eastAsia="en-GB"/>
        </w:rPr>
        <w:t xml:space="preserve">only a </w:t>
      </w:r>
      <w:r w:rsidRPr="00FF01BC">
        <w:rPr>
          <w:rFonts w:eastAsia="SimSun"/>
          <w:color w:val="000000"/>
          <w:szCs w:val="22"/>
          <w:lang w:val="en-US" w:eastAsia="en-GB"/>
        </w:rPr>
        <w:t xml:space="preserve">limited amount of data </w:t>
      </w:r>
      <w:r w:rsidR="0084177F">
        <w:rPr>
          <w:rFonts w:eastAsia="SimSun"/>
          <w:color w:val="000000"/>
          <w:szCs w:val="22"/>
          <w:lang w:val="en-US" w:eastAsia="en-GB"/>
        </w:rPr>
        <w:t xml:space="preserve">available </w:t>
      </w:r>
      <w:r w:rsidRPr="00FF01BC">
        <w:rPr>
          <w:rFonts w:eastAsia="SimSun"/>
          <w:color w:val="000000"/>
          <w:szCs w:val="22"/>
          <w:lang w:val="en-US" w:eastAsia="en-GB"/>
        </w:rPr>
        <w:t xml:space="preserve">from the use of difelikefalin in pregnant women. </w:t>
      </w:r>
    </w:p>
    <w:p w14:paraId="32844726" w14:textId="77777777" w:rsidR="00A6764E" w:rsidRPr="00FF01BC" w:rsidRDefault="00A6764E" w:rsidP="00A6764E">
      <w:pPr>
        <w:spacing w:line="240" w:lineRule="auto"/>
        <w:rPr>
          <w:rFonts w:eastAsia="SimSun"/>
          <w:color w:val="000000"/>
          <w:szCs w:val="22"/>
          <w:lang w:val="en-US" w:eastAsia="en-GB"/>
        </w:rPr>
      </w:pPr>
    </w:p>
    <w:p w14:paraId="17AA3827" w14:textId="01BD3F51" w:rsidR="00A6764E" w:rsidRPr="00FF01BC" w:rsidRDefault="00677DF3" w:rsidP="00A6764E">
      <w:pPr>
        <w:spacing w:line="240" w:lineRule="auto"/>
        <w:rPr>
          <w:rFonts w:eastAsia="SimSun"/>
          <w:color w:val="000000"/>
          <w:szCs w:val="22"/>
          <w:lang w:val="en-US" w:eastAsia="en-GB"/>
        </w:rPr>
      </w:pPr>
      <w:r>
        <w:rPr>
          <w:rFonts w:eastAsia="SimSun"/>
          <w:color w:val="000000"/>
          <w:szCs w:val="22"/>
          <w:lang w:val="en-US" w:eastAsia="en-GB"/>
        </w:rPr>
        <w:t>I</w:t>
      </w:r>
      <w:r w:rsidRPr="00677DF3">
        <w:rPr>
          <w:rFonts w:eastAsia="SimSun"/>
          <w:color w:val="000000"/>
          <w:szCs w:val="22"/>
          <w:lang w:val="en-US" w:eastAsia="en-GB"/>
        </w:rPr>
        <w:t>n embryofetal development studies in rats and rabbits, there was no evidence of</w:t>
      </w:r>
      <w:r>
        <w:rPr>
          <w:rFonts w:eastAsia="SimSun"/>
          <w:color w:val="000000"/>
          <w:szCs w:val="22"/>
          <w:lang w:val="en-US" w:eastAsia="en-GB"/>
        </w:rPr>
        <w:t xml:space="preserve"> </w:t>
      </w:r>
      <w:r w:rsidRPr="00677DF3">
        <w:rPr>
          <w:rFonts w:eastAsia="SimSun"/>
          <w:color w:val="000000"/>
          <w:szCs w:val="22"/>
          <w:lang w:val="en-US" w:eastAsia="en-GB"/>
        </w:rPr>
        <w:t>teratogenicity at the highest tested doses; 25 mg/kg/day IV in rats and 0.1 mg/kg/day in</w:t>
      </w:r>
      <w:r>
        <w:rPr>
          <w:rFonts w:eastAsia="SimSun"/>
          <w:color w:val="000000"/>
          <w:szCs w:val="22"/>
          <w:lang w:val="en-US" w:eastAsia="en-GB"/>
        </w:rPr>
        <w:t xml:space="preserve"> </w:t>
      </w:r>
      <w:r w:rsidRPr="00677DF3">
        <w:rPr>
          <w:rFonts w:eastAsia="SimSun"/>
          <w:color w:val="000000"/>
          <w:szCs w:val="22"/>
          <w:lang w:val="en-US" w:eastAsia="en-GB"/>
        </w:rPr>
        <w:t>rabbits (</w:t>
      </w:r>
      <w:r w:rsidR="00377479">
        <w:rPr>
          <w:rFonts w:eastAsia="SimSun"/>
          <w:color w:val="000000"/>
          <w:szCs w:val="22"/>
          <w:lang w:val="en-US" w:eastAsia="en-GB"/>
        </w:rPr>
        <w:t>2134</w:t>
      </w:r>
      <w:r w:rsidRPr="00677DF3">
        <w:rPr>
          <w:rFonts w:eastAsia="SimSun"/>
          <w:color w:val="000000"/>
          <w:szCs w:val="22"/>
          <w:lang w:val="en-US" w:eastAsia="en-GB"/>
        </w:rPr>
        <w:t xml:space="preserve"> and 30 times the AUC at the MRHD). In rats, an increased incidence of</w:t>
      </w:r>
      <w:r>
        <w:rPr>
          <w:rFonts w:eastAsia="SimSun"/>
          <w:color w:val="000000"/>
          <w:szCs w:val="22"/>
          <w:lang w:val="en-US" w:eastAsia="en-GB"/>
        </w:rPr>
        <w:t xml:space="preserve"> </w:t>
      </w:r>
      <w:r w:rsidR="004F514D">
        <w:rPr>
          <w:rFonts w:eastAsia="SimSun"/>
          <w:color w:val="000000"/>
          <w:szCs w:val="22"/>
          <w:lang w:val="en-US" w:eastAsia="en-GB"/>
        </w:rPr>
        <w:t>s</w:t>
      </w:r>
      <w:r w:rsidRPr="00677DF3">
        <w:rPr>
          <w:rFonts w:eastAsia="SimSun"/>
          <w:color w:val="000000"/>
          <w:szCs w:val="22"/>
          <w:lang w:val="en-US" w:eastAsia="en-GB"/>
        </w:rPr>
        <w:t xml:space="preserve">keletal variations (wavy ribs, incompletely ossified ribs) was seen at </w:t>
      </w:r>
      <w:r w:rsidR="008C3EC4">
        <w:rPr>
          <w:rFonts w:eastAsia="SimSun"/>
          <w:color w:val="000000"/>
          <w:szCs w:val="22"/>
          <w:lang w:val="en-US" w:eastAsia="en-GB"/>
        </w:rPr>
        <w:t>25</w:t>
      </w:r>
      <w:r w:rsidRPr="00677DF3">
        <w:rPr>
          <w:rFonts w:eastAsia="SimSun"/>
          <w:color w:val="000000"/>
          <w:szCs w:val="22"/>
          <w:lang w:val="en-US" w:eastAsia="en-GB"/>
        </w:rPr>
        <w:t xml:space="preserve"> mg/kg/day IV.</w:t>
      </w:r>
      <w:r w:rsidR="00BB120D">
        <w:rPr>
          <w:rFonts w:eastAsia="SimSun"/>
          <w:color w:val="000000"/>
          <w:szCs w:val="22"/>
          <w:lang w:val="en-US" w:eastAsia="en-GB"/>
        </w:rPr>
        <w:t xml:space="preserve"> Matern</w:t>
      </w:r>
      <w:r w:rsidR="003B746B">
        <w:rPr>
          <w:rFonts w:eastAsia="SimSun"/>
          <w:color w:val="000000"/>
          <w:szCs w:val="22"/>
          <w:lang w:val="en-US" w:eastAsia="en-GB"/>
        </w:rPr>
        <w:t xml:space="preserve">al toxicity was noted </w:t>
      </w:r>
      <w:r w:rsidR="00DC402E">
        <w:rPr>
          <w:rFonts w:eastAsia="SimSun"/>
          <w:color w:val="000000"/>
          <w:szCs w:val="22"/>
          <w:lang w:val="en-US" w:eastAsia="en-GB"/>
        </w:rPr>
        <w:t xml:space="preserve">at this </w:t>
      </w:r>
      <w:r w:rsidR="008706D2">
        <w:rPr>
          <w:rFonts w:eastAsia="SimSun"/>
          <w:color w:val="000000"/>
          <w:szCs w:val="22"/>
          <w:lang w:val="en-US" w:eastAsia="en-GB"/>
        </w:rPr>
        <w:t>dose</w:t>
      </w:r>
      <w:r w:rsidR="00DC402E">
        <w:rPr>
          <w:rFonts w:eastAsia="SimSun"/>
          <w:color w:val="000000"/>
          <w:szCs w:val="22"/>
          <w:lang w:val="en-US" w:eastAsia="en-GB"/>
        </w:rPr>
        <w:t>.</w:t>
      </w:r>
    </w:p>
    <w:p w14:paraId="7838DE3F" w14:textId="77777777" w:rsidR="00A6764E" w:rsidRPr="00FF01BC" w:rsidRDefault="00A6764E" w:rsidP="00A6764E">
      <w:pPr>
        <w:spacing w:line="240" w:lineRule="auto"/>
        <w:rPr>
          <w:rFonts w:eastAsia="SimSun"/>
          <w:color w:val="000000"/>
          <w:szCs w:val="22"/>
          <w:lang w:val="en-US" w:eastAsia="en-GB"/>
        </w:rPr>
      </w:pPr>
    </w:p>
    <w:p w14:paraId="38B30BED" w14:textId="34CBB133" w:rsidR="00A6764E" w:rsidRPr="00FF01BC" w:rsidRDefault="00A6764E" w:rsidP="00A6764E">
      <w:pPr>
        <w:spacing w:line="240" w:lineRule="auto"/>
        <w:rPr>
          <w:rFonts w:eastAsia="SimSun"/>
          <w:color w:val="000000"/>
          <w:szCs w:val="22"/>
          <w:lang w:val="en-US" w:eastAsia="en-GB"/>
        </w:rPr>
      </w:pPr>
      <w:r w:rsidRPr="00FF01BC">
        <w:rPr>
          <w:rFonts w:eastAsia="SimSun"/>
          <w:color w:val="000000"/>
          <w:szCs w:val="22"/>
          <w:lang w:val="en-US" w:eastAsia="en-GB"/>
        </w:rPr>
        <w:t xml:space="preserve">As a precautionary measure, it is preferable to avoid the use of </w:t>
      </w:r>
      <w:r w:rsidR="00364A36">
        <w:rPr>
          <w:noProof/>
          <w:szCs w:val="22"/>
        </w:rPr>
        <w:t>Korsuva</w:t>
      </w:r>
      <w:r w:rsidRPr="00FF01BC">
        <w:rPr>
          <w:rFonts w:eastAsia="SimSun"/>
          <w:color w:val="000000"/>
          <w:szCs w:val="22"/>
          <w:lang w:val="en-US" w:eastAsia="en-GB"/>
        </w:rPr>
        <w:t xml:space="preserve"> during pregnancy.</w:t>
      </w:r>
    </w:p>
    <w:p w14:paraId="47DD5272" w14:textId="77777777" w:rsidR="00A6764E" w:rsidRPr="00D84542" w:rsidRDefault="00A6764E" w:rsidP="00A6764E">
      <w:pPr>
        <w:spacing w:line="240" w:lineRule="auto"/>
        <w:rPr>
          <w:szCs w:val="22"/>
        </w:rPr>
      </w:pPr>
    </w:p>
    <w:p w14:paraId="10B0C6F8" w14:textId="6599E179" w:rsidR="00A6764E" w:rsidRDefault="00B321D0" w:rsidP="00397EB1">
      <w:pPr>
        <w:pStyle w:val="Heading3"/>
        <w:keepNext/>
      </w:pPr>
      <w:r>
        <w:t>Use in l</w:t>
      </w:r>
      <w:r w:rsidR="005812DA">
        <w:t>actation</w:t>
      </w:r>
    </w:p>
    <w:p w14:paraId="5B6BB9B2" w14:textId="77777777" w:rsidR="00EC498F" w:rsidRPr="00EC498F" w:rsidRDefault="00EC498F" w:rsidP="00397EB1">
      <w:pPr>
        <w:keepNext/>
      </w:pPr>
    </w:p>
    <w:p w14:paraId="6941B40B" w14:textId="7A10F176" w:rsidR="00DC402E" w:rsidRDefault="001218C3" w:rsidP="00397EB1">
      <w:pPr>
        <w:keepNext/>
        <w:spacing w:line="240" w:lineRule="auto"/>
        <w:rPr>
          <w:rFonts w:eastAsia="SimSun"/>
          <w:color w:val="000000"/>
          <w:szCs w:val="22"/>
          <w:lang w:val="en-US" w:eastAsia="en-GB"/>
        </w:rPr>
      </w:pPr>
      <w:r>
        <w:rPr>
          <w:rFonts w:eastAsia="SimSun"/>
          <w:color w:val="000000"/>
          <w:szCs w:val="22"/>
          <w:lang w:val="en-US" w:eastAsia="en-GB"/>
        </w:rPr>
        <w:t>There are no data regarding presence of difelikefalin in human milk</w:t>
      </w:r>
      <w:r w:rsidR="00FD1A54">
        <w:rPr>
          <w:rFonts w:eastAsia="SimSun"/>
          <w:color w:val="000000"/>
          <w:szCs w:val="22"/>
          <w:lang w:val="en-US" w:eastAsia="en-GB"/>
        </w:rPr>
        <w:t>.</w:t>
      </w:r>
      <w:r w:rsidRPr="00FF01BC" w:rsidDel="00880048">
        <w:rPr>
          <w:rFonts w:eastAsia="SimSun"/>
          <w:color w:val="000000"/>
          <w:szCs w:val="22"/>
          <w:lang w:val="en-US" w:eastAsia="en-GB"/>
        </w:rPr>
        <w:t xml:space="preserve"> </w:t>
      </w:r>
      <w:r w:rsidR="00DC402E">
        <w:rPr>
          <w:rFonts w:eastAsia="SimSun"/>
          <w:color w:val="000000"/>
          <w:szCs w:val="22"/>
          <w:lang w:val="en-US" w:eastAsia="en-GB"/>
        </w:rPr>
        <w:t xml:space="preserve">Animal studies have shown excretion of difelikefalin in breast milk. </w:t>
      </w:r>
      <w:r w:rsidR="002D14A5" w:rsidRPr="002D14A5">
        <w:rPr>
          <w:rFonts w:eastAsia="SimSun"/>
          <w:color w:val="000000"/>
          <w:szCs w:val="22"/>
          <w:lang w:val="en-US" w:eastAsia="en-GB"/>
        </w:rPr>
        <w:t xml:space="preserve"> </w:t>
      </w:r>
      <w:r w:rsidR="002D14A5">
        <w:rPr>
          <w:rFonts w:eastAsia="SimSun"/>
          <w:color w:val="000000"/>
          <w:szCs w:val="22"/>
          <w:lang w:val="en-US" w:eastAsia="en-GB"/>
        </w:rPr>
        <w:t>When a drug is present in animal milk, it is likely that the drug will be present in human milk</w:t>
      </w:r>
    </w:p>
    <w:p w14:paraId="78BEA84A" w14:textId="77777777" w:rsidR="00A6764E" w:rsidRPr="00FF01BC" w:rsidRDefault="00A6764E" w:rsidP="00FF01BC">
      <w:pPr>
        <w:spacing w:line="240" w:lineRule="auto"/>
        <w:rPr>
          <w:rFonts w:eastAsia="SimSun"/>
          <w:color w:val="000000"/>
          <w:szCs w:val="22"/>
          <w:lang w:val="en-US" w:eastAsia="en-GB"/>
        </w:rPr>
      </w:pPr>
    </w:p>
    <w:p w14:paraId="454B060F" w14:textId="77777777" w:rsidR="00A6764E" w:rsidRPr="00D84542" w:rsidRDefault="00A6764E" w:rsidP="00FF01BC">
      <w:pPr>
        <w:spacing w:line="240" w:lineRule="auto"/>
        <w:rPr>
          <w:rFonts w:eastAsia="SimSun"/>
          <w:color w:val="000000"/>
          <w:szCs w:val="22"/>
          <w:lang w:val="en-US" w:eastAsia="en-GB"/>
        </w:rPr>
      </w:pPr>
      <w:r w:rsidRPr="00D84542">
        <w:rPr>
          <w:rFonts w:eastAsia="SimSun"/>
          <w:color w:val="000000"/>
          <w:szCs w:val="22"/>
          <w:lang w:val="en-US" w:eastAsia="en-GB"/>
        </w:rPr>
        <w:t xml:space="preserve">A risk to the newborns/infants cannot be excluded. </w:t>
      </w:r>
    </w:p>
    <w:p w14:paraId="6A344BEE" w14:textId="77777777" w:rsidR="00A6764E" w:rsidRPr="00FF01BC" w:rsidRDefault="00A6764E" w:rsidP="00A6764E">
      <w:pPr>
        <w:spacing w:line="240" w:lineRule="auto"/>
        <w:rPr>
          <w:rFonts w:eastAsia="SimSun"/>
          <w:color w:val="000000"/>
          <w:szCs w:val="22"/>
          <w:lang w:val="en-US" w:eastAsia="en-GB"/>
        </w:rPr>
      </w:pPr>
    </w:p>
    <w:p w14:paraId="7351EB89" w14:textId="73611E66" w:rsidR="00A6764E" w:rsidRDefault="00A6764E" w:rsidP="00A6764E">
      <w:pPr>
        <w:spacing w:line="240" w:lineRule="auto"/>
        <w:rPr>
          <w:rFonts w:eastAsia="SimSun"/>
          <w:color w:val="000000"/>
          <w:szCs w:val="22"/>
          <w:lang w:val="en-US" w:eastAsia="en-GB"/>
        </w:rPr>
      </w:pPr>
      <w:r w:rsidRPr="00FF01BC">
        <w:rPr>
          <w:rFonts w:eastAsia="SimSun"/>
          <w:color w:val="000000"/>
          <w:szCs w:val="22"/>
          <w:lang w:val="en-US" w:eastAsia="en-GB"/>
        </w:rPr>
        <w:t xml:space="preserve">A decision must be made whether to discontinue breast-feeding or to discontinue/abstain from </w:t>
      </w:r>
      <w:r w:rsidR="00364A36">
        <w:rPr>
          <w:noProof/>
          <w:szCs w:val="22"/>
        </w:rPr>
        <w:t>Korsuva</w:t>
      </w:r>
      <w:r w:rsidRPr="00FF01BC">
        <w:rPr>
          <w:rFonts w:eastAsia="SimSun"/>
          <w:color w:val="000000"/>
          <w:szCs w:val="22"/>
          <w:lang w:val="en-US" w:eastAsia="en-GB"/>
        </w:rPr>
        <w:t xml:space="preserve"> therapy </w:t>
      </w:r>
      <w:proofErr w:type="gramStart"/>
      <w:r w:rsidRPr="00FF01BC">
        <w:rPr>
          <w:rFonts w:eastAsia="SimSun"/>
          <w:color w:val="000000"/>
          <w:szCs w:val="22"/>
          <w:lang w:val="en-US" w:eastAsia="en-GB"/>
        </w:rPr>
        <w:t>taking into account</w:t>
      </w:r>
      <w:proofErr w:type="gramEnd"/>
      <w:r w:rsidRPr="00FF01BC">
        <w:rPr>
          <w:rFonts w:eastAsia="SimSun"/>
          <w:color w:val="000000"/>
          <w:szCs w:val="22"/>
          <w:lang w:val="en-US" w:eastAsia="en-GB"/>
        </w:rPr>
        <w:t xml:space="preserve"> the benefit of breast feeding for the child and the benefit of therapy for the woman.</w:t>
      </w:r>
      <w:r w:rsidR="0006417A" w:rsidRPr="0006417A">
        <w:rPr>
          <w:rFonts w:eastAsia="SimSun"/>
          <w:color w:val="000000"/>
          <w:szCs w:val="22"/>
          <w:lang w:val="en-US" w:eastAsia="en-GB"/>
        </w:rPr>
        <w:t xml:space="preserve"> </w:t>
      </w:r>
      <w:r w:rsidR="0006417A">
        <w:rPr>
          <w:rFonts w:eastAsia="SimSun"/>
          <w:color w:val="000000"/>
          <w:szCs w:val="22"/>
          <w:lang w:val="en-US" w:eastAsia="en-GB"/>
        </w:rPr>
        <w:t>Difelikefalin is not detectable in plasma after three dialysis cycles (</w:t>
      </w:r>
      <w:r w:rsidR="00CE30C0">
        <w:rPr>
          <w:rFonts w:eastAsia="SimSun"/>
          <w:color w:val="000000"/>
          <w:szCs w:val="22"/>
          <w:lang w:val="en-US" w:eastAsia="en-GB"/>
        </w:rPr>
        <w:t>s</w:t>
      </w:r>
      <w:r w:rsidR="0006417A">
        <w:rPr>
          <w:rFonts w:eastAsia="SimSun"/>
          <w:color w:val="000000"/>
          <w:szCs w:val="22"/>
          <w:lang w:val="en-US" w:eastAsia="en-GB"/>
        </w:rPr>
        <w:t xml:space="preserve">ee </w:t>
      </w:r>
      <w:r w:rsidR="00CE30C0">
        <w:rPr>
          <w:rFonts w:eastAsia="SimSun"/>
          <w:color w:val="000000"/>
          <w:szCs w:val="22"/>
          <w:lang w:val="en-US" w:eastAsia="en-GB"/>
        </w:rPr>
        <w:t>s</w:t>
      </w:r>
      <w:r w:rsidR="0006417A">
        <w:rPr>
          <w:rFonts w:eastAsia="SimSun"/>
          <w:color w:val="000000"/>
          <w:szCs w:val="22"/>
          <w:lang w:val="en-US" w:eastAsia="en-GB"/>
        </w:rPr>
        <w:t xml:space="preserve">ection 4.9 </w:t>
      </w:r>
      <w:r w:rsidR="000E423E">
        <w:rPr>
          <w:rFonts w:eastAsia="SimSun"/>
          <w:color w:val="000000"/>
          <w:szCs w:val="22"/>
          <w:lang w:val="en-US" w:eastAsia="en-GB"/>
        </w:rPr>
        <w:t xml:space="preserve">Overdose </w:t>
      </w:r>
      <w:r w:rsidR="0006417A">
        <w:rPr>
          <w:rFonts w:eastAsia="SimSun"/>
          <w:color w:val="000000"/>
          <w:szCs w:val="22"/>
          <w:lang w:val="en-US" w:eastAsia="en-GB"/>
        </w:rPr>
        <w:t>and 5.2</w:t>
      </w:r>
      <w:r w:rsidR="000E423E">
        <w:rPr>
          <w:rFonts w:eastAsia="SimSun"/>
          <w:color w:val="000000"/>
          <w:szCs w:val="22"/>
          <w:lang w:val="en-US" w:eastAsia="en-GB"/>
        </w:rPr>
        <w:t xml:space="preserve"> Pharmacokinetic Properties</w:t>
      </w:r>
      <w:r w:rsidR="0006417A">
        <w:rPr>
          <w:rFonts w:eastAsia="SimSun"/>
          <w:color w:val="000000"/>
          <w:szCs w:val="22"/>
          <w:lang w:val="en-US" w:eastAsia="en-GB"/>
        </w:rPr>
        <w:t>).</w:t>
      </w:r>
    </w:p>
    <w:p w14:paraId="0787BA98" w14:textId="77777777" w:rsidR="00880048" w:rsidRPr="00FF01BC" w:rsidRDefault="00880048" w:rsidP="00204AAB">
      <w:pPr>
        <w:spacing w:line="240" w:lineRule="auto"/>
        <w:rPr>
          <w:rFonts w:eastAsia="SimSun"/>
          <w:color w:val="000000"/>
          <w:szCs w:val="22"/>
          <w:lang w:val="en-US" w:eastAsia="en-GB"/>
        </w:rPr>
      </w:pPr>
    </w:p>
    <w:p w14:paraId="55F81417" w14:textId="71D7F8EF" w:rsidR="00812D16" w:rsidRPr="008225EB" w:rsidRDefault="005812DA" w:rsidP="00AD6051">
      <w:pPr>
        <w:pStyle w:val="Heading2"/>
        <w:rPr>
          <w:noProof/>
        </w:rPr>
      </w:pPr>
      <w:r>
        <w:rPr>
          <w:noProof/>
        </w:rPr>
        <w:t>EFFECTS ON ABILITY TO DRIVE AND USE MACHINES</w:t>
      </w:r>
    </w:p>
    <w:p w14:paraId="2927A3FA" w14:textId="77777777" w:rsidR="00812D16" w:rsidRPr="00FF01BC" w:rsidRDefault="00812D16" w:rsidP="00204AAB">
      <w:pPr>
        <w:spacing w:line="240" w:lineRule="auto"/>
        <w:rPr>
          <w:rFonts w:eastAsia="SimSun"/>
          <w:color w:val="000000"/>
          <w:szCs w:val="22"/>
          <w:lang w:val="en-US" w:eastAsia="en-GB"/>
        </w:rPr>
      </w:pPr>
    </w:p>
    <w:p w14:paraId="04D6547D" w14:textId="45ACDBDE" w:rsidR="00A6764E" w:rsidRDefault="002E4DDF" w:rsidP="00A6764E">
      <w:pPr>
        <w:spacing w:line="240" w:lineRule="auto"/>
        <w:rPr>
          <w:rFonts w:eastAsia="SimSun"/>
          <w:color w:val="000000"/>
          <w:szCs w:val="22"/>
          <w:lang w:val="en-US" w:eastAsia="en-GB"/>
        </w:rPr>
      </w:pPr>
      <w:r>
        <w:rPr>
          <w:rFonts w:eastAsia="SimSun"/>
          <w:color w:val="000000"/>
          <w:szCs w:val="22"/>
          <w:lang w:val="en-US" w:eastAsia="en-GB"/>
        </w:rPr>
        <w:t xml:space="preserve">Korsuva </w:t>
      </w:r>
      <w:r w:rsidR="004952FB">
        <w:rPr>
          <w:rFonts w:eastAsia="SimSun"/>
          <w:color w:val="000000"/>
          <w:szCs w:val="22"/>
          <w:lang w:val="en-US" w:eastAsia="en-GB"/>
        </w:rPr>
        <w:t xml:space="preserve">may have </w:t>
      </w:r>
      <w:r w:rsidR="002B394F">
        <w:rPr>
          <w:rFonts w:eastAsia="SimSun"/>
          <w:color w:val="000000"/>
          <w:szCs w:val="22"/>
          <w:lang w:val="en-US" w:eastAsia="en-GB"/>
        </w:rPr>
        <w:t>in</w:t>
      </w:r>
      <w:r w:rsidR="005E58D7">
        <w:rPr>
          <w:rFonts w:eastAsia="SimSun"/>
          <w:color w:val="000000"/>
          <w:szCs w:val="22"/>
          <w:lang w:val="en-US" w:eastAsia="en-GB"/>
        </w:rPr>
        <w:t>fl</w:t>
      </w:r>
      <w:r w:rsidR="002B394F">
        <w:rPr>
          <w:rFonts w:eastAsia="SimSun"/>
          <w:color w:val="000000"/>
          <w:szCs w:val="22"/>
          <w:lang w:val="en-US" w:eastAsia="en-GB"/>
        </w:rPr>
        <w:t>uence</w:t>
      </w:r>
      <w:r w:rsidR="00A6764E" w:rsidRPr="00FF01BC">
        <w:rPr>
          <w:rFonts w:eastAsia="SimSun"/>
          <w:color w:val="000000"/>
          <w:szCs w:val="22"/>
          <w:lang w:val="en-US" w:eastAsia="en-GB"/>
        </w:rPr>
        <w:t xml:space="preserve"> </w:t>
      </w:r>
      <w:r w:rsidR="003F4E10">
        <w:rPr>
          <w:rFonts w:eastAsia="SimSun"/>
          <w:color w:val="000000"/>
          <w:szCs w:val="22"/>
          <w:lang w:val="en-US" w:eastAsia="en-GB"/>
        </w:rPr>
        <w:t xml:space="preserve">the </w:t>
      </w:r>
      <w:r w:rsidR="00A6764E" w:rsidRPr="00FF01BC">
        <w:rPr>
          <w:rFonts w:eastAsia="SimSun"/>
          <w:color w:val="000000"/>
          <w:szCs w:val="22"/>
          <w:lang w:val="en-US" w:eastAsia="en-GB"/>
        </w:rPr>
        <w:t>on ability to drive</w:t>
      </w:r>
      <w:r w:rsidR="005542E3">
        <w:rPr>
          <w:rFonts w:eastAsia="SimSun"/>
          <w:color w:val="000000"/>
          <w:szCs w:val="22"/>
          <w:lang w:val="en-US" w:eastAsia="en-GB"/>
        </w:rPr>
        <w:t>.</w:t>
      </w:r>
      <w:r w:rsidR="00A6764E" w:rsidRPr="00FF01BC">
        <w:rPr>
          <w:rFonts w:eastAsia="SimSun"/>
          <w:color w:val="000000"/>
          <w:szCs w:val="22"/>
          <w:lang w:val="en-US" w:eastAsia="en-GB"/>
        </w:rPr>
        <w:t xml:space="preserve"> </w:t>
      </w:r>
    </w:p>
    <w:p w14:paraId="47E3B489" w14:textId="77777777" w:rsidR="00EC498F" w:rsidRPr="00FF01BC" w:rsidRDefault="00EC498F" w:rsidP="00A6764E">
      <w:pPr>
        <w:spacing w:line="240" w:lineRule="auto"/>
        <w:rPr>
          <w:rFonts w:eastAsia="SimSun"/>
          <w:color w:val="000000"/>
          <w:szCs w:val="22"/>
          <w:lang w:val="en-US" w:eastAsia="en-GB"/>
        </w:rPr>
      </w:pPr>
    </w:p>
    <w:p w14:paraId="7E3B23D3" w14:textId="63A44BCE" w:rsidR="009F1A8F" w:rsidRPr="000652E1" w:rsidRDefault="00A6764E" w:rsidP="009F1A8F">
      <w:pPr>
        <w:spacing w:line="240" w:lineRule="auto"/>
        <w:rPr>
          <w:rFonts w:eastAsia="SimSun"/>
          <w:color w:val="000000"/>
        </w:rPr>
      </w:pPr>
      <w:r w:rsidRPr="00FF01BC">
        <w:rPr>
          <w:rFonts w:eastAsia="SimSun"/>
          <w:color w:val="000000"/>
          <w:szCs w:val="22"/>
          <w:lang w:val="en-US" w:eastAsia="en-GB"/>
        </w:rPr>
        <w:t>Somnolence and/or dizziness have been reported in patients receiving difelikefalin (see section 4.8</w:t>
      </w:r>
      <w:r w:rsidR="00EE21DF">
        <w:rPr>
          <w:rFonts w:eastAsia="SimSun"/>
          <w:color w:val="000000"/>
          <w:szCs w:val="22"/>
          <w:lang w:val="en-US" w:eastAsia="en-GB"/>
        </w:rPr>
        <w:t xml:space="preserve"> Adverse Effects (Undesirable Effects)</w:t>
      </w:r>
      <w:r w:rsidRPr="00FF01BC">
        <w:rPr>
          <w:rFonts w:eastAsia="SimSun"/>
          <w:color w:val="000000"/>
          <w:szCs w:val="22"/>
          <w:lang w:val="en-US" w:eastAsia="en-GB"/>
        </w:rPr>
        <w:t xml:space="preserve">). </w:t>
      </w:r>
      <w:r w:rsidR="009F1A8F" w:rsidRPr="00A51EE8">
        <w:rPr>
          <w:bCs/>
          <w:szCs w:val="22"/>
        </w:rPr>
        <w:t xml:space="preserve">Patients should be cautioned about driving or operating hazardous machinery until the effect of difelikefalin on the patient’s ability to drive or operate machinery is known. Somnolence occurred within the first 3 weeks of treatment and tended to subside with continued dosing. Dizziness occurred within the first </w:t>
      </w:r>
      <w:r w:rsidR="009F1A8F">
        <w:rPr>
          <w:bCs/>
          <w:szCs w:val="22"/>
        </w:rPr>
        <w:t>9</w:t>
      </w:r>
      <w:r w:rsidR="009F1A8F" w:rsidRPr="00A51EE8">
        <w:rPr>
          <w:bCs/>
          <w:szCs w:val="22"/>
        </w:rPr>
        <w:t xml:space="preserve"> weeks of treatment and was generally transient.</w:t>
      </w:r>
    </w:p>
    <w:p w14:paraId="49C61ECE" w14:textId="77777777" w:rsidR="00812D16" w:rsidRPr="00FF01BC" w:rsidRDefault="00812D16" w:rsidP="00204AAB">
      <w:pPr>
        <w:spacing w:line="240" w:lineRule="auto"/>
        <w:rPr>
          <w:rFonts w:eastAsia="SimSun"/>
          <w:color w:val="000000"/>
          <w:szCs w:val="22"/>
          <w:lang w:val="en-US" w:eastAsia="en-GB"/>
        </w:rPr>
      </w:pPr>
    </w:p>
    <w:p w14:paraId="5098947C" w14:textId="1446483A" w:rsidR="00812D16" w:rsidRPr="00067B16" w:rsidRDefault="005812DA" w:rsidP="00AD6051">
      <w:pPr>
        <w:pStyle w:val="Heading2"/>
        <w:rPr>
          <w:noProof/>
        </w:rPr>
      </w:pPr>
      <w:r>
        <w:rPr>
          <w:noProof/>
        </w:rPr>
        <w:t xml:space="preserve">UNDESIRABLE EFFECTS (ADVERSE EFFECTS) </w:t>
      </w:r>
    </w:p>
    <w:p w14:paraId="0885361D" w14:textId="77777777" w:rsidR="00812D16" w:rsidRPr="006B4557" w:rsidRDefault="00812D16" w:rsidP="00204AAB">
      <w:pPr>
        <w:autoSpaceDE w:val="0"/>
        <w:autoSpaceDN w:val="0"/>
        <w:adjustRightInd w:val="0"/>
        <w:spacing w:line="240" w:lineRule="auto"/>
        <w:jc w:val="both"/>
        <w:rPr>
          <w:noProof/>
          <w:szCs w:val="22"/>
        </w:rPr>
      </w:pPr>
    </w:p>
    <w:p w14:paraId="77AA2389" w14:textId="55A7AD3A" w:rsidR="00C5175E" w:rsidRPr="00FF01BC" w:rsidRDefault="00C5175E" w:rsidP="00C5175E">
      <w:pPr>
        <w:rPr>
          <w:rFonts w:eastAsia="SimSun"/>
          <w:color w:val="000000"/>
          <w:szCs w:val="22"/>
          <w:lang w:val="en-US" w:eastAsia="en-GB"/>
        </w:rPr>
      </w:pPr>
      <w:r w:rsidRPr="00D84542">
        <w:rPr>
          <w:noProof/>
          <w:szCs w:val="22"/>
          <w:u w:val="single"/>
        </w:rPr>
        <w:t>Summary of the safety profile</w:t>
      </w:r>
    </w:p>
    <w:p w14:paraId="552226EB" w14:textId="77777777" w:rsidR="00C5175E" w:rsidRPr="00FF01BC" w:rsidRDefault="00C5175E" w:rsidP="00C5175E">
      <w:pPr>
        <w:spacing w:before="120" w:line="240" w:lineRule="auto"/>
        <w:rPr>
          <w:rFonts w:eastAsia="SimSun"/>
          <w:color w:val="000000"/>
          <w:szCs w:val="22"/>
          <w:lang w:val="en-US" w:eastAsia="en-GB"/>
        </w:rPr>
      </w:pPr>
      <w:r w:rsidRPr="00FF01BC">
        <w:rPr>
          <w:rFonts w:eastAsia="SimSun"/>
          <w:color w:val="000000"/>
          <w:szCs w:val="22"/>
          <w:lang w:val="en-US" w:eastAsia="en-GB"/>
        </w:rPr>
        <w:t xml:space="preserve">The current safety profile is based on a total of 1306 adult patients with chronic kidney disease-associated pruritus and undergoing haemodialysis, who have been exposed to </w:t>
      </w:r>
      <w:r>
        <w:rPr>
          <w:noProof/>
          <w:szCs w:val="22"/>
        </w:rPr>
        <w:t>Korsuva</w:t>
      </w:r>
      <w:r w:rsidRPr="00FF01BC">
        <w:rPr>
          <w:rFonts w:eastAsia="SimSun"/>
          <w:color w:val="000000"/>
          <w:szCs w:val="22"/>
          <w:lang w:val="en-US" w:eastAsia="en-GB"/>
        </w:rPr>
        <w:t xml:space="preserve"> in placebo-controlled and uncontrolled phase 3 clinical studies. Of these patients, 711 were continuously treated for at least 6 months, 533 were continuously treated for at least 9 months, and 400 had continuous exposure for at least one year.</w:t>
      </w:r>
    </w:p>
    <w:p w14:paraId="1A3BF1CC" w14:textId="77777777" w:rsidR="00C5175E" w:rsidRPr="00FF01BC" w:rsidRDefault="00C5175E" w:rsidP="00C5175E">
      <w:pPr>
        <w:spacing w:line="240" w:lineRule="auto"/>
        <w:rPr>
          <w:rFonts w:eastAsia="SimSun"/>
          <w:color w:val="000000"/>
          <w:szCs w:val="22"/>
          <w:lang w:val="en-US" w:eastAsia="en-GB"/>
        </w:rPr>
      </w:pPr>
    </w:p>
    <w:p w14:paraId="08B7CC38" w14:textId="77777777" w:rsidR="00C5175E" w:rsidRPr="00FF01BC" w:rsidRDefault="00C5175E" w:rsidP="00C5175E">
      <w:pPr>
        <w:spacing w:line="240" w:lineRule="auto"/>
        <w:rPr>
          <w:rFonts w:eastAsia="SimSun"/>
          <w:color w:val="000000"/>
          <w:szCs w:val="22"/>
          <w:lang w:val="en-US" w:eastAsia="en-GB"/>
        </w:rPr>
      </w:pPr>
      <w:r w:rsidRPr="00FF01BC">
        <w:rPr>
          <w:rFonts w:eastAsia="SimSun"/>
          <w:color w:val="000000"/>
          <w:szCs w:val="22"/>
          <w:lang w:val="en-US" w:eastAsia="en-GB"/>
        </w:rPr>
        <w:t xml:space="preserve">Overall, 424 patients of the targeted population have been treated with </w:t>
      </w:r>
      <w:r>
        <w:rPr>
          <w:noProof/>
          <w:szCs w:val="22"/>
        </w:rPr>
        <w:t>Korsuva</w:t>
      </w:r>
      <w:r w:rsidRPr="00FF01BC">
        <w:rPr>
          <w:rFonts w:eastAsia="SimSun"/>
          <w:color w:val="000000"/>
          <w:szCs w:val="22"/>
          <w:lang w:val="en-US" w:eastAsia="en-GB"/>
        </w:rPr>
        <w:t xml:space="preserve"> for 12 weeks within two pivotal, double-blind, placebo-controlled phase-3 clinical studies (KALM-1 and </w:t>
      </w:r>
      <w:r w:rsidRPr="00FF01BC">
        <w:rPr>
          <w:rFonts w:eastAsia="SimSun"/>
          <w:color w:val="000000"/>
          <w:szCs w:val="22"/>
          <w:lang w:val="en-US" w:eastAsia="en-GB"/>
        </w:rPr>
        <w:lastRenderedPageBreak/>
        <w:t>KALM-2), both followed by a 52</w:t>
      </w:r>
      <w:r w:rsidRPr="00FF01BC">
        <w:rPr>
          <w:rFonts w:eastAsia="SimSun"/>
          <w:color w:val="000000"/>
          <w:szCs w:val="22"/>
          <w:lang w:val="en-US" w:eastAsia="en-GB"/>
        </w:rPr>
        <w:noBreakHyphen/>
        <w:t>week open-label extension. In these 2 studies, 43 % of patients in both treatment groups were treated concomitantly with medicinal products intended to relieve pruritus, including most commonly diphenhydramine and hydroxyzine.</w:t>
      </w:r>
    </w:p>
    <w:p w14:paraId="078F33B0" w14:textId="77777777" w:rsidR="00C5175E" w:rsidRDefault="00C5175E" w:rsidP="009C74D8">
      <w:pPr>
        <w:rPr>
          <w:szCs w:val="24"/>
          <w:u w:val="single"/>
        </w:rPr>
      </w:pPr>
    </w:p>
    <w:p w14:paraId="3F8A4C79" w14:textId="3CD620EB" w:rsidR="009C74D8" w:rsidRDefault="009C74D8" w:rsidP="00B07EE7">
      <w:r>
        <w:rPr>
          <w:szCs w:val="24"/>
          <w:u w:val="single"/>
        </w:rPr>
        <w:t>Tabulated summary of treatment-emergent a</w:t>
      </w:r>
      <w:r w:rsidRPr="00484124">
        <w:rPr>
          <w:szCs w:val="24"/>
          <w:u w:val="single"/>
        </w:rPr>
        <w:t>dverse events</w:t>
      </w:r>
    </w:p>
    <w:p w14:paraId="37A48DC2" w14:textId="63709245" w:rsidR="009C74D8" w:rsidRDefault="009C74D8" w:rsidP="00C5175E">
      <w:pPr>
        <w:autoSpaceDE w:val="0"/>
        <w:autoSpaceDN w:val="0"/>
        <w:adjustRightInd w:val="0"/>
        <w:spacing w:before="120" w:line="240" w:lineRule="auto"/>
        <w:jc w:val="both"/>
        <w:rPr>
          <w:szCs w:val="22"/>
        </w:rPr>
      </w:pPr>
      <w:r>
        <w:t xml:space="preserve">A </w:t>
      </w:r>
      <w:r w:rsidRPr="002F2468">
        <w:rPr>
          <w:szCs w:val="24"/>
        </w:rPr>
        <w:t>summar</w:t>
      </w:r>
      <w:r>
        <w:rPr>
          <w:szCs w:val="24"/>
        </w:rPr>
        <w:t>y</w:t>
      </w:r>
      <w:r w:rsidRPr="00D1581D">
        <w:t xml:space="preserve"> </w:t>
      </w:r>
      <w:r w:rsidR="00133EA6">
        <w:t xml:space="preserve">of </w:t>
      </w:r>
      <w:r w:rsidRPr="00D1581D">
        <w:t>the most common treatment-emergent adverse events (</w:t>
      </w:r>
      <w:r>
        <w:t>TE</w:t>
      </w:r>
      <w:r w:rsidRPr="00D1581D">
        <w:t xml:space="preserve">AEs) </w:t>
      </w:r>
      <w:r>
        <w:t xml:space="preserve">occurring in ≥2% </w:t>
      </w:r>
      <w:r w:rsidRPr="00484124">
        <w:t>of pooled difelikefalin subjects with an incidence ≥1 percentage point higher than in placebo subjects</w:t>
      </w:r>
      <w:r>
        <w:t xml:space="preserve"> has been provided in </w:t>
      </w:r>
      <w:r w:rsidRPr="00FA0BC6">
        <w:rPr>
          <w:szCs w:val="24"/>
        </w:rPr>
        <w:fldChar w:fldCharType="begin"/>
      </w:r>
      <w:r w:rsidRPr="00FA0BC6">
        <w:rPr>
          <w:szCs w:val="24"/>
        </w:rPr>
        <w:instrText xml:space="preserve"> REF _Ref77845292 \h  \* MERGEFORMAT </w:instrText>
      </w:r>
      <w:r w:rsidRPr="00FA0BC6">
        <w:rPr>
          <w:szCs w:val="24"/>
        </w:rPr>
      </w:r>
      <w:r w:rsidRPr="00FA0BC6">
        <w:rPr>
          <w:szCs w:val="24"/>
        </w:rPr>
        <w:fldChar w:fldCharType="separate"/>
      </w:r>
      <w:r w:rsidR="00F5656E" w:rsidRPr="00F5656E">
        <w:rPr>
          <w:szCs w:val="24"/>
        </w:rPr>
        <w:t xml:space="preserve">Table </w:t>
      </w:r>
      <w:r w:rsidR="00F5656E" w:rsidRPr="00F5656E">
        <w:rPr>
          <w:noProof/>
          <w:szCs w:val="24"/>
        </w:rPr>
        <w:t>2</w:t>
      </w:r>
      <w:r w:rsidRPr="00FA0BC6">
        <w:rPr>
          <w:szCs w:val="24"/>
        </w:rPr>
        <w:fldChar w:fldCharType="end"/>
      </w:r>
      <w:r>
        <w:t xml:space="preserve"> below.  </w:t>
      </w:r>
      <w:r w:rsidRPr="00484124">
        <w:t xml:space="preserve">This list includes the most common TEAEs of diarrhoea, dizziness, and nausea, as well as hyperkalaemia, headache, </w:t>
      </w:r>
      <w:r w:rsidRPr="009D41CF">
        <w:t xml:space="preserve">somnolence, </w:t>
      </w:r>
      <w:r w:rsidR="00133EA6" w:rsidRPr="00F70ADD">
        <w:rPr>
          <w:rStyle w:val="normaltextrun"/>
          <w:shd w:val="clear" w:color="auto" w:fill="FFFFFF"/>
        </w:rPr>
        <w:t xml:space="preserve">mental status changes (including confusional state) </w:t>
      </w:r>
      <w:r w:rsidRPr="009D41CF">
        <w:t xml:space="preserve">and </w:t>
      </w:r>
      <w:r w:rsidRPr="00484124">
        <w:t>back</w:t>
      </w:r>
      <w:r w:rsidR="00133EA6">
        <w:t xml:space="preserve"> pain</w:t>
      </w:r>
      <w:r w:rsidRPr="00484124">
        <w:t>. Most of these events were mild or moderate in severity in the majority of difelikefalin subjects</w:t>
      </w:r>
      <w:r>
        <w:t>.</w:t>
      </w:r>
    </w:p>
    <w:p w14:paraId="3EDF101C" w14:textId="77777777" w:rsidR="009C74D8" w:rsidRDefault="009C74D8" w:rsidP="009C74D8">
      <w:pPr>
        <w:spacing w:line="240" w:lineRule="auto"/>
        <w:rPr>
          <w:rFonts w:eastAsia="SimSun"/>
          <w:color w:val="000000"/>
          <w:szCs w:val="22"/>
          <w:lang w:val="en-US" w:eastAsia="en-GB"/>
        </w:rPr>
      </w:pPr>
    </w:p>
    <w:p w14:paraId="0E79EAB3" w14:textId="439F498D" w:rsidR="009C74D8" w:rsidRPr="002F2468" w:rsidRDefault="009C74D8" w:rsidP="00397EB1">
      <w:pPr>
        <w:pStyle w:val="Caption"/>
        <w:keepNext/>
        <w:spacing w:after="0"/>
        <w:ind w:left="1440" w:hanging="1440"/>
        <w:rPr>
          <w:b/>
          <w:i w:val="0"/>
          <w:iCs w:val="0"/>
          <w:color w:val="auto"/>
          <w:sz w:val="22"/>
          <w:szCs w:val="22"/>
        </w:rPr>
      </w:pPr>
      <w:bookmarkStart w:id="12" w:name="_Ref77845292"/>
      <w:r w:rsidRPr="002F2468">
        <w:rPr>
          <w:b/>
          <w:i w:val="0"/>
          <w:iCs w:val="0"/>
          <w:color w:val="auto"/>
          <w:sz w:val="22"/>
          <w:szCs w:val="22"/>
        </w:rPr>
        <w:t xml:space="preserve">Table </w:t>
      </w:r>
      <w:r w:rsidRPr="002F2468">
        <w:rPr>
          <w:b/>
          <w:i w:val="0"/>
          <w:iCs w:val="0"/>
          <w:color w:val="auto"/>
          <w:sz w:val="22"/>
          <w:szCs w:val="22"/>
        </w:rPr>
        <w:fldChar w:fldCharType="begin"/>
      </w:r>
      <w:r w:rsidRPr="002F2468">
        <w:rPr>
          <w:b/>
          <w:i w:val="0"/>
          <w:iCs w:val="0"/>
          <w:color w:val="auto"/>
          <w:sz w:val="22"/>
          <w:szCs w:val="22"/>
        </w:rPr>
        <w:instrText xml:space="preserve"> SEQ Table \* ARABIC </w:instrText>
      </w:r>
      <w:r w:rsidRPr="002F2468">
        <w:rPr>
          <w:b/>
          <w:i w:val="0"/>
          <w:iCs w:val="0"/>
          <w:color w:val="auto"/>
          <w:sz w:val="22"/>
          <w:szCs w:val="22"/>
        </w:rPr>
        <w:fldChar w:fldCharType="separate"/>
      </w:r>
      <w:r w:rsidR="00F5656E">
        <w:rPr>
          <w:b/>
          <w:i w:val="0"/>
          <w:iCs w:val="0"/>
          <w:noProof/>
          <w:color w:val="auto"/>
          <w:sz w:val="22"/>
          <w:szCs w:val="22"/>
        </w:rPr>
        <w:t>2</w:t>
      </w:r>
      <w:r w:rsidRPr="002F2468">
        <w:rPr>
          <w:b/>
          <w:i w:val="0"/>
          <w:iCs w:val="0"/>
          <w:color w:val="auto"/>
          <w:sz w:val="22"/>
          <w:szCs w:val="22"/>
        </w:rPr>
        <w:fldChar w:fldCharType="end"/>
      </w:r>
      <w:bookmarkEnd w:id="12"/>
      <w:r w:rsidRPr="002F2468">
        <w:rPr>
          <w:b/>
          <w:i w:val="0"/>
          <w:iCs w:val="0"/>
          <w:color w:val="auto"/>
          <w:sz w:val="22"/>
          <w:szCs w:val="22"/>
        </w:rPr>
        <w:t>:</w:t>
      </w:r>
      <w:r w:rsidRPr="002F2468">
        <w:rPr>
          <w:b/>
          <w:i w:val="0"/>
          <w:iCs w:val="0"/>
          <w:color w:val="auto"/>
          <w:sz w:val="22"/>
          <w:szCs w:val="22"/>
        </w:rPr>
        <w:tab/>
        <w:t xml:space="preserve">Incidence of Treatment-emergent Adverse Events Occurring in ≥2% of Difelikefalin Subjects and With ≥1 Percentage Point Higher Incidence Than Placebo by Preferred Term - </w:t>
      </w:r>
    </w:p>
    <w:tbl>
      <w:tblPr>
        <w:tblW w:w="9360" w:type="dxa"/>
        <w:tblLayout w:type="fixed"/>
        <w:tblCellMar>
          <w:left w:w="0" w:type="dxa"/>
          <w:right w:w="0" w:type="dxa"/>
        </w:tblCellMar>
        <w:tblLook w:val="0000" w:firstRow="0" w:lastRow="0" w:firstColumn="0" w:lastColumn="0" w:noHBand="0" w:noVBand="0"/>
      </w:tblPr>
      <w:tblGrid>
        <w:gridCol w:w="1985"/>
        <w:gridCol w:w="1229"/>
        <w:gridCol w:w="1229"/>
        <w:gridCol w:w="1229"/>
        <w:gridCol w:w="1229"/>
        <w:gridCol w:w="1229"/>
        <w:gridCol w:w="1230"/>
      </w:tblGrid>
      <w:tr w:rsidR="009C74D8" w:rsidRPr="0094597A" w14:paraId="6B5A7B55" w14:textId="77777777" w:rsidTr="00830DEB">
        <w:trPr>
          <w:cantSplit/>
          <w:trHeight w:val="200"/>
          <w:tblHeader/>
        </w:trPr>
        <w:tc>
          <w:tcPr>
            <w:tcW w:w="1985" w:type="dxa"/>
            <w:tcBorders>
              <w:top w:val="single" w:sz="6" w:space="0" w:color="auto"/>
              <w:left w:val="nil"/>
              <w:bottom w:val="nil"/>
              <w:right w:val="nil"/>
            </w:tcBorders>
          </w:tcPr>
          <w:p w14:paraId="762D9769" w14:textId="77777777" w:rsidR="009C74D8" w:rsidRPr="0094597A" w:rsidRDefault="009C74D8" w:rsidP="00397EB1">
            <w:pPr>
              <w:pStyle w:val="C-TableText"/>
              <w:keepNext/>
              <w:keepLines/>
              <w:spacing w:before="40" w:after="20"/>
              <w:rPr>
                <w:b/>
                <w:bCs/>
                <w:noProof/>
                <w:sz w:val="20"/>
                <w:lang w:val="en-GB"/>
              </w:rPr>
            </w:pPr>
            <w:r w:rsidRPr="0094597A">
              <w:rPr>
                <w:b/>
                <w:bCs/>
                <w:noProof/>
                <w:sz w:val="20"/>
                <w:lang w:val="en-GB"/>
              </w:rPr>
              <w:t xml:space="preserve"> </w:t>
            </w:r>
          </w:p>
        </w:tc>
        <w:tc>
          <w:tcPr>
            <w:tcW w:w="2458" w:type="dxa"/>
            <w:gridSpan w:val="2"/>
            <w:tcBorders>
              <w:top w:val="single" w:sz="6" w:space="0" w:color="auto"/>
              <w:left w:val="nil"/>
              <w:bottom w:val="single" w:sz="4" w:space="0" w:color="auto"/>
              <w:right w:val="nil"/>
            </w:tcBorders>
            <w:vAlign w:val="bottom"/>
          </w:tcPr>
          <w:p w14:paraId="4E1694CC" w14:textId="77777777" w:rsidR="009C74D8" w:rsidRPr="0094597A" w:rsidRDefault="009C74D8" w:rsidP="00397EB1">
            <w:pPr>
              <w:pStyle w:val="C-TableText"/>
              <w:keepNext/>
              <w:keepLines/>
              <w:spacing w:before="40" w:after="20"/>
              <w:jc w:val="center"/>
              <w:rPr>
                <w:b/>
                <w:bCs/>
                <w:noProof/>
                <w:sz w:val="20"/>
                <w:lang w:val="en-GB"/>
              </w:rPr>
            </w:pPr>
            <w:r>
              <w:rPr>
                <w:b/>
                <w:bCs/>
                <w:noProof/>
                <w:sz w:val="20"/>
                <w:lang w:val="en-GB"/>
              </w:rPr>
              <w:t>KALM-1</w:t>
            </w:r>
          </w:p>
        </w:tc>
        <w:tc>
          <w:tcPr>
            <w:tcW w:w="2458" w:type="dxa"/>
            <w:gridSpan w:val="2"/>
            <w:tcBorders>
              <w:top w:val="single" w:sz="6" w:space="0" w:color="auto"/>
              <w:left w:val="nil"/>
              <w:bottom w:val="single" w:sz="4" w:space="0" w:color="auto"/>
              <w:right w:val="nil"/>
            </w:tcBorders>
            <w:vAlign w:val="bottom"/>
          </w:tcPr>
          <w:p w14:paraId="5357477A" w14:textId="77777777" w:rsidR="009C74D8" w:rsidRPr="0094597A" w:rsidRDefault="009C74D8" w:rsidP="00397EB1">
            <w:pPr>
              <w:pStyle w:val="C-TableText"/>
              <w:keepNext/>
              <w:keepLines/>
              <w:spacing w:before="40" w:after="20"/>
              <w:jc w:val="center"/>
              <w:rPr>
                <w:b/>
                <w:bCs/>
                <w:noProof/>
                <w:sz w:val="20"/>
                <w:lang w:val="en-GB"/>
              </w:rPr>
            </w:pPr>
            <w:r>
              <w:rPr>
                <w:b/>
                <w:bCs/>
                <w:noProof/>
                <w:sz w:val="20"/>
                <w:lang w:val="en-GB"/>
              </w:rPr>
              <w:t>KALM-2</w:t>
            </w:r>
          </w:p>
        </w:tc>
        <w:tc>
          <w:tcPr>
            <w:tcW w:w="2459" w:type="dxa"/>
            <w:gridSpan w:val="2"/>
            <w:tcBorders>
              <w:top w:val="single" w:sz="6" w:space="0" w:color="auto"/>
              <w:left w:val="nil"/>
              <w:bottom w:val="single" w:sz="4" w:space="0" w:color="auto"/>
              <w:right w:val="nil"/>
            </w:tcBorders>
            <w:vAlign w:val="bottom"/>
          </w:tcPr>
          <w:p w14:paraId="565DE657" w14:textId="77777777" w:rsidR="009C74D8" w:rsidRPr="0094597A" w:rsidRDefault="009C74D8" w:rsidP="00397EB1">
            <w:pPr>
              <w:pStyle w:val="C-TableText"/>
              <w:keepNext/>
              <w:keepLines/>
              <w:spacing w:before="40" w:after="20"/>
              <w:jc w:val="center"/>
              <w:rPr>
                <w:b/>
                <w:bCs/>
                <w:noProof/>
                <w:sz w:val="20"/>
                <w:lang w:val="en-GB"/>
              </w:rPr>
            </w:pPr>
            <w:r w:rsidRPr="0094597A">
              <w:rPr>
                <w:b/>
                <w:bCs/>
                <w:noProof/>
                <w:sz w:val="20"/>
                <w:lang w:val="en-GB"/>
              </w:rPr>
              <w:t>Pooled</w:t>
            </w:r>
          </w:p>
        </w:tc>
      </w:tr>
      <w:tr w:rsidR="009C74D8" w:rsidRPr="00221284" w14:paraId="06564AE5" w14:textId="77777777" w:rsidTr="00830DEB">
        <w:trPr>
          <w:cantSplit/>
          <w:trHeight w:val="200"/>
          <w:tblHeader/>
        </w:trPr>
        <w:tc>
          <w:tcPr>
            <w:tcW w:w="1985" w:type="dxa"/>
            <w:tcBorders>
              <w:top w:val="nil"/>
              <w:left w:val="nil"/>
              <w:bottom w:val="single" w:sz="6" w:space="0" w:color="auto"/>
              <w:right w:val="nil"/>
            </w:tcBorders>
            <w:vAlign w:val="bottom"/>
          </w:tcPr>
          <w:p w14:paraId="093A6305" w14:textId="77777777" w:rsidR="009C74D8" w:rsidRPr="0094597A" w:rsidRDefault="009C74D8" w:rsidP="00397EB1">
            <w:pPr>
              <w:pStyle w:val="C-TableText"/>
              <w:keepNext/>
              <w:keepLines/>
              <w:spacing w:before="40" w:after="20"/>
              <w:rPr>
                <w:b/>
                <w:bCs/>
                <w:noProof/>
                <w:sz w:val="20"/>
                <w:lang w:val="en-GB"/>
              </w:rPr>
            </w:pPr>
            <w:r w:rsidRPr="0094597A">
              <w:rPr>
                <w:b/>
                <w:bCs/>
                <w:noProof/>
                <w:sz w:val="20"/>
                <w:lang w:val="en-GB"/>
              </w:rPr>
              <w:t xml:space="preserve">  Preferred Term</w:t>
            </w:r>
          </w:p>
        </w:tc>
        <w:tc>
          <w:tcPr>
            <w:tcW w:w="1229" w:type="dxa"/>
            <w:tcBorders>
              <w:top w:val="nil"/>
              <w:left w:val="nil"/>
              <w:bottom w:val="single" w:sz="6" w:space="0" w:color="auto"/>
              <w:right w:val="nil"/>
            </w:tcBorders>
            <w:vAlign w:val="bottom"/>
          </w:tcPr>
          <w:p w14:paraId="1FF5631A" w14:textId="77777777" w:rsidR="009C74D8" w:rsidRPr="0094597A" w:rsidRDefault="009C74D8" w:rsidP="00397EB1">
            <w:pPr>
              <w:pStyle w:val="C-TableText"/>
              <w:keepNext/>
              <w:keepLines/>
              <w:spacing w:before="40" w:after="20"/>
              <w:jc w:val="center"/>
              <w:rPr>
                <w:b/>
                <w:bCs/>
                <w:noProof/>
                <w:sz w:val="20"/>
                <w:lang w:val="en-GB"/>
              </w:rPr>
            </w:pPr>
            <w:r w:rsidRPr="0094597A">
              <w:rPr>
                <w:b/>
                <w:bCs/>
                <w:noProof/>
                <w:sz w:val="20"/>
                <w:lang w:val="en-GB"/>
              </w:rPr>
              <w:t>Placebo</w:t>
            </w:r>
            <w:r w:rsidRPr="0094597A">
              <w:rPr>
                <w:b/>
                <w:bCs/>
                <w:noProof/>
                <w:sz w:val="20"/>
                <w:lang w:val="en-GB"/>
              </w:rPr>
              <w:br/>
              <w:t>(N = 188)</w:t>
            </w:r>
            <w:r w:rsidRPr="0094597A">
              <w:rPr>
                <w:b/>
                <w:bCs/>
                <w:noProof/>
                <w:sz w:val="20"/>
                <w:lang w:val="en-GB"/>
              </w:rPr>
              <w:br/>
              <w:t>n (%)</w:t>
            </w:r>
          </w:p>
        </w:tc>
        <w:tc>
          <w:tcPr>
            <w:tcW w:w="1229" w:type="dxa"/>
            <w:tcBorders>
              <w:top w:val="nil"/>
              <w:left w:val="nil"/>
              <w:bottom w:val="single" w:sz="6" w:space="0" w:color="auto"/>
              <w:right w:val="nil"/>
            </w:tcBorders>
            <w:vAlign w:val="bottom"/>
          </w:tcPr>
          <w:p w14:paraId="23E79D56" w14:textId="77777777" w:rsidR="009C74D8" w:rsidRPr="00FF04F8" w:rsidRDefault="009C74D8" w:rsidP="00397EB1">
            <w:pPr>
              <w:pStyle w:val="C-TableText"/>
              <w:keepNext/>
              <w:keepLines/>
              <w:spacing w:before="40" w:after="20"/>
              <w:jc w:val="center"/>
              <w:rPr>
                <w:b/>
                <w:bCs/>
                <w:noProof/>
                <w:sz w:val="20"/>
                <w:lang w:val="pt-PT"/>
              </w:rPr>
            </w:pPr>
            <w:r w:rsidRPr="003868CB">
              <w:rPr>
                <w:b/>
                <w:bCs/>
                <w:noProof/>
                <w:sz w:val="20"/>
                <w:lang w:val="pt-PT"/>
              </w:rPr>
              <w:t>difelikefalin</w:t>
            </w:r>
            <w:r w:rsidRPr="00FF04F8">
              <w:rPr>
                <w:b/>
                <w:bCs/>
                <w:noProof/>
                <w:sz w:val="20"/>
                <w:lang w:val="pt-PT"/>
              </w:rPr>
              <w:br/>
              <w:t>0.5 mcg/kg</w:t>
            </w:r>
            <w:r w:rsidRPr="00FF04F8">
              <w:rPr>
                <w:b/>
                <w:bCs/>
                <w:noProof/>
                <w:sz w:val="20"/>
                <w:lang w:val="pt-PT"/>
              </w:rPr>
              <w:br/>
              <w:t>(N = 189)</w:t>
            </w:r>
            <w:r w:rsidRPr="00FF04F8">
              <w:rPr>
                <w:b/>
                <w:bCs/>
                <w:noProof/>
                <w:sz w:val="20"/>
                <w:lang w:val="pt-PT"/>
              </w:rPr>
              <w:br/>
              <w:t>n (%)</w:t>
            </w:r>
          </w:p>
        </w:tc>
        <w:tc>
          <w:tcPr>
            <w:tcW w:w="1229" w:type="dxa"/>
            <w:tcBorders>
              <w:top w:val="nil"/>
              <w:left w:val="nil"/>
              <w:bottom w:val="single" w:sz="6" w:space="0" w:color="auto"/>
              <w:right w:val="nil"/>
            </w:tcBorders>
            <w:vAlign w:val="bottom"/>
          </w:tcPr>
          <w:p w14:paraId="078BAB43" w14:textId="77777777" w:rsidR="009C74D8" w:rsidRPr="0094597A" w:rsidRDefault="009C74D8" w:rsidP="00397EB1">
            <w:pPr>
              <w:pStyle w:val="C-TableText"/>
              <w:keepNext/>
              <w:keepLines/>
              <w:spacing w:before="40" w:after="20"/>
              <w:jc w:val="center"/>
              <w:rPr>
                <w:b/>
                <w:bCs/>
                <w:noProof/>
                <w:sz w:val="20"/>
                <w:lang w:val="en-GB"/>
              </w:rPr>
            </w:pPr>
            <w:r w:rsidRPr="0094597A">
              <w:rPr>
                <w:b/>
                <w:bCs/>
                <w:noProof/>
                <w:sz w:val="20"/>
                <w:lang w:val="en-GB"/>
              </w:rPr>
              <w:t>Placebo</w:t>
            </w:r>
            <w:r w:rsidRPr="0094597A">
              <w:rPr>
                <w:b/>
                <w:bCs/>
                <w:noProof/>
                <w:sz w:val="20"/>
                <w:lang w:val="en-GB"/>
              </w:rPr>
              <w:br/>
              <w:t>(N = 236)</w:t>
            </w:r>
            <w:r w:rsidRPr="0094597A">
              <w:rPr>
                <w:b/>
                <w:bCs/>
                <w:noProof/>
                <w:sz w:val="20"/>
                <w:lang w:val="en-GB"/>
              </w:rPr>
              <w:br/>
              <w:t>n (%)</w:t>
            </w:r>
          </w:p>
        </w:tc>
        <w:tc>
          <w:tcPr>
            <w:tcW w:w="1229" w:type="dxa"/>
            <w:tcBorders>
              <w:top w:val="nil"/>
              <w:left w:val="nil"/>
              <w:bottom w:val="single" w:sz="6" w:space="0" w:color="auto"/>
              <w:right w:val="nil"/>
            </w:tcBorders>
            <w:vAlign w:val="bottom"/>
          </w:tcPr>
          <w:p w14:paraId="1435D39A" w14:textId="77777777" w:rsidR="009C74D8" w:rsidRPr="00FF04F8" w:rsidRDefault="009C74D8" w:rsidP="00397EB1">
            <w:pPr>
              <w:pStyle w:val="C-TableText"/>
              <w:keepNext/>
              <w:keepLines/>
              <w:spacing w:before="40" w:after="20"/>
              <w:jc w:val="center"/>
              <w:rPr>
                <w:b/>
                <w:bCs/>
                <w:noProof/>
                <w:sz w:val="20"/>
                <w:lang w:val="pt-PT"/>
              </w:rPr>
            </w:pPr>
            <w:r w:rsidRPr="00FF04F8">
              <w:rPr>
                <w:b/>
                <w:bCs/>
                <w:noProof/>
                <w:sz w:val="20"/>
                <w:lang w:val="pt-PT"/>
              </w:rPr>
              <w:t>difelikefali</w:t>
            </w:r>
            <w:r w:rsidRPr="003868CB">
              <w:rPr>
                <w:b/>
                <w:bCs/>
                <w:noProof/>
                <w:sz w:val="20"/>
                <w:lang w:val="pt-PT"/>
              </w:rPr>
              <w:t>n</w:t>
            </w:r>
            <w:r w:rsidRPr="00FF04F8">
              <w:rPr>
                <w:b/>
                <w:bCs/>
                <w:noProof/>
                <w:sz w:val="20"/>
                <w:lang w:val="pt-PT"/>
              </w:rPr>
              <w:br/>
              <w:t>0.5 mcg/kg</w:t>
            </w:r>
            <w:r w:rsidRPr="00FF04F8">
              <w:rPr>
                <w:b/>
                <w:bCs/>
                <w:noProof/>
                <w:sz w:val="20"/>
                <w:lang w:val="pt-PT"/>
              </w:rPr>
              <w:br/>
              <w:t>(N = 235)</w:t>
            </w:r>
            <w:r w:rsidRPr="00FF04F8">
              <w:rPr>
                <w:b/>
                <w:bCs/>
                <w:noProof/>
                <w:sz w:val="20"/>
                <w:lang w:val="pt-PT"/>
              </w:rPr>
              <w:br/>
              <w:t>n (%)</w:t>
            </w:r>
          </w:p>
        </w:tc>
        <w:tc>
          <w:tcPr>
            <w:tcW w:w="1229" w:type="dxa"/>
            <w:tcBorders>
              <w:top w:val="nil"/>
              <w:left w:val="nil"/>
              <w:bottom w:val="single" w:sz="6" w:space="0" w:color="auto"/>
              <w:right w:val="nil"/>
            </w:tcBorders>
            <w:vAlign w:val="bottom"/>
          </w:tcPr>
          <w:p w14:paraId="70037F81" w14:textId="77777777" w:rsidR="009C74D8" w:rsidRPr="0094597A" w:rsidRDefault="009C74D8" w:rsidP="00397EB1">
            <w:pPr>
              <w:pStyle w:val="C-TableText"/>
              <w:keepNext/>
              <w:keepLines/>
              <w:spacing w:before="40" w:after="20"/>
              <w:jc w:val="center"/>
              <w:rPr>
                <w:b/>
                <w:bCs/>
                <w:noProof/>
                <w:sz w:val="20"/>
                <w:lang w:val="en-GB"/>
              </w:rPr>
            </w:pPr>
            <w:r w:rsidRPr="0094597A">
              <w:rPr>
                <w:b/>
                <w:bCs/>
                <w:noProof/>
                <w:sz w:val="20"/>
                <w:lang w:val="en-GB"/>
              </w:rPr>
              <w:t>Placebo</w:t>
            </w:r>
            <w:r w:rsidRPr="0094597A">
              <w:rPr>
                <w:b/>
                <w:bCs/>
                <w:noProof/>
                <w:sz w:val="20"/>
                <w:lang w:val="en-GB"/>
              </w:rPr>
              <w:br/>
              <w:t>(N = 424)</w:t>
            </w:r>
            <w:r w:rsidRPr="0094597A">
              <w:rPr>
                <w:b/>
                <w:bCs/>
                <w:noProof/>
                <w:sz w:val="20"/>
                <w:lang w:val="en-GB"/>
              </w:rPr>
              <w:br/>
              <w:t>n (%)</w:t>
            </w:r>
          </w:p>
        </w:tc>
        <w:tc>
          <w:tcPr>
            <w:tcW w:w="1230" w:type="dxa"/>
            <w:tcBorders>
              <w:top w:val="nil"/>
              <w:left w:val="nil"/>
              <w:bottom w:val="single" w:sz="6" w:space="0" w:color="auto"/>
              <w:right w:val="nil"/>
            </w:tcBorders>
            <w:vAlign w:val="bottom"/>
          </w:tcPr>
          <w:p w14:paraId="513F596B" w14:textId="77777777" w:rsidR="009C74D8" w:rsidRPr="00FF04F8" w:rsidRDefault="009C74D8" w:rsidP="00397EB1">
            <w:pPr>
              <w:pStyle w:val="C-TableText"/>
              <w:keepNext/>
              <w:keepLines/>
              <w:spacing w:before="40" w:after="20"/>
              <w:jc w:val="center"/>
              <w:rPr>
                <w:b/>
                <w:bCs/>
                <w:noProof/>
                <w:sz w:val="20"/>
                <w:lang w:val="pt-PT"/>
              </w:rPr>
            </w:pPr>
            <w:r w:rsidRPr="00FF04F8">
              <w:rPr>
                <w:b/>
                <w:bCs/>
                <w:noProof/>
                <w:sz w:val="20"/>
                <w:lang w:val="pt-PT"/>
              </w:rPr>
              <w:t>difelikefali</w:t>
            </w:r>
            <w:r w:rsidRPr="003868CB">
              <w:rPr>
                <w:b/>
                <w:bCs/>
                <w:noProof/>
                <w:sz w:val="20"/>
                <w:lang w:val="pt-PT"/>
              </w:rPr>
              <w:t>n</w:t>
            </w:r>
            <w:r w:rsidRPr="00FF04F8">
              <w:rPr>
                <w:b/>
                <w:bCs/>
                <w:noProof/>
                <w:sz w:val="20"/>
                <w:lang w:val="pt-PT"/>
              </w:rPr>
              <w:br/>
              <w:t>0.5 mcg/kg</w:t>
            </w:r>
            <w:r w:rsidRPr="00FF04F8">
              <w:rPr>
                <w:b/>
                <w:bCs/>
                <w:noProof/>
                <w:sz w:val="20"/>
                <w:lang w:val="pt-PT"/>
              </w:rPr>
              <w:br/>
              <w:t>(N = 424)</w:t>
            </w:r>
            <w:r w:rsidRPr="00FF04F8">
              <w:rPr>
                <w:b/>
                <w:bCs/>
                <w:noProof/>
                <w:sz w:val="20"/>
                <w:lang w:val="pt-PT"/>
              </w:rPr>
              <w:br/>
              <w:t>n (%)</w:t>
            </w:r>
          </w:p>
        </w:tc>
      </w:tr>
      <w:tr w:rsidR="009C74D8" w:rsidRPr="0094597A" w14:paraId="4AFDFDE9" w14:textId="77777777" w:rsidTr="00830DEB">
        <w:trPr>
          <w:cantSplit/>
          <w:trHeight w:val="200"/>
        </w:trPr>
        <w:tc>
          <w:tcPr>
            <w:tcW w:w="1985" w:type="dxa"/>
            <w:tcBorders>
              <w:top w:val="nil"/>
              <w:left w:val="nil"/>
              <w:bottom w:val="nil"/>
              <w:right w:val="nil"/>
            </w:tcBorders>
          </w:tcPr>
          <w:p w14:paraId="3783F1AF"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Subjects with any event</w:t>
            </w:r>
          </w:p>
        </w:tc>
        <w:tc>
          <w:tcPr>
            <w:tcW w:w="1229" w:type="dxa"/>
            <w:tcBorders>
              <w:top w:val="nil"/>
              <w:left w:val="nil"/>
              <w:bottom w:val="nil"/>
              <w:right w:val="nil"/>
            </w:tcBorders>
            <w:vAlign w:val="bottom"/>
          </w:tcPr>
          <w:p w14:paraId="5BDB8CC8"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130 (69.1%)</w:t>
            </w:r>
          </w:p>
        </w:tc>
        <w:tc>
          <w:tcPr>
            <w:tcW w:w="1229" w:type="dxa"/>
            <w:tcBorders>
              <w:top w:val="nil"/>
              <w:left w:val="nil"/>
              <w:bottom w:val="nil"/>
              <w:right w:val="nil"/>
            </w:tcBorders>
            <w:vAlign w:val="bottom"/>
          </w:tcPr>
          <w:p w14:paraId="10B4B611"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142 (75.1%)</w:t>
            </w:r>
          </w:p>
        </w:tc>
        <w:tc>
          <w:tcPr>
            <w:tcW w:w="1229" w:type="dxa"/>
            <w:tcBorders>
              <w:top w:val="nil"/>
              <w:left w:val="nil"/>
              <w:bottom w:val="nil"/>
              <w:right w:val="nil"/>
            </w:tcBorders>
            <w:vAlign w:val="bottom"/>
          </w:tcPr>
          <w:p w14:paraId="7FB962BE"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147 (62.3%)</w:t>
            </w:r>
          </w:p>
        </w:tc>
        <w:tc>
          <w:tcPr>
            <w:tcW w:w="1229" w:type="dxa"/>
            <w:tcBorders>
              <w:top w:val="nil"/>
              <w:left w:val="nil"/>
              <w:bottom w:val="nil"/>
              <w:right w:val="nil"/>
            </w:tcBorders>
            <w:vAlign w:val="bottom"/>
          </w:tcPr>
          <w:p w14:paraId="060E188D"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160 (68.1%)</w:t>
            </w:r>
          </w:p>
        </w:tc>
        <w:tc>
          <w:tcPr>
            <w:tcW w:w="1229" w:type="dxa"/>
            <w:tcBorders>
              <w:top w:val="nil"/>
              <w:left w:val="nil"/>
              <w:bottom w:val="nil"/>
              <w:right w:val="nil"/>
            </w:tcBorders>
            <w:vAlign w:val="bottom"/>
          </w:tcPr>
          <w:p w14:paraId="65D080B5"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277 (65.3%)</w:t>
            </w:r>
          </w:p>
        </w:tc>
        <w:tc>
          <w:tcPr>
            <w:tcW w:w="1230" w:type="dxa"/>
            <w:tcBorders>
              <w:top w:val="nil"/>
              <w:left w:val="nil"/>
              <w:bottom w:val="nil"/>
              <w:right w:val="nil"/>
            </w:tcBorders>
            <w:vAlign w:val="bottom"/>
          </w:tcPr>
          <w:p w14:paraId="0AE69565"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302 (71.2%)</w:t>
            </w:r>
          </w:p>
        </w:tc>
      </w:tr>
      <w:tr w:rsidR="009C74D8" w:rsidRPr="002F2468" w14:paraId="13EB4846" w14:textId="77777777" w:rsidTr="00830DEB">
        <w:trPr>
          <w:cantSplit/>
          <w:trHeight w:val="200"/>
        </w:trPr>
        <w:tc>
          <w:tcPr>
            <w:tcW w:w="1985" w:type="dxa"/>
            <w:tcBorders>
              <w:top w:val="nil"/>
              <w:left w:val="nil"/>
              <w:bottom w:val="nil"/>
              <w:right w:val="nil"/>
            </w:tcBorders>
          </w:tcPr>
          <w:p w14:paraId="0D02B2A8" w14:textId="77777777" w:rsidR="009C74D8" w:rsidRPr="002F2468" w:rsidRDefault="009C74D8" w:rsidP="00397EB1">
            <w:pPr>
              <w:pStyle w:val="C-TableText"/>
              <w:keepNext/>
              <w:keepLines/>
              <w:spacing w:before="40" w:after="20"/>
              <w:rPr>
                <w:noProof/>
                <w:sz w:val="16"/>
                <w:szCs w:val="16"/>
                <w:lang w:val="en-GB"/>
              </w:rPr>
            </w:pPr>
            <w:r w:rsidRPr="002F2468">
              <w:rPr>
                <w:noProof/>
                <w:sz w:val="16"/>
                <w:szCs w:val="16"/>
                <w:lang w:val="en-GB"/>
              </w:rPr>
              <w:t xml:space="preserve"> </w:t>
            </w:r>
          </w:p>
        </w:tc>
        <w:tc>
          <w:tcPr>
            <w:tcW w:w="1229" w:type="dxa"/>
            <w:tcBorders>
              <w:top w:val="nil"/>
              <w:left w:val="nil"/>
              <w:bottom w:val="nil"/>
              <w:right w:val="nil"/>
            </w:tcBorders>
          </w:tcPr>
          <w:p w14:paraId="3B8C96CC" w14:textId="77777777" w:rsidR="009C74D8" w:rsidRPr="002F2468" w:rsidRDefault="009C74D8" w:rsidP="00397EB1">
            <w:pPr>
              <w:pStyle w:val="C-TableText"/>
              <w:keepNext/>
              <w:keepLines/>
              <w:spacing w:before="40" w:after="20"/>
              <w:jc w:val="center"/>
              <w:rPr>
                <w:noProof/>
                <w:sz w:val="16"/>
                <w:szCs w:val="16"/>
                <w:lang w:val="en-GB"/>
              </w:rPr>
            </w:pPr>
          </w:p>
        </w:tc>
        <w:tc>
          <w:tcPr>
            <w:tcW w:w="1229" w:type="dxa"/>
            <w:tcBorders>
              <w:top w:val="nil"/>
              <w:left w:val="nil"/>
              <w:bottom w:val="nil"/>
              <w:right w:val="nil"/>
            </w:tcBorders>
          </w:tcPr>
          <w:p w14:paraId="1B81D9B1" w14:textId="77777777" w:rsidR="009C74D8" w:rsidRPr="002F2468" w:rsidRDefault="009C74D8" w:rsidP="00397EB1">
            <w:pPr>
              <w:pStyle w:val="C-TableText"/>
              <w:keepNext/>
              <w:keepLines/>
              <w:spacing w:before="40" w:after="20"/>
              <w:jc w:val="center"/>
              <w:rPr>
                <w:noProof/>
                <w:sz w:val="16"/>
                <w:szCs w:val="16"/>
                <w:lang w:val="en-GB"/>
              </w:rPr>
            </w:pPr>
          </w:p>
        </w:tc>
        <w:tc>
          <w:tcPr>
            <w:tcW w:w="1229" w:type="dxa"/>
            <w:tcBorders>
              <w:top w:val="nil"/>
              <w:left w:val="nil"/>
              <w:bottom w:val="nil"/>
              <w:right w:val="nil"/>
            </w:tcBorders>
          </w:tcPr>
          <w:p w14:paraId="5F891D03" w14:textId="77777777" w:rsidR="009C74D8" w:rsidRPr="002F2468" w:rsidRDefault="009C74D8" w:rsidP="00397EB1">
            <w:pPr>
              <w:pStyle w:val="C-TableText"/>
              <w:keepNext/>
              <w:keepLines/>
              <w:spacing w:before="40" w:after="20"/>
              <w:jc w:val="center"/>
              <w:rPr>
                <w:noProof/>
                <w:sz w:val="16"/>
                <w:szCs w:val="16"/>
                <w:lang w:val="en-GB"/>
              </w:rPr>
            </w:pPr>
          </w:p>
        </w:tc>
        <w:tc>
          <w:tcPr>
            <w:tcW w:w="1229" w:type="dxa"/>
            <w:tcBorders>
              <w:top w:val="nil"/>
              <w:left w:val="nil"/>
              <w:bottom w:val="nil"/>
              <w:right w:val="nil"/>
            </w:tcBorders>
          </w:tcPr>
          <w:p w14:paraId="2A2AE165" w14:textId="77777777" w:rsidR="009C74D8" w:rsidRPr="002F2468" w:rsidRDefault="009C74D8" w:rsidP="00397EB1">
            <w:pPr>
              <w:pStyle w:val="C-TableText"/>
              <w:keepNext/>
              <w:keepLines/>
              <w:spacing w:before="40" w:after="20"/>
              <w:jc w:val="center"/>
              <w:rPr>
                <w:noProof/>
                <w:sz w:val="16"/>
                <w:szCs w:val="16"/>
                <w:lang w:val="en-GB"/>
              </w:rPr>
            </w:pPr>
          </w:p>
        </w:tc>
        <w:tc>
          <w:tcPr>
            <w:tcW w:w="1229" w:type="dxa"/>
            <w:tcBorders>
              <w:top w:val="nil"/>
              <w:left w:val="nil"/>
              <w:bottom w:val="nil"/>
              <w:right w:val="nil"/>
            </w:tcBorders>
          </w:tcPr>
          <w:p w14:paraId="4A15A958" w14:textId="77777777" w:rsidR="009C74D8" w:rsidRPr="002F2468" w:rsidRDefault="009C74D8" w:rsidP="00397EB1">
            <w:pPr>
              <w:pStyle w:val="C-TableText"/>
              <w:keepNext/>
              <w:keepLines/>
              <w:spacing w:before="40" w:after="20"/>
              <w:jc w:val="center"/>
              <w:rPr>
                <w:noProof/>
                <w:sz w:val="16"/>
                <w:szCs w:val="16"/>
                <w:lang w:val="en-GB"/>
              </w:rPr>
            </w:pPr>
          </w:p>
        </w:tc>
        <w:tc>
          <w:tcPr>
            <w:tcW w:w="1230" w:type="dxa"/>
            <w:tcBorders>
              <w:top w:val="nil"/>
              <w:left w:val="nil"/>
              <w:bottom w:val="nil"/>
              <w:right w:val="nil"/>
            </w:tcBorders>
          </w:tcPr>
          <w:p w14:paraId="3C0E8403" w14:textId="77777777" w:rsidR="009C74D8" w:rsidRPr="002F2468" w:rsidRDefault="009C74D8" w:rsidP="00397EB1">
            <w:pPr>
              <w:pStyle w:val="C-TableText"/>
              <w:keepNext/>
              <w:keepLines/>
              <w:spacing w:before="40" w:after="20"/>
              <w:jc w:val="center"/>
              <w:rPr>
                <w:noProof/>
                <w:sz w:val="16"/>
                <w:szCs w:val="16"/>
                <w:lang w:val="en-GB"/>
              </w:rPr>
            </w:pPr>
          </w:p>
        </w:tc>
      </w:tr>
      <w:tr w:rsidR="009C74D8" w:rsidRPr="0094597A" w14:paraId="2AE9CB20" w14:textId="77777777" w:rsidTr="00830DEB">
        <w:trPr>
          <w:cantSplit/>
          <w:trHeight w:val="200"/>
        </w:trPr>
        <w:tc>
          <w:tcPr>
            <w:tcW w:w="1985" w:type="dxa"/>
            <w:tcBorders>
              <w:top w:val="nil"/>
              <w:left w:val="nil"/>
              <w:bottom w:val="nil"/>
              <w:right w:val="nil"/>
            </w:tcBorders>
          </w:tcPr>
          <w:p w14:paraId="44406F75"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Diarrhoea</w:t>
            </w:r>
          </w:p>
        </w:tc>
        <w:tc>
          <w:tcPr>
            <w:tcW w:w="1229" w:type="dxa"/>
            <w:tcBorders>
              <w:top w:val="nil"/>
              <w:left w:val="nil"/>
              <w:bottom w:val="nil"/>
              <w:right w:val="nil"/>
            </w:tcBorders>
            <w:vAlign w:val="bottom"/>
          </w:tcPr>
          <w:p w14:paraId="7700C706"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11 (5.9%)</w:t>
            </w:r>
          </w:p>
        </w:tc>
        <w:tc>
          <w:tcPr>
            <w:tcW w:w="1229" w:type="dxa"/>
            <w:tcBorders>
              <w:top w:val="nil"/>
              <w:left w:val="nil"/>
              <w:bottom w:val="nil"/>
              <w:right w:val="nil"/>
            </w:tcBorders>
            <w:vAlign w:val="bottom"/>
          </w:tcPr>
          <w:p w14:paraId="73E0241E"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19 (10.1%)</w:t>
            </w:r>
          </w:p>
        </w:tc>
        <w:tc>
          <w:tcPr>
            <w:tcW w:w="1229" w:type="dxa"/>
            <w:tcBorders>
              <w:top w:val="nil"/>
              <w:left w:val="nil"/>
              <w:bottom w:val="nil"/>
              <w:right w:val="nil"/>
            </w:tcBorders>
            <w:vAlign w:val="bottom"/>
          </w:tcPr>
          <w:p w14:paraId="78D68550"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13 (5.5%)</w:t>
            </w:r>
          </w:p>
        </w:tc>
        <w:tc>
          <w:tcPr>
            <w:tcW w:w="1229" w:type="dxa"/>
            <w:tcBorders>
              <w:top w:val="nil"/>
              <w:left w:val="nil"/>
              <w:bottom w:val="nil"/>
              <w:right w:val="nil"/>
            </w:tcBorders>
            <w:vAlign w:val="bottom"/>
          </w:tcPr>
          <w:p w14:paraId="58C535FD"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19 (8.1%)</w:t>
            </w:r>
          </w:p>
        </w:tc>
        <w:tc>
          <w:tcPr>
            <w:tcW w:w="1229" w:type="dxa"/>
            <w:tcBorders>
              <w:top w:val="nil"/>
              <w:left w:val="nil"/>
              <w:bottom w:val="nil"/>
              <w:right w:val="nil"/>
            </w:tcBorders>
            <w:vAlign w:val="bottom"/>
          </w:tcPr>
          <w:p w14:paraId="20B5025B"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24 (5.7%)</w:t>
            </w:r>
          </w:p>
        </w:tc>
        <w:tc>
          <w:tcPr>
            <w:tcW w:w="1230" w:type="dxa"/>
            <w:tcBorders>
              <w:top w:val="nil"/>
              <w:left w:val="nil"/>
              <w:bottom w:val="nil"/>
              <w:right w:val="nil"/>
            </w:tcBorders>
            <w:vAlign w:val="bottom"/>
          </w:tcPr>
          <w:p w14:paraId="5B280F8F"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38 (9.0%)</w:t>
            </w:r>
          </w:p>
        </w:tc>
      </w:tr>
      <w:tr w:rsidR="009C74D8" w:rsidRPr="0094597A" w14:paraId="76A1E891" w14:textId="77777777" w:rsidTr="00830DEB">
        <w:trPr>
          <w:cantSplit/>
          <w:trHeight w:val="200"/>
        </w:trPr>
        <w:tc>
          <w:tcPr>
            <w:tcW w:w="1985" w:type="dxa"/>
            <w:tcBorders>
              <w:top w:val="nil"/>
              <w:left w:val="nil"/>
              <w:bottom w:val="nil"/>
              <w:right w:val="nil"/>
            </w:tcBorders>
          </w:tcPr>
          <w:p w14:paraId="66224CDC"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Dizziness</w:t>
            </w:r>
          </w:p>
        </w:tc>
        <w:tc>
          <w:tcPr>
            <w:tcW w:w="1229" w:type="dxa"/>
            <w:tcBorders>
              <w:top w:val="nil"/>
              <w:left w:val="nil"/>
              <w:bottom w:val="nil"/>
              <w:right w:val="nil"/>
            </w:tcBorders>
            <w:vAlign w:val="bottom"/>
          </w:tcPr>
          <w:p w14:paraId="4CEB83A4"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3 (1.6%)</w:t>
            </w:r>
          </w:p>
        </w:tc>
        <w:tc>
          <w:tcPr>
            <w:tcW w:w="1229" w:type="dxa"/>
            <w:tcBorders>
              <w:top w:val="nil"/>
              <w:left w:val="nil"/>
              <w:bottom w:val="nil"/>
              <w:right w:val="nil"/>
            </w:tcBorders>
            <w:vAlign w:val="bottom"/>
          </w:tcPr>
          <w:p w14:paraId="0225FDC1"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13 (6.9%)</w:t>
            </w:r>
          </w:p>
        </w:tc>
        <w:tc>
          <w:tcPr>
            <w:tcW w:w="1229" w:type="dxa"/>
            <w:tcBorders>
              <w:top w:val="nil"/>
              <w:left w:val="nil"/>
              <w:bottom w:val="nil"/>
              <w:right w:val="nil"/>
            </w:tcBorders>
            <w:vAlign w:val="bottom"/>
          </w:tcPr>
          <w:p w14:paraId="06847A0F"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13 (5.5%)</w:t>
            </w:r>
          </w:p>
        </w:tc>
        <w:tc>
          <w:tcPr>
            <w:tcW w:w="1229" w:type="dxa"/>
            <w:tcBorders>
              <w:top w:val="nil"/>
              <w:left w:val="nil"/>
              <w:bottom w:val="nil"/>
              <w:right w:val="nil"/>
            </w:tcBorders>
            <w:vAlign w:val="bottom"/>
          </w:tcPr>
          <w:p w14:paraId="234B339F"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16 (6.8%)</w:t>
            </w:r>
          </w:p>
        </w:tc>
        <w:tc>
          <w:tcPr>
            <w:tcW w:w="1229" w:type="dxa"/>
            <w:tcBorders>
              <w:top w:val="nil"/>
              <w:left w:val="nil"/>
              <w:bottom w:val="nil"/>
              <w:right w:val="nil"/>
            </w:tcBorders>
            <w:vAlign w:val="bottom"/>
          </w:tcPr>
          <w:p w14:paraId="17081EA4"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16 (3.8%)</w:t>
            </w:r>
          </w:p>
        </w:tc>
        <w:tc>
          <w:tcPr>
            <w:tcW w:w="1230" w:type="dxa"/>
            <w:tcBorders>
              <w:top w:val="nil"/>
              <w:left w:val="nil"/>
              <w:bottom w:val="nil"/>
              <w:right w:val="nil"/>
            </w:tcBorders>
            <w:vAlign w:val="bottom"/>
          </w:tcPr>
          <w:p w14:paraId="2D8C3389"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29 (6.8%)</w:t>
            </w:r>
          </w:p>
        </w:tc>
      </w:tr>
      <w:tr w:rsidR="009C74D8" w:rsidRPr="0094597A" w14:paraId="1D0BABA9" w14:textId="77777777" w:rsidTr="00830DEB">
        <w:trPr>
          <w:cantSplit/>
          <w:trHeight w:val="200"/>
        </w:trPr>
        <w:tc>
          <w:tcPr>
            <w:tcW w:w="1985" w:type="dxa"/>
            <w:tcBorders>
              <w:top w:val="nil"/>
              <w:left w:val="nil"/>
              <w:bottom w:val="nil"/>
              <w:right w:val="nil"/>
            </w:tcBorders>
          </w:tcPr>
          <w:p w14:paraId="3C640A69"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Nausea</w:t>
            </w:r>
          </w:p>
        </w:tc>
        <w:tc>
          <w:tcPr>
            <w:tcW w:w="1229" w:type="dxa"/>
            <w:tcBorders>
              <w:top w:val="nil"/>
              <w:left w:val="nil"/>
              <w:bottom w:val="nil"/>
              <w:right w:val="nil"/>
            </w:tcBorders>
            <w:vAlign w:val="bottom"/>
          </w:tcPr>
          <w:p w14:paraId="64F02673"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9 (4.8%)</w:t>
            </w:r>
          </w:p>
        </w:tc>
        <w:tc>
          <w:tcPr>
            <w:tcW w:w="1229" w:type="dxa"/>
            <w:tcBorders>
              <w:top w:val="nil"/>
              <w:left w:val="nil"/>
              <w:bottom w:val="nil"/>
              <w:right w:val="nil"/>
            </w:tcBorders>
            <w:vAlign w:val="bottom"/>
          </w:tcPr>
          <w:p w14:paraId="6BFFEE7B"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8 (4.2%)</w:t>
            </w:r>
          </w:p>
        </w:tc>
        <w:tc>
          <w:tcPr>
            <w:tcW w:w="1229" w:type="dxa"/>
            <w:tcBorders>
              <w:top w:val="nil"/>
              <w:left w:val="nil"/>
              <w:bottom w:val="nil"/>
              <w:right w:val="nil"/>
            </w:tcBorders>
            <w:vAlign w:val="bottom"/>
          </w:tcPr>
          <w:p w14:paraId="546CC351"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10 (4.2%)</w:t>
            </w:r>
          </w:p>
        </w:tc>
        <w:tc>
          <w:tcPr>
            <w:tcW w:w="1229" w:type="dxa"/>
            <w:tcBorders>
              <w:top w:val="nil"/>
              <w:left w:val="nil"/>
              <w:bottom w:val="nil"/>
              <w:right w:val="nil"/>
            </w:tcBorders>
            <w:vAlign w:val="bottom"/>
          </w:tcPr>
          <w:p w14:paraId="6B8DE426"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20 (8.5%)</w:t>
            </w:r>
          </w:p>
        </w:tc>
        <w:tc>
          <w:tcPr>
            <w:tcW w:w="1229" w:type="dxa"/>
            <w:tcBorders>
              <w:top w:val="nil"/>
              <w:left w:val="nil"/>
              <w:bottom w:val="nil"/>
              <w:right w:val="nil"/>
            </w:tcBorders>
            <w:vAlign w:val="bottom"/>
          </w:tcPr>
          <w:p w14:paraId="3D766AF5"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19 (4.5%)</w:t>
            </w:r>
          </w:p>
        </w:tc>
        <w:tc>
          <w:tcPr>
            <w:tcW w:w="1230" w:type="dxa"/>
            <w:tcBorders>
              <w:top w:val="nil"/>
              <w:left w:val="nil"/>
              <w:bottom w:val="nil"/>
              <w:right w:val="nil"/>
            </w:tcBorders>
            <w:vAlign w:val="bottom"/>
          </w:tcPr>
          <w:p w14:paraId="02F21B3D"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28 (6.6%)</w:t>
            </w:r>
          </w:p>
        </w:tc>
      </w:tr>
      <w:tr w:rsidR="009C74D8" w:rsidRPr="0094597A" w14:paraId="2CD5ACCF" w14:textId="77777777" w:rsidTr="00830DEB">
        <w:trPr>
          <w:cantSplit/>
          <w:trHeight w:val="200"/>
        </w:trPr>
        <w:tc>
          <w:tcPr>
            <w:tcW w:w="1985" w:type="dxa"/>
            <w:tcBorders>
              <w:top w:val="nil"/>
              <w:left w:val="nil"/>
              <w:bottom w:val="nil"/>
              <w:right w:val="nil"/>
            </w:tcBorders>
          </w:tcPr>
          <w:p w14:paraId="63C52439"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Hyperkalaemia</w:t>
            </w:r>
          </w:p>
        </w:tc>
        <w:tc>
          <w:tcPr>
            <w:tcW w:w="1229" w:type="dxa"/>
            <w:tcBorders>
              <w:top w:val="nil"/>
              <w:left w:val="nil"/>
              <w:bottom w:val="nil"/>
              <w:right w:val="nil"/>
            </w:tcBorders>
            <w:vAlign w:val="bottom"/>
          </w:tcPr>
          <w:p w14:paraId="1D0B8789"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9 (4.8%)</w:t>
            </w:r>
          </w:p>
        </w:tc>
        <w:tc>
          <w:tcPr>
            <w:tcW w:w="1229" w:type="dxa"/>
            <w:tcBorders>
              <w:top w:val="nil"/>
              <w:left w:val="nil"/>
              <w:bottom w:val="nil"/>
              <w:right w:val="nil"/>
            </w:tcBorders>
            <w:vAlign w:val="bottom"/>
          </w:tcPr>
          <w:p w14:paraId="5E5B4AAA"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11 (5.8%)</w:t>
            </w:r>
          </w:p>
        </w:tc>
        <w:tc>
          <w:tcPr>
            <w:tcW w:w="1229" w:type="dxa"/>
            <w:tcBorders>
              <w:top w:val="nil"/>
              <w:left w:val="nil"/>
              <w:bottom w:val="nil"/>
              <w:right w:val="nil"/>
            </w:tcBorders>
            <w:vAlign w:val="bottom"/>
          </w:tcPr>
          <w:p w14:paraId="6F4C48ED"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6 (2.5%)</w:t>
            </w:r>
          </w:p>
        </w:tc>
        <w:tc>
          <w:tcPr>
            <w:tcW w:w="1229" w:type="dxa"/>
            <w:tcBorders>
              <w:top w:val="nil"/>
              <w:left w:val="nil"/>
              <w:bottom w:val="nil"/>
              <w:right w:val="nil"/>
            </w:tcBorders>
            <w:vAlign w:val="bottom"/>
          </w:tcPr>
          <w:p w14:paraId="5C969EE3"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9 (3.8%)</w:t>
            </w:r>
          </w:p>
        </w:tc>
        <w:tc>
          <w:tcPr>
            <w:tcW w:w="1229" w:type="dxa"/>
            <w:tcBorders>
              <w:top w:val="nil"/>
              <w:left w:val="nil"/>
              <w:bottom w:val="nil"/>
              <w:right w:val="nil"/>
            </w:tcBorders>
            <w:vAlign w:val="bottom"/>
          </w:tcPr>
          <w:p w14:paraId="195A4ECC"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15 (3.5%)</w:t>
            </w:r>
          </w:p>
        </w:tc>
        <w:tc>
          <w:tcPr>
            <w:tcW w:w="1230" w:type="dxa"/>
            <w:tcBorders>
              <w:top w:val="nil"/>
              <w:left w:val="nil"/>
              <w:bottom w:val="nil"/>
              <w:right w:val="nil"/>
            </w:tcBorders>
            <w:vAlign w:val="bottom"/>
          </w:tcPr>
          <w:p w14:paraId="388DA3E7"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20 (4.7%)</w:t>
            </w:r>
          </w:p>
        </w:tc>
      </w:tr>
      <w:tr w:rsidR="009C74D8" w:rsidRPr="0094597A" w14:paraId="23799FA8" w14:textId="77777777" w:rsidTr="00830DEB">
        <w:trPr>
          <w:cantSplit/>
          <w:trHeight w:val="200"/>
        </w:trPr>
        <w:tc>
          <w:tcPr>
            <w:tcW w:w="1985" w:type="dxa"/>
            <w:tcBorders>
              <w:top w:val="nil"/>
              <w:left w:val="nil"/>
              <w:bottom w:val="nil"/>
              <w:right w:val="nil"/>
            </w:tcBorders>
          </w:tcPr>
          <w:p w14:paraId="1C535D83" w14:textId="77777777" w:rsidR="009C74D8" w:rsidRPr="0094597A" w:rsidRDefault="009C74D8" w:rsidP="00397EB1">
            <w:pPr>
              <w:pStyle w:val="C-TableText"/>
              <w:keepNext/>
              <w:keepLines/>
              <w:spacing w:before="40" w:after="20"/>
              <w:rPr>
                <w:noProof/>
                <w:sz w:val="20"/>
                <w:lang w:val="en-GB"/>
              </w:rPr>
            </w:pPr>
            <w:r w:rsidRPr="0094597A">
              <w:rPr>
                <w:noProof/>
                <w:sz w:val="20"/>
                <w:lang w:val="en-GB"/>
              </w:rPr>
              <w:t>Headache</w:t>
            </w:r>
          </w:p>
        </w:tc>
        <w:tc>
          <w:tcPr>
            <w:tcW w:w="1229" w:type="dxa"/>
            <w:tcBorders>
              <w:top w:val="nil"/>
              <w:left w:val="nil"/>
              <w:bottom w:val="nil"/>
              <w:right w:val="nil"/>
            </w:tcBorders>
            <w:vAlign w:val="bottom"/>
          </w:tcPr>
          <w:p w14:paraId="45373C09"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4 (2.1%)</w:t>
            </w:r>
          </w:p>
        </w:tc>
        <w:tc>
          <w:tcPr>
            <w:tcW w:w="1229" w:type="dxa"/>
            <w:tcBorders>
              <w:top w:val="nil"/>
              <w:left w:val="nil"/>
              <w:bottom w:val="nil"/>
              <w:right w:val="nil"/>
            </w:tcBorders>
            <w:vAlign w:val="bottom"/>
          </w:tcPr>
          <w:p w14:paraId="7307101D"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9 (4.8%)</w:t>
            </w:r>
          </w:p>
        </w:tc>
        <w:tc>
          <w:tcPr>
            <w:tcW w:w="1229" w:type="dxa"/>
            <w:tcBorders>
              <w:top w:val="nil"/>
              <w:left w:val="nil"/>
              <w:bottom w:val="nil"/>
              <w:right w:val="nil"/>
            </w:tcBorders>
            <w:vAlign w:val="bottom"/>
          </w:tcPr>
          <w:p w14:paraId="7102297C"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7 (3.0%)</w:t>
            </w:r>
          </w:p>
        </w:tc>
        <w:tc>
          <w:tcPr>
            <w:tcW w:w="1229" w:type="dxa"/>
            <w:tcBorders>
              <w:top w:val="nil"/>
              <w:left w:val="nil"/>
              <w:bottom w:val="nil"/>
              <w:right w:val="nil"/>
            </w:tcBorders>
            <w:vAlign w:val="bottom"/>
          </w:tcPr>
          <w:p w14:paraId="7AFE6B1C"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10 (4.3%)</w:t>
            </w:r>
          </w:p>
        </w:tc>
        <w:tc>
          <w:tcPr>
            <w:tcW w:w="1229" w:type="dxa"/>
            <w:tcBorders>
              <w:top w:val="nil"/>
              <w:left w:val="nil"/>
              <w:bottom w:val="nil"/>
              <w:right w:val="nil"/>
            </w:tcBorders>
            <w:vAlign w:val="bottom"/>
          </w:tcPr>
          <w:p w14:paraId="0D601520"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11 (2.6%)</w:t>
            </w:r>
          </w:p>
        </w:tc>
        <w:tc>
          <w:tcPr>
            <w:tcW w:w="1230" w:type="dxa"/>
            <w:tcBorders>
              <w:top w:val="nil"/>
              <w:left w:val="nil"/>
              <w:bottom w:val="nil"/>
              <w:right w:val="nil"/>
            </w:tcBorders>
            <w:vAlign w:val="bottom"/>
          </w:tcPr>
          <w:p w14:paraId="3A171B28" w14:textId="77777777" w:rsidR="009C74D8" w:rsidRPr="0094597A" w:rsidRDefault="009C74D8" w:rsidP="00397EB1">
            <w:pPr>
              <w:pStyle w:val="C-TableText"/>
              <w:keepNext/>
              <w:keepLines/>
              <w:spacing w:before="40" w:after="20"/>
              <w:jc w:val="center"/>
              <w:rPr>
                <w:noProof/>
                <w:sz w:val="20"/>
                <w:lang w:val="en-GB"/>
              </w:rPr>
            </w:pPr>
            <w:r w:rsidRPr="0094597A">
              <w:rPr>
                <w:noProof/>
                <w:sz w:val="20"/>
                <w:lang w:val="en-GB"/>
              </w:rPr>
              <w:t>19 (4.5%)</w:t>
            </w:r>
          </w:p>
        </w:tc>
      </w:tr>
      <w:tr w:rsidR="009C74D8" w:rsidRPr="0094597A" w14:paraId="466BB9FE" w14:textId="77777777" w:rsidTr="00830DEB">
        <w:trPr>
          <w:cantSplit/>
          <w:trHeight w:val="200"/>
        </w:trPr>
        <w:tc>
          <w:tcPr>
            <w:tcW w:w="1985" w:type="dxa"/>
            <w:tcBorders>
              <w:top w:val="nil"/>
              <w:left w:val="nil"/>
              <w:bottom w:val="nil"/>
              <w:right w:val="nil"/>
            </w:tcBorders>
          </w:tcPr>
          <w:p w14:paraId="0BEEA682" w14:textId="77777777" w:rsidR="009C74D8" w:rsidRPr="0094597A" w:rsidRDefault="009C74D8" w:rsidP="00397EB1">
            <w:pPr>
              <w:pStyle w:val="C-TableText"/>
              <w:keepNext/>
              <w:spacing w:before="40" w:after="20"/>
              <w:rPr>
                <w:noProof/>
                <w:sz w:val="20"/>
                <w:lang w:val="en-GB"/>
              </w:rPr>
            </w:pPr>
            <w:r w:rsidRPr="0094597A">
              <w:rPr>
                <w:noProof/>
                <w:sz w:val="20"/>
                <w:lang w:val="en-GB"/>
              </w:rPr>
              <w:t>Somnolence</w:t>
            </w:r>
          </w:p>
        </w:tc>
        <w:tc>
          <w:tcPr>
            <w:tcW w:w="1229" w:type="dxa"/>
            <w:tcBorders>
              <w:top w:val="nil"/>
              <w:left w:val="nil"/>
              <w:bottom w:val="nil"/>
              <w:right w:val="nil"/>
            </w:tcBorders>
            <w:vAlign w:val="bottom"/>
          </w:tcPr>
          <w:p w14:paraId="5D767EB9"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5 (2.7%)</w:t>
            </w:r>
          </w:p>
        </w:tc>
        <w:tc>
          <w:tcPr>
            <w:tcW w:w="1229" w:type="dxa"/>
            <w:tcBorders>
              <w:top w:val="nil"/>
              <w:left w:val="nil"/>
              <w:bottom w:val="nil"/>
              <w:right w:val="nil"/>
            </w:tcBorders>
            <w:vAlign w:val="bottom"/>
          </w:tcPr>
          <w:p w14:paraId="25E87393"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6 (3.2%)</w:t>
            </w:r>
          </w:p>
        </w:tc>
        <w:tc>
          <w:tcPr>
            <w:tcW w:w="1229" w:type="dxa"/>
            <w:tcBorders>
              <w:top w:val="nil"/>
              <w:left w:val="nil"/>
              <w:bottom w:val="nil"/>
              <w:right w:val="nil"/>
            </w:tcBorders>
            <w:vAlign w:val="bottom"/>
          </w:tcPr>
          <w:p w14:paraId="61A68540"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5 (2.1%)</w:t>
            </w:r>
          </w:p>
        </w:tc>
        <w:tc>
          <w:tcPr>
            <w:tcW w:w="1229" w:type="dxa"/>
            <w:tcBorders>
              <w:top w:val="nil"/>
              <w:left w:val="nil"/>
              <w:bottom w:val="nil"/>
              <w:right w:val="nil"/>
            </w:tcBorders>
            <w:vAlign w:val="bottom"/>
          </w:tcPr>
          <w:p w14:paraId="4C52C097"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12 (5.1%)</w:t>
            </w:r>
          </w:p>
        </w:tc>
        <w:tc>
          <w:tcPr>
            <w:tcW w:w="1229" w:type="dxa"/>
            <w:tcBorders>
              <w:top w:val="nil"/>
              <w:left w:val="nil"/>
              <w:bottom w:val="nil"/>
              <w:right w:val="nil"/>
            </w:tcBorders>
            <w:vAlign w:val="bottom"/>
          </w:tcPr>
          <w:p w14:paraId="1DB3409E"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10 (2.4%)</w:t>
            </w:r>
          </w:p>
        </w:tc>
        <w:tc>
          <w:tcPr>
            <w:tcW w:w="1230" w:type="dxa"/>
            <w:tcBorders>
              <w:top w:val="nil"/>
              <w:left w:val="nil"/>
              <w:bottom w:val="nil"/>
              <w:right w:val="nil"/>
            </w:tcBorders>
            <w:vAlign w:val="bottom"/>
          </w:tcPr>
          <w:p w14:paraId="00C2A620"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18 (4.2%)</w:t>
            </w:r>
          </w:p>
        </w:tc>
      </w:tr>
      <w:tr w:rsidR="009C74D8" w:rsidRPr="0094597A" w14:paraId="5D5F5D0E" w14:textId="77777777" w:rsidTr="00830DEB">
        <w:trPr>
          <w:cantSplit/>
          <w:trHeight w:val="200"/>
        </w:trPr>
        <w:tc>
          <w:tcPr>
            <w:tcW w:w="1985" w:type="dxa"/>
            <w:tcBorders>
              <w:top w:val="nil"/>
              <w:left w:val="nil"/>
              <w:right w:val="nil"/>
            </w:tcBorders>
          </w:tcPr>
          <w:p w14:paraId="2DCB3119" w14:textId="77777777" w:rsidR="009C74D8" w:rsidRPr="0094597A" w:rsidRDefault="009C74D8" w:rsidP="00397EB1">
            <w:pPr>
              <w:pStyle w:val="C-TableText"/>
              <w:keepNext/>
              <w:spacing w:before="40" w:after="20"/>
              <w:rPr>
                <w:noProof/>
                <w:sz w:val="20"/>
                <w:lang w:val="en-GB"/>
              </w:rPr>
            </w:pPr>
            <w:r>
              <w:rPr>
                <w:noProof/>
                <w:sz w:val="20"/>
                <w:lang w:val="en-GB"/>
              </w:rPr>
              <w:t>Mental status changes</w:t>
            </w:r>
            <w:r w:rsidRPr="00B46F68">
              <w:rPr>
                <w:noProof/>
                <w:sz w:val="20"/>
                <w:vertAlign w:val="superscript"/>
                <w:lang w:val="en-GB"/>
              </w:rPr>
              <w:t>1</w:t>
            </w:r>
          </w:p>
        </w:tc>
        <w:tc>
          <w:tcPr>
            <w:tcW w:w="1229" w:type="dxa"/>
            <w:tcBorders>
              <w:top w:val="nil"/>
              <w:left w:val="nil"/>
              <w:right w:val="nil"/>
            </w:tcBorders>
            <w:vAlign w:val="bottom"/>
          </w:tcPr>
          <w:p w14:paraId="672759A1" w14:textId="77777777" w:rsidR="009C74D8" w:rsidRPr="0094597A" w:rsidRDefault="009C74D8" w:rsidP="00397EB1">
            <w:pPr>
              <w:pStyle w:val="C-TableText"/>
              <w:keepNext/>
              <w:spacing w:before="40" w:after="20"/>
              <w:jc w:val="center"/>
              <w:rPr>
                <w:noProof/>
                <w:sz w:val="20"/>
                <w:lang w:val="en-GB"/>
              </w:rPr>
            </w:pPr>
            <w:r>
              <w:rPr>
                <w:noProof/>
                <w:sz w:val="20"/>
                <w:lang w:val="en-GB"/>
              </w:rPr>
              <w:t>6 (3,2%)</w:t>
            </w:r>
          </w:p>
        </w:tc>
        <w:tc>
          <w:tcPr>
            <w:tcW w:w="1229" w:type="dxa"/>
            <w:tcBorders>
              <w:top w:val="nil"/>
              <w:left w:val="nil"/>
              <w:right w:val="nil"/>
            </w:tcBorders>
            <w:vAlign w:val="bottom"/>
          </w:tcPr>
          <w:p w14:paraId="6BA6759D" w14:textId="77777777" w:rsidR="009C74D8" w:rsidRPr="0094597A" w:rsidRDefault="009C74D8" w:rsidP="00397EB1">
            <w:pPr>
              <w:pStyle w:val="C-TableText"/>
              <w:keepNext/>
              <w:spacing w:before="40" w:after="20"/>
              <w:jc w:val="center"/>
              <w:rPr>
                <w:noProof/>
                <w:sz w:val="20"/>
                <w:lang w:val="en-GB"/>
              </w:rPr>
            </w:pPr>
            <w:r>
              <w:rPr>
                <w:noProof/>
                <w:sz w:val="20"/>
                <w:lang w:val="en-GB"/>
              </w:rPr>
              <w:t>6 (3,2%)</w:t>
            </w:r>
          </w:p>
        </w:tc>
        <w:tc>
          <w:tcPr>
            <w:tcW w:w="1229" w:type="dxa"/>
            <w:tcBorders>
              <w:top w:val="nil"/>
              <w:left w:val="nil"/>
              <w:right w:val="nil"/>
            </w:tcBorders>
            <w:vAlign w:val="bottom"/>
          </w:tcPr>
          <w:p w14:paraId="6BFAF919" w14:textId="77777777" w:rsidR="009C74D8" w:rsidRPr="0094597A" w:rsidRDefault="009C74D8" w:rsidP="00397EB1">
            <w:pPr>
              <w:pStyle w:val="C-TableText"/>
              <w:keepNext/>
              <w:spacing w:before="40" w:after="20"/>
              <w:jc w:val="center"/>
              <w:rPr>
                <w:noProof/>
                <w:sz w:val="20"/>
                <w:lang w:val="en-GB"/>
              </w:rPr>
            </w:pPr>
            <w:r>
              <w:rPr>
                <w:noProof/>
                <w:sz w:val="20"/>
                <w:lang w:val="en-GB"/>
              </w:rPr>
              <w:t>0</w:t>
            </w:r>
          </w:p>
        </w:tc>
        <w:tc>
          <w:tcPr>
            <w:tcW w:w="1229" w:type="dxa"/>
            <w:tcBorders>
              <w:top w:val="nil"/>
              <w:left w:val="nil"/>
              <w:right w:val="nil"/>
            </w:tcBorders>
            <w:vAlign w:val="bottom"/>
          </w:tcPr>
          <w:p w14:paraId="16333809" w14:textId="77777777" w:rsidR="009C74D8" w:rsidRPr="0094597A" w:rsidRDefault="009C74D8" w:rsidP="00397EB1">
            <w:pPr>
              <w:pStyle w:val="C-TableText"/>
              <w:keepNext/>
              <w:spacing w:before="40" w:after="20"/>
              <w:jc w:val="center"/>
              <w:rPr>
                <w:noProof/>
                <w:sz w:val="20"/>
                <w:lang w:val="en-GB"/>
              </w:rPr>
            </w:pPr>
            <w:r>
              <w:rPr>
                <w:noProof/>
                <w:sz w:val="20"/>
                <w:lang w:val="en-GB"/>
              </w:rPr>
              <w:t>8 (3,4%)</w:t>
            </w:r>
          </w:p>
        </w:tc>
        <w:tc>
          <w:tcPr>
            <w:tcW w:w="1229" w:type="dxa"/>
            <w:tcBorders>
              <w:top w:val="nil"/>
              <w:left w:val="nil"/>
              <w:right w:val="nil"/>
            </w:tcBorders>
            <w:vAlign w:val="bottom"/>
          </w:tcPr>
          <w:p w14:paraId="45F95FCD" w14:textId="77777777" w:rsidR="009C74D8" w:rsidRPr="0094597A" w:rsidRDefault="009C74D8" w:rsidP="00397EB1">
            <w:pPr>
              <w:pStyle w:val="C-TableText"/>
              <w:keepNext/>
              <w:spacing w:before="40" w:after="20"/>
              <w:jc w:val="center"/>
              <w:rPr>
                <w:noProof/>
                <w:sz w:val="20"/>
                <w:lang w:val="en-GB"/>
              </w:rPr>
            </w:pPr>
            <w:r>
              <w:rPr>
                <w:noProof/>
                <w:sz w:val="20"/>
                <w:lang w:val="en-GB"/>
              </w:rPr>
              <w:t>6 (1,4%)</w:t>
            </w:r>
          </w:p>
        </w:tc>
        <w:tc>
          <w:tcPr>
            <w:tcW w:w="1230" w:type="dxa"/>
            <w:tcBorders>
              <w:top w:val="nil"/>
              <w:left w:val="nil"/>
              <w:right w:val="nil"/>
            </w:tcBorders>
            <w:vAlign w:val="bottom"/>
          </w:tcPr>
          <w:p w14:paraId="0ADD0D99" w14:textId="77777777" w:rsidR="009C74D8" w:rsidRPr="0094597A" w:rsidRDefault="009C74D8" w:rsidP="00397EB1">
            <w:pPr>
              <w:pStyle w:val="C-TableText"/>
              <w:keepNext/>
              <w:spacing w:before="40" w:after="20"/>
              <w:jc w:val="center"/>
              <w:rPr>
                <w:noProof/>
                <w:sz w:val="20"/>
                <w:lang w:val="en-GB"/>
              </w:rPr>
            </w:pPr>
            <w:r>
              <w:rPr>
                <w:noProof/>
                <w:sz w:val="20"/>
                <w:lang w:val="en-GB"/>
              </w:rPr>
              <w:t>14 (3,3%)</w:t>
            </w:r>
          </w:p>
        </w:tc>
      </w:tr>
      <w:tr w:rsidR="009C74D8" w:rsidRPr="0094597A" w14:paraId="6646CB8D" w14:textId="77777777" w:rsidTr="00830DEB">
        <w:trPr>
          <w:cantSplit/>
          <w:trHeight w:val="200"/>
        </w:trPr>
        <w:tc>
          <w:tcPr>
            <w:tcW w:w="1985" w:type="dxa"/>
            <w:tcBorders>
              <w:top w:val="nil"/>
              <w:left w:val="nil"/>
              <w:bottom w:val="single" w:sz="4" w:space="0" w:color="auto"/>
              <w:right w:val="nil"/>
            </w:tcBorders>
          </w:tcPr>
          <w:p w14:paraId="2E81BDF3" w14:textId="77777777" w:rsidR="009C74D8" w:rsidRPr="0094597A" w:rsidRDefault="009C74D8" w:rsidP="00397EB1">
            <w:pPr>
              <w:pStyle w:val="C-TableText"/>
              <w:keepNext/>
              <w:spacing w:before="40" w:after="20"/>
              <w:rPr>
                <w:noProof/>
                <w:sz w:val="20"/>
                <w:lang w:val="en-GB"/>
              </w:rPr>
            </w:pPr>
            <w:r w:rsidRPr="0094597A">
              <w:rPr>
                <w:noProof/>
                <w:sz w:val="20"/>
                <w:lang w:val="en-GB"/>
              </w:rPr>
              <w:t>Back pain</w:t>
            </w:r>
          </w:p>
        </w:tc>
        <w:tc>
          <w:tcPr>
            <w:tcW w:w="1229" w:type="dxa"/>
            <w:tcBorders>
              <w:top w:val="nil"/>
              <w:left w:val="nil"/>
              <w:bottom w:val="single" w:sz="4" w:space="0" w:color="auto"/>
              <w:right w:val="nil"/>
            </w:tcBorders>
            <w:vAlign w:val="bottom"/>
          </w:tcPr>
          <w:p w14:paraId="4260E147"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1 (0.5%)</w:t>
            </w:r>
          </w:p>
        </w:tc>
        <w:tc>
          <w:tcPr>
            <w:tcW w:w="1229" w:type="dxa"/>
            <w:tcBorders>
              <w:top w:val="nil"/>
              <w:left w:val="nil"/>
              <w:bottom w:val="single" w:sz="4" w:space="0" w:color="auto"/>
              <w:right w:val="nil"/>
            </w:tcBorders>
            <w:vAlign w:val="bottom"/>
          </w:tcPr>
          <w:p w14:paraId="19AF3E02"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7 (3.7%)</w:t>
            </w:r>
          </w:p>
        </w:tc>
        <w:tc>
          <w:tcPr>
            <w:tcW w:w="1229" w:type="dxa"/>
            <w:tcBorders>
              <w:top w:val="nil"/>
              <w:left w:val="nil"/>
              <w:bottom w:val="single" w:sz="4" w:space="0" w:color="auto"/>
              <w:right w:val="nil"/>
            </w:tcBorders>
            <w:vAlign w:val="bottom"/>
          </w:tcPr>
          <w:p w14:paraId="72EA84B3"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3 (1.3%)</w:t>
            </w:r>
          </w:p>
        </w:tc>
        <w:tc>
          <w:tcPr>
            <w:tcW w:w="1229" w:type="dxa"/>
            <w:tcBorders>
              <w:top w:val="nil"/>
              <w:left w:val="nil"/>
              <w:bottom w:val="single" w:sz="4" w:space="0" w:color="auto"/>
              <w:right w:val="nil"/>
            </w:tcBorders>
            <w:vAlign w:val="bottom"/>
          </w:tcPr>
          <w:p w14:paraId="29F1CD27"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4 (1.7%)</w:t>
            </w:r>
          </w:p>
        </w:tc>
        <w:tc>
          <w:tcPr>
            <w:tcW w:w="1229" w:type="dxa"/>
            <w:tcBorders>
              <w:top w:val="nil"/>
              <w:left w:val="nil"/>
              <w:bottom w:val="single" w:sz="4" w:space="0" w:color="auto"/>
              <w:right w:val="nil"/>
            </w:tcBorders>
            <w:vAlign w:val="bottom"/>
          </w:tcPr>
          <w:p w14:paraId="3C580A0A"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4 (0.9%)</w:t>
            </w:r>
          </w:p>
        </w:tc>
        <w:tc>
          <w:tcPr>
            <w:tcW w:w="1230" w:type="dxa"/>
            <w:tcBorders>
              <w:top w:val="nil"/>
              <w:left w:val="nil"/>
              <w:bottom w:val="single" w:sz="4" w:space="0" w:color="auto"/>
              <w:right w:val="nil"/>
            </w:tcBorders>
            <w:vAlign w:val="bottom"/>
          </w:tcPr>
          <w:p w14:paraId="1885F64E" w14:textId="77777777" w:rsidR="009C74D8" w:rsidRPr="0094597A" w:rsidRDefault="009C74D8" w:rsidP="00397EB1">
            <w:pPr>
              <w:pStyle w:val="C-TableText"/>
              <w:keepNext/>
              <w:spacing w:before="40" w:after="20"/>
              <w:jc w:val="center"/>
              <w:rPr>
                <w:noProof/>
                <w:sz w:val="20"/>
                <w:lang w:val="en-GB"/>
              </w:rPr>
            </w:pPr>
            <w:r w:rsidRPr="0094597A">
              <w:rPr>
                <w:noProof/>
                <w:sz w:val="20"/>
                <w:lang w:val="en-GB"/>
              </w:rPr>
              <w:t>11 (2.6%)</w:t>
            </w:r>
          </w:p>
        </w:tc>
      </w:tr>
    </w:tbl>
    <w:p w14:paraId="0A6B0EFA" w14:textId="77777777" w:rsidR="009C74D8" w:rsidRDefault="009C74D8" w:rsidP="00397EB1">
      <w:pPr>
        <w:keepNext/>
        <w:rPr>
          <w:rFonts w:ascii="Arial" w:hAnsi="Arial" w:cs="Arial"/>
          <w:color w:val="211D1E"/>
          <w:sz w:val="18"/>
          <w:szCs w:val="18"/>
        </w:rPr>
      </w:pPr>
      <w:r>
        <w:rPr>
          <w:color w:val="211D1E"/>
          <w:szCs w:val="22"/>
          <w:vertAlign w:val="superscript"/>
        </w:rPr>
        <w:t xml:space="preserve">1 </w:t>
      </w:r>
      <w:r w:rsidRPr="00672EB5">
        <w:rPr>
          <w:color w:val="211D1E"/>
          <w:sz w:val="18"/>
          <w:szCs w:val="18"/>
        </w:rPr>
        <w:t>Mental Status Change</w:t>
      </w:r>
      <w:r>
        <w:rPr>
          <w:color w:val="211D1E"/>
          <w:sz w:val="18"/>
          <w:szCs w:val="18"/>
        </w:rPr>
        <w:t>s</w:t>
      </w:r>
      <w:r w:rsidRPr="00672EB5">
        <w:rPr>
          <w:color w:val="211D1E"/>
          <w:sz w:val="18"/>
          <w:szCs w:val="18"/>
        </w:rPr>
        <w:t xml:space="preserve"> included </w:t>
      </w:r>
      <w:r>
        <w:rPr>
          <w:color w:val="211D1E"/>
          <w:sz w:val="18"/>
          <w:szCs w:val="18"/>
        </w:rPr>
        <w:t xml:space="preserve">MedDRA </w:t>
      </w:r>
      <w:r w:rsidRPr="00672EB5">
        <w:rPr>
          <w:color w:val="211D1E"/>
          <w:sz w:val="18"/>
          <w:szCs w:val="18"/>
        </w:rPr>
        <w:t>preferred terms of confusional state and mental status change</w:t>
      </w:r>
      <w:r>
        <w:rPr>
          <w:color w:val="211D1E"/>
          <w:sz w:val="18"/>
          <w:szCs w:val="18"/>
        </w:rPr>
        <w:t>s</w:t>
      </w:r>
      <w:r w:rsidRPr="00672EB5">
        <w:rPr>
          <w:rFonts w:ascii="Arial" w:hAnsi="Arial" w:cs="Arial"/>
          <w:color w:val="211D1E"/>
          <w:sz w:val="18"/>
          <w:szCs w:val="18"/>
        </w:rPr>
        <w:t>.</w:t>
      </w:r>
    </w:p>
    <w:p w14:paraId="18BEC591" w14:textId="77777777" w:rsidR="009C74D8" w:rsidRDefault="009C74D8" w:rsidP="00397EB1">
      <w:pPr>
        <w:keepNext/>
        <w:rPr>
          <w:rFonts w:ascii="Arial" w:hAnsi="Arial" w:cs="Arial"/>
          <w:color w:val="211D1E"/>
          <w:sz w:val="18"/>
          <w:szCs w:val="18"/>
        </w:rPr>
      </w:pPr>
    </w:p>
    <w:p w14:paraId="56867149" w14:textId="64BF8F08" w:rsidR="00026569" w:rsidRDefault="00026569" w:rsidP="009C74D8">
      <w:pPr>
        <w:rPr>
          <w:szCs w:val="24"/>
        </w:rPr>
      </w:pPr>
      <w:r w:rsidRPr="00F70ADD">
        <w:rPr>
          <w:szCs w:val="24"/>
        </w:rPr>
        <w:t>In the placebo controlled studies, hyperkalaemia was reported with a frequency of 4.7% in the difelikefalin group (20 / 424 patients) and 3.5% in the placebo group (15 / 424 patients). Hyperkalaemia was one of the most frequently reported treatment</w:t>
      </w:r>
      <w:r>
        <w:rPr>
          <w:szCs w:val="24"/>
        </w:rPr>
        <w:t xml:space="preserve"> </w:t>
      </w:r>
      <w:r w:rsidRPr="00F70ADD">
        <w:rPr>
          <w:szCs w:val="24"/>
        </w:rPr>
        <w:t xml:space="preserve">emergent adverse event in the pooled phase 3 clinical studies, with a frequency of 8.3 % (108 / 1306 patients). </w:t>
      </w:r>
      <w:r w:rsidR="00A853B2">
        <w:rPr>
          <w:szCs w:val="24"/>
        </w:rPr>
        <w:t>No causal relationship has been established</w:t>
      </w:r>
      <w:r w:rsidR="0069489B">
        <w:rPr>
          <w:szCs w:val="24"/>
        </w:rPr>
        <w:t xml:space="preserve"> </w:t>
      </w:r>
      <w:r>
        <w:rPr>
          <w:szCs w:val="24"/>
        </w:rPr>
        <w:t>(see section 4.</w:t>
      </w:r>
      <w:r w:rsidR="00CA5838">
        <w:rPr>
          <w:szCs w:val="24"/>
        </w:rPr>
        <w:t>4</w:t>
      </w:r>
      <w:r w:rsidR="000C106C">
        <w:rPr>
          <w:szCs w:val="24"/>
        </w:rPr>
        <w:t xml:space="preserve"> Special Warnings and Precautions for Use</w:t>
      </w:r>
      <w:r>
        <w:rPr>
          <w:szCs w:val="24"/>
        </w:rPr>
        <w:t>)</w:t>
      </w:r>
      <w:r w:rsidRPr="00F70ADD">
        <w:rPr>
          <w:szCs w:val="24"/>
        </w:rPr>
        <w:t>.</w:t>
      </w:r>
    </w:p>
    <w:p w14:paraId="06D7639B" w14:textId="77777777" w:rsidR="00533A9D" w:rsidRDefault="00533A9D" w:rsidP="009C74D8">
      <w:pPr>
        <w:rPr>
          <w:szCs w:val="24"/>
        </w:rPr>
      </w:pPr>
    </w:p>
    <w:p w14:paraId="11CF28A2" w14:textId="12357CF8" w:rsidR="00533A9D" w:rsidRPr="00B46F68" w:rsidRDefault="00533A9D" w:rsidP="009C74D8">
      <w:bookmarkStart w:id="13" w:name="OLE_LINK21"/>
      <w:r>
        <w:t xml:space="preserve">In a Phase 2 study of CKD subjects with pruritus undergoing </w:t>
      </w:r>
      <w:r w:rsidR="009120E4">
        <w:t>haemodialysis</w:t>
      </w:r>
      <w:r>
        <w:t xml:space="preserve">, there was a dose-dependent increase in incidence of adverse events of increased blood prolactin level in patients administered IV difelikefalin three times per week. In the pooled Phase 3 safety analyses, there was 1 TEAE of blood prolactin increased in a patient treated with Korsuva; however, there were no reported TEAEs potentially indicative of </w:t>
      </w:r>
      <w:r w:rsidR="00796583">
        <w:t>non-clinically significant hyperprolactinaemia</w:t>
      </w:r>
      <w:r>
        <w:t xml:space="preserve"> (e.g., galactorrhoea, amenorrhoea, oligomenorrhoea, infertility, impotence, or decreased libido) reported in h</w:t>
      </w:r>
      <w:r w:rsidR="009120E4">
        <w:t>a</w:t>
      </w:r>
      <w:r>
        <w:t>emodialysis patients exposed to Korsuva for up to 1 year.  The clinical relevance of this is unknown</w:t>
      </w:r>
      <w:bookmarkEnd w:id="13"/>
      <w:r>
        <w:t>.</w:t>
      </w:r>
    </w:p>
    <w:p w14:paraId="1BA9F463" w14:textId="77777777" w:rsidR="004B7218" w:rsidRDefault="004B7218" w:rsidP="00A455AE">
      <w:pPr>
        <w:rPr>
          <w:noProof/>
          <w:szCs w:val="22"/>
          <w:u w:val="single"/>
        </w:rPr>
      </w:pPr>
    </w:p>
    <w:p w14:paraId="1F55EB34" w14:textId="1F03B777" w:rsidR="00A455AE" w:rsidRDefault="00B07EE7" w:rsidP="00FF01BC">
      <w:pPr>
        <w:spacing w:line="240" w:lineRule="auto"/>
        <w:rPr>
          <w:noProof/>
          <w:szCs w:val="22"/>
          <w:u w:val="single"/>
        </w:rPr>
      </w:pPr>
      <w:r>
        <w:rPr>
          <w:noProof/>
          <w:szCs w:val="22"/>
          <w:u w:val="single"/>
        </w:rPr>
        <w:t>S</w:t>
      </w:r>
      <w:r w:rsidR="00C5175E" w:rsidRPr="00D84542" w:rsidDel="006B2615">
        <w:rPr>
          <w:noProof/>
          <w:szCs w:val="22"/>
          <w:u w:val="single"/>
        </w:rPr>
        <w:t>ummary of adverse reactions</w:t>
      </w:r>
    </w:p>
    <w:p w14:paraId="6CA21384" w14:textId="77777777" w:rsidR="00B265E3" w:rsidRPr="00FF01BC" w:rsidRDefault="00B265E3" w:rsidP="00FF01BC">
      <w:pPr>
        <w:spacing w:line="240" w:lineRule="auto"/>
        <w:rPr>
          <w:rFonts w:eastAsia="SimSun"/>
          <w:color w:val="000000"/>
          <w:szCs w:val="22"/>
          <w:lang w:val="en-US" w:eastAsia="en-GB"/>
        </w:rPr>
      </w:pPr>
    </w:p>
    <w:p w14:paraId="23E8ADD8" w14:textId="677F31B5" w:rsidR="006B2615" w:rsidRDefault="00A455AE" w:rsidP="00C5175E">
      <w:pPr>
        <w:rPr>
          <w:szCs w:val="24"/>
          <w:u w:val="single"/>
        </w:rPr>
      </w:pPr>
      <w:r w:rsidRPr="00B265E3">
        <w:rPr>
          <w:rFonts w:eastAsia="SimSun"/>
          <w:color w:val="000000"/>
          <w:szCs w:val="24"/>
          <w:lang w:val="en-US" w:eastAsia="en-GB"/>
        </w:rPr>
        <w:lastRenderedPageBreak/>
        <w:t xml:space="preserve">In </w:t>
      </w:r>
      <w:r w:rsidR="00D45376" w:rsidRPr="00A51EE8">
        <w:rPr>
          <w:rFonts w:eastAsia="SimSun"/>
          <w:color w:val="000000"/>
          <w:szCs w:val="22"/>
          <w:lang w:eastAsia="en-GB"/>
        </w:rPr>
        <w:t xml:space="preserve">placebo controlled and uncontrolled phase </w:t>
      </w:r>
      <w:r w:rsidRPr="00B265E3">
        <w:rPr>
          <w:rFonts w:eastAsia="SimSun"/>
          <w:color w:val="000000"/>
          <w:szCs w:val="24"/>
          <w:lang w:val="en-US" w:eastAsia="en-GB"/>
        </w:rPr>
        <w:t xml:space="preserve">phase 3 clinical studies, approximately 6.6 % of the patients experienced at least one adverse reaction during </w:t>
      </w:r>
      <w:r w:rsidR="00364A36" w:rsidRPr="00B265E3">
        <w:rPr>
          <w:noProof/>
          <w:szCs w:val="24"/>
        </w:rPr>
        <w:t>Korsuva</w:t>
      </w:r>
      <w:r w:rsidRPr="00B265E3">
        <w:rPr>
          <w:rFonts w:eastAsia="SimSun"/>
          <w:color w:val="000000"/>
          <w:szCs w:val="24"/>
          <w:lang w:val="en-US" w:eastAsia="en-GB"/>
        </w:rPr>
        <w:t xml:space="preserve"> treatment. </w:t>
      </w:r>
      <w:r w:rsidR="00FF04F8" w:rsidRPr="00B265E3">
        <w:rPr>
          <w:rFonts w:eastAsia="SimSun"/>
          <w:color w:val="000000"/>
          <w:szCs w:val="24"/>
          <w:lang w:val="en-US" w:eastAsia="en-GB"/>
        </w:rPr>
        <w:t xml:space="preserve">The </w:t>
      </w:r>
      <w:r w:rsidR="009C74D8" w:rsidRPr="00B265E3">
        <w:rPr>
          <w:szCs w:val="24"/>
        </w:rPr>
        <w:t>a</w:t>
      </w:r>
      <w:r w:rsidR="00FF04F8" w:rsidRPr="00B265E3">
        <w:rPr>
          <w:szCs w:val="24"/>
        </w:rPr>
        <w:t>dverse reactions attributed to the treatment with Korsuva in haemodialysis patients</w:t>
      </w:r>
      <w:r w:rsidR="00FF04F8" w:rsidRPr="00B265E3">
        <w:rPr>
          <w:rFonts w:eastAsia="SimSun"/>
          <w:color w:val="000000"/>
          <w:szCs w:val="24"/>
          <w:lang w:val="en-US" w:eastAsia="en-GB"/>
        </w:rPr>
        <w:t xml:space="preserve"> are listed in </w:t>
      </w:r>
      <w:r w:rsidR="009C74D8" w:rsidRPr="00B265E3">
        <w:rPr>
          <w:rFonts w:eastAsia="SimSun"/>
          <w:color w:val="000000"/>
          <w:szCs w:val="24"/>
          <w:lang w:val="en-US" w:eastAsia="en-GB"/>
        </w:rPr>
        <w:fldChar w:fldCharType="begin"/>
      </w:r>
      <w:r w:rsidR="009C74D8" w:rsidRPr="00B265E3">
        <w:rPr>
          <w:rFonts w:eastAsia="SimSun"/>
          <w:color w:val="000000"/>
          <w:szCs w:val="24"/>
          <w:lang w:val="en-US" w:eastAsia="en-GB"/>
        </w:rPr>
        <w:instrText xml:space="preserve"> REF _Ref77845486 \h </w:instrText>
      </w:r>
      <w:r w:rsidR="00B07EE7" w:rsidRPr="00B265E3">
        <w:rPr>
          <w:rFonts w:eastAsia="SimSun"/>
          <w:color w:val="000000"/>
          <w:szCs w:val="24"/>
          <w:lang w:val="en-US" w:eastAsia="en-GB"/>
        </w:rPr>
        <w:instrText xml:space="preserve"> \* MERGEFORMAT </w:instrText>
      </w:r>
      <w:r w:rsidR="009C74D8" w:rsidRPr="00B265E3">
        <w:rPr>
          <w:rFonts w:eastAsia="SimSun"/>
          <w:color w:val="000000"/>
          <w:szCs w:val="24"/>
          <w:lang w:val="en-US" w:eastAsia="en-GB"/>
        </w:rPr>
      </w:r>
      <w:r w:rsidR="009C74D8" w:rsidRPr="00B265E3">
        <w:rPr>
          <w:rFonts w:eastAsia="SimSun"/>
          <w:color w:val="000000"/>
          <w:szCs w:val="24"/>
          <w:lang w:val="en-US" w:eastAsia="en-GB"/>
        </w:rPr>
        <w:fldChar w:fldCharType="separate"/>
      </w:r>
      <w:r w:rsidR="00F5656E" w:rsidRPr="00F5656E" w:rsidDel="006B2615">
        <w:rPr>
          <w:szCs w:val="24"/>
        </w:rPr>
        <w:t xml:space="preserve">Table </w:t>
      </w:r>
      <w:r w:rsidR="00F5656E" w:rsidRPr="00F5656E">
        <w:rPr>
          <w:noProof/>
          <w:szCs w:val="24"/>
        </w:rPr>
        <w:t>3</w:t>
      </w:r>
      <w:r w:rsidR="009C74D8" w:rsidRPr="00B265E3">
        <w:rPr>
          <w:rFonts w:eastAsia="SimSun"/>
          <w:color w:val="000000"/>
          <w:szCs w:val="24"/>
          <w:lang w:val="en-US" w:eastAsia="en-GB"/>
        </w:rPr>
        <w:fldChar w:fldCharType="end"/>
      </w:r>
      <w:r w:rsidR="009C74D8" w:rsidRPr="00B265E3">
        <w:rPr>
          <w:rFonts w:eastAsia="SimSun"/>
          <w:color w:val="000000"/>
          <w:szCs w:val="24"/>
          <w:lang w:val="en-US" w:eastAsia="en-GB"/>
        </w:rPr>
        <w:t xml:space="preserve"> </w:t>
      </w:r>
      <w:r w:rsidR="00FF04F8" w:rsidRPr="00B265E3">
        <w:rPr>
          <w:rFonts w:eastAsia="SimSun"/>
          <w:color w:val="000000"/>
          <w:szCs w:val="24"/>
          <w:lang w:val="en-US" w:eastAsia="en-GB"/>
        </w:rPr>
        <w:t xml:space="preserve">below. </w:t>
      </w:r>
      <w:r w:rsidRPr="00B265E3">
        <w:rPr>
          <w:rFonts w:eastAsia="SimSun"/>
          <w:color w:val="000000"/>
          <w:szCs w:val="24"/>
          <w:lang w:val="en-US" w:eastAsia="en-GB"/>
        </w:rPr>
        <w:t xml:space="preserve">The MedDRA System Organ Classes most frequently affected by adverse drug reactions were nervous system disorders, gastrointestinal </w:t>
      </w:r>
      <w:r w:rsidR="001173AD" w:rsidRPr="00B265E3">
        <w:rPr>
          <w:rFonts w:eastAsia="SimSun"/>
          <w:color w:val="000000"/>
          <w:szCs w:val="24"/>
          <w:lang w:val="en-US" w:eastAsia="en-GB"/>
        </w:rPr>
        <w:t>disorders,</w:t>
      </w:r>
      <w:r w:rsidRPr="00B265E3">
        <w:rPr>
          <w:rFonts w:eastAsia="SimSun"/>
          <w:color w:val="000000"/>
          <w:szCs w:val="24"/>
          <w:lang w:val="en-US" w:eastAsia="en-GB"/>
        </w:rPr>
        <w:t xml:space="preserve"> and psych</w:t>
      </w:r>
      <w:r w:rsidR="00A07801" w:rsidRPr="00B265E3">
        <w:rPr>
          <w:rFonts w:eastAsia="SimSun"/>
          <w:color w:val="000000"/>
          <w:szCs w:val="24"/>
          <w:lang w:val="en-US" w:eastAsia="en-GB"/>
        </w:rPr>
        <w:t>i</w:t>
      </w:r>
      <w:r w:rsidRPr="00B265E3">
        <w:rPr>
          <w:rFonts w:eastAsia="SimSun"/>
          <w:color w:val="000000"/>
          <w:szCs w:val="24"/>
          <w:lang w:val="en-US" w:eastAsia="en-GB"/>
        </w:rPr>
        <w:t>atric disorders with somnolence (1.1 %), dizziness</w:t>
      </w:r>
      <w:r w:rsidRPr="00FF01BC">
        <w:rPr>
          <w:rFonts w:eastAsia="SimSun"/>
          <w:color w:val="000000"/>
          <w:szCs w:val="22"/>
          <w:lang w:val="en-US" w:eastAsia="en-GB"/>
        </w:rPr>
        <w:t xml:space="preserve"> (0.9 %), headache (0.6 %), nausea (0.7 %) diarrhea (0.2 %), and mental status changes (including confusional state) (0.</w:t>
      </w:r>
      <w:r w:rsidR="00D45376">
        <w:rPr>
          <w:rFonts w:eastAsia="SimSun"/>
          <w:color w:val="000000"/>
          <w:szCs w:val="22"/>
          <w:lang w:val="en-US" w:eastAsia="en-GB"/>
        </w:rPr>
        <w:t>3</w:t>
      </w:r>
      <w:r w:rsidRPr="00FF01BC">
        <w:rPr>
          <w:rFonts w:eastAsia="SimSun"/>
          <w:color w:val="000000"/>
          <w:szCs w:val="22"/>
          <w:lang w:val="en-US" w:eastAsia="en-GB"/>
        </w:rPr>
        <w:t xml:space="preserve"> %) being the most common events that were considered related to </w:t>
      </w:r>
      <w:r w:rsidR="00364A36">
        <w:rPr>
          <w:noProof/>
          <w:szCs w:val="22"/>
        </w:rPr>
        <w:t>Korsuva</w:t>
      </w:r>
      <w:r w:rsidRPr="00FF01BC">
        <w:rPr>
          <w:rFonts w:eastAsia="SimSun"/>
          <w:color w:val="000000"/>
          <w:szCs w:val="22"/>
          <w:lang w:val="en-US" w:eastAsia="en-GB"/>
        </w:rPr>
        <w:t xml:space="preserve">. All but somnolence occurred in less than 1 % of patients. Most of these events were mild or moderate in severity, did not lead to deleterious consequences, and resolved with on-going therapy. </w:t>
      </w:r>
      <w:r w:rsidR="001A3284" w:rsidRPr="00A51EE8">
        <w:rPr>
          <w:rFonts w:eastAsia="SimSun"/>
          <w:color w:val="000000"/>
          <w:szCs w:val="22"/>
          <w:lang w:eastAsia="en-GB"/>
        </w:rPr>
        <w:t>No event was serious and the incidence of events leading to treatment discontinuation was ≤</w:t>
      </w:r>
      <w:r w:rsidR="001A3284">
        <w:rPr>
          <w:rFonts w:eastAsia="SimSun"/>
          <w:color w:val="000000"/>
          <w:szCs w:val="22"/>
          <w:lang w:eastAsia="en-GB"/>
        </w:rPr>
        <w:t> </w:t>
      </w:r>
      <w:r w:rsidR="001A3284" w:rsidRPr="00A51EE8">
        <w:rPr>
          <w:rFonts w:eastAsia="SimSun"/>
          <w:color w:val="000000"/>
          <w:szCs w:val="22"/>
          <w:lang w:eastAsia="en-GB"/>
        </w:rPr>
        <w:t>0.5% for any of the adverse reactions listed above.</w:t>
      </w:r>
      <w:r w:rsidR="001A3284">
        <w:rPr>
          <w:rFonts w:eastAsia="SimSun"/>
          <w:color w:val="000000"/>
          <w:szCs w:val="22"/>
          <w:lang w:eastAsia="en-GB"/>
        </w:rPr>
        <w:t xml:space="preserve"> </w:t>
      </w:r>
    </w:p>
    <w:p w14:paraId="6A0B6999" w14:textId="35AD69F3" w:rsidR="00A455AE" w:rsidRPr="00D84542" w:rsidDel="006B2615" w:rsidRDefault="00A455AE" w:rsidP="00A455AE">
      <w:pPr>
        <w:rPr>
          <w:noProof/>
          <w:szCs w:val="22"/>
          <w:u w:val="single"/>
        </w:rPr>
      </w:pPr>
    </w:p>
    <w:p w14:paraId="52DEF33D" w14:textId="56B08D35" w:rsidR="00A455AE" w:rsidDel="006B2615" w:rsidRDefault="00A455AE" w:rsidP="00FF01BC">
      <w:pPr>
        <w:spacing w:line="240" w:lineRule="auto"/>
        <w:rPr>
          <w:rFonts w:eastAsia="SimSun"/>
          <w:color w:val="000000"/>
          <w:szCs w:val="22"/>
          <w:lang w:val="en-US" w:eastAsia="en-GB"/>
        </w:rPr>
      </w:pPr>
      <w:r w:rsidRPr="00FF01BC" w:rsidDel="006B2615">
        <w:rPr>
          <w:rFonts w:eastAsia="SimSun"/>
          <w:color w:val="000000"/>
          <w:szCs w:val="22"/>
          <w:lang w:val="en-US" w:eastAsia="en-GB"/>
        </w:rPr>
        <w:t xml:space="preserve">Adverse reactions reported from the use of </w:t>
      </w:r>
      <w:r w:rsidR="00364A36" w:rsidDel="006B2615">
        <w:rPr>
          <w:noProof/>
          <w:szCs w:val="22"/>
        </w:rPr>
        <w:t>Korsuva</w:t>
      </w:r>
      <w:r w:rsidRPr="00FF01BC" w:rsidDel="006B2615">
        <w:rPr>
          <w:rFonts w:eastAsia="SimSun"/>
          <w:color w:val="000000"/>
          <w:szCs w:val="22"/>
          <w:lang w:val="en-US" w:eastAsia="en-GB"/>
        </w:rPr>
        <w:t xml:space="preserve"> in clinical studies at the target dose of 0.5 micrograms/kg in these patients (n = 1306) are listed in </w:t>
      </w:r>
      <w:r w:rsidR="00370035" w:rsidRPr="00370035">
        <w:rPr>
          <w:rFonts w:eastAsia="SimSun"/>
          <w:color w:val="000000"/>
          <w:szCs w:val="24"/>
          <w:lang w:val="en-US" w:eastAsia="en-GB"/>
        </w:rPr>
        <w:fldChar w:fldCharType="begin"/>
      </w:r>
      <w:r w:rsidR="00370035" w:rsidRPr="00370035">
        <w:rPr>
          <w:rFonts w:eastAsia="SimSun"/>
          <w:color w:val="000000"/>
          <w:szCs w:val="24"/>
          <w:lang w:val="en-US" w:eastAsia="en-GB"/>
        </w:rPr>
        <w:instrText xml:space="preserve"> REF _Ref77845486 \h  \* MERGEFORMAT </w:instrText>
      </w:r>
      <w:r w:rsidR="00370035" w:rsidRPr="00370035">
        <w:rPr>
          <w:rFonts w:eastAsia="SimSun"/>
          <w:color w:val="000000"/>
          <w:szCs w:val="24"/>
          <w:lang w:val="en-US" w:eastAsia="en-GB"/>
        </w:rPr>
      </w:r>
      <w:r w:rsidR="00370035" w:rsidRPr="00370035">
        <w:rPr>
          <w:rFonts w:eastAsia="SimSun"/>
          <w:color w:val="000000"/>
          <w:szCs w:val="24"/>
          <w:lang w:val="en-US" w:eastAsia="en-GB"/>
        </w:rPr>
        <w:fldChar w:fldCharType="separate"/>
      </w:r>
      <w:r w:rsidR="00F5656E" w:rsidRPr="00F5656E" w:rsidDel="006B2615">
        <w:rPr>
          <w:szCs w:val="24"/>
        </w:rPr>
        <w:t xml:space="preserve">Table </w:t>
      </w:r>
      <w:r w:rsidR="00F5656E" w:rsidRPr="00F5656E">
        <w:rPr>
          <w:noProof/>
          <w:szCs w:val="24"/>
        </w:rPr>
        <w:t>3</w:t>
      </w:r>
      <w:r w:rsidR="00370035" w:rsidRPr="00370035">
        <w:rPr>
          <w:rFonts w:eastAsia="SimSun"/>
          <w:color w:val="000000"/>
          <w:szCs w:val="24"/>
          <w:lang w:val="en-US" w:eastAsia="en-GB"/>
        </w:rPr>
        <w:fldChar w:fldCharType="end"/>
      </w:r>
      <w:r w:rsidRPr="00370035" w:rsidDel="006B2615">
        <w:rPr>
          <w:rFonts w:eastAsia="SimSun"/>
          <w:color w:val="000000"/>
          <w:szCs w:val="24"/>
          <w:lang w:val="en-US" w:eastAsia="en-GB"/>
        </w:rPr>
        <w:t>.</w:t>
      </w:r>
    </w:p>
    <w:p w14:paraId="6C783127" w14:textId="334064FE" w:rsidR="00FF01BC" w:rsidRPr="00FF01BC" w:rsidDel="006B2615" w:rsidRDefault="00FF01BC" w:rsidP="00FF01BC">
      <w:pPr>
        <w:spacing w:line="240" w:lineRule="auto"/>
        <w:rPr>
          <w:rFonts w:eastAsia="SimSun"/>
          <w:color w:val="000000"/>
          <w:szCs w:val="22"/>
          <w:lang w:val="en-US" w:eastAsia="en-GB"/>
        </w:rPr>
      </w:pPr>
    </w:p>
    <w:p w14:paraId="4E265123" w14:textId="75BE6108" w:rsidR="00A455AE" w:rsidDel="006B2615" w:rsidRDefault="00A455AE" w:rsidP="00FF01BC">
      <w:pPr>
        <w:spacing w:line="240" w:lineRule="auto"/>
        <w:rPr>
          <w:rFonts w:eastAsia="SimSun"/>
          <w:color w:val="000000"/>
          <w:szCs w:val="22"/>
          <w:lang w:val="en-US" w:eastAsia="en-GB"/>
        </w:rPr>
      </w:pPr>
      <w:r w:rsidRPr="00FF01BC" w:rsidDel="006B2615">
        <w:rPr>
          <w:rFonts w:eastAsia="SimSun"/>
          <w:color w:val="000000"/>
          <w:szCs w:val="22"/>
          <w:lang w:val="en-US" w:eastAsia="en-GB"/>
        </w:rPr>
        <w:t>The frequency is classified as common (≥ 1/100 to &lt; 1/10) and uncommon (≥ 1/1,000 to &lt; 1/100).</w:t>
      </w:r>
    </w:p>
    <w:p w14:paraId="5A028C1E" w14:textId="239D7102" w:rsidR="00FF01BC" w:rsidRPr="00FF01BC" w:rsidDel="006B2615" w:rsidRDefault="00FF01BC" w:rsidP="00FF01BC">
      <w:pPr>
        <w:spacing w:line="240" w:lineRule="auto"/>
        <w:rPr>
          <w:rFonts w:eastAsia="SimSun"/>
          <w:color w:val="000000"/>
          <w:szCs w:val="22"/>
          <w:lang w:val="en-US" w:eastAsia="en-GB"/>
        </w:rPr>
      </w:pPr>
    </w:p>
    <w:p w14:paraId="2F038DB9" w14:textId="646A156A" w:rsidR="00A455AE" w:rsidRPr="00FF01BC" w:rsidDel="006B2615" w:rsidRDefault="00A455AE" w:rsidP="00FF01BC">
      <w:pPr>
        <w:spacing w:line="240" w:lineRule="auto"/>
        <w:rPr>
          <w:rFonts w:eastAsia="SimSun"/>
          <w:color w:val="000000"/>
          <w:szCs w:val="22"/>
          <w:lang w:val="en-US" w:eastAsia="en-GB"/>
        </w:rPr>
      </w:pPr>
      <w:r w:rsidRPr="00FF01BC" w:rsidDel="006B2615">
        <w:rPr>
          <w:rFonts w:eastAsia="SimSun"/>
          <w:color w:val="000000"/>
          <w:szCs w:val="22"/>
          <w:lang w:val="en-US" w:eastAsia="en-GB"/>
        </w:rPr>
        <w:t>Within each frequency grouping, adverse reactions are presented in order of decreasing seriousness.</w:t>
      </w:r>
    </w:p>
    <w:p w14:paraId="3660BC2A" w14:textId="54C47878" w:rsidR="00A455AE" w:rsidRPr="004A4168" w:rsidDel="006B2615" w:rsidRDefault="00A455AE" w:rsidP="00A455AE">
      <w:pPr>
        <w:rPr>
          <w:rFonts w:ascii="TimesNewRomanPSMT" w:hAnsi="TimesNewRomanPSMT" w:cs="TimesNewRomanPSMT"/>
          <w:color w:val="000000"/>
          <w:lang w:eastAsia="en-GB"/>
        </w:rPr>
      </w:pPr>
    </w:p>
    <w:p w14:paraId="381F5573" w14:textId="50BE2391" w:rsidR="00A455AE" w:rsidRPr="00E418AC" w:rsidDel="006B2615" w:rsidRDefault="00A455AE" w:rsidP="00A455AE">
      <w:pPr>
        <w:pStyle w:val="Caption"/>
        <w:rPr>
          <w:b/>
          <w:i w:val="0"/>
          <w:szCs w:val="22"/>
        </w:rPr>
      </w:pPr>
      <w:bookmarkStart w:id="14" w:name="_Ref77845486"/>
      <w:bookmarkStart w:id="15" w:name="_Ref79663589"/>
      <w:r w:rsidRPr="00E418AC" w:rsidDel="006B2615">
        <w:rPr>
          <w:b/>
          <w:i w:val="0"/>
          <w:iCs w:val="0"/>
          <w:color w:val="auto"/>
          <w:sz w:val="22"/>
          <w:szCs w:val="22"/>
        </w:rPr>
        <w:t xml:space="preserve">Table </w:t>
      </w:r>
      <w:r w:rsidRPr="00E418AC" w:rsidDel="006B2615">
        <w:rPr>
          <w:b/>
          <w:sz w:val="22"/>
          <w:szCs w:val="22"/>
        </w:rPr>
        <w:fldChar w:fldCharType="begin"/>
      </w:r>
      <w:r w:rsidRPr="00E418AC" w:rsidDel="006B2615">
        <w:rPr>
          <w:b/>
          <w:i w:val="0"/>
          <w:iCs w:val="0"/>
          <w:color w:val="auto"/>
          <w:sz w:val="22"/>
          <w:szCs w:val="22"/>
        </w:rPr>
        <w:instrText xml:space="preserve"> SEQ Table \* ARABIC </w:instrText>
      </w:r>
      <w:r w:rsidRPr="00E418AC" w:rsidDel="006B2615">
        <w:rPr>
          <w:b/>
          <w:sz w:val="22"/>
          <w:szCs w:val="22"/>
        </w:rPr>
        <w:fldChar w:fldCharType="separate"/>
      </w:r>
      <w:r w:rsidR="00F5656E">
        <w:rPr>
          <w:b/>
          <w:i w:val="0"/>
          <w:iCs w:val="0"/>
          <w:noProof/>
          <w:color w:val="auto"/>
          <w:sz w:val="22"/>
          <w:szCs w:val="22"/>
        </w:rPr>
        <w:t>3</w:t>
      </w:r>
      <w:r w:rsidRPr="00E418AC" w:rsidDel="006B2615">
        <w:rPr>
          <w:b/>
          <w:sz w:val="22"/>
          <w:szCs w:val="22"/>
        </w:rPr>
        <w:fldChar w:fldCharType="end"/>
      </w:r>
      <w:bookmarkEnd w:id="14"/>
      <w:r w:rsidRPr="00E418AC" w:rsidDel="006B2615">
        <w:rPr>
          <w:b/>
          <w:i w:val="0"/>
          <w:iCs w:val="0"/>
          <w:color w:val="auto"/>
          <w:sz w:val="22"/>
          <w:szCs w:val="22"/>
        </w:rPr>
        <w:t xml:space="preserve">: </w:t>
      </w:r>
      <w:r w:rsidR="009120E4">
        <w:rPr>
          <w:b/>
          <w:i w:val="0"/>
          <w:iCs w:val="0"/>
          <w:color w:val="auto"/>
          <w:sz w:val="22"/>
          <w:szCs w:val="22"/>
        </w:rPr>
        <w:t xml:space="preserve"> </w:t>
      </w:r>
      <w:r w:rsidRPr="00E418AC" w:rsidDel="006B2615">
        <w:rPr>
          <w:b/>
          <w:i w:val="0"/>
          <w:iCs w:val="0"/>
          <w:color w:val="auto"/>
          <w:sz w:val="22"/>
          <w:szCs w:val="22"/>
        </w:rPr>
        <w:t xml:space="preserve">Adverse reactions attributed to the treatment with </w:t>
      </w:r>
      <w:r w:rsidR="00364A36" w:rsidDel="006B2615">
        <w:rPr>
          <w:b/>
          <w:i w:val="0"/>
          <w:iCs w:val="0"/>
          <w:color w:val="auto"/>
          <w:sz w:val="22"/>
          <w:szCs w:val="22"/>
        </w:rPr>
        <w:t>Korsuva</w:t>
      </w:r>
      <w:r w:rsidRPr="00E418AC" w:rsidDel="006B2615">
        <w:rPr>
          <w:b/>
          <w:i w:val="0"/>
          <w:iCs w:val="0"/>
          <w:color w:val="auto"/>
          <w:sz w:val="22"/>
          <w:szCs w:val="22"/>
        </w:rPr>
        <w:t xml:space="preserve"> in haemodialysis patients</w:t>
      </w:r>
      <w:bookmarkEnd w:id="15"/>
    </w:p>
    <w:tbl>
      <w:tblPr>
        <w:tblW w:w="4610" w:type="pct"/>
        <w:tblBorders>
          <w:top w:val="nil"/>
          <w:left w:val="nil"/>
          <w:bottom w:val="nil"/>
          <w:right w:val="nil"/>
        </w:tblBorders>
        <w:tblLook w:val="0000" w:firstRow="0" w:lastRow="0" w:firstColumn="0" w:lastColumn="0" w:noHBand="0" w:noVBand="0"/>
      </w:tblPr>
      <w:tblGrid>
        <w:gridCol w:w="2693"/>
        <w:gridCol w:w="2551"/>
        <w:gridCol w:w="3119"/>
      </w:tblGrid>
      <w:tr w:rsidR="00A455AE" w:rsidRPr="0065782D" w:rsidDel="006B2615" w14:paraId="124A43F4" w14:textId="03FD4548" w:rsidTr="00A455AE">
        <w:trPr>
          <w:trHeight w:val="64"/>
        </w:trPr>
        <w:tc>
          <w:tcPr>
            <w:tcW w:w="1610" w:type="pct"/>
            <w:tcBorders>
              <w:top w:val="single" w:sz="4" w:space="0" w:color="auto"/>
              <w:bottom w:val="single" w:sz="4" w:space="0" w:color="auto"/>
            </w:tcBorders>
          </w:tcPr>
          <w:p w14:paraId="251DED7A" w14:textId="49F47C5A" w:rsidR="00A455AE" w:rsidRPr="00E418AC" w:rsidDel="006B2615" w:rsidRDefault="00A455AE" w:rsidP="00A455AE">
            <w:pPr>
              <w:keepNext/>
              <w:keepLines/>
              <w:spacing w:before="40" w:after="20" w:line="240" w:lineRule="auto"/>
              <w:rPr>
                <w:b/>
                <w:bCs/>
                <w:color w:val="000000"/>
                <w:szCs w:val="22"/>
              </w:rPr>
            </w:pPr>
            <w:r w:rsidRPr="00E418AC" w:rsidDel="006B2615">
              <w:rPr>
                <w:b/>
                <w:bCs/>
                <w:color w:val="000000"/>
                <w:szCs w:val="22"/>
              </w:rPr>
              <w:t>MedDRA System Organ Class</w:t>
            </w:r>
          </w:p>
        </w:tc>
        <w:tc>
          <w:tcPr>
            <w:tcW w:w="1525" w:type="pct"/>
            <w:tcBorders>
              <w:top w:val="single" w:sz="4" w:space="0" w:color="auto"/>
              <w:bottom w:val="single" w:sz="4" w:space="0" w:color="auto"/>
            </w:tcBorders>
          </w:tcPr>
          <w:p w14:paraId="082C2CDA" w14:textId="704B7B33" w:rsidR="00A455AE" w:rsidRPr="00E418AC" w:rsidDel="006B2615" w:rsidRDefault="00A455AE" w:rsidP="00A455AE">
            <w:pPr>
              <w:keepNext/>
              <w:keepLines/>
              <w:spacing w:before="40" w:after="20" w:line="240" w:lineRule="auto"/>
              <w:rPr>
                <w:b/>
                <w:bCs/>
                <w:color w:val="000000"/>
                <w:szCs w:val="22"/>
              </w:rPr>
            </w:pPr>
            <w:r w:rsidRPr="00E418AC" w:rsidDel="006B2615">
              <w:rPr>
                <w:b/>
                <w:bCs/>
                <w:color w:val="000000"/>
                <w:szCs w:val="22"/>
              </w:rPr>
              <w:t>Common</w:t>
            </w:r>
          </w:p>
        </w:tc>
        <w:tc>
          <w:tcPr>
            <w:tcW w:w="1865" w:type="pct"/>
            <w:tcBorders>
              <w:top w:val="single" w:sz="4" w:space="0" w:color="auto"/>
              <w:bottom w:val="single" w:sz="4" w:space="0" w:color="auto"/>
            </w:tcBorders>
          </w:tcPr>
          <w:p w14:paraId="21C15E45" w14:textId="28D16430" w:rsidR="00A455AE" w:rsidRPr="00E418AC" w:rsidDel="006B2615" w:rsidRDefault="00A455AE" w:rsidP="00A455AE">
            <w:pPr>
              <w:keepNext/>
              <w:keepLines/>
              <w:spacing w:before="40" w:after="20" w:line="240" w:lineRule="auto"/>
              <w:rPr>
                <w:b/>
                <w:bCs/>
                <w:color w:val="000000"/>
                <w:szCs w:val="22"/>
              </w:rPr>
            </w:pPr>
            <w:r w:rsidRPr="00E418AC" w:rsidDel="006B2615">
              <w:rPr>
                <w:b/>
                <w:bCs/>
                <w:color w:val="000000"/>
                <w:szCs w:val="22"/>
              </w:rPr>
              <w:t>Uncommon</w:t>
            </w:r>
          </w:p>
        </w:tc>
      </w:tr>
      <w:tr w:rsidR="00A455AE" w:rsidRPr="0065782D" w:rsidDel="006B2615" w14:paraId="7C07C1D2" w14:textId="34445464" w:rsidTr="00A455AE">
        <w:trPr>
          <w:trHeight w:val="64"/>
        </w:trPr>
        <w:tc>
          <w:tcPr>
            <w:tcW w:w="1610" w:type="pct"/>
            <w:tcBorders>
              <w:top w:val="single" w:sz="4" w:space="0" w:color="auto"/>
              <w:bottom w:val="nil"/>
              <w:right w:val="nil"/>
            </w:tcBorders>
          </w:tcPr>
          <w:p w14:paraId="461D94AC" w14:textId="06A33E90" w:rsidR="00A455AE" w:rsidRPr="0065782D" w:rsidDel="006B2615" w:rsidRDefault="00A455AE" w:rsidP="00A455AE">
            <w:pPr>
              <w:pStyle w:val="Default"/>
              <w:spacing w:before="40" w:after="20"/>
              <w:rPr>
                <w:sz w:val="22"/>
                <w:szCs w:val="22"/>
                <w:lang w:val="en-US"/>
              </w:rPr>
            </w:pPr>
            <w:r w:rsidRPr="0065782D" w:rsidDel="006B2615">
              <w:rPr>
                <w:sz w:val="22"/>
                <w:szCs w:val="22"/>
                <w:lang w:val="en-US"/>
              </w:rPr>
              <w:t xml:space="preserve">Nervous system disorders </w:t>
            </w:r>
          </w:p>
        </w:tc>
        <w:tc>
          <w:tcPr>
            <w:tcW w:w="1525" w:type="pct"/>
            <w:tcBorders>
              <w:top w:val="single" w:sz="4" w:space="0" w:color="auto"/>
              <w:bottom w:val="nil"/>
              <w:right w:val="nil"/>
            </w:tcBorders>
          </w:tcPr>
          <w:p w14:paraId="77DD6AB0" w14:textId="478A9D33" w:rsidR="00A455AE" w:rsidRPr="0065782D" w:rsidDel="006B2615" w:rsidRDefault="00A455AE" w:rsidP="00A455AE">
            <w:pPr>
              <w:pStyle w:val="Default"/>
              <w:spacing w:before="40" w:after="20"/>
              <w:rPr>
                <w:sz w:val="22"/>
                <w:szCs w:val="22"/>
                <w:lang w:val="en-US"/>
              </w:rPr>
            </w:pPr>
            <w:r w:rsidDel="006B2615">
              <w:rPr>
                <w:sz w:val="22"/>
                <w:szCs w:val="22"/>
                <w:lang w:val="en-US"/>
              </w:rPr>
              <w:t>S</w:t>
            </w:r>
            <w:r w:rsidRPr="0065782D" w:rsidDel="006B2615">
              <w:rPr>
                <w:sz w:val="22"/>
                <w:szCs w:val="22"/>
                <w:lang w:val="en-US"/>
              </w:rPr>
              <w:t xml:space="preserve">omnolence </w:t>
            </w:r>
          </w:p>
        </w:tc>
        <w:tc>
          <w:tcPr>
            <w:tcW w:w="1865" w:type="pct"/>
            <w:tcBorders>
              <w:top w:val="single" w:sz="4" w:space="0" w:color="auto"/>
              <w:bottom w:val="nil"/>
              <w:right w:val="nil"/>
            </w:tcBorders>
          </w:tcPr>
          <w:p w14:paraId="0452EAD6" w14:textId="318E1EE7" w:rsidR="00A455AE" w:rsidRPr="0065782D" w:rsidDel="006B2615" w:rsidRDefault="00A455AE" w:rsidP="00A455AE">
            <w:pPr>
              <w:pStyle w:val="Default"/>
              <w:spacing w:before="40" w:after="20"/>
              <w:rPr>
                <w:sz w:val="22"/>
                <w:szCs w:val="22"/>
                <w:lang w:val="en-US"/>
              </w:rPr>
            </w:pPr>
            <w:r w:rsidDel="006B2615">
              <w:rPr>
                <w:sz w:val="22"/>
                <w:szCs w:val="22"/>
                <w:lang w:val="en-US"/>
              </w:rPr>
              <w:t>D</w:t>
            </w:r>
            <w:r w:rsidRPr="0065782D" w:rsidDel="006B2615">
              <w:rPr>
                <w:sz w:val="22"/>
                <w:szCs w:val="22"/>
                <w:lang w:val="en-US"/>
              </w:rPr>
              <w:t>izziness</w:t>
            </w:r>
            <w:r w:rsidDel="006B2615">
              <w:rPr>
                <w:sz w:val="22"/>
                <w:szCs w:val="22"/>
                <w:lang w:val="en-US"/>
              </w:rPr>
              <w:t>; H</w:t>
            </w:r>
            <w:r w:rsidRPr="0065782D" w:rsidDel="006B2615">
              <w:rPr>
                <w:sz w:val="22"/>
                <w:szCs w:val="22"/>
                <w:lang w:val="en-US"/>
              </w:rPr>
              <w:t>eadache</w:t>
            </w:r>
          </w:p>
        </w:tc>
      </w:tr>
      <w:tr w:rsidR="00A455AE" w:rsidRPr="0065782D" w:rsidDel="006B2615" w14:paraId="4625BCA1" w14:textId="53AE74FA" w:rsidTr="00A455AE">
        <w:trPr>
          <w:trHeight w:val="64"/>
        </w:trPr>
        <w:tc>
          <w:tcPr>
            <w:tcW w:w="1610" w:type="pct"/>
            <w:tcBorders>
              <w:top w:val="nil"/>
              <w:left w:val="nil"/>
              <w:bottom w:val="nil"/>
              <w:right w:val="nil"/>
            </w:tcBorders>
          </w:tcPr>
          <w:p w14:paraId="50A38A54" w14:textId="3E16AFDD" w:rsidR="00A455AE" w:rsidRPr="0065782D" w:rsidDel="006B2615" w:rsidRDefault="00A455AE" w:rsidP="00A455AE">
            <w:pPr>
              <w:pStyle w:val="Default"/>
              <w:spacing w:before="40" w:after="20"/>
              <w:rPr>
                <w:sz w:val="22"/>
                <w:szCs w:val="22"/>
                <w:lang w:val="en-US"/>
              </w:rPr>
            </w:pPr>
            <w:r w:rsidRPr="0065782D" w:rsidDel="006B2615">
              <w:rPr>
                <w:sz w:val="22"/>
                <w:szCs w:val="22"/>
                <w:lang w:val="en-US"/>
              </w:rPr>
              <w:t xml:space="preserve">Gastrointestinal disorders </w:t>
            </w:r>
          </w:p>
        </w:tc>
        <w:tc>
          <w:tcPr>
            <w:tcW w:w="1525" w:type="pct"/>
            <w:tcBorders>
              <w:top w:val="nil"/>
              <w:bottom w:val="nil"/>
              <w:right w:val="nil"/>
            </w:tcBorders>
          </w:tcPr>
          <w:p w14:paraId="2CFE87DE" w14:textId="0765770C" w:rsidR="00A455AE" w:rsidRPr="0065782D" w:rsidDel="006B2615" w:rsidRDefault="00A455AE" w:rsidP="00A455AE">
            <w:pPr>
              <w:pStyle w:val="Default"/>
              <w:spacing w:before="40" w:after="20"/>
              <w:rPr>
                <w:sz w:val="22"/>
                <w:szCs w:val="22"/>
                <w:lang w:val="en-US"/>
              </w:rPr>
            </w:pPr>
          </w:p>
        </w:tc>
        <w:tc>
          <w:tcPr>
            <w:tcW w:w="1865" w:type="pct"/>
            <w:tcBorders>
              <w:top w:val="nil"/>
              <w:bottom w:val="nil"/>
              <w:right w:val="nil"/>
            </w:tcBorders>
          </w:tcPr>
          <w:p w14:paraId="3BAF10D6" w14:textId="2D3B36B4" w:rsidR="00A455AE" w:rsidRPr="0065782D" w:rsidDel="006B2615" w:rsidRDefault="00A455AE" w:rsidP="00A455AE">
            <w:pPr>
              <w:pStyle w:val="Default"/>
              <w:spacing w:before="40" w:after="20"/>
              <w:rPr>
                <w:sz w:val="22"/>
                <w:szCs w:val="22"/>
                <w:lang w:val="en-US"/>
              </w:rPr>
            </w:pPr>
            <w:r w:rsidDel="006B2615">
              <w:rPr>
                <w:sz w:val="22"/>
                <w:szCs w:val="22"/>
                <w:lang w:val="en-US"/>
              </w:rPr>
              <w:t>N</w:t>
            </w:r>
            <w:r w:rsidRPr="0065782D" w:rsidDel="006B2615">
              <w:rPr>
                <w:sz w:val="22"/>
                <w:szCs w:val="22"/>
                <w:lang w:val="en-US"/>
              </w:rPr>
              <w:t>ausea</w:t>
            </w:r>
            <w:r w:rsidDel="006B2615">
              <w:rPr>
                <w:sz w:val="22"/>
                <w:szCs w:val="22"/>
                <w:lang w:val="en-US"/>
              </w:rPr>
              <w:t>; D</w:t>
            </w:r>
            <w:r w:rsidRPr="0065782D" w:rsidDel="006B2615">
              <w:rPr>
                <w:sz w:val="22"/>
                <w:szCs w:val="22"/>
                <w:lang w:val="en-US"/>
              </w:rPr>
              <w:t>iarrhoea</w:t>
            </w:r>
          </w:p>
        </w:tc>
      </w:tr>
      <w:tr w:rsidR="00A455AE" w:rsidRPr="0065782D" w:rsidDel="006B2615" w14:paraId="25872D83" w14:textId="3A9F7CB3" w:rsidTr="00A455AE">
        <w:trPr>
          <w:trHeight w:val="64"/>
        </w:trPr>
        <w:tc>
          <w:tcPr>
            <w:tcW w:w="1610" w:type="pct"/>
            <w:tcBorders>
              <w:top w:val="nil"/>
              <w:left w:val="nil"/>
              <w:bottom w:val="single" w:sz="4" w:space="0" w:color="auto"/>
              <w:right w:val="nil"/>
            </w:tcBorders>
          </w:tcPr>
          <w:p w14:paraId="30C252FE" w14:textId="7F29B1BA" w:rsidR="00A455AE" w:rsidRPr="0065782D" w:rsidDel="006B2615" w:rsidRDefault="00A455AE" w:rsidP="00A455AE">
            <w:pPr>
              <w:pStyle w:val="Default"/>
              <w:spacing w:before="40" w:after="20"/>
              <w:rPr>
                <w:sz w:val="22"/>
                <w:szCs w:val="22"/>
                <w:lang w:val="en-US"/>
              </w:rPr>
            </w:pPr>
            <w:r w:rsidDel="006B2615">
              <w:rPr>
                <w:sz w:val="22"/>
                <w:szCs w:val="22"/>
                <w:lang w:val="en-US"/>
              </w:rPr>
              <w:t>Psychiatric disorders</w:t>
            </w:r>
          </w:p>
        </w:tc>
        <w:tc>
          <w:tcPr>
            <w:tcW w:w="1525" w:type="pct"/>
            <w:tcBorders>
              <w:top w:val="nil"/>
              <w:bottom w:val="single" w:sz="4" w:space="0" w:color="auto"/>
              <w:right w:val="nil"/>
            </w:tcBorders>
          </w:tcPr>
          <w:p w14:paraId="29F6A055" w14:textId="7D9433E3" w:rsidR="00A455AE" w:rsidRPr="0065782D" w:rsidDel="006B2615" w:rsidRDefault="00A455AE" w:rsidP="00A455AE">
            <w:pPr>
              <w:pStyle w:val="Default"/>
              <w:spacing w:before="40" w:after="20"/>
              <w:rPr>
                <w:sz w:val="22"/>
                <w:szCs w:val="22"/>
                <w:lang w:val="en-US"/>
              </w:rPr>
            </w:pPr>
          </w:p>
        </w:tc>
        <w:tc>
          <w:tcPr>
            <w:tcW w:w="1865" w:type="pct"/>
            <w:tcBorders>
              <w:top w:val="nil"/>
              <w:bottom w:val="single" w:sz="4" w:space="0" w:color="auto"/>
              <w:right w:val="nil"/>
            </w:tcBorders>
          </w:tcPr>
          <w:p w14:paraId="7571B059" w14:textId="52204262" w:rsidR="00A455AE" w:rsidRPr="0065782D" w:rsidDel="006B2615" w:rsidRDefault="00A455AE" w:rsidP="00A455AE">
            <w:pPr>
              <w:pStyle w:val="Default"/>
              <w:spacing w:before="40" w:after="20"/>
              <w:rPr>
                <w:sz w:val="22"/>
                <w:szCs w:val="22"/>
                <w:lang w:val="en-US"/>
              </w:rPr>
            </w:pPr>
            <w:r w:rsidDel="006B2615">
              <w:rPr>
                <w:sz w:val="22"/>
                <w:szCs w:val="22"/>
                <w:lang w:val="en-US"/>
              </w:rPr>
              <w:t>Mental status changes</w:t>
            </w:r>
            <w:r w:rsidRPr="00672EB5" w:rsidDel="006B2615">
              <w:rPr>
                <w:sz w:val="22"/>
                <w:szCs w:val="22"/>
                <w:vertAlign w:val="superscript"/>
                <w:lang w:val="en-US"/>
              </w:rPr>
              <w:t>1</w:t>
            </w:r>
          </w:p>
        </w:tc>
      </w:tr>
    </w:tbl>
    <w:p w14:paraId="4DE9B2B6" w14:textId="4C61B810" w:rsidR="00A455AE" w:rsidDel="006B2615" w:rsidRDefault="00A455AE" w:rsidP="00A455AE">
      <w:pPr>
        <w:rPr>
          <w:rFonts w:ascii="Arial" w:hAnsi="Arial" w:cs="Arial"/>
          <w:color w:val="211D1E"/>
          <w:sz w:val="18"/>
          <w:szCs w:val="18"/>
        </w:rPr>
      </w:pPr>
      <w:r w:rsidDel="006B2615">
        <w:rPr>
          <w:color w:val="211D1E"/>
          <w:szCs w:val="22"/>
          <w:vertAlign w:val="superscript"/>
        </w:rPr>
        <w:t xml:space="preserve">1 </w:t>
      </w:r>
      <w:r w:rsidRPr="00672EB5" w:rsidDel="006B2615">
        <w:rPr>
          <w:color w:val="211D1E"/>
          <w:sz w:val="18"/>
          <w:szCs w:val="18"/>
        </w:rPr>
        <w:t>Mental Status Change</w:t>
      </w:r>
      <w:r w:rsidDel="006B2615">
        <w:rPr>
          <w:color w:val="211D1E"/>
          <w:sz w:val="18"/>
          <w:szCs w:val="18"/>
        </w:rPr>
        <w:t>s</w:t>
      </w:r>
      <w:r w:rsidRPr="00672EB5" w:rsidDel="006B2615">
        <w:rPr>
          <w:color w:val="211D1E"/>
          <w:sz w:val="18"/>
          <w:szCs w:val="18"/>
        </w:rPr>
        <w:t xml:space="preserve"> included </w:t>
      </w:r>
      <w:r w:rsidDel="006B2615">
        <w:rPr>
          <w:color w:val="211D1E"/>
          <w:sz w:val="18"/>
          <w:szCs w:val="18"/>
        </w:rPr>
        <w:t xml:space="preserve">MedDRA </w:t>
      </w:r>
      <w:r w:rsidRPr="00672EB5" w:rsidDel="006B2615">
        <w:rPr>
          <w:color w:val="211D1E"/>
          <w:sz w:val="18"/>
          <w:szCs w:val="18"/>
        </w:rPr>
        <w:t>preferred terms of confusional state and mental status change</w:t>
      </w:r>
      <w:r w:rsidDel="006B2615">
        <w:rPr>
          <w:color w:val="211D1E"/>
          <w:sz w:val="18"/>
          <w:szCs w:val="18"/>
        </w:rPr>
        <w:t>s</w:t>
      </w:r>
      <w:r w:rsidRPr="00672EB5" w:rsidDel="006B2615">
        <w:rPr>
          <w:rFonts w:ascii="Arial" w:hAnsi="Arial" w:cs="Arial"/>
          <w:color w:val="211D1E"/>
          <w:sz w:val="18"/>
          <w:szCs w:val="18"/>
        </w:rPr>
        <w:t>.</w:t>
      </w:r>
    </w:p>
    <w:p w14:paraId="1F854642" w14:textId="612F37F2" w:rsidR="00484124" w:rsidRDefault="00484124" w:rsidP="00A455AE">
      <w:pPr>
        <w:rPr>
          <w:rFonts w:ascii="Arial" w:hAnsi="Arial" w:cs="Arial"/>
          <w:color w:val="211D1E"/>
          <w:sz w:val="18"/>
          <w:szCs w:val="18"/>
        </w:rPr>
      </w:pPr>
    </w:p>
    <w:p w14:paraId="61FF75EF" w14:textId="0998CBDA" w:rsidR="005706E0" w:rsidRDefault="005706E0" w:rsidP="00A455AE">
      <w:pPr>
        <w:rPr>
          <w:szCs w:val="24"/>
        </w:rPr>
      </w:pPr>
    </w:p>
    <w:p w14:paraId="45D11594" w14:textId="33D96C61" w:rsidR="005706E0" w:rsidRDefault="005706E0" w:rsidP="00A455AE">
      <w:pPr>
        <w:rPr>
          <w:szCs w:val="24"/>
          <w:u w:val="single"/>
        </w:rPr>
      </w:pPr>
      <w:bookmarkStart w:id="16" w:name="_Hlk117492987"/>
      <w:r>
        <w:rPr>
          <w:szCs w:val="24"/>
          <w:u w:val="single"/>
        </w:rPr>
        <w:t>Undesirable Effects from Post-Marketing Spontaneous Reporting</w:t>
      </w:r>
    </w:p>
    <w:p w14:paraId="371F9D6E" w14:textId="77777777" w:rsidR="005706E0" w:rsidRPr="005706E0" w:rsidRDefault="005706E0" w:rsidP="00A455AE">
      <w:pPr>
        <w:rPr>
          <w:szCs w:val="24"/>
          <w:u w:val="single"/>
        </w:rPr>
      </w:pPr>
    </w:p>
    <w:p w14:paraId="1D8280B4" w14:textId="132694DD" w:rsidR="005706E0" w:rsidRDefault="005706E0" w:rsidP="005706E0">
      <w:pPr>
        <w:rPr>
          <w:szCs w:val="24"/>
        </w:rPr>
      </w:pPr>
      <w:r w:rsidRPr="00A667AD">
        <w:rPr>
          <w:szCs w:val="24"/>
        </w:rPr>
        <w:t>In patients receiving difelikefalin</w:t>
      </w:r>
      <w:r w:rsidR="00C15E26">
        <w:rPr>
          <w:szCs w:val="24"/>
        </w:rPr>
        <w:t xml:space="preserve">, </w:t>
      </w:r>
      <w:r w:rsidR="00C15E26">
        <w:t>Drug Reaction with Eosinophilia and Systemic Symptoms</w:t>
      </w:r>
      <w:r w:rsidRPr="00A667AD">
        <w:rPr>
          <w:szCs w:val="24"/>
        </w:rPr>
        <w:t xml:space="preserve"> </w:t>
      </w:r>
      <w:r w:rsidR="00C15E26">
        <w:rPr>
          <w:szCs w:val="24"/>
        </w:rPr>
        <w:t>(</w:t>
      </w:r>
      <w:r w:rsidRPr="00A667AD">
        <w:rPr>
          <w:szCs w:val="24"/>
        </w:rPr>
        <w:t>DRESS</w:t>
      </w:r>
      <w:r w:rsidR="00C15E26">
        <w:rPr>
          <w:szCs w:val="24"/>
        </w:rPr>
        <w:t>)</w:t>
      </w:r>
      <w:r w:rsidRPr="00A667AD">
        <w:rPr>
          <w:szCs w:val="24"/>
        </w:rPr>
        <w:t xml:space="preserve"> has been reported in only </w:t>
      </w:r>
      <w:r w:rsidR="00C15E26">
        <w:rPr>
          <w:szCs w:val="24"/>
        </w:rPr>
        <w:t>one</w:t>
      </w:r>
      <w:r w:rsidRPr="00A667AD">
        <w:rPr>
          <w:szCs w:val="24"/>
        </w:rPr>
        <w:t xml:space="preserve"> individual case report, and a causal relationship is yet to be established.</w:t>
      </w:r>
    </w:p>
    <w:bookmarkEnd w:id="16"/>
    <w:p w14:paraId="2F4EF1DC" w14:textId="77777777" w:rsidR="00500C47" w:rsidRDefault="00500C47" w:rsidP="00A455AE">
      <w:pPr>
        <w:rPr>
          <w:szCs w:val="24"/>
        </w:rPr>
      </w:pPr>
    </w:p>
    <w:p w14:paraId="33730AC1" w14:textId="5BBA1103" w:rsidR="00033D26" w:rsidRDefault="001F0D03" w:rsidP="00B25705">
      <w:pPr>
        <w:rPr>
          <w:szCs w:val="22"/>
          <w:u w:val="single"/>
        </w:rPr>
      </w:pPr>
      <w:r w:rsidRPr="00B3208E">
        <w:rPr>
          <w:szCs w:val="22"/>
          <w:u w:val="single"/>
        </w:rPr>
        <w:t>Reporting of suspected adverse reactions</w:t>
      </w:r>
    </w:p>
    <w:p w14:paraId="42EBBEB6" w14:textId="77777777" w:rsidR="0086347E" w:rsidRPr="00B3208E" w:rsidRDefault="0086347E" w:rsidP="00B25705">
      <w:pPr>
        <w:rPr>
          <w:szCs w:val="22"/>
          <w:u w:val="single"/>
        </w:rPr>
      </w:pPr>
    </w:p>
    <w:p w14:paraId="37A6828E" w14:textId="77777777" w:rsidR="005812DA" w:rsidRPr="0098782E" w:rsidRDefault="005812DA" w:rsidP="005812DA">
      <w:pPr>
        <w:rPr>
          <w:szCs w:val="24"/>
        </w:rPr>
      </w:pPr>
      <w:r w:rsidRPr="0098782E">
        <w:rPr>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764395">
          <w:rPr>
            <w:rStyle w:val="Hyperlink"/>
            <w:szCs w:val="24"/>
          </w:rPr>
          <w:t>www.tga.gov.au/reporting-problems</w:t>
        </w:r>
      </w:hyperlink>
      <w:r>
        <w:rPr>
          <w:szCs w:val="24"/>
        </w:rPr>
        <w:t xml:space="preserve"> </w:t>
      </w:r>
    </w:p>
    <w:p w14:paraId="0FB372B9" w14:textId="77777777" w:rsidR="008D35AD" w:rsidRPr="00A3136F" w:rsidRDefault="008D35AD" w:rsidP="00204AAB">
      <w:pPr>
        <w:spacing w:line="240" w:lineRule="auto"/>
        <w:rPr>
          <w:noProof/>
          <w:szCs w:val="22"/>
        </w:rPr>
      </w:pPr>
    </w:p>
    <w:p w14:paraId="7244E67D" w14:textId="24E4CABB" w:rsidR="00812D16" w:rsidRPr="00412450" w:rsidRDefault="005812DA" w:rsidP="00AD6051">
      <w:pPr>
        <w:pStyle w:val="Heading2"/>
        <w:rPr>
          <w:noProof/>
        </w:rPr>
      </w:pPr>
      <w:r>
        <w:rPr>
          <w:noProof/>
        </w:rPr>
        <w:t>OVERDOSE</w:t>
      </w:r>
    </w:p>
    <w:p w14:paraId="584B4DF5" w14:textId="77777777" w:rsidR="00812D16" w:rsidRPr="00FF01BC" w:rsidRDefault="00812D16" w:rsidP="00AD6051">
      <w:pPr>
        <w:rPr>
          <w:rFonts w:eastAsia="SimSun"/>
          <w:lang w:val="en-US" w:eastAsia="en-GB"/>
        </w:rPr>
      </w:pPr>
    </w:p>
    <w:p w14:paraId="02A8CE4D" w14:textId="77777777" w:rsidR="004532A0" w:rsidRPr="00AD6051" w:rsidRDefault="004532A0" w:rsidP="00AD6051">
      <w:pPr>
        <w:rPr>
          <w:rFonts w:eastAsia="SimSun"/>
          <w:szCs w:val="24"/>
          <w:lang w:val="en-US" w:eastAsia="en-GB"/>
        </w:rPr>
      </w:pPr>
      <w:r w:rsidRPr="00AD6051">
        <w:rPr>
          <w:rFonts w:eastAsia="SimSun"/>
          <w:szCs w:val="24"/>
          <w:lang w:val="en-US" w:eastAsia="en-GB"/>
        </w:rPr>
        <w:t xml:space="preserve">Single dose of difelikefalin up to 12 times and multiple doses of difelikefalin up to 5 times the clinical dose of 0.5 mcg/kg were administered in clinical studies in patients undergoing </w:t>
      </w:r>
      <w:r w:rsidRPr="00AD6051">
        <w:rPr>
          <w:rFonts w:eastAsia="SimSun"/>
          <w:szCs w:val="24"/>
          <w:lang w:val="en-US" w:eastAsia="en-GB"/>
        </w:rPr>
        <w:lastRenderedPageBreak/>
        <w:t>haemodialysis. A dose-dependent increase in adverse events including dizziness, somnolence, mental status changes, paraesthesia, fatigue, hypertension, and vomiting, was observed.</w:t>
      </w:r>
    </w:p>
    <w:p w14:paraId="07AD9375" w14:textId="77777777" w:rsidR="00627C73" w:rsidRDefault="00627C73" w:rsidP="00AD6051">
      <w:pPr>
        <w:rPr>
          <w:rFonts w:eastAsia="SimSun"/>
          <w:szCs w:val="24"/>
          <w:lang w:val="en-US" w:eastAsia="en-GB"/>
        </w:rPr>
      </w:pPr>
    </w:p>
    <w:p w14:paraId="20FF031E" w14:textId="2310CDD6" w:rsidR="004532A0" w:rsidRPr="00AD6051" w:rsidRDefault="004532A0" w:rsidP="00AD6051">
      <w:pPr>
        <w:rPr>
          <w:rFonts w:eastAsia="SimSun"/>
          <w:szCs w:val="24"/>
          <w:lang w:val="en-US" w:eastAsia="en-GB"/>
        </w:rPr>
      </w:pPr>
      <w:r w:rsidRPr="00AD6051">
        <w:rPr>
          <w:rFonts w:eastAsia="SimSun"/>
          <w:szCs w:val="24"/>
          <w:lang w:val="en-US" w:eastAsia="en-GB"/>
        </w:rPr>
        <w:t xml:space="preserve">In the event of overdose, provide the appropriate medical attention based on patient’s clinical status. </w:t>
      </w:r>
      <w:r w:rsidR="00625BA9" w:rsidRPr="00481D52">
        <w:rPr>
          <w:rFonts w:eastAsia="SimSun"/>
          <w:color w:val="000000"/>
          <w:szCs w:val="24"/>
          <w:lang w:eastAsia="en-GB"/>
        </w:rPr>
        <w:t>Haemodialysis for 4 hours using a high-flux dialyzer effectively cleared approximately 70</w:t>
      </w:r>
      <w:r w:rsidR="00625BA9" w:rsidRPr="00481D52">
        <w:rPr>
          <w:rFonts w:eastAsia="SimSun"/>
          <w:color w:val="000000"/>
          <w:szCs w:val="24"/>
          <w:lang w:eastAsia="en-GB"/>
        </w:rPr>
        <w:noBreakHyphen/>
        <w:t>80% of difelikefalin from plasma, and difelikefalin was not detectable in plasma at the end of the second of two dialysis cycles (see section 5.2</w:t>
      </w:r>
      <w:r w:rsidR="007E786C">
        <w:rPr>
          <w:rFonts w:eastAsia="SimSun"/>
          <w:color w:val="000000"/>
          <w:szCs w:val="24"/>
          <w:lang w:eastAsia="en-GB"/>
        </w:rPr>
        <w:t xml:space="preserve"> Pharmacokinetic Prope</w:t>
      </w:r>
      <w:r w:rsidR="002523F8">
        <w:rPr>
          <w:rFonts w:eastAsia="SimSun"/>
          <w:color w:val="000000"/>
          <w:szCs w:val="24"/>
          <w:lang w:eastAsia="en-GB"/>
        </w:rPr>
        <w:t>r</w:t>
      </w:r>
      <w:r w:rsidR="007E786C">
        <w:rPr>
          <w:rFonts w:eastAsia="SimSun"/>
          <w:color w:val="000000"/>
          <w:szCs w:val="24"/>
          <w:lang w:eastAsia="en-GB"/>
        </w:rPr>
        <w:t>ties</w:t>
      </w:r>
      <w:r w:rsidR="00625BA9" w:rsidRPr="00481D52">
        <w:rPr>
          <w:rFonts w:eastAsia="SimSun"/>
          <w:color w:val="000000"/>
          <w:szCs w:val="24"/>
          <w:lang w:eastAsia="en-GB"/>
        </w:rPr>
        <w:t>)</w:t>
      </w:r>
      <w:r w:rsidRPr="00AD6051">
        <w:rPr>
          <w:rFonts w:eastAsia="SimSun"/>
          <w:szCs w:val="24"/>
          <w:lang w:val="en-US" w:eastAsia="en-GB"/>
        </w:rPr>
        <w:t xml:space="preserve">. </w:t>
      </w:r>
    </w:p>
    <w:p w14:paraId="4B384F83" w14:textId="4A4F407C" w:rsidR="00364A36" w:rsidRDefault="00364A36" w:rsidP="00AD6051">
      <w:pPr>
        <w:rPr>
          <w:rFonts w:eastAsia="SimSun"/>
          <w:sz w:val="22"/>
          <w:lang w:val="en-US" w:eastAsia="en-GB"/>
        </w:rPr>
      </w:pPr>
    </w:p>
    <w:p w14:paraId="3DA2E6E4" w14:textId="77777777" w:rsidR="00364A36" w:rsidRPr="0098782E" w:rsidRDefault="00364A36" w:rsidP="00AD6051">
      <w:pPr>
        <w:rPr>
          <w:szCs w:val="24"/>
        </w:rPr>
      </w:pPr>
      <w:r w:rsidRPr="0098782E">
        <w:rPr>
          <w:szCs w:val="24"/>
        </w:rPr>
        <w:t>For information on the management of overdose, contact the Poisons Information Centre on 13 11 26 (Australia).</w:t>
      </w:r>
    </w:p>
    <w:p w14:paraId="37641FAC" w14:textId="77777777" w:rsidR="00674492" w:rsidRPr="00FE1BD0" w:rsidRDefault="00674492" w:rsidP="00674492">
      <w:pPr>
        <w:spacing w:line="240" w:lineRule="auto"/>
        <w:rPr>
          <w:noProof/>
          <w:szCs w:val="22"/>
        </w:rPr>
      </w:pPr>
    </w:p>
    <w:p w14:paraId="171FE952" w14:textId="77777777" w:rsidR="00FE1BD0" w:rsidRPr="00FE1BD0" w:rsidRDefault="00FE1BD0" w:rsidP="00674492">
      <w:pPr>
        <w:spacing w:line="240" w:lineRule="auto"/>
        <w:rPr>
          <w:noProof/>
          <w:szCs w:val="22"/>
        </w:rPr>
      </w:pPr>
    </w:p>
    <w:p w14:paraId="3E46AE7B" w14:textId="78423AA7" w:rsidR="00812D16" w:rsidRPr="006B4557" w:rsidRDefault="001F0D03" w:rsidP="00AD6051">
      <w:pPr>
        <w:pStyle w:val="Heading1"/>
      </w:pPr>
      <w:r w:rsidRPr="006B4557">
        <w:t>PHARMACOLOGICAL PROPERTIES</w:t>
      </w:r>
    </w:p>
    <w:p w14:paraId="38A0674C" w14:textId="77777777" w:rsidR="00812D16" w:rsidRPr="006B4557" w:rsidRDefault="00812D16" w:rsidP="00204AAB">
      <w:pPr>
        <w:spacing w:line="240" w:lineRule="auto"/>
      </w:pPr>
    </w:p>
    <w:p w14:paraId="7CA79470" w14:textId="310213CC" w:rsidR="00812D16" w:rsidRPr="006B4557" w:rsidRDefault="008C2461" w:rsidP="00AD6051">
      <w:pPr>
        <w:pStyle w:val="Heading2"/>
      </w:pPr>
      <w:r>
        <w:t>PHARMACODYNAMIC PROPERTIES</w:t>
      </w:r>
    </w:p>
    <w:p w14:paraId="43F697FB" w14:textId="77777777" w:rsidR="00812D16" w:rsidRPr="006B4557" w:rsidRDefault="00812D16" w:rsidP="00204AAB">
      <w:pPr>
        <w:spacing w:line="240" w:lineRule="auto"/>
      </w:pPr>
    </w:p>
    <w:p w14:paraId="694DA401" w14:textId="56B54137" w:rsidR="004532A0" w:rsidRPr="00D84542" w:rsidRDefault="004532A0" w:rsidP="00AD6051">
      <w:r w:rsidRPr="00D84542">
        <w:t xml:space="preserve">Pharmacotherapeutic group: </w:t>
      </w:r>
      <w:r w:rsidRPr="00D84542">
        <w:rPr>
          <w:bCs/>
        </w:rPr>
        <w:t>other therapeutic product</w:t>
      </w:r>
      <w:r w:rsidRPr="00D84542">
        <w:t xml:space="preserve">, ATC code: </w:t>
      </w:r>
      <w:bookmarkStart w:id="17" w:name="OLE_LINK4"/>
      <w:r w:rsidR="005A54D3">
        <w:rPr>
          <w:sz w:val="22"/>
          <w:szCs w:val="22"/>
        </w:rPr>
        <w:t>V03AX04</w:t>
      </w:r>
      <w:bookmarkEnd w:id="17"/>
    </w:p>
    <w:p w14:paraId="0B419795" w14:textId="77777777" w:rsidR="00812D16" w:rsidRPr="00F05B66" w:rsidRDefault="00812D16" w:rsidP="00204AAB">
      <w:pPr>
        <w:spacing w:line="240" w:lineRule="auto"/>
        <w:rPr>
          <w:noProof/>
          <w:szCs w:val="22"/>
        </w:rPr>
      </w:pPr>
    </w:p>
    <w:p w14:paraId="517CD1DD" w14:textId="77777777" w:rsidR="004532A0" w:rsidRDefault="004532A0" w:rsidP="00837114">
      <w:pPr>
        <w:pStyle w:val="Heading3"/>
        <w:keepNext/>
      </w:pPr>
      <w:r w:rsidRPr="00D84542">
        <w:t>Mechanism of action</w:t>
      </w:r>
    </w:p>
    <w:p w14:paraId="3C8BE234" w14:textId="77777777" w:rsidR="004532A0" w:rsidRPr="00D84542" w:rsidRDefault="004532A0" w:rsidP="00837114">
      <w:pPr>
        <w:keepNext/>
        <w:autoSpaceDE w:val="0"/>
        <w:autoSpaceDN w:val="0"/>
        <w:adjustRightInd w:val="0"/>
        <w:spacing w:line="240" w:lineRule="auto"/>
        <w:rPr>
          <w:color w:val="000000"/>
          <w:szCs w:val="22"/>
        </w:rPr>
      </w:pPr>
    </w:p>
    <w:p w14:paraId="4467CFAB" w14:textId="79F6A30F" w:rsidR="00A2496F" w:rsidRDefault="00A2496F" w:rsidP="00837114">
      <w:pPr>
        <w:keepNext/>
        <w:autoSpaceDE w:val="0"/>
        <w:autoSpaceDN w:val="0"/>
        <w:adjustRightInd w:val="0"/>
        <w:rPr>
          <w:szCs w:val="24"/>
        </w:rPr>
      </w:pPr>
      <w:r w:rsidRPr="00481D52">
        <w:rPr>
          <w:szCs w:val="24"/>
        </w:rPr>
        <w:t>Difelikefalin is a selective kappa opioid receptor agonist with low central nervous system penetration.</w:t>
      </w:r>
      <w:r w:rsidR="00677DF3">
        <w:rPr>
          <w:szCs w:val="24"/>
        </w:rPr>
        <w:t xml:space="preserve"> </w:t>
      </w:r>
    </w:p>
    <w:p w14:paraId="5E3ABC0A" w14:textId="77777777" w:rsidR="00481D52" w:rsidRPr="00481D52" w:rsidRDefault="00481D52" w:rsidP="00A2496F">
      <w:pPr>
        <w:autoSpaceDE w:val="0"/>
        <w:autoSpaceDN w:val="0"/>
        <w:adjustRightInd w:val="0"/>
        <w:rPr>
          <w:szCs w:val="24"/>
        </w:rPr>
      </w:pPr>
    </w:p>
    <w:p w14:paraId="5D96B2CE" w14:textId="0293B6D9" w:rsidR="00A2496F" w:rsidRDefault="00A2496F" w:rsidP="00A2496F">
      <w:pPr>
        <w:autoSpaceDE w:val="0"/>
        <w:autoSpaceDN w:val="0"/>
        <w:adjustRightInd w:val="0"/>
        <w:rPr>
          <w:color w:val="000000" w:themeColor="text1"/>
          <w:szCs w:val="24"/>
        </w:rPr>
      </w:pPr>
      <w:r w:rsidRPr="00481D52">
        <w:rPr>
          <w:rFonts w:eastAsia="SymbolMT"/>
          <w:szCs w:val="24"/>
        </w:rPr>
        <w:t>The</w:t>
      </w:r>
      <w:r w:rsidRPr="00481D52">
        <w:rPr>
          <w:szCs w:val="24"/>
        </w:rPr>
        <w:t xml:space="preserve"> physicochemical properties of difelikefalin (hydrophilic, synthetic D-amino acid peptide with high polar surface area and charge at physiological pH) minimi</w:t>
      </w:r>
      <w:r w:rsidR="00DC402E">
        <w:rPr>
          <w:szCs w:val="24"/>
        </w:rPr>
        <w:t>s</w:t>
      </w:r>
      <w:r w:rsidRPr="00481D52">
        <w:rPr>
          <w:szCs w:val="24"/>
        </w:rPr>
        <w:t xml:space="preserve">e its </w:t>
      </w:r>
      <w:r w:rsidRPr="00481D52">
        <w:rPr>
          <w:color w:val="000000" w:themeColor="text1"/>
          <w:szCs w:val="24"/>
        </w:rPr>
        <w:t xml:space="preserve">passive diffusion (permeability) and active transport across membranes, thus limiting penetration into the </w:t>
      </w:r>
      <w:r w:rsidRPr="00481D52">
        <w:rPr>
          <w:szCs w:val="24"/>
        </w:rPr>
        <w:t>central nervous system</w:t>
      </w:r>
      <w:r w:rsidRPr="00481D52">
        <w:rPr>
          <w:color w:val="000000" w:themeColor="text1"/>
          <w:szCs w:val="24"/>
        </w:rPr>
        <w:t xml:space="preserve">. </w:t>
      </w:r>
    </w:p>
    <w:p w14:paraId="31B093E0" w14:textId="77777777" w:rsidR="00481D52" w:rsidRPr="00481D52" w:rsidRDefault="00481D52" w:rsidP="00A2496F">
      <w:pPr>
        <w:autoSpaceDE w:val="0"/>
        <w:autoSpaceDN w:val="0"/>
        <w:adjustRightInd w:val="0"/>
        <w:rPr>
          <w:color w:val="000000" w:themeColor="text1"/>
          <w:szCs w:val="24"/>
        </w:rPr>
      </w:pPr>
    </w:p>
    <w:p w14:paraId="352FDF0F" w14:textId="77777777" w:rsidR="0025464A" w:rsidRDefault="00A2496F" w:rsidP="00A2496F">
      <w:pPr>
        <w:pStyle w:val="CommentText"/>
        <w:rPr>
          <w:rFonts w:eastAsia="SimSun"/>
          <w:color w:val="000000" w:themeColor="text1"/>
          <w:sz w:val="24"/>
          <w:szCs w:val="24"/>
          <w:lang w:eastAsia="en-GB"/>
        </w:rPr>
      </w:pPr>
      <w:r w:rsidRPr="00481D52">
        <w:rPr>
          <w:rFonts w:eastAsia="SimSun"/>
          <w:color w:val="000000"/>
          <w:sz w:val="24"/>
          <w:szCs w:val="24"/>
          <w:lang w:eastAsia="en-GB"/>
        </w:rPr>
        <w:t>The pathophysiology</w:t>
      </w:r>
      <w:r w:rsidRPr="00481D52">
        <w:rPr>
          <w:rFonts w:eastAsia="SimSun"/>
          <w:color w:val="000000" w:themeColor="text1"/>
          <w:sz w:val="24"/>
          <w:szCs w:val="24"/>
          <w:lang w:eastAsia="en-GB"/>
        </w:rPr>
        <w:t xml:space="preserve"> of chronic kidney disease</w:t>
      </w:r>
      <w:r w:rsidRPr="00481D52">
        <w:rPr>
          <w:rFonts w:eastAsia="SimSun"/>
          <w:color w:val="000000" w:themeColor="text1"/>
          <w:sz w:val="24"/>
          <w:szCs w:val="24"/>
          <w:lang w:eastAsia="en-GB"/>
        </w:rPr>
        <w:noBreakHyphen/>
        <w:t xml:space="preserve">associated pruritus is thought to be multifactorial, including systemic inflammation and an imbalance in the endogenous opioid system (e.g., overexpression of mu opioid receptors and concomitant downregulation of kappa opioid receptors). </w:t>
      </w:r>
    </w:p>
    <w:p w14:paraId="24DCDE96" w14:textId="77777777" w:rsidR="0025464A" w:rsidRDefault="0025464A" w:rsidP="00A2496F">
      <w:pPr>
        <w:pStyle w:val="CommentText"/>
        <w:rPr>
          <w:rFonts w:eastAsia="SimSun"/>
          <w:color w:val="000000" w:themeColor="text1"/>
          <w:sz w:val="24"/>
          <w:szCs w:val="24"/>
          <w:lang w:eastAsia="en-GB"/>
        </w:rPr>
      </w:pPr>
    </w:p>
    <w:p w14:paraId="795660F3" w14:textId="088D03F1" w:rsidR="00A2496F" w:rsidRDefault="00A2496F" w:rsidP="00A2496F">
      <w:pPr>
        <w:pStyle w:val="CommentText"/>
        <w:rPr>
          <w:rFonts w:eastAsia="SimSun"/>
          <w:color w:val="000000" w:themeColor="text1"/>
          <w:sz w:val="24"/>
          <w:szCs w:val="24"/>
          <w:lang w:eastAsia="en-GB"/>
        </w:rPr>
      </w:pPr>
      <w:r w:rsidRPr="00481D52">
        <w:rPr>
          <w:rFonts w:eastAsia="SimSun"/>
          <w:color w:val="000000" w:themeColor="text1"/>
          <w:sz w:val="24"/>
          <w:szCs w:val="24"/>
          <w:lang w:eastAsia="en-GB"/>
        </w:rPr>
        <w:t>Opioid receptors are known to modulate itch signals and inflammation, with kappa opioid receptor activation reducing itch and producing immunomodulatory effects.</w:t>
      </w:r>
    </w:p>
    <w:p w14:paraId="69101B67" w14:textId="77777777" w:rsidR="00481D52" w:rsidRPr="00481D52" w:rsidRDefault="00481D52" w:rsidP="00A2496F">
      <w:pPr>
        <w:pStyle w:val="CommentText"/>
        <w:rPr>
          <w:rFonts w:eastAsia="SimSun"/>
          <w:color w:val="000000" w:themeColor="text1"/>
          <w:sz w:val="24"/>
          <w:szCs w:val="24"/>
          <w:lang w:eastAsia="en-GB"/>
        </w:rPr>
      </w:pPr>
    </w:p>
    <w:p w14:paraId="01D23B80" w14:textId="79F794F0" w:rsidR="00A2496F" w:rsidRDefault="00A2496F" w:rsidP="00A2496F">
      <w:pPr>
        <w:spacing w:line="240" w:lineRule="auto"/>
        <w:rPr>
          <w:rFonts w:eastAsia="SimSun"/>
          <w:color w:val="000000" w:themeColor="text1"/>
          <w:szCs w:val="24"/>
          <w:lang w:eastAsia="en-GB"/>
        </w:rPr>
      </w:pPr>
      <w:r w:rsidRPr="00481D52">
        <w:rPr>
          <w:rFonts w:eastAsia="SimSun"/>
          <w:color w:val="000000" w:themeColor="text1"/>
          <w:szCs w:val="24"/>
          <w:lang w:eastAsia="en-GB"/>
        </w:rPr>
        <w:t>The activation of kappa opioid receptors on peripheral sensory neurons and immune cells by difelikefalin are considered mechanistically responsible for the antipruritic and anti-inflammatory effects.</w:t>
      </w:r>
    </w:p>
    <w:p w14:paraId="2A19A2E4" w14:textId="019CE888" w:rsidR="00DC402E" w:rsidRPr="00397EB1" w:rsidRDefault="00DC402E" w:rsidP="00A2496F">
      <w:pPr>
        <w:spacing w:line="240" w:lineRule="auto"/>
        <w:rPr>
          <w:rFonts w:eastAsia="SimSun"/>
          <w:szCs w:val="24"/>
          <w:lang w:eastAsia="en-GB"/>
        </w:rPr>
      </w:pPr>
    </w:p>
    <w:p w14:paraId="10B0F248" w14:textId="640B7C30" w:rsidR="00C30F95" w:rsidRPr="00397EB1" w:rsidRDefault="00C30F95" w:rsidP="00C30F95">
      <w:pPr>
        <w:pStyle w:val="BodyText"/>
        <w:spacing w:before="10"/>
        <w:rPr>
          <w:color w:val="auto"/>
        </w:rPr>
      </w:pPr>
      <w:r w:rsidRPr="00397EB1">
        <w:rPr>
          <w:i w:val="0"/>
          <w:color w:val="auto"/>
        </w:rPr>
        <w:t>Abuse and dependence potential has been examined in rat studies, which do not indicate</w:t>
      </w:r>
    </w:p>
    <w:p w14:paraId="7B914FD7" w14:textId="076FB8A6" w:rsidR="00C30F95" w:rsidRPr="00397EB1" w:rsidRDefault="00C30F95" w:rsidP="00C30F95">
      <w:pPr>
        <w:spacing w:line="240" w:lineRule="auto"/>
        <w:rPr>
          <w:rFonts w:eastAsia="SimSun"/>
          <w:szCs w:val="24"/>
          <w:lang w:eastAsia="en-GB"/>
        </w:rPr>
      </w:pPr>
      <w:r w:rsidRPr="00397EB1">
        <w:t xml:space="preserve"> likely potential for physical dependence or abuse in rats.</w:t>
      </w:r>
    </w:p>
    <w:p w14:paraId="77638C3C" w14:textId="30E0C9ED" w:rsidR="004532A0" w:rsidRPr="000B2A2A" w:rsidRDefault="004532A0" w:rsidP="004532A0">
      <w:pPr>
        <w:autoSpaceDE w:val="0"/>
        <w:autoSpaceDN w:val="0"/>
        <w:adjustRightInd w:val="0"/>
        <w:spacing w:line="240" w:lineRule="auto"/>
        <w:rPr>
          <w:color w:val="000000"/>
          <w:szCs w:val="22"/>
        </w:rPr>
      </w:pPr>
    </w:p>
    <w:p w14:paraId="4107D14F" w14:textId="77371A05" w:rsidR="004532A0" w:rsidRPr="00D84542" w:rsidRDefault="00364A36" w:rsidP="00AD6051">
      <w:pPr>
        <w:pStyle w:val="Heading3"/>
      </w:pPr>
      <w:r>
        <w:t>Clinical Trials</w:t>
      </w:r>
    </w:p>
    <w:p w14:paraId="63F592BF" w14:textId="77777777" w:rsidR="004532A0" w:rsidRPr="00D84542" w:rsidRDefault="004532A0" w:rsidP="004532A0">
      <w:pPr>
        <w:autoSpaceDE w:val="0"/>
        <w:autoSpaceDN w:val="0"/>
        <w:adjustRightInd w:val="0"/>
        <w:spacing w:line="240" w:lineRule="auto"/>
        <w:rPr>
          <w:color w:val="000000"/>
          <w:szCs w:val="22"/>
          <w:u w:val="single"/>
        </w:rPr>
      </w:pPr>
    </w:p>
    <w:p w14:paraId="5F0B9B6D" w14:textId="77777777" w:rsidR="004532A0" w:rsidRDefault="004532A0" w:rsidP="004532A0">
      <w:pPr>
        <w:autoSpaceDE w:val="0"/>
        <w:autoSpaceDN w:val="0"/>
        <w:adjustRightInd w:val="0"/>
        <w:spacing w:line="240" w:lineRule="auto"/>
        <w:rPr>
          <w:i/>
          <w:color w:val="000000"/>
          <w:szCs w:val="22"/>
        </w:rPr>
      </w:pPr>
      <w:r w:rsidRPr="004A4168">
        <w:rPr>
          <w:i/>
          <w:color w:val="000000"/>
          <w:szCs w:val="22"/>
        </w:rPr>
        <w:t>Placebo</w:t>
      </w:r>
      <w:r>
        <w:rPr>
          <w:i/>
          <w:color w:val="000000"/>
          <w:szCs w:val="22"/>
        </w:rPr>
        <w:noBreakHyphen/>
      </w:r>
      <w:r w:rsidRPr="004A4168">
        <w:rPr>
          <w:i/>
          <w:color w:val="000000"/>
          <w:szCs w:val="22"/>
        </w:rPr>
        <w:t>controlled studies</w:t>
      </w:r>
    </w:p>
    <w:p w14:paraId="5B568FF8" w14:textId="77777777" w:rsidR="004532A0" w:rsidRPr="00D84542" w:rsidRDefault="004532A0" w:rsidP="004532A0">
      <w:pPr>
        <w:autoSpaceDE w:val="0"/>
        <w:autoSpaceDN w:val="0"/>
        <w:adjustRightInd w:val="0"/>
        <w:spacing w:line="240" w:lineRule="auto"/>
        <w:rPr>
          <w:i/>
          <w:color w:val="000000"/>
          <w:szCs w:val="22"/>
        </w:rPr>
      </w:pPr>
    </w:p>
    <w:p w14:paraId="22DE0219" w14:textId="2784A96B" w:rsidR="004532A0" w:rsidRDefault="004532A0" w:rsidP="00FF01BC">
      <w:pPr>
        <w:spacing w:line="240" w:lineRule="auto"/>
        <w:rPr>
          <w:rFonts w:eastAsia="SimSun"/>
          <w:color w:val="000000"/>
          <w:szCs w:val="22"/>
          <w:lang w:val="en-US" w:eastAsia="en-GB"/>
        </w:rPr>
      </w:pPr>
      <w:r w:rsidRPr="00D84542">
        <w:rPr>
          <w:rFonts w:eastAsia="SimSun"/>
          <w:color w:val="000000"/>
          <w:szCs w:val="22"/>
          <w:lang w:val="en-US" w:eastAsia="en-GB"/>
        </w:rPr>
        <w:t>In two pivotal clinical phase</w:t>
      </w:r>
      <w:r w:rsidRPr="00D84542">
        <w:rPr>
          <w:rFonts w:eastAsia="SimSun"/>
          <w:color w:val="000000"/>
          <w:szCs w:val="22"/>
          <w:lang w:val="en-US" w:eastAsia="en-GB"/>
        </w:rPr>
        <w:noBreakHyphen/>
        <w:t>3 studies of similar double-blind, randomized, placebo-controlled design (KALM</w:t>
      </w:r>
      <w:r w:rsidRPr="00D84542">
        <w:rPr>
          <w:rFonts w:eastAsia="SimSun"/>
          <w:color w:val="000000"/>
          <w:szCs w:val="22"/>
          <w:lang w:val="en-US" w:eastAsia="en-GB"/>
        </w:rPr>
        <w:noBreakHyphen/>
        <w:t>1 and KALM</w:t>
      </w:r>
      <w:r w:rsidRPr="00D84542">
        <w:rPr>
          <w:rFonts w:eastAsia="SimSun"/>
          <w:color w:val="000000"/>
          <w:szCs w:val="22"/>
          <w:lang w:val="en-US" w:eastAsia="en-GB"/>
        </w:rPr>
        <w:noBreakHyphen/>
        <w:t>2), chronic kidney disease patients on haemodialysis with moderate to severe pruritus received either placebo or 0.5</w:t>
      </w:r>
      <w:r w:rsidRPr="00FF01BC">
        <w:rPr>
          <w:rFonts w:eastAsia="SimSun"/>
          <w:color w:val="000000"/>
          <w:szCs w:val="22"/>
          <w:lang w:val="en-US" w:eastAsia="en-GB"/>
        </w:rPr>
        <w:t> micrograms</w:t>
      </w:r>
      <w:r w:rsidRPr="00D84542">
        <w:rPr>
          <w:rFonts w:eastAsia="SimSun"/>
          <w:color w:val="000000"/>
          <w:szCs w:val="22"/>
          <w:lang w:val="en-US" w:eastAsia="en-GB"/>
        </w:rPr>
        <w:t xml:space="preserve">/kg difelikefalin </w:t>
      </w:r>
      <w:r w:rsidRPr="00D84542">
        <w:rPr>
          <w:rFonts w:eastAsia="SimSun"/>
          <w:color w:val="000000"/>
          <w:szCs w:val="22"/>
          <w:lang w:val="en-US" w:eastAsia="en-GB"/>
        </w:rPr>
        <w:lastRenderedPageBreak/>
        <w:t>intravenously 3 times a week following haemodialysis for 12</w:t>
      </w:r>
      <w:r w:rsidRPr="00FF01BC">
        <w:rPr>
          <w:rFonts w:eastAsia="SimSun"/>
          <w:color w:val="000000"/>
          <w:szCs w:val="22"/>
          <w:lang w:val="en-US" w:eastAsia="en-GB"/>
        </w:rPr>
        <w:t> </w:t>
      </w:r>
      <w:r w:rsidRPr="00D84542">
        <w:rPr>
          <w:rFonts w:eastAsia="SimSun"/>
          <w:color w:val="000000"/>
          <w:szCs w:val="22"/>
          <w:lang w:val="en-US" w:eastAsia="en-GB"/>
        </w:rPr>
        <w:t>weeks. This double</w:t>
      </w:r>
      <w:r w:rsidRPr="00D84542">
        <w:rPr>
          <w:rFonts w:eastAsia="SimSun"/>
          <w:color w:val="000000"/>
          <w:szCs w:val="22"/>
          <w:lang w:val="en-US" w:eastAsia="en-GB"/>
        </w:rPr>
        <w:noBreakHyphen/>
        <w:t>blind treatment period was followed by a 52</w:t>
      </w:r>
      <w:r w:rsidRPr="00D84542">
        <w:rPr>
          <w:rFonts w:eastAsia="SimSun"/>
          <w:color w:val="000000"/>
          <w:szCs w:val="22"/>
          <w:lang w:val="en-US" w:eastAsia="en-GB"/>
        </w:rPr>
        <w:noBreakHyphen/>
        <w:t>week open</w:t>
      </w:r>
      <w:r w:rsidRPr="00D84542">
        <w:rPr>
          <w:rFonts w:eastAsia="SimSun"/>
          <w:color w:val="000000"/>
          <w:szCs w:val="22"/>
          <w:lang w:val="en-US" w:eastAsia="en-GB"/>
        </w:rPr>
        <w:noBreakHyphen/>
        <w:t>label extension with active treatment only. The primary endpoint in both studies was the percentage of patients who achieved at least a 3</w:t>
      </w:r>
      <w:r w:rsidRPr="00D84542">
        <w:rPr>
          <w:rFonts w:eastAsia="SimSun"/>
          <w:color w:val="000000"/>
          <w:szCs w:val="22"/>
          <w:lang w:val="en-US" w:eastAsia="en-GB"/>
        </w:rPr>
        <w:noBreakHyphen/>
        <w:t>point reduction from baseline in the Worst Itching</w:t>
      </w:r>
      <w:r w:rsidRPr="00D84542">
        <w:rPr>
          <w:rFonts w:eastAsia="SimSun"/>
          <w:color w:val="000000"/>
          <w:szCs w:val="22"/>
          <w:lang w:val="en-US" w:eastAsia="en-GB"/>
        </w:rPr>
        <w:noBreakHyphen/>
        <w:t>Numerical Rating Scale (WI-NRS) at 12</w:t>
      </w:r>
      <w:r w:rsidRPr="00FF01BC">
        <w:rPr>
          <w:rFonts w:eastAsia="SimSun"/>
          <w:color w:val="000000"/>
          <w:szCs w:val="22"/>
          <w:lang w:val="en-US" w:eastAsia="en-GB"/>
        </w:rPr>
        <w:t> </w:t>
      </w:r>
      <w:r w:rsidRPr="00D84542">
        <w:rPr>
          <w:rFonts w:eastAsia="SimSun"/>
          <w:color w:val="000000"/>
          <w:szCs w:val="22"/>
          <w:lang w:val="en-US" w:eastAsia="en-GB"/>
        </w:rPr>
        <w:t>weeks. The main secondary endpoints which both studies had in common were the percentages of patients with an improvement in the WI</w:t>
      </w:r>
      <w:r w:rsidRPr="00D84542">
        <w:rPr>
          <w:rFonts w:eastAsia="SimSun"/>
          <w:color w:val="000000"/>
          <w:szCs w:val="22"/>
          <w:lang w:val="en-US" w:eastAsia="en-GB"/>
        </w:rPr>
        <w:noBreakHyphen/>
        <w:t>NRS of at least 4</w:t>
      </w:r>
      <w:r w:rsidRPr="00FF01BC">
        <w:rPr>
          <w:rFonts w:eastAsia="SimSun"/>
          <w:color w:val="000000"/>
          <w:szCs w:val="22"/>
          <w:lang w:val="en-US" w:eastAsia="en-GB"/>
        </w:rPr>
        <w:t> </w:t>
      </w:r>
      <w:r w:rsidRPr="00D84542">
        <w:rPr>
          <w:rFonts w:eastAsia="SimSun"/>
          <w:color w:val="000000"/>
          <w:szCs w:val="22"/>
          <w:lang w:val="en-US" w:eastAsia="en-GB"/>
        </w:rPr>
        <w:t>points after 12</w:t>
      </w:r>
      <w:r w:rsidRPr="00FF01BC">
        <w:rPr>
          <w:rFonts w:eastAsia="SimSun"/>
          <w:color w:val="000000"/>
          <w:szCs w:val="22"/>
          <w:lang w:val="en-US" w:eastAsia="en-GB"/>
        </w:rPr>
        <w:t> </w:t>
      </w:r>
      <w:r w:rsidRPr="00D84542">
        <w:rPr>
          <w:rFonts w:eastAsia="SimSun"/>
          <w:color w:val="000000"/>
          <w:szCs w:val="22"/>
          <w:lang w:val="en-US" w:eastAsia="en-GB"/>
        </w:rPr>
        <w:t>weeks and the changes in itch severity and itch-related quality of life (QoL) as measured by the total Skindex</w:t>
      </w:r>
      <w:r w:rsidRPr="00D84542">
        <w:rPr>
          <w:rFonts w:eastAsia="SimSun"/>
          <w:color w:val="000000"/>
          <w:szCs w:val="22"/>
          <w:lang w:val="en-US" w:eastAsia="en-GB"/>
        </w:rPr>
        <w:noBreakHyphen/>
        <w:t>10 and the 5</w:t>
      </w:r>
      <w:r w:rsidRPr="00D84542">
        <w:rPr>
          <w:rFonts w:eastAsia="SimSun"/>
          <w:color w:val="000000"/>
          <w:szCs w:val="22"/>
          <w:lang w:val="en-US" w:eastAsia="en-GB"/>
        </w:rPr>
        <w:noBreakHyphen/>
        <w:t xml:space="preserve">D Itch score. A responder analysis based on </w:t>
      </w:r>
      <w:r w:rsidRPr="00FF01BC">
        <w:rPr>
          <w:rFonts w:eastAsia="SimSun"/>
          <w:color w:val="000000"/>
          <w:szCs w:val="22"/>
          <w:lang w:val="en-US" w:eastAsia="en-GB"/>
        </w:rPr>
        <w:t>Patient Global Impression of Change was also included.</w:t>
      </w:r>
    </w:p>
    <w:p w14:paraId="276432A8" w14:textId="77777777" w:rsidR="00364A36" w:rsidRPr="00D84542" w:rsidRDefault="00364A36" w:rsidP="00FF01BC">
      <w:pPr>
        <w:spacing w:line="240" w:lineRule="auto"/>
        <w:rPr>
          <w:rFonts w:eastAsia="SimSun"/>
          <w:color w:val="000000"/>
          <w:szCs w:val="22"/>
          <w:lang w:val="en-US" w:eastAsia="en-GB"/>
        </w:rPr>
      </w:pPr>
    </w:p>
    <w:p w14:paraId="3A034D3A" w14:textId="41230FA7" w:rsidR="004532A0" w:rsidRPr="00FF01BC" w:rsidRDefault="004532A0" w:rsidP="00FF01BC">
      <w:pPr>
        <w:spacing w:line="240" w:lineRule="auto"/>
        <w:rPr>
          <w:rFonts w:eastAsia="SimSun"/>
          <w:color w:val="000000"/>
          <w:szCs w:val="22"/>
          <w:lang w:val="en-US" w:eastAsia="en-GB"/>
        </w:rPr>
      </w:pPr>
      <w:r w:rsidRPr="00D84542">
        <w:rPr>
          <w:rFonts w:eastAsia="SimSun"/>
          <w:color w:val="000000"/>
          <w:szCs w:val="22"/>
          <w:lang w:val="en-US" w:eastAsia="en-GB"/>
        </w:rPr>
        <w:t>In the combined studies, 851</w:t>
      </w:r>
      <w:r w:rsidRPr="00FF01BC">
        <w:rPr>
          <w:rFonts w:eastAsia="SimSun"/>
          <w:color w:val="000000"/>
          <w:szCs w:val="22"/>
          <w:lang w:val="en-US" w:eastAsia="en-GB"/>
        </w:rPr>
        <w:t> </w:t>
      </w:r>
      <w:r w:rsidRPr="00D84542">
        <w:rPr>
          <w:rFonts w:eastAsia="SimSun"/>
          <w:color w:val="000000"/>
          <w:szCs w:val="22"/>
          <w:lang w:val="en-US" w:eastAsia="en-GB"/>
        </w:rPr>
        <w:t>patients were enrolled. Mean age was 59</w:t>
      </w:r>
      <w:r w:rsidRPr="00FF01BC">
        <w:rPr>
          <w:rFonts w:eastAsia="SimSun"/>
          <w:color w:val="000000"/>
          <w:szCs w:val="22"/>
          <w:lang w:val="en-US" w:eastAsia="en-GB"/>
        </w:rPr>
        <w:t> </w:t>
      </w:r>
      <w:r w:rsidRPr="00D84542">
        <w:rPr>
          <w:rFonts w:eastAsia="SimSun"/>
          <w:color w:val="000000"/>
          <w:szCs w:val="22"/>
          <w:lang w:val="en-US" w:eastAsia="en-GB"/>
        </w:rPr>
        <w:t>years, 60 % of patients were male. Disease characteristics at baseline such as mean WI</w:t>
      </w:r>
      <w:r w:rsidRPr="00D84542">
        <w:rPr>
          <w:rFonts w:eastAsia="SimSun"/>
          <w:color w:val="000000"/>
          <w:szCs w:val="22"/>
          <w:lang w:val="en-US" w:eastAsia="en-GB"/>
        </w:rPr>
        <w:noBreakHyphen/>
        <w:t xml:space="preserve">NRS score, use of </w:t>
      </w:r>
      <w:r>
        <w:rPr>
          <w:rFonts w:eastAsia="SimSun"/>
          <w:color w:val="000000"/>
          <w:szCs w:val="22"/>
          <w:lang w:val="en-US" w:eastAsia="en-GB"/>
        </w:rPr>
        <w:t xml:space="preserve">medicinal products </w:t>
      </w:r>
      <w:r w:rsidRPr="00D84542">
        <w:rPr>
          <w:rFonts w:eastAsia="SimSun"/>
          <w:color w:val="000000"/>
          <w:szCs w:val="22"/>
          <w:lang w:val="en-US" w:eastAsia="en-GB"/>
        </w:rPr>
        <w:t xml:space="preserve">intended to relieve pruritus, time from diagnosis of chronic kidney disease and duration of pruritus, were comparable in active treatment and placebo arms. </w:t>
      </w:r>
      <w:r>
        <w:rPr>
          <w:rFonts w:eastAsia="SimSun"/>
          <w:color w:val="000000"/>
          <w:szCs w:val="22"/>
          <w:lang w:val="en-US" w:eastAsia="en-GB"/>
        </w:rPr>
        <w:t>Overall, 38</w:t>
      </w:r>
      <w:r w:rsidRPr="00D84542">
        <w:rPr>
          <w:rFonts w:eastAsia="SimSun"/>
          <w:color w:val="000000"/>
          <w:szCs w:val="22"/>
          <w:lang w:val="en-US" w:eastAsia="en-GB"/>
        </w:rPr>
        <w:t> </w:t>
      </w:r>
      <w:r w:rsidRPr="00D63C15">
        <w:rPr>
          <w:rFonts w:eastAsia="SimSun"/>
          <w:color w:val="000000"/>
          <w:szCs w:val="22"/>
          <w:lang w:val="en-US" w:eastAsia="en-GB"/>
        </w:rPr>
        <w:t xml:space="preserve">% of </w:t>
      </w:r>
      <w:r>
        <w:rPr>
          <w:rFonts w:eastAsia="SimSun"/>
          <w:color w:val="000000"/>
          <w:szCs w:val="22"/>
          <w:lang w:val="en-US" w:eastAsia="en-GB"/>
        </w:rPr>
        <w:t>patients</w:t>
      </w:r>
      <w:r w:rsidRPr="00D63C15">
        <w:rPr>
          <w:rFonts w:eastAsia="SimSun"/>
          <w:color w:val="000000"/>
          <w:szCs w:val="22"/>
          <w:lang w:val="en-US" w:eastAsia="en-GB"/>
        </w:rPr>
        <w:t xml:space="preserve"> had prior use of </w:t>
      </w:r>
      <w:r>
        <w:rPr>
          <w:rFonts w:eastAsia="SimSun"/>
          <w:color w:val="000000"/>
          <w:szCs w:val="22"/>
          <w:lang w:val="en-US" w:eastAsia="en-GB"/>
        </w:rPr>
        <w:t>medicinal products intended to treat pruritus</w:t>
      </w:r>
      <w:r w:rsidRPr="00D63C15">
        <w:rPr>
          <w:rFonts w:eastAsia="SimSun"/>
          <w:color w:val="000000"/>
          <w:szCs w:val="22"/>
          <w:lang w:val="en-US" w:eastAsia="en-GB"/>
        </w:rPr>
        <w:t xml:space="preserve">. </w:t>
      </w:r>
      <w:r w:rsidRPr="00D84542">
        <w:rPr>
          <w:rFonts w:eastAsia="SimSun"/>
          <w:color w:val="000000"/>
          <w:szCs w:val="22"/>
          <w:lang w:val="en-US" w:eastAsia="en-GB"/>
        </w:rPr>
        <w:t xml:space="preserve">Across studies, difelikefalin significantly improved itch severity and </w:t>
      </w:r>
      <w:proofErr w:type="gramStart"/>
      <w:r w:rsidRPr="00D84542">
        <w:rPr>
          <w:rFonts w:eastAsia="SimSun"/>
          <w:color w:val="000000"/>
          <w:szCs w:val="22"/>
          <w:lang w:val="en-US" w:eastAsia="en-GB"/>
        </w:rPr>
        <w:t>itch-related</w:t>
      </w:r>
      <w:proofErr w:type="gramEnd"/>
      <w:r w:rsidRPr="00D84542">
        <w:rPr>
          <w:rFonts w:eastAsia="SimSun"/>
          <w:color w:val="000000"/>
          <w:szCs w:val="22"/>
          <w:lang w:val="en-US" w:eastAsia="en-GB"/>
        </w:rPr>
        <w:t xml:space="preserve"> QoL over 12</w:t>
      </w:r>
      <w:r w:rsidRPr="00FF01BC">
        <w:rPr>
          <w:rFonts w:eastAsia="SimSun"/>
          <w:color w:val="000000"/>
          <w:szCs w:val="22"/>
          <w:lang w:val="en-US" w:eastAsia="en-GB"/>
        </w:rPr>
        <w:t> </w:t>
      </w:r>
      <w:r w:rsidRPr="00D84542">
        <w:rPr>
          <w:rFonts w:eastAsia="SimSun"/>
          <w:color w:val="000000"/>
          <w:szCs w:val="22"/>
          <w:lang w:val="en-US" w:eastAsia="en-GB"/>
        </w:rPr>
        <w:t xml:space="preserve">weeks as shown in </w:t>
      </w:r>
      <w:r w:rsidRPr="00D84542">
        <w:rPr>
          <w:rFonts w:eastAsia="SimSun"/>
          <w:color w:val="000000"/>
          <w:szCs w:val="22"/>
          <w:lang w:val="en-US" w:eastAsia="en-GB"/>
        </w:rPr>
        <w:fldChar w:fldCharType="begin"/>
      </w:r>
      <w:r w:rsidRPr="00D84542">
        <w:rPr>
          <w:rFonts w:eastAsia="SimSun"/>
          <w:color w:val="000000"/>
          <w:szCs w:val="22"/>
          <w:lang w:val="en-US" w:eastAsia="en-GB"/>
        </w:rPr>
        <w:instrText xml:space="preserve"> REF _Ref59629014 \h  \* MERGEFORMAT </w:instrText>
      </w:r>
      <w:r w:rsidRPr="00D84542">
        <w:rPr>
          <w:rFonts w:eastAsia="SimSun"/>
          <w:color w:val="000000"/>
          <w:szCs w:val="22"/>
          <w:lang w:val="en-US" w:eastAsia="en-GB"/>
        </w:rPr>
      </w:r>
      <w:r w:rsidRPr="00D84542">
        <w:rPr>
          <w:rFonts w:eastAsia="SimSun"/>
          <w:color w:val="000000"/>
          <w:szCs w:val="22"/>
          <w:lang w:val="en-US" w:eastAsia="en-GB"/>
        </w:rPr>
        <w:fldChar w:fldCharType="separate"/>
      </w:r>
      <w:r w:rsidR="00F5656E" w:rsidRPr="00F5656E">
        <w:rPr>
          <w:rFonts w:eastAsia="SimSun"/>
          <w:color w:val="000000"/>
          <w:szCs w:val="22"/>
          <w:lang w:val="en-US" w:eastAsia="en-GB"/>
        </w:rPr>
        <w:t>Table 4</w:t>
      </w:r>
      <w:r w:rsidRPr="00D84542">
        <w:rPr>
          <w:rFonts w:eastAsia="SimSun"/>
          <w:color w:val="000000"/>
          <w:szCs w:val="22"/>
          <w:lang w:val="en-US" w:eastAsia="en-GB"/>
        </w:rPr>
        <w:fldChar w:fldCharType="end"/>
      </w:r>
      <w:r w:rsidRPr="00D84542">
        <w:rPr>
          <w:rFonts w:eastAsia="SimSun"/>
          <w:color w:val="000000"/>
          <w:szCs w:val="22"/>
          <w:lang w:val="en-US" w:eastAsia="en-GB"/>
        </w:rPr>
        <w:t>.</w:t>
      </w:r>
    </w:p>
    <w:p w14:paraId="2BB6833D" w14:textId="77777777" w:rsidR="004532A0" w:rsidRDefault="004532A0" w:rsidP="004532A0">
      <w:pPr>
        <w:autoSpaceDE w:val="0"/>
        <w:autoSpaceDN w:val="0"/>
        <w:adjustRightInd w:val="0"/>
        <w:spacing w:line="240" w:lineRule="auto"/>
        <w:rPr>
          <w:rFonts w:ascii="TimesNewRomanPSMT" w:eastAsia="SimSun" w:hAnsi="TimesNewRomanPSMT" w:cs="TimesNewRomanPSMT"/>
          <w:color w:val="000000"/>
          <w:szCs w:val="22"/>
          <w:lang w:val="en-US" w:eastAsia="en-GB"/>
        </w:rPr>
      </w:pPr>
    </w:p>
    <w:p w14:paraId="13D5747C" w14:textId="3B4464D7" w:rsidR="004532A0" w:rsidRPr="00714662" w:rsidRDefault="004532A0" w:rsidP="00837114">
      <w:pPr>
        <w:keepNext/>
        <w:autoSpaceDE w:val="0"/>
        <w:autoSpaceDN w:val="0"/>
        <w:adjustRightInd w:val="0"/>
        <w:spacing w:line="240" w:lineRule="auto"/>
        <w:rPr>
          <w:b/>
          <w:iCs/>
          <w:sz w:val="22"/>
          <w:szCs w:val="22"/>
        </w:rPr>
      </w:pPr>
      <w:bookmarkStart w:id="18" w:name="_Ref59629014"/>
      <w:r w:rsidRPr="00714662">
        <w:rPr>
          <w:b/>
          <w:sz w:val="22"/>
          <w:szCs w:val="22"/>
        </w:rPr>
        <w:t xml:space="preserve">Table </w:t>
      </w:r>
      <w:r w:rsidRPr="00714662">
        <w:rPr>
          <w:b/>
          <w:sz w:val="22"/>
          <w:szCs w:val="22"/>
        </w:rPr>
        <w:fldChar w:fldCharType="begin"/>
      </w:r>
      <w:r w:rsidRPr="00714662">
        <w:rPr>
          <w:b/>
          <w:sz w:val="22"/>
          <w:szCs w:val="22"/>
        </w:rPr>
        <w:instrText xml:space="preserve"> SEQ Table \* ARABIC </w:instrText>
      </w:r>
      <w:r w:rsidRPr="00714662">
        <w:rPr>
          <w:b/>
          <w:sz w:val="22"/>
          <w:szCs w:val="22"/>
        </w:rPr>
        <w:fldChar w:fldCharType="separate"/>
      </w:r>
      <w:r w:rsidR="00F5656E">
        <w:rPr>
          <w:b/>
          <w:noProof/>
          <w:sz w:val="22"/>
          <w:szCs w:val="22"/>
        </w:rPr>
        <w:t>4</w:t>
      </w:r>
      <w:r w:rsidRPr="00714662">
        <w:rPr>
          <w:b/>
          <w:sz w:val="22"/>
          <w:szCs w:val="22"/>
        </w:rPr>
        <w:fldChar w:fldCharType="end"/>
      </w:r>
      <w:bookmarkEnd w:id="18"/>
      <w:r w:rsidRPr="00714662">
        <w:rPr>
          <w:b/>
          <w:iCs/>
          <w:sz w:val="22"/>
          <w:szCs w:val="22"/>
        </w:rPr>
        <w:t xml:space="preserve">: </w:t>
      </w:r>
      <w:r w:rsidR="009120E4">
        <w:rPr>
          <w:b/>
          <w:iCs/>
          <w:sz w:val="22"/>
          <w:szCs w:val="22"/>
        </w:rPr>
        <w:t xml:space="preserve"> </w:t>
      </w:r>
      <w:r w:rsidRPr="00714662">
        <w:rPr>
          <w:b/>
          <w:iCs/>
          <w:sz w:val="22"/>
          <w:szCs w:val="22"/>
        </w:rPr>
        <w:t>Summary of primary and key secondary outcomes in KALM</w:t>
      </w:r>
      <w:r w:rsidRPr="00714662">
        <w:rPr>
          <w:b/>
          <w:iCs/>
          <w:sz w:val="22"/>
          <w:szCs w:val="22"/>
        </w:rPr>
        <w:noBreakHyphen/>
        <w:t>1 and KALM</w:t>
      </w:r>
      <w:r w:rsidRPr="00714662">
        <w:rPr>
          <w:b/>
          <w:iCs/>
          <w:sz w:val="22"/>
          <w:szCs w:val="22"/>
        </w:rPr>
        <w:noBreakHyphen/>
        <w:t>2 and in pooled database at week 12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198"/>
        <w:gridCol w:w="1198"/>
        <w:gridCol w:w="1198"/>
        <w:gridCol w:w="1198"/>
        <w:gridCol w:w="1198"/>
        <w:gridCol w:w="1199"/>
      </w:tblGrid>
      <w:tr w:rsidR="004532A0" w:rsidRPr="005536FE" w14:paraId="0A6BE281" w14:textId="77777777" w:rsidTr="00F618AE">
        <w:tc>
          <w:tcPr>
            <w:tcW w:w="1882" w:type="dxa"/>
            <w:vMerge w:val="restart"/>
            <w:tcBorders>
              <w:top w:val="single" w:sz="4" w:space="0" w:color="auto"/>
            </w:tcBorders>
            <w:vAlign w:val="bottom"/>
          </w:tcPr>
          <w:p w14:paraId="7EE26ACC" w14:textId="77777777" w:rsidR="004532A0" w:rsidRPr="00E418AC" w:rsidRDefault="004532A0" w:rsidP="00837114">
            <w:pPr>
              <w:keepNext/>
              <w:autoSpaceDE w:val="0"/>
              <w:autoSpaceDN w:val="0"/>
              <w:adjustRightInd w:val="0"/>
              <w:spacing w:before="40" w:after="20" w:line="240" w:lineRule="auto"/>
              <w:rPr>
                <w:rFonts w:eastAsia="SimSun"/>
                <w:b/>
                <w:color w:val="000000"/>
                <w:sz w:val="20"/>
                <w:lang w:eastAsia="en-GB"/>
              </w:rPr>
            </w:pPr>
            <w:r w:rsidRPr="00E418AC">
              <w:rPr>
                <w:rFonts w:eastAsia="SimSun"/>
                <w:b/>
                <w:color w:val="000000"/>
                <w:sz w:val="20"/>
                <w:lang w:eastAsia="en-GB"/>
              </w:rPr>
              <w:t xml:space="preserve">Endpoint by </w:t>
            </w:r>
            <w:r w:rsidRPr="00E418AC">
              <w:rPr>
                <w:rFonts w:eastAsia="SimSun"/>
                <w:b/>
                <w:color w:val="000000"/>
                <w:sz w:val="20"/>
                <w:lang w:eastAsia="en-GB"/>
              </w:rPr>
              <w:br/>
              <w:t>end of week 12</w:t>
            </w:r>
          </w:p>
        </w:tc>
        <w:tc>
          <w:tcPr>
            <w:tcW w:w="2396" w:type="dxa"/>
            <w:gridSpan w:val="2"/>
            <w:tcBorders>
              <w:top w:val="single" w:sz="4" w:space="0" w:color="auto"/>
              <w:bottom w:val="single" w:sz="4" w:space="0" w:color="auto"/>
            </w:tcBorders>
          </w:tcPr>
          <w:p w14:paraId="4F280553" w14:textId="77777777" w:rsidR="004532A0" w:rsidRPr="00193F18"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193F18">
              <w:rPr>
                <w:rFonts w:eastAsia="SimSun"/>
                <w:color w:val="000000"/>
                <w:sz w:val="20"/>
                <w:lang w:eastAsia="en-GB"/>
              </w:rPr>
              <w:t>KALM</w:t>
            </w:r>
            <w:r w:rsidRPr="00193F18">
              <w:rPr>
                <w:rFonts w:eastAsia="SimSun"/>
                <w:color w:val="000000"/>
                <w:sz w:val="20"/>
                <w:lang w:eastAsia="en-GB"/>
              </w:rPr>
              <w:noBreakHyphen/>
              <w:t>1 (n = 378)</w:t>
            </w:r>
          </w:p>
        </w:tc>
        <w:tc>
          <w:tcPr>
            <w:tcW w:w="2396" w:type="dxa"/>
            <w:gridSpan w:val="2"/>
            <w:tcBorders>
              <w:top w:val="single" w:sz="4" w:space="0" w:color="auto"/>
              <w:bottom w:val="single" w:sz="4" w:space="0" w:color="auto"/>
            </w:tcBorders>
          </w:tcPr>
          <w:p w14:paraId="4D612CAD" w14:textId="77777777" w:rsidR="004532A0" w:rsidRPr="00193F18"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193F18">
              <w:rPr>
                <w:rFonts w:eastAsia="SimSun"/>
                <w:color w:val="000000"/>
                <w:sz w:val="20"/>
                <w:lang w:eastAsia="en-GB"/>
              </w:rPr>
              <w:t>KALM</w:t>
            </w:r>
            <w:r w:rsidRPr="00193F18">
              <w:rPr>
                <w:rFonts w:eastAsia="SimSun"/>
                <w:color w:val="000000"/>
                <w:sz w:val="20"/>
                <w:lang w:eastAsia="en-GB"/>
              </w:rPr>
              <w:noBreakHyphen/>
              <w:t>2 (n = 473)</w:t>
            </w:r>
          </w:p>
        </w:tc>
        <w:tc>
          <w:tcPr>
            <w:tcW w:w="2397" w:type="dxa"/>
            <w:gridSpan w:val="2"/>
            <w:tcBorders>
              <w:top w:val="single" w:sz="4" w:space="0" w:color="auto"/>
              <w:bottom w:val="single" w:sz="4" w:space="0" w:color="auto"/>
            </w:tcBorders>
          </w:tcPr>
          <w:p w14:paraId="23FBB56D" w14:textId="77777777" w:rsidR="004532A0" w:rsidRPr="00193F18"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193F18">
              <w:rPr>
                <w:rFonts w:eastAsia="SimSun"/>
                <w:color w:val="000000"/>
                <w:sz w:val="20"/>
                <w:lang w:eastAsia="en-GB"/>
              </w:rPr>
              <w:t>Pooled (n = 851)</w:t>
            </w:r>
          </w:p>
        </w:tc>
      </w:tr>
      <w:tr w:rsidR="004532A0" w:rsidRPr="005536FE" w14:paraId="023C8478" w14:textId="77777777" w:rsidTr="00F618AE">
        <w:tc>
          <w:tcPr>
            <w:tcW w:w="1882" w:type="dxa"/>
            <w:vMerge/>
            <w:tcBorders>
              <w:bottom w:val="single" w:sz="4" w:space="0" w:color="auto"/>
            </w:tcBorders>
          </w:tcPr>
          <w:p w14:paraId="67DD2269" w14:textId="77777777" w:rsidR="004532A0" w:rsidRPr="005536FE" w:rsidRDefault="004532A0" w:rsidP="00837114">
            <w:pPr>
              <w:keepNext/>
              <w:autoSpaceDE w:val="0"/>
              <w:autoSpaceDN w:val="0"/>
              <w:adjustRightInd w:val="0"/>
              <w:spacing w:before="40" w:after="20" w:line="240" w:lineRule="auto"/>
              <w:rPr>
                <w:rFonts w:eastAsia="SimSun"/>
                <w:b/>
                <w:color w:val="000000"/>
                <w:sz w:val="20"/>
                <w:lang w:eastAsia="en-GB"/>
              </w:rPr>
            </w:pPr>
          </w:p>
        </w:tc>
        <w:tc>
          <w:tcPr>
            <w:tcW w:w="1198" w:type="dxa"/>
            <w:tcBorders>
              <w:top w:val="single" w:sz="4" w:space="0" w:color="auto"/>
              <w:bottom w:val="single" w:sz="4" w:space="0" w:color="auto"/>
            </w:tcBorders>
          </w:tcPr>
          <w:p w14:paraId="297E1526"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difelikefalin</w:t>
            </w:r>
            <w:r w:rsidRPr="005536FE">
              <w:rPr>
                <w:rFonts w:eastAsia="SimSun"/>
                <w:color w:val="000000"/>
                <w:sz w:val="20"/>
                <w:lang w:eastAsia="en-GB"/>
              </w:rPr>
              <w:br/>
              <w:t>(n = 189)</w:t>
            </w:r>
          </w:p>
        </w:tc>
        <w:tc>
          <w:tcPr>
            <w:tcW w:w="1198" w:type="dxa"/>
            <w:tcBorders>
              <w:top w:val="single" w:sz="4" w:space="0" w:color="auto"/>
              <w:bottom w:val="single" w:sz="4" w:space="0" w:color="auto"/>
            </w:tcBorders>
          </w:tcPr>
          <w:p w14:paraId="64FE2812"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Placebo</w:t>
            </w:r>
            <w:r w:rsidRPr="005536FE">
              <w:rPr>
                <w:rFonts w:eastAsia="SimSun"/>
                <w:color w:val="000000"/>
                <w:sz w:val="20"/>
                <w:lang w:eastAsia="en-GB"/>
              </w:rPr>
              <w:br/>
              <w:t>(n = 189)</w:t>
            </w:r>
          </w:p>
        </w:tc>
        <w:tc>
          <w:tcPr>
            <w:tcW w:w="1198" w:type="dxa"/>
            <w:tcBorders>
              <w:top w:val="single" w:sz="4" w:space="0" w:color="auto"/>
              <w:bottom w:val="single" w:sz="4" w:space="0" w:color="auto"/>
            </w:tcBorders>
          </w:tcPr>
          <w:p w14:paraId="05542F82"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difelikefalin</w:t>
            </w:r>
            <w:r w:rsidRPr="005536FE">
              <w:rPr>
                <w:rFonts w:eastAsia="SimSun"/>
                <w:color w:val="000000"/>
                <w:sz w:val="20"/>
                <w:lang w:eastAsia="en-GB"/>
              </w:rPr>
              <w:br/>
              <w:t>(n = 237)</w:t>
            </w:r>
          </w:p>
        </w:tc>
        <w:tc>
          <w:tcPr>
            <w:tcW w:w="1198" w:type="dxa"/>
            <w:tcBorders>
              <w:top w:val="single" w:sz="4" w:space="0" w:color="auto"/>
              <w:bottom w:val="single" w:sz="4" w:space="0" w:color="auto"/>
            </w:tcBorders>
          </w:tcPr>
          <w:p w14:paraId="09AF3019"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Placebo</w:t>
            </w:r>
            <w:r w:rsidRPr="005536FE">
              <w:rPr>
                <w:rFonts w:eastAsia="SimSun"/>
                <w:color w:val="000000"/>
                <w:sz w:val="20"/>
                <w:lang w:eastAsia="en-GB"/>
              </w:rPr>
              <w:br/>
              <w:t>(n = 236)</w:t>
            </w:r>
          </w:p>
        </w:tc>
        <w:tc>
          <w:tcPr>
            <w:tcW w:w="1198" w:type="dxa"/>
            <w:tcBorders>
              <w:top w:val="single" w:sz="4" w:space="0" w:color="auto"/>
              <w:bottom w:val="single" w:sz="4" w:space="0" w:color="auto"/>
            </w:tcBorders>
          </w:tcPr>
          <w:p w14:paraId="20D4E675"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difelikefalin</w:t>
            </w:r>
            <w:r w:rsidRPr="005536FE">
              <w:rPr>
                <w:rFonts w:eastAsia="SimSun"/>
                <w:color w:val="000000"/>
                <w:sz w:val="20"/>
                <w:lang w:eastAsia="en-GB"/>
              </w:rPr>
              <w:br/>
              <w:t>(n = 426)</w:t>
            </w:r>
          </w:p>
        </w:tc>
        <w:tc>
          <w:tcPr>
            <w:tcW w:w="1199" w:type="dxa"/>
            <w:tcBorders>
              <w:top w:val="single" w:sz="4" w:space="0" w:color="auto"/>
              <w:bottom w:val="single" w:sz="4" w:space="0" w:color="auto"/>
            </w:tcBorders>
          </w:tcPr>
          <w:p w14:paraId="2299D2E6"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Placebo</w:t>
            </w:r>
            <w:r w:rsidRPr="005536FE">
              <w:rPr>
                <w:rFonts w:eastAsia="SimSun"/>
                <w:color w:val="000000"/>
                <w:sz w:val="20"/>
                <w:lang w:eastAsia="en-GB"/>
              </w:rPr>
              <w:br/>
              <w:t>(n = 425)</w:t>
            </w:r>
          </w:p>
        </w:tc>
      </w:tr>
      <w:tr w:rsidR="004532A0" w:rsidRPr="005536FE" w14:paraId="749B1C74" w14:textId="77777777" w:rsidTr="00F618AE">
        <w:tc>
          <w:tcPr>
            <w:tcW w:w="1882" w:type="dxa"/>
            <w:tcBorders>
              <w:top w:val="single" w:sz="4" w:space="0" w:color="auto"/>
              <w:bottom w:val="nil"/>
            </w:tcBorders>
          </w:tcPr>
          <w:p w14:paraId="66B2AAEF" w14:textId="77777777" w:rsidR="004532A0" w:rsidRPr="00E418AC" w:rsidRDefault="004532A0" w:rsidP="00837114">
            <w:pPr>
              <w:keepNext/>
              <w:autoSpaceDE w:val="0"/>
              <w:autoSpaceDN w:val="0"/>
              <w:adjustRightInd w:val="0"/>
              <w:spacing w:before="40" w:after="20" w:line="240" w:lineRule="auto"/>
              <w:rPr>
                <w:rFonts w:eastAsia="SimSun"/>
                <w:b/>
                <w:color w:val="000000"/>
                <w:sz w:val="20"/>
                <w:lang w:eastAsia="en-GB"/>
              </w:rPr>
            </w:pPr>
            <w:r w:rsidRPr="00E418AC">
              <w:rPr>
                <w:rFonts w:eastAsia="SimSun"/>
                <w:b/>
                <w:color w:val="000000"/>
                <w:sz w:val="20"/>
                <w:lang w:eastAsia="en-GB"/>
              </w:rPr>
              <w:t>WI</w:t>
            </w:r>
            <w:r w:rsidRPr="00E418AC">
              <w:rPr>
                <w:rFonts w:eastAsia="SimSun"/>
                <w:b/>
                <w:color w:val="000000"/>
                <w:sz w:val="20"/>
                <w:lang w:eastAsia="en-GB"/>
              </w:rPr>
              <w:noBreakHyphen/>
              <w:t>NRS</w:t>
            </w:r>
          </w:p>
        </w:tc>
        <w:tc>
          <w:tcPr>
            <w:tcW w:w="1198" w:type="dxa"/>
            <w:tcBorders>
              <w:top w:val="single" w:sz="4" w:space="0" w:color="auto"/>
              <w:bottom w:val="nil"/>
            </w:tcBorders>
          </w:tcPr>
          <w:p w14:paraId="6F548DA2"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c>
          <w:tcPr>
            <w:tcW w:w="1198" w:type="dxa"/>
            <w:tcBorders>
              <w:top w:val="single" w:sz="4" w:space="0" w:color="auto"/>
              <w:bottom w:val="nil"/>
            </w:tcBorders>
          </w:tcPr>
          <w:p w14:paraId="19CA6588"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c>
          <w:tcPr>
            <w:tcW w:w="1198" w:type="dxa"/>
            <w:tcBorders>
              <w:top w:val="single" w:sz="4" w:space="0" w:color="auto"/>
              <w:bottom w:val="nil"/>
            </w:tcBorders>
          </w:tcPr>
          <w:p w14:paraId="04A5D89E"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c>
          <w:tcPr>
            <w:tcW w:w="1198" w:type="dxa"/>
            <w:tcBorders>
              <w:top w:val="single" w:sz="4" w:space="0" w:color="auto"/>
              <w:bottom w:val="nil"/>
            </w:tcBorders>
          </w:tcPr>
          <w:p w14:paraId="6973E071"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c>
          <w:tcPr>
            <w:tcW w:w="1198" w:type="dxa"/>
            <w:tcBorders>
              <w:top w:val="single" w:sz="4" w:space="0" w:color="auto"/>
              <w:bottom w:val="nil"/>
            </w:tcBorders>
          </w:tcPr>
          <w:p w14:paraId="1D762DFD"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c>
          <w:tcPr>
            <w:tcW w:w="1199" w:type="dxa"/>
            <w:tcBorders>
              <w:top w:val="single" w:sz="4" w:space="0" w:color="auto"/>
              <w:bottom w:val="nil"/>
            </w:tcBorders>
          </w:tcPr>
          <w:p w14:paraId="59CEFBB4"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p>
        </w:tc>
      </w:tr>
      <w:tr w:rsidR="004532A0" w:rsidRPr="005536FE" w14:paraId="105463C1" w14:textId="77777777" w:rsidTr="00F618AE">
        <w:tc>
          <w:tcPr>
            <w:tcW w:w="1882" w:type="dxa"/>
            <w:tcBorders>
              <w:top w:val="nil"/>
              <w:bottom w:val="nil"/>
            </w:tcBorders>
          </w:tcPr>
          <w:p w14:paraId="7D9F75D7" w14:textId="77777777" w:rsidR="004532A0" w:rsidRPr="005536FE" w:rsidRDefault="004532A0" w:rsidP="00837114">
            <w:pPr>
              <w:keepNext/>
              <w:autoSpaceDE w:val="0"/>
              <w:autoSpaceDN w:val="0"/>
              <w:adjustRightInd w:val="0"/>
              <w:spacing w:before="40" w:after="20" w:line="240" w:lineRule="auto"/>
              <w:rPr>
                <w:rFonts w:eastAsia="SimSun"/>
                <w:color w:val="000000"/>
                <w:sz w:val="20"/>
                <w:lang w:eastAsia="en-GB"/>
              </w:rPr>
            </w:pPr>
            <w:r>
              <w:rPr>
                <w:rFonts w:eastAsia="SimSun"/>
                <w:color w:val="000000"/>
                <w:sz w:val="20"/>
                <w:lang w:eastAsia="en-GB"/>
              </w:rPr>
              <w:t>Patients</w:t>
            </w:r>
            <w:r w:rsidRPr="005536FE">
              <w:rPr>
                <w:rFonts w:eastAsia="SimSun"/>
                <w:color w:val="000000"/>
                <w:sz w:val="20"/>
                <w:lang w:eastAsia="en-GB"/>
              </w:rPr>
              <w:t xml:space="preserve"> with ≥ 3</w:t>
            </w:r>
            <w:r w:rsidRPr="005536FE">
              <w:rPr>
                <w:rFonts w:eastAsia="SimSun"/>
                <w:color w:val="000000"/>
                <w:sz w:val="20"/>
                <w:lang w:eastAsia="en-GB"/>
              </w:rPr>
              <w:noBreakHyphen/>
              <w:t>point improvement (%)</w:t>
            </w:r>
          </w:p>
        </w:tc>
        <w:tc>
          <w:tcPr>
            <w:tcW w:w="1198" w:type="dxa"/>
            <w:tcBorders>
              <w:top w:val="nil"/>
              <w:bottom w:val="nil"/>
            </w:tcBorders>
          </w:tcPr>
          <w:p w14:paraId="6978A1EE"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51.0 %</w:t>
            </w:r>
            <w:r w:rsidRPr="005536FE">
              <w:rPr>
                <w:rFonts w:eastAsia="SimSun"/>
                <w:color w:val="000000"/>
                <w:sz w:val="20"/>
                <w:lang w:eastAsia="en-GB"/>
              </w:rPr>
              <w:br/>
            </w:r>
            <w:r w:rsidRPr="005536FE">
              <w:rPr>
                <w:sz w:val="20"/>
              </w:rPr>
              <w:t>(p &lt; 0.001)</w:t>
            </w:r>
          </w:p>
        </w:tc>
        <w:tc>
          <w:tcPr>
            <w:tcW w:w="1198" w:type="dxa"/>
            <w:tcBorders>
              <w:top w:val="nil"/>
              <w:bottom w:val="nil"/>
            </w:tcBorders>
          </w:tcPr>
          <w:p w14:paraId="53E905CB" w14:textId="77777777" w:rsidR="004532A0" w:rsidRPr="005536FE" w:rsidRDefault="004532A0" w:rsidP="00837114">
            <w:pPr>
              <w:keepNext/>
              <w:autoSpaceDE w:val="0"/>
              <w:autoSpaceDN w:val="0"/>
              <w:adjustRightInd w:val="0"/>
              <w:spacing w:before="40" w:after="20" w:line="240" w:lineRule="auto"/>
              <w:jc w:val="center"/>
              <w:rPr>
                <w:sz w:val="20"/>
              </w:rPr>
            </w:pPr>
            <w:r w:rsidRPr="005536FE">
              <w:rPr>
                <w:rFonts w:eastAsia="SimSun"/>
                <w:color w:val="000000"/>
                <w:sz w:val="20"/>
                <w:lang w:eastAsia="en-GB"/>
              </w:rPr>
              <w:t>27.6 %</w:t>
            </w:r>
            <w:r w:rsidRPr="005536FE">
              <w:rPr>
                <w:rFonts w:eastAsia="SimSun"/>
                <w:color w:val="000000"/>
                <w:sz w:val="20"/>
                <w:lang w:eastAsia="en-GB"/>
              </w:rPr>
              <w:br/>
            </w:r>
          </w:p>
        </w:tc>
        <w:tc>
          <w:tcPr>
            <w:tcW w:w="1198" w:type="dxa"/>
            <w:tcBorders>
              <w:top w:val="nil"/>
              <w:bottom w:val="nil"/>
            </w:tcBorders>
          </w:tcPr>
          <w:p w14:paraId="2D9030E3"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54.0 %</w:t>
            </w:r>
            <w:r w:rsidRPr="005536FE">
              <w:rPr>
                <w:rFonts w:eastAsia="SimSun"/>
                <w:color w:val="000000"/>
                <w:sz w:val="20"/>
                <w:lang w:eastAsia="en-GB"/>
              </w:rPr>
              <w:br/>
            </w:r>
            <w:r w:rsidRPr="005536FE">
              <w:rPr>
                <w:sz w:val="20"/>
              </w:rPr>
              <w:t>(p = 0.02)</w:t>
            </w:r>
            <w:r w:rsidRPr="005536FE" w:rsidDel="00F66E81">
              <w:rPr>
                <w:sz w:val="20"/>
              </w:rPr>
              <w:t xml:space="preserve"> </w:t>
            </w:r>
          </w:p>
        </w:tc>
        <w:tc>
          <w:tcPr>
            <w:tcW w:w="1198" w:type="dxa"/>
            <w:tcBorders>
              <w:top w:val="nil"/>
              <w:bottom w:val="nil"/>
            </w:tcBorders>
          </w:tcPr>
          <w:p w14:paraId="0FB03CC6"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42.2 %</w:t>
            </w:r>
            <w:r w:rsidRPr="005536FE">
              <w:rPr>
                <w:rFonts w:eastAsia="SimSun"/>
                <w:color w:val="000000"/>
                <w:sz w:val="20"/>
                <w:lang w:eastAsia="en-GB"/>
              </w:rPr>
              <w:br/>
            </w:r>
          </w:p>
        </w:tc>
        <w:tc>
          <w:tcPr>
            <w:tcW w:w="1198" w:type="dxa"/>
            <w:tcBorders>
              <w:top w:val="nil"/>
              <w:bottom w:val="nil"/>
            </w:tcBorders>
          </w:tcPr>
          <w:p w14:paraId="77183644"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51.1 %</w:t>
            </w:r>
            <w:r w:rsidRPr="005536FE">
              <w:rPr>
                <w:rFonts w:eastAsia="SimSun"/>
                <w:color w:val="000000"/>
                <w:sz w:val="20"/>
                <w:lang w:eastAsia="en-GB"/>
              </w:rPr>
              <w:br/>
            </w:r>
            <w:r w:rsidRPr="005536FE">
              <w:rPr>
                <w:sz w:val="20"/>
              </w:rPr>
              <w:t>(p &lt; 0.001)</w:t>
            </w:r>
            <w:r w:rsidRPr="005536FE" w:rsidDel="00F66E81">
              <w:rPr>
                <w:sz w:val="20"/>
              </w:rPr>
              <w:t xml:space="preserve"> </w:t>
            </w:r>
          </w:p>
        </w:tc>
        <w:tc>
          <w:tcPr>
            <w:tcW w:w="1199" w:type="dxa"/>
            <w:tcBorders>
              <w:top w:val="nil"/>
              <w:bottom w:val="nil"/>
            </w:tcBorders>
          </w:tcPr>
          <w:p w14:paraId="76E6D3B3"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35.2 %</w:t>
            </w:r>
            <w:r w:rsidRPr="005536FE" w:rsidDel="00F66E81">
              <w:rPr>
                <w:sz w:val="20"/>
              </w:rPr>
              <w:t xml:space="preserve"> </w:t>
            </w:r>
          </w:p>
        </w:tc>
      </w:tr>
      <w:tr w:rsidR="004532A0" w:rsidRPr="005536FE" w14:paraId="5C02CD2E" w14:textId="77777777" w:rsidTr="00F618AE">
        <w:tc>
          <w:tcPr>
            <w:tcW w:w="1882" w:type="dxa"/>
            <w:tcBorders>
              <w:top w:val="nil"/>
              <w:bottom w:val="single" w:sz="4" w:space="0" w:color="auto"/>
            </w:tcBorders>
          </w:tcPr>
          <w:p w14:paraId="1083A1FB" w14:textId="77777777" w:rsidR="004532A0" w:rsidRPr="005536FE" w:rsidRDefault="004532A0" w:rsidP="00837114">
            <w:pPr>
              <w:keepNext/>
              <w:autoSpaceDE w:val="0"/>
              <w:autoSpaceDN w:val="0"/>
              <w:adjustRightInd w:val="0"/>
              <w:spacing w:before="40" w:after="20" w:line="240" w:lineRule="auto"/>
              <w:rPr>
                <w:rFonts w:eastAsia="SimSun"/>
                <w:color w:val="000000"/>
                <w:sz w:val="20"/>
                <w:lang w:eastAsia="en-GB"/>
              </w:rPr>
            </w:pPr>
            <w:r>
              <w:rPr>
                <w:rFonts w:eastAsia="SimSun"/>
                <w:color w:val="000000"/>
                <w:sz w:val="20"/>
                <w:lang w:eastAsia="en-GB"/>
              </w:rPr>
              <w:t>Patients</w:t>
            </w:r>
            <w:r w:rsidRPr="005536FE">
              <w:rPr>
                <w:rFonts w:eastAsia="SimSun"/>
                <w:color w:val="000000"/>
                <w:sz w:val="20"/>
                <w:lang w:eastAsia="en-GB"/>
              </w:rPr>
              <w:t xml:space="preserve"> with ≥ 4</w:t>
            </w:r>
            <w:r w:rsidRPr="005536FE">
              <w:rPr>
                <w:rFonts w:eastAsia="SimSun"/>
                <w:color w:val="000000"/>
                <w:sz w:val="20"/>
                <w:lang w:eastAsia="en-GB"/>
              </w:rPr>
              <w:noBreakHyphen/>
              <w:t>point improvement (%)</w:t>
            </w:r>
          </w:p>
        </w:tc>
        <w:tc>
          <w:tcPr>
            <w:tcW w:w="1198" w:type="dxa"/>
            <w:tcBorders>
              <w:top w:val="nil"/>
              <w:bottom w:val="single" w:sz="4" w:space="0" w:color="auto"/>
            </w:tcBorders>
          </w:tcPr>
          <w:p w14:paraId="24E9DCDF"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38.9%</w:t>
            </w:r>
            <w:r w:rsidRPr="005536FE">
              <w:rPr>
                <w:rFonts w:eastAsia="SimSun"/>
                <w:color w:val="000000"/>
                <w:sz w:val="20"/>
                <w:lang w:eastAsia="en-GB"/>
              </w:rPr>
              <w:br/>
            </w:r>
            <w:r w:rsidRPr="005536FE">
              <w:rPr>
                <w:sz w:val="20"/>
              </w:rPr>
              <w:t>(p &lt; 0.001)</w:t>
            </w:r>
            <w:r w:rsidRPr="005536FE" w:rsidDel="00F66E81">
              <w:rPr>
                <w:rFonts w:eastAsia="SimSun"/>
                <w:color w:val="000000"/>
                <w:sz w:val="20"/>
                <w:lang w:eastAsia="en-GB"/>
              </w:rPr>
              <w:t xml:space="preserve"> </w:t>
            </w:r>
          </w:p>
        </w:tc>
        <w:tc>
          <w:tcPr>
            <w:tcW w:w="1198" w:type="dxa"/>
            <w:tcBorders>
              <w:top w:val="nil"/>
              <w:bottom w:val="single" w:sz="4" w:space="0" w:color="auto"/>
            </w:tcBorders>
          </w:tcPr>
          <w:p w14:paraId="3ACB23D0"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18.0%</w:t>
            </w:r>
            <w:r w:rsidRPr="005536FE">
              <w:rPr>
                <w:rFonts w:eastAsia="SimSun"/>
                <w:color w:val="000000"/>
                <w:sz w:val="20"/>
                <w:lang w:eastAsia="en-GB"/>
              </w:rPr>
              <w:br/>
            </w:r>
            <w:r w:rsidRPr="005536FE" w:rsidDel="00F66E81">
              <w:rPr>
                <w:rFonts w:eastAsia="SimSun"/>
                <w:color w:val="000000"/>
                <w:sz w:val="20"/>
                <w:lang w:eastAsia="en-GB"/>
              </w:rPr>
              <w:t xml:space="preserve"> </w:t>
            </w:r>
          </w:p>
        </w:tc>
        <w:tc>
          <w:tcPr>
            <w:tcW w:w="1198" w:type="dxa"/>
            <w:tcBorders>
              <w:top w:val="nil"/>
              <w:bottom w:val="single" w:sz="4" w:space="0" w:color="auto"/>
            </w:tcBorders>
          </w:tcPr>
          <w:p w14:paraId="1E29C35F"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41.2 %</w:t>
            </w:r>
            <w:r w:rsidRPr="005536FE">
              <w:rPr>
                <w:rFonts w:eastAsia="SimSun"/>
                <w:color w:val="000000"/>
                <w:sz w:val="20"/>
                <w:lang w:eastAsia="en-GB"/>
              </w:rPr>
              <w:br/>
            </w:r>
            <w:r w:rsidRPr="005536FE">
              <w:rPr>
                <w:sz w:val="20"/>
              </w:rPr>
              <w:t>(p = 0.01)</w:t>
            </w:r>
          </w:p>
        </w:tc>
        <w:tc>
          <w:tcPr>
            <w:tcW w:w="1198" w:type="dxa"/>
            <w:tcBorders>
              <w:top w:val="nil"/>
              <w:bottom w:val="single" w:sz="4" w:space="0" w:color="auto"/>
            </w:tcBorders>
          </w:tcPr>
          <w:p w14:paraId="4338E110"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 xml:space="preserve">28.4 % </w:t>
            </w:r>
            <w:r w:rsidRPr="005536FE">
              <w:rPr>
                <w:rFonts w:eastAsia="SimSun"/>
                <w:color w:val="000000"/>
                <w:sz w:val="20"/>
                <w:lang w:eastAsia="en-GB"/>
              </w:rPr>
              <w:br/>
            </w:r>
          </w:p>
        </w:tc>
        <w:tc>
          <w:tcPr>
            <w:tcW w:w="1198" w:type="dxa"/>
            <w:tcBorders>
              <w:top w:val="nil"/>
              <w:bottom w:val="single" w:sz="4" w:space="0" w:color="auto"/>
            </w:tcBorders>
          </w:tcPr>
          <w:p w14:paraId="781EFC93"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38.7 %</w:t>
            </w:r>
            <w:r w:rsidRPr="005536FE">
              <w:rPr>
                <w:rFonts w:eastAsia="SimSun"/>
                <w:color w:val="000000"/>
                <w:sz w:val="20"/>
                <w:lang w:eastAsia="en-GB"/>
              </w:rPr>
              <w:br/>
            </w:r>
            <w:r w:rsidRPr="005536FE">
              <w:rPr>
                <w:sz w:val="20"/>
              </w:rPr>
              <w:t>(p &lt; 0.001</w:t>
            </w:r>
            <w:r w:rsidRPr="005536FE">
              <w:rPr>
                <w:rFonts w:eastAsia="SimSun"/>
                <w:color w:val="000000"/>
                <w:sz w:val="20"/>
                <w:lang w:eastAsia="en-GB"/>
              </w:rPr>
              <w:t>)</w:t>
            </w:r>
          </w:p>
        </w:tc>
        <w:tc>
          <w:tcPr>
            <w:tcW w:w="1199" w:type="dxa"/>
            <w:tcBorders>
              <w:top w:val="nil"/>
              <w:bottom w:val="single" w:sz="4" w:space="0" w:color="auto"/>
            </w:tcBorders>
          </w:tcPr>
          <w:p w14:paraId="57CC8478"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23.4 %</w:t>
            </w:r>
            <w:r w:rsidRPr="005536FE">
              <w:rPr>
                <w:rFonts w:eastAsia="SimSun"/>
                <w:color w:val="000000"/>
                <w:sz w:val="20"/>
                <w:lang w:eastAsia="en-GB"/>
              </w:rPr>
              <w:br/>
            </w:r>
          </w:p>
        </w:tc>
      </w:tr>
      <w:tr w:rsidR="004532A0" w:rsidRPr="005536FE" w14:paraId="34689814" w14:textId="77777777" w:rsidTr="00F618AE">
        <w:tc>
          <w:tcPr>
            <w:tcW w:w="1882" w:type="dxa"/>
            <w:tcBorders>
              <w:top w:val="single" w:sz="4" w:space="0" w:color="auto"/>
              <w:bottom w:val="single" w:sz="4" w:space="0" w:color="auto"/>
            </w:tcBorders>
          </w:tcPr>
          <w:p w14:paraId="72863287" w14:textId="77777777" w:rsidR="004532A0" w:rsidRDefault="004532A0" w:rsidP="00837114">
            <w:pPr>
              <w:keepNext/>
              <w:autoSpaceDE w:val="0"/>
              <w:autoSpaceDN w:val="0"/>
              <w:adjustRightInd w:val="0"/>
              <w:spacing w:before="40" w:after="20" w:line="240" w:lineRule="auto"/>
              <w:rPr>
                <w:rFonts w:eastAsia="SimSun"/>
                <w:color w:val="000000"/>
                <w:sz w:val="20"/>
                <w:lang w:eastAsia="en-GB"/>
              </w:rPr>
            </w:pPr>
            <w:r w:rsidRPr="00E418AC">
              <w:rPr>
                <w:rFonts w:eastAsia="SimSun"/>
                <w:b/>
                <w:color w:val="000000"/>
                <w:sz w:val="20"/>
                <w:lang w:eastAsia="en-GB"/>
              </w:rPr>
              <w:t>Skindex</w:t>
            </w:r>
            <w:r w:rsidRPr="00E418AC">
              <w:rPr>
                <w:rFonts w:eastAsia="SimSun"/>
                <w:b/>
                <w:color w:val="000000"/>
                <w:sz w:val="20"/>
                <w:lang w:eastAsia="en-GB"/>
              </w:rPr>
              <w:noBreakHyphen/>
              <w:t>10</w:t>
            </w:r>
            <w:r w:rsidRPr="005536FE">
              <w:rPr>
                <w:rFonts w:eastAsia="SimSun"/>
                <w:color w:val="000000"/>
                <w:sz w:val="20"/>
                <w:lang w:eastAsia="en-GB"/>
              </w:rPr>
              <w:t xml:space="preserve"> </w:t>
            </w:r>
          </w:p>
          <w:p w14:paraId="214D5690" w14:textId="77777777" w:rsidR="004532A0" w:rsidRPr="005536FE" w:rsidRDefault="004532A0" w:rsidP="00837114">
            <w:pPr>
              <w:keepNext/>
              <w:autoSpaceDE w:val="0"/>
              <w:autoSpaceDN w:val="0"/>
              <w:adjustRightInd w:val="0"/>
              <w:spacing w:before="40" w:after="20" w:line="240" w:lineRule="auto"/>
              <w:rPr>
                <w:rFonts w:eastAsia="SimSun"/>
                <w:color w:val="000000"/>
                <w:sz w:val="20"/>
                <w:lang w:eastAsia="en-GB"/>
              </w:rPr>
            </w:pPr>
            <w:r w:rsidRPr="005536FE">
              <w:rPr>
                <w:rFonts w:eastAsia="SimSun"/>
                <w:color w:val="000000"/>
                <w:sz w:val="20"/>
                <w:lang w:eastAsia="en-GB"/>
              </w:rPr>
              <w:t>[points]</w:t>
            </w:r>
          </w:p>
        </w:tc>
        <w:tc>
          <w:tcPr>
            <w:tcW w:w="1198" w:type="dxa"/>
            <w:tcBorders>
              <w:top w:val="single" w:sz="4" w:space="0" w:color="auto"/>
              <w:bottom w:val="single" w:sz="4" w:space="0" w:color="auto"/>
            </w:tcBorders>
          </w:tcPr>
          <w:p w14:paraId="2EFE8CFC"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-17.2</w:t>
            </w:r>
            <w:r w:rsidRPr="005536FE">
              <w:rPr>
                <w:sz w:val="20"/>
              </w:rPr>
              <w:br/>
              <w:t>(p &lt; 0.001)</w:t>
            </w:r>
          </w:p>
        </w:tc>
        <w:tc>
          <w:tcPr>
            <w:tcW w:w="1198" w:type="dxa"/>
            <w:tcBorders>
              <w:top w:val="single" w:sz="4" w:space="0" w:color="auto"/>
              <w:bottom w:val="single" w:sz="4" w:space="0" w:color="auto"/>
            </w:tcBorders>
          </w:tcPr>
          <w:p w14:paraId="76735BA3"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-12.0</w:t>
            </w:r>
            <w:r w:rsidRPr="005536FE">
              <w:rPr>
                <w:sz w:val="20"/>
              </w:rPr>
              <w:br/>
            </w:r>
          </w:p>
        </w:tc>
        <w:tc>
          <w:tcPr>
            <w:tcW w:w="1198" w:type="dxa"/>
            <w:tcBorders>
              <w:top w:val="single" w:sz="4" w:space="0" w:color="auto"/>
              <w:bottom w:val="single" w:sz="4" w:space="0" w:color="auto"/>
            </w:tcBorders>
          </w:tcPr>
          <w:p w14:paraId="428F6FFB"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-16.6</w:t>
            </w:r>
            <w:r w:rsidRPr="005536FE">
              <w:rPr>
                <w:sz w:val="20"/>
              </w:rPr>
              <w:br/>
              <w:t>(p = 0.171)</w:t>
            </w:r>
          </w:p>
        </w:tc>
        <w:tc>
          <w:tcPr>
            <w:tcW w:w="1198" w:type="dxa"/>
            <w:tcBorders>
              <w:top w:val="single" w:sz="4" w:space="0" w:color="auto"/>
              <w:bottom w:val="single" w:sz="4" w:space="0" w:color="auto"/>
            </w:tcBorders>
          </w:tcPr>
          <w:p w14:paraId="13C7BC17"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-14.8</w:t>
            </w:r>
            <w:r w:rsidRPr="005536FE">
              <w:rPr>
                <w:sz w:val="20"/>
              </w:rPr>
              <w:br/>
            </w:r>
          </w:p>
        </w:tc>
        <w:tc>
          <w:tcPr>
            <w:tcW w:w="1198" w:type="dxa"/>
            <w:tcBorders>
              <w:top w:val="single" w:sz="4" w:space="0" w:color="auto"/>
              <w:bottom w:val="single" w:sz="4" w:space="0" w:color="auto"/>
            </w:tcBorders>
          </w:tcPr>
          <w:p w14:paraId="708771E7"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-16.1</w:t>
            </w:r>
            <w:r w:rsidRPr="005536FE">
              <w:rPr>
                <w:rFonts w:eastAsia="SimSun"/>
                <w:color w:val="000000"/>
                <w:sz w:val="20"/>
                <w:lang w:eastAsia="en-GB"/>
              </w:rPr>
              <w:br/>
            </w:r>
            <w:r w:rsidRPr="005536FE">
              <w:rPr>
                <w:sz w:val="20"/>
              </w:rPr>
              <w:t>(p &lt; 0.001)</w:t>
            </w:r>
          </w:p>
        </w:tc>
        <w:tc>
          <w:tcPr>
            <w:tcW w:w="1199" w:type="dxa"/>
            <w:tcBorders>
              <w:top w:val="single" w:sz="4" w:space="0" w:color="auto"/>
              <w:bottom w:val="single" w:sz="4" w:space="0" w:color="auto"/>
            </w:tcBorders>
          </w:tcPr>
          <w:p w14:paraId="1729A9ED"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rFonts w:eastAsia="SimSun"/>
                <w:color w:val="000000"/>
                <w:sz w:val="20"/>
                <w:lang w:eastAsia="en-GB"/>
              </w:rPr>
              <w:t>-12.8</w:t>
            </w:r>
            <w:r w:rsidRPr="005536FE">
              <w:rPr>
                <w:rFonts w:eastAsia="SimSun"/>
                <w:color w:val="000000"/>
                <w:sz w:val="20"/>
                <w:lang w:eastAsia="en-GB"/>
              </w:rPr>
              <w:br/>
            </w:r>
          </w:p>
        </w:tc>
      </w:tr>
      <w:tr w:rsidR="004532A0" w:rsidRPr="005536FE" w14:paraId="2E4948F3" w14:textId="77777777" w:rsidTr="00F618AE">
        <w:tc>
          <w:tcPr>
            <w:tcW w:w="1882" w:type="dxa"/>
            <w:tcBorders>
              <w:top w:val="single" w:sz="4" w:space="0" w:color="auto"/>
              <w:bottom w:val="single" w:sz="4" w:space="0" w:color="auto"/>
            </w:tcBorders>
          </w:tcPr>
          <w:p w14:paraId="2B9F0CD6" w14:textId="77777777" w:rsidR="004532A0" w:rsidRPr="005536FE" w:rsidRDefault="004532A0" w:rsidP="00837114">
            <w:pPr>
              <w:keepNext/>
              <w:autoSpaceDE w:val="0"/>
              <w:autoSpaceDN w:val="0"/>
              <w:adjustRightInd w:val="0"/>
              <w:spacing w:before="40" w:after="20" w:line="240" w:lineRule="auto"/>
              <w:rPr>
                <w:rFonts w:eastAsia="SimSun"/>
                <w:color w:val="000000"/>
                <w:sz w:val="20"/>
                <w:lang w:eastAsia="en-GB"/>
              </w:rPr>
            </w:pPr>
            <w:r w:rsidRPr="00E418AC">
              <w:rPr>
                <w:rFonts w:eastAsia="SimSun"/>
                <w:b/>
                <w:color w:val="000000"/>
                <w:sz w:val="20"/>
                <w:lang w:eastAsia="en-GB"/>
              </w:rPr>
              <w:t>5</w:t>
            </w:r>
            <w:r w:rsidRPr="00E418AC">
              <w:rPr>
                <w:rFonts w:eastAsia="SimSun"/>
                <w:b/>
                <w:color w:val="000000"/>
                <w:sz w:val="20"/>
                <w:lang w:eastAsia="en-GB"/>
              </w:rPr>
              <w:noBreakHyphen/>
              <w:t>D Itch</w:t>
            </w:r>
            <w:r w:rsidRPr="005536FE">
              <w:rPr>
                <w:rFonts w:eastAsia="SimSun"/>
                <w:color w:val="000000"/>
                <w:sz w:val="20"/>
                <w:lang w:eastAsia="en-GB"/>
              </w:rPr>
              <w:t xml:space="preserve"> </w:t>
            </w:r>
            <w:r>
              <w:rPr>
                <w:rFonts w:eastAsia="SimSun"/>
                <w:color w:val="000000"/>
                <w:sz w:val="20"/>
                <w:lang w:eastAsia="en-GB"/>
              </w:rPr>
              <w:br/>
            </w:r>
            <w:r w:rsidRPr="005536FE">
              <w:rPr>
                <w:rFonts w:eastAsia="SimSun"/>
                <w:color w:val="000000"/>
                <w:sz w:val="20"/>
                <w:lang w:eastAsia="en-GB"/>
              </w:rPr>
              <w:t>[points]</w:t>
            </w:r>
          </w:p>
        </w:tc>
        <w:tc>
          <w:tcPr>
            <w:tcW w:w="1198" w:type="dxa"/>
            <w:tcBorders>
              <w:top w:val="single" w:sz="4" w:space="0" w:color="auto"/>
              <w:bottom w:val="single" w:sz="4" w:space="0" w:color="auto"/>
            </w:tcBorders>
            <w:vAlign w:val="bottom"/>
          </w:tcPr>
          <w:p w14:paraId="0FBC31DB"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-5.0</w:t>
            </w:r>
            <w:r w:rsidRPr="005536FE">
              <w:rPr>
                <w:sz w:val="20"/>
              </w:rPr>
              <w:br/>
              <w:t>(p &lt; 0.001)</w:t>
            </w:r>
          </w:p>
        </w:tc>
        <w:tc>
          <w:tcPr>
            <w:tcW w:w="1198" w:type="dxa"/>
            <w:tcBorders>
              <w:top w:val="single" w:sz="4" w:space="0" w:color="auto"/>
              <w:bottom w:val="single" w:sz="4" w:space="0" w:color="auto"/>
            </w:tcBorders>
            <w:vAlign w:val="bottom"/>
          </w:tcPr>
          <w:p w14:paraId="41D1564E"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-3.7</w:t>
            </w:r>
            <w:r w:rsidRPr="005536FE">
              <w:rPr>
                <w:sz w:val="20"/>
              </w:rPr>
              <w:br/>
            </w:r>
          </w:p>
        </w:tc>
        <w:tc>
          <w:tcPr>
            <w:tcW w:w="1198" w:type="dxa"/>
            <w:tcBorders>
              <w:top w:val="single" w:sz="4" w:space="0" w:color="auto"/>
              <w:bottom w:val="single" w:sz="4" w:space="0" w:color="auto"/>
            </w:tcBorders>
            <w:vAlign w:val="bottom"/>
          </w:tcPr>
          <w:p w14:paraId="16E8CD93"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-4.9</w:t>
            </w:r>
            <w:r w:rsidRPr="005536FE">
              <w:rPr>
                <w:sz w:val="20"/>
              </w:rPr>
              <w:br/>
              <w:t>(p = 0.002)</w:t>
            </w:r>
          </w:p>
        </w:tc>
        <w:tc>
          <w:tcPr>
            <w:tcW w:w="1198" w:type="dxa"/>
            <w:tcBorders>
              <w:top w:val="single" w:sz="4" w:space="0" w:color="auto"/>
              <w:bottom w:val="single" w:sz="4" w:space="0" w:color="auto"/>
            </w:tcBorders>
            <w:vAlign w:val="bottom"/>
          </w:tcPr>
          <w:p w14:paraId="7C232EB4"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-3.8</w:t>
            </w:r>
            <w:r w:rsidRPr="005536FE">
              <w:rPr>
                <w:sz w:val="20"/>
              </w:rPr>
              <w:br/>
            </w:r>
          </w:p>
        </w:tc>
        <w:tc>
          <w:tcPr>
            <w:tcW w:w="1198" w:type="dxa"/>
            <w:tcBorders>
              <w:top w:val="single" w:sz="4" w:space="0" w:color="auto"/>
              <w:bottom w:val="single" w:sz="4" w:space="0" w:color="auto"/>
            </w:tcBorders>
            <w:vAlign w:val="bottom"/>
          </w:tcPr>
          <w:p w14:paraId="6CC3B955"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-4.8</w:t>
            </w:r>
            <w:r w:rsidRPr="005536FE">
              <w:rPr>
                <w:sz w:val="20"/>
              </w:rPr>
              <w:br/>
              <w:t>(p &lt; 0.001)</w:t>
            </w:r>
          </w:p>
        </w:tc>
        <w:tc>
          <w:tcPr>
            <w:tcW w:w="1199" w:type="dxa"/>
            <w:tcBorders>
              <w:top w:val="single" w:sz="4" w:space="0" w:color="auto"/>
              <w:bottom w:val="single" w:sz="4" w:space="0" w:color="auto"/>
            </w:tcBorders>
            <w:vAlign w:val="bottom"/>
          </w:tcPr>
          <w:p w14:paraId="2BA9DB28" w14:textId="77777777" w:rsidR="004532A0" w:rsidRPr="005536FE" w:rsidRDefault="004532A0" w:rsidP="00837114">
            <w:pPr>
              <w:keepNext/>
              <w:autoSpaceDE w:val="0"/>
              <w:autoSpaceDN w:val="0"/>
              <w:adjustRightInd w:val="0"/>
              <w:spacing w:before="40" w:after="20" w:line="240" w:lineRule="auto"/>
              <w:jc w:val="center"/>
              <w:rPr>
                <w:rFonts w:eastAsia="SimSun"/>
                <w:color w:val="000000"/>
                <w:sz w:val="20"/>
                <w:lang w:eastAsia="en-GB"/>
              </w:rPr>
            </w:pPr>
            <w:r w:rsidRPr="005536FE">
              <w:rPr>
                <w:sz w:val="20"/>
              </w:rPr>
              <w:t>-3.7</w:t>
            </w:r>
            <w:r w:rsidRPr="005536FE">
              <w:rPr>
                <w:sz w:val="20"/>
              </w:rPr>
              <w:br/>
            </w:r>
          </w:p>
        </w:tc>
      </w:tr>
    </w:tbl>
    <w:p w14:paraId="4C806DB0" w14:textId="77777777" w:rsidR="004532A0" w:rsidRPr="00D84542" w:rsidRDefault="004532A0" w:rsidP="00837114">
      <w:pPr>
        <w:keepNext/>
        <w:autoSpaceDE w:val="0"/>
        <w:autoSpaceDN w:val="0"/>
        <w:adjustRightInd w:val="0"/>
        <w:spacing w:line="240" w:lineRule="auto"/>
        <w:rPr>
          <w:rFonts w:eastAsia="SimSun"/>
          <w:color w:val="000000"/>
          <w:szCs w:val="22"/>
          <w:lang w:val="en-US" w:eastAsia="en-GB"/>
        </w:rPr>
      </w:pPr>
    </w:p>
    <w:p w14:paraId="75FCE9DA" w14:textId="35BB870E" w:rsidR="004532A0" w:rsidRPr="00FF01BC" w:rsidRDefault="004532A0" w:rsidP="00FF01BC">
      <w:pPr>
        <w:spacing w:line="240" w:lineRule="auto"/>
        <w:rPr>
          <w:rFonts w:eastAsia="SimSun"/>
          <w:color w:val="000000"/>
          <w:szCs w:val="22"/>
          <w:lang w:val="en-US" w:eastAsia="en-GB"/>
        </w:rPr>
      </w:pPr>
      <w:r w:rsidRPr="00D84542">
        <w:rPr>
          <w:rFonts w:eastAsia="SimSun"/>
          <w:color w:val="000000"/>
          <w:szCs w:val="22"/>
          <w:lang w:val="en-US" w:eastAsia="en-GB"/>
        </w:rPr>
        <w:fldChar w:fldCharType="begin"/>
      </w:r>
      <w:r w:rsidRPr="00D84542">
        <w:rPr>
          <w:rFonts w:eastAsia="SimSun"/>
          <w:color w:val="000000"/>
          <w:szCs w:val="22"/>
          <w:lang w:val="en-US" w:eastAsia="en-GB"/>
        </w:rPr>
        <w:instrText xml:space="preserve"> REF _Ref62660008 \h  \* MERGEFORMAT </w:instrText>
      </w:r>
      <w:r w:rsidRPr="00D84542">
        <w:rPr>
          <w:rFonts w:eastAsia="SimSun"/>
          <w:color w:val="000000"/>
          <w:szCs w:val="22"/>
          <w:lang w:val="en-US" w:eastAsia="en-GB"/>
        </w:rPr>
      </w:r>
      <w:r w:rsidRPr="00D84542">
        <w:rPr>
          <w:rFonts w:eastAsia="SimSun"/>
          <w:color w:val="000000"/>
          <w:szCs w:val="22"/>
          <w:lang w:val="en-US" w:eastAsia="en-GB"/>
        </w:rPr>
        <w:fldChar w:fldCharType="separate"/>
      </w:r>
      <w:r w:rsidR="00F5656E" w:rsidRPr="00F5656E">
        <w:rPr>
          <w:rFonts w:eastAsia="SimSun"/>
          <w:color w:val="000000"/>
          <w:szCs w:val="22"/>
          <w:lang w:val="en-US" w:eastAsia="en-GB"/>
        </w:rPr>
        <w:t>Figure 1</w:t>
      </w:r>
      <w:r w:rsidRPr="00D84542">
        <w:rPr>
          <w:rFonts w:eastAsia="SimSun"/>
          <w:color w:val="000000"/>
          <w:szCs w:val="22"/>
          <w:lang w:val="en-US" w:eastAsia="en-GB"/>
        </w:rPr>
        <w:fldChar w:fldCharType="end"/>
      </w:r>
      <w:r w:rsidRPr="00FF01BC">
        <w:rPr>
          <w:rFonts w:eastAsia="SimSun"/>
          <w:color w:val="000000"/>
          <w:szCs w:val="22"/>
          <w:lang w:val="en-US" w:eastAsia="en-GB"/>
        </w:rPr>
        <w:t xml:space="preserve"> shows the mean percentage from pooled KALM</w:t>
      </w:r>
      <w:r w:rsidRPr="00FF01BC">
        <w:rPr>
          <w:rFonts w:eastAsia="SimSun"/>
          <w:color w:val="000000"/>
          <w:szCs w:val="22"/>
          <w:lang w:val="en-US" w:eastAsia="en-GB"/>
        </w:rPr>
        <w:noBreakHyphen/>
        <w:t>1 and KALM</w:t>
      </w:r>
      <w:r w:rsidRPr="00FF01BC">
        <w:rPr>
          <w:rFonts w:eastAsia="SimSun"/>
          <w:color w:val="000000"/>
          <w:szCs w:val="22"/>
          <w:lang w:val="en-US" w:eastAsia="en-GB"/>
        </w:rPr>
        <w:noBreakHyphen/>
        <w:t>2 with a ≥ 3</w:t>
      </w:r>
      <w:r w:rsidRPr="00FF01BC">
        <w:rPr>
          <w:rFonts w:eastAsia="SimSun"/>
          <w:color w:val="000000"/>
          <w:szCs w:val="22"/>
          <w:lang w:val="en-US" w:eastAsia="en-GB"/>
        </w:rPr>
        <w:noBreakHyphen/>
        <w:t>point improvement from baseline in WI</w:t>
      </w:r>
      <w:r w:rsidRPr="00FF01BC">
        <w:rPr>
          <w:rFonts w:eastAsia="SimSun"/>
          <w:color w:val="000000"/>
          <w:szCs w:val="22"/>
          <w:lang w:val="en-US" w:eastAsia="en-GB"/>
        </w:rPr>
        <w:noBreakHyphen/>
        <w:t>NRS score by study week. Statistically significant improvements favouring the difelikefalin group were seen by week 2 and continued at each subsequent week through week 12. The treatment effect was observed r</w:t>
      </w:r>
      <w:r w:rsidRPr="00D84542">
        <w:rPr>
          <w:rFonts w:eastAsia="SimSun"/>
          <w:color w:val="000000"/>
          <w:szCs w:val="22"/>
          <w:lang w:val="en-US" w:eastAsia="en-GB"/>
        </w:rPr>
        <w:t xml:space="preserve">egardless of prior use of </w:t>
      </w:r>
      <w:r>
        <w:rPr>
          <w:rFonts w:eastAsia="SimSun"/>
          <w:color w:val="000000"/>
          <w:szCs w:val="22"/>
          <w:lang w:val="en-US" w:eastAsia="en-GB"/>
        </w:rPr>
        <w:t>medicinal products</w:t>
      </w:r>
      <w:r w:rsidRPr="00D84542">
        <w:rPr>
          <w:rFonts w:eastAsia="SimSun"/>
          <w:color w:val="000000"/>
          <w:szCs w:val="22"/>
          <w:lang w:val="en-US" w:eastAsia="en-GB"/>
        </w:rPr>
        <w:t xml:space="preserve"> intended to relieve pruritus. </w:t>
      </w:r>
      <w:r w:rsidRPr="00FF01BC">
        <w:rPr>
          <w:rFonts w:eastAsia="SimSun"/>
          <w:color w:val="000000"/>
          <w:szCs w:val="22"/>
          <w:lang w:val="en-US" w:eastAsia="en-GB"/>
        </w:rPr>
        <w:t>The estimated odds ratio for a ≥ 3</w:t>
      </w:r>
      <w:r w:rsidRPr="00FF01BC">
        <w:rPr>
          <w:rFonts w:eastAsia="SimSun"/>
          <w:color w:val="000000"/>
          <w:szCs w:val="22"/>
          <w:lang w:val="en-US" w:eastAsia="en-GB"/>
        </w:rPr>
        <w:noBreakHyphen/>
        <w:t xml:space="preserve">point improvement from baseline with difelikefalin versus placebo at week 12 was 2.37 (95 % CI 1.46, 3.86; p &lt; 0.001) for patients who previously used medicinal products </w:t>
      </w:r>
      <w:r w:rsidRPr="00D84542">
        <w:rPr>
          <w:rFonts w:eastAsia="SimSun"/>
          <w:color w:val="000000"/>
          <w:szCs w:val="22"/>
          <w:lang w:val="en-US" w:eastAsia="en-GB"/>
        </w:rPr>
        <w:t>intended to relieve pruritus</w:t>
      </w:r>
      <w:r w:rsidRPr="00FF01BC">
        <w:rPr>
          <w:rFonts w:eastAsia="SimSun"/>
          <w:color w:val="000000"/>
          <w:szCs w:val="22"/>
          <w:lang w:val="en-US" w:eastAsia="en-GB"/>
        </w:rPr>
        <w:t>, and 1.76 (95 % CI 1.22, 2.54; = 0.002) for patients who had not previously used such medicinal products.</w:t>
      </w:r>
    </w:p>
    <w:p w14:paraId="02A44623" w14:textId="77777777" w:rsidR="004532A0" w:rsidRPr="00657E9D" w:rsidRDefault="004532A0" w:rsidP="004532A0">
      <w:pPr>
        <w:rPr>
          <w:rFonts w:eastAsia="SimSun"/>
          <w:color w:val="000000"/>
          <w:szCs w:val="22"/>
          <w:lang w:eastAsia="en-GB"/>
        </w:rPr>
      </w:pPr>
    </w:p>
    <w:p w14:paraId="7C9F1F19" w14:textId="77777777" w:rsidR="001173AD" w:rsidRDefault="001173AD" w:rsidP="004532A0">
      <w:pPr>
        <w:pStyle w:val="Caption"/>
        <w:rPr>
          <w:b/>
          <w:i w:val="0"/>
          <w:iCs w:val="0"/>
          <w:color w:val="auto"/>
          <w:sz w:val="22"/>
          <w:szCs w:val="20"/>
        </w:rPr>
      </w:pPr>
      <w:bookmarkStart w:id="19" w:name="_Ref62660008"/>
    </w:p>
    <w:p w14:paraId="5F84C5D6" w14:textId="77777777" w:rsidR="001173AD" w:rsidRDefault="001173AD" w:rsidP="004532A0">
      <w:pPr>
        <w:pStyle w:val="Caption"/>
        <w:rPr>
          <w:b/>
          <w:i w:val="0"/>
          <w:iCs w:val="0"/>
          <w:color w:val="auto"/>
          <w:sz w:val="22"/>
          <w:szCs w:val="20"/>
        </w:rPr>
      </w:pPr>
    </w:p>
    <w:p w14:paraId="73235C97" w14:textId="7F78FCBC" w:rsidR="004532A0" w:rsidRDefault="004532A0" w:rsidP="004532A0">
      <w:pPr>
        <w:pStyle w:val="Caption"/>
        <w:rPr>
          <w:i w:val="0"/>
          <w:iCs w:val="0"/>
          <w:color w:val="auto"/>
          <w:szCs w:val="20"/>
        </w:rPr>
      </w:pPr>
      <w:r w:rsidRPr="00E418AC">
        <w:rPr>
          <w:b/>
          <w:i w:val="0"/>
          <w:iCs w:val="0"/>
          <w:color w:val="auto"/>
          <w:sz w:val="22"/>
          <w:szCs w:val="20"/>
        </w:rPr>
        <w:lastRenderedPageBreak/>
        <w:t xml:space="preserve">Figure </w:t>
      </w:r>
      <w:r w:rsidRPr="00E418AC">
        <w:rPr>
          <w:b/>
          <w:i w:val="0"/>
          <w:iCs w:val="0"/>
          <w:color w:val="auto"/>
          <w:sz w:val="22"/>
          <w:szCs w:val="20"/>
        </w:rPr>
        <w:fldChar w:fldCharType="begin"/>
      </w:r>
      <w:r w:rsidRPr="00E418AC">
        <w:rPr>
          <w:b/>
          <w:i w:val="0"/>
          <w:iCs w:val="0"/>
          <w:color w:val="auto"/>
          <w:sz w:val="22"/>
          <w:szCs w:val="20"/>
        </w:rPr>
        <w:instrText xml:space="preserve"> SEQ Figure \* ARABIC </w:instrText>
      </w:r>
      <w:r w:rsidRPr="00E418AC">
        <w:rPr>
          <w:b/>
          <w:i w:val="0"/>
          <w:iCs w:val="0"/>
          <w:color w:val="auto"/>
          <w:sz w:val="22"/>
          <w:szCs w:val="20"/>
        </w:rPr>
        <w:fldChar w:fldCharType="separate"/>
      </w:r>
      <w:r w:rsidR="00F5656E">
        <w:rPr>
          <w:b/>
          <w:i w:val="0"/>
          <w:iCs w:val="0"/>
          <w:noProof/>
          <w:color w:val="auto"/>
          <w:sz w:val="22"/>
          <w:szCs w:val="20"/>
        </w:rPr>
        <w:t>1</w:t>
      </w:r>
      <w:r w:rsidRPr="00E418AC">
        <w:rPr>
          <w:b/>
          <w:i w:val="0"/>
          <w:iCs w:val="0"/>
          <w:color w:val="auto"/>
          <w:sz w:val="22"/>
          <w:szCs w:val="20"/>
        </w:rPr>
        <w:fldChar w:fldCharType="end"/>
      </w:r>
      <w:bookmarkEnd w:id="19"/>
      <w:r w:rsidRPr="00E418AC">
        <w:rPr>
          <w:b/>
          <w:i w:val="0"/>
          <w:iCs w:val="0"/>
          <w:color w:val="auto"/>
          <w:sz w:val="22"/>
          <w:szCs w:val="20"/>
        </w:rPr>
        <w:t>:</w:t>
      </w:r>
      <w:r w:rsidR="009120E4">
        <w:rPr>
          <w:b/>
          <w:i w:val="0"/>
          <w:iCs w:val="0"/>
          <w:color w:val="auto"/>
          <w:sz w:val="22"/>
          <w:szCs w:val="20"/>
        </w:rPr>
        <w:t xml:space="preserve"> </w:t>
      </w:r>
      <w:r w:rsidRPr="00E418AC">
        <w:rPr>
          <w:b/>
          <w:i w:val="0"/>
          <w:iCs w:val="0"/>
          <w:color w:val="auto"/>
          <w:sz w:val="22"/>
          <w:szCs w:val="20"/>
        </w:rPr>
        <w:t xml:space="preserve"> Percentage of patients with ≥ 3</w:t>
      </w:r>
      <w:r w:rsidRPr="00E418AC">
        <w:rPr>
          <w:b/>
          <w:i w:val="0"/>
          <w:iCs w:val="0"/>
          <w:color w:val="auto"/>
          <w:sz w:val="22"/>
          <w:szCs w:val="20"/>
        </w:rPr>
        <w:noBreakHyphen/>
        <w:t>point improvement with respect to the WI</w:t>
      </w:r>
      <w:r w:rsidRPr="00E418AC">
        <w:rPr>
          <w:b/>
          <w:i w:val="0"/>
          <w:iCs w:val="0"/>
          <w:color w:val="auto"/>
          <w:sz w:val="22"/>
          <w:szCs w:val="20"/>
        </w:rPr>
        <w:noBreakHyphen/>
        <w:t>NRS score by week </w:t>
      </w:r>
      <w:r w:rsidRPr="00E418AC">
        <w:rPr>
          <w:b/>
          <w:i w:val="0"/>
          <w:iCs w:val="0"/>
          <w:color w:val="auto"/>
          <w:sz w:val="22"/>
          <w:szCs w:val="20"/>
        </w:rPr>
        <w:noBreakHyphen/>
        <w:t> (ITT population </w:t>
      </w:r>
      <w:r w:rsidRPr="00E418AC">
        <w:rPr>
          <w:b/>
          <w:i w:val="0"/>
          <w:iCs w:val="0"/>
          <w:color w:val="auto"/>
          <w:sz w:val="22"/>
          <w:szCs w:val="20"/>
        </w:rPr>
        <w:noBreakHyphen/>
        <w:t> pooled analysis)</w:t>
      </w:r>
      <w:r w:rsidRPr="002948D3">
        <w:rPr>
          <w:noProof/>
          <w:lang w:val="en-US"/>
        </w:rPr>
        <w:drawing>
          <wp:inline distT="0" distB="0" distL="0" distR="0" wp14:anchorId="786BB74E" wp14:editId="6A4441DA">
            <wp:extent cx="5760085" cy="2749550"/>
            <wp:effectExtent l="0" t="0" r="571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2749550"/>
                    </a:xfrm>
                    <a:prstGeom prst="rect">
                      <a:avLst/>
                    </a:prstGeom>
                  </pic:spPr>
                </pic:pic>
              </a:graphicData>
            </a:graphic>
          </wp:inline>
        </w:drawing>
      </w:r>
      <w:r w:rsidRPr="001812B7">
        <w:rPr>
          <w:i w:val="0"/>
          <w:iCs w:val="0"/>
          <w:color w:val="auto"/>
          <w:szCs w:val="20"/>
        </w:rPr>
        <w:t>CI</w:t>
      </w:r>
      <w:r>
        <w:rPr>
          <w:i w:val="0"/>
          <w:iCs w:val="0"/>
          <w:color w:val="auto"/>
          <w:szCs w:val="20"/>
        </w:rPr>
        <w:t> </w:t>
      </w:r>
      <w:r w:rsidRPr="001812B7">
        <w:rPr>
          <w:i w:val="0"/>
          <w:iCs w:val="0"/>
          <w:color w:val="auto"/>
          <w:szCs w:val="20"/>
        </w:rPr>
        <w:t>=</w:t>
      </w:r>
      <w:r>
        <w:rPr>
          <w:i w:val="0"/>
          <w:iCs w:val="0"/>
          <w:color w:val="auto"/>
          <w:szCs w:val="20"/>
        </w:rPr>
        <w:t> </w:t>
      </w:r>
      <w:r w:rsidRPr="001812B7">
        <w:rPr>
          <w:i w:val="0"/>
          <w:iCs w:val="0"/>
          <w:color w:val="auto"/>
          <w:szCs w:val="20"/>
        </w:rPr>
        <w:t>confidence interval; LS</w:t>
      </w:r>
      <w:r>
        <w:rPr>
          <w:i w:val="0"/>
          <w:iCs w:val="0"/>
          <w:color w:val="auto"/>
          <w:szCs w:val="20"/>
        </w:rPr>
        <w:t> </w:t>
      </w:r>
      <w:r w:rsidRPr="001812B7">
        <w:rPr>
          <w:i w:val="0"/>
          <w:iCs w:val="0"/>
          <w:color w:val="auto"/>
          <w:szCs w:val="20"/>
        </w:rPr>
        <w:t>=</w:t>
      </w:r>
      <w:r>
        <w:rPr>
          <w:i w:val="0"/>
          <w:iCs w:val="0"/>
          <w:color w:val="auto"/>
          <w:szCs w:val="20"/>
        </w:rPr>
        <w:t> </w:t>
      </w:r>
      <w:r w:rsidRPr="001812B7">
        <w:rPr>
          <w:i w:val="0"/>
          <w:iCs w:val="0"/>
          <w:color w:val="auto"/>
          <w:szCs w:val="20"/>
        </w:rPr>
        <w:t>least squares; WI</w:t>
      </w:r>
      <w:r>
        <w:rPr>
          <w:i w:val="0"/>
          <w:iCs w:val="0"/>
          <w:color w:val="auto"/>
          <w:szCs w:val="20"/>
        </w:rPr>
        <w:noBreakHyphen/>
      </w:r>
      <w:r w:rsidRPr="001812B7">
        <w:rPr>
          <w:i w:val="0"/>
          <w:iCs w:val="0"/>
          <w:color w:val="auto"/>
          <w:szCs w:val="20"/>
        </w:rPr>
        <w:t>NRS = Worst Itching</w:t>
      </w:r>
      <w:r>
        <w:rPr>
          <w:i w:val="0"/>
          <w:iCs w:val="0"/>
          <w:color w:val="auto"/>
          <w:szCs w:val="20"/>
        </w:rPr>
        <w:noBreakHyphen/>
      </w:r>
      <w:r w:rsidRPr="001812B7">
        <w:rPr>
          <w:i w:val="0"/>
          <w:iCs w:val="0"/>
          <w:color w:val="auto"/>
          <w:szCs w:val="20"/>
        </w:rPr>
        <w:t>Numerical Rating Scale</w:t>
      </w:r>
    </w:p>
    <w:p w14:paraId="66FA7CAC" w14:textId="18036584" w:rsidR="004532A0" w:rsidRPr="00D84542" w:rsidRDefault="004532A0" w:rsidP="00FF01BC">
      <w:pPr>
        <w:spacing w:line="240" w:lineRule="auto"/>
        <w:rPr>
          <w:rFonts w:eastAsia="SimSun"/>
          <w:color w:val="000000"/>
          <w:szCs w:val="22"/>
          <w:lang w:val="en-US" w:eastAsia="en-GB"/>
        </w:rPr>
      </w:pPr>
      <w:r w:rsidRPr="00D84542">
        <w:rPr>
          <w:rFonts w:eastAsia="SimSun"/>
          <w:color w:val="000000"/>
          <w:szCs w:val="22"/>
          <w:lang w:val="en-US" w:eastAsia="en-GB"/>
        </w:rPr>
        <w:t xml:space="preserve">In addition, a responder analysis based on </w:t>
      </w:r>
      <w:r w:rsidRPr="00FF01BC">
        <w:rPr>
          <w:rFonts w:eastAsia="SimSun"/>
          <w:color w:val="000000"/>
          <w:szCs w:val="22"/>
          <w:lang w:val="en-US" w:eastAsia="en-GB"/>
        </w:rPr>
        <w:t>Patient Global Impression of Change</w:t>
      </w:r>
      <w:r w:rsidR="00613EC0">
        <w:rPr>
          <w:rFonts w:eastAsia="SimSun"/>
          <w:color w:val="000000"/>
          <w:szCs w:val="22"/>
          <w:lang w:val="en-US" w:eastAsia="en-GB"/>
        </w:rPr>
        <w:t xml:space="preserve"> (an exploratory endpoint)</w:t>
      </w:r>
      <w:r w:rsidRPr="00FF01BC">
        <w:rPr>
          <w:rFonts w:eastAsia="SimSun"/>
          <w:color w:val="000000"/>
          <w:szCs w:val="22"/>
          <w:lang w:val="en-US" w:eastAsia="en-GB"/>
        </w:rPr>
        <w:t xml:space="preserve"> showed </w:t>
      </w:r>
      <w:r w:rsidR="006E112C">
        <w:rPr>
          <w:rFonts w:eastAsia="SimSun"/>
          <w:color w:val="000000"/>
          <w:szCs w:val="22"/>
          <w:lang w:val="en-US" w:eastAsia="en-GB"/>
        </w:rPr>
        <w:t xml:space="preserve">a </w:t>
      </w:r>
      <w:r w:rsidRPr="00FF01BC">
        <w:rPr>
          <w:rFonts w:eastAsia="SimSun"/>
          <w:color w:val="000000"/>
          <w:szCs w:val="22"/>
          <w:lang w:val="en-US" w:eastAsia="en-GB"/>
        </w:rPr>
        <w:t>difference in responders between</w:t>
      </w:r>
      <w:r w:rsidRPr="00D84542">
        <w:rPr>
          <w:rFonts w:eastAsia="SimSun"/>
          <w:color w:val="000000"/>
          <w:szCs w:val="22"/>
          <w:lang w:val="en-US" w:eastAsia="en-GB"/>
        </w:rPr>
        <w:t xml:space="preserve"> difelikefalin and placebo groups (55.9 % vs. 39.5 %; p &lt; 0.001)</w:t>
      </w:r>
      <w:r w:rsidRPr="00FF01BC">
        <w:rPr>
          <w:rFonts w:eastAsia="SimSun"/>
          <w:color w:val="000000"/>
          <w:szCs w:val="22"/>
          <w:lang w:val="en-US" w:eastAsia="en-GB"/>
        </w:rPr>
        <w:t xml:space="preserve"> </w:t>
      </w:r>
      <w:r w:rsidRPr="00D84542">
        <w:rPr>
          <w:rFonts w:eastAsia="SimSun"/>
          <w:color w:val="000000"/>
          <w:szCs w:val="22"/>
          <w:lang w:val="en-US" w:eastAsia="en-GB"/>
        </w:rPr>
        <w:t xml:space="preserve">at the end of the double-blind treatment period. </w:t>
      </w:r>
    </w:p>
    <w:p w14:paraId="328DB2FE" w14:textId="77777777" w:rsidR="004532A0" w:rsidRDefault="004532A0" w:rsidP="004532A0">
      <w:pPr>
        <w:rPr>
          <w:rFonts w:ascii="TimesNewRomanPSMT" w:eastAsia="SimSun" w:hAnsi="TimesNewRomanPSMT" w:cs="TimesNewRomanPSMT"/>
          <w:color w:val="000000"/>
          <w:szCs w:val="22"/>
          <w:lang w:val="en-US" w:eastAsia="en-GB"/>
        </w:rPr>
      </w:pPr>
    </w:p>
    <w:p w14:paraId="01189251" w14:textId="77777777" w:rsidR="004532A0" w:rsidRPr="00B321D0" w:rsidRDefault="004532A0" w:rsidP="00837114">
      <w:pPr>
        <w:keepNext/>
        <w:autoSpaceDE w:val="0"/>
        <w:autoSpaceDN w:val="0"/>
        <w:adjustRightInd w:val="0"/>
        <w:spacing w:line="240" w:lineRule="auto"/>
        <w:rPr>
          <w:i/>
          <w:color w:val="000000"/>
          <w:szCs w:val="22"/>
        </w:rPr>
      </w:pPr>
      <w:r w:rsidRPr="00B321D0">
        <w:rPr>
          <w:rFonts w:hint="eastAsia"/>
          <w:i/>
          <w:color w:val="000000"/>
          <w:szCs w:val="22"/>
        </w:rPr>
        <w:t>Open label extension stud</w:t>
      </w:r>
      <w:r w:rsidRPr="00B321D0">
        <w:rPr>
          <w:i/>
          <w:color w:val="000000"/>
          <w:szCs w:val="22"/>
        </w:rPr>
        <w:t>ies</w:t>
      </w:r>
      <w:r w:rsidRPr="00B321D0">
        <w:rPr>
          <w:rFonts w:hint="eastAsia"/>
          <w:i/>
          <w:color w:val="000000"/>
          <w:szCs w:val="22"/>
        </w:rPr>
        <w:t xml:space="preserve"> </w:t>
      </w:r>
    </w:p>
    <w:p w14:paraId="13835346" w14:textId="49F82721" w:rsidR="004532A0" w:rsidRDefault="004532A0" w:rsidP="00837114">
      <w:pPr>
        <w:keepNext/>
        <w:spacing w:line="240" w:lineRule="auto"/>
        <w:rPr>
          <w:rFonts w:eastAsia="SimSun"/>
          <w:color w:val="000000"/>
          <w:szCs w:val="22"/>
          <w:lang w:val="en-US" w:eastAsia="en-GB"/>
        </w:rPr>
      </w:pPr>
      <w:r w:rsidRPr="00FF01BC">
        <w:rPr>
          <w:rFonts w:eastAsia="SimSun"/>
          <w:color w:val="000000"/>
          <w:szCs w:val="22"/>
          <w:lang w:val="en-US" w:eastAsia="en-GB"/>
        </w:rPr>
        <w:t>The effect of treatment with difelikefalin for up to 52 weeks was evaluated using the 5</w:t>
      </w:r>
      <w:r w:rsidRPr="00FF01BC">
        <w:rPr>
          <w:rFonts w:eastAsia="SimSun"/>
          <w:color w:val="000000"/>
          <w:szCs w:val="22"/>
          <w:lang w:val="en-US" w:eastAsia="en-GB"/>
        </w:rPr>
        <w:noBreakHyphen/>
        <w:t>D Itch Scale in single arm, open label extensions of studies KALM</w:t>
      </w:r>
      <w:r w:rsidRPr="00FF01BC">
        <w:rPr>
          <w:rFonts w:eastAsia="SimSun"/>
          <w:color w:val="000000"/>
          <w:szCs w:val="22"/>
          <w:lang w:val="en-US" w:eastAsia="en-GB"/>
        </w:rPr>
        <w:noBreakHyphen/>
        <w:t>1 and KALM</w:t>
      </w:r>
      <w:r w:rsidRPr="00FF01BC">
        <w:rPr>
          <w:rFonts w:eastAsia="SimSun"/>
          <w:color w:val="000000"/>
          <w:szCs w:val="22"/>
          <w:lang w:val="en-US" w:eastAsia="en-GB"/>
        </w:rPr>
        <w:noBreakHyphen/>
        <w:t xml:space="preserve">2 including 712 patients. </w:t>
      </w:r>
    </w:p>
    <w:p w14:paraId="15C1F0AB" w14:textId="516EA675" w:rsidR="004532A0" w:rsidRPr="00020394" w:rsidRDefault="004532A0" w:rsidP="009C1EB4">
      <w:pPr>
        <w:spacing w:line="240" w:lineRule="auto"/>
      </w:pPr>
      <w:r w:rsidRPr="00FF01BC">
        <w:rPr>
          <w:rFonts w:eastAsia="SimSun"/>
          <w:color w:val="000000"/>
          <w:szCs w:val="22"/>
          <w:lang w:val="en-US" w:eastAsia="en-GB"/>
        </w:rPr>
        <w:t>A significant improvement was observed in patients switching from placebo to difelikefalin at the end of the double-blind phase (week 12). The significant improvement in 5</w:t>
      </w:r>
      <w:r w:rsidRPr="00FF01BC">
        <w:rPr>
          <w:rFonts w:eastAsia="SimSun"/>
          <w:color w:val="000000"/>
          <w:szCs w:val="22"/>
          <w:lang w:val="en-US" w:eastAsia="en-GB"/>
        </w:rPr>
        <w:noBreakHyphen/>
        <w:t xml:space="preserve">D Itch Scale score was maintained throughout the </w:t>
      </w:r>
      <w:proofErr w:type="gramStart"/>
      <w:r w:rsidRPr="00FF01BC">
        <w:rPr>
          <w:rFonts w:eastAsia="SimSun"/>
          <w:color w:val="000000"/>
          <w:szCs w:val="22"/>
          <w:lang w:val="en-US" w:eastAsia="en-GB"/>
        </w:rPr>
        <w:t>52 week</w:t>
      </w:r>
      <w:proofErr w:type="gramEnd"/>
      <w:r w:rsidRPr="00FF01BC">
        <w:rPr>
          <w:rFonts w:eastAsia="SimSun"/>
          <w:color w:val="000000"/>
          <w:szCs w:val="22"/>
          <w:lang w:val="en-US" w:eastAsia="en-GB"/>
        </w:rPr>
        <w:t xml:space="preserve"> treatment period as shown in </w:t>
      </w:r>
      <w:r w:rsidRPr="00FF01BC">
        <w:rPr>
          <w:rFonts w:eastAsia="SimSun"/>
          <w:color w:val="000000"/>
          <w:szCs w:val="22"/>
          <w:lang w:val="en-US" w:eastAsia="en-GB"/>
        </w:rPr>
        <w:fldChar w:fldCharType="begin"/>
      </w:r>
      <w:r w:rsidRPr="00FF01BC">
        <w:rPr>
          <w:rFonts w:eastAsia="SimSun"/>
          <w:color w:val="000000"/>
          <w:szCs w:val="22"/>
          <w:lang w:val="en-US" w:eastAsia="en-GB"/>
        </w:rPr>
        <w:instrText xml:space="preserve"> REF _Ref62660047 \h  \* MERGEFORMAT </w:instrText>
      </w:r>
      <w:r w:rsidRPr="00FF01BC">
        <w:rPr>
          <w:rFonts w:eastAsia="SimSun"/>
          <w:color w:val="000000"/>
          <w:szCs w:val="22"/>
          <w:lang w:val="en-US" w:eastAsia="en-GB"/>
        </w:rPr>
      </w:r>
      <w:r w:rsidRPr="00FF01BC">
        <w:rPr>
          <w:rFonts w:eastAsia="SimSun"/>
          <w:color w:val="000000"/>
          <w:szCs w:val="22"/>
          <w:lang w:val="en-US" w:eastAsia="en-GB"/>
        </w:rPr>
        <w:fldChar w:fldCharType="separate"/>
      </w:r>
      <w:r w:rsidR="00F5656E" w:rsidRPr="00F5656E">
        <w:rPr>
          <w:rFonts w:eastAsia="SimSun"/>
          <w:color w:val="000000"/>
          <w:szCs w:val="22"/>
          <w:lang w:val="en-US" w:eastAsia="en-GB"/>
        </w:rPr>
        <w:t>Figure 2</w:t>
      </w:r>
      <w:r w:rsidRPr="00FF01BC">
        <w:rPr>
          <w:rFonts w:eastAsia="SimSun"/>
          <w:color w:val="000000"/>
          <w:szCs w:val="22"/>
          <w:lang w:val="en-US" w:eastAsia="en-GB"/>
        </w:rPr>
        <w:fldChar w:fldCharType="end"/>
      </w:r>
      <w:r w:rsidRPr="00FF01BC">
        <w:rPr>
          <w:rFonts w:eastAsia="SimSun"/>
          <w:color w:val="000000"/>
          <w:szCs w:val="22"/>
          <w:lang w:val="en-US" w:eastAsia="en-GB"/>
        </w:rPr>
        <w:t>.</w:t>
      </w:r>
    </w:p>
    <w:p w14:paraId="4C3A9850" w14:textId="7247B00E" w:rsidR="004532A0" w:rsidRPr="009C1EB4" w:rsidRDefault="001173AD" w:rsidP="00AD6051">
      <w:pPr>
        <w:rPr>
          <w:b/>
          <w:bCs/>
          <w:sz w:val="22"/>
          <w:szCs w:val="18"/>
        </w:rPr>
      </w:pPr>
      <w:bookmarkStart w:id="20" w:name="_Ref62660047"/>
      <w:r w:rsidRPr="009C1EB4">
        <w:rPr>
          <w:b/>
          <w:bCs/>
          <w:noProof/>
          <w:sz w:val="16"/>
          <w:szCs w:val="18"/>
          <w:lang w:val="en-US"/>
        </w:rPr>
        <w:drawing>
          <wp:anchor distT="0" distB="0" distL="114300" distR="114300" simplePos="0" relativeHeight="251658240" behindDoc="0" locked="0" layoutInCell="1" allowOverlap="1" wp14:anchorId="358025FE" wp14:editId="4DAF3128">
            <wp:simplePos x="0" y="0"/>
            <wp:positionH relativeFrom="page">
              <wp:posOffset>871741</wp:posOffset>
            </wp:positionH>
            <wp:positionV relativeFrom="paragraph">
              <wp:posOffset>219075</wp:posOffset>
            </wp:positionV>
            <wp:extent cx="5753100" cy="2990850"/>
            <wp:effectExtent l="0" t="0" r="0" b="0"/>
            <wp:wrapSquare wrapText="bothSides"/>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99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32A0" w:rsidRPr="009C1EB4">
        <w:rPr>
          <w:b/>
          <w:bCs/>
          <w:sz w:val="22"/>
          <w:szCs w:val="18"/>
        </w:rPr>
        <w:t xml:space="preserve">Figure </w:t>
      </w:r>
      <w:r w:rsidR="004532A0" w:rsidRPr="009C1EB4">
        <w:rPr>
          <w:b/>
          <w:bCs/>
          <w:noProof/>
          <w:sz w:val="22"/>
          <w:szCs w:val="18"/>
        </w:rPr>
        <w:fldChar w:fldCharType="begin"/>
      </w:r>
      <w:r w:rsidR="004532A0" w:rsidRPr="009C1EB4">
        <w:rPr>
          <w:b/>
          <w:bCs/>
          <w:noProof/>
          <w:sz w:val="22"/>
          <w:szCs w:val="18"/>
        </w:rPr>
        <w:instrText xml:space="preserve"> SEQ Figure \* ARABIC </w:instrText>
      </w:r>
      <w:r w:rsidR="004532A0" w:rsidRPr="009C1EB4">
        <w:rPr>
          <w:b/>
          <w:bCs/>
          <w:noProof/>
          <w:sz w:val="22"/>
          <w:szCs w:val="18"/>
        </w:rPr>
        <w:fldChar w:fldCharType="separate"/>
      </w:r>
      <w:r w:rsidR="00F5656E">
        <w:rPr>
          <w:b/>
          <w:bCs/>
          <w:noProof/>
          <w:sz w:val="22"/>
          <w:szCs w:val="18"/>
        </w:rPr>
        <w:t>2</w:t>
      </w:r>
      <w:r w:rsidR="004532A0" w:rsidRPr="009C1EB4">
        <w:rPr>
          <w:b/>
          <w:bCs/>
          <w:noProof/>
          <w:sz w:val="22"/>
          <w:szCs w:val="18"/>
        </w:rPr>
        <w:fldChar w:fldCharType="end"/>
      </w:r>
      <w:bookmarkEnd w:id="20"/>
      <w:r w:rsidR="004532A0" w:rsidRPr="009C1EB4">
        <w:rPr>
          <w:b/>
          <w:bCs/>
          <w:sz w:val="22"/>
          <w:szCs w:val="18"/>
        </w:rPr>
        <w:t>:</w:t>
      </w:r>
      <w:r w:rsidR="009120E4">
        <w:rPr>
          <w:b/>
          <w:bCs/>
          <w:sz w:val="22"/>
          <w:szCs w:val="18"/>
        </w:rPr>
        <w:t xml:space="preserve">  </w:t>
      </w:r>
      <w:r w:rsidR="004532A0" w:rsidRPr="00397EB1">
        <w:rPr>
          <w:b/>
          <w:bCs/>
          <w:sz w:val="22"/>
          <w:szCs w:val="18"/>
        </w:rPr>
        <w:t xml:space="preserve">Change from baseline on total 5 D Itch Scale over </w:t>
      </w:r>
      <w:proofErr w:type="gramStart"/>
      <w:r w:rsidR="004532A0" w:rsidRPr="00397EB1">
        <w:rPr>
          <w:b/>
          <w:bCs/>
          <w:sz w:val="22"/>
          <w:szCs w:val="18"/>
        </w:rPr>
        <w:t>time</w:t>
      </w:r>
      <w:proofErr w:type="gramEnd"/>
    </w:p>
    <w:p w14:paraId="7EF2227E" w14:textId="641AC6C0" w:rsidR="004532A0" w:rsidRPr="00B551EC" w:rsidRDefault="004532A0" w:rsidP="004532A0">
      <w:pPr>
        <w:rPr>
          <w:sz w:val="18"/>
        </w:rPr>
      </w:pPr>
      <w:r w:rsidRPr="00B551EC">
        <w:rPr>
          <w:sz w:val="18"/>
        </w:rPr>
        <w:lastRenderedPageBreak/>
        <w:t xml:space="preserve">Solid line = data for </w:t>
      </w:r>
      <w:r>
        <w:rPr>
          <w:sz w:val="18"/>
        </w:rPr>
        <w:t>patients</w:t>
      </w:r>
      <w:r w:rsidRPr="00B551EC">
        <w:rPr>
          <w:sz w:val="18"/>
        </w:rPr>
        <w:t xml:space="preserve"> treated with difelikefalin during the double blind (DB) treatment period (through week 12) and who remained on treatment during the open label (OL) extension. </w:t>
      </w:r>
    </w:p>
    <w:p w14:paraId="2A2233CF" w14:textId="77777777" w:rsidR="004532A0" w:rsidRDefault="004532A0" w:rsidP="004532A0">
      <w:pPr>
        <w:rPr>
          <w:sz w:val="18"/>
        </w:rPr>
      </w:pPr>
      <w:r w:rsidRPr="00B551EC">
        <w:rPr>
          <w:sz w:val="18"/>
        </w:rPr>
        <w:t xml:space="preserve">Dashed line = data for </w:t>
      </w:r>
      <w:r>
        <w:rPr>
          <w:sz w:val="18"/>
        </w:rPr>
        <w:t>patients</w:t>
      </w:r>
      <w:r w:rsidRPr="00B551EC">
        <w:rPr>
          <w:sz w:val="18"/>
        </w:rPr>
        <w:t xml:space="preserve"> treated with placebo during the DB treatment period and then switched to difelikefalin for the OL extension</w:t>
      </w:r>
      <w:r>
        <w:rPr>
          <w:sz w:val="18"/>
        </w:rPr>
        <w:t xml:space="preserve"> (right side of the graph)</w:t>
      </w:r>
      <w:r w:rsidRPr="00B551EC">
        <w:rPr>
          <w:sz w:val="18"/>
        </w:rPr>
        <w:t xml:space="preserve">. </w:t>
      </w:r>
    </w:p>
    <w:p w14:paraId="7D2A65BC" w14:textId="77777777" w:rsidR="004532A0" w:rsidRPr="00B551EC" w:rsidRDefault="004532A0" w:rsidP="004532A0">
      <w:pPr>
        <w:rPr>
          <w:sz w:val="18"/>
        </w:rPr>
      </w:pPr>
      <w:r w:rsidRPr="00E25B00">
        <w:rPr>
          <w:sz w:val="18"/>
        </w:rPr>
        <w:t>DB</w:t>
      </w:r>
      <w:r>
        <w:rPr>
          <w:sz w:val="18"/>
        </w:rPr>
        <w:t> </w:t>
      </w:r>
      <w:r w:rsidRPr="00E25B00">
        <w:rPr>
          <w:sz w:val="18"/>
        </w:rPr>
        <w:t>=</w:t>
      </w:r>
      <w:r>
        <w:rPr>
          <w:sz w:val="18"/>
        </w:rPr>
        <w:t> </w:t>
      </w:r>
      <w:r w:rsidRPr="00E25B00">
        <w:rPr>
          <w:sz w:val="18"/>
        </w:rPr>
        <w:t>double-blind; CI</w:t>
      </w:r>
      <w:r>
        <w:rPr>
          <w:sz w:val="18"/>
        </w:rPr>
        <w:t> </w:t>
      </w:r>
      <w:r w:rsidRPr="00E25B00">
        <w:rPr>
          <w:sz w:val="18"/>
        </w:rPr>
        <w:t>=</w:t>
      </w:r>
      <w:r>
        <w:rPr>
          <w:sz w:val="18"/>
        </w:rPr>
        <w:t> </w:t>
      </w:r>
      <w:r w:rsidRPr="00E25B00">
        <w:rPr>
          <w:sz w:val="18"/>
        </w:rPr>
        <w:t>confidence interval; LS</w:t>
      </w:r>
      <w:r>
        <w:rPr>
          <w:sz w:val="18"/>
        </w:rPr>
        <w:t> </w:t>
      </w:r>
      <w:r w:rsidRPr="00E25B00">
        <w:rPr>
          <w:sz w:val="18"/>
        </w:rPr>
        <w:t>=</w:t>
      </w:r>
      <w:r>
        <w:rPr>
          <w:sz w:val="18"/>
        </w:rPr>
        <w:t> </w:t>
      </w:r>
      <w:r w:rsidRPr="00E25B00">
        <w:rPr>
          <w:sz w:val="18"/>
        </w:rPr>
        <w:t>least squares;</w:t>
      </w:r>
    </w:p>
    <w:p w14:paraId="5E8DDFD2" w14:textId="77777777" w:rsidR="004532A0" w:rsidRDefault="004532A0" w:rsidP="004532A0">
      <w:pPr>
        <w:autoSpaceDE w:val="0"/>
        <w:autoSpaceDN w:val="0"/>
        <w:adjustRightInd w:val="0"/>
        <w:spacing w:line="240" w:lineRule="auto"/>
        <w:rPr>
          <w:rFonts w:ascii="TimesNewRomanPSMT" w:eastAsia="SimSun" w:hAnsi="TimesNewRomanPSMT" w:cs="TimesNewRomanPSMT"/>
          <w:color w:val="000000"/>
          <w:szCs w:val="22"/>
          <w:lang w:eastAsia="en-GB"/>
        </w:rPr>
      </w:pPr>
    </w:p>
    <w:p w14:paraId="03D06551" w14:textId="77777777" w:rsidR="004532A0" w:rsidRPr="00B321D0" w:rsidRDefault="004532A0" w:rsidP="004532A0">
      <w:pPr>
        <w:autoSpaceDE w:val="0"/>
        <w:autoSpaceDN w:val="0"/>
        <w:adjustRightInd w:val="0"/>
        <w:spacing w:line="240" w:lineRule="auto"/>
        <w:rPr>
          <w:i/>
          <w:color w:val="000000"/>
          <w:szCs w:val="22"/>
        </w:rPr>
      </w:pPr>
      <w:r w:rsidRPr="00B321D0">
        <w:rPr>
          <w:rFonts w:hint="eastAsia"/>
          <w:i/>
          <w:color w:val="000000"/>
          <w:szCs w:val="22"/>
        </w:rPr>
        <w:t>Open label study</w:t>
      </w:r>
    </w:p>
    <w:p w14:paraId="5749192B" w14:textId="77777777" w:rsidR="004532A0" w:rsidRPr="00B64EE7" w:rsidRDefault="004532A0" w:rsidP="00FF01BC">
      <w:pPr>
        <w:spacing w:line="240" w:lineRule="auto"/>
        <w:rPr>
          <w:rFonts w:eastAsia="SimSun"/>
          <w:color w:val="000000"/>
          <w:szCs w:val="22"/>
          <w:lang w:val="en-US" w:eastAsia="en-GB"/>
        </w:rPr>
      </w:pPr>
      <w:r w:rsidRPr="00B64EE7">
        <w:rPr>
          <w:rFonts w:eastAsia="SimSun"/>
          <w:color w:val="000000"/>
          <w:szCs w:val="22"/>
          <w:lang w:val="en-US" w:eastAsia="en-GB"/>
        </w:rPr>
        <w:t>Results for itch severity and itch-related QoL were confirmed in another phase-3 (CR845</w:t>
      </w:r>
      <w:r w:rsidRPr="00B64EE7">
        <w:rPr>
          <w:rFonts w:eastAsia="SimSun"/>
          <w:color w:val="000000"/>
          <w:szCs w:val="22"/>
          <w:lang w:val="en-US" w:eastAsia="en-GB"/>
        </w:rPr>
        <w:noBreakHyphen/>
        <w:t>CLIN</w:t>
      </w:r>
      <w:r w:rsidRPr="00B64EE7">
        <w:rPr>
          <w:rFonts w:eastAsia="SimSun"/>
          <w:color w:val="000000"/>
          <w:szCs w:val="22"/>
          <w:lang w:val="en-US" w:eastAsia="en-GB"/>
        </w:rPr>
        <w:noBreakHyphen/>
        <w:t>3105), open</w:t>
      </w:r>
      <w:r w:rsidRPr="00B64EE7">
        <w:rPr>
          <w:rFonts w:eastAsia="SimSun"/>
          <w:color w:val="000000"/>
          <w:szCs w:val="22"/>
          <w:lang w:val="en-US" w:eastAsia="en-GB"/>
        </w:rPr>
        <w:noBreakHyphen/>
        <w:t>label study in 222</w:t>
      </w:r>
      <w:r w:rsidRPr="00FF01BC">
        <w:rPr>
          <w:rFonts w:eastAsia="SimSun"/>
          <w:color w:val="000000"/>
          <w:szCs w:val="22"/>
          <w:lang w:val="en-US" w:eastAsia="en-GB"/>
        </w:rPr>
        <w:t> </w:t>
      </w:r>
      <w:r w:rsidRPr="00B64EE7">
        <w:rPr>
          <w:rFonts w:eastAsia="SimSun"/>
          <w:color w:val="000000"/>
          <w:szCs w:val="22"/>
          <w:lang w:val="en-US" w:eastAsia="en-GB"/>
        </w:rPr>
        <w:t>patients in the same target population (chronic kidney disease patients on haemodialysis with moderate to severe pruritus). After 12</w:t>
      </w:r>
      <w:r w:rsidRPr="00FF01BC">
        <w:rPr>
          <w:rFonts w:eastAsia="SimSun"/>
          <w:color w:val="000000"/>
          <w:szCs w:val="22"/>
          <w:lang w:val="en-US" w:eastAsia="en-GB"/>
        </w:rPr>
        <w:t> </w:t>
      </w:r>
      <w:r w:rsidRPr="00B64EE7">
        <w:rPr>
          <w:rFonts w:eastAsia="SimSun"/>
          <w:color w:val="000000"/>
          <w:szCs w:val="22"/>
          <w:lang w:val="en-US" w:eastAsia="en-GB"/>
        </w:rPr>
        <w:t>weeks of treatment with 0.5</w:t>
      </w:r>
      <w:r w:rsidRPr="00FF01BC">
        <w:rPr>
          <w:rFonts w:eastAsia="SimSun"/>
          <w:color w:val="000000"/>
          <w:szCs w:val="22"/>
          <w:lang w:val="en-US" w:eastAsia="en-GB"/>
        </w:rPr>
        <w:t> micrograms</w:t>
      </w:r>
      <w:r w:rsidRPr="00B64EE7">
        <w:rPr>
          <w:rFonts w:eastAsia="SimSun"/>
          <w:color w:val="000000"/>
          <w:szCs w:val="22"/>
          <w:lang w:val="en-US" w:eastAsia="en-GB"/>
        </w:rPr>
        <w:t>/kg difelikefalin, 73.7 % and 59.3 % of patients reported a WI</w:t>
      </w:r>
      <w:r w:rsidRPr="00B64EE7">
        <w:rPr>
          <w:rFonts w:eastAsia="SimSun"/>
          <w:color w:val="000000"/>
          <w:szCs w:val="22"/>
          <w:lang w:val="en-US" w:eastAsia="en-GB"/>
        </w:rPr>
        <w:noBreakHyphen/>
        <w:t>NRS score improvement of at least 3 and 4</w:t>
      </w:r>
      <w:r w:rsidRPr="00FF01BC">
        <w:rPr>
          <w:rFonts w:eastAsia="SimSun"/>
          <w:color w:val="000000"/>
          <w:szCs w:val="22"/>
          <w:lang w:val="en-US" w:eastAsia="en-GB"/>
        </w:rPr>
        <w:t> </w:t>
      </w:r>
      <w:r w:rsidRPr="00B64EE7">
        <w:rPr>
          <w:rFonts w:eastAsia="SimSun"/>
          <w:color w:val="000000"/>
          <w:szCs w:val="22"/>
          <w:lang w:val="en-US" w:eastAsia="en-GB"/>
        </w:rPr>
        <w:t>points, respectively, as well as a mean decrease (± standard deviation) on the Skindex</w:t>
      </w:r>
      <w:r w:rsidRPr="00B64EE7">
        <w:rPr>
          <w:rFonts w:eastAsia="SimSun"/>
          <w:color w:val="000000"/>
          <w:szCs w:val="22"/>
          <w:lang w:val="en-US" w:eastAsia="en-GB"/>
        </w:rPr>
        <w:noBreakHyphen/>
        <w:t>10 and 5 D Itch scores by -21.0</w:t>
      </w:r>
      <w:r w:rsidRPr="00FF01BC">
        <w:rPr>
          <w:rFonts w:eastAsia="SimSun"/>
          <w:color w:val="000000"/>
          <w:szCs w:val="22"/>
          <w:lang w:val="en-US" w:eastAsia="en-GB"/>
        </w:rPr>
        <w:t> </w:t>
      </w:r>
      <w:r w:rsidRPr="00B64EE7">
        <w:rPr>
          <w:rFonts w:eastAsia="SimSun"/>
          <w:color w:val="000000"/>
          <w:szCs w:val="22"/>
          <w:lang w:val="en-US" w:eastAsia="en-GB"/>
        </w:rPr>
        <w:t xml:space="preserve">± 15.6 and </w:t>
      </w:r>
      <w:r w:rsidRPr="00B64EE7">
        <w:rPr>
          <w:rFonts w:eastAsia="SimSun"/>
          <w:color w:val="000000"/>
          <w:szCs w:val="22"/>
          <w:lang w:val="en-US" w:eastAsia="en-GB"/>
        </w:rPr>
        <w:noBreakHyphen/>
        <w:t>7.1</w:t>
      </w:r>
      <w:r w:rsidRPr="00FF01BC">
        <w:rPr>
          <w:rFonts w:eastAsia="SimSun"/>
          <w:color w:val="000000"/>
          <w:szCs w:val="22"/>
          <w:lang w:val="en-US" w:eastAsia="en-GB"/>
        </w:rPr>
        <w:t> </w:t>
      </w:r>
      <w:r w:rsidRPr="00B64EE7">
        <w:rPr>
          <w:rFonts w:eastAsia="SimSun"/>
          <w:color w:val="000000"/>
          <w:szCs w:val="22"/>
          <w:lang w:val="en-US" w:eastAsia="en-GB"/>
        </w:rPr>
        <w:t>±4.3</w:t>
      </w:r>
      <w:r w:rsidRPr="00FF01BC">
        <w:rPr>
          <w:rFonts w:eastAsia="SimSun"/>
          <w:color w:val="000000"/>
          <w:szCs w:val="22"/>
          <w:lang w:val="en-US" w:eastAsia="en-GB"/>
        </w:rPr>
        <w:t> </w:t>
      </w:r>
      <w:r w:rsidRPr="00B64EE7">
        <w:rPr>
          <w:rFonts w:eastAsia="SimSun"/>
          <w:color w:val="000000"/>
          <w:szCs w:val="22"/>
          <w:lang w:val="en-US" w:eastAsia="en-GB"/>
        </w:rPr>
        <w:t>points, respectively. In addition, improvements were seen in sleep quality, with 66.0 % and 56.7 % of patients achieving at least a 3 and 4 point improvement on a corresponding Sleep Quality Score. Moreover, the percentage of patients reporting no skin irritation in the EQ</w:t>
      </w:r>
      <w:r w:rsidRPr="00B64EE7">
        <w:rPr>
          <w:rFonts w:eastAsia="SimSun"/>
          <w:color w:val="000000"/>
          <w:szCs w:val="22"/>
          <w:lang w:val="en-US" w:eastAsia="en-GB"/>
        </w:rPr>
        <w:noBreakHyphen/>
        <w:t>PSO questionnaire increased from 1.4 % at baseline to 28.9 % by end of week</w:t>
      </w:r>
      <w:r w:rsidRPr="00FF01BC">
        <w:rPr>
          <w:rFonts w:eastAsia="SimSun"/>
          <w:color w:val="000000"/>
          <w:szCs w:val="22"/>
          <w:lang w:val="en-US" w:eastAsia="en-GB"/>
        </w:rPr>
        <w:t> </w:t>
      </w:r>
      <w:r w:rsidRPr="00B64EE7">
        <w:rPr>
          <w:rFonts w:eastAsia="SimSun"/>
          <w:color w:val="000000"/>
          <w:szCs w:val="22"/>
          <w:lang w:val="en-US" w:eastAsia="en-GB"/>
        </w:rPr>
        <w:t>12.</w:t>
      </w:r>
    </w:p>
    <w:p w14:paraId="6F5B700F" w14:textId="77777777" w:rsidR="00812D16" w:rsidRPr="00412450" w:rsidRDefault="00812D16" w:rsidP="00204AAB">
      <w:pPr>
        <w:numPr>
          <w:ilvl w:val="12"/>
          <w:numId w:val="0"/>
        </w:numPr>
        <w:spacing w:line="240" w:lineRule="auto"/>
        <w:ind w:right="-2"/>
        <w:rPr>
          <w:iCs/>
          <w:noProof/>
          <w:szCs w:val="22"/>
        </w:rPr>
      </w:pPr>
    </w:p>
    <w:p w14:paraId="21E6ED08" w14:textId="43DB20D0" w:rsidR="00812D16" w:rsidRPr="00EB595B" w:rsidRDefault="008C2461" w:rsidP="00AD6051">
      <w:pPr>
        <w:pStyle w:val="Heading2"/>
        <w:rPr>
          <w:noProof/>
        </w:rPr>
      </w:pPr>
      <w:r>
        <w:rPr>
          <w:noProof/>
        </w:rPr>
        <w:t>PHARMACOKINETIC PROPERTIES</w:t>
      </w:r>
    </w:p>
    <w:p w14:paraId="52EE5E6C" w14:textId="69050261" w:rsidR="004532A0" w:rsidRPr="00FF01BC" w:rsidRDefault="00452F7C" w:rsidP="00FF01BC">
      <w:pPr>
        <w:spacing w:line="240" w:lineRule="auto"/>
        <w:rPr>
          <w:rFonts w:eastAsia="SimSun"/>
          <w:color w:val="000000"/>
          <w:szCs w:val="22"/>
          <w:lang w:val="en-US" w:eastAsia="en-GB"/>
        </w:rPr>
      </w:pPr>
      <w:r>
        <w:rPr>
          <w:rFonts w:eastAsia="SimSun"/>
          <w:color w:val="000000"/>
          <w:szCs w:val="22"/>
          <w:lang w:val="en-US" w:eastAsia="en-GB"/>
        </w:rPr>
        <w:t>I</w:t>
      </w:r>
      <w:r w:rsidR="004532A0" w:rsidRPr="00FF01BC">
        <w:rPr>
          <w:rFonts w:eastAsia="SimSun"/>
          <w:color w:val="000000"/>
          <w:szCs w:val="22"/>
          <w:lang w:val="en-US" w:eastAsia="en-GB"/>
        </w:rPr>
        <w:t>n patients with severe renal impairment</w:t>
      </w:r>
      <w:r>
        <w:rPr>
          <w:rFonts w:eastAsia="SimSun"/>
          <w:color w:val="000000"/>
          <w:szCs w:val="22"/>
          <w:lang w:val="en-US" w:eastAsia="en-GB"/>
        </w:rPr>
        <w:t xml:space="preserve"> undergoing haemodialysis</w:t>
      </w:r>
      <w:r w:rsidR="004532A0" w:rsidRPr="00FF01BC">
        <w:rPr>
          <w:rFonts w:eastAsia="SimSun"/>
          <w:color w:val="000000"/>
          <w:szCs w:val="22"/>
          <w:lang w:val="en-US" w:eastAsia="en-GB"/>
        </w:rPr>
        <w:t xml:space="preserve">, total body clearance of difelikefalin </w:t>
      </w:r>
      <w:r>
        <w:rPr>
          <w:rFonts w:eastAsia="SimSun"/>
          <w:color w:val="000000"/>
          <w:szCs w:val="22"/>
          <w:lang w:val="en-US" w:eastAsia="en-GB"/>
        </w:rPr>
        <w:t>is</w:t>
      </w:r>
      <w:r w:rsidR="004532A0" w:rsidRPr="00FF01BC">
        <w:rPr>
          <w:rFonts w:eastAsia="SimSun"/>
          <w:color w:val="000000"/>
          <w:szCs w:val="22"/>
          <w:lang w:val="en-US" w:eastAsia="en-GB"/>
        </w:rPr>
        <w:t xml:space="preserve"> reduced </w:t>
      </w:r>
      <w:r>
        <w:rPr>
          <w:rFonts w:eastAsia="SimSun"/>
          <w:color w:val="000000"/>
          <w:szCs w:val="22"/>
          <w:lang w:val="en-US" w:eastAsia="en-GB"/>
        </w:rPr>
        <w:t xml:space="preserve">compared to healthy subjects </w:t>
      </w:r>
      <w:r w:rsidR="004532A0" w:rsidRPr="00FF01BC">
        <w:rPr>
          <w:rFonts w:eastAsia="SimSun"/>
          <w:color w:val="000000"/>
          <w:szCs w:val="22"/>
          <w:lang w:val="en-US" w:eastAsia="en-GB"/>
        </w:rPr>
        <w:t xml:space="preserve">and plasma concentrations </w:t>
      </w:r>
      <w:r>
        <w:rPr>
          <w:rFonts w:eastAsia="SimSun"/>
          <w:color w:val="000000"/>
          <w:szCs w:val="22"/>
          <w:lang w:val="en-US" w:eastAsia="en-GB"/>
        </w:rPr>
        <w:t>decrease slowly</w:t>
      </w:r>
      <w:r w:rsidR="004532A0" w:rsidRPr="00FF01BC">
        <w:rPr>
          <w:rFonts w:eastAsia="SimSun"/>
          <w:color w:val="000000"/>
          <w:szCs w:val="22"/>
          <w:lang w:val="en-US" w:eastAsia="en-GB"/>
        </w:rPr>
        <w:t xml:space="preserve"> until cleared during dialysis. Due to the </w:t>
      </w:r>
      <w:r w:rsidR="007F7030">
        <w:rPr>
          <w:rFonts w:eastAsia="SimSun"/>
          <w:color w:val="000000"/>
          <w:szCs w:val="22"/>
          <w:lang w:eastAsia="en-GB"/>
        </w:rPr>
        <w:t>70</w:t>
      </w:r>
      <w:r w:rsidR="007F7030">
        <w:rPr>
          <w:rFonts w:eastAsia="SimSun"/>
          <w:color w:val="000000"/>
          <w:szCs w:val="22"/>
          <w:lang w:eastAsia="en-GB"/>
        </w:rPr>
        <w:noBreakHyphen/>
        <w:t>80% of difelikefalin removed during dialysis</w:t>
      </w:r>
      <w:r w:rsidR="004532A0" w:rsidRPr="00FF01BC">
        <w:rPr>
          <w:rFonts w:eastAsia="SimSun"/>
          <w:color w:val="000000"/>
          <w:szCs w:val="22"/>
          <w:lang w:val="en-US" w:eastAsia="en-GB"/>
        </w:rPr>
        <w:t xml:space="preserve">, difelikefalin </w:t>
      </w:r>
      <w:r w:rsidR="007F7030">
        <w:rPr>
          <w:rFonts w:eastAsia="SimSun"/>
          <w:color w:val="000000"/>
          <w:szCs w:val="22"/>
          <w:lang w:val="en-US" w:eastAsia="en-GB"/>
        </w:rPr>
        <w:t>is</w:t>
      </w:r>
      <w:r w:rsidR="004532A0" w:rsidRPr="00FF01BC">
        <w:rPr>
          <w:rFonts w:eastAsia="SimSun"/>
          <w:color w:val="000000"/>
          <w:szCs w:val="22"/>
          <w:lang w:val="en-US" w:eastAsia="en-GB"/>
        </w:rPr>
        <w:t xml:space="preserve"> administered </w:t>
      </w:r>
      <w:r w:rsidR="007F7030">
        <w:rPr>
          <w:rFonts w:eastAsia="SimSun"/>
          <w:color w:val="000000"/>
          <w:szCs w:val="22"/>
          <w:lang w:val="en-US" w:eastAsia="en-GB"/>
        </w:rPr>
        <w:t>after each</w:t>
      </w:r>
      <w:r w:rsidR="004532A0" w:rsidRPr="00FF01BC">
        <w:rPr>
          <w:rFonts w:eastAsia="SimSun"/>
          <w:color w:val="000000"/>
          <w:szCs w:val="22"/>
          <w:lang w:val="en-US" w:eastAsia="en-GB"/>
        </w:rPr>
        <w:t xml:space="preserve"> haemodialysis </w:t>
      </w:r>
      <w:r w:rsidR="007F7030" w:rsidRPr="00BC61E8">
        <w:rPr>
          <w:rFonts w:eastAsia="SimSun"/>
          <w:color w:val="000000"/>
          <w:szCs w:val="22"/>
          <w:lang w:eastAsia="en-GB"/>
        </w:rPr>
        <w:t>session in these patients.</w:t>
      </w:r>
      <w:r w:rsidR="007F7030" w:rsidRPr="00A51EE8">
        <w:rPr>
          <w:rFonts w:eastAsia="SimSun"/>
          <w:color w:val="000000" w:themeColor="text1"/>
          <w:lang w:eastAsia="en-GB"/>
        </w:rPr>
        <w:t xml:space="preserve"> The available data on interindividual variability in haemodialysis subjects receiving 0.5</w:t>
      </w:r>
      <w:r w:rsidR="007F7030">
        <w:rPr>
          <w:rFonts w:eastAsia="SimSun"/>
          <w:color w:val="000000" w:themeColor="text1"/>
          <w:lang w:eastAsia="en-GB"/>
        </w:rPr>
        <w:t> </w:t>
      </w:r>
      <w:r w:rsidR="007F7030" w:rsidRPr="00A51EE8">
        <w:rPr>
          <w:rFonts w:eastAsia="SimSun"/>
          <w:color w:val="000000" w:themeColor="text1"/>
          <w:lang w:eastAsia="en-GB"/>
        </w:rPr>
        <w:t>microgram/kg difelikefalin suggest that variability of AUC can exceed 30%.</w:t>
      </w:r>
    </w:p>
    <w:p w14:paraId="1DA927CF" w14:textId="77777777" w:rsidR="004532A0" w:rsidRDefault="004532A0" w:rsidP="004532A0">
      <w:pPr>
        <w:numPr>
          <w:ilvl w:val="12"/>
          <w:numId w:val="0"/>
        </w:numPr>
        <w:spacing w:line="240" w:lineRule="auto"/>
        <w:ind w:right="-2"/>
        <w:rPr>
          <w:u w:val="single"/>
        </w:rPr>
      </w:pPr>
    </w:p>
    <w:p w14:paraId="7D68EA1E" w14:textId="2BC1E574" w:rsidR="004532A0" w:rsidRDefault="004532A0" w:rsidP="00AD6051">
      <w:pPr>
        <w:pStyle w:val="Heading3"/>
      </w:pPr>
      <w:r>
        <w:t>Distribution</w:t>
      </w:r>
    </w:p>
    <w:p w14:paraId="08009B4E" w14:textId="0A5621F1" w:rsidR="004532A0" w:rsidRPr="00FF01BC" w:rsidRDefault="004532A0" w:rsidP="00FF01BC">
      <w:pPr>
        <w:spacing w:line="240" w:lineRule="auto"/>
        <w:rPr>
          <w:rFonts w:eastAsia="SimSun"/>
          <w:color w:val="000000"/>
          <w:szCs w:val="22"/>
          <w:lang w:val="en-US" w:eastAsia="en-GB"/>
        </w:rPr>
      </w:pPr>
      <w:r w:rsidRPr="00FF01BC">
        <w:rPr>
          <w:rFonts w:eastAsia="SimSun"/>
          <w:color w:val="000000"/>
          <w:szCs w:val="22"/>
          <w:lang w:val="en-US" w:eastAsia="en-GB"/>
        </w:rPr>
        <w:t xml:space="preserve">Plasma protein binding of difelikefalin </w:t>
      </w:r>
      <w:r w:rsidR="00BE5167">
        <w:rPr>
          <w:rFonts w:eastAsia="SimSun"/>
          <w:color w:val="000000"/>
          <w:szCs w:val="22"/>
          <w:lang w:val="en-US" w:eastAsia="en-GB"/>
        </w:rPr>
        <w:t>is</w:t>
      </w:r>
      <w:r w:rsidR="00ED2099">
        <w:rPr>
          <w:rFonts w:eastAsia="SimSun"/>
          <w:color w:val="000000"/>
          <w:szCs w:val="22"/>
          <w:lang w:val="en-US" w:eastAsia="en-GB"/>
        </w:rPr>
        <w:t xml:space="preserve"> </w:t>
      </w:r>
      <w:r w:rsidR="00FB2960">
        <w:rPr>
          <w:rFonts w:eastAsia="SimSun"/>
          <w:color w:val="000000"/>
          <w:szCs w:val="22"/>
          <w:lang w:val="en-US" w:eastAsia="en-GB"/>
        </w:rPr>
        <w:t>approximately 30%</w:t>
      </w:r>
      <w:r w:rsidRPr="00FF01BC">
        <w:rPr>
          <w:rFonts w:eastAsia="SimSun"/>
          <w:color w:val="000000"/>
          <w:szCs w:val="22"/>
          <w:lang w:val="en-US" w:eastAsia="en-GB"/>
        </w:rPr>
        <w:t xml:space="preserve"> and remains unaffected by renal impairment. Mean volume of distribution at steady state ranged from 145 to 189 mL/kg in healthy subjects and from 214 to 301 mL/kg in haemodialysis patients with moderate to severe pruritus. Difelikefalin penetration into the central nervous system </w:t>
      </w:r>
      <w:r w:rsidR="007F7030" w:rsidRPr="00A51EE8">
        <w:rPr>
          <w:rFonts w:eastAsia="SimSun"/>
          <w:color w:val="000000" w:themeColor="text1"/>
          <w:lang w:eastAsia="en-GB"/>
        </w:rPr>
        <w:t xml:space="preserve">is limited as shown by physico-chemical, </w:t>
      </w:r>
      <w:r w:rsidR="007F7030" w:rsidRPr="00A51EE8">
        <w:rPr>
          <w:rFonts w:eastAsia="SimSun"/>
          <w:i/>
          <w:color w:val="000000" w:themeColor="text1"/>
          <w:lang w:eastAsia="en-GB"/>
        </w:rPr>
        <w:t>in</w:t>
      </w:r>
      <w:r w:rsidR="00E902F8">
        <w:rPr>
          <w:rFonts w:eastAsia="SimSun"/>
          <w:i/>
          <w:color w:val="000000" w:themeColor="text1"/>
          <w:lang w:eastAsia="en-GB"/>
        </w:rPr>
        <w:t xml:space="preserve"> </w:t>
      </w:r>
      <w:r w:rsidR="007F7030" w:rsidRPr="00A51EE8">
        <w:rPr>
          <w:rFonts w:eastAsia="SimSun"/>
          <w:i/>
          <w:color w:val="000000" w:themeColor="text1"/>
          <w:lang w:eastAsia="en-GB"/>
        </w:rPr>
        <w:t>vitro</w:t>
      </w:r>
      <w:r w:rsidR="007F7030" w:rsidRPr="00A51EE8">
        <w:rPr>
          <w:rFonts w:eastAsia="SimSun"/>
          <w:color w:val="000000" w:themeColor="text1"/>
          <w:lang w:eastAsia="en-GB"/>
        </w:rPr>
        <w:t xml:space="preserve"> and animal data</w:t>
      </w:r>
      <w:r w:rsidR="00C82F25">
        <w:rPr>
          <w:rFonts w:eastAsia="SimSun"/>
          <w:color w:val="000000" w:themeColor="text1"/>
          <w:lang w:eastAsia="en-GB"/>
        </w:rPr>
        <w:t>.</w:t>
      </w:r>
      <w:r w:rsidR="00C82F25" w:rsidDel="00C82F25">
        <w:rPr>
          <w:rFonts w:eastAsia="SimSun"/>
          <w:color w:val="000000" w:themeColor="text1"/>
          <w:lang w:eastAsia="en-GB"/>
        </w:rPr>
        <w:t xml:space="preserve"> </w:t>
      </w:r>
    </w:p>
    <w:p w14:paraId="1A52C76B" w14:textId="77777777" w:rsidR="004532A0" w:rsidRPr="00FF01BC" w:rsidRDefault="004532A0" w:rsidP="00FF01BC">
      <w:pPr>
        <w:spacing w:line="240" w:lineRule="auto"/>
        <w:rPr>
          <w:rFonts w:eastAsia="SimSun"/>
          <w:color w:val="000000"/>
          <w:szCs w:val="22"/>
          <w:lang w:val="en-US" w:eastAsia="en-GB"/>
        </w:rPr>
      </w:pPr>
    </w:p>
    <w:p w14:paraId="11C90AEE" w14:textId="08609BB3" w:rsidR="001E4F77" w:rsidRDefault="001E4F77" w:rsidP="00AD6051">
      <w:pPr>
        <w:pStyle w:val="Heading3"/>
      </w:pPr>
      <w:r>
        <w:t>Metabolism</w:t>
      </w:r>
    </w:p>
    <w:p w14:paraId="1E5C00B6" w14:textId="2560D96B" w:rsidR="001E4F77" w:rsidRPr="001E4F77" w:rsidRDefault="001E4F77" w:rsidP="001E4F77">
      <w:r w:rsidRPr="001E4F77">
        <w:t>Difelikefalin undergoes minimal metabolism and is not a substrate of major CYP450</w:t>
      </w:r>
      <w:r>
        <w:t xml:space="preserve"> </w:t>
      </w:r>
      <w:r w:rsidRPr="001E4F77">
        <w:t>enzymes.</w:t>
      </w:r>
    </w:p>
    <w:p w14:paraId="0A36C47A" w14:textId="77777777" w:rsidR="001E4F77" w:rsidRDefault="001E4F77" w:rsidP="00E03120"/>
    <w:p w14:paraId="74B923AB" w14:textId="7AF95ABF" w:rsidR="004532A0" w:rsidRDefault="004532A0" w:rsidP="00AD6051">
      <w:pPr>
        <w:pStyle w:val="Heading3"/>
      </w:pPr>
      <w:r>
        <w:t>E</w:t>
      </w:r>
      <w:r w:rsidR="001E4F77">
        <w:t>xcretion</w:t>
      </w:r>
    </w:p>
    <w:p w14:paraId="21E7616D" w14:textId="508ED494" w:rsidR="004532A0" w:rsidRPr="00FF01BC" w:rsidRDefault="004532A0" w:rsidP="00FF01BC">
      <w:pPr>
        <w:spacing w:line="240" w:lineRule="auto"/>
        <w:rPr>
          <w:rFonts w:eastAsia="SimSun"/>
          <w:color w:val="000000"/>
          <w:szCs w:val="22"/>
          <w:lang w:val="en-US" w:eastAsia="en-GB"/>
        </w:rPr>
      </w:pPr>
      <w:r w:rsidRPr="00FF01BC">
        <w:rPr>
          <w:rFonts w:eastAsia="SimSun"/>
          <w:color w:val="000000"/>
          <w:szCs w:val="22"/>
          <w:lang w:val="en-US" w:eastAsia="en-GB"/>
        </w:rPr>
        <w:t xml:space="preserve">In healthy subjects, the primary route of elimination for difelikefalin is renal, accounting for about 81 % of the dose being excreted in urine as compared to 11 % via faecal excretion. </w:t>
      </w:r>
      <w:r w:rsidR="007F7030" w:rsidRPr="00A51EE8">
        <w:rPr>
          <w:rFonts w:eastAsia="SimSun"/>
          <w:color w:val="000000"/>
          <w:szCs w:val="22"/>
          <w:lang w:eastAsia="en-GB"/>
        </w:rPr>
        <w:t>In both healthy volunteers and subjects on haemodialysis, most of the dose excreted into urine and faeces was unchanged difelikefalin with minor quantities of putative metabolites, none exceeding 2.5%.</w:t>
      </w:r>
      <w:r w:rsidR="007F7030" w:rsidRPr="000652E1">
        <w:rPr>
          <w:rFonts w:eastAsia="SimSun"/>
          <w:color w:val="000000"/>
        </w:rPr>
        <w:t xml:space="preserve"> </w:t>
      </w:r>
      <w:r w:rsidRPr="00FF01BC">
        <w:rPr>
          <w:rFonts w:eastAsia="SimSun"/>
          <w:color w:val="000000"/>
          <w:szCs w:val="22"/>
          <w:lang w:val="en-US" w:eastAsia="en-GB"/>
        </w:rPr>
        <w:t>Mean total clearance ranged from 54 to 71 mL/h/kg and mean half</w:t>
      </w:r>
      <w:r w:rsidRPr="00FF01BC">
        <w:rPr>
          <w:rFonts w:eastAsia="SimSun"/>
          <w:color w:val="000000"/>
          <w:szCs w:val="22"/>
          <w:lang w:val="en-US" w:eastAsia="en-GB"/>
        </w:rPr>
        <w:noBreakHyphen/>
        <w:t>lives from 2 to 3 hours. By contrast, in renally impaired haemodialysis patients, elimination was predominantly via faeces, accounting on average for about 59 % of the dose; about 19 % were recovered in dialysate; and about 11 % were found in urine. As compared to subjects with normal renal function, mean total clearance decreased and half</w:t>
      </w:r>
      <w:r w:rsidRPr="00FF01BC">
        <w:rPr>
          <w:rFonts w:eastAsia="SimSun"/>
          <w:color w:val="000000"/>
          <w:szCs w:val="22"/>
          <w:lang w:val="en-US" w:eastAsia="en-GB"/>
        </w:rPr>
        <w:noBreakHyphen/>
        <w:t>lives increased about 10</w:t>
      </w:r>
      <w:r w:rsidRPr="00FF01BC">
        <w:rPr>
          <w:rFonts w:eastAsia="SimSun"/>
          <w:color w:val="000000"/>
          <w:szCs w:val="22"/>
          <w:lang w:val="en-US" w:eastAsia="en-GB"/>
        </w:rPr>
        <w:noBreakHyphen/>
        <w:t>fold with ranges of 5.3 to 7.5 mL/h/kg and 23 to 31 hours, respectively.</w:t>
      </w:r>
    </w:p>
    <w:p w14:paraId="52B665F0" w14:textId="504B14EF" w:rsidR="004532A0" w:rsidRPr="00FF01BC" w:rsidRDefault="001C1476" w:rsidP="008607F2">
      <w:pPr>
        <w:numPr>
          <w:ilvl w:val="12"/>
          <w:numId w:val="0"/>
        </w:numPr>
        <w:spacing w:line="240" w:lineRule="auto"/>
        <w:ind w:right="-2"/>
        <w:rPr>
          <w:rFonts w:eastAsia="SimSun"/>
          <w:color w:val="000000"/>
          <w:szCs w:val="22"/>
          <w:lang w:val="en-US" w:eastAsia="en-GB"/>
        </w:rPr>
      </w:pPr>
      <w:r>
        <w:rPr>
          <w:iCs/>
          <w:noProof/>
          <w:szCs w:val="22"/>
          <w:u w:val="single"/>
        </w:rPr>
        <w:lastRenderedPageBreak/>
        <w:t xml:space="preserve">Dose </w:t>
      </w:r>
      <w:r w:rsidR="00501FFB">
        <w:rPr>
          <w:iCs/>
          <w:noProof/>
          <w:szCs w:val="22"/>
          <w:u w:val="single"/>
        </w:rPr>
        <w:t>proportionality</w:t>
      </w:r>
    </w:p>
    <w:p w14:paraId="6BA00B90" w14:textId="67954B83" w:rsidR="00097A2B" w:rsidRPr="00714662" w:rsidRDefault="00714662" w:rsidP="00FF01BC">
      <w:pPr>
        <w:spacing w:line="240" w:lineRule="auto"/>
        <w:rPr>
          <w:rFonts w:eastAsia="SimSun"/>
          <w:color w:val="000000"/>
          <w:szCs w:val="22"/>
          <w:lang w:val="en-US" w:eastAsia="en-GB"/>
        </w:rPr>
      </w:pPr>
      <w:r w:rsidRPr="00714662">
        <w:t>The pharmacokinetics of intravenous difelikefalin in chronic kidney disease patients undergoing HD appear to be dose proportional over a single and multiple dosage range of 0.5 to 2.5 mcg/kg (1 to 5 times the recommended dosage). Steady state was observed after the second administered dosage and the mean accumulation ratio was up to 1.6</w:t>
      </w:r>
      <w:r>
        <w:t>.</w:t>
      </w:r>
    </w:p>
    <w:p w14:paraId="2B56ABD8" w14:textId="77777777" w:rsidR="00837114" w:rsidRDefault="00837114" w:rsidP="004532A0">
      <w:pPr>
        <w:numPr>
          <w:ilvl w:val="12"/>
          <w:numId w:val="0"/>
        </w:numPr>
        <w:spacing w:line="240" w:lineRule="auto"/>
        <w:ind w:right="-2"/>
        <w:rPr>
          <w:iCs/>
          <w:szCs w:val="22"/>
          <w:u w:val="single"/>
        </w:rPr>
      </w:pPr>
    </w:p>
    <w:p w14:paraId="749BB48C" w14:textId="00392540" w:rsidR="004532A0" w:rsidRDefault="004532A0" w:rsidP="004532A0">
      <w:pPr>
        <w:numPr>
          <w:ilvl w:val="12"/>
          <w:numId w:val="0"/>
        </w:numPr>
        <w:spacing w:line="240" w:lineRule="auto"/>
        <w:ind w:right="-2"/>
        <w:rPr>
          <w:iCs/>
          <w:szCs w:val="22"/>
          <w:u w:val="single"/>
        </w:rPr>
      </w:pPr>
      <w:r w:rsidRPr="00973F89">
        <w:rPr>
          <w:iCs/>
          <w:szCs w:val="22"/>
          <w:u w:val="single"/>
        </w:rPr>
        <w:t xml:space="preserve">Characteristics in specific groups of subjects or patients </w:t>
      </w:r>
    </w:p>
    <w:p w14:paraId="2E60AD1F" w14:textId="762BDE42" w:rsidR="004532A0" w:rsidRDefault="00501FFB" w:rsidP="004532A0">
      <w:pPr>
        <w:numPr>
          <w:ilvl w:val="12"/>
          <w:numId w:val="0"/>
        </w:numPr>
        <w:spacing w:line="240" w:lineRule="auto"/>
        <w:ind w:right="-2"/>
        <w:rPr>
          <w:iCs/>
          <w:szCs w:val="22"/>
        </w:rPr>
      </w:pPr>
      <w:r>
        <w:rPr>
          <w:iCs/>
          <w:color w:val="000000"/>
          <w:szCs w:val="22"/>
        </w:rPr>
        <w:t>F</w:t>
      </w:r>
      <w:r w:rsidR="004532A0" w:rsidRPr="000B2A2A">
        <w:rPr>
          <w:iCs/>
          <w:color w:val="000000"/>
          <w:szCs w:val="22"/>
        </w:rPr>
        <w:t xml:space="preserve">actors such as age, sex, ethnicity, or </w:t>
      </w:r>
      <w:r w:rsidR="004532A0">
        <w:rPr>
          <w:iCs/>
          <w:color w:val="000000"/>
          <w:szCs w:val="22"/>
        </w:rPr>
        <w:t>mild</w:t>
      </w:r>
      <w:r w:rsidR="009A7CC5">
        <w:rPr>
          <w:iCs/>
          <w:color w:val="000000"/>
          <w:szCs w:val="22"/>
        </w:rPr>
        <w:t xml:space="preserve"> </w:t>
      </w:r>
      <w:r w:rsidR="004532A0">
        <w:rPr>
          <w:iCs/>
          <w:color w:val="000000"/>
          <w:szCs w:val="22"/>
        </w:rPr>
        <w:t xml:space="preserve">to moderate </w:t>
      </w:r>
      <w:r w:rsidR="004532A0" w:rsidRPr="000B2A2A">
        <w:rPr>
          <w:iCs/>
          <w:color w:val="000000"/>
          <w:szCs w:val="22"/>
        </w:rPr>
        <w:t xml:space="preserve">hepatic impairment have </w:t>
      </w:r>
      <w:r>
        <w:rPr>
          <w:iCs/>
          <w:color w:val="000000"/>
          <w:szCs w:val="22"/>
        </w:rPr>
        <w:t>not been examined.</w:t>
      </w:r>
    </w:p>
    <w:p w14:paraId="5678D0E5" w14:textId="44AC9211" w:rsidR="00812D16" w:rsidRPr="00157895" w:rsidRDefault="00812D16" w:rsidP="00204AAB">
      <w:pPr>
        <w:numPr>
          <w:ilvl w:val="12"/>
          <w:numId w:val="0"/>
        </w:numPr>
        <w:spacing w:line="240" w:lineRule="auto"/>
        <w:ind w:right="-2"/>
        <w:rPr>
          <w:iCs/>
          <w:noProof/>
          <w:szCs w:val="22"/>
        </w:rPr>
      </w:pPr>
    </w:p>
    <w:p w14:paraId="73F2CF7C" w14:textId="4843C36A" w:rsidR="00812D16" w:rsidRPr="001F6423" w:rsidRDefault="008C2461" w:rsidP="00AD6051">
      <w:pPr>
        <w:pStyle w:val="Heading2"/>
        <w:rPr>
          <w:noProof/>
        </w:rPr>
      </w:pPr>
      <w:r>
        <w:rPr>
          <w:noProof/>
        </w:rPr>
        <w:t>PRECLINICAL SAFETY DATA</w:t>
      </w:r>
    </w:p>
    <w:p w14:paraId="61572496" w14:textId="0AE94725" w:rsidR="00364A36" w:rsidRDefault="00364A36" w:rsidP="00AD6051">
      <w:pPr>
        <w:pStyle w:val="Heading3"/>
        <w:rPr>
          <w:rFonts w:eastAsia="SimSun"/>
          <w:lang w:val="en-US" w:eastAsia="en-GB"/>
        </w:rPr>
      </w:pPr>
      <w:bookmarkStart w:id="21" w:name="_Hlk74046739"/>
      <w:r>
        <w:rPr>
          <w:rFonts w:eastAsia="SimSun"/>
          <w:lang w:val="en-US" w:eastAsia="en-GB"/>
        </w:rPr>
        <w:t>Genotoxicity</w:t>
      </w:r>
    </w:p>
    <w:p w14:paraId="686B2BC9" w14:textId="48FADC20" w:rsidR="001E4F77" w:rsidRDefault="001E4F77" w:rsidP="001E4F77">
      <w:pPr>
        <w:numPr>
          <w:ilvl w:val="12"/>
          <w:numId w:val="0"/>
        </w:numPr>
        <w:spacing w:line="240" w:lineRule="auto"/>
        <w:ind w:right="-2"/>
        <w:rPr>
          <w:rFonts w:eastAsia="SimSun"/>
          <w:color w:val="000000"/>
          <w:szCs w:val="22"/>
          <w:lang w:val="en-US" w:eastAsia="en-GB"/>
        </w:rPr>
      </w:pPr>
      <w:r w:rsidRPr="001E4F77">
        <w:rPr>
          <w:color w:val="000000"/>
          <w:lang w:val="en-US" w:eastAsia="en-GB"/>
        </w:rPr>
        <w:t>Difelikefalin was negative for genotoxicity in a bacterial reverse mutation assay, an in vitro</w:t>
      </w:r>
      <w:r>
        <w:rPr>
          <w:color w:val="000000"/>
          <w:lang w:val="en-US" w:eastAsia="en-GB"/>
        </w:rPr>
        <w:t xml:space="preserve"> </w:t>
      </w:r>
      <w:r w:rsidRPr="001E4F77">
        <w:rPr>
          <w:color w:val="000000"/>
          <w:lang w:val="en-US" w:eastAsia="en-GB"/>
        </w:rPr>
        <w:t>mammalian chromosomal aberration assay, and an in vivo mouse micronucleus assay at IV</w:t>
      </w:r>
      <w:r>
        <w:rPr>
          <w:color w:val="000000"/>
          <w:lang w:val="en-US" w:eastAsia="en-GB"/>
        </w:rPr>
        <w:t xml:space="preserve"> </w:t>
      </w:r>
      <w:r w:rsidRPr="001E4F77">
        <w:rPr>
          <w:color w:val="000000"/>
          <w:lang w:val="en-US" w:eastAsia="en-GB"/>
        </w:rPr>
        <w:t>doses up to 100 mg/kg.</w:t>
      </w:r>
    </w:p>
    <w:p w14:paraId="1A77711C" w14:textId="2EE9AA59" w:rsidR="00250189" w:rsidRDefault="00250189" w:rsidP="000F731D">
      <w:pPr>
        <w:pStyle w:val="NormalCentred"/>
        <w:jc w:val="left"/>
        <w:rPr>
          <w:lang w:val="en-US"/>
        </w:rPr>
      </w:pPr>
    </w:p>
    <w:p w14:paraId="17A6F639" w14:textId="172684F2" w:rsidR="00364A36" w:rsidRPr="00FF01BC" w:rsidRDefault="00364A36" w:rsidP="00837114">
      <w:pPr>
        <w:pStyle w:val="Heading3"/>
        <w:keepNext/>
        <w:rPr>
          <w:rFonts w:eastAsia="SimSun"/>
          <w:lang w:val="en-US" w:eastAsia="en-GB"/>
        </w:rPr>
      </w:pPr>
      <w:r>
        <w:rPr>
          <w:rFonts w:eastAsia="SimSun"/>
          <w:lang w:val="en-US" w:eastAsia="en-GB"/>
        </w:rPr>
        <w:t>Carcinogenicity</w:t>
      </w:r>
    </w:p>
    <w:bookmarkEnd w:id="21"/>
    <w:p w14:paraId="2AC05164" w14:textId="41088DC9" w:rsidR="001E4F77" w:rsidRDefault="001E4F77" w:rsidP="00837114">
      <w:pPr>
        <w:keepNext/>
        <w:numPr>
          <w:ilvl w:val="12"/>
          <w:numId w:val="0"/>
        </w:numPr>
        <w:spacing w:line="240" w:lineRule="auto"/>
        <w:ind w:right="-2"/>
        <w:rPr>
          <w:rFonts w:eastAsia="SimSun"/>
          <w:color w:val="000000"/>
          <w:szCs w:val="22"/>
          <w:lang w:val="en-US" w:eastAsia="en-GB"/>
        </w:rPr>
      </w:pPr>
      <w:r w:rsidRPr="001E4F77">
        <w:rPr>
          <w:rFonts w:eastAsia="SimSun"/>
          <w:color w:val="000000"/>
          <w:szCs w:val="22"/>
          <w:lang w:val="en-US" w:eastAsia="en-GB"/>
        </w:rPr>
        <w:t>In a 2-year carcinogenicity study in rats, difelikefalin was not carcinogenic when</w:t>
      </w:r>
      <w:r>
        <w:rPr>
          <w:rFonts w:eastAsia="SimSun"/>
          <w:color w:val="000000"/>
          <w:szCs w:val="22"/>
          <w:lang w:val="en-US" w:eastAsia="en-GB"/>
        </w:rPr>
        <w:t xml:space="preserve"> </w:t>
      </w:r>
      <w:r w:rsidRPr="001E4F77">
        <w:rPr>
          <w:rFonts w:eastAsia="SimSun"/>
          <w:color w:val="000000"/>
          <w:szCs w:val="22"/>
          <w:lang w:val="en-US" w:eastAsia="en-GB"/>
        </w:rPr>
        <w:t>administered via subcutaneous injection at doses up to 1 mg/kg/day (1790 and 6145 times</w:t>
      </w:r>
      <w:r>
        <w:rPr>
          <w:rFonts w:eastAsia="SimSun"/>
          <w:color w:val="000000"/>
          <w:szCs w:val="22"/>
          <w:lang w:val="en-US" w:eastAsia="en-GB"/>
        </w:rPr>
        <w:t xml:space="preserve"> </w:t>
      </w:r>
      <w:r w:rsidRPr="001E4F77">
        <w:rPr>
          <w:rFonts w:eastAsia="SimSun"/>
          <w:color w:val="000000"/>
          <w:szCs w:val="22"/>
          <w:lang w:val="en-US" w:eastAsia="en-GB"/>
        </w:rPr>
        <w:t>in males and females, respectively, the AUC at the MRHD). Difelikefalin was not carcinogenic</w:t>
      </w:r>
      <w:r>
        <w:rPr>
          <w:rFonts w:eastAsia="SimSun"/>
          <w:color w:val="000000"/>
          <w:szCs w:val="22"/>
          <w:lang w:val="en-US" w:eastAsia="en-GB"/>
        </w:rPr>
        <w:t xml:space="preserve"> </w:t>
      </w:r>
      <w:r w:rsidRPr="001E4F77">
        <w:rPr>
          <w:rFonts w:eastAsia="SimSun"/>
          <w:color w:val="000000"/>
          <w:szCs w:val="22"/>
          <w:lang w:val="en-US" w:eastAsia="en-GB"/>
        </w:rPr>
        <w:t>in a 6-month carcinogenicity study in transgenic rasH2 mice at subcutaneous doses up to</w:t>
      </w:r>
      <w:r>
        <w:rPr>
          <w:rFonts w:eastAsia="SimSun"/>
          <w:color w:val="000000"/>
          <w:szCs w:val="22"/>
          <w:lang w:val="en-US" w:eastAsia="en-GB"/>
        </w:rPr>
        <w:t xml:space="preserve"> </w:t>
      </w:r>
      <w:r w:rsidRPr="001E4F77">
        <w:rPr>
          <w:rFonts w:eastAsia="SimSun"/>
          <w:color w:val="000000"/>
          <w:szCs w:val="22"/>
          <w:lang w:val="en-US" w:eastAsia="en-GB"/>
        </w:rPr>
        <w:t>30 mg/kg/day (1479 times the AUC at the MRHD).</w:t>
      </w:r>
    </w:p>
    <w:p w14:paraId="236B5506" w14:textId="77777777" w:rsidR="004532A0" w:rsidRPr="006B4557" w:rsidRDefault="004532A0" w:rsidP="00204AAB">
      <w:pPr>
        <w:spacing w:line="240" w:lineRule="auto"/>
        <w:rPr>
          <w:noProof/>
          <w:szCs w:val="22"/>
        </w:rPr>
      </w:pPr>
    </w:p>
    <w:p w14:paraId="0174B79A" w14:textId="2591D8D5" w:rsidR="00812D16" w:rsidRPr="006B4557" w:rsidRDefault="001F0D03" w:rsidP="00EE21DF">
      <w:pPr>
        <w:pStyle w:val="Heading1"/>
        <w:rPr>
          <w:noProof/>
        </w:rPr>
      </w:pPr>
      <w:r w:rsidRPr="006B4557">
        <w:rPr>
          <w:noProof/>
        </w:rPr>
        <w:t>PHARMACEUTICAL PARTICULARS</w:t>
      </w:r>
    </w:p>
    <w:p w14:paraId="75B4383A" w14:textId="77777777" w:rsidR="00812D16" w:rsidRPr="006B4557" w:rsidRDefault="00812D16" w:rsidP="00204AAB">
      <w:pPr>
        <w:spacing w:line="240" w:lineRule="auto"/>
        <w:rPr>
          <w:noProof/>
          <w:szCs w:val="22"/>
        </w:rPr>
      </w:pPr>
    </w:p>
    <w:p w14:paraId="1DDE0C80" w14:textId="7177D732" w:rsidR="00812D16" w:rsidRPr="006B4557" w:rsidRDefault="008C2461" w:rsidP="00EE21DF">
      <w:pPr>
        <w:pStyle w:val="Heading2"/>
        <w:rPr>
          <w:noProof/>
        </w:rPr>
      </w:pPr>
      <w:r>
        <w:rPr>
          <w:noProof/>
        </w:rPr>
        <w:t>LIST OF EXCIPIENTS</w:t>
      </w:r>
    </w:p>
    <w:p w14:paraId="61B1A0F6" w14:textId="77777777" w:rsidR="004532A0" w:rsidRPr="00FF01BC" w:rsidRDefault="004532A0" w:rsidP="00FF01BC">
      <w:pPr>
        <w:numPr>
          <w:ilvl w:val="12"/>
          <w:numId w:val="0"/>
        </w:numPr>
        <w:spacing w:line="240" w:lineRule="auto"/>
        <w:ind w:right="-2"/>
        <w:rPr>
          <w:rFonts w:eastAsia="SimSun"/>
          <w:color w:val="000000"/>
          <w:szCs w:val="22"/>
          <w:lang w:val="en-US" w:eastAsia="en-GB"/>
        </w:rPr>
      </w:pPr>
      <w:r w:rsidRPr="00FF01BC">
        <w:rPr>
          <w:rFonts w:eastAsia="SimSun"/>
          <w:color w:val="000000"/>
          <w:szCs w:val="22"/>
          <w:lang w:val="en-US" w:eastAsia="en-GB"/>
        </w:rPr>
        <w:t>Acetic acid (pH adjustment)</w:t>
      </w:r>
    </w:p>
    <w:p w14:paraId="7678F938" w14:textId="77777777" w:rsidR="004532A0" w:rsidRPr="00FF01BC" w:rsidRDefault="004532A0" w:rsidP="00FF01BC">
      <w:pPr>
        <w:numPr>
          <w:ilvl w:val="12"/>
          <w:numId w:val="0"/>
        </w:numPr>
        <w:spacing w:line="240" w:lineRule="auto"/>
        <w:ind w:right="-2"/>
        <w:rPr>
          <w:rFonts w:eastAsia="SimSun"/>
          <w:color w:val="000000"/>
          <w:szCs w:val="22"/>
          <w:lang w:val="en-US" w:eastAsia="en-GB"/>
        </w:rPr>
      </w:pPr>
      <w:r w:rsidRPr="00FF01BC">
        <w:rPr>
          <w:rFonts w:eastAsia="SimSun"/>
          <w:color w:val="000000"/>
          <w:szCs w:val="22"/>
          <w:lang w:val="en-US" w:eastAsia="en-GB"/>
        </w:rPr>
        <w:t>Sodium acetate trihydrate (pH adjustment)</w:t>
      </w:r>
    </w:p>
    <w:p w14:paraId="19FDE337" w14:textId="77777777" w:rsidR="004532A0" w:rsidRPr="00FF01BC" w:rsidRDefault="004532A0" w:rsidP="00FF01BC">
      <w:pPr>
        <w:numPr>
          <w:ilvl w:val="12"/>
          <w:numId w:val="0"/>
        </w:numPr>
        <w:spacing w:line="240" w:lineRule="auto"/>
        <w:ind w:right="-2"/>
        <w:rPr>
          <w:rFonts w:eastAsia="SimSun"/>
          <w:color w:val="000000"/>
          <w:szCs w:val="22"/>
          <w:lang w:val="en-US" w:eastAsia="en-GB"/>
        </w:rPr>
      </w:pPr>
      <w:r w:rsidRPr="00FF01BC">
        <w:rPr>
          <w:rFonts w:eastAsia="SimSun"/>
          <w:color w:val="000000"/>
          <w:szCs w:val="22"/>
          <w:lang w:val="en-US" w:eastAsia="en-GB"/>
        </w:rPr>
        <w:t>Sodium chloride</w:t>
      </w:r>
    </w:p>
    <w:p w14:paraId="3C0270D9" w14:textId="77777777" w:rsidR="004532A0" w:rsidRPr="00FF01BC" w:rsidRDefault="004532A0" w:rsidP="00FF01BC">
      <w:pPr>
        <w:numPr>
          <w:ilvl w:val="12"/>
          <w:numId w:val="0"/>
        </w:numPr>
        <w:spacing w:line="240" w:lineRule="auto"/>
        <w:ind w:right="-2"/>
        <w:rPr>
          <w:rFonts w:eastAsia="SimSun"/>
          <w:color w:val="000000"/>
          <w:szCs w:val="22"/>
          <w:lang w:val="en-US" w:eastAsia="en-GB"/>
        </w:rPr>
      </w:pPr>
      <w:r w:rsidRPr="00FF01BC">
        <w:rPr>
          <w:rFonts w:eastAsia="SimSun"/>
          <w:color w:val="000000"/>
          <w:szCs w:val="22"/>
          <w:lang w:val="en-US" w:eastAsia="en-GB"/>
        </w:rPr>
        <w:t>Water for injections</w:t>
      </w:r>
    </w:p>
    <w:p w14:paraId="33A145D9" w14:textId="77777777" w:rsidR="00812D16" w:rsidRPr="006B4557" w:rsidRDefault="00812D16" w:rsidP="00204AAB">
      <w:pPr>
        <w:spacing w:line="240" w:lineRule="auto"/>
        <w:rPr>
          <w:noProof/>
          <w:szCs w:val="22"/>
        </w:rPr>
      </w:pPr>
    </w:p>
    <w:p w14:paraId="4D0176F0" w14:textId="768397EC" w:rsidR="00812D16" w:rsidRPr="006B4557" w:rsidRDefault="008C2461" w:rsidP="00EE21DF">
      <w:pPr>
        <w:pStyle w:val="Heading2"/>
        <w:rPr>
          <w:noProof/>
        </w:rPr>
      </w:pPr>
      <w:r>
        <w:rPr>
          <w:noProof/>
        </w:rPr>
        <w:t>INCOMPAT</w:t>
      </w:r>
      <w:r w:rsidR="009B1CE7">
        <w:rPr>
          <w:noProof/>
        </w:rPr>
        <w:t>IBILITES</w:t>
      </w:r>
    </w:p>
    <w:p w14:paraId="4C3CBE9C" w14:textId="77777777" w:rsidR="00812D16" w:rsidRPr="006B4557" w:rsidRDefault="00812D16" w:rsidP="00204AAB">
      <w:pPr>
        <w:spacing w:line="240" w:lineRule="auto"/>
        <w:rPr>
          <w:noProof/>
          <w:szCs w:val="22"/>
        </w:rPr>
      </w:pPr>
    </w:p>
    <w:p w14:paraId="31F0457E" w14:textId="77777777" w:rsidR="004532A0" w:rsidRDefault="004532A0" w:rsidP="004532A0">
      <w:pPr>
        <w:spacing w:line="240" w:lineRule="auto"/>
        <w:rPr>
          <w:szCs w:val="22"/>
        </w:rPr>
      </w:pPr>
      <w:r>
        <w:rPr>
          <w:szCs w:val="22"/>
        </w:rPr>
        <w:t>In the absence of compatibility studies, this medicinal product must not be mixed with other medicinal products.</w:t>
      </w:r>
    </w:p>
    <w:p w14:paraId="6F74FB85" w14:textId="77777777" w:rsidR="00812D16" w:rsidRPr="006B4557" w:rsidRDefault="00812D16" w:rsidP="00204AAB">
      <w:pPr>
        <w:spacing w:line="240" w:lineRule="auto"/>
        <w:rPr>
          <w:noProof/>
          <w:szCs w:val="22"/>
        </w:rPr>
      </w:pPr>
    </w:p>
    <w:p w14:paraId="75E1FE32" w14:textId="31683F28" w:rsidR="00812D16" w:rsidRPr="006B4557" w:rsidRDefault="009B1CE7" w:rsidP="00EE21DF">
      <w:pPr>
        <w:pStyle w:val="Heading2"/>
        <w:rPr>
          <w:noProof/>
        </w:rPr>
      </w:pPr>
      <w:r>
        <w:rPr>
          <w:noProof/>
        </w:rPr>
        <w:t>SHELF LIFE</w:t>
      </w:r>
    </w:p>
    <w:p w14:paraId="5B7C29D6" w14:textId="77777777" w:rsidR="009B1CE7" w:rsidRPr="0098782E" w:rsidRDefault="009B1CE7" w:rsidP="009B1CE7">
      <w:pPr>
        <w:rPr>
          <w:szCs w:val="24"/>
        </w:rPr>
      </w:pPr>
      <w:bookmarkStart w:id="22" w:name="_Hlk74046877"/>
      <w:r w:rsidRPr="0098782E">
        <w:rPr>
          <w:szCs w:val="24"/>
        </w:rPr>
        <w:t>In Australia, information on the shelf life can be found on the public summary of the</w:t>
      </w:r>
      <w:r>
        <w:rPr>
          <w:szCs w:val="24"/>
        </w:rPr>
        <w:t xml:space="preserve"> </w:t>
      </w:r>
      <w:r w:rsidRPr="0098782E">
        <w:rPr>
          <w:szCs w:val="24"/>
        </w:rPr>
        <w:t>Australian Register of Therapeutic Goods (ARTG). The expiry date can be found on the packaging.</w:t>
      </w:r>
    </w:p>
    <w:bookmarkEnd w:id="22"/>
    <w:p w14:paraId="66F50C47" w14:textId="77777777" w:rsidR="00812D16" w:rsidRPr="006B4557" w:rsidRDefault="00812D16" w:rsidP="00204AAB">
      <w:pPr>
        <w:spacing w:line="240" w:lineRule="auto"/>
        <w:rPr>
          <w:noProof/>
          <w:szCs w:val="22"/>
        </w:rPr>
      </w:pPr>
    </w:p>
    <w:p w14:paraId="61E4DD01" w14:textId="7E9C85F9" w:rsidR="00812D16" w:rsidRPr="006B4557" w:rsidRDefault="009B1CE7" w:rsidP="00EE21DF">
      <w:pPr>
        <w:pStyle w:val="Heading2"/>
        <w:rPr>
          <w:noProof/>
        </w:rPr>
      </w:pPr>
      <w:r>
        <w:rPr>
          <w:noProof/>
        </w:rPr>
        <w:t>SPECIAL PRECAUTIONS FOR STORAGE</w:t>
      </w:r>
    </w:p>
    <w:p w14:paraId="4A4E7477" w14:textId="3C580BA1" w:rsidR="004532A0" w:rsidRPr="00D84542" w:rsidRDefault="00250189" w:rsidP="004532A0">
      <w:pPr>
        <w:spacing w:line="240" w:lineRule="auto"/>
        <w:rPr>
          <w:szCs w:val="22"/>
        </w:rPr>
      </w:pPr>
      <w:bookmarkStart w:id="23" w:name="_Hlk74046936"/>
      <w:r>
        <w:rPr>
          <w:iCs/>
          <w:szCs w:val="22"/>
        </w:rPr>
        <w:t>Store below 30</w:t>
      </w:r>
      <w:r>
        <w:rPr>
          <w:rFonts w:ascii="Symbol" w:eastAsia="Symbol" w:hAnsi="Symbol" w:cs="Symbol"/>
          <w:iCs/>
          <w:szCs w:val="22"/>
        </w:rPr>
        <w:t>°</w:t>
      </w:r>
      <w:r>
        <w:rPr>
          <w:iCs/>
          <w:szCs w:val="22"/>
        </w:rPr>
        <w:t xml:space="preserve">C. </w:t>
      </w:r>
      <w:r w:rsidR="004532A0" w:rsidRPr="00D84542">
        <w:rPr>
          <w:iCs/>
          <w:szCs w:val="22"/>
        </w:rPr>
        <w:t xml:space="preserve"> </w:t>
      </w:r>
      <w:r w:rsidR="004532A0" w:rsidRPr="00D84542">
        <w:rPr>
          <w:szCs w:val="22"/>
        </w:rPr>
        <w:t xml:space="preserve">Do not freeze. </w:t>
      </w:r>
    </w:p>
    <w:bookmarkEnd w:id="23"/>
    <w:p w14:paraId="169C24E4" w14:textId="77777777" w:rsidR="00812D16" w:rsidRPr="007B42D3" w:rsidRDefault="00812D16" w:rsidP="00204AAB">
      <w:pPr>
        <w:spacing w:line="240" w:lineRule="auto"/>
        <w:rPr>
          <w:noProof/>
          <w:szCs w:val="22"/>
        </w:rPr>
      </w:pPr>
    </w:p>
    <w:p w14:paraId="7F40058F" w14:textId="2811CEBF" w:rsidR="00812D16" w:rsidRPr="00B3208E" w:rsidRDefault="009B1CE7" w:rsidP="001173AD">
      <w:pPr>
        <w:pStyle w:val="Heading2"/>
        <w:pageBreakBefore/>
        <w:rPr>
          <w:noProof/>
        </w:rPr>
      </w:pPr>
      <w:r>
        <w:rPr>
          <w:noProof/>
        </w:rPr>
        <w:lastRenderedPageBreak/>
        <w:t>NATURE AND CONTENTS OF CONTAINER</w:t>
      </w:r>
      <w:r w:rsidR="00014D59" w:rsidRPr="00067B16">
        <w:rPr>
          <w:noProof/>
        </w:rPr>
        <w:t xml:space="preserve"> </w:t>
      </w:r>
    </w:p>
    <w:p w14:paraId="02A3BDBF" w14:textId="56F7764C" w:rsidR="004532A0" w:rsidRPr="00D84542" w:rsidRDefault="00364A36" w:rsidP="004532A0">
      <w:pPr>
        <w:spacing w:line="240" w:lineRule="auto"/>
        <w:rPr>
          <w:iCs/>
          <w:szCs w:val="22"/>
        </w:rPr>
      </w:pPr>
      <w:r>
        <w:rPr>
          <w:noProof/>
          <w:szCs w:val="22"/>
        </w:rPr>
        <w:t>Korsuva</w:t>
      </w:r>
      <w:r w:rsidR="004532A0" w:rsidRPr="00D84542">
        <w:rPr>
          <w:iCs/>
          <w:szCs w:val="22"/>
        </w:rPr>
        <w:t xml:space="preserve"> is supplied in a </w:t>
      </w:r>
      <w:r w:rsidR="004532A0" w:rsidRPr="00BA7A73">
        <w:rPr>
          <w:iCs/>
          <w:szCs w:val="22"/>
        </w:rPr>
        <w:t>single use</w:t>
      </w:r>
      <w:r w:rsidR="004532A0">
        <w:rPr>
          <w:iCs/>
          <w:szCs w:val="22"/>
        </w:rPr>
        <w:t xml:space="preserve"> </w:t>
      </w:r>
      <w:r w:rsidR="004532A0" w:rsidRPr="00D84542">
        <w:rPr>
          <w:iCs/>
          <w:szCs w:val="22"/>
        </w:rPr>
        <w:t>2</w:t>
      </w:r>
      <w:r w:rsidR="004532A0" w:rsidRPr="00D84542">
        <w:rPr>
          <w:noProof/>
          <w:szCs w:val="22"/>
        </w:rPr>
        <w:t> </w:t>
      </w:r>
      <w:r w:rsidR="004532A0" w:rsidRPr="00D84542">
        <w:rPr>
          <w:iCs/>
          <w:szCs w:val="22"/>
        </w:rPr>
        <w:t>mL glass vial</w:t>
      </w:r>
      <w:r w:rsidR="004532A0">
        <w:rPr>
          <w:iCs/>
          <w:szCs w:val="22"/>
        </w:rPr>
        <w:t xml:space="preserve"> (type I)</w:t>
      </w:r>
      <w:r w:rsidR="004532A0" w:rsidRPr="00D84542">
        <w:rPr>
          <w:iCs/>
          <w:szCs w:val="22"/>
        </w:rPr>
        <w:t xml:space="preserve">, with a </w:t>
      </w:r>
      <w:r w:rsidR="00C05BF4">
        <w:rPr>
          <w:iCs/>
          <w:szCs w:val="22"/>
        </w:rPr>
        <w:t xml:space="preserve">bromobutyl </w:t>
      </w:r>
      <w:r w:rsidR="004532A0" w:rsidRPr="00D84542">
        <w:rPr>
          <w:iCs/>
          <w:szCs w:val="22"/>
        </w:rPr>
        <w:t>rubber stopper, an aluminium seal and a blue flip-off plastic cap, as 1</w:t>
      </w:r>
      <w:r w:rsidR="004532A0" w:rsidRPr="00D84542">
        <w:rPr>
          <w:noProof/>
          <w:szCs w:val="22"/>
        </w:rPr>
        <w:t> </w:t>
      </w:r>
      <w:r w:rsidR="004532A0" w:rsidRPr="00D84542">
        <w:rPr>
          <w:iCs/>
          <w:szCs w:val="22"/>
        </w:rPr>
        <w:t>mL solution containing 50</w:t>
      </w:r>
      <w:r w:rsidR="004532A0" w:rsidRPr="00D84542">
        <w:rPr>
          <w:noProof/>
          <w:szCs w:val="22"/>
        </w:rPr>
        <w:t> </w:t>
      </w:r>
      <w:r w:rsidR="004532A0" w:rsidRPr="00D84542">
        <w:rPr>
          <w:iCs/>
          <w:noProof/>
          <w:szCs w:val="22"/>
        </w:rPr>
        <w:t>micrograms</w:t>
      </w:r>
      <w:r w:rsidR="004532A0" w:rsidRPr="00D84542" w:rsidDel="00041303">
        <w:rPr>
          <w:iCs/>
          <w:szCs w:val="22"/>
        </w:rPr>
        <w:t xml:space="preserve"> </w:t>
      </w:r>
      <w:r w:rsidR="004532A0" w:rsidRPr="00D84542">
        <w:rPr>
          <w:iCs/>
          <w:szCs w:val="22"/>
        </w:rPr>
        <w:t xml:space="preserve">difelikefalin. </w:t>
      </w:r>
    </w:p>
    <w:p w14:paraId="10A67F4B" w14:textId="77777777" w:rsidR="004532A0" w:rsidRPr="00D84542" w:rsidRDefault="004532A0" w:rsidP="004532A0">
      <w:pPr>
        <w:spacing w:line="240" w:lineRule="auto"/>
        <w:rPr>
          <w:iCs/>
          <w:szCs w:val="22"/>
        </w:rPr>
      </w:pPr>
      <w:r w:rsidRPr="00D84542">
        <w:rPr>
          <w:iCs/>
          <w:szCs w:val="22"/>
        </w:rPr>
        <w:t>Pack</w:t>
      </w:r>
      <w:r>
        <w:rPr>
          <w:iCs/>
          <w:szCs w:val="22"/>
        </w:rPr>
        <w:t xml:space="preserve"> sizes</w:t>
      </w:r>
      <w:r w:rsidRPr="00D84542">
        <w:rPr>
          <w:iCs/>
          <w:szCs w:val="22"/>
        </w:rPr>
        <w:t xml:space="preserve"> of 3 and 12</w:t>
      </w:r>
      <w:r w:rsidRPr="00D84542">
        <w:rPr>
          <w:noProof/>
          <w:szCs w:val="22"/>
        </w:rPr>
        <w:t> </w:t>
      </w:r>
      <w:r w:rsidRPr="00D84542">
        <w:rPr>
          <w:iCs/>
          <w:szCs w:val="22"/>
        </w:rPr>
        <w:t>vials containing 1</w:t>
      </w:r>
      <w:r w:rsidRPr="00D84542">
        <w:rPr>
          <w:noProof/>
          <w:szCs w:val="22"/>
        </w:rPr>
        <w:t> </w:t>
      </w:r>
      <w:r w:rsidRPr="00D84542">
        <w:rPr>
          <w:iCs/>
          <w:szCs w:val="22"/>
        </w:rPr>
        <w:t xml:space="preserve">mL of solution for injection. </w:t>
      </w:r>
    </w:p>
    <w:p w14:paraId="5E6E24BB" w14:textId="76061420" w:rsidR="004532A0" w:rsidRPr="00D84542" w:rsidRDefault="004532A0" w:rsidP="004532A0">
      <w:pPr>
        <w:spacing w:line="240" w:lineRule="auto"/>
        <w:rPr>
          <w:iCs/>
          <w:szCs w:val="22"/>
        </w:rPr>
      </w:pPr>
      <w:r w:rsidRPr="00D84542">
        <w:rPr>
          <w:iCs/>
          <w:szCs w:val="22"/>
        </w:rPr>
        <w:t xml:space="preserve">Not all pack sizes may be marketed. </w:t>
      </w:r>
    </w:p>
    <w:p w14:paraId="75A34B1A" w14:textId="77777777" w:rsidR="00812D16" w:rsidRPr="008225EB" w:rsidRDefault="00812D16" w:rsidP="00204AAB">
      <w:pPr>
        <w:spacing w:line="240" w:lineRule="auto"/>
        <w:rPr>
          <w:noProof/>
          <w:szCs w:val="22"/>
        </w:rPr>
      </w:pPr>
    </w:p>
    <w:p w14:paraId="65CBCA4D" w14:textId="4E352B09" w:rsidR="009B1CE7" w:rsidRPr="0098782E" w:rsidRDefault="009B1CE7" w:rsidP="009B1CE7">
      <w:pPr>
        <w:pStyle w:val="Heading2"/>
        <w:keepNext/>
        <w:suppressAutoHyphens w:val="0"/>
        <w:spacing w:line="276" w:lineRule="auto"/>
        <w:ind w:left="0" w:firstLine="0"/>
      </w:pPr>
      <w:bookmarkStart w:id="24" w:name="OLE_LINK1"/>
      <w:r w:rsidRPr="0098782E">
        <w:t>SPECIAL PRECAUTIONS FOR DISPOSAL</w:t>
      </w:r>
    </w:p>
    <w:p w14:paraId="527FCA30" w14:textId="77777777" w:rsidR="00812D16" w:rsidRPr="00412450" w:rsidRDefault="00812D16" w:rsidP="00EE21DF">
      <w:pPr>
        <w:rPr>
          <w:noProof/>
        </w:rPr>
      </w:pPr>
    </w:p>
    <w:bookmarkEnd w:id="24"/>
    <w:p w14:paraId="0E60D080" w14:textId="06D8BAB2" w:rsidR="004532A0" w:rsidRPr="00B321D0" w:rsidRDefault="003F4FAC" w:rsidP="004532A0">
      <w:pPr>
        <w:spacing w:line="240" w:lineRule="auto"/>
        <w:rPr>
          <w:iCs/>
          <w:szCs w:val="22"/>
        </w:rPr>
      </w:pPr>
      <w:r>
        <w:rPr>
          <w:iCs/>
          <w:szCs w:val="22"/>
        </w:rPr>
        <w:t>Korsuva is f</w:t>
      </w:r>
      <w:r w:rsidR="004532A0" w:rsidRPr="00B321D0">
        <w:rPr>
          <w:iCs/>
          <w:szCs w:val="22"/>
        </w:rPr>
        <w:t xml:space="preserve">or single use </w:t>
      </w:r>
      <w:r w:rsidR="00453529">
        <w:rPr>
          <w:iCs/>
          <w:szCs w:val="22"/>
        </w:rPr>
        <w:t xml:space="preserve">in one patient </w:t>
      </w:r>
      <w:r w:rsidR="004532A0" w:rsidRPr="00B321D0">
        <w:rPr>
          <w:iCs/>
          <w:szCs w:val="22"/>
        </w:rPr>
        <w:t>only.</w:t>
      </w:r>
      <w:r w:rsidR="00BC3F65">
        <w:rPr>
          <w:iCs/>
          <w:szCs w:val="22"/>
        </w:rPr>
        <w:t xml:space="preserve">  Discard any residue.</w:t>
      </w:r>
    </w:p>
    <w:p w14:paraId="332B670A" w14:textId="77777777" w:rsidR="004532A0" w:rsidRPr="00412450" w:rsidRDefault="004532A0" w:rsidP="004532A0">
      <w:pPr>
        <w:spacing w:line="240" w:lineRule="auto"/>
        <w:rPr>
          <w:noProof/>
          <w:szCs w:val="22"/>
        </w:rPr>
      </w:pPr>
    </w:p>
    <w:p w14:paraId="1F0068DF" w14:textId="77777777" w:rsidR="009B1CE7" w:rsidRPr="0098782E" w:rsidRDefault="009B1CE7" w:rsidP="009B1CE7">
      <w:pPr>
        <w:rPr>
          <w:szCs w:val="24"/>
        </w:rPr>
      </w:pPr>
      <w:r w:rsidRPr="0098782E">
        <w:rPr>
          <w:szCs w:val="24"/>
        </w:rPr>
        <w:t>In Australia, any unused medicine or waste material should be disposed of by taking to your local pharmacy</w:t>
      </w:r>
    </w:p>
    <w:p w14:paraId="0141BAF9" w14:textId="77777777" w:rsidR="009B1CE7" w:rsidRPr="006B4557" w:rsidRDefault="009B1CE7" w:rsidP="004532A0">
      <w:pPr>
        <w:spacing w:line="240" w:lineRule="auto"/>
      </w:pPr>
    </w:p>
    <w:p w14:paraId="51AE97F5" w14:textId="77777777" w:rsidR="009B1CE7" w:rsidRPr="0098782E" w:rsidRDefault="009B1CE7" w:rsidP="00837114">
      <w:pPr>
        <w:pStyle w:val="Heading2"/>
        <w:keepNext/>
        <w:suppressAutoHyphens w:val="0"/>
        <w:spacing w:line="276" w:lineRule="auto"/>
        <w:ind w:left="0" w:firstLine="0"/>
      </w:pPr>
      <w:r w:rsidRPr="0098782E">
        <w:t>PHYSICOCHEMICAL PROPERTIES</w:t>
      </w:r>
    </w:p>
    <w:p w14:paraId="4A30B815" w14:textId="77777777" w:rsidR="009B1CE7" w:rsidRPr="0098782E" w:rsidRDefault="009B1CE7" w:rsidP="00837114">
      <w:pPr>
        <w:pStyle w:val="Heading3"/>
        <w:keepNext/>
      </w:pPr>
      <w:r w:rsidRPr="0098782E">
        <w:t>Chemical structure</w:t>
      </w:r>
    </w:p>
    <w:p w14:paraId="64EF44D6" w14:textId="4EEFC5CC" w:rsidR="009B1CE7" w:rsidRDefault="00250189" w:rsidP="00837114">
      <w:pPr>
        <w:keepNext/>
        <w:spacing w:line="240" w:lineRule="auto"/>
      </w:pPr>
      <w:r>
        <w:rPr>
          <w:noProof/>
          <w:lang w:val="en-US"/>
        </w:rPr>
        <w:drawing>
          <wp:inline distT="0" distB="0" distL="0" distR="0" wp14:anchorId="4B52DDEF" wp14:editId="676C4FB8">
            <wp:extent cx="4084320" cy="214729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2460" cy="2151576"/>
                    </a:xfrm>
                    <a:prstGeom prst="rect">
                      <a:avLst/>
                    </a:prstGeom>
                  </pic:spPr>
                </pic:pic>
              </a:graphicData>
            </a:graphic>
          </wp:inline>
        </w:drawing>
      </w:r>
    </w:p>
    <w:p w14:paraId="5BBF1A46" w14:textId="4D5FC6CC" w:rsidR="00250189" w:rsidRDefault="00250189" w:rsidP="00204AAB">
      <w:pPr>
        <w:spacing w:line="240" w:lineRule="auto"/>
      </w:pPr>
    </w:p>
    <w:p w14:paraId="6E5A5201" w14:textId="77777777" w:rsidR="00250189" w:rsidRDefault="00250189" w:rsidP="00204AAB">
      <w:pPr>
        <w:spacing w:line="240" w:lineRule="auto"/>
      </w:pPr>
    </w:p>
    <w:p w14:paraId="71C0D366" w14:textId="70D13C96" w:rsidR="00250189" w:rsidRPr="0098782E" w:rsidRDefault="00250189" w:rsidP="00250189">
      <w:pPr>
        <w:pStyle w:val="Heading3"/>
      </w:pPr>
      <w:r w:rsidRPr="0098782E">
        <w:t xml:space="preserve">Chemical </w:t>
      </w:r>
      <w:r>
        <w:t>name</w:t>
      </w:r>
    </w:p>
    <w:p w14:paraId="2D9DFF16" w14:textId="1EB4C13D" w:rsidR="00250189" w:rsidRDefault="00250189" w:rsidP="00204AAB">
      <w:pPr>
        <w:spacing w:line="240" w:lineRule="auto"/>
      </w:pPr>
      <w:r w:rsidRPr="00250189">
        <w:t>D-phenylalanyl-D-phenylalanyl-D-leucyl-D-lysyl-</w:t>
      </w:r>
      <w:r w:rsidR="008E1184" w:rsidRPr="008E1184">
        <w:t>γ</w:t>
      </w:r>
      <w:r w:rsidRPr="00250189">
        <w:t>-(4-N-piperidinyl)-amino-carboxylic acid, acetate salt</w:t>
      </w:r>
    </w:p>
    <w:p w14:paraId="0BE0763E" w14:textId="3D24E8D0" w:rsidR="00250189" w:rsidRDefault="00250189" w:rsidP="00204AAB">
      <w:pPr>
        <w:spacing w:line="240" w:lineRule="auto"/>
      </w:pPr>
    </w:p>
    <w:p w14:paraId="41F76610" w14:textId="1A8AE60B" w:rsidR="00250189" w:rsidRDefault="00250189" w:rsidP="00250189">
      <w:pPr>
        <w:rPr>
          <w:szCs w:val="24"/>
        </w:rPr>
      </w:pPr>
      <w:r>
        <w:rPr>
          <w:szCs w:val="24"/>
        </w:rPr>
        <w:t>Difelikefalin</w:t>
      </w:r>
      <w:r w:rsidRPr="00FE771B">
        <w:rPr>
          <w:szCs w:val="24"/>
        </w:rPr>
        <w:t xml:space="preserve"> is a white to </w:t>
      </w:r>
      <w:r>
        <w:rPr>
          <w:szCs w:val="24"/>
        </w:rPr>
        <w:t>off</w:t>
      </w:r>
      <w:r w:rsidRPr="00FE771B">
        <w:rPr>
          <w:szCs w:val="24"/>
        </w:rPr>
        <w:t xml:space="preserve"> white </w:t>
      </w:r>
      <w:r>
        <w:rPr>
          <w:szCs w:val="24"/>
        </w:rPr>
        <w:t xml:space="preserve">amorphous </w:t>
      </w:r>
      <w:r w:rsidRPr="00FE771B">
        <w:rPr>
          <w:szCs w:val="24"/>
        </w:rPr>
        <w:t xml:space="preserve">powder with the molecular formula </w:t>
      </w:r>
      <w:r w:rsidRPr="00250189">
        <w:rPr>
          <w:szCs w:val="24"/>
        </w:rPr>
        <w:t>C</w:t>
      </w:r>
      <w:r w:rsidRPr="00EE21DF">
        <w:rPr>
          <w:szCs w:val="24"/>
          <w:vertAlign w:val="subscript"/>
        </w:rPr>
        <w:t>36</w:t>
      </w:r>
      <w:r w:rsidRPr="00250189">
        <w:rPr>
          <w:szCs w:val="24"/>
        </w:rPr>
        <w:t>H</w:t>
      </w:r>
      <w:r w:rsidRPr="00EE21DF">
        <w:rPr>
          <w:szCs w:val="24"/>
          <w:vertAlign w:val="subscript"/>
        </w:rPr>
        <w:t>53</w:t>
      </w:r>
      <w:r w:rsidRPr="00250189">
        <w:rPr>
          <w:szCs w:val="24"/>
        </w:rPr>
        <w:t>N</w:t>
      </w:r>
      <w:r w:rsidRPr="00EE21DF">
        <w:rPr>
          <w:szCs w:val="24"/>
          <w:vertAlign w:val="subscript"/>
        </w:rPr>
        <w:t>7</w:t>
      </w:r>
      <w:r w:rsidRPr="00250189">
        <w:rPr>
          <w:szCs w:val="24"/>
        </w:rPr>
        <w:t>O</w:t>
      </w:r>
      <w:r w:rsidRPr="00EE21DF">
        <w:rPr>
          <w:szCs w:val="24"/>
          <w:vertAlign w:val="subscript"/>
        </w:rPr>
        <w:t>6</w:t>
      </w:r>
      <w:r w:rsidRPr="00FE771B">
        <w:rPr>
          <w:szCs w:val="24"/>
        </w:rPr>
        <w:t xml:space="preserve"> </w:t>
      </w:r>
      <w:r w:rsidR="00453529">
        <w:rPr>
          <w:szCs w:val="24"/>
        </w:rPr>
        <w:t xml:space="preserve">(free base) </w:t>
      </w:r>
      <w:r w:rsidRPr="00FE771B">
        <w:rPr>
          <w:szCs w:val="24"/>
        </w:rPr>
        <w:t xml:space="preserve">and a molecular weight of </w:t>
      </w:r>
      <w:r>
        <w:rPr>
          <w:szCs w:val="24"/>
        </w:rPr>
        <w:t>679.9</w:t>
      </w:r>
      <w:r w:rsidR="00453529">
        <w:rPr>
          <w:szCs w:val="24"/>
        </w:rPr>
        <w:t xml:space="preserve"> (free base)</w:t>
      </w:r>
      <w:r w:rsidRPr="00FE771B">
        <w:rPr>
          <w:szCs w:val="24"/>
        </w:rPr>
        <w:t xml:space="preserve">. </w:t>
      </w:r>
      <w:r>
        <w:rPr>
          <w:szCs w:val="24"/>
        </w:rPr>
        <w:t>Difelikefalin</w:t>
      </w:r>
      <w:r w:rsidRPr="00FE771B">
        <w:rPr>
          <w:szCs w:val="24"/>
        </w:rPr>
        <w:t xml:space="preserve"> is </w:t>
      </w:r>
      <w:r>
        <w:rPr>
          <w:szCs w:val="24"/>
        </w:rPr>
        <w:t>considered very</w:t>
      </w:r>
      <w:r w:rsidRPr="00FE771B">
        <w:rPr>
          <w:szCs w:val="24"/>
        </w:rPr>
        <w:t xml:space="preserve"> hygroscopic.</w:t>
      </w:r>
    </w:p>
    <w:p w14:paraId="505202D0" w14:textId="7542CC5C" w:rsidR="00B477B4" w:rsidRDefault="00B477B4" w:rsidP="00250189">
      <w:pPr>
        <w:rPr>
          <w:szCs w:val="24"/>
        </w:rPr>
      </w:pPr>
    </w:p>
    <w:p w14:paraId="1EA6EDB8" w14:textId="27DB816D" w:rsidR="00B477B4" w:rsidRDefault="00B477B4" w:rsidP="00B477B4">
      <w:pPr>
        <w:pStyle w:val="Heading3"/>
      </w:pPr>
      <w:r>
        <w:t>CAS Number</w:t>
      </w:r>
    </w:p>
    <w:p w14:paraId="2B00F9B5" w14:textId="63B9C351" w:rsidR="00B477B4" w:rsidRPr="00AD6051" w:rsidRDefault="00B477B4" w:rsidP="00AD6051">
      <w:r>
        <w:t>1024829-44-4</w:t>
      </w:r>
    </w:p>
    <w:p w14:paraId="4C04478F" w14:textId="77777777" w:rsidR="00250189" w:rsidRPr="006B4557" w:rsidRDefault="00250189" w:rsidP="00204AAB">
      <w:pPr>
        <w:spacing w:line="240" w:lineRule="auto"/>
      </w:pPr>
    </w:p>
    <w:p w14:paraId="43DBD437" w14:textId="7ED3B3AA" w:rsidR="00812D16" w:rsidRDefault="00812D16" w:rsidP="00204AAB">
      <w:pPr>
        <w:spacing w:line="240" w:lineRule="auto"/>
        <w:rPr>
          <w:noProof/>
          <w:szCs w:val="22"/>
        </w:rPr>
      </w:pPr>
    </w:p>
    <w:p w14:paraId="19861A4B" w14:textId="77777777" w:rsidR="004043D7" w:rsidRPr="0098782E" w:rsidRDefault="004043D7" w:rsidP="004043D7">
      <w:pPr>
        <w:pStyle w:val="Heading1"/>
      </w:pPr>
      <w:r w:rsidRPr="0098782E">
        <w:t>MEDICINE SCHEDULE (POISONS STANDARD)</w:t>
      </w:r>
    </w:p>
    <w:p w14:paraId="48AB6F89" w14:textId="77777777" w:rsidR="004043D7" w:rsidRPr="0098782E" w:rsidRDefault="004043D7" w:rsidP="004043D7">
      <w:pPr>
        <w:keepNext/>
        <w:contextualSpacing/>
        <w:rPr>
          <w:szCs w:val="24"/>
        </w:rPr>
      </w:pPr>
    </w:p>
    <w:p w14:paraId="73E2AEC3" w14:textId="77777777" w:rsidR="004043D7" w:rsidRPr="0098782E" w:rsidRDefault="004043D7" w:rsidP="004043D7">
      <w:pPr>
        <w:keepNext/>
        <w:rPr>
          <w:szCs w:val="24"/>
        </w:rPr>
      </w:pPr>
      <w:r w:rsidRPr="0098782E">
        <w:rPr>
          <w:szCs w:val="24"/>
        </w:rPr>
        <w:t>Schedule 4</w:t>
      </w:r>
    </w:p>
    <w:p w14:paraId="1AA07A72" w14:textId="5671817A" w:rsidR="004043D7" w:rsidRDefault="004043D7" w:rsidP="00204AAB">
      <w:pPr>
        <w:spacing w:line="240" w:lineRule="auto"/>
        <w:rPr>
          <w:noProof/>
          <w:szCs w:val="22"/>
        </w:rPr>
      </w:pPr>
    </w:p>
    <w:p w14:paraId="5B81114A" w14:textId="77777777" w:rsidR="00B321D0" w:rsidRPr="00BC6DC2" w:rsidRDefault="00B321D0" w:rsidP="00204AAB">
      <w:pPr>
        <w:spacing w:line="240" w:lineRule="auto"/>
        <w:rPr>
          <w:noProof/>
          <w:szCs w:val="22"/>
        </w:rPr>
      </w:pPr>
    </w:p>
    <w:p w14:paraId="63692050" w14:textId="25380713" w:rsidR="00812D16" w:rsidRDefault="009B1CE7" w:rsidP="001173AD">
      <w:pPr>
        <w:pStyle w:val="Heading1"/>
        <w:pageBreakBefore/>
        <w:rPr>
          <w:noProof/>
        </w:rPr>
      </w:pPr>
      <w:r>
        <w:rPr>
          <w:noProof/>
        </w:rPr>
        <w:lastRenderedPageBreak/>
        <w:t>SPONSOR</w:t>
      </w:r>
    </w:p>
    <w:p w14:paraId="7174351F" w14:textId="77777777" w:rsidR="001173AD" w:rsidRPr="001173AD" w:rsidRDefault="001173AD" w:rsidP="001173AD"/>
    <w:p w14:paraId="249CC8CC" w14:textId="77777777" w:rsidR="00250189" w:rsidRDefault="00250189" w:rsidP="00250189">
      <w:r>
        <w:t>Vifor Pharma Pty Ltd</w:t>
      </w:r>
    </w:p>
    <w:p w14:paraId="63E1CA24" w14:textId="7C47B764" w:rsidR="00250189" w:rsidRDefault="00250189" w:rsidP="00250189">
      <w:r>
        <w:t xml:space="preserve">Level </w:t>
      </w:r>
      <w:r w:rsidR="003947DD">
        <w:t>9</w:t>
      </w:r>
      <w:r>
        <w:t xml:space="preserve">, </w:t>
      </w:r>
      <w:r w:rsidR="003947DD">
        <w:t>140 William</w:t>
      </w:r>
      <w:r>
        <w:t xml:space="preserve"> Street</w:t>
      </w:r>
    </w:p>
    <w:p w14:paraId="6814B6DE" w14:textId="29C47DAC" w:rsidR="00250189" w:rsidRDefault="00250189" w:rsidP="00250189">
      <w:r>
        <w:t>Melbourne VIC 300</w:t>
      </w:r>
      <w:r w:rsidR="003947DD">
        <w:t>0</w:t>
      </w:r>
    </w:p>
    <w:p w14:paraId="7DB86326" w14:textId="77777777" w:rsidR="00250189" w:rsidRDefault="00250189" w:rsidP="00250189">
      <w:r>
        <w:t>Australia</w:t>
      </w:r>
    </w:p>
    <w:p w14:paraId="25C0965A" w14:textId="77777777" w:rsidR="00250189" w:rsidRDefault="00250189" w:rsidP="00250189">
      <w:r>
        <w:t>Tel: 1800 202 674 (Australia)</w:t>
      </w:r>
    </w:p>
    <w:p w14:paraId="6CAB48E4" w14:textId="77777777" w:rsidR="00812D16" w:rsidRPr="00067B16" w:rsidRDefault="00812D16" w:rsidP="00204AAB">
      <w:pPr>
        <w:spacing w:line="240" w:lineRule="auto"/>
        <w:rPr>
          <w:noProof/>
          <w:szCs w:val="22"/>
        </w:rPr>
      </w:pPr>
    </w:p>
    <w:p w14:paraId="62C7C643" w14:textId="51ECB370" w:rsidR="00812D16" w:rsidRPr="008225EB" w:rsidRDefault="001F0D03" w:rsidP="00EE21DF">
      <w:pPr>
        <w:pStyle w:val="Heading1"/>
        <w:rPr>
          <w:noProof/>
        </w:rPr>
      </w:pPr>
      <w:r w:rsidRPr="008225EB">
        <w:rPr>
          <w:noProof/>
        </w:rPr>
        <w:t xml:space="preserve">DATE OF FIRST </w:t>
      </w:r>
      <w:r w:rsidR="009B1CE7">
        <w:rPr>
          <w:noProof/>
        </w:rPr>
        <w:t>APPROVAL</w:t>
      </w:r>
    </w:p>
    <w:p w14:paraId="250DE0DE" w14:textId="77777777" w:rsidR="00812D16" w:rsidRPr="00A3136F" w:rsidRDefault="00812D16" w:rsidP="00204AAB">
      <w:pPr>
        <w:spacing w:line="240" w:lineRule="auto"/>
        <w:rPr>
          <w:i/>
          <w:noProof/>
          <w:szCs w:val="22"/>
        </w:rPr>
      </w:pPr>
    </w:p>
    <w:p w14:paraId="2078670A" w14:textId="7F7A27B9" w:rsidR="00812D16" w:rsidRPr="00067B16" w:rsidRDefault="00CB3DD3" w:rsidP="00204AAB">
      <w:pPr>
        <w:spacing w:line="240" w:lineRule="auto"/>
        <w:rPr>
          <w:i/>
          <w:noProof/>
          <w:szCs w:val="22"/>
        </w:rPr>
      </w:pPr>
      <w:r>
        <w:rPr>
          <w:noProof/>
          <w:szCs w:val="22"/>
        </w:rPr>
        <w:t>10</w:t>
      </w:r>
      <w:r w:rsidRPr="00CB3DD3">
        <w:rPr>
          <w:noProof/>
          <w:szCs w:val="22"/>
          <w:vertAlign w:val="superscript"/>
        </w:rPr>
        <w:t>th</w:t>
      </w:r>
      <w:r>
        <w:rPr>
          <w:noProof/>
          <w:szCs w:val="22"/>
        </w:rPr>
        <w:t xml:space="preserve"> November 2022</w:t>
      </w:r>
    </w:p>
    <w:p w14:paraId="45FDAE3E" w14:textId="77777777" w:rsidR="00812D16" w:rsidRPr="006B4557" w:rsidRDefault="00812D16" w:rsidP="00204AAB">
      <w:pPr>
        <w:spacing w:line="240" w:lineRule="auto"/>
        <w:rPr>
          <w:noProof/>
          <w:szCs w:val="22"/>
        </w:rPr>
      </w:pPr>
    </w:p>
    <w:p w14:paraId="49108B41" w14:textId="4F095A05" w:rsidR="00812D16" w:rsidRPr="00067B16" w:rsidRDefault="001F0D03" w:rsidP="00EE21DF">
      <w:pPr>
        <w:pStyle w:val="Heading1"/>
        <w:rPr>
          <w:noProof/>
        </w:rPr>
      </w:pPr>
      <w:r w:rsidRPr="00067B16">
        <w:rPr>
          <w:noProof/>
        </w:rPr>
        <w:t>DATE OF REVISION</w:t>
      </w:r>
    </w:p>
    <w:p w14:paraId="1ABB0D04" w14:textId="77777777" w:rsidR="00812D16" w:rsidRPr="00067B16" w:rsidRDefault="00812D16" w:rsidP="00204AAB">
      <w:pPr>
        <w:spacing w:line="240" w:lineRule="auto"/>
        <w:rPr>
          <w:noProof/>
          <w:szCs w:val="22"/>
        </w:rPr>
      </w:pPr>
    </w:p>
    <w:p w14:paraId="14EF021C" w14:textId="04CC7824" w:rsidR="00812D16" w:rsidRPr="00067B16" w:rsidRDefault="00014D59" w:rsidP="00204AAB">
      <w:pPr>
        <w:spacing w:line="240" w:lineRule="auto"/>
        <w:rPr>
          <w:noProof/>
          <w:szCs w:val="22"/>
        </w:rPr>
      </w:pPr>
      <w:r w:rsidRPr="006B4557">
        <w:rPr>
          <w:noProof/>
          <w:szCs w:val="22"/>
        </w:rPr>
        <w:t>{MM/YYYY}</w:t>
      </w:r>
    </w:p>
    <w:p w14:paraId="5E704EE8" w14:textId="77777777" w:rsidR="00812D16" w:rsidRPr="00067B16" w:rsidRDefault="00812D16" w:rsidP="00204AAB">
      <w:pPr>
        <w:spacing w:line="240" w:lineRule="auto"/>
        <w:rPr>
          <w:noProof/>
          <w:szCs w:val="22"/>
        </w:rPr>
      </w:pPr>
    </w:p>
    <w:p w14:paraId="1B3237DA" w14:textId="77777777" w:rsidR="009B1CE7" w:rsidRPr="0098782E" w:rsidRDefault="009B1CE7" w:rsidP="009B1CE7">
      <w:pPr>
        <w:pStyle w:val="Heading3"/>
      </w:pPr>
      <w:r w:rsidRPr="0098782E">
        <w:t>Summary table of changes</w:t>
      </w:r>
    </w:p>
    <w:p w14:paraId="709570E5" w14:textId="77777777" w:rsidR="009B1CE7" w:rsidRPr="0098782E" w:rsidRDefault="009B1CE7" w:rsidP="009B1CE7">
      <w:pPr>
        <w:keepNext/>
        <w:rPr>
          <w:b/>
          <w:szCs w:val="24"/>
        </w:rPr>
      </w:pPr>
    </w:p>
    <w:tbl>
      <w:tblPr>
        <w:tblStyle w:val="TableGrid"/>
        <w:tblW w:w="0" w:type="auto"/>
        <w:tblLook w:val="04A0" w:firstRow="1" w:lastRow="0" w:firstColumn="1" w:lastColumn="0" w:noHBand="0" w:noVBand="1"/>
      </w:tblPr>
      <w:tblGrid>
        <w:gridCol w:w="2122"/>
        <w:gridCol w:w="6894"/>
      </w:tblGrid>
      <w:tr w:rsidR="009B1CE7" w:rsidRPr="0098782E" w14:paraId="2E537AD2" w14:textId="77777777" w:rsidTr="005F71E8">
        <w:tc>
          <w:tcPr>
            <w:tcW w:w="2122" w:type="dxa"/>
          </w:tcPr>
          <w:p w14:paraId="30190511" w14:textId="77777777" w:rsidR="009B1CE7" w:rsidRPr="0098782E" w:rsidRDefault="009B1CE7" w:rsidP="005F71E8">
            <w:pPr>
              <w:keepNext/>
              <w:rPr>
                <w:b/>
                <w:szCs w:val="24"/>
              </w:rPr>
            </w:pPr>
            <w:r w:rsidRPr="0098782E">
              <w:rPr>
                <w:b/>
                <w:szCs w:val="24"/>
              </w:rPr>
              <w:t>Section changed</w:t>
            </w:r>
          </w:p>
        </w:tc>
        <w:tc>
          <w:tcPr>
            <w:tcW w:w="6894" w:type="dxa"/>
          </w:tcPr>
          <w:p w14:paraId="4AE42B07" w14:textId="77777777" w:rsidR="009B1CE7" w:rsidRPr="0098782E" w:rsidRDefault="009B1CE7" w:rsidP="005F71E8">
            <w:pPr>
              <w:keepNext/>
              <w:rPr>
                <w:b/>
                <w:szCs w:val="24"/>
              </w:rPr>
            </w:pPr>
            <w:r w:rsidRPr="0098782E">
              <w:rPr>
                <w:b/>
                <w:szCs w:val="24"/>
              </w:rPr>
              <w:t>Summary of new information</w:t>
            </w:r>
          </w:p>
        </w:tc>
      </w:tr>
      <w:tr w:rsidR="009B1CE7" w:rsidRPr="004A575B" w14:paraId="34C139ED" w14:textId="77777777" w:rsidTr="005F71E8">
        <w:tc>
          <w:tcPr>
            <w:tcW w:w="2122" w:type="dxa"/>
          </w:tcPr>
          <w:p w14:paraId="539B8482" w14:textId="7853FE28" w:rsidR="009B1CE7" w:rsidRPr="004A575B" w:rsidRDefault="009B1CE7" w:rsidP="005F71E8">
            <w:pPr>
              <w:rPr>
                <w:bCs/>
                <w:szCs w:val="24"/>
              </w:rPr>
            </w:pPr>
          </w:p>
        </w:tc>
        <w:tc>
          <w:tcPr>
            <w:tcW w:w="6894" w:type="dxa"/>
          </w:tcPr>
          <w:p w14:paraId="10374E3D" w14:textId="53B35FED" w:rsidR="009B1CE7" w:rsidRPr="004A575B" w:rsidRDefault="00484124" w:rsidP="005F71E8">
            <w:pPr>
              <w:rPr>
                <w:bCs/>
                <w:szCs w:val="24"/>
              </w:rPr>
            </w:pPr>
            <w:r>
              <w:rPr>
                <w:bCs/>
                <w:szCs w:val="24"/>
              </w:rPr>
              <w:t>New Product Information</w:t>
            </w:r>
          </w:p>
        </w:tc>
      </w:tr>
    </w:tbl>
    <w:p w14:paraId="08C99B8C" w14:textId="77777777" w:rsidR="00A76D67" w:rsidRPr="00067B16" w:rsidRDefault="00A76D67" w:rsidP="001173AD">
      <w:pPr>
        <w:numPr>
          <w:ilvl w:val="12"/>
          <w:numId w:val="0"/>
        </w:numPr>
        <w:spacing w:line="240" w:lineRule="auto"/>
        <w:ind w:right="-2"/>
        <w:rPr>
          <w:noProof/>
          <w:szCs w:val="22"/>
        </w:rPr>
      </w:pPr>
    </w:p>
    <w:sectPr w:rsidR="00A76D67" w:rsidRPr="00067B16" w:rsidSect="001374C5">
      <w:headerReference w:type="default"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EBD5" w14:textId="77777777" w:rsidR="00B61B49" w:rsidRDefault="00B61B49">
      <w:pPr>
        <w:spacing w:line="240" w:lineRule="auto"/>
      </w:pPr>
      <w:r>
        <w:separator/>
      </w:r>
    </w:p>
  </w:endnote>
  <w:endnote w:type="continuationSeparator" w:id="0">
    <w:p w14:paraId="209A4F22" w14:textId="77777777" w:rsidR="00B61B49" w:rsidRDefault="00B61B49">
      <w:pPr>
        <w:spacing w:line="240" w:lineRule="auto"/>
      </w:pPr>
      <w:r>
        <w:continuationSeparator/>
      </w:r>
    </w:p>
  </w:endnote>
  <w:endnote w:type="continuationNotice" w:id="1">
    <w:p w14:paraId="0FF4C681" w14:textId="77777777" w:rsidR="00B61B49" w:rsidRDefault="00B61B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719D" w14:textId="76925277" w:rsidR="00927A90" w:rsidRDefault="00927A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p w14:paraId="7D1DCF98" w14:textId="6A7D501B" w:rsidR="00927A90" w:rsidRDefault="00207532">
    <w:r w:rsidRPr="00D775CF">
      <w:rPr>
        <w:rFonts w:asciiTheme="minorHAnsi" w:hAnsiTheme="minorHAnsi" w:cstheme="minorHAnsi"/>
        <w:sz w:val="22"/>
        <w:szCs w:val="22"/>
        <w:lang w:val="de-CH"/>
      </w:rPr>
      <w:t>2022-</w:t>
    </w:r>
    <w:r w:rsidR="00D775CF">
      <w:rPr>
        <w:rFonts w:asciiTheme="minorHAnsi" w:hAnsiTheme="minorHAnsi" w:cstheme="minorHAnsi"/>
        <w:sz w:val="22"/>
        <w:szCs w:val="22"/>
        <w:lang w:val="de-CH"/>
      </w:rPr>
      <w:t>1</w:t>
    </w:r>
    <w:r w:rsidR="004B611D">
      <w:rPr>
        <w:rFonts w:asciiTheme="minorHAnsi" w:hAnsiTheme="minorHAnsi" w:cstheme="minorHAnsi"/>
        <w:sz w:val="22"/>
        <w:szCs w:val="22"/>
        <w:lang w:val="de-CH"/>
      </w:rPr>
      <w:t>1-10</w:t>
    </w:r>
    <w:r w:rsidRPr="00397EB1">
      <w:rPr>
        <w:rFonts w:asciiTheme="minorHAnsi" w:hAnsiTheme="minorHAnsi" w:cstheme="minorHAnsi"/>
        <w:sz w:val="22"/>
        <w:szCs w:val="22"/>
        <w:lang w:val="de-CH"/>
      </w:rPr>
      <w:t>_Korsuva_AUS_PI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80A6" w14:textId="10A7B407" w:rsidR="00927A90" w:rsidRPr="001B7759" w:rsidRDefault="00927A90">
    <w:pPr>
      <w:pStyle w:val="Footer"/>
      <w:tabs>
        <w:tab w:val="right" w:pos="8931"/>
      </w:tabs>
      <w:ind w:right="96"/>
      <w:jc w:val="center"/>
      <w:rPr>
        <w:lang w:val="de-CH"/>
      </w:rPr>
    </w:pPr>
    <w:r>
      <w:fldChar w:fldCharType="begin"/>
    </w:r>
    <w:r w:rsidRPr="00397EB1">
      <w:rPr>
        <w:lang w:val="de-CH"/>
      </w:rPr>
      <w:instrText xml:space="preserve"> EQ </w:instrText>
    </w:r>
    <w:r>
      <w:fldChar w:fldCharType="end"/>
    </w:r>
    <w:r>
      <w:rPr>
        <w:rStyle w:val="PageNumber"/>
        <w:rFonts w:cs="Arial"/>
      </w:rPr>
      <w:fldChar w:fldCharType="begin"/>
    </w:r>
    <w:r w:rsidRPr="00397EB1">
      <w:rPr>
        <w:rStyle w:val="PageNumber"/>
        <w:rFonts w:cs="Arial"/>
        <w:lang w:val="de-CH"/>
      </w:rPr>
      <w:instrText xml:space="preserve">PAGE  </w:instrText>
    </w:r>
    <w:r>
      <w:rPr>
        <w:rStyle w:val="PageNumber"/>
        <w:rFonts w:cs="Arial"/>
      </w:rPr>
      <w:fldChar w:fldCharType="separate"/>
    </w:r>
    <w:r w:rsidRPr="001B7759">
      <w:rPr>
        <w:rStyle w:val="PageNumber"/>
        <w:rFonts w:cs="Arial"/>
        <w:lang w:val="de-CH"/>
      </w:rPr>
      <w:t>1</w:t>
    </w:r>
    <w:r>
      <w:rPr>
        <w:rStyle w:val="PageNumber"/>
        <w:rFonts w:cs="Arial"/>
      </w:rPr>
      <w:fldChar w:fldCharType="end"/>
    </w:r>
  </w:p>
  <w:p w14:paraId="48940AE7" w14:textId="4BA128F0" w:rsidR="00927A90" w:rsidRPr="00397EB1" w:rsidRDefault="00397EB1">
    <w:r w:rsidRPr="00D775CF">
      <w:rPr>
        <w:rFonts w:asciiTheme="minorHAnsi" w:hAnsiTheme="minorHAnsi" w:cstheme="minorHAnsi"/>
        <w:sz w:val="22"/>
        <w:szCs w:val="22"/>
        <w:lang w:val="de-CH"/>
      </w:rPr>
      <w:t>2022-</w:t>
    </w:r>
    <w:r>
      <w:rPr>
        <w:rFonts w:asciiTheme="minorHAnsi" w:hAnsiTheme="minorHAnsi" w:cstheme="minorHAnsi"/>
        <w:sz w:val="22"/>
        <w:szCs w:val="22"/>
        <w:lang w:val="de-CH"/>
      </w:rPr>
      <w:t>1</w:t>
    </w:r>
    <w:r w:rsidR="004B611D">
      <w:rPr>
        <w:rFonts w:asciiTheme="minorHAnsi" w:hAnsiTheme="minorHAnsi" w:cstheme="minorHAnsi"/>
        <w:sz w:val="22"/>
        <w:szCs w:val="22"/>
        <w:lang w:val="de-CH"/>
      </w:rPr>
      <w:t>1-10</w:t>
    </w:r>
    <w:r w:rsidRPr="00397EB1">
      <w:rPr>
        <w:rFonts w:asciiTheme="minorHAnsi" w:hAnsiTheme="minorHAnsi" w:cstheme="minorHAnsi"/>
        <w:sz w:val="22"/>
        <w:szCs w:val="22"/>
        <w:lang w:val="de-CH"/>
      </w:rPr>
      <w:t>_Korsuva_AUS_PI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E565" w14:textId="77777777" w:rsidR="00B61B49" w:rsidRDefault="00B61B49">
      <w:pPr>
        <w:spacing w:line="240" w:lineRule="auto"/>
      </w:pPr>
      <w:r>
        <w:separator/>
      </w:r>
    </w:p>
  </w:footnote>
  <w:footnote w:type="continuationSeparator" w:id="0">
    <w:p w14:paraId="13D30B73" w14:textId="77777777" w:rsidR="00B61B49" w:rsidRDefault="00B61B49">
      <w:pPr>
        <w:spacing w:line="240" w:lineRule="auto"/>
      </w:pPr>
      <w:r>
        <w:continuationSeparator/>
      </w:r>
    </w:p>
  </w:footnote>
  <w:footnote w:type="continuationNotice" w:id="1">
    <w:p w14:paraId="7EDADBE6" w14:textId="77777777" w:rsidR="00B61B49" w:rsidRDefault="00B61B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61"/>
    </w:tblGrid>
    <w:tr w:rsidR="003F1506" w:rsidRPr="000B2145" w14:paraId="2F753B3E" w14:textId="77777777" w:rsidTr="00442E26">
      <w:trPr>
        <w:trHeight w:val="1012"/>
      </w:trPr>
      <w:tc>
        <w:tcPr>
          <w:tcW w:w="9180" w:type="dxa"/>
          <w:shd w:val="clear" w:color="auto" w:fill="E4F2E0"/>
        </w:tcPr>
        <w:p w14:paraId="51867CF9" w14:textId="77777777" w:rsidR="003F1506" w:rsidRPr="000E4791" w:rsidRDefault="003F1506" w:rsidP="003F1506">
          <w:pPr>
            <w:pStyle w:val="Footer"/>
            <w:rPr>
              <w:b/>
              <w:sz w:val="18"/>
              <w:szCs w:val="18"/>
            </w:rPr>
          </w:pPr>
          <w:r w:rsidRPr="00EE2A41">
            <w:rPr>
              <w:b/>
              <w:sz w:val="18"/>
              <w:szCs w:val="18"/>
            </w:rPr>
            <w:t xml:space="preserve">Attachment </w:t>
          </w:r>
          <w:r w:rsidRPr="00A66BA0">
            <w:rPr>
              <w:b/>
              <w:sz w:val="18"/>
              <w:szCs w:val="18"/>
            </w:rPr>
            <w:t>AusPAR - Korsuva – difelikefalin - Vifor Pharma Pty Ltd - PM-2021-04071-1-1</w:t>
          </w:r>
          <w:r>
            <w:rPr>
              <w:b/>
              <w:sz w:val="18"/>
              <w:szCs w:val="18"/>
            </w:rPr>
            <w:t xml:space="preserve"> </w:t>
          </w:r>
          <w:r w:rsidRPr="00A66BA0">
            <w:rPr>
              <w:b/>
              <w:sz w:val="18"/>
              <w:szCs w:val="18"/>
            </w:rPr>
            <w:t>FINAL 9 November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tbl>
  <w:p w14:paraId="4463A8BA" w14:textId="77777777" w:rsidR="003F1506" w:rsidRDefault="003F1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61"/>
    </w:tblGrid>
    <w:tr w:rsidR="003F1506" w:rsidRPr="000B2145" w14:paraId="26C5C730" w14:textId="77777777" w:rsidTr="00442E26">
      <w:trPr>
        <w:trHeight w:val="1012"/>
      </w:trPr>
      <w:tc>
        <w:tcPr>
          <w:tcW w:w="9180" w:type="dxa"/>
          <w:shd w:val="clear" w:color="auto" w:fill="E4F2E0"/>
        </w:tcPr>
        <w:p w14:paraId="2BC7B05E" w14:textId="77777777" w:rsidR="003F1506" w:rsidRPr="000E4791" w:rsidRDefault="003F1506" w:rsidP="003F1506">
          <w:pPr>
            <w:pStyle w:val="Footer"/>
            <w:rPr>
              <w:b/>
              <w:sz w:val="18"/>
              <w:szCs w:val="18"/>
            </w:rPr>
          </w:pPr>
          <w:bookmarkStart w:id="25" w:name="_Hlk109054010"/>
          <w:r w:rsidRPr="00EE2A41">
            <w:rPr>
              <w:b/>
              <w:sz w:val="18"/>
              <w:szCs w:val="18"/>
            </w:rPr>
            <w:t xml:space="preserve">Attachment </w:t>
          </w:r>
          <w:r w:rsidRPr="00A66BA0">
            <w:rPr>
              <w:b/>
              <w:sz w:val="18"/>
              <w:szCs w:val="18"/>
            </w:rPr>
            <w:t>AusPAR - Korsuva – difelikefalin - Vifor Pharma Pty Ltd - PM-2021-04071-1-1</w:t>
          </w:r>
          <w:r>
            <w:rPr>
              <w:b/>
              <w:sz w:val="18"/>
              <w:szCs w:val="18"/>
            </w:rPr>
            <w:t xml:space="preserve"> </w:t>
          </w:r>
          <w:r w:rsidRPr="00A66BA0">
            <w:rPr>
              <w:b/>
              <w:sz w:val="18"/>
              <w:szCs w:val="18"/>
            </w:rPr>
            <w:t>FINAL 9 November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rFonts w:eastAsia="Verdana"/>
                <w:b/>
              </w:rPr>
              <w:t>https://www.tga.gov.au/product-information-pi</w:t>
            </w:r>
          </w:hyperlink>
          <w:r w:rsidRPr="000E4791">
            <w:rPr>
              <w:b/>
              <w:sz w:val="18"/>
              <w:szCs w:val="18"/>
              <w:u w:val="single"/>
            </w:rPr>
            <w:t>&gt;</w:t>
          </w:r>
        </w:p>
      </w:tc>
    </w:tr>
    <w:bookmarkEnd w:id="25"/>
  </w:tbl>
  <w:p w14:paraId="13CF0694" w14:textId="2149EAF6" w:rsidR="003F1506" w:rsidRDefault="003F1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0AC4B70">
      <w:start w:val="1"/>
      <w:numFmt w:val="bullet"/>
      <w:lvlText w:val=""/>
      <w:lvlJc w:val="left"/>
      <w:pPr>
        <w:tabs>
          <w:tab w:val="num" w:pos="360"/>
        </w:tabs>
        <w:ind w:left="360" w:hanging="360"/>
      </w:pPr>
      <w:rPr>
        <w:rFonts w:ascii="Symbol" w:hAnsi="Symbol" w:hint="default"/>
      </w:rPr>
    </w:lvl>
    <w:lvl w:ilvl="1" w:tplc="97CE5F98" w:tentative="1">
      <w:start w:val="1"/>
      <w:numFmt w:val="bullet"/>
      <w:lvlText w:val="o"/>
      <w:lvlJc w:val="left"/>
      <w:pPr>
        <w:tabs>
          <w:tab w:val="num" w:pos="1080"/>
        </w:tabs>
        <w:ind w:left="1080" w:hanging="360"/>
      </w:pPr>
      <w:rPr>
        <w:rFonts w:ascii="Courier New" w:hAnsi="Courier New" w:cs="Courier New" w:hint="default"/>
      </w:rPr>
    </w:lvl>
    <w:lvl w:ilvl="2" w:tplc="E4A8B80E" w:tentative="1">
      <w:start w:val="1"/>
      <w:numFmt w:val="bullet"/>
      <w:lvlText w:val=""/>
      <w:lvlJc w:val="left"/>
      <w:pPr>
        <w:tabs>
          <w:tab w:val="num" w:pos="1800"/>
        </w:tabs>
        <w:ind w:left="1800" w:hanging="360"/>
      </w:pPr>
      <w:rPr>
        <w:rFonts w:ascii="Wingdings" w:hAnsi="Wingdings" w:hint="default"/>
      </w:rPr>
    </w:lvl>
    <w:lvl w:ilvl="3" w:tplc="A4364F1C" w:tentative="1">
      <w:start w:val="1"/>
      <w:numFmt w:val="bullet"/>
      <w:lvlText w:val=""/>
      <w:lvlJc w:val="left"/>
      <w:pPr>
        <w:tabs>
          <w:tab w:val="num" w:pos="2520"/>
        </w:tabs>
        <w:ind w:left="2520" w:hanging="360"/>
      </w:pPr>
      <w:rPr>
        <w:rFonts w:ascii="Symbol" w:hAnsi="Symbol" w:hint="default"/>
      </w:rPr>
    </w:lvl>
    <w:lvl w:ilvl="4" w:tplc="4564626A" w:tentative="1">
      <w:start w:val="1"/>
      <w:numFmt w:val="bullet"/>
      <w:lvlText w:val="o"/>
      <w:lvlJc w:val="left"/>
      <w:pPr>
        <w:tabs>
          <w:tab w:val="num" w:pos="3240"/>
        </w:tabs>
        <w:ind w:left="3240" w:hanging="360"/>
      </w:pPr>
      <w:rPr>
        <w:rFonts w:ascii="Courier New" w:hAnsi="Courier New" w:cs="Courier New" w:hint="default"/>
      </w:rPr>
    </w:lvl>
    <w:lvl w:ilvl="5" w:tplc="1842176A" w:tentative="1">
      <w:start w:val="1"/>
      <w:numFmt w:val="bullet"/>
      <w:lvlText w:val=""/>
      <w:lvlJc w:val="left"/>
      <w:pPr>
        <w:tabs>
          <w:tab w:val="num" w:pos="3960"/>
        </w:tabs>
        <w:ind w:left="3960" w:hanging="360"/>
      </w:pPr>
      <w:rPr>
        <w:rFonts w:ascii="Wingdings" w:hAnsi="Wingdings" w:hint="default"/>
      </w:rPr>
    </w:lvl>
    <w:lvl w:ilvl="6" w:tplc="7D6E5916" w:tentative="1">
      <w:start w:val="1"/>
      <w:numFmt w:val="bullet"/>
      <w:lvlText w:val=""/>
      <w:lvlJc w:val="left"/>
      <w:pPr>
        <w:tabs>
          <w:tab w:val="num" w:pos="4680"/>
        </w:tabs>
        <w:ind w:left="4680" w:hanging="360"/>
      </w:pPr>
      <w:rPr>
        <w:rFonts w:ascii="Symbol" w:hAnsi="Symbol" w:hint="default"/>
      </w:rPr>
    </w:lvl>
    <w:lvl w:ilvl="7" w:tplc="F51E337A" w:tentative="1">
      <w:start w:val="1"/>
      <w:numFmt w:val="bullet"/>
      <w:lvlText w:val="o"/>
      <w:lvlJc w:val="left"/>
      <w:pPr>
        <w:tabs>
          <w:tab w:val="num" w:pos="5400"/>
        </w:tabs>
        <w:ind w:left="5400" w:hanging="360"/>
      </w:pPr>
      <w:rPr>
        <w:rFonts w:ascii="Courier New" w:hAnsi="Courier New" w:cs="Courier New" w:hint="default"/>
      </w:rPr>
    </w:lvl>
    <w:lvl w:ilvl="8" w:tplc="1BAE671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CF464D92">
      <w:start w:val="1"/>
      <w:numFmt w:val="bullet"/>
      <w:lvlText w:val=""/>
      <w:lvlJc w:val="left"/>
      <w:pPr>
        <w:tabs>
          <w:tab w:val="num" w:pos="720"/>
        </w:tabs>
        <w:ind w:left="720" w:hanging="360"/>
      </w:pPr>
      <w:rPr>
        <w:rFonts w:ascii="Symbol" w:hAnsi="Symbol" w:hint="default"/>
      </w:rPr>
    </w:lvl>
    <w:lvl w:ilvl="1" w:tplc="44E6B9C8" w:tentative="1">
      <w:start w:val="1"/>
      <w:numFmt w:val="bullet"/>
      <w:lvlText w:val="o"/>
      <w:lvlJc w:val="left"/>
      <w:pPr>
        <w:tabs>
          <w:tab w:val="num" w:pos="1440"/>
        </w:tabs>
        <w:ind w:left="1440" w:hanging="360"/>
      </w:pPr>
      <w:rPr>
        <w:rFonts w:ascii="Courier New" w:hAnsi="Courier New" w:cs="Courier New" w:hint="default"/>
      </w:rPr>
    </w:lvl>
    <w:lvl w:ilvl="2" w:tplc="AF3E7852" w:tentative="1">
      <w:start w:val="1"/>
      <w:numFmt w:val="bullet"/>
      <w:lvlText w:val=""/>
      <w:lvlJc w:val="left"/>
      <w:pPr>
        <w:tabs>
          <w:tab w:val="num" w:pos="2160"/>
        </w:tabs>
        <w:ind w:left="2160" w:hanging="360"/>
      </w:pPr>
      <w:rPr>
        <w:rFonts w:ascii="Wingdings" w:hAnsi="Wingdings" w:hint="default"/>
      </w:rPr>
    </w:lvl>
    <w:lvl w:ilvl="3" w:tplc="409E5A94" w:tentative="1">
      <w:start w:val="1"/>
      <w:numFmt w:val="bullet"/>
      <w:lvlText w:val=""/>
      <w:lvlJc w:val="left"/>
      <w:pPr>
        <w:tabs>
          <w:tab w:val="num" w:pos="2880"/>
        </w:tabs>
        <w:ind w:left="2880" w:hanging="360"/>
      </w:pPr>
      <w:rPr>
        <w:rFonts w:ascii="Symbol" w:hAnsi="Symbol" w:hint="default"/>
      </w:rPr>
    </w:lvl>
    <w:lvl w:ilvl="4" w:tplc="768A25AC" w:tentative="1">
      <w:start w:val="1"/>
      <w:numFmt w:val="bullet"/>
      <w:lvlText w:val="o"/>
      <w:lvlJc w:val="left"/>
      <w:pPr>
        <w:tabs>
          <w:tab w:val="num" w:pos="3600"/>
        </w:tabs>
        <w:ind w:left="3600" w:hanging="360"/>
      </w:pPr>
      <w:rPr>
        <w:rFonts w:ascii="Courier New" w:hAnsi="Courier New" w:cs="Courier New" w:hint="default"/>
      </w:rPr>
    </w:lvl>
    <w:lvl w:ilvl="5" w:tplc="79DA0F56" w:tentative="1">
      <w:start w:val="1"/>
      <w:numFmt w:val="bullet"/>
      <w:lvlText w:val=""/>
      <w:lvlJc w:val="left"/>
      <w:pPr>
        <w:tabs>
          <w:tab w:val="num" w:pos="4320"/>
        </w:tabs>
        <w:ind w:left="4320" w:hanging="360"/>
      </w:pPr>
      <w:rPr>
        <w:rFonts w:ascii="Wingdings" w:hAnsi="Wingdings" w:hint="default"/>
      </w:rPr>
    </w:lvl>
    <w:lvl w:ilvl="6" w:tplc="B4022852" w:tentative="1">
      <w:start w:val="1"/>
      <w:numFmt w:val="bullet"/>
      <w:lvlText w:val=""/>
      <w:lvlJc w:val="left"/>
      <w:pPr>
        <w:tabs>
          <w:tab w:val="num" w:pos="5040"/>
        </w:tabs>
        <w:ind w:left="5040" w:hanging="360"/>
      </w:pPr>
      <w:rPr>
        <w:rFonts w:ascii="Symbol" w:hAnsi="Symbol" w:hint="default"/>
      </w:rPr>
    </w:lvl>
    <w:lvl w:ilvl="7" w:tplc="55787096" w:tentative="1">
      <w:start w:val="1"/>
      <w:numFmt w:val="bullet"/>
      <w:lvlText w:val="o"/>
      <w:lvlJc w:val="left"/>
      <w:pPr>
        <w:tabs>
          <w:tab w:val="num" w:pos="5760"/>
        </w:tabs>
        <w:ind w:left="5760" w:hanging="360"/>
      </w:pPr>
      <w:rPr>
        <w:rFonts w:ascii="Courier New" w:hAnsi="Courier New" w:cs="Courier New" w:hint="default"/>
      </w:rPr>
    </w:lvl>
    <w:lvl w:ilvl="8" w:tplc="A31E4A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C5A9E"/>
    <w:multiLevelType w:val="hybridMultilevel"/>
    <w:tmpl w:val="17AEDF66"/>
    <w:lvl w:ilvl="0" w:tplc="EB42FBD0">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B2452F"/>
    <w:multiLevelType w:val="hybridMultilevel"/>
    <w:tmpl w:val="DEAE3690"/>
    <w:lvl w:ilvl="0" w:tplc="9E56C48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BAA259C2">
      <w:start w:val="1"/>
      <w:numFmt w:val="bullet"/>
      <w:lvlText w:val=""/>
      <w:lvlJc w:val="left"/>
      <w:pPr>
        <w:tabs>
          <w:tab w:val="num" w:pos="397"/>
        </w:tabs>
        <w:ind w:left="397" w:hanging="397"/>
      </w:pPr>
      <w:rPr>
        <w:rFonts w:ascii="Symbol" w:hAnsi="Symbol" w:hint="default"/>
      </w:rPr>
    </w:lvl>
    <w:lvl w:ilvl="1" w:tplc="DE68EE7C" w:tentative="1">
      <w:start w:val="1"/>
      <w:numFmt w:val="bullet"/>
      <w:lvlText w:val="o"/>
      <w:lvlJc w:val="left"/>
      <w:pPr>
        <w:tabs>
          <w:tab w:val="num" w:pos="1440"/>
        </w:tabs>
        <w:ind w:left="1440" w:hanging="360"/>
      </w:pPr>
      <w:rPr>
        <w:rFonts w:ascii="Courier New" w:hAnsi="Courier New" w:cs="Courier New" w:hint="default"/>
      </w:rPr>
    </w:lvl>
    <w:lvl w:ilvl="2" w:tplc="B4465104" w:tentative="1">
      <w:start w:val="1"/>
      <w:numFmt w:val="bullet"/>
      <w:lvlText w:val=""/>
      <w:lvlJc w:val="left"/>
      <w:pPr>
        <w:tabs>
          <w:tab w:val="num" w:pos="2160"/>
        </w:tabs>
        <w:ind w:left="2160" w:hanging="360"/>
      </w:pPr>
      <w:rPr>
        <w:rFonts w:ascii="Wingdings" w:hAnsi="Wingdings" w:hint="default"/>
      </w:rPr>
    </w:lvl>
    <w:lvl w:ilvl="3" w:tplc="66FAF722" w:tentative="1">
      <w:start w:val="1"/>
      <w:numFmt w:val="bullet"/>
      <w:lvlText w:val=""/>
      <w:lvlJc w:val="left"/>
      <w:pPr>
        <w:tabs>
          <w:tab w:val="num" w:pos="2880"/>
        </w:tabs>
        <w:ind w:left="2880" w:hanging="360"/>
      </w:pPr>
      <w:rPr>
        <w:rFonts w:ascii="Symbol" w:hAnsi="Symbol" w:hint="default"/>
      </w:rPr>
    </w:lvl>
    <w:lvl w:ilvl="4" w:tplc="8E12D59A" w:tentative="1">
      <w:start w:val="1"/>
      <w:numFmt w:val="bullet"/>
      <w:lvlText w:val="o"/>
      <w:lvlJc w:val="left"/>
      <w:pPr>
        <w:tabs>
          <w:tab w:val="num" w:pos="3600"/>
        </w:tabs>
        <w:ind w:left="3600" w:hanging="360"/>
      </w:pPr>
      <w:rPr>
        <w:rFonts w:ascii="Courier New" w:hAnsi="Courier New" w:cs="Courier New" w:hint="default"/>
      </w:rPr>
    </w:lvl>
    <w:lvl w:ilvl="5" w:tplc="0BCABE32" w:tentative="1">
      <w:start w:val="1"/>
      <w:numFmt w:val="bullet"/>
      <w:lvlText w:val=""/>
      <w:lvlJc w:val="left"/>
      <w:pPr>
        <w:tabs>
          <w:tab w:val="num" w:pos="4320"/>
        </w:tabs>
        <w:ind w:left="4320" w:hanging="360"/>
      </w:pPr>
      <w:rPr>
        <w:rFonts w:ascii="Wingdings" w:hAnsi="Wingdings" w:hint="default"/>
      </w:rPr>
    </w:lvl>
    <w:lvl w:ilvl="6" w:tplc="177E8AFA" w:tentative="1">
      <w:start w:val="1"/>
      <w:numFmt w:val="bullet"/>
      <w:lvlText w:val=""/>
      <w:lvlJc w:val="left"/>
      <w:pPr>
        <w:tabs>
          <w:tab w:val="num" w:pos="5040"/>
        </w:tabs>
        <w:ind w:left="5040" w:hanging="360"/>
      </w:pPr>
      <w:rPr>
        <w:rFonts w:ascii="Symbol" w:hAnsi="Symbol" w:hint="default"/>
      </w:rPr>
    </w:lvl>
    <w:lvl w:ilvl="7" w:tplc="39D4C43E" w:tentative="1">
      <w:start w:val="1"/>
      <w:numFmt w:val="bullet"/>
      <w:lvlText w:val="o"/>
      <w:lvlJc w:val="left"/>
      <w:pPr>
        <w:tabs>
          <w:tab w:val="num" w:pos="5760"/>
        </w:tabs>
        <w:ind w:left="5760" w:hanging="360"/>
      </w:pPr>
      <w:rPr>
        <w:rFonts w:ascii="Courier New" w:hAnsi="Courier New" w:cs="Courier New" w:hint="default"/>
      </w:rPr>
    </w:lvl>
    <w:lvl w:ilvl="8" w:tplc="02827A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F654A358">
      <w:start w:val="1"/>
      <w:numFmt w:val="decimal"/>
      <w:lvlText w:val="%1."/>
      <w:lvlJc w:val="left"/>
      <w:pPr>
        <w:tabs>
          <w:tab w:val="num" w:pos="570"/>
        </w:tabs>
        <w:ind w:left="570" w:hanging="570"/>
      </w:pPr>
      <w:rPr>
        <w:rFonts w:hint="default"/>
      </w:rPr>
    </w:lvl>
    <w:lvl w:ilvl="1" w:tplc="DDC08FDC" w:tentative="1">
      <w:start w:val="1"/>
      <w:numFmt w:val="lowerLetter"/>
      <w:lvlText w:val="%2."/>
      <w:lvlJc w:val="left"/>
      <w:pPr>
        <w:tabs>
          <w:tab w:val="num" w:pos="1080"/>
        </w:tabs>
        <w:ind w:left="1080" w:hanging="360"/>
      </w:pPr>
    </w:lvl>
    <w:lvl w:ilvl="2" w:tplc="66DA334E" w:tentative="1">
      <w:start w:val="1"/>
      <w:numFmt w:val="lowerRoman"/>
      <w:lvlText w:val="%3."/>
      <w:lvlJc w:val="right"/>
      <w:pPr>
        <w:tabs>
          <w:tab w:val="num" w:pos="1800"/>
        </w:tabs>
        <w:ind w:left="1800" w:hanging="180"/>
      </w:pPr>
    </w:lvl>
    <w:lvl w:ilvl="3" w:tplc="C4A46FBE" w:tentative="1">
      <w:start w:val="1"/>
      <w:numFmt w:val="decimal"/>
      <w:lvlText w:val="%4."/>
      <w:lvlJc w:val="left"/>
      <w:pPr>
        <w:tabs>
          <w:tab w:val="num" w:pos="2520"/>
        </w:tabs>
        <w:ind w:left="2520" w:hanging="360"/>
      </w:pPr>
    </w:lvl>
    <w:lvl w:ilvl="4" w:tplc="61080B5E" w:tentative="1">
      <w:start w:val="1"/>
      <w:numFmt w:val="lowerLetter"/>
      <w:lvlText w:val="%5."/>
      <w:lvlJc w:val="left"/>
      <w:pPr>
        <w:tabs>
          <w:tab w:val="num" w:pos="3240"/>
        </w:tabs>
        <w:ind w:left="3240" w:hanging="360"/>
      </w:pPr>
    </w:lvl>
    <w:lvl w:ilvl="5" w:tplc="6D20E0BA" w:tentative="1">
      <w:start w:val="1"/>
      <w:numFmt w:val="lowerRoman"/>
      <w:lvlText w:val="%6."/>
      <w:lvlJc w:val="right"/>
      <w:pPr>
        <w:tabs>
          <w:tab w:val="num" w:pos="3960"/>
        </w:tabs>
        <w:ind w:left="3960" w:hanging="180"/>
      </w:pPr>
    </w:lvl>
    <w:lvl w:ilvl="6" w:tplc="DEF4C8E8" w:tentative="1">
      <w:start w:val="1"/>
      <w:numFmt w:val="decimal"/>
      <w:lvlText w:val="%7."/>
      <w:lvlJc w:val="left"/>
      <w:pPr>
        <w:tabs>
          <w:tab w:val="num" w:pos="4680"/>
        </w:tabs>
        <w:ind w:left="4680" w:hanging="360"/>
      </w:pPr>
    </w:lvl>
    <w:lvl w:ilvl="7" w:tplc="F12849C0" w:tentative="1">
      <w:start w:val="1"/>
      <w:numFmt w:val="lowerLetter"/>
      <w:lvlText w:val="%8."/>
      <w:lvlJc w:val="left"/>
      <w:pPr>
        <w:tabs>
          <w:tab w:val="num" w:pos="5400"/>
        </w:tabs>
        <w:ind w:left="5400" w:hanging="360"/>
      </w:pPr>
    </w:lvl>
    <w:lvl w:ilvl="8" w:tplc="9AF05004" w:tentative="1">
      <w:start w:val="1"/>
      <w:numFmt w:val="lowerRoman"/>
      <w:lvlText w:val="%9."/>
      <w:lvlJc w:val="right"/>
      <w:pPr>
        <w:tabs>
          <w:tab w:val="num" w:pos="6120"/>
        </w:tabs>
        <w:ind w:left="6120" w:hanging="180"/>
      </w:pPr>
    </w:lvl>
  </w:abstractNum>
  <w:abstractNum w:abstractNumId="9" w15:restartNumberingAfterBreak="0">
    <w:nsid w:val="33D94AFF"/>
    <w:multiLevelType w:val="multilevel"/>
    <w:tmpl w:val="D842179E"/>
    <w:lvl w:ilvl="0">
      <w:start w:val="1"/>
      <w:numFmt w:val="decimal"/>
      <w:pStyle w:val="Heading1"/>
      <w:lvlText w:val="%1."/>
      <w:lvlJc w:val="left"/>
      <w:pPr>
        <w:ind w:left="720" w:hanging="360"/>
      </w:pPr>
      <w:rPr>
        <w:b/>
        <w:bCs/>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AC45DE"/>
    <w:multiLevelType w:val="hybridMultilevel"/>
    <w:tmpl w:val="21622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08448E4"/>
    <w:multiLevelType w:val="hybridMultilevel"/>
    <w:tmpl w:val="9F9EF3C4"/>
    <w:lvl w:ilvl="0" w:tplc="9B242804">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814A96FE" w:tentative="1">
      <w:start w:val="1"/>
      <w:numFmt w:val="bullet"/>
      <w:lvlText w:val="o"/>
      <w:lvlJc w:val="left"/>
      <w:pPr>
        <w:ind w:left="1440" w:hanging="360"/>
      </w:pPr>
      <w:rPr>
        <w:rFonts w:ascii="Courier New" w:hAnsi="Courier New" w:hint="default"/>
      </w:rPr>
    </w:lvl>
    <w:lvl w:ilvl="2" w:tplc="38E066C6" w:tentative="1">
      <w:start w:val="1"/>
      <w:numFmt w:val="bullet"/>
      <w:lvlText w:val=""/>
      <w:lvlJc w:val="left"/>
      <w:pPr>
        <w:ind w:left="2160" w:hanging="360"/>
      </w:pPr>
      <w:rPr>
        <w:rFonts w:ascii="Wingdings" w:hAnsi="Wingdings" w:hint="default"/>
      </w:rPr>
    </w:lvl>
    <w:lvl w:ilvl="3" w:tplc="56F8BA1C" w:tentative="1">
      <w:start w:val="1"/>
      <w:numFmt w:val="bullet"/>
      <w:lvlText w:val=""/>
      <w:lvlJc w:val="left"/>
      <w:pPr>
        <w:ind w:left="2880" w:hanging="360"/>
      </w:pPr>
      <w:rPr>
        <w:rFonts w:ascii="Symbol" w:hAnsi="Symbol" w:hint="default"/>
      </w:rPr>
    </w:lvl>
    <w:lvl w:ilvl="4" w:tplc="6556EEA2" w:tentative="1">
      <w:start w:val="1"/>
      <w:numFmt w:val="bullet"/>
      <w:lvlText w:val="o"/>
      <w:lvlJc w:val="left"/>
      <w:pPr>
        <w:ind w:left="3600" w:hanging="360"/>
      </w:pPr>
      <w:rPr>
        <w:rFonts w:ascii="Courier New" w:hAnsi="Courier New" w:hint="default"/>
      </w:rPr>
    </w:lvl>
    <w:lvl w:ilvl="5" w:tplc="7020DBD2" w:tentative="1">
      <w:start w:val="1"/>
      <w:numFmt w:val="bullet"/>
      <w:lvlText w:val=""/>
      <w:lvlJc w:val="left"/>
      <w:pPr>
        <w:ind w:left="4320" w:hanging="360"/>
      </w:pPr>
      <w:rPr>
        <w:rFonts w:ascii="Wingdings" w:hAnsi="Wingdings" w:hint="default"/>
      </w:rPr>
    </w:lvl>
    <w:lvl w:ilvl="6" w:tplc="A85EA44E" w:tentative="1">
      <w:start w:val="1"/>
      <w:numFmt w:val="bullet"/>
      <w:lvlText w:val=""/>
      <w:lvlJc w:val="left"/>
      <w:pPr>
        <w:ind w:left="5040" w:hanging="360"/>
      </w:pPr>
      <w:rPr>
        <w:rFonts w:ascii="Symbol" w:hAnsi="Symbol" w:hint="default"/>
      </w:rPr>
    </w:lvl>
    <w:lvl w:ilvl="7" w:tplc="BE3A2B9C" w:tentative="1">
      <w:start w:val="1"/>
      <w:numFmt w:val="bullet"/>
      <w:lvlText w:val="o"/>
      <w:lvlJc w:val="left"/>
      <w:pPr>
        <w:ind w:left="5760" w:hanging="360"/>
      </w:pPr>
      <w:rPr>
        <w:rFonts w:ascii="Courier New" w:hAnsi="Courier New" w:hint="default"/>
      </w:rPr>
    </w:lvl>
    <w:lvl w:ilvl="8" w:tplc="524EDBE2" w:tentative="1">
      <w:start w:val="1"/>
      <w:numFmt w:val="bullet"/>
      <w:lvlText w:val=""/>
      <w:lvlJc w:val="left"/>
      <w:pPr>
        <w:ind w:left="6480" w:hanging="360"/>
      </w:pPr>
      <w:rPr>
        <w:rFonts w:ascii="Wingdings" w:hAnsi="Wingdings" w:hint="default"/>
      </w:rPr>
    </w:lvl>
  </w:abstractNum>
  <w:abstractNum w:abstractNumId="14" w15:restartNumberingAfterBreak="0">
    <w:nsid w:val="475B2EDB"/>
    <w:multiLevelType w:val="hybridMultilevel"/>
    <w:tmpl w:val="80F837C6"/>
    <w:lvl w:ilvl="0" w:tplc="7EE6A29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5E1822F0">
      <w:start w:val="2"/>
      <w:numFmt w:val="decimal"/>
      <w:lvlText w:val="%1."/>
      <w:lvlJc w:val="left"/>
      <w:pPr>
        <w:tabs>
          <w:tab w:val="num" w:pos="570"/>
        </w:tabs>
        <w:ind w:left="570" w:hanging="570"/>
      </w:pPr>
      <w:rPr>
        <w:rFonts w:hint="default"/>
      </w:rPr>
    </w:lvl>
    <w:lvl w:ilvl="1" w:tplc="9B4ACAF8" w:tentative="1">
      <w:start w:val="1"/>
      <w:numFmt w:val="lowerLetter"/>
      <w:lvlText w:val="%2."/>
      <w:lvlJc w:val="left"/>
      <w:pPr>
        <w:tabs>
          <w:tab w:val="num" w:pos="1080"/>
        </w:tabs>
        <w:ind w:left="1080" w:hanging="360"/>
      </w:pPr>
    </w:lvl>
    <w:lvl w:ilvl="2" w:tplc="3F76E758" w:tentative="1">
      <w:start w:val="1"/>
      <w:numFmt w:val="lowerRoman"/>
      <w:lvlText w:val="%3."/>
      <w:lvlJc w:val="right"/>
      <w:pPr>
        <w:tabs>
          <w:tab w:val="num" w:pos="1800"/>
        </w:tabs>
        <w:ind w:left="1800" w:hanging="180"/>
      </w:pPr>
    </w:lvl>
    <w:lvl w:ilvl="3" w:tplc="D16A8288" w:tentative="1">
      <w:start w:val="1"/>
      <w:numFmt w:val="decimal"/>
      <w:lvlText w:val="%4."/>
      <w:lvlJc w:val="left"/>
      <w:pPr>
        <w:tabs>
          <w:tab w:val="num" w:pos="2520"/>
        </w:tabs>
        <w:ind w:left="2520" w:hanging="360"/>
      </w:pPr>
    </w:lvl>
    <w:lvl w:ilvl="4" w:tplc="337C8B32" w:tentative="1">
      <w:start w:val="1"/>
      <w:numFmt w:val="lowerLetter"/>
      <w:lvlText w:val="%5."/>
      <w:lvlJc w:val="left"/>
      <w:pPr>
        <w:tabs>
          <w:tab w:val="num" w:pos="3240"/>
        </w:tabs>
        <w:ind w:left="3240" w:hanging="360"/>
      </w:pPr>
    </w:lvl>
    <w:lvl w:ilvl="5" w:tplc="92F2D02A" w:tentative="1">
      <w:start w:val="1"/>
      <w:numFmt w:val="lowerRoman"/>
      <w:lvlText w:val="%6."/>
      <w:lvlJc w:val="right"/>
      <w:pPr>
        <w:tabs>
          <w:tab w:val="num" w:pos="3960"/>
        </w:tabs>
        <w:ind w:left="3960" w:hanging="180"/>
      </w:pPr>
    </w:lvl>
    <w:lvl w:ilvl="6" w:tplc="5EDA5B2A" w:tentative="1">
      <w:start w:val="1"/>
      <w:numFmt w:val="decimal"/>
      <w:lvlText w:val="%7."/>
      <w:lvlJc w:val="left"/>
      <w:pPr>
        <w:tabs>
          <w:tab w:val="num" w:pos="4680"/>
        </w:tabs>
        <w:ind w:left="4680" w:hanging="360"/>
      </w:pPr>
    </w:lvl>
    <w:lvl w:ilvl="7" w:tplc="C6565AE0" w:tentative="1">
      <w:start w:val="1"/>
      <w:numFmt w:val="lowerLetter"/>
      <w:lvlText w:val="%8."/>
      <w:lvlJc w:val="left"/>
      <w:pPr>
        <w:tabs>
          <w:tab w:val="num" w:pos="5400"/>
        </w:tabs>
        <w:ind w:left="5400" w:hanging="360"/>
      </w:pPr>
    </w:lvl>
    <w:lvl w:ilvl="8" w:tplc="AFB8AC8C"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123CF08E">
      <w:start w:val="1"/>
      <w:numFmt w:val="bullet"/>
      <w:lvlText w:val=""/>
      <w:lvlJc w:val="left"/>
      <w:pPr>
        <w:tabs>
          <w:tab w:val="num" w:pos="397"/>
        </w:tabs>
        <w:ind w:left="397" w:hanging="397"/>
      </w:pPr>
      <w:rPr>
        <w:rFonts w:ascii="Symbol" w:hAnsi="Symbol" w:hint="default"/>
      </w:rPr>
    </w:lvl>
    <w:lvl w:ilvl="1" w:tplc="0008A4FC" w:tentative="1">
      <w:start w:val="1"/>
      <w:numFmt w:val="bullet"/>
      <w:lvlText w:val="o"/>
      <w:lvlJc w:val="left"/>
      <w:pPr>
        <w:tabs>
          <w:tab w:val="num" w:pos="1440"/>
        </w:tabs>
        <w:ind w:left="1440" w:hanging="360"/>
      </w:pPr>
      <w:rPr>
        <w:rFonts w:ascii="Courier New" w:hAnsi="Courier New" w:cs="Courier New" w:hint="default"/>
      </w:rPr>
    </w:lvl>
    <w:lvl w:ilvl="2" w:tplc="C8F84684" w:tentative="1">
      <w:start w:val="1"/>
      <w:numFmt w:val="bullet"/>
      <w:lvlText w:val=""/>
      <w:lvlJc w:val="left"/>
      <w:pPr>
        <w:tabs>
          <w:tab w:val="num" w:pos="2160"/>
        </w:tabs>
        <w:ind w:left="2160" w:hanging="360"/>
      </w:pPr>
      <w:rPr>
        <w:rFonts w:ascii="Wingdings" w:hAnsi="Wingdings" w:hint="default"/>
      </w:rPr>
    </w:lvl>
    <w:lvl w:ilvl="3" w:tplc="8B52604E" w:tentative="1">
      <w:start w:val="1"/>
      <w:numFmt w:val="bullet"/>
      <w:lvlText w:val=""/>
      <w:lvlJc w:val="left"/>
      <w:pPr>
        <w:tabs>
          <w:tab w:val="num" w:pos="2880"/>
        </w:tabs>
        <w:ind w:left="2880" w:hanging="360"/>
      </w:pPr>
      <w:rPr>
        <w:rFonts w:ascii="Symbol" w:hAnsi="Symbol" w:hint="default"/>
      </w:rPr>
    </w:lvl>
    <w:lvl w:ilvl="4" w:tplc="FF10A0FC" w:tentative="1">
      <w:start w:val="1"/>
      <w:numFmt w:val="bullet"/>
      <w:lvlText w:val="o"/>
      <w:lvlJc w:val="left"/>
      <w:pPr>
        <w:tabs>
          <w:tab w:val="num" w:pos="3600"/>
        </w:tabs>
        <w:ind w:left="3600" w:hanging="360"/>
      </w:pPr>
      <w:rPr>
        <w:rFonts w:ascii="Courier New" w:hAnsi="Courier New" w:cs="Courier New" w:hint="default"/>
      </w:rPr>
    </w:lvl>
    <w:lvl w:ilvl="5" w:tplc="5E206378" w:tentative="1">
      <w:start w:val="1"/>
      <w:numFmt w:val="bullet"/>
      <w:lvlText w:val=""/>
      <w:lvlJc w:val="left"/>
      <w:pPr>
        <w:tabs>
          <w:tab w:val="num" w:pos="4320"/>
        </w:tabs>
        <w:ind w:left="4320" w:hanging="360"/>
      </w:pPr>
      <w:rPr>
        <w:rFonts w:ascii="Wingdings" w:hAnsi="Wingdings" w:hint="default"/>
      </w:rPr>
    </w:lvl>
    <w:lvl w:ilvl="6" w:tplc="6F4403C4" w:tentative="1">
      <w:start w:val="1"/>
      <w:numFmt w:val="bullet"/>
      <w:lvlText w:val=""/>
      <w:lvlJc w:val="left"/>
      <w:pPr>
        <w:tabs>
          <w:tab w:val="num" w:pos="5040"/>
        </w:tabs>
        <w:ind w:left="5040" w:hanging="360"/>
      </w:pPr>
      <w:rPr>
        <w:rFonts w:ascii="Symbol" w:hAnsi="Symbol" w:hint="default"/>
      </w:rPr>
    </w:lvl>
    <w:lvl w:ilvl="7" w:tplc="E864F81E" w:tentative="1">
      <w:start w:val="1"/>
      <w:numFmt w:val="bullet"/>
      <w:lvlText w:val="o"/>
      <w:lvlJc w:val="left"/>
      <w:pPr>
        <w:tabs>
          <w:tab w:val="num" w:pos="5760"/>
        </w:tabs>
        <w:ind w:left="5760" w:hanging="360"/>
      </w:pPr>
      <w:rPr>
        <w:rFonts w:ascii="Courier New" w:hAnsi="Courier New" w:cs="Courier New" w:hint="default"/>
      </w:rPr>
    </w:lvl>
    <w:lvl w:ilvl="8" w:tplc="4BFEDE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D5D4B2D8">
      <w:start w:val="1"/>
      <w:numFmt w:val="bullet"/>
      <w:lvlText w:val=""/>
      <w:lvlJc w:val="left"/>
      <w:pPr>
        <w:tabs>
          <w:tab w:val="num" w:pos="720"/>
        </w:tabs>
        <w:ind w:left="720" w:hanging="360"/>
      </w:pPr>
      <w:rPr>
        <w:rFonts w:ascii="Symbol" w:hAnsi="Symbol" w:hint="default"/>
      </w:rPr>
    </w:lvl>
    <w:lvl w:ilvl="1" w:tplc="BA2C9E1E" w:tentative="1">
      <w:start w:val="1"/>
      <w:numFmt w:val="bullet"/>
      <w:lvlText w:val="o"/>
      <w:lvlJc w:val="left"/>
      <w:pPr>
        <w:tabs>
          <w:tab w:val="num" w:pos="1440"/>
        </w:tabs>
        <w:ind w:left="1440" w:hanging="360"/>
      </w:pPr>
      <w:rPr>
        <w:rFonts w:ascii="Courier New" w:hAnsi="Courier New" w:cs="Courier New" w:hint="default"/>
      </w:rPr>
    </w:lvl>
    <w:lvl w:ilvl="2" w:tplc="675EF9C4" w:tentative="1">
      <w:start w:val="1"/>
      <w:numFmt w:val="bullet"/>
      <w:lvlText w:val=""/>
      <w:lvlJc w:val="left"/>
      <w:pPr>
        <w:tabs>
          <w:tab w:val="num" w:pos="2160"/>
        </w:tabs>
        <w:ind w:left="2160" w:hanging="360"/>
      </w:pPr>
      <w:rPr>
        <w:rFonts w:ascii="Wingdings" w:hAnsi="Wingdings" w:hint="default"/>
      </w:rPr>
    </w:lvl>
    <w:lvl w:ilvl="3" w:tplc="57F6F0F6" w:tentative="1">
      <w:start w:val="1"/>
      <w:numFmt w:val="bullet"/>
      <w:lvlText w:val=""/>
      <w:lvlJc w:val="left"/>
      <w:pPr>
        <w:tabs>
          <w:tab w:val="num" w:pos="2880"/>
        </w:tabs>
        <w:ind w:left="2880" w:hanging="360"/>
      </w:pPr>
      <w:rPr>
        <w:rFonts w:ascii="Symbol" w:hAnsi="Symbol" w:hint="default"/>
      </w:rPr>
    </w:lvl>
    <w:lvl w:ilvl="4" w:tplc="8E2EE946" w:tentative="1">
      <w:start w:val="1"/>
      <w:numFmt w:val="bullet"/>
      <w:lvlText w:val="o"/>
      <w:lvlJc w:val="left"/>
      <w:pPr>
        <w:tabs>
          <w:tab w:val="num" w:pos="3600"/>
        </w:tabs>
        <w:ind w:left="3600" w:hanging="360"/>
      </w:pPr>
      <w:rPr>
        <w:rFonts w:ascii="Courier New" w:hAnsi="Courier New" w:cs="Courier New" w:hint="default"/>
      </w:rPr>
    </w:lvl>
    <w:lvl w:ilvl="5" w:tplc="A71ED8F6" w:tentative="1">
      <w:start w:val="1"/>
      <w:numFmt w:val="bullet"/>
      <w:lvlText w:val=""/>
      <w:lvlJc w:val="left"/>
      <w:pPr>
        <w:tabs>
          <w:tab w:val="num" w:pos="4320"/>
        </w:tabs>
        <w:ind w:left="4320" w:hanging="360"/>
      </w:pPr>
      <w:rPr>
        <w:rFonts w:ascii="Wingdings" w:hAnsi="Wingdings" w:hint="default"/>
      </w:rPr>
    </w:lvl>
    <w:lvl w:ilvl="6" w:tplc="E9DA1860" w:tentative="1">
      <w:start w:val="1"/>
      <w:numFmt w:val="bullet"/>
      <w:lvlText w:val=""/>
      <w:lvlJc w:val="left"/>
      <w:pPr>
        <w:tabs>
          <w:tab w:val="num" w:pos="5040"/>
        </w:tabs>
        <w:ind w:left="5040" w:hanging="360"/>
      </w:pPr>
      <w:rPr>
        <w:rFonts w:ascii="Symbol" w:hAnsi="Symbol" w:hint="default"/>
      </w:rPr>
    </w:lvl>
    <w:lvl w:ilvl="7" w:tplc="608A18D2" w:tentative="1">
      <w:start w:val="1"/>
      <w:numFmt w:val="bullet"/>
      <w:lvlText w:val="o"/>
      <w:lvlJc w:val="left"/>
      <w:pPr>
        <w:tabs>
          <w:tab w:val="num" w:pos="5760"/>
        </w:tabs>
        <w:ind w:left="5760" w:hanging="360"/>
      </w:pPr>
      <w:rPr>
        <w:rFonts w:ascii="Courier New" w:hAnsi="Courier New" w:cs="Courier New" w:hint="default"/>
      </w:rPr>
    </w:lvl>
    <w:lvl w:ilvl="8" w:tplc="8ED875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77B4AE00">
      <w:start w:val="1"/>
      <w:numFmt w:val="decimal"/>
      <w:lvlText w:val="%1)"/>
      <w:lvlJc w:val="left"/>
      <w:pPr>
        <w:ind w:left="720" w:hanging="360"/>
      </w:pPr>
      <w:rPr>
        <w:rFonts w:hint="default"/>
      </w:rPr>
    </w:lvl>
    <w:lvl w:ilvl="1" w:tplc="D7E2B482" w:tentative="1">
      <w:start w:val="1"/>
      <w:numFmt w:val="lowerLetter"/>
      <w:lvlText w:val="%2."/>
      <w:lvlJc w:val="left"/>
      <w:pPr>
        <w:ind w:left="1440" w:hanging="360"/>
      </w:pPr>
    </w:lvl>
    <w:lvl w:ilvl="2" w:tplc="515E1796" w:tentative="1">
      <w:start w:val="1"/>
      <w:numFmt w:val="lowerRoman"/>
      <w:lvlText w:val="%3."/>
      <w:lvlJc w:val="right"/>
      <w:pPr>
        <w:ind w:left="2160" w:hanging="180"/>
      </w:pPr>
    </w:lvl>
    <w:lvl w:ilvl="3" w:tplc="4292661C" w:tentative="1">
      <w:start w:val="1"/>
      <w:numFmt w:val="decimal"/>
      <w:lvlText w:val="%4."/>
      <w:lvlJc w:val="left"/>
      <w:pPr>
        <w:ind w:left="2880" w:hanging="360"/>
      </w:pPr>
    </w:lvl>
    <w:lvl w:ilvl="4" w:tplc="CC5EE4FC" w:tentative="1">
      <w:start w:val="1"/>
      <w:numFmt w:val="lowerLetter"/>
      <w:lvlText w:val="%5."/>
      <w:lvlJc w:val="left"/>
      <w:pPr>
        <w:ind w:left="3600" w:hanging="360"/>
      </w:pPr>
    </w:lvl>
    <w:lvl w:ilvl="5" w:tplc="3454E54C" w:tentative="1">
      <w:start w:val="1"/>
      <w:numFmt w:val="lowerRoman"/>
      <w:lvlText w:val="%6."/>
      <w:lvlJc w:val="right"/>
      <w:pPr>
        <w:ind w:left="4320" w:hanging="180"/>
      </w:pPr>
    </w:lvl>
    <w:lvl w:ilvl="6" w:tplc="37C4DECA" w:tentative="1">
      <w:start w:val="1"/>
      <w:numFmt w:val="decimal"/>
      <w:lvlText w:val="%7."/>
      <w:lvlJc w:val="left"/>
      <w:pPr>
        <w:ind w:left="5040" w:hanging="360"/>
      </w:pPr>
    </w:lvl>
    <w:lvl w:ilvl="7" w:tplc="98AA614A" w:tentative="1">
      <w:start w:val="1"/>
      <w:numFmt w:val="lowerLetter"/>
      <w:lvlText w:val="%8."/>
      <w:lvlJc w:val="left"/>
      <w:pPr>
        <w:ind w:left="5760" w:hanging="360"/>
      </w:pPr>
    </w:lvl>
    <w:lvl w:ilvl="8" w:tplc="AC5E23DC" w:tentative="1">
      <w:start w:val="1"/>
      <w:numFmt w:val="lowerRoman"/>
      <w:lvlText w:val="%9."/>
      <w:lvlJc w:val="right"/>
      <w:pPr>
        <w:ind w:left="6480" w:hanging="180"/>
      </w:p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38521263">
    <w:abstractNumId w:val="2"/>
  </w:num>
  <w:num w:numId="2" w16cid:durableId="2559684">
    <w:abstractNumId w:val="19"/>
  </w:num>
  <w:num w:numId="3" w16cid:durableId="626551403">
    <w:abstractNumId w:val="0"/>
    <w:lvlOverride w:ilvl="0">
      <w:lvl w:ilvl="0">
        <w:start w:val="1"/>
        <w:numFmt w:val="bullet"/>
        <w:lvlText w:val="-"/>
        <w:legacy w:legacy="1" w:legacySpace="0" w:legacyIndent="360"/>
        <w:lvlJc w:val="left"/>
        <w:pPr>
          <w:ind w:left="360" w:hanging="360"/>
        </w:pPr>
      </w:lvl>
    </w:lvlOverride>
  </w:num>
  <w:num w:numId="4" w16cid:durableId="7529436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63460026">
    <w:abstractNumId w:val="20"/>
  </w:num>
  <w:num w:numId="6" w16cid:durableId="1025520980">
    <w:abstractNumId w:val="17"/>
  </w:num>
  <w:num w:numId="7" w16cid:durableId="1978950472">
    <w:abstractNumId w:val="8"/>
  </w:num>
  <w:num w:numId="8" w16cid:durableId="1437484996">
    <w:abstractNumId w:val="12"/>
  </w:num>
  <w:num w:numId="9" w16cid:durableId="727150884">
    <w:abstractNumId w:val="25"/>
  </w:num>
  <w:num w:numId="10" w16cid:durableId="822551362">
    <w:abstractNumId w:val="1"/>
  </w:num>
  <w:num w:numId="11" w16cid:durableId="1808665208">
    <w:abstractNumId w:val="22"/>
  </w:num>
  <w:num w:numId="12" w16cid:durableId="1464352326">
    <w:abstractNumId w:val="11"/>
  </w:num>
  <w:num w:numId="13" w16cid:durableId="509220114">
    <w:abstractNumId w:val="6"/>
  </w:num>
  <w:num w:numId="14" w16cid:durableId="206794365">
    <w:abstractNumId w:val="3"/>
  </w:num>
  <w:num w:numId="15" w16cid:durableId="531264110">
    <w:abstractNumId w:val="0"/>
    <w:lvlOverride w:ilvl="0">
      <w:lvl w:ilvl="0">
        <w:start w:val="1"/>
        <w:numFmt w:val="bullet"/>
        <w:lvlText w:val="-"/>
        <w:legacy w:legacy="1" w:legacySpace="0" w:legacyIndent="360"/>
        <w:lvlJc w:val="left"/>
        <w:pPr>
          <w:ind w:left="360" w:hanging="360"/>
        </w:pPr>
      </w:lvl>
    </w:lvlOverride>
  </w:num>
  <w:num w:numId="16" w16cid:durableId="262109671">
    <w:abstractNumId w:val="23"/>
  </w:num>
  <w:num w:numId="17" w16cid:durableId="1827209580">
    <w:abstractNumId w:val="15"/>
  </w:num>
  <w:num w:numId="18" w16cid:durableId="1278639748">
    <w:abstractNumId w:val="16"/>
  </w:num>
  <w:num w:numId="19" w16cid:durableId="1993749009">
    <w:abstractNumId w:val="26"/>
  </w:num>
  <w:num w:numId="20" w16cid:durableId="1622951189">
    <w:abstractNumId w:val="18"/>
  </w:num>
  <w:num w:numId="21" w16cid:durableId="136188850">
    <w:abstractNumId w:val="24"/>
  </w:num>
  <w:num w:numId="22" w16cid:durableId="41831356">
    <w:abstractNumId w:val="21"/>
  </w:num>
  <w:num w:numId="23" w16cid:durableId="292640394">
    <w:abstractNumId w:val="7"/>
  </w:num>
  <w:num w:numId="24" w16cid:durableId="824785918">
    <w:abstractNumId w:val="24"/>
  </w:num>
  <w:num w:numId="25" w16cid:durableId="594746100">
    <w:abstractNumId w:val="3"/>
  </w:num>
  <w:num w:numId="26" w16cid:durableId="21514179">
    <w:abstractNumId w:val="13"/>
  </w:num>
  <w:num w:numId="27" w16cid:durableId="1497574231">
    <w:abstractNumId w:val="9"/>
  </w:num>
  <w:num w:numId="28" w16cid:durableId="1317614018">
    <w:abstractNumId w:val="10"/>
  </w:num>
  <w:num w:numId="29" w16cid:durableId="897786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0310427">
    <w:abstractNumId w:val="14"/>
  </w:num>
  <w:num w:numId="31" w16cid:durableId="349185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de-CH" w:vendorID="64" w:dllVersion="6" w:nlCheck="1" w:checkStyle="1"/>
  <w:activeWritingStyle w:appName="MSWord" w:lang="fr-CH"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nl-NL" w:vendorID="64" w:dllVersion="0" w:nlCheck="1" w:checkStyle="0"/>
  <w:activeWritingStyle w:appName="MSWord" w:lang="pt-PT" w:vendorID="64" w:dllVersion="0" w:nlCheck="1" w:checkStyle="0"/>
  <w:activeWritingStyle w:appName="MSWord" w:lang="fr-CH" w:vendorID="64" w:dllVersion="0" w:nlCheck="1" w:checkStyle="0"/>
  <w:activeWritingStyle w:appName="MSWord" w:lang="de-CH" w:vendorID="64" w:dllVersion="0" w:nlCheck="1" w:checkStyle="0"/>
  <w:activeWritingStyle w:appName="MSWord" w:lang="en-CA"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1F2"/>
    <w:rsid w:val="000014A7"/>
    <w:rsid w:val="00001587"/>
    <w:rsid w:val="0000362A"/>
    <w:rsid w:val="000039E6"/>
    <w:rsid w:val="00003AEF"/>
    <w:rsid w:val="00003D35"/>
    <w:rsid w:val="00005701"/>
    <w:rsid w:val="00007528"/>
    <w:rsid w:val="00007622"/>
    <w:rsid w:val="00007F3D"/>
    <w:rsid w:val="00010148"/>
    <w:rsid w:val="0001164F"/>
    <w:rsid w:val="0001207D"/>
    <w:rsid w:val="000124A2"/>
    <w:rsid w:val="00013BF3"/>
    <w:rsid w:val="00014869"/>
    <w:rsid w:val="00014D59"/>
    <w:rsid w:val="000150D3"/>
    <w:rsid w:val="000166C1"/>
    <w:rsid w:val="00016770"/>
    <w:rsid w:val="0001795C"/>
    <w:rsid w:val="0002006B"/>
    <w:rsid w:val="00020AE8"/>
    <w:rsid w:val="00020D98"/>
    <w:rsid w:val="000212BB"/>
    <w:rsid w:val="00021BE6"/>
    <w:rsid w:val="00022BCF"/>
    <w:rsid w:val="00023150"/>
    <w:rsid w:val="000237F9"/>
    <w:rsid w:val="00023A2C"/>
    <w:rsid w:val="0002563C"/>
    <w:rsid w:val="00025AD3"/>
    <w:rsid w:val="00025EBE"/>
    <w:rsid w:val="00026352"/>
    <w:rsid w:val="00026569"/>
    <w:rsid w:val="00026BF2"/>
    <w:rsid w:val="000271F6"/>
    <w:rsid w:val="00030445"/>
    <w:rsid w:val="000318C7"/>
    <w:rsid w:val="00032235"/>
    <w:rsid w:val="00032BB3"/>
    <w:rsid w:val="00033D26"/>
    <w:rsid w:val="00033FDB"/>
    <w:rsid w:val="000344F6"/>
    <w:rsid w:val="00034BD0"/>
    <w:rsid w:val="00036B11"/>
    <w:rsid w:val="000373F0"/>
    <w:rsid w:val="0003746F"/>
    <w:rsid w:val="00042263"/>
    <w:rsid w:val="00043505"/>
    <w:rsid w:val="000437A1"/>
    <w:rsid w:val="00043C70"/>
    <w:rsid w:val="00043E88"/>
    <w:rsid w:val="00044042"/>
    <w:rsid w:val="00044F1B"/>
    <w:rsid w:val="000452BA"/>
    <w:rsid w:val="000453BD"/>
    <w:rsid w:val="00046253"/>
    <w:rsid w:val="00046B4E"/>
    <w:rsid w:val="00047380"/>
    <w:rsid w:val="000474D2"/>
    <w:rsid w:val="00047735"/>
    <w:rsid w:val="000479C5"/>
    <w:rsid w:val="00050DFD"/>
    <w:rsid w:val="00051385"/>
    <w:rsid w:val="00053809"/>
    <w:rsid w:val="00053914"/>
    <w:rsid w:val="00054756"/>
    <w:rsid w:val="00054D25"/>
    <w:rsid w:val="000556C8"/>
    <w:rsid w:val="000560C5"/>
    <w:rsid w:val="0005640D"/>
    <w:rsid w:val="00056C49"/>
    <w:rsid w:val="00056FE0"/>
    <w:rsid w:val="00060090"/>
    <w:rsid w:val="000603C8"/>
    <w:rsid w:val="000606B1"/>
    <w:rsid w:val="000608A4"/>
    <w:rsid w:val="00060AA1"/>
    <w:rsid w:val="00060F37"/>
    <w:rsid w:val="00061FEE"/>
    <w:rsid w:val="0006298E"/>
    <w:rsid w:val="0006311B"/>
    <w:rsid w:val="000631FD"/>
    <w:rsid w:val="00063A80"/>
    <w:rsid w:val="00063F7E"/>
    <w:rsid w:val="0006417A"/>
    <w:rsid w:val="000643D3"/>
    <w:rsid w:val="00067B16"/>
    <w:rsid w:val="00067B80"/>
    <w:rsid w:val="0007174E"/>
    <w:rsid w:val="00071F8A"/>
    <w:rsid w:val="000726A0"/>
    <w:rsid w:val="00072E96"/>
    <w:rsid w:val="00073B56"/>
    <w:rsid w:val="00073CA0"/>
    <w:rsid w:val="00073E04"/>
    <w:rsid w:val="0007401B"/>
    <w:rsid w:val="00074FD3"/>
    <w:rsid w:val="000755DB"/>
    <w:rsid w:val="000757B2"/>
    <w:rsid w:val="0007625E"/>
    <w:rsid w:val="0007628D"/>
    <w:rsid w:val="00076708"/>
    <w:rsid w:val="000802BB"/>
    <w:rsid w:val="00081DAB"/>
    <w:rsid w:val="000872EA"/>
    <w:rsid w:val="000876CE"/>
    <w:rsid w:val="00087B73"/>
    <w:rsid w:val="00091367"/>
    <w:rsid w:val="00092829"/>
    <w:rsid w:val="00092B09"/>
    <w:rsid w:val="0009351E"/>
    <w:rsid w:val="0009479A"/>
    <w:rsid w:val="00094AD6"/>
    <w:rsid w:val="00094C03"/>
    <w:rsid w:val="00095D61"/>
    <w:rsid w:val="00095E44"/>
    <w:rsid w:val="00096D8D"/>
    <w:rsid w:val="0009755A"/>
    <w:rsid w:val="00097A2B"/>
    <w:rsid w:val="000A1232"/>
    <w:rsid w:val="000A135B"/>
    <w:rsid w:val="000A30E5"/>
    <w:rsid w:val="000A40D0"/>
    <w:rsid w:val="000A4998"/>
    <w:rsid w:val="000B0097"/>
    <w:rsid w:val="000B04FE"/>
    <w:rsid w:val="000B101F"/>
    <w:rsid w:val="000B1F4B"/>
    <w:rsid w:val="000B21EC"/>
    <w:rsid w:val="000B2F27"/>
    <w:rsid w:val="000B2F58"/>
    <w:rsid w:val="000B3109"/>
    <w:rsid w:val="000B34A3"/>
    <w:rsid w:val="000B37A8"/>
    <w:rsid w:val="000B4D16"/>
    <w:rsid w:val="000B51D9"/>
    <w:rsid w:val="000B7055"/>
    <w:rsid w:val="000B7812"/>
    <w:rsid w:val="000C03FB"/>
    <w:rsid w:val="000C0E74"/>
    <w:rsid w:val="000C106C"/>
    <w:rsid w:val="000C12D1"/>
    <w:rsid w:val="000C28FE"/>
    <w:rsid w:val="000C308F"/>
    <w:rsid w:val="000C332E"/>
    <w:rsid w:val="000C3FE3"/>
    <w:rsid w:val="000C4D30"/>
    <w:rsid w:val="000C527E"/>
    <w:rsid w:val="000C5A4E"/>
    <w:rsid w:val="000C635D"/>
    <w:rsid w:val="000C7F13"/>
    <w:rsid w:val="000C7F49"/>
    <w:rsid w:val="000D0182"/>
    <w:rsid w:val="000D03AC"/>
    <w:rsid w:val="000D1AEE"/>
    <w:rsid w:val="000D1F4F"/>
    <w:rsid w:val="000D36B4"/>
    <w:rsid w:val="000D4D07"/>
    <w:rsid w:val="000D4F7C"/>
    <w:rsid w:val="000D5239"/>
    <w:rsid w:val="000D5ACD"/>
    <w:rsid w:val="000D7535"/>
    <w:rsid w:val="000E165D"/>
    <w:rsid w:val="000E1BAF"/>
    <w:rsid w:val="000E2030"/>
    <w:rsid w:val="000E223E"/>
    <w:rsid w:val="000E2491"/>
    <w:rsid w:val="000E2EA9"/>
    <w:rsid w:val="000E3EE3"/>
    <w:rsid w:val="000E423E"/>
    <w:rsid w:val="000E46A3"/>
    <w:rsid w:val="000E4757"/>
    <w:rsid w:val="000E4E88"/>
    <w:rsid w:val="000E5726"/>
    <w:rsid w:val="000E6C94"/>
    <w:rsid w:val="000F1BB2"/>
    <w:rsid w:val="000F217A"/>
    <w:rsid w:val="000F3F94"/>
    <w:rsid w:val="000F4E17"/>
    <w:rsid w:val="000F5235"/>
    <w:rsid w:val="000F5B21"/>
    <w:rsid w:val="000F675D"/>
    <w:rsid w:val="000F731D"/>
    <w:rsid w:val="001008DB"/>
    <w:rsid w:val="001021B0"/>
    <w:rsid w:val="001026F7"/>
    <w:rsid w:val="00103501"/>
    <w:rsid w:val="00103B2D"/>
    <w:rsid w:val="00103CD2"/>
    <w:rsid w:val="00104061"/>
    <w:rsid w:val="00104166"/>
    <w:rsid w:val="0010423A"/>
    <w:rsid w:val="00104D29"/>
    <w:rsid w:val="00105D5F"/>
    <w:rsid w:val="00107186"/>
    <w:rsid w:val="00107236"/>
    <w:rsid w:val="001074B3"/>
    <w:rsid w:val="00107D0B"/>
    <w:rsid w:val="00107DFF"/>
    <w:rsid w:val="001101A2"/>
    <w:rsid w:val="001106F7"/>
    <w:rsid w:val="001108A9"/>
    <w:rsid w:val="001111FD"/>
    <w:rsid w:val="00111B41"/>
    <w:rsid w:val="00112EDA"/>
    <w:rsid w:val="0011342E"/>
    <w:rsid w:val="00114174"/>
    <w:rsid w:val="001173AD"/>
    <w:rsid w:val="00117B4A"/>
    <w:rsid w:val="00117C1D"/>
    <w:rsid w:val="00120866"/>
    <w:rsid w:val="00121025"/>
    <w:rsid w:val="001218C3"/>
    <w:rsid w:val="001230FE"/>
    <w:rsid w:val="00123688"/>
    <w:rsid w:val="0012465F"/>
    <w:rsid w:val="0012571B"/>
    <w:rsid w:val="00127F47"/>
    <w:rsid w:val="001307B0"/>
    <w:rsid w:val="001322D7"/>
    <w:rsid w:val="00133572"/>
    <w:rsid w:val="00133EA6"/>
    <w:rsid w:val="00134E4A"/>
    <w:rsid w:val="001364FB"/>
    <w:rsid w:val="001365F2"/>
    <w:rsid w:val="00136D7A"/>
    <w:rsid w:val="001374C5"/>
    <w:rsid w:val="001412A7"/>
    <w:rsid w:val="00141470"/>
    <w:rsid w:val="00141540"/>
    <w:rsid w:val="001427CC"/>
    <w:rsid w:val="001449DF"/>
    <w:rsid w:val="0014569B"/>
    <w:rsid w:val="001470E0"/>
    <w:rsid w:val="00150060"/>
    <w:rsid w:val="00150525"/>
    <w:rsid w:val="00152C56"/>
    <w:rsid w:val="001534D8"/>
    <w:rsid w:val="00153C1A"/>
    <w:rsid w:val="00154C69"/>
    <w:rsid w:val="0015704C"/>
    <w:rsid w:val="00157071"/>
    <w:rsid w:val="00157895"/>
    <w:rsid w:val="00160EB8"/>
    <w:rsid w:val="00161701"/>
    <w:rsid w:val="00161E87"/>
    <w:rsid w:val="00162950"/>
    <w:rsid w:val="00163D75"/>
    <w:rsid w:val="001654C8"/>
    <w:rsid w:val="0016566C"/>
    <w:rsid w:val="00167DF0"/>
    <w:rsid w:val="0017093C"/>
    <w:rsid w:val="00170E73"/>
    <w:rsid w:val="001727F0"/>
    <w:rsid w:val="00172B06"/>
    <w:rsid w:val="00172E63"/>
    <w:rsid w:val="0017347E"/>
    <w:rsid w:val="001736C7"/>
    <w:rsid w:val="00173F63"/>
    <w:rsid w:val="00174464"/>
    <w:rsid w:val="001750A2"/>
    <w:rsid w:val="001752D8"/>
    <w:rsid w:val="00175931"/>
    <w:rsid w:val="0017612A"/>
    <w:rsid w:val="00176B25"/>
    <w:rsid w:val="00177144"/>
    <w:rsid w:val="0018023C"/>
    <w:rsid w:val="0018238B"/>
    <w:rsid w:val="00183419"/>
    <w:rsid w:val="0018394A"/>
    <w:rsid w:val="001839A2"/>
    <w:rsid w:val="001845A7"/>
    <w:rsid w:val="00184DCC"/>
    <w:rsid w:val="001852A2"/>
    <w:rsid w:val="00185458"/>
    <w:rsid w:val="0018572C"/>
    <w:rsid w:val="00186A9D"/>
    <w:rsid w:val="001874A6"/>
    <w:rsid w:val="0018765B"/>
    <w:rsid w:val="001900E8"/>
    <w:rsid w:val="001904AE"/>
    <w:rsid w:val="00190913"/>
    <w:rsid w:val="00190C07"/>
    <w:rsid w:val="0019149F"/>
    <w:rsid w:val="0019236A"/>
    <w:rsid w:val="00193B21"/>
    <w:rsid w:val="00193DD3"/>
    <w:rsid w:val="00194429"/>
    <w:rsid w:val="001948AA"/>
    <w:rsid w:val="00195F65"/>
    <w:rsid w:val="00197E57"/>
    <w:rsid w:val="001A07DC"/>
    <w:rsid w:val="001A07E2"/>
    <w:rsid w:val="001A0A5D"/>
    <w:rsid w:val="001A2018"/>
    <w:rsid w:val="001A3284"/>
    <w:rsid w:val="001A3547"/>
    <w:rsid w:val="001A56F1"/>
    <w:rsid w:val="001A5D0E"/>
    <w:rsid w:val="001A6233"/>
    <w:rsid w:val="001A7D7A"/>
    <w:rsid w:val="001B01C8"/>
    <w:rsid w:val="001B0B52"/>
    <w:rsid w:val="001B1041"/>
    <w:rsid w:val="001B13F6"/>
    <w:rsid w:val="001B1747"/>
    <w:rsid w:val="001B1DBF"/>
    <w:rsid w:val="001B23E1"/>
    <w:rsid w:val="001B2D18"/>
    <w:rsid w:val="001B2D44"/>
    <w:rsid w:val="001B7400"/>
    <w:rsid w:val="001B752A"/>
    <w:rsid w:val="001B7759"/>
    <w:rsid w:val="001B79C3"/>
    <w:rsid w:val="001C12FB"/>
    <w:rsid w:val="001C1476"/>
    <w:rsid w:val="001C289B"/>
    <w:rsid w:val="001C2DB4"/>
    <w:rsid w:val="001C30AF"/>
    <w:rsid w:val="001C3228"/>
    <w:rsid w:val="001C35E9"/>
    <w:rsid w:val="001C36BD"/>
    <w:rsid w:val="001C3733"/>
    <w:rsid w:val="001C49B3"/>
    <w:rsid w:val="001C4AE8"/>
    <w:rsid w:val="001C5B30"/>
    <w:rsid w:val="001D03A7"/>
    <w:rsid w:val="001D219E"/>
    <w:rsid w:val="001D2953"/>
    <w:rsid w:val="001D3BAA"/>
    <w:rsid w:val="001D3C05"/>
    <w:rsid w:val="001D4A7C"/>
    <w:rsid w:val="001D4D26"/>
    <w:rsid w:val="001D4DA3"/>
    <w:rsid w:val="001D6AF4"/>
    <w:rsid w:val="001E0CC1"/>
    <w:rsid w:val="001E13CF"/>
    <w:rsid w:val="001E1C10"/>
    <w:rsid w:val="001E2CA4"/>
    <w:rsid w:val="001E3CC0"/>
    <w:rsid w:val="001E4440"/>
    <w:rsid w:val="001E4F77"/>
    <w:rsid w:val="001E5629"/>
    <w:rsid w:val="001E6E33"/>
    <w:rsid w:val="001E6E4D"/>
    <w:rsid w:val="001E77C3"/>
    <w:rsid w:val="001F090B"/>
    <w:rsid w:val="001F0D03"/>
    <w:rsid w:val="001F180A"/>
    <w:rsid w:val="001F1A28"/>
    <w:rsid w:val="001F1AD0"/>
    <w:rsid w:val="001F1DBB"/>
    <w:rsid w:val="001F35E8"/>
    <w:rsid w:val="001F4014"/>
    <w:rsid w:val="001F445E"/>
    <w:rsid w:val="001F6423"/>
    <w:rsid w:val="00200E20"/>
    <w:rsid w:val="00201213"/>
    <w:rsid w:val="0020165E"/>
    <w:rsid w:val="00201790"/>
    <w:rsid w:val="0020272E"/>
    <w:rsid w:val="00202E50"/>
    <w:rsid w:val="00203D07"/>
    <w:rsid w:val="00204167"/>
    <w:rsid w:val="00204440"/>
    <w:rsid w:val="002045EE"/>
    <w:rsid w:val="00204AAB"/>
    <w:rsid w:val="00205180"/>
    <w:rsid w:val="00207532"/>
    <w:rsid w:val="002078FE"/>
    <w:rsid w:val="00207F81"/>
    <w:rsid w:val="002105A9"/>
    <w:rsid w:val="002109F4"/>
    <w:rsid w:val="00211FDA"/>
    <w:rsid w:val="002145C6"/>
    <w:rsid w:val="00215FDA"/>
    <w:rsid w:val="002160C2"/>
    <w:rsid w:val="002162CF"/>
    <w:rsid w:val="002166DB"/>
    <w:rsid w:val="00221284"/>
    <w:rsid w:val="002224FB"/>
    <w:rsid w:val="00222BB9"/>
    <w:rsid w:val="00223142"/>
    <w:rsid w:val="002235E7"/>
    <w:rsid w:val="00223DF1"/>
    <w:rsid w:val="002251C6"/>
    <w:rsid w:val="002258D6"/>
    <w:rsid w:val="002271E8"/>
    <w:rsid w:val="002274FB"/>
    <w:rsid w:val="002309D2"/>
    <w:rsid w:val="00231B61"/>
    <w:rsid w:val="00232E9A"/>
    <w:rsid w:val="0023315B"/>
    <w:rsid w:val="002347FE"/>
    <w:rsid w:val="00235D1A"/>
    <w:rsid w:val="002360D3"/>
    <w:rsid w:val="00237A09"/>
    <w:rsid w:val="0024178D"/>
    <w:rsid w:val="002427B1"/>
    <w:rsid w:val="0024392B"/>
    <w:rsid w:val="00243F38"/>
    <w:rsid w:val="002450C6"/>
    <w:rsid w:val="0024555B"/>
    <w:rsid w:val="00245DCF"/>
    <w:rsid w:val="00246C65"/>
    <w:rsid w:val="00246D63"/>
    <w:rsid w:val="00246EF4"/>
    <w:rsid w:val="0024721F"/>
    <w:rsid w:val="00247FF5"/>
    <w:rsid w:val="00250189"/>
    <w:rsid w:val="00250C25"/>
    <w:rsid w:val="00250F3A"/>
    <w:rsid w:val="00251A10"/>
    <w:rsid w:val="002523F8"/>
    <w:rsid w:val="002529D4"/>
    <w:rsid w:val="00252BFF"/>
    <w:rsid w:val="00252ECD"/>
    <w:rsid w:val="0025349D"/>
    <w:rsid w:val="00253732"/>
    <w:rsid w:val="00253DEA"/>
    <w:rsid w:val="00253FDF"/>
    <w:rsid w:val="002542A8"/>
    <w:rsid w:val="0025464A"/>
    <w:rsid w:val="002558C2"/>
    <w:rsid w:val="002562D1"/>
    <w:rsid w:val="002564F6"/>
    <w:rsid w:val="00256ECF"/>
    <w:rsid w:val="00260A11"/>
    <w:rsid w:val="0026169A"/>
    <w:rsid w:val="00261C37"/>
    <w:rsid w:val="00262763"/>
    <w:rsid w:val="002628F6"/>
    <w:rsid w:val="00263A9E"/>
    <w:rsid w:val="00263DF4"/>
    <w:rsid w:val="0026423A"/>
    <w:rsid w:val="00264BEA"/>
    <w:rsid w:val="00267850"/>
    <w:rsid w:val="00270ABC"/>
    <w:rsid w:val="00271032"/>
    <w:rsid w:val="002719DC"/>
    <w:rsid w:val="00273E3E"/>
    <w:rsid w:val="00274147"/>
    <w:rsid w:val="00275189"/>
    <w:rsid w:val="002756DC"/>
    <w:rsid w:val="00276412"/>
    <w:rsid w:val="00276437"/>
    <w:rsid w:val="00276779"/>
    <w:rsid w:val="00280053"/>
    <w:rsid w:val="0028063F"/>
    <w:rsid w:val="00280740"/>
    <w:rsid w:val="00280C01"/>
    <w:rsid w:val="00280F9E"/>
    <w:rsid w:val="00281A9D"/>
    <w:rsid w:val="00281EC0"/>
    <w:rsid w:val="00282A45"/>
    <w:rsid w:val="00283B02"/>
    <w:rsid w:val="00283C5D"/>
    <w:rsid w:val="00284370"/>
    <w:rsid w:val="002844B0"/>
    <w:rsid w:val="00286304"/>
    <w:rsid w:val="00286322"/>
    <w:rsid w:val="00286856"/>
    <w:rsid w:val="00290685"/>
    <w:rsid w:val="00291277"/>
    <w:rsid w:val="00292867"/>
    <w:rsid w:val="0029293F"/>
    <w:rsid w:val="00292AE0"/>
    <w:rsid w:val="00294C02"/>
    <w:rsid w:val="00294D4D"/>
    <w:rsid w:val="0029535A"/>
    <w:rsid w:val="002959AA"/>
    <w:rsid w:val="00296B03"/>
    <w:rsid w:val="00296C1F"/>
    <w:rsid w:val="0029720B"/>
    <w:rsid w:val="002975B9"/>
    <w:rsid w:val="0029769B"/>
    <w:rsid w:val="00297E95"/>
    <w:rsid w:val="002A0B41"/>
    <w:rsid w:val="002A1937"/>
    <w:rsid w:val="002A25F6"/>
    <w:rsid w:val="002A41E6"/>
    <w:rsid w:val="002A44C8"/>
    <w:rsid w:val="002A545A"/>
    <w:rsid w:val="002A5E48"/>
    <w:rsid w:val="002A75B2"/>
    <w:rsid w:val="002A7F1C"/>
    <w:rsid w:val="002B0059"/>
    <w:rsid w:val="002B0455"/>
    <w:rsid w:val="002B261C"/>
    <w:rsid w:val="002B2BEE"/>
    <w:rsid w:val="002B3363"/>
    <w:rsid w:val="002B35C5"/>
    <w:rsid w:val="002B3935"/>
    <w:rsid w:val="002B394F"/>
    <w:rsid w:val="002B406A"/>
    <w:rsid w:val="002B41D4"/>
    <w:rsid w:val="002B50F9"/>
    <w:rsid w:val="002B525F"/>
    <w:rsid w:val="002B543F"/>
    <w:rsid w:val="002B5C87"/>
    <w:rsid w:val="002B5D6E"/>
    <w:rsid w:val="002B60F4"/>
    <w:rsid w:val="002B6165"/>
    <w:rsid w:val="002B648B"/>
    <w:rsid w:val="002B714C"/>
    <w:rsid w:val="002B7D73"/>
    <w:rsid w:val="002C04D7"/>
    <w:rsid w:val="002C06E3"/>
    <w:rsid w:val="002C0801"/>
    <w:rsid w:val="002C09A1"/>
    <w:rsid w:val="002C0C93"/>
    <w:rsid w:val="002C145F"/>
    <w:rsid w:val="002C33B3"/>
    <w:rsid w:val="002C4309"/>
    <w:rsid w:val="002C44B0"/>
    <w:rsid w:val="002C4E07"/>
    <w:rsid w:val="002C562A"/>
    <w:rsid w:val="002D0586"/>
    <w:rsid w:val="002D1023"/>
    <w:rsid w:val="002D1311"/>
    <w:rsid w:val="002D1459"/>
    <w:rsid w:val="002D1470"/>
    <w:rsid w:val="002D14A5"/>
    <w:rsid w:val="002D21CF"/>
    <w:rsid w:val="002D3B98"/>
    <w:rsid w:val="002D3DB7"/>
    <w:rsid w:val="002D4705"/>
    <w:rsid w:val="002D5B65"/>
    <w:rsid w:val="002D6396"/>
    <w:rsid w:val="002D7A70"/>
    <w:rsid w:val="002D7E5E"/>
    <w:rsid w:val="002E07BA"/>
    <w:rsid w:val="002E07EF"/>
    <w:rsid w:val="002E0D06"/>
    <w:rsid w:val="002E1810"/>
    <w:rsid w:val="002E2935"/>
    <w:rsid w:val="002E33CC"/>
    <w:rsid w:val="002E43D2"/>
    <w:rsid w:val="002E4DDF"/>
    <w:rsid w:val="002E4E94"/>
    <w:rsid w:val="002E6650"/>
    <w:rsid w:val="002E7819"/>
    <w:rsid w:val="002F11F6"/>
    <w:rsid w:val="002F1716"/>
    <w:rsid w:val="002F1B31"/>
    <w:rsid w:val="002F1C35"/>
    <w:rsid w:val="002F1F28"/>
    <w:rsid w:val="002F2468"/>
    <w:rsid w:val="002F248E"/>
    <w:rsid w:val="002F2DEB"/>
    <w:rsid w:val="002F38C0"/>
    <w:rsid w:val="002F43CA"/>
    <w:rsid w:val="002F57AA"/>
    <w:rsid w:val="002F5933"/>
    <w:rsid w:val="002F697A"/>
    <w:rsid w:val="002F6EF7"/>
    <w:rsid w:val="002F714C"/>
    <w:rsid w:val="002F77BF"/>
    <w:rsid w:val="002F7CFF"/>
    <w:rsid w:val="003004A2"/>
    <w:rsid w:val="0030211D"/>
    <w:rsid w:val="00303DD5"/>
    <w:rsid w:val="00303F43"/>
    <w:rsid w:val="003040B0"/>
    <w:rsid w:val="00305201"/>
    <w:rsid w:val="0030542A"/>
    <w:rsid w:val="00306510"/>
    <w:rsid w:val="00306604"/>
    <w:rsid w:val="00307B74"/>
    <w:rsid w:val="00310764"/>
    <w:rsid w:val="00310952"/>
    <w:rsid w:val="00311BFD"/>
    <w:rsid w:val="00311EBC"/>
    <w:rsid w:val="003140A2"/>
    <w:rsid w:val="00314718"/>
    <w:rsid w:val="0031488A"/>
    <w:rsid w:val="003149C0"/>
    <w:rsid w:val="00316B6C"/>
    <w:rsid w:val="003175E1"/>
    <w:rsid w:val="00320203"/>
    <w:rsid w:val="00322002"/>
    <w:rsid w:val="0032348E"/>
    <w:rsid w:val="0032403C"/>
    <w:rsid w:val="00324101"/>
    <w:rsid w:val="003245F2"/>
    <w:rsid w:val="003247B0"/>
    <w:rsid w:val="003256F8"/>
    <w:rsid w:val="00325961"/>
    <w:rsid w:val="00325A8F"/>
    <w:rsid w:val="00325E81"/>
    <w:rsid w:val="00326948"/>
    <w:rsid w:val="00327052"/>
    <w:rsid w:val="00331348"/>
    <w:rsid w:val="00334481"/>
    <w:rsid w:val="0033486D"/>
    <w:rsid w:val="00335228"/>
    <w:rsid w:val="003367C4"/>
    <w:rsid w:val="00336D8E"/>
    <w:rsid w:val="003376B3"/>
    <w:rsid w:val="00340B07"/>
    <w:rsid w:val="0034104D"/>
    <w:rsid w:val="003413FB"/>
    <w:rsid w:val="003428C3"/>
    <w:rsid w:val="00342DBA"/>
    <w:rsid w:val="00342E72"/>
    <w:rsid w:val="00344484"/>
    <w:rsid w:val="003445E3"/>
    <w:rsid w:val="00344CD6"/>
    <w:rsid w:val="003450B8"/>
    <w:rsid w:val="00345F79"/>
    <w:rsid w:val="00345F9C"/>
    <w:rsid w:val="0034623B"/>
    <w:rsid w:val="00347776"/>
    <w:rsid w:val="00351A91"/>
    <w:rsid w:val="00351AA5"/>
    <w:rsid w:val="00351D2F"/>
    <w:rsid w:val="003520C4"/>
    <w:rsid w:val="003520C5"/>
    <w:rsid w:val="003533AE"/>
    <w:rsid w:val="00353AE6"/>
    <w:rsid w:val="0035514C"/>
    <w:rsid w:val="00355E14"/>
    <w:rsid w:val="00357C5E"/>
    <w:rsid w:val="00357FBB"/>
    <w:rsid w:val="003608BD"/>
    <w:rsid w:val="00361280"/>
    <w:rsid w:val="003615F1"/>
    <w:rsid w:val="00361A6E"/>
    <w:rsid w:val="003626AF"/>
    <w:rsid w:val="00363D7F"/>
    <w:rsid w:val="00364A36"/>
    <w:rsid w:val="003664B0"/>
    <w:rsid w:val="0036655E"/>
    <w:rsid w:val="00366BF9"/>
    <w:rsid w:val="003673F5"/>
    <w:rsid w:val="00367C66"/>
    <w:rsid w:val="00370035"/>
    <w:rsid w:val="003700B2"/>
    <w:rsid w:val="003719F9"/>
    <w:rsid w:val="00372270"/>
    <w:rsid w:val="003722DA"/>
    <w:rsid w:val="0037233D"/>
    <w:rsid w:val="003736EF"/>
    <w:rsid w:val="003737E3"/>
    <w:rsid w:val="003749BD"/>
    <w:rsid w:val="00377479"/>
    <w:rsid w:val="00380345"/>
    <w:rsid w:val="00380A1A"/>
    <w:rsid w:val="00380D80"/>
    <w:rsid w:val="0038122D"/>
    <w:rsid w:val="0038136F"/>
    <w:rsid w:val="0038143D"/>
    <w:rsid w:val="00384035"/>
    <w:rsid w:val="0038500E"/>
    <w:rsid w:val="0038761D"/>
    <w:rsid w:val="003906F8"/>
    <w:rsid w:val="00392722"/>
    <w:rsid w:val="0039296B"/>
    <w:rsid w:val="003935EE"/>
    <w:rsid w:val="00393EE9"/>
    <w:rsid w:val="0039408A"/>
    <w:rsid w:val="003945F5"/>
    <w:rsid w:val="003947DD"/>
    <w:rsid w:val="003966C8"/>
    <w:rsid w:val="0039673D"/>
    <w:rsid w:val="003975DA"/>
    <w:rsid w:val="00397893"/>
    <w:rsid w:val="00397EB1"/>
    <w:rsid w:val="003A0152"/>
    <w:rsid w:val="003A1F01"/>
    <w:rsid w:val="003A2407"/>
    <w:rsid w:val="003A2CF0"/>
    <w:rsid w:val="003A33D3"/>
    <w:rsid w:val="003A3880"/>
    <w:rsid w:val="003A4856"/>
    <w:rsid w:val="003A4B52"/>
    <w:rsid w:val="003A5072"/>
    <w:rsid w:val="003A5BC5"/>
    <w:rsid w:val="003A5D55"/>
    <w:rsid w:val="003A75E6"/>
    <w:rsid w:val="003B0C30"/>
    <w:rsid w:val="003B15BF"/>
    <w:rsid w:val="003B255B"/>
    <w:rsid w:val="003B3317"/>
    <w:rsid w:val="003B360E"/>
    <w:rsid w:val="003B3EFB"/>
    <w:rsid w:val="003B4582"/>
    <w:rsid w:val="003B4B2F"/>
    <w:rsid w:val="003B4C50"/>
    <w:rsid w:val="003B52D4"/>
    <w:rsid w:val="003B55DB"/>
    <w:rsid w:val="003B5AC6"/>
    <w:rsid w:val="003B70E2"/>
    <w:rsid w:val="003B746B"/>
    <w:rsid w:val="003B7A8D"/>
    <w:rsid w:val="003C1945"/>
    <w:rsid w:val="003C1CA5"/>
    <w:rsid w:val="003C1EC7"/>
    <w:rsid w:val="003C20D5"/>
    <w:rsid w:val="003C3180"/>
    <w:rsid w:val="003C3D8E"/>
    <w:rsid w:val="003C5E61"/>
    <w:rsid w:val="003C64A0"/>
    <w:rsid w:val="003C6F0B"/>
    <w:rsid w:val="003C7489"/>
    <w:rsid w:val="003C7BA3"/>
    <w:rsid w:val="003C7F55"/>
    <w:rsid w:val="003D0170"/>
    <w:rsid w:val="003D1271"/>
    <w:rsid w:val="003D3642"/>
    <w:rsid w:val="003D446A"/>
    <w:rsid w:val="003D4E9C"/>
    <w:rsid w:val="003D5EE8"/>
    <w:rsid w:val="003D7D91"/>
    <w:rsid w:val="003E024F"/>
    <w:rsid w:val="003E0463"/>
    <w:rsid w:val="003E0D78"/>
    <w:rsid w:val="003E1CB1"/>
    <w:rsid w:val="003E2683"/>
    <w:rsid w:val="003E3A1D"/>
    <w:rsid w:val="003E4E67"/>
    <w:rsid w:val="003E6845"/>
    <w:rsid w:val="003E6CA0"/>
    <w:rsid w:val="003F1506"/>
    <w:rsid w:val="003F1970"/>
    <w:rsid w:val="003F1F41"/>
    <w:rsid w:val="003F261E"/>
    <w:rsid w:val="003F2CA2"/>
    <w:rsid w:val="003F2FDE"/>
    <w:rsid w:val="003F330B"/>
    <w:rsid w:val="003F4B43"/>
    <w:rsid w:val="003F4E10"/>
    <w:rsid w:val="003F4FAC"/>
    <w:rsid w:val="003F58B9"/>
    <w:rsid w:val="003F6FDF"/>
    <w:rsid w:val="003F7219"/>
    <w:rsid w:val="00400E2A"/>
    <w:rsid w:val="004016F5"/>
    <w:rsid w:val="00402445"/>
    <w:rsid w:val="00403A18"/>
    <w:rsid w:val="004043D7"/>
    <w:rsid w:val="004045AA"/>
    <w:rsid w:val="0040549A"/>
    <w:rsid w:val="00405CC9"/>
    <w:rsid w:val="0040644B"/>
    <w:rsid w:val="0040711E"/>
    <w:rsid w:val="00407D67"/>
    <w:rsid w:val="00412450"/>
    <w:rsid w:val="00412D59"/>
    <w:rsid w:val="004138DE"/>
    <w:rsid w:val="00413B39"/>
    <w:rsid w:val="00414B2F"/>
    <w:rsid w:val="004154EB"/>
    <w:rsid w:val="00415804"/>
    <w:rsid w:val="00415E58"/>
    <w:rsid w:val="00416231"/>
    <w:rsid w:val="0041680D"/>
    <w:rsid w:val="004208AB"/>
    <w:rsid w:val="00420A25"/>
    <w:rsid w:val="004212AC"/>
    <w:rsid w:val="004213F5"/>
    <w:rsid w:val="004219EF"/>
    <w:rsid w:val="00421A72"/>
    <w:rsid w:val="004226FC"/>
    <w:rsid w:val="004230DB"/>
    <w:rsid w:val="0042346F"/>
    <w:rsid w:val="00424348"/>
    <w:rsid w:val="00425922"/>
    <w:rsid w:val="00426CD9"/>
    <w:rsid w:val="00427470"/>
    <w:rsid w:val="00430474"/>
    <w:rsid w:val="00430822"/>
    <w:rsid w:val="00430FEB"/>
    <w:rsid w:val="004310EE"/>
    <w:rsid w:val="004311B1"/>
    <w:rsid w:val="00433677"/>
    <w:rsid w:val="00433857"/>
    <w:rsid w:val="004340D5"/>
    <w:rsid w:val="00434880"/>
    <w:rsid w:val="00434A21"/>
    <w:rsid w:val="0043526D"/>
    <w:rsid w:val="00437259"/>
    <w:rsid w:val="00437901"/>
    <w:rsid w:val="0044223C"/>
    <w:rsid w:val="00443B34"/>
    <w:rsid w:val="00444215"/>
    <w:rsid w:val="004460E9"/>
    <w:rsid w:val="00447B6F"/>
    <w:rsid w:val="004502BD"/>
    <w:rsid w:val="00450334"/>
    <w:rsid w:val="0045118A"/>
    <w:rsid w:val="0045145D"/>
    <w:rsid w:val="00451CBC"/>
    <w:rsid w:val="00452F7C"/>
    <w:rsid w:val="004532A0"/>
    <w:rsid w:val="00453529"/>
    <w:rsid w:val="00453623"/>
    <w:rsid w:val="00453C11"/>
    <w:rsid w:val="00454650"/>
    <w:rsid w:val="00454ECD"/>
    <w:rsid w:val="0045573D"/>
    <w:rsid w:val="004557B0"/>
    <w:rsid w:val="00456B00"/>
    <w:rsid w:val="0045703C"/>
    <w:rsid w:val="00457946"/>
    <w:rsid w:val="00457D02"/>
    <w:rsid w:val="00457D8B"/>
    <w:rsid w:val="00460770"/>
    <w:rsid w:val="00460A17"/>
    <w:rsid w:val="0046120A"/>
    <w:rsid w:val="00461B6A"/>
    <w:rsid w:val="00462F79"/>
    <w:rsid w:val="00463438"/>
    <w:rsid w:val="00463ECE"/>
    <w:rsid w:val="004645BC"/>
    <w:rsid w:val="00464751"/>
    <w:rsid w:val="00464A9C"/>
    <w:rsid w:val="0046535D"/>
    <w:rsid w:val="00465388"/>
    <w:rsid w:val="004677C9"/>
    <w:rsid w:val="004678EE"/>
    <w:rsid w:val="00467F9C"/>
    <w:rsid w:val="00470CB5"/>
    <w:rsid w:val="00471EAB"/>
    <w:rsid w:val="004723EE"/>
    <w:rsid w:val="00473061"/>
    <w:rsid w:val="00473C43"/>
    <w:rsid w:val="00475633"/>
    <w:rsid w:val="00475A92"/>
    <w:rsid w:val="00475CD5"/>
    <w:rsid w:val="00475E07"/>
    <w:rsid w:val="00475EB1"/>
    <w:rsid w:val="004760B1"/>
    <w:rsid w:val="00476A76"/>
    <w:rsid w:val="00477000"/>
    <w:rsid w:val="00477BB9"/>
    <w:rsid w:val="00481543"/>
    <w:rsid w:val="00481D52"/>
    <w:rsid w:val="00484124"/>
    <w:rsid w:val="00484247"/>
    <w:rsid w:val="004859EE"/>
    <w:rsid w:val="004870AE"/>
    <w:rsid w:val="00487366"/>
    <w:rsid w:val="004873E4"/>
    <w:rsid w:val="0048741C"/>
    <w:rsid w:val="00490223"/>
    <w:rsid w:val="0049072C"/>
    <w:rsid w:val="00490FD1"/>
    <w:rsid w:val="00491AD2"/>
    <w:rsid w:val="0049234F"/>
    <w:rsid w:val="0049351B"/>
    <w:rsid w:val="004935C0"/>
    <w:rsid w:val="00493B43"/>
    <w:rsid w:val="0049490B"/>
    <w:rsid w:val="00494EB1"/>
    <w:rsid w:val="004952FB"/>
    <w:rsid w:val="004953AE"/>
    <w:rsid w:val="00496414"/>
    <w:rsid w:val="00497A38"/>
    <w:rsid w:val="004A01A3"/>
    <w:rsid w:val="004A170A"/>
    <w:rsid w:val="004A26D3"/>
    <w:rsid w:val="004A27EB"/>
    <w:rsid w:val="004A41B9"/>
    <w:rsid w:val="004A45BD"/>
    <w:rsid w:val="004A4656"/>
    <w:rsid w:val="004A4C1D"/>
    <w:rsid w:val="004A5442"/>
    <w:rsid w:val="004A73B7"/>
    <w:rsid w:val="004A77B0"/>
    <w:rsid w:val="004B01B2"/>
    <w:rsid w:val="004B07CD"/>
    <w:rsid w:val="004B08A9"/>
    <w:rsid w:val="004B1CED"/>
    <w:rsid w:val="004B34A7"/>
    <w:rsid w:val="004B34CC"/>
    <w:rsid w:val="004B3B06"/>
    <w:rsid w:val="004B3ED5"/>
    <w:rsid w:val="004B3FF8"/>
    <w:rsid w:val="004B41FD"/>
    <w:rsid w:val="004B4643"/>
    <w:rsid w:val="004B4A71"/>
    <w:rsid w:val="004B611D"/>
    <w:rsid w:val="004B6FA9"/>
    <w:rsid w:val="004B7218"/>
    <w:rsid w:val="004B7245"/>
    <w:rsid w:val="004B7F67"/>
    <w:rsid w:val="004C06BE"/>
    <w:rsid w:val="004C0938"/>
    <w:rsid w:val="004C12AE"/>
    <w:rsid w:val="004C1654"/>
    <w:rsid w:val="004C1994"/>
    <w:rsid w:val="004C28DF"/>
    <w:rsid w:val="004C2C71"/>
    <w:rsid w:val="004C3178"/>
    <w:rsid w:val="004C3E3B"/>
    <w:rsid w:val="004C55FC"/>
    <w:rsid w:val="004C5B3F"/>
    <w:rsid w:val="004C6581"/>
    <w:rsid w:val="004C70FC"/>
    <w:rsid w:val="004C74D1"/>
    <w:rsid w:val="004C7A56"/>
    <w:rsid w:val="004D022C"/>
    <w:rsid w:val="004D2675"/>
    <w:rsid w:val="004D3490"/>
    <w:rsid w:val="004D4080"/>
    <w:rsid w:val="004D4385"/>
    <w:rsid w:val="004D51A7"/>
    <w:rsid w:val="004D5BD0"/>
    <w:rsid w:val="004E05FD"/>
    <w:rsid w:val="004E1A0D"/>
    <w:rsid w:val="004E1AAC"/>
    <w:rsid w:val="004E23F5"/>
    <w:rsid w:val="004E5418"/>
    <w:rsid w:val="004E63E5"/>
    <w:rsid w:val="004E6961"/>
    <w:rsid w:val="004E6A47"/>
    <w:rsid w:val="004E6B76"/>
    <w:rsid w:val="004E77BC"/>
    <w:rsid w:val="004F1437"/>
    <w:rsid w:val="004F3540"/>
    <w:rsid w:val="004F39FC"/>
    <w:rsid w:val="004F4E46"/>
    <w:rsid w:val="004F4FE2"/>
    <w:rsid w:val="004F514D"/>
    <w:rsid w:val="004F52DB"/>
    <w:rsid w:val="004F5624"/>
    <w:rsid w:val="004F5671"/>
    <w:rsid w:val="004F5DA4"/>
    <w:rsid w:val="004F62B2"/>
    <w:rsid w:val="004F6424"/>
    <w:rsid w:val="004F6C83"/>
    <w:rsid w:val="004F7A12"/>
    <w:rsid w:val="005009F8"/>
    <w:rsid w:val="00500C47"/>
    <w:rsid w:val="0050192B"/>
    <w:rsid w:val="00501C05"/>
    <w:rsid w:val="00501F51"/>
    <w:rsid w:val="00501FFB"/>
    <w:rsid w:val="005024CC"/>
    <w:rsid w:val="005040CD"/>
    <w:rsid w:val="00504229"/>
    <w:rsid w:val="0050453D"/>
    <w:rsid w:val="00505229"/>
    <w:rsid w:val="00505D7C"/>
    <w:rsid w:val="00507F98"/>
    <w:rsid w:val="005108A3"/>
    <w:rsid w:val="00510DB5"/>
    <w:rsid w:val="00510F6E"/>
    <w:rsid w:val="00511422"/>
    <w:rsid w:val="005118AE"/>
    <w:rsid w:val="0051212F"/>
    <w:rsid w:val="005126C5"/>
    <w:rsid w:val="00513289"/>
    <w:rsid w:val="0051340F"/>
    <w:rsid w:val="0051382C"/>
    <w:rsid w:val="005148FD"/>
    <w:rsid w:val="00514BEF"/>
    <w:rsid w:val="0051587A"/>
    <w:rsid w:val="005158FA"/>
    <w:rsid w:val="005169AD"/>
    <w:rsid w:val="00516D12"/>
    <w:rsid w:val="00517E49"/>
    <w:rsid w:val="00520349"/>
    <w:rsid w:val="005208B9"/>
    <w:rsid w:val="005221F0"/>
    <w:rsid w:val="00522259"/>
    <w:rsid w:val="00524807"/>
    <w:rsid w:val="005252FE"/>
    <w:rsid w:val="005257A1"/>
    <w:rsid w:val="00525FF9"/>
    <w:rsid w:val="00526CAA"/>
    <w:rsid w:val="00527636"/>
    <w:rsid w:val="00532C41"/>
    <w:rsid w:val="00532D3F"/>
    <w:rsid w:val="00533366"/>
    <w:rsid w:val="0053386D"/>
    <w:rsid w:val="00533A9D"/>
    <w:rsid w:val="00534363"/>
    <w:rsid w:val="00534700"/>
    <w:rsid w:val="00534FCC"/>
    <w:rsid w:val="00535519"/>
    <w:rsid w:val="00536A6B"/>
    <w:rsid w:val="0053791F"/>
    <w:rsid w:val="00540E1C"/>
    <w:rsid w:val="00542316"/>
    <w:rsid w:val="005425D4"/>
    <w:rsid w:val="0054375A"/>
    <w:rsid w:val="005448F7"/>
    <w:rsid w:val="00544D41"/>
    <w:rsid w:val="005460D3"/>
    <w:rsid w:val="00546622"/>
    <w:rsid w:val="005468EC"/>
    <w:rsid w:val="0054700D"/>
    <w:rsid w:val="00547538"/>
    <w:rsid w:val="00550D8B"/>
    <w:rsid w:val="00553BFA"/>
    <w:rsid w:val="005542E3"/>
    <w:rsid w:val="005547AA"/>
    <w:rsid w:val="00554D05"/>
    <w:rsid w:val="0055596B"/>
    <w:rsid w:val="00555BC9"/>
    <w:rsid w:val="00556858"/>
    <w:rsid w:val="005574AA"/>
    <w:rsid w:val="005578E9"/>
    <w:rsid w:val="0056077E"/>
    <w:rsid w:val="00560EDA"/>
    <w:rsid w:val="0056157F"/>
    <w:rsid w:val="005629EE"/>
    <w:rsid w:val="005630D2"/>
    <w:rsid w:val="005648FA"/>
    <w:rsid w:val="00564D01"/>
    <w:rsid w:val="00564D50"/>
    <w:rsid w:val="00564DC9"/>
    <w:rsid w:val="00565B08"/>
    <w:rsid w:val="00565DE8"/>
    <w:rsid w:val="00567346"/>
    <w:rsid w:val="00567FDE"/>
    <w:rsid w:val="00570009"/>
    <w:rsid w:val="005706E0"/>
    <w:rsid w:val="0057371B"/>
    <w:rsid w:val="00574675"/>
    <w:rsid w:val="00575EB8"/>
    <w:rsid w:val="005760F6"/>
    <w:rsid w:val="0057613A"/>
    <w:rsid w:val="0057742E"/>
    <w:rsid w:val="00577A21"/>
    <w:rsid w:val="005812DA"/>
    <w:rsid w:val="00582A9B"/>
    <w:rsid w:val="00582D6F"/>
    <w:rsid w:val="00582FF2"/>
    <w:rsid w:val="005832AB"/>
    <w:rsid w:val="0058437C"/>
    <w:rsid w:val="005852D9"/>
    <w:rsid w:val="0058599E"/>
    <w:rsid w:val="00586F90"/>
    <w:rsid w:val="00587463"/>
    <w:rsid w:val="00587519"/>
    <w:rsid w:val="00590847"/>
    <w:rsid w:val="00591A4A"/>
    <w:rsid w:val="005926D3"/>
    <w:rsid w:val="005935F4"/>
    <w:rsid w:val="00593E0A"/>
    <w:rsid w:val="00596B6F"/>
    <w:rsid w:val="005971B0"/>
    <w:rsid w:val="005A167F"/>
    <w:rsid w:val="005A2029"/>
    <w:rsid w:val="005A346E"/>
    <w:rsid w:val="005A54D3"/>
    <w:rsid w:val="005A73CF"/>
    <w:rsid w:val="005B2BAE"/>
    <w:rsid w:val="005B3EB1"/>
    <w:rsid w:val="005B3F6F"/>
    <w:rsid w:val="005B4202"/>
    <w:rsid w:val="005B4A7A"/>
    <w:rsid w:val="005B56CB"/>
    <w:rsid w:val="005B798B"/>
    <w:rsid w:val="005C0AB0"/>
    <w:rsid w:val="005C1A7F"/>
    <w:rsid w:val="005C1FAE"/>
    <w:rsid w:val="005C39E8"/>
    <w:rsid w:val="005C4D46"/>
    <w:rsid w:val="005C508F"/>
    <w:rsid w:val="005C5660"/>
    <w:rsid w:val="005C6B23"/>
    <w:rsid w:val="005C71E4"/>
    <w:rsid w:val="005C72E3"/>
    <w:rsid w:val="005D11B2"/>
    <w:rsid w:val="005D448C"/>
    <w:rsid w:val="005D4B68"/>
    <w:rsid w:val="005D5131"/>
    <w:rsid w:val="005D6DD0"/>
    <w:rsid w:val="005E02F8"/>
    <w:rsid w:val="005E11C1"/>
    <w:rsid w:val="005E1F50"/>
    <w:rsid w:val="005E2563"/>
    <w:rsid w:val="005E27E1"/>
    <w:rsid w:val="005E394C"/>
    <w:rsid w:val="005E3E53"/>
    <w:rsid w:val="005E42BF"/>
    <w:rsid w:val="005E4E70"/>
    <w:rsid w:val="005E58D7"/>
    <w:rsid w:val="005E59EA"/>
    <w:rsid w:val="005E6056"/>
    <w:rsid w:val="005E647C"/>
    <w:rsid w:val="005E65BB"/>
    <w:rsid w:val="005E77DA"/>
    <w:rsid w:val="005F0DA0"/>
    <w:rsid w:val="005F1F5A"/>
    <w:rsid w:val="005F2767"/>
    <w:rsid w:val="005F2856"/>
    <w:rsid w:val="005F34CB"/>
    <w:rsid w:val="005F3ABB"/>
    <w:rsid w:val="005F3EA4"/>
    <w:rsid w:val="005F4790"/>
    <w:rsid w:val="005F4914"/>
    <w:rsid w:val="005F5C14"/>
    <w:rsid w:val="005F615A"/>
    <w:rsid w:val="005F62B7"/>
    <w:rsid w:val="005F67FC"/>
    <w:rsid w:val="005F6869"/>
    <w:rsid w:val="005F6BB9"/>
    <w:rsid w:val="005F71E8"/>
    <w:rsid w:val="0060037F"/>
    <w:rsid w:val="00601166"/>
    <w:rsid w:val="00601CD5"/>
    <w:rsid w:val="00603148"/>
    <w:rsid w:val="00603237"/>
    <w:rsid w:val="00604FCA"/>
    <w:rsid w:val="00606BD9"/>
    <w:rsid w:val="00606C43"/>
    <w:rsid w:val="00606FC7"/>
    <w:rsid w:val="00610456"/>
    <w:rsid w:val="00610562"/>
    <w:rsid w:val="00611473"/>
    <w:rsid w:val="00611743"/>
    <w:rsid w:val="00611B36"/>
    <w:rsid w:val="00612F38"/>
    <w:rsid w:val="00613A34"/>
    <w:rsid w:val="00613EC0"/>
    <w:rsid w:val="0061530A"/>
    <w:rsid w:val="006155FF"/>
    <w:rsid w:val="00615ADA"/>
    <w:rsid w:val="00615CB2"/>
    <w:rsid w:val="0062164A"/>
    <w:rsid w:val="006221CD"/>
    <w:rsid w:val="00622220"/>
    <w:rsid w:val="00623542"/>
    <w:rsid w:val="00625627"/>
    <w:rsid w:val="00625BA9"/>
    <w:rsid w:val="006266A9"/>
    <w:rsid w:val="00627868"/>
    <w:rsid w:val="00627C73"/>
    <w:rsid w:val="00630426"/>
    <w:rsid w:val="006309E3"/>
    <w:rsid w:val="006316C1"/>
    <w:rsid w:val="00631ED4"/>
    <w:rsid w:val="00632CA8"/>
    <w:rsid w:val="00633BC7"/>
    <w:rsid w:val="00634B6B"/>
    <w:rsid w:val="00635AC7"/>
    <w:rsid w:val="00635E9C"/>
    <w:rsid w:val="00637020"/>
    <w:rsid w:val="0063753F"/>
    <w:rsid w:val="00637640"/>
    <w:rsid w:val="006376A8"/>
    <w:rsid w:val="00637B41"/>
    <w:rsid w:val="006410A4"/>
    <w:rsid w:val="006414EE"/>
    <w:rsid w:val="0064179E"/>
    <w:rsid w:val="00641B1E"/>
    <w:rsid w:val="00642524"/>
    <w:rsid w:val="00642D0A"/>
    <w:rsid w:val="00645D47"/>
    <w:rsid w:val="00646097"/>
    <w:rsid w:val="0064630E"/>
    <w:rsid w:val="00646D0A"/>
    <w:rsid w:val="00646FE1"/>
    <w:rsid w:val="00647075"/>
    <w:rsid w:val="0065108A"/>
    <w:rsid w:val="00651406"/>
    <w:rsid w:val="00653D54"/>
    <w:rsid w:val="006547E3"/>
    <w:rsid w:val="0065581D"/>
    <w:rsid w:val="00655C2F"/>
    <w:rsid w:val="00660403"/>
    <w:rsid w:val="00661140"/>
    <w:rsid w:val="0066173A"/>
    <w:rsid w:val="00661DBA"/>
    <w:rsid w:val="006658F1"/>
    <w:rsid w:val="00665DDB"/>
    <w:rsid w:val="006710DD"/>
    <w:rsid w:val="00671FC9"/>
    <w:rsid w:val="00672DAD"/>
    <w:rsid w:val="00673200"/>
    <w:rsid w:val="006742B5"/>
    <w:rsid w:val="00674492"/>
    <w:rsid w:val="0067501E"/>
    <w:rsid w:val="006754F6"/>
    <w:rsid w:val="006773D2"/>
    <w:rsid w:val="00677DF3"/>
    <w:rsid w:val="00680581"/>
    <w:rsid w:val="00680A56"/>
    <w:rsid w:val="00680AF3"/>
    <w:rsid w:val="006813DE"/>
    <w:rsid w:val="00681A41"/>
    <w:rsid w:val="00682104"/>
    <w:rsid w:val="00682128"/>
    <w:rsid w:val="006821B2"/>
    <w:rsid w:val="006838C0"/>
    <w:rsid w:val="00685856"/>
    <w:rsid w:val="00685901"/>
    <w:rsid w:val="00685BB9"/>
    <w:rsid w:val="0068691E"/>
    <w:rsid w:val="00687E06"/>
    <w:rsid w:val="00690127"/>
    <w:rsid w:val="00691BD8"/>
    <w:rsid w:val="00691BFF"/>
    <w:rsid w:val="006924AF"/>
    <w:rsid w:val="00692B83"/>
    <w:rsid w:val="00694793"/>
    <w:rsid w:val="0069489B"/>
    <w:rsid w:val="006953C1"/>
    <w:rsid w:val="006962F2"/>
    <w:rsid w:val="006969BD"/>
    <w:rsid w:val="00696B80"/>
    <w:rsid w:val="00696EB2"/>
    <w:rsid w:val="0069741A"/>
    <w:rsid w:val="006A0153"/>
    <w:rsid w:val="006A0DEA"/>
    <w:rsid w:val="006A0F2E"/>
    <w:rsid w:val="006A15D9"/>
    <w:rsid w:val="006A16E9"/>
    <w:rsid w:val="006A3719"/>
    <w:rsid w:val="006A5450"/>
    <w:rsid w:val="006A7B6E"/>
    <w:rsid w:val="006A7D6E"/>
    <w:rsid w:val="006B0199"/>
    <w:rsid w:val="006B0A32"/>
    <w:rsid w:val="006B0BD8"/>
    <w:rsid w:val="006B2615"/>
    <w:rsid w:val="006B4557"/>
    <w:rsid w:val="006B6485"/>
    <w:rsid w:val="006B6A53"/>
    <w:rsid w:val="006B70CD"/>
    <w:rsid w:val="006C0251"/>
    <w:rsid w:val="006C0320"/>
    <w:rsid w:val="006C0F37"/>
    <w:rsid w:val="006C1AFF"/>
    <w:rsid w:val="006C2B9A"/>
    <w:rsid w:val="006C31E1"/>
    <w:rsid w:val="006C39BB"/>
    <w:rsid w:val="006C4502"/>
    <w:rsid w:val="006C45A3"/>
    <w:rsid w:val="006C4683"/>
    <w:rsid w:val="006C5D6C"/>
    <w:rsid w:val="006C6114"/>
    <w:rsid w:val="006C6338"/>
    <w:rsid w:val="006C78C2"/>
    <w:rsid w:val="006D1220"/>
    <w:rsid w:val="006D1950"/>
    <w:rsid w:val="006D2288"/>
    <w:rsid w:val="006D2EA4"/>
    <w:rsid w:val="006D306A"/>
    <w:rsid w:val="006D3BDF"/>
    <w:rsid w:val="006D4464"/>
    <w:rsid w:val="006D4A08"/>
    <w:rsid w:val="006D5E91"/>
    <w:rsid w:val="006D6AEB"/>
    <w:rsid w:val="006D70FB"/>
    <w:rsid w:val="006D7391"/>
    <w:rsid w:val="006D7B78"/>
    <w:rsid w:val="006D7E87"/>
    <w:rsid w:val="006E112C"/>
    <w:rsid w:val="006E14E6"/>
    <w:rsid w:val="006E1AEE"/>
    <w:rsid w:val="006E1C27"/>
    <w:rsid w:val="006E2F52"/>
    <w:rsid w:val="006E32A9"/>
    <w:rsid w:val="006E3860"/>
    <w:rsid w:val="006E3B9C"/>
    <w:rsid w:val="006E4ABE"/>
    <w:rsid w:val="006E51A2"/>
    <w:rsid w:val="006E56EC"/>
    <w:rsid w:val="006F01F8"/>
    <w:rsid w:val="006F06C3"/>
    <w:rsid w:val="006F0DE2"/>
    <w:rsid w:val="006F11BD"/>
    <w:rsid w:val="006F1B5A"/>
    <w:rsid w:val="006F25B4"/>
    <w:rsid w:val="006F2C74"/>
    <w:rsid w:val="006F32C7"/>
    <w:rsid w:val="006F3392"/>
    <w:rsid w:val="006F3495"/>
    <w:rsid w:val="006F417D"/>
    <w:rsid w:val="006F460B"/>
    <w:rsid w:val="006F5C83"/>
    <w:rsid w:val="006F61C7"/>
    <w:rsid w:val="006F6366"/>
    <w:rsid w:val="006F67CC"/>
    <w:rsid w:val="006F69D2"/>
    <w:rsid w:val="006F6B89"/>
    <w:rsid w:val="006F70EC"/>
    <w:rsid w:val="00701C2D"/>
    <w:rsid w:val="00702162"/>
    <w:rsid w:val="00703248"/>
    <w:rsid w:val="00703930"/>
    <w:rsid w:val="0070610E"/>
    <w:rsid w:val="0070654A"/>
    <w:rsid w:val="00707759"/>
    <w:rsid w:val="00710081"/>
    <w:rsid w:val="00710A8A"/>
    <w:rsid w:val="00710B0D"/>
    <w:rsid w:val="0071119B"/>
    <w:rsid w:val="00713CB5"/>
    <w:rsid w:val="00714662"/>
    <w:rsid w:val="00714E3F"/>
    <w:rsid w:val="0071558B"/>
    <w:rsid w:val="00716BF2"/>
    <w:rsid w:val="00716D66"/>
    <w:rsid w:val="0071776A"/>
    <w:rsid w:val="007178D8"/>
    <w:rsid w:val="00721189"/>
    <w:rsid w:val="007221C3"/>
    <w:rsid w:val="007227E4"/>
    <w:rsid w:val="00722F2C"/>
    <w:rsid w:val="0072376D"/>
    <w:rsid w:val="007254D1"/>
    <w:rsid w:val="00725B32"/>
    <w:rsid w:val="00725B3C"/>
    <w:rsid w:val="0072783D"/>
    <w:rsid w:val="00730E01"/>
    <w:rsid w:val="00732FD7"/>
    <w:rsid w:val="0073354E"/>
    <w:rsid w:val="007336DA"/>
    <w:rsid w:val="007337EF"/>
    <w:rsid w:val="00733D54"/>
    <w:rsid w:val="00733F01"/>
    <w:rsid w:val="00734134"/>
    <w:rsid w:val="00734796"/>
    <w:rsid w:val="00734920"/>
    <w:rsid w:val="00734CEE"/>
    <w:rsid w:val="00735BCB"/>
    <w:rsid w:val="00736A4F"/>
    <w:rsid w:val="00737753"/>
    <w:rsid w:val="00737768"/>
    <w:rsid w:val="00737FFA"/>
    <w:rsid w:val="00740BB8"/>
    <w:rsid w:val="00740CE9"/>
    <w:rsid w:val="007413F4"/>
    <w:rsid w:val="0074151A"/>
    <w:rsid w:val="007428E3"/>
    <w:rsid w:val="007428E9"/>
    <w:rsid w:val="00743848"/>
    <w:rsid w:val="0074394E"/>
    <w:rsid w:val="00743CCF"/>
    <w:rsid w:val="0074422D"/>
    <w:rsid w:val="0074558F"/>
    <w:rsid w:val="00750253"/>
    <w:rsid w:val="00750BE1"/>
    <w:rsid w:val="00750D0A"/>
    <w:rsid w:val="00751D93"/>
    <w:rsid w:val="00752300"/>
    <w:rsid w:val="0075300C"/>
    <w:rsid w:val="00753BF5"/>
    <w:rsid w:val="007546F8"/>
    <w:rsid w:val="0075579B"/>
    <w:rsid w:val="00755BAB"/>
    <w:rsid w:val="00757EA6"/>
    <w:rsid w:val="00760114"/>
    <w:rsid w:val="00760445"/>
    <w:rsid w:val="0076080E"/>
    <w:rsid w:val="007609EF"/>
    <w:rsid w:val="00763714"/>
    <w:rsid w:val="0076411D"/>
    <w:rsid w:val="0076522F"/>
    <w:rsid w:val="00766469"/>
    <w:rsid w:val="007670F8"/>
    <w:rsid w:val="0076716F"/>
    <w:rsid w:val="007671D4"/>
    <w:rsid w:val="00767A60"/>
    <w:rsid w:val="0077081C"/>
    <w:rsid w:val="00770A85"/>
    <w:rsid w:val="00770AD8"/>
    <w:rsid w:val="0077134B"/>
    <w:rsid w:val="007719AB"/>
    <w:rsid w:val="007729C8"/>
    <w:rsid w:val="007729E0"/>
    <w:rsid w:val="00772D6E"/>
    <w:rsid w:val="00773DC9"/>
    <w:rsid w:val="0077572E"/>
    <w:rsid w:val="00777BE4"/>
    <w:rsid w:val="0078031B"/>
    <w:rsid w:val="007827BF"/>
    <w:rsid w:val="0078325E"/>
    <w:rsid w:val="00784F44"/>
    <w:rsid w:val="0078571D"/>
    <w:rsid w:val="00785A9A"/>
    <w:rsid w:val="00786672"/>
    <w:rsid w:val="007870BF"/>
    <w:rsid w:val="007872CF"/>
    <w:rsid w:val="00787796"/>
    <w:rsid w:val="00790BE8"/>
    <w:rsid w:val="0079201C"/>
    <w:rsid w:val="0079307F"/>
    <w:rsid w:val="0079345C"/>
    <w:rsid w:val="007940C5"/>
    <w:rsid w:val="007947C4"/>
    <w:rsid w:val="00795812"/>
    <w:rsid w:val="00795CE1"/>
    <w:rsid w:val="00795F2E"/>
    <w:rsid w:val="00796583"/>
    <w:rsid w:val="00796DAD"/>
    <w:rsid w:val="007A01B5"/>
    <w:rsid w:val="007A0646"/>
    <w:rsid w:val="007A06AC"/>
    <w:rsid w:val="007A1B2F"/>
    <w:rsid w:val="007A45F0"/>
    <w:rsid w:val="007A4636"/>
    <w:rsid w:val="007A5719"/>
    <w:rsid w:val="007A7377"/>
    <w:rsid w:val="007A73E5"/>
    <w:rsid w:val="007B0A6A"/>
    <w:rsid w:val="007B1014"/>
    <w:rsid w:val="007B103F"/>
    <w:rsid w:val="007B1484"/>
    <w:rsid w:val="007B1A10"/>
    <w:rsid w:val="007B28FF"/>
    <w:rsid w:val="007B31AB"/>
    <w:rsid w:val="007B3213"/>
    <w:rsid w:val="007B3268"/>
    <w:rsid w:val="007B37F1"/>
    <w:rsid w:val="007B3C5F"/>
    <w:rsid w:val="007B42D3"/>
    <w:rsid w:val="007B46D9"/>
    <w:rsid w:val="007B5E69"/>
    <w:rsid w:val="007B6659"/>
    <w:rsid w:val="007B6C39"/>
    <w:rsid w:val="007B76AB"/>
    <w:rsid w:val="007B7820"/>
    <w:rsid w:val="007B7CF0"/>
    <w:rsid w:val="007B7DBD"/>
    <w:rsid w:val="007C09EA"/>
    <w:rsid w:val="007C264B"/>
    <w:rsid w:val="007C42AB"/>
    <w:rsid w:val="007C45D3"/>
    <w:rsid w:val="007C4A2C"/>
    <w:rsid w:val="007C4D4F"/>
    <w:rsid w:val="007C5770"/>
    <w:rsid w:val="007C597B"/>
    <w:rsid w:val="007C5F84"/>
    <w:rsid w:val="007C6A7C"/>
    <w:rsid w:val="007C760C"/>
    <w:rsid w:val="007D08FD"/>
    <w:rsid w:val="007D1584"/>
    <w:rsid w:val="007D2044"/>
    <w:rsid w:val="007D2413"/>
    <w:rsid w:val="007D4F33"/>
    <w:rsid w:val="007D554B"/>
    <w:rsid w:val="007D65C7"/>
    <w:rsid w:val="007D6D53"/>
    <w:rsid w:val="007D74D2"/>
    <w:rsid w:val="007D79B5"/>
    <w:rsid w:val="007E1ABD"/>
    <w:rsid w:val="007E2334"/>
    <w:rsid w:val="007E23CE"/>
    <w:rsid w:val="007E2CE7"/>
    <w:rsid w:val="007E3A0B"/>
    <w:rsid w:val="007E43D0"/>
    <w:rsid w:val="007E4F00"/>
    <w:rsid w:val="007E54F8"/>
    <w:rsid w:val="007E5987"/>
    <w:rsid w:val="007E5BD8"/>
    <w:rsid w:val="007E5CB0"/>
    <w:rsid w:val="007E786C"/>
    <w:rsid w:val="007E7BF9"/>
    <w:rsid w:val="007F01CD"/>
    <w:rsid w:val="007F02BC"/>
    <w:rsid w:val="007F1D17"/>
    <w:rsid w:val="007F20D7"/>
    <w:rsid w:val="007F2865"/>
    <w:rsid w:val="007F2E65"/>
    <w:rsid w:val="007F3A72"/>
    <w:rsid w:val="007F43BA"/>
    <w:rsid w:val="007F45D1"/>
    <w:rsid w:val="007F5AA8"/>
    <w:rsid w:val="007F64BE"/>
    <w:rsid w:val="007F6DC3"/>
    <w:rsid w:val="007F7030"/>
    <w:rsid w:val="008006B4"/>
    <w:rsid w:val="008015B6"/>
    <w:rsid w:val="008027BE"/>
    <w:rsid w:val="00802E4D"/>
    <w:rsid w:val="008037C8"/>
    <w:rsid w:val="00803FD4"/>
    <w:rsid w:val="0080481C"/>
    <w:rsid w:val="00804898"/>
    <w:rsid w:val="00804C54"/>
    <w:rsid w:val="00804EA6"/>
    <w:rsid w:val="008050B1"/>
    <w:rsid w:val="008056DD"/>
    <w:rsid w:val="00810AD6"/>
    <w:rsid w:val="0081104C"/>
    <w:rsid w:val="008111D7"/>
    <w:rsid w:val="008121F2"/>
    <w:rsid w:val="00812D16"/>
    <w:rsid w:val="00813397"/>
    <w:rsid w:val="00815767"/>
    <w:rsid w:val="008157CF"/>
    <w:rsid w:val="00816C51"/>
    <w:rsid w:val="00821865"/>
    <w:rsid w:val="00821D45"/>
    <w:rsid w:val="008225EB"/>
    <w:rsid w:val="0082327D"/>
    <w:rsid w:val="0082433D"/>
    <w:rsid w:val="008260C1"/>
    <w:rsid w:val="00826509"/>
    <w:rsid w:val="00827EEE"/>
    <w:rsid w:val="008305DE"/>
    <w:rsid w:val="00830DEB"/>
    <w:rsid w:val="008331DB"/>
    <w:rsid w:val="0083354D"/>
    <w:rsid w:val="00834DD3"/>
    <w:rsid w:val="0083561B"/>
    <w:rsid w:val="00835777"/>
    <w:rsid w:val="00835BAA"/>
    <w:rsid w:val="00837114"/>
    <w:rsid w:val="00837D78"/>
    <w:rsid w:val="00840D79"/>
    <w:rsid w:val="00841351"/>
    <w:rsid w:val="0084177F"/>
    <w:rsid w:val="00841B6E"/>
    <w:rsid w:val="00842939"/>
    <w:rsid w:val="00842A21"/>
    <w:rsid w:val="00843691"/>
    <w:rsid w:val="00845DAD"/>
    <w:rsid w:val="00846827"/>
    <w:rsid w:val="00847FAF"/>
    <w:rsid w:val="00847FCE"/>
    <w:rsid w:val="008507E6"/>
    <w:rsid w:val="00851377"/>
    <w:rsid w:val="00851E3C"/>
    <w:rsid w:val="008520BE"/>
    <w:rsid w:val="0085437C"/>
    <w:rsid w:val="00854B2F"/>
    <w:rsid w:val="00855481"/>
    <w:rsid w:val="0085554F"/>
    <w:rsid w:val="00856354"/>
    <w:rsid w:val="008568E1"/>
    <w:rsid w:val="00856BE9"/>
    <w:rsid w:val="00857577"/>
    <w:rsid w:val="008578F8"/>
    <w:rsid w:val="00857A2E"/>
    <w:rsid w:val="00860566"/>
    <w:rsid w:val="008607F2"/>
    <w:rsid w:val="00860DEB"/>
    <w:rsid w:val="00860F64"/>
    <w:rsid w:val="0086129A"/>
    <w:rsid w:val="0086165C"/>
    <w:rsid w:val="00861AB7"/>
    <w:rsid w:val="00861B26"/>
    <w:rsid w:val="00862EED"/>
    <w:rsid w:val="0086347E"/>
    <w:rsid w:val="00863A6B"/>
    <w:rsid w:val="008643FC"/>
    <w:rsid w:val="008644F9"/>
    <w:rsid w:val="008649B9"/>
    <w:rsid w:val="00864F22"/>
    <w:rsid w:val="00864FDB"/>
    <w:rsid w:val="00865947"/>
    <w:rsid w:val="008660FB"/>
    <w:rsid w:val="0086784F"/>
    <w:rsid w:val="00867CC0"/>
    <w:rsid w:val="00870394"/>
    <w:rsid w:val="0087061A"/>
    <w:rsid w:val="008706D2"/>
    <w:rsid w:val="0087073B"/>
    <w:rsid w:val="008721B3"/>
    <w:rsid w:val="008724D9"/>
    <w:rsid w:val="00872D64"/>
    <w:rsid w:val="00873967"/>
    <w:rsid w:val="008743BB"/>
    <w:rsid w:val="008752AE"/>
    <w:rsid w:val="0087623D"/>
    <w:rsid w:val="008770D4"/>
    <w:rsid w:val="0087770F"/>
    <w:rsid w:val="00880048"/>
    <w:rsid w:val="008800E5"/>
    <w:rsid w:val="0088127F"/>
    <w:rsid w:val="008815EF"/>
    <w:rsid w:val="00883E1A"/>
    <w:rsid w:val="00883E93"/>
    <w:rsid w:val="00883ED5"/>
    <w:rsid w:val="00884C14"/>
    <w:rsid w:val="00885273"/>
    <w:rsid w:val="00885F2C"/>
    <w:rsid w:val="00886316"/>
    <w:rsid w:val="00886386"/>
    <w:rsid w:val="0088701C"/>
    <w:rsid w:val="00887B25"/>
    <w:rsid w:val="00890006"/>
    <w:rsid w:val="0089082A"/>
    <w:rsid w:val="00891D2A"/>
    <w:rsid w:val="00891FB3"/>
    <w:rsid w:val="00892459"/>
    <w:rsid w:val="008929AA"/>
    <w:rsid w:val="00892AA5"/>
    <w:rsid w:val="00894005"/>
    <w:rsid w:val="0089499B"/>
    <w:rsid w:val="00894ACA"/>
    <w:rsid w:val="00894EC5"/>
    <w:rsid w:val="00896357"/>
    <w:rsid w:val="00896658"/>
    <w:rsid w:val="008967B5"/>
    <w:rsid w:val="008968BF"/>
    <w:rsid w:val="00896F94"/>
    <w:rsid w:val="0089709E"/>
    <w:rsid w:val="008A03AC"/>
    <w:rsid w:val="008A1008"/>
    <w:rsid w:val="008A1B26"/>
    <w:rsid w:val="008A305C"/>
    <w:rsid w:val="008A345A"/>
    <w:rsid w:val="008A3DB9"/>
    <w:rsid w:val="008A46EB"/>
    <w:rsid w:val="008A540E"/>
    <w:rsid w:val="008A5B94"/>
    <w:rsid w:val="008A6711"/>
    <w:rsid w:val="008A6A5C"/>
    <w:rsid w:val="008A7316"/>
    <w:rsid w:val="008B0BB5"/>
    <w:rsid w:val="008B0E9E"/>
    <w:rsid w:val="008B11D4"/>
    <w:rsid w:val="008B251D"/>
    <w:rsid w:val="008B3EE8"/>
    <w:rsid w:val="008B48C5"/>
    <w:rsid w:val="008B4A1C"/>
    <w:rsid w:val="008B500A"/>
    <w:rsid w:val="008B5328"/>
    <w:rsid w:val="008B6995"/>
    <w:rsid w:val="008B6C19"/>
    <w:rsid w:val="008B70CC"/>
    <w:rsid w:val="008C090B"/>
    <w:rsid w:val="008C1610"/>
    <w:rsid w:val="008C1B17"/>
    <w:rsid w:val="008C1E45"/>
    <w:rsid w:val="008C2461"/>
    <w:rsid w:val="008C2875"/>
    <w:rsid w:val="008C2F1E"/>
    <w:rsid w:val="008C30E5"/>
    <w:rsid w:val="008C3B5B"/>
    <w:rsid w:val="008C3EC4"/>
    <w:rsid w:val="008C409F"/>
    <w:rsid w:val="008C4858"/>
    <w:rsid w:val="008C5CE9"/>
    <w:rsid w:val="008C5DA7"/>
    <w:rsid w:val="008C602D"/>
    <w:rsid w:val="008C6BCC"/>
    <w:rsid w:val="008C7C4F"/>
    <w:rsid w:val="008C7E58"/>
    <w:rsid w:val="008D013A"/>
    <w:rsid w:val="008D024C"/>
    <w:rsid w:val="008D098D"/>
    <w:rsid w:val="008D0B1B"/>
    <w:rsid w:val="008D135A"/>
    <w:rsid w:val="008D2205"/>
    <w:rsid w:val="008D2331"/>
    <w:rsid w:val="008D2414"/>
    <w:rsid w:val="008D2998"/>
    <w:rsid w:val="008D347F"/>
    <w:rsid w:val="008D3492"/>
    <w:rsid w:val="008D35AD"/>
    <w:rsid w:val="008D36CD"/>
    <w:rsid w:val="008D4380"/>
    <w:rsid w:val="008D48D1"/>
    <w:rsid w:val="008D4C54"/>
    <w:rsid w:val="008D6200"/>
    <w:rsid w:val="008D68E4"/>
    <w:rsid w:val="008D6BE8"/>
    <w:rsid w:val="008D7E60"/>
    <w:rsid w:val="008E1184"/>
    <w:rsid w:val="008E1E86"/>
    <w:rsid w:val="008E27E9"/>
    <w:rsid w:val="008E2AA2"/>
    <w:rsid w:val="008E388C"/>
    <w:rsid w:val="008E42DE"/>
    <w:rsid w:val="008E6270"/>
    <w:rsid w:val="008E6CBD"/>
    <w:rsid w:val="008E7EA6"/>
    <w:rsid w:val="008F0172"/>
    <w:rsid w:val="008F219D"/>
    <w:rsid w:val="008F2C49"/>
    <w:rsid w:val="008F36F0"/>
    <w:rsid w:val="008F49D3"/>
    <w:rsid w:val="008F66BC"/>
    <w:rsid w:val="008F6AAE"/>
    <w:rsid w:val="008F7712"/>
    <w:rsid w:val="008F7CFF"/>
    <w:rsid w:val="008F7ED1"/>
    <w:rsid w:val="009001E5"/>
    <w:rsid w:val="0090077E"/>
    <w:rsid w:val="009015ED"/>
    <w:rsid w:val="00901C8D"/>
    <w:rsid w:val="00901D03"/>
    <w:rsid w:val="00902B5B"/>
    <w:rsid w:val="00902C1E"/>
    <w:rsid w:val="0090379F"/>
    <w:rsid w:val="00904A4D"/>
    <w:rsid w:val="00905643"/>
    <w:rsid w:val="00905711"/>
    <w:rsid w:val="00905EE9"/>
    <w:rsid w:val="009065F4"/>
    <w:rsid w:val="00907391"/>
    <w:rsid w:val="009075A7"/>
    <w:rsid w:val="00907B4F"/>
    <w:rsid w:val="00907DFB"/>
    <w:rsid w:val="00910624"/>
    <w:rsid w:val="00910885"/>
    <w:rsid w:val="00910FBA"/>
    <w:rsid w:val="00911C50"/>
    <w:rsid w:val="00911D39"/>
    <w:rsid w:val="009120E4"/>
    <w:rsid w:val="0091286B"/>
    <w:rsid w:val="00912B9F"/>
    <w:rsid w:val="00914067"/>
    <w:rsid w:val="00914E0F"/>
    <w:rsid w:val="009153A5"/>
    <w:rsid w:val="00915EBB"/>
    <w:rsid w:val="0091745C"/>
    <w:rsid w:val="00917C0F"/>
    <w:rsid w:val="00920311"/>
    <w:rsid w:val="0092040E"/>
    <w:rsid w:val="00920B7C"/>
    <w:rsid w:val="00920C6C"/>
    <w:rsid w:val="00921897"/>
    <w:rsid w:val="00921C6D"/>
    <w:rsid w:val="009227D9"/>
    <w:rsid w:val="00923834"/>
    <w:rsid w:val="00923A23"/>
    <w:rsid w:val="00923C44"/>
    <w:rsid w:val="009246F9"/>
    <w:rsid w:val="00925136"/>
    <w:rsid w:val="00925814"/>
    <w:rsid w:val="009267C6"/>
    <w:rsid w:val="00926B45"/>
    <w:rsid w:val="00927791"/>
    <w:rsid w:val="00927A90"/>
    <w:rsid w:val="0093009B"/>
    <w:rsid w:val="00930607"/>
    <w:rsid w:val="00930D0A"/>
    <w:rsid w:val="009316F2"/>
    <w:rsid w:val="00931AF8"/>
    <w:rsid w:val="009329BA"/>
    <w:rsid w:val="00932E0A"/>
    <w:rsid w:val="0093304D"/>
    <w:rsid w:val="00933A5B"/>
    <w:rsid w:val="00933E78"/>
    <w:rsid w:val="00934144"/>
    <w:rsid w:val="00934E99"/>
    <w:rsid w:val="00936939"/>
    <w:rsid w:val="009400D8"/>
    <w:rsid w:val="0094053B"/>
    <w:rsid w:val="0094105B"/>
    <w:rsid w:val="00941F9A"/>
    <w:rsid w:val="00942040"/>
    <w:rsid w:val="009423EA"/>
    <w:rsid w:val="009427BD"/>
    <w:rsid w:val="00942AA9"/>
    <w:rsid w:val="00942C9F"/>
    <w:rsid w:val="00942E13"/>
    <w:rsid w:val="00943F98"/>
    <w:rsid w:val="00945631"/>
    <w:rsid w:val="00945702"/>
    <w:rsid w:val="00946154"/>
    <w:rsid w:val="00946339"/>
    <w:rsid w:val="00946FA5"/>
    <w:rsid w:val="00947549"/>
    <w:rsid w:val="00947B01"/>
    <w:rsid w:val="00947CF3"/>
    <w:rsid w:val="00950C3F"/>
    <w:rsid w:val="0095181F"/>
    <w:rsid w:val="00951C2F"/>
    <w:rsid w:val="00954A16"/>
    <w:rsid w:val="0095793C"/>
    <w:rsid w:val="00957E5F"/>
    <w:rsid w:val="00960BA2"/>
    <w:rsid w:val="00960FA6"/>
    <w:rsid w:val="0096111E"/>
    <w:rsid w:val="00961125"/>
    <w:rsid w:val="009623D8"/>
    <w:rsid w:val="00963362"/>
    <w:rsid w:val="009633EF"/>
    <w:rsid w:val="00963BD1"/>
    <w:rsid w:val="00965085"/>
    <w:rsid w:val="00965104"/>
    <w:rsid w:val="00966024"/>
    <w:rsid w:val="0096639C"/>
    <w:rsid w:val="00966442"/>
    <w:rsid w:val="00966B1F"/>
    <w:rsid w:val="009670D3"/>
    <w:rsid w:val="00970A7E"/>
    <w:rsid w:val="0097116E"/>
    <w:rsid w:val="00971212"/>
    <w:rsid w:val="00971C50"/>
    <w:rsid w:val="009730D1"/>
    <w:rsid w:val="00973EB8"/>
    <w:rsid w:val="00974335"/>
    <w:rsid w:val="00974518"/>
    <w:rsid w:val="00974B27"/>
    <w:rsid w:val="00980FE0"/>
    <w:rsid w:val="009817CD"/>
    <w:rsid w:val="00981FAD"/>
    <w:rsid w:val="00984BC1"/>
    <w:rsid w:val="00985147"/>
    <w:rsid w:val="00985F8B"/>
    <w:rsid w:val="009861D3"/>
    <w:rsid w:val="00987CDE"/>
    <w:rsid w:val="00990B70"/>
    <w:rsid w:val="00990C3B"/>
    <w:rsid w:val="00991AFB"/>
    <w:rsid w:val="00991CBD"/>
    <w:rsid w:val="009921E6"/>
    <w:rsid w:val="009928B7"/>
    <w:rsid w:val="00992F2D"/>
    <w:rsid w:val="0099321A"/>
    <w:rsid w:val="009944DB"/>
    <w:rsid w:val="009947E8"/>
    <w:rsid w:val="009960B7"/>
    <w:rsid w:val="009969C5"/>
    <w:rsid w:val="00996F08"/>
    <w:rsid w:val="009972FE"/>
    <w:rsid w:val="00997ADA"/>
    <w:rsid w:val="009A2DE0"/>
    <w:rsid w:val="009A3A56"/>
    <w:rsid w:val="009A3AA1"/>
    <w:rsid w:val="009A4D87"/>
    <w:rsid w:val="009A5AE3"/>
    <w:rsid w:val="009A75E5"/>
    <w:rsid w:val="009A7CC5"/>
    <w:rsid w:val="009B1615"/>
    <w:rsid w:val="009B1CE7"/>
    <w:rsid w:val="009B20F9"/>
    <w:rsid w:val="009B279B"/>
    <w:rsid w:val="009B2E30"/>
    <w:rsid w:val="009B43D9"/>
    <w:rsid w:val="009B536C"/>
    <w:rsid w:val="009B5C19"/>
    <w:rsid w:val="009B6496"/>
    <w:rsid w:val="009B65A0"/>
    <w:rsid w:val="009B6623"/>
    <w:rsid w:val="009C01DA"/>
    <w:rsid w:val="009C05E7"/>
    <w:rsid w:val="009C1528"/>
    <w:rsid w:val="009C1797"/>
    <w:rsid w:val="009C1EB4"/>
    <w:rsid w:val="009C20CC"/>
    <w:rsid w:val="009C28ED"/>
    <w:rsid w:val="009C2BDF"/>
    <w:rsid w:val="009C2CB1"/>
    <w:rsid w:val="009C3558"/>
    <w:rsid w:val="009C562E"/>
    <w:rsid w:val="009C5E44"/>
    <w:rsid w:val="009C697D"/>
    <w:rsid w:val="009C6E3F"/>
    <w:rsid w:val="009C74D8"/>
    <w:rsid w:val="009C7531"/>
    <w:rsid w:val="009D0711"/>
    <w:rsid w:val="009D1A82"/>
    <w:rsid w:val="009D1B86"/>
    <w:rsid w:val="009D220C"/>
    <w:rsid w:val="009D221F"/>
    <w:rsid w:val="009D25E2"/>
    <w:rsid w:val="009D3CFA"/>
    <w:rsid w:val="009D41CF"/>
    <w:rsid w:val="009D609D"/>
    <w:rsid w:val="009D61D2"/>
    <w:rsid w:val="009D63C2"/>
    <w:rsid w:val="009D69B7"/>
    <w:rsid w:val="009D6B3F"/>
    <w:rsid w:val="009D7440"/>
    <w:rsid w:val="009E06AB"/>
    <w:rsid w:val="009E09F0"/>
    <w:rsid w:val="009E137D"/>
    <w:rsid w:val="009E1596"/>
    <w:rsid w:val="009E19E8"/>
    <w:rsid w:val="009E377C"/>
    <w:rsid w:val="009E3CF4"/>
    <w:rsid w:val="009E411C"/>
    <w:rsid w:val="009E458A"/>
    <w:rsid w:val="009E5316"/>
    <w:rsid w:val="009E5D5C"/>
    <w:rsid w:val="009E5D7C"/>
    <w:rsid w:val="009E5DFC"/>
    <w:rsid w:val="009E6CA9"/>
    <w:rsid w:val="009E71CB"/>
    <w:rsid w:val="009E77B4"/>
    <w:rsid w:val="009E790D"/>
    <w:rsid w:val="009F14E6"/>
    <w:rsid w:val="009F15C2"/>
    <w:rsid w:val="009F1789"/>
    <w:rsid w:val="009F1A8F"/>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3E45"/>
    <w:rsid w:val="00A05F8E"/>
    <w:rsid w:val="00A06E6E"/>
    <w:rsid w:val="00A070B8"/>
    <w:rsid w:val="00A076F9"/>
    <w:rsid w:val="00A07773"/>
    <w:rsid w:val="00A07801"/>
    <w:rsid w:val="00A07997"/>
    <w:rsid w:val="00A07A63"/>
    <w:rsid w:val="00A07F87"/>
    <w:rsid w:val="00A11FFD"/>
    <w:rsid w:val="00A12A54"/>
    <w:rsid w:val="00A130D6"/>
    <w:rsid w:val="00A13659"/>
    <w:rsid w:val="00A1379A"/>
    <w:rsid w:val="00A1486E"/>
    <w:rsid w:val="00A1637F"/>
    <w:rsid w:val="00A166B0"/>
    <w:rsid w:val="00A17901"/>
    <w:rsid w:val="00A206ED"/>
    <w:rsid w:val="00A20806"/>
    <w:rsid w:val="00A20C7F"/>
    <w:rsid w:val="00A21D41"/>
    <w:rsid w:val="00A22DBA"/>
    <w:rsid w:val="00A23196"/>
    <w:rsid w:val="00A2329D"/>
    <w:rsid w:val="00A2490E"/>
    <w:rsid w:val="00A2496F"/>
    <w:rsid w:val="00A25442"/>
    <w:rsid w:val="00A25539"/>
    <w:rsid w:val="00A255E4"/>
    <w:rsid w:val="00A25BFF"/>
    <w:rsid w:val="00A26625"/>
    <w:rsid w:val="00A26648"/>
    <w:rsid w:val="00A26D33"/>
    <w:rsid w:val="00A26F79"/>
    <w:rsid w:val="00A272A7"/>
    <w:rsid w:val="00A27522"/>
    <w:rsid w:val="00A27F7D"/>
    <w:rsid w:val="00A3136F"/>
    <w:rsid w:val="00A34D0C"/>
    <w:rsid w:val="00A34D76"/>
    <w:rsid w:val="00A35125"/>
    <w:rsid w:val="00A354D4"/>
    <w:rsid w:val="00A35E39"/>
    <w:rsid w:val="00A365D0"/>
    <w:rsid w:val="00A375DD"/>
    <w:rsid w:val="00A402B8"/>
    <w:rsid w:val="00A4043E"/>
    <w:rsid w:val="00A41693"/>
    <w:rsid w:val="00A419B0"/>
    <w:rsid w:val="00A41ABA"/>
    <w:rsid w:val="00A437D9"/>
    <w:rsid w:val="00A43C16"/>
    <w:rsid w:val="00A443A6"/>
    <w:rsid w:val="00A44982"/>
    <w:rsid w:val="00A4548D"/>
    <w:rsid w:val="00A455AE"/>
    <w:rsid w:val="00A45A1A"/>
    <w:rsid w:val="00A45E61"/>
    <w:rsid w:val="00A467CB"/>
    <w:rsid w:val="00A47F32"/>
    <w:rsid w:val="00A50533"/>
    <w:rsid w:val="00A50ECF"/>
    <w:rsid w:val="00A51463"/>
    <w:rsid w:val="00A53220"/>
    <w:rsid w:val="00A538E6"/>
    <w:rsid w:val="00A5437D"/>
    <w:rsid w:val="00A54514"/>
    <w:rsid w:val="00A56102"/>
    <w:rsid w:val="00A56800"/>
    <w:rsid w:val="00A56D7E"/>
    <w:rsid w:val="00A57404"/>
    <w:rsid w:val="00A5747C"/>
    <w:rsid w:val="00A575BD"/>
    <w:rsid w:val="00A57D74"/>
    <w:rsid w:val="00A60949"/>
    <w:rsid w:val="00A60A11"/>
    <w:rsid w:val="00A60EEC"/>
    <w:rsid w:val="00A61838"/>
    <w:rsid w:val="00A630BA"/>
    <w:rsid w:val="00A63B83"/>
    <w:rsid w:val="00A63CBB"/>
    <w:rsid w:val="00A643C6"/>
    <w:rsid w:val="00A6572B"/>
    <w:rsid w:val="00A65BD9"/>
    <w:rsid w:val="00A66718"/>
    <w:rsid w:val="00A667AD"/>
    <w:rsid w:val="00A671EF"/>
    <w:rsid w:val="00A6764E"/>
    <w:rsid w:val="00A67B1C"/>
    <w:rsid w:val="00A7047C"/>
    <w:rsid w:val="00A7059F"/>
    <w:rsid w:val="00A70B31"/>
    <w:rsid w:val="00A710F5"/>
    <w:rsid w:val="00A71288"/>
    <w:rsid w:val="00A72109"/>
    <w:rsid w:val="00A73A74"/>
    <w:rsid w:val="00A759FE"/>
    <w:rsid w:val="00A75CF1"/>
    <w:rsid w:val="00A75DC4"/>
    <w:rsid w:val="00A75FE1"/>
    <w:rsid w:val="00A7608C"/>
    <w:rsid w:val="00A76D67"/>
    <w:rsid w:val="00A77562"/>
    <w:rsid w:val="00A776B8"/>
    <w:rsid w:val="00A81EB6"/>
    <w:rsid w:val="00A8279C"/>
    <w:rsid w:val="00A82DE9"/>
    <w:rsid w:val="00A837FE"/>
    <w:rsid w:val="00A83CCA"/>
    <w:rsid w:val="00A85357"/>
    <w:rsid w:val="00A853B2"/>
    <w:rsid w:val="00A856B8"/>
    <w:rsid w:val="00A86A99"/>
    <w:rsid w:val="00A8708A"/>
    <w:rsid w:val="00A871E5"/>
    <w:rsid w:val="00A902DD"/>
    <w:rsid w:val="00A91617"/>
    <w:rsid w:val="00A9231F"/>
    <w:rsid w:val="00A93C1C"/>
    <w:rsid w:val="00A95359"/>
    <w:rsid w:val="00A955BF"/>
    <w:rsid w:val="00A95FC4"/>
    <w:rsid w:val="00A964A3"/>
    <w:rsid w:val="00A96FA8"/>
    <w:rsid w:val="00A9770A"/>
    <w:rsid w:val="00A97D7A"/>
    <w:rsid w:val="00AA0A43"/>
    <w:rsid w:val="00AA0DD3"/>
    <w:rsid w:val="00AA1C07"/>
    <w:rsid w:val="00AA1CEE"/>
    <w:rsid w:val="00AA3688"/>
    <w:rsid w:val="00AA4006"/>
    <w:rsid w:val="00AA4031"/>
    <w:rsid w:val="00AA5887"/>
    <w:rsid w:val="00AA6FEA"/>
    <w:rsid w:val="00AB051B"/>
    <w:rsid w:val="00AB0751"/>
    <w:rsid w:val="00AB19F8"/>
    <w:rsid w:val="00AB24BD"/>
    <w:rsid w:val="00AB2A61"/>
    <w:rsid w:val="00AB3A12"/>
    <w:rsid w:val="00AB3AB5"/>
    <w:rsid w:val="00AB52FF"/>
    <w:rsid w:val="00AB535B"/>
    <w:rsid w:val="00AB563D"/>
    <w:rsid w:val="00AB5A8D"/>
    <w:rsid w:val="00AB5DF8"/>
    <w:rsid w:val="00AB6642"/>
    <w:rsid w:val="00AC087C"/>
    <w:rsid w:val="00AC1FDB"/>
    <w:rsid w:val="00AC2692"/>
    <w:rsid w:val="00AC26A9"/>
    <w:rsid w:val="00AC28CC"/>
    <w:rsid w:val="00AC2EFE"/>
    <w:rsid w:val="00AC382A"/>
    <w:rsid w:val="00AC3930"/>
    <w:rsid w:val="00AC3AB1"/>
    <w:rsid w:val="00AC3E70"/>
    <w:rsid w:val="00AC3E76"/>
    <w:rsid w:val="00AC611D"/>
    <w:rsid w:val="00AC68C6"/>
    <w:rsid w:val="00AC7612"/>
    <w:rsid w:val="00AC79C1"/>
    <w:rsid w:val="00AC7CA4"/>
    <w:rsid w:val="00AD2372"/>
    <w:rsid w:val="00AD3C05"/>
    <w:rsid w:val="00AD3FD6"/>
    <w:rsid w:val="00AD493B"/>
    <w:rsid w:val="00AD4A64"/>
    <w:rsid w:val="00AD4D4E"/>
    <w:rsid w:val="00AD511A"/>
    <w:rsid w:val="00AD598F"/>
    <w:rsid w:val="00AD5D95"/>
    <w:rsid w:val="00AD6051"/>
    <w:rsid w:val="00AD6D09"/>
    <w:rsid w:val="00AD6FB8"/>
    <w:rsid w:val="00AE076F"/>
    <w:rsid w:val="00AE07DA"/>
    <w:rsid w:val="00AE098E"/>
    <w:rsid w:val="00AE0BBA"/>
    <w:rsid w:val="00AE0FDA"/>
    <w:rsid w:val="00AE2291"/>
    <w:rsid w:val="00AE25C8"/>
    <w:rsid w:val="00AE3359"/>
    <w:rsid w:val="00AE3B99"/>
    <w:rsid w:val="00AE3E0E"/>
    <w:rsid w:val="00AE4003"/>
    <w:rsid w:val="00AE400C"/>
    <w:rsid w:val="00AE4113"/>
    <w:rsid w:val="00AE4186"/>
    <w:rsid w:val="00AE4380"/>
    <w:rsid w:val="00AE4D3F"/>
    <w:rsid w:val="00AE4FAC"/>
    <w:rsid w:val="00AE53B6"/>
    <w:rsid w:val="00AE5525"/>
    <w:rsid w:val="00AE55AD"/>
    <w:rsid w:val="00AE5633"/>
    <w:rsid w:val="00AE6198"/>
    <w:rsid w:val="00AE6381"/>
    <w:rsid w:val="00AE656F"/>
    <w:rsid w:val="00AE7558"/>
    <w:rsid w:val="00AE7A72"/>
    <w:rsid w:val="00AE7C46"/>
    <w:rsid w:val="00AE7D78"/>
    <w:rsid w:val="00AF1214"/>
    <w:rsid w:val="00AF2C1D"/>
    <w:rsid w:val="00AF344B"/>
    <w:rsid w:val="00AF41F6"/>
    <w:rsid w:val="00AF438E"/>
    <w:rsid w:val="00AF45CA"/>
    <w:rsid w:val="00AF49E6"/>
    <w:rsid w:val="00AF4EDF"/>
    <w:rsid w:val="00AF5CEE"/>
    <w:rsid w:val="00AF7506"/>
    <w:rsid w:val="00B007DD"/>
    <w:rsid w:val="00B0098A"/>
    <w:rsid w:val="00B01016"/>
    <w:rsid w:val="00B0146E"/>
    <w:rsid w:val="00B02142"/>
    <w:rsid w:val="00B02160"/>
    <w:rsid w:val="00B02572"/>
    <w:rsid w:val="00B02697"/>
    <w:rsid w:val="00B027CB"/>
    <w:rsid w:val="00B03230"/>
    <w:rsid w:val="00B0352B"/>
    <w:rsid w:val="00B04692"/>
    <w:rsid w:val="00B0492E"/>
    <w:rsid w:val="00B05E3A"/>
    <w:rsid w:val="00B073E6"/>
    <w:rsid w:val="00B074F8"/>
    <w:rsid w:val="00B07DF4"/>
    <w:rsid w:val="00B07EDC"/>
    <w:rsid w:val="00B07EE7"/>
    <w:rsid w:val="00B11704"/>
    <w:rsid w:val="00B11A3D"/>
    <w:rsid w:val="00B121B0"/>
    <w:rsid w:val="00B12764"/>
    <w:rsid w:val="00B13A0F"/>
    <w:rsid w:val="00B13B87"/>
    <w:rsid w:val="00B14A88"/>
    <w:rsid w:val="00B15511"/>
    <w:rsid w:val="00B162F6"/>
    <w:rsid w:val="00B17308"/>
    <w:rsid w:val="00B17FAB"/>
    <w:rsid w:val="00B21BE7"/>
    <w:rsid w:val="00B22C5F"/>
    <w:rsid w:val="00B23687"/>
    <w:rsid w:val="00B25705"/>
    <w:rsid w:val="00B25710"/>
    <w:rsid w:val="00B25CF8"/>
    <w:rsid w:val="00B265E3"/>
    <w:rsid w:val="00B269A5"/>
    <w:rsid w:val="00B27B03"/>
    <w:rsid w:val="00B27E58"/>
    <w:rsid w:val="00B31073"/>
    <w:rsid w:val="00B31B62"/>
    <w:rsid w:val="00B3208E"/>
    <w:rsid w:val="00B321D0"/>
    <w:rsid w:val="00B33711"/>
    <w:rsid w:val="00B347E5"/>
    <w:rsid w:val="00B34889"/>
    <w:rsid w:val="00B34FB8"/>
    <w:rsid w:val="00B36B37"/>
    <w:rsid w:val="00B37550"/>
    <w:rsid w:val="00B3779E"/>
    <w:rsid w:val="00B402C6"/>
    <w:rsid w:val="00B409A4"/>
    <w:rsid w:val="00B41DC1"/>
    <w:rsid w:val="00B429EB"/>
    <w:rsid w:val="00B42F69"/>
    <w:rsid w:val="00B43644"/>
    <w:rsid w:val="00B44B01"/>
    <w:rsid w:val="00B46AAB"/>
    <w:rsid w:val="00B46EC7"/>
    <w:rsid w:val="00B46F68"/>
    <w:rsid w:val="00B47372"/>
    <w:rsid w:val="00B473ED"/>
    <w:rsid w:val="00B477B4"/>
    <w:rsid w:val="00B50A91"/>
    <w:rsid w:val="00B5160B"/>
    <w:rsid w:val="00B51761"/>
    <w:rsid w:val="00B51871"/>
    <w:rsid w:val="00B52022"/>
    <w:rsid w:val="00B52187"/>
    <w:rsid w:val="00B52499"/>
    <w:rsid w:val="00B5337C"/>
    <w:rsid w:val="00B54691"/>
    <w:rsid w:val="00B5606E"/>
    <w:rsid w:val="00B608FE"/>
    <w:rsid w:val="00B60CCD"/>
    <w:rsid w:val="00B61B49"/>
    <w:rsid w:val="00B6202A"/>
    <w:rsid w:val="00B62854"/>
    <w:rsid w:val="00B62EF1"/>
    <w:rsid w:val="00B63D67"/>
    <w:rsid w:val="00B63ECA"/>
    <w:rsid w:val="00B640CC"/>
    <w:rsid w:val="00B645B6"/>
    <w:rsid w:val="00B64B2F"/>
    <w:rsid w:val="00B64EE7"/>
    <w:rsid w:val="00B667BF"/>
    <w:rsid w:val="00B67459"/>
    <w:rsid w:val="00B674D6"/>
    <w:rsid w:val="00B6797D"/>
    <w:rsid w:val="00B67EDE"/>
    <w:rsid w:val="00B7227A"/>
    <w:rsid w:val="00B7245B"/>
    <w:rsid w:val="00B735B8"/>
    <w:rsid w:val="00B73F56"/>
    <w:rsid w:val="00B74858"/>
    <w:rsid w:val="00B752EB"/>
    <w:rsid w:val="00B757E2"/>
    <w:rsid w:val="00B75800"/>
    <w:rsid w:val="00B765C3"/>
    <w:rsid w:val="00B77BE4"/>
    <w:rsid w:val="00B812BE"/>
    <w:rsid w:val="00B813D5"/>
    <w:rsid w:val="00B8258D"/>
    <w:rsid w:val="00B825B4"/>
    <w:rsid w:val="00B82602"/>
    <w:rsid w:val="00B826A1"/>
    <w:rsid w:val="00B83256"/>
    <w:rsid w:val="00B83CF3"/>
    <w:rsid w:val="00B83EBA"/>
    <w:rsid w:val="00B849AB"/>
    <w:rsid w:val="00B84E7E"/>
    <w:rsid w:val="00B854D0"/>
    <w:rsid w:val="00B86608"/>
    <w:rsid w:val="00B8688C"/>
    <w:rsid w:val="00B87847"/>
    <w:rsid w:val="00B87BEE"/>
    <w:rsid w:val="00B90477"/>
    <w:rsid w:val="00B929D4"/>
    <w:rsid w:val="00B92AA5"/>
    <w:rsid w:val="00B93904"/>
    <w:rsid w:val="00B939A8"/>
    <w:rsid w:val="00B9433B"/>
    <w:rsid w:val="00B955FE"/>
    <w:rsid w:val="00B956B6"/>
    <w:rsid w:val="00B9656C"/>
    <w:rsid w:val="00B96744"/>
    <w:rsid w:val="00B96A83"/>
    <w:rsid w:val="00BA08D2"/>
    <w:rsid w:val="00BA0B9F"/>
    <w:rsid w:val="00BA0D2A"/>
    <w:rsid w:val="00BA2626"/>
    <w:rsid w:val="00BA288C"/>
    <w:rsid w:val="00BA3287"/>
    <w:rsid w:val="00BA4043"/>
    <w:rsid w:val="00BA5111"/>
    <w:rsid w:val="00BA5667"/>
    <w:rsid w:val="00BA5776"/>
    <w:rsid w:val="00BA6419"/>
    <w:rsid w:val="00BA6550"/>
    <w:rsid w:val="00BA6EE5"/>
    <w:rsid w:val="00BB120D"/>
    <w:rsid w:val="00BB1B07"/>
    <w:rsid w:val="00BB1F07"/>
    <w:rsid w:val="00BB23C2"/>
    <w:rsid w:val="00BB3642"/>
    <w:rsid w:val="00BB4A3B"/>
    <w:rsid w:val="00BB4F36"/>
    <w:rsid w:val="00BB595B"/>
    <w:rsid w:val="00BB59F6"/>
    <w:rsid w:val="00BB5EF0"/>
    <w:rsid w:val="00BB66AB"/>
    <w:rsid w:val="00BB7AA5"/>
    <w:rsid w:val="00BB7BBA"/>
    <w:rsid w:val="00BC0AD6"/>
    <w:rsid w:val="00BC122E"/>
    <w:rsid w:val="00BC307D"/>
    <w:rsid w:val="00BC3584"/>
    <w:rsid w:val="00BC3F65"/>
    <w:rsid w:val="00BC485D"/>
    <w:rsid w:val="00BC539A"/>
    <w:rsid w:val="00BC54E8"/>
    <w:rsid w:val="00BC5838"/>
    <w:rsid w:val="00BC6681"/>
    <w:rsid w:val="00BC6DC2"/>
    <w:rsid w:val="00BC7139"/>
    <w:rsid w:val="00BD0E2E"/>
    <w:rsid w:val="00BD139B"/>
    <w:rsid w:val="00BD2A75"/>
    <w:rsid w:val="00BD66C4"/>
    <w:rsid w:val="00BE0712"/>
    <w:rsid w:val="00BE3F5B"/>
    <w:rsid w:val="00BE426E"/>
    <w:rsid w:val="00BE442D"/>
    <w:rsid w:val="00BE4ED6"/>
    <w:rsid w:val="00BE5167"/>
    <w:rsid w:val="00BE54A0"/>
    <w:rsid w:val="00BE54F3"/>
    <w:rsid w:val="00BE5F67"/>
    <w:rsid w:val="00BE6EA5"/>
    <w:rsid w:val="00BE6FA8"/>
    <w:rsid w:val="00BE756E"/>
    <w:rsid w:val="00BE77A6"/>
    <w:rsid w:val="00BE7920"/>
    <w:rsid w:val="00BF0120"/>
    <w:rsid w:val="00BF1E46"/>
    <w:rsid w:val="00BF1F30"/>
    <w:rsid w:val="00BF2A3A"/>
    <w:rsid w:val="00BF2CD1"/>
    <w:rsid w:val="00BF2E37"/>
    <w:rsid w:val="00BF4B6A"/>
    <w:rsid w:val="00BF4DA1"/>
    <w:rsid w:val="00BF5135"/>
    <w:rsid w:val="00BF532E"/>
    <w:rsid w:val="00BF6912"/>
    <w:rsid w:val="00C00312"/>
    <w:rsid w:val="00C00828"/>
    <w:rsid w:val="00C009CD"/>
    <w:rsid w:val="00C009F5"/>
    <w:rsid w:val="00C01129"/>
    <w:rsid w:val="00C01DD9"/>
    <w:rsid w:val="00C02239"/>
    <w:rsid w:val="00C022E1"/>
    <w:rsid w:val="00C0398D"/>
    <w:rsid w:val="00C05999"/>
    <w:rsid w:val="00C05BF4"/>
    <w:rsid w:val="00C05C3D"/>
    <w:rsid w:val="00C05C61"/>
    <w:rsid w:val="00C071AC"/>
    <w:rsid w:val="00C07296"/>
    <w:rsid w:val="00C07349"/>
    <w:rsid w:val="00C109A2"/>
    <w:rsid w:val="00C10FFE"/>
    <w:rsid w:val="00C11707"/>
    <w:rsid w:val="00C11E4C"/>
    <w:rsid w:val="00C11EE1"/>
    <w:rsid w:val="00C1284C"/>
    <w:rsid w:val="00C13582"/>
    <w:rsid w:val="00C146AD"/>
    <w:rsid w:val="00C14954"/>
    <w:rsid w:val="00C1517C"/>
    <w:rsid w:val="00C15E26"/>
    <w:rsid w:val="00C16363"/>
    <w:rsid w:val="00C179B0"/>
    <w:rsid w:val="00C20245"/>
    <w:rsid w:val="00C20CA6"/>
    <w:rsid w:val="00C21417"/>
    <w:rsid w:val="00C21AD6"/>
    <w:rsid w:val="00C226F9"/>
    <w:rsid w:val="00C23398"/>
    <w:rsid w:val="00C23B23"/>
    <w:rsid w:val="00C2428B"/>
    <w:rsid w:val="00C254BF"/>
    <w:rsid w:val="00C25E87"/>
    <w:rsid w:val="00C26267"/>
    <w:rsid w:val="00C26C22"/>
    <w:rsid w:val="00C27B03"/>
    <w:rsid w:val="00C306FF"/>
    <w:rsid w:val="00C3089B"/>
    <w:rsid w:val="00C30C94"/>
    <w:rsid w:val="00C30F95"/>
    <w:rsid w:val="00C30F96"/>
    <w:rsid w:val="00C3325E"/>
    <w:rsid w:val="00C340DD"/>
    <w:rsid w:val="00C34B40"/>
    <w:rsid w:val="00C35836"/>
    <w:rsid w:val="00C36D93"/>
    <w:rsid w:val="00C37BAA"/>
    <w:rsid w:val="00C37F57"/>
    <w:rsid w:val="00C417CC"/>
    <w:rsid w:val="00C41CD3"/>
    <w:rsid w:val="00C42693"/>
    <w:rsid w:val="00C426D4"/>
    <w:rsid w:val="00C429FE"/>
    <w:rsid w:val="00C43438"/>
    <w:rsid w:val="00C435A1"/>
    <w:rsid w:val="00C43C66"/>
    <w:rsid w:val="00C44264"/>
    <w:rsid w:val="00C445F4"/>
    <w:rsid w:val="00C46251"/>
    <w:rsid w:val="00C4687A"/>
    <w:rsid w:val="00C4790F"/>
    <w:rsid w:val="00C47CD7"/>
    <w:rsid w:val="00C47FC0"/>
    <w:rsid w:val="00C50436"/>
    <w:rsid w:val="00C5175E"/>
    <w:rsid w:val="00C5189F"/>
    <w:rsid w:val="00C51C95"/>
    <w:rsid w:val="00C51DEE"/>
    <w:rsid w:val="00C528CC"/>
    <w:rsid w:val="00C539E7"/>
    <w:rsid w:val="00C53ABD"/>
    <w:rsid w:val="00C53AD3"/>
    <w:rsid w:val="00C53C94"/>
    <w:rsid w:val="00C53EB9"/>
    <w:rsid w:val="00C556B6"/>
    <w:rsid w:val="00C55889"/>
    <w:rsid w:val="00C57441"/>
    <w:rsid w:val="00C57741"/>
    <w:rsid w:val="00C579EB"/>
    <w:rsid w:val="00C57A0B"/>
    <w:rsid w:val="00C6074F"/>
    <w:rsid w:val="00C62568"/>
    <w:rsid w:val="00C62899"/>
    <w:rsid w:val="00C6296C"/>
    <w:rsid w:val="00C62EC1"/>
    <w:rsid w:val="00C63BF1"/>
    <w:rsid w:val="00C63C16"/>
    <w:rsid w:val="00C64143"/>
    <w:rsid w:val="00C6434D"/>
    <w:rsid w:val="00C652E5"/>
    <w:rsid w:val="00C65967"/>
    <w:rsid w:val="00C67415"/>
    <w:rsid w:val="00C67446"/>
    <w:rsid w:val="00C70870"/>
    <w:rsid w:val="00C70962"/>
    <w:rsid w:val="00C71674"/>
    <w:rsid w:val="00C733F7"/>
    <w:rsid w:val="00C757C7"/>
    <w:rsid w:val="00C7638F"/>
    <w:rsid w:val="00C7697F"/>
    <w:rsid w:val="00C7716A"/>
    <w:rsid w:val="00C8136C"/>
    <w:rsid w:val="00C822F1"/>
    <w:rsid w:val="00C827EF"/>
    <w:rsid w:val="00C82E4D"/>
    <w:rsid w:val="00C82F25"/>
    <w:rsid w:val="00C82F7A"/>
    <w:rsid w:val="00C82FAC"/>
    <w:rsid w:val="00C82FFA"/>
    <w:rsid w:val="00C84032"/>
    <w:rsid w:val="00C84A1B"/>
    <w:rsid w:val="00C84EDE"/>
    <w:rsid w:val="00C85521"/>
    <w:rsid w:val="00C856C0"/>
    <w:rsid w:val="00C863EE"/>
    <w:rsid w:val="00C87674"/>
    <w:rsid w:val="00C9025B"/>
    <w:rsid w:val="00C90D74"/>
    <w:rsid w:val="00C91A74"/>
    <w:rsid w:val="00C92565"/>
    <w:rsid w:val="00C92646"/>
    <w:rsid w:val="00C9271F"/>
    <w:rsid w:val="00C9316A"/>
    <w:rsid w:val="00C93188"/>
    <w:rsid w:val="00C937E7"/>
    <w:rsid w:val="00C93B5E"/>
    <w:rsid w:val="00C94ECF"/>
    <w:rsid w:val="00C95598"/>
    <w:rsid w:val="00C959D0"/>
    <w:rsid w:val="00C95D8D"/>
    <w:rsid w:val="00C97C7F"/>
    <w:rsid w:val="00C97F8C"/>
    <w:rsid w:val="00CA0BA7"/>
    <w:rsid w:val="00CA2283"/>
    <w:rsid w:val="00CA2AEF"/>
    <w:rsid w:val="00CA2CA3"/>
    <w:rsid w:val="00CA325F"/>
    <w:rsid w:val="00CA33B8"/>
    <w:rsid w:val="00CA3ED6"/>
    <w:rsid w:val="00CA4C90"/>
    <w:rsid w:val="00CA5838"/>
    <w:rsid w:val="00CA6DD8"/>
    <w:rsid w:val="00CB1582"/>
    <w:rsid w:val="00CB22B7"/>
    <w:rsid w:val="00CB31DA"/>
    <w:rsid w:val="00CB39D7"/>
    <w:rsid w:val="00CB3CA3"/>
    <w:rsid w:val="00CB3DD3"/>
    <w:rsid w:val="00CB444A"/>
    <w:rsid w:val="00CB4F4D"/>
    <w:rsid w:val="00CB5032"/>
    <w:rsid w:val="00CB603B"/>
    <w:rsid w:val="00CB63E2"/>
    <w:rsid w:val="00CB68BB"/>
    <w:rsid w:val="00CB7DF6"/>
    <w:rsid w:val="00CC1CC7"/>
    <w:rsid w:val="00CC20A1"/>
    <w:rsid w:val="00CC2CA6"/>
    <w:rsid w:val="00CC303F"/>
    <w:rsid w:val="00CC35BF"/>
    <w:rsid w:val="00CC3C96"/>
    <w:rsid w:val="00CC4B19"/>
    <w:rsid w:val="00CC55F6"/>
    <w:rsid w:val="00CD0311"/>
    <w:rsid w:val="00CD077C"/>
    <w:rsid w:val="00CD0D80"/>
    <w:rsid w:val="00CD0E77"/>
    <w:rsid w:val="00CD1F09"/>
    <w:rsid w:val="00CD2FD0"/>
    <w:rsid w:val="00CD342A"/>
    <w:rsid w:val="00CD3940"/>
    <w:rsid w:val="00CD39D0"/>
    <w:rsid w:val="00CD500B"/>
    <w:rsid w:val="00CD6875"/>
    <w:rsid w:val="00CD69DF"/>
    <w:rsid w:val="00CE04F2"/>
    <w:rsid w:val="00CE1151"/>
    <w:rsid w:val="00CE2F14"/>
    <w:rsid w:val="00CE30C0"/>
    <w:rsid w:val="00CE3C30"/>
    <w:rsid w:val="00CE4022"/>
    <w:rsid w:val="00CE45B2"/>
    <w:rsid w:val="00CE52B8"/>
    <w:rsid w:val="00CE580F"/>
    <w:rsid w:val="00CE680B"/>
    <w:rsid w:val="00CE6A0B"/>
    <w:rsid w:val="00CE78EB"/>
    <w:rsid w:val="00CE7BF6"/>
    <w:rsid w:val="00CF0950"/>
    <w:rsid w:val="00CF10AC"/>
    <w:rsid w:val="00CF3B07"/>
    <w:rsid w:val="00CF4587"/>
    <w:rsid w:val="00CF4C13"/>
    <w:rsid w:val="00CF5BF3"/>
    <w:rsid w:val="00CF62E0"/>
    <w:rsid w:val="00CF6384"/>
    <w:rsid w:val="00CF6902"/>
    <w:rsid w:val="00D00357"/>
    <w:rsid w:val="00D00A0E"/>
    <w:rsid w:val="00D02B8F"/>
    <w:rsid w:val="00D0401F"/>
    <w:rsid w:val="00D067B0"/>
    <w:rsid w:val="00D06E88"/>
    <w:rsid w:val="00D11F90"/>
    <w:rsid w:val="00D13527"/>
    <w:rsid w:val="00D13CD0"/>
    <w:rsid w:val="00D147E7"/>
    <w:rsid w:val="00D15E4E"/>
    <w:rsid w:val="00D1705A"/>
    <w:rsid w:val="00D17601"/>
    <w:rsid w:val="00D17891"/>
    <w:rsid w:val="00D20171"/>
    <w:rsid w:val="00D20D6E"/>
    <w:rsid w:val="00D21300"/>
    <w:rsid w:val="00D22F7B"/>
    <w:rsid w:val="00D230DC"/>
    <w:rsid w:val="00D239A5"/>
    <w:rsid w:val="00D24B33"/>
    <w:rsid w:val="00D2583E"/>
    <w:rsid w:val="00D26C9A"/>
    <w:rsid w:val="00D303E8"/>
    <w:rsid w:val="00D30434"/>
    <w:rsid w:val="00D308EF"/>
    <w:rsid w:val="00D31BA6"/>
    <w:rsid w:val="00D335E1"/>
    <w:rsid w:val="00D3545E"/>
    <w:rsid w:val="00D35FEA"/>
    <w:rsid w:val="00D3648F"/>
    <w:rsid w:val="00D366E4"/>
    <w:rsid w:val="00D423AC"/>
    <w:rsid w:val="00D432B0"/>
    <w:rsid w:val="00D43C91"/>
    <w:rsid w:val="00D44B15"/>
    <w:rsid w:val="00D44DC6"/>
    <w:rsid w:val="00D45376"/>
    <w:rsid w:val="00D4558A"/>
    <w:rsid w:val="00D458C1"/>
    <w:rsid w:val="00D45AEC"/>
    <w:rsid w:val="00D45DBC"/>
    <w:rsid w:val="00D467CA"/>
    <w:rsid w:val="00D476EA"/>
    <w:rsid w:val="00D512BE"/>
    <w:rsid w:val="00D514E5"/>
    <w:rsid w:val="00D53589"/>
    <w:rsid w:val="00D539D5"/>
    <w:rsid w:val="00D544D5"/>
    <w:rsid w:val="00D554DA"/>
    <w:rsid w:val="00D567F2"/>
    <w:rsid w:val="00D57897"/>
    <w:rsid w:val="00D602DE"/>
    <w:rsid w:val="00D6096A"/>
    <w:rsid w:val="00D60ABE"/>
    <w:rsid w:val="00D60CE5"/>
    <w:rsid w:val="00D60FC8"/>
    <w:rsid w:val="00D61811"/>
    <w:rsid w:val="00D61CFA"/>
    <w:rsid w:val="00D63F9F"/>
    <w:rsid w:val="00D646D3"/>
    <w:rsid w:val="00D64973"/>
    <w:rsid w:val="00D64C53"/>
    <w:rsid w:val="00D65A04"/>
    <w:rsid w:val="00D662F2"/>
    <w:rsid w:val="00D665CA"/>
    <w:rsid w:val="00D665F1"/>
    <w:rsid w:val="00D6711E"/>
    <w:rsid w:val="00D730D4"/>
    <w:rsid w:val="00D73B08"/>
    <w:rsid w:val="00D771CF"/>
    <w:rsid w:val="00D775CF"/>
    <w:rsid w:val="00D80127"/>
    <w:rsid w:val="00D804E2"/>
    <w:rsid w:val="00D805D1"/>
    <w:rsid w:val="00D81FB3"/>
    <w:rsid w:val="00D82F63"/>
    <w:rsid w:val="00D82FD7"/>
    <w:rsid w:val="00D82FE0"/>
    <w:rsid w:val="00D8406F"/>
    <w:rsid w:val="00D8459B"/>
    <w:rsid w:val="00D84FA6"/>
    <w:rsid w:val="00D85C5F"/>
    <w:rsid w:val="00D85D1E"/>
    <w:rsid w:val="00D85EA4"/>
    <w:rsid w:val="00D85ECC"/>
    <w:rsid w:val="00D864C7"/>
    <w:rsid w:val="00D86EB7"/>
    <w:rsid w:val="00D91E09"/>
    <w:rsid w:val="00D91E9F"/>
    <w:rsid w:val="00D92025"/>
    <w:rsid w:val="00D9204D"/>
    <w:rsid w:val="00D92B5E"/>
    <w:rsid w:val="00D932CB"/>
    <w:rsid w:val="00D93388"/>
    <w:rsid w:val="00D93CFF"/>
    <w:rsid w:val="00D95457"/>
    <w:rsid w:val="00D95EA6"/>
    <w:rsid w:val="00D961E7"/>
    <w:rsid w:val="00D96E8C"/>
    <w:rsid w:val="00D97A7B"/>
    <w:rsid w:val="00DA0AA0"/>
    <w:rsid w:val="00DA1259"/>
    <w:rsid w:val="00DA1AAD"/>
    <w:rsid w:val="00DA1B4B"/>
    <w:rsid w:val="00DA1E08"/>
    <w:rsid w:val="00DA2AD9"/>
    <w:rsid w:val="00DA2B93"/>
    <w:rsid w:val="00DA2E98"/>
    <w:rsid w:val="00DA4A52"/>
    <w:rsid w:val="00DA4ED4"/>
    <w:rsid w:val="00DA4FBC"/>
    <w:rsid w:val="00DA61B9"/>
    <w:rsid w:val="00DA6795"/>
    <w:rsid w:val="00DA6AC8"/>
    <w:rsid w:val="00DA7457"/>
    <w:rsid w:val="00DA7A28"/>
    <w:rsid w:val="00DB1083"/>
    <w:rsid w:val="00DB1B31"/>
    <w:rsid w:val="00DB2265"/>
    <w:rsid w:val="00DB2995"/>
    <w:rsid w:val="00DB2ED0"/>
    <w:rsid w:val="00DB38F0"/>
    <w:rsid w:val="00DB3EE8"/>
    <w:rsid w:val="00DB4701"/>
    <w:rsid w:val="00DB4E76"/>
    <w:rsid w:val="00DB59C0"/>
    <w:rsid w:val="00DB5DA6"/>
    <w:rsid w:val="00DC0146"/>
    <w:rsid w:val="00DC03EE"/>
    <w:rsid w:val="00DC3643"/>
    <w:rsid w:val="00DC36B8"/>
    <w:rsid w:val="00DC402E"/>
    <w:rsid w:val="00DC427B"/>
    <w:rsid w:val="00DC53F2"/>
    <w:rsid w:val="00DC672B"/>
    <w:rsid w:val="00DC6A77"/>
    <w:rsid w:val="00DC6B01"/>
    <w:rsid w:val="00DC7797"/>
    <w:rsid w:val="00DC7E53"/>
    <w:rsid w:val="00DD078A"/>
    <w:rsid w:val="00DD1737"/>
    <w:rsid w:val="00DD17CF"/>
    <w:rsid w:val="00DD1CD3"/>
    <w:rsid w:val="00DD25DF"/>
    <w:rsid w:val="00DD34E1"/>
    <w:rsid w:val="00DD45E7"/>
    <w:rsid w:val="00DD4BB2"/>
    <w:rsid w:val="00DD5A7F"/>
    <w:rsid w:val="00DD71F6"/>
    <w:rsid w:val="00DD7667"/>
    <w:rsid w:val="00DD777C"/>
    <w:rsid w:val="00DE09E3"/>
    <w:rsid w:val="00DE0CDE"/>
    <w:rsid w:val="00DE0D2F"/>
    <w:rsid w:val="00DE0D75"/>
    <w:rsid w:val="00DE14B7"/>
    <w:rsid w:val="00DE17E5"/>
    <w:rsid w:val="00DE19EB"/>
    <w:rsid w:val="00DE241E"/>
    <w:rsid w:val="00DE2997"/>
    <w:rsid w:val="00DE52D9"/>
    <w:rsid w:val="00DE5B0F"/>
    <w:rsid w:val="00DE71C5"/>
    <w:rsid w:val="00DF03FE"/>
    <w:rsid w:val="00DF0FE3"/>
    <w:rsid w:val="00DF1A1C"/>
    <w:rsid w:val="00DF29F7"/>
    <w:rsid w:val="00DF2CB1"/>
    <w:rsid w:val="00DF4516"/>
    <w:rsid w:val="00DF4C90"/>
    <w:rsid w:val="00DF69F9"/>
    <w:rsid w:val="00DF7045"/>
    <w:rsid w:val="00E00BE3"/>
    <w:rsid w:val="00E02579"/>
    <w:rsid w:val="00E02B50"/>
    <w:rsid w:val="00E03120"/>
    <w:rsid w:val="00E04B3F"/>
    <w:rsid w:val="00E060C1"/>
    <w:rsid w:val="00E0654B"/>
    <w:rsid w:val="00E06B1E"/>
    <w:rsid w:val="00E070DA"/>
    <w:rsid w:val="00E07787"/>
    <w:rsid w:val="00E106A2"/>
    <w:rsid w:val="00E10AAF"/>
    <w:rsid w:val="00E11B5F"/>
    <w:rsid w:val="00E11D49"/>
    <w:rsid w:val="00E12BB0"/>
    <w:rsid w:val="00E147D5"/>
    <w:rsid w:val="00E14AD5"/>
    <w:rsid w:val="00E14C0E"/>
    <w:rsid w:val="00E16642"/>
    <w:rsid w:val="00E16E06"/>
    <w:rsid w:val="00E1710B"/>
    <w:rsid w:val="00E1787C"/>
    <w:rsid w:val="00E20941"/>
    <w:rsid w:val="00E20A12"/>
    <w:rsid w:val="00E21868"/>
    <w:rsid w:val="00E2249E"/>
    <w:rsid w:val="00E22B76"/>
    <w:rsid w:val="00E234F1"/>
    <w:rsid w:val="00E2371B"/>
    <w:rsid w:val="00E23910"/>
    <w:rsid w:val="00E241ED"/>
    <w:rsid w:val="00E24E3A"/>
    <w:rsid w:val="00E253F5"/>
    <w:rsid w:val="00E25AF8"/>
    <w:rsid w:val="00E26C55"/>
    <w:rsid w:val="00E26F6C"/>
    <w:rsid w:val="00E318E9"/>
    <w:rsid w:val="00E31BD0"/>
    <w:rsid w:val="00E33437"/>
    <w:rsid w:val="00E34CA3"/>
    <w:rsid w:val="00E35C4A"/>
    <w:rsid w:val="00E36B69"/>
    <w:rsid w:val="00E37A0F"/>
    <w:rsid w:val="00E37DA6"/>
    <w:rsid w:val="00E37FE3"/>
    <w:rsid w:val="00E40EB7"/>
    <w:rsid w:val="00E43AAA"/>
    <w:rsid w:val="00E44639"/>
    <w:rsid w:val="00E44C62"/>
    <w:rsid w:val="00E45AC4"/>
    <w:rsid w:val="00E478B0"/>
    <w:rsid w:val="00E47AB9"/>
    <w:rsid w:val="00E47BE7"/>
    <w:rsid w:val="00E47C32"/>
    <w:rsid w:val="00E47FFE"/>
    <w:rsid w:val="00E50DE4"/>
    <w:rsid w:val="00E5275F"/>
    <w:rsid w:val="00E5387C"/>
    <w:rsid w:val="00E54AF8"/>
    <w:rsid w:val="00E54EF2"/>
    <w:rsid w:val="00E60DC5"/>
    <w:rsid w:val="00E61626"/>
    <w:rsid w:val="00E63559"/>
    <w:rsid w:val="00E66145"/>
    <w:rsid w:val="00E66E45"/>
    <w:rsid w:val="00E67180"/>
    <w:rsid w:val="00E676E2"/>
    <w:rsid w:val="00E70BB5"/>
    <w:rsid w:val="00E71C67"/>
    <w:rsid w:val="00E74FA5"/>
    <w:rsid w:val="00E756A8"/>
    <w:rsid w:val="00E75AD9"/>
    <w:rsid w:val="00E76032"/>
    <w:rsid w:val="00E768F2"/>
    <w:rsid w:val="00E77E9E"/>
    <w:rsid w:val="00E815E9"/>
    <w:rsid w:val="00E81CDE"/>
    <w:rsid w:val="00E81DED"/>
    <w:rsid w:val="00E82316"/>
    <w:rsid w:val="00E825B3"/>
    <w:rsid w:val="00E82C91"/>
    <w:rsid w:val="00E849DE"/>
    <w:rsid w:val="00E85144"/>
    <w:rsid w:val="00E85948"/>
    <w:rsid w:val="00E85C8A"/>
    <w:rsid w:val="00E86536"/>
    <w:rsid w:val="00E902F8"/>
    <w:rsid w:val="00E90479"/>
    <w:rsid w:val="00E9167E"/>
    <w:rsid w:val="00E918DF"/>
    <w:rsid w:val="00E922A4"/>
    <w:rsid w:val="00E925CE"/>
    <w:rsid w:val="00E93F3F"/>
    <w:rsid w:val="00E94D09"/>
    <w:rsid w:val="00E967CB"/>
    <w:rsid w:val="00E96B52"/>
    <w:rsid w:val="00EA05D9"/>
    <w:rsid w:val="00EA1104"/>
    <w:rsid w:val="00EA185C"/>
    <w:rsid w:val="00EA3476"/>
    <w:rsid w:val="00EA3817"/>
    <w:rsid w:val="00EA5257"/>
    <w:rsid w:val="00EA59B6"/>
    <w:rsid w:val="00EA61BC"/>
    <w:rsid w:val="00EA7415"/>
    <w:rsid w:val="00EB0433"/>
    <w:rsid w:val="00EB0A4A"/>
    <w:rsid w:val="00EB1B8B"/>
    <w:rsid w:val="00EB24EC"/>
    <w:rsid w:val="00EB2547"/>
    <w:rsid w:val="00EB3C54"/>
    <w:rsid w:val="00EB426F"/>
    <w:rsid w:val="00EB4951"/>
    <w:rsid w:val="00EB5347"/>
    <w:rsid w:val="00EB5938"/>
    <w:rsid w:val="00EB595B"/>
    <w:rsid w:val="00EB6DB0"/>
    <w:rsid w:val="00EC098E"/>
    <w:rsid w:val="00EC0BCB"/>
    <w:rsid w:val="00EC0E71"/>
    <w:rsid w:val="00EC1186"/>
    <w:rsid w:val="00EC1FA8"/>
    <w:rsid w:val="00EC27E2"/>
    <w:rsid w:val="00EC3BD7"/>
    <w:rsid w:val="00EC424E"/>
    <w:rsid w:val="00EC48A3"/>
    <w:rsid w:val="00EC498F"/>
    <w:rsid w:val="00EC6732"/>
    <w:rsid w:val="00EC6F73"/>
    <w:rsid w:val="00ED2099"/>
    <w:rsid w:val="00ED2836"/>
    <w:rsid w:val="00ED2929"/>
    <w:rsid w:val="00ED587F"/>
    <w:rsid w:val="00ED613A"/>
    <w:rsid w:val="00ED6A51"/>
    <w:rsid w:val="00ED6CFA"/>
    <w:rsid w:val="00ED6D53"/>
    <w:rsid w:val="00EE029C"/>
    <w:rsid w:val="00EE1855"/>
    <w:rsid w:val="00EE1E1F"/>
    <w:rsid w:val="00EE21DF"/>
    <w:rsid w:val="00EE2B68"/>
    <w:rsid w:val="00EE3733"/>
    <w:rsid w:val="00EE395E"/>
    <w:rsid w:val="00EE56E4"/>
    <w:rsid w:val="00EE60CC"/>
    <w:rsid w:val="00EE6D70"/>
    <w:rsid w:val="00EF0134"/>
    <w:rsid w:val="00EF1291"/>
    <w:rsid w:val="00EF1386"/>
    <w:rsid w:val="00EF2491"/>
    <w:rsid w:val="00EF256B"/>
    <w:rsid w:val="00EF3B1A"/>
    <w:rsid w:val="00EF3D88"/>
    <w:rsid w:val="00EF4B52"/>
    <w:rsid w:val="00EF5277"/>
    <w:rsid w:val="00EF5CAD"/>
    <w:rsid w:val="00EF5E81"/>
    <w:rsid w:val="00EF611F"/>
    <w:rsid w:val="00EF6131"/>
    <w:rsid w:val="00EF76E1"/>
    <w:rsid w:val="00F00126"/>
    <w:rsid w:val="00F00D4E"/>
    <w:rsid w:val="00F029AF"/>
    <w:rsid w:val="00F035D7"/>
    <w:rsid w:val="00F036E9"/>
    <w:rsid w:val="00F03F64"/>
    <w:rsid w:val="00F04099"/>
    <w:rsid w:val="00F044EB"/>
    <w:rsid w:val="00F05623"/>
    <w:rsid w:val="00F05B66"/>
    <w:rsid w:val="00F068DF"/>
    <w:rsid w:val="00F1030E"/>
    <w:rsid w:val="00F10925"/>
    <w:rsid w:val="00F12F6C"/>
    <w:rsid w:val="00F13DAD"/>
    <w:rsid w:val="00F13DAE"/>
    <w:rsid w:val="00F14F09"/>
    <w:rsid w:val="00F14F92"/>
    <w:rsid w:val="00F157D8"/>
    <w:rsid w:val="00F164AD"/>
    <w:rsid w:val="00F16D44"/>
    <w:rsid w:val="00F201AD"/>
    <w:rsid w:val="00F21481"/>
    <w:rsid w:val="00F21B21"/>
    <w:rsid w:val="00F222BB"/>
    <w:rsid w:val="00F2491A"/>
    <w:rsid w:val="00F24EF6"/>
    <w:rsid w:val="00F254E4"/>
    <w:rsid w:val="00F26AAB"/>
    <w:rsid w:val="00F26F5D"/>
    <w:rsid w:val="00F27907"/>
    <w:rsid w:val="00F318A9"/>
    <w:rsid w:val="00F335DF"/>
    <w:rsid w:val="00F3381E"/>
    <w:rsid w:val="00F33C41"/>
    <w:rsid w:val="00F34C92"/>
    <w:rsid w:val="00F35D19"/>
    <w:rsid w:val="00F37381"/>
    <w:rsid w:val="00F377AE"/>
    <w:rsid w:val="00F41269"/>
    <w:rsid w:val="00F41319"/>
    <w:rsid w:val="00F44B13"/>
    <w:rsid w:val="00F45BE7"/>
    <w:rsid w:val="00F463D7"/>
    <w:rsid w:val="00F50163"/>
    <w:rsid w:val="00F510E2"/>
    <w:rsid w:val="00F515F1"/>
    <w:rsid w:val="00F51F86"/>
    <w:rsid w:val="00F5273A"/>
    <w:rsid w:val="00F52D6B"/>
    <w:rsid w:val="00F52E18"/>
    <w:rsid w:val="00F535E2"/>
    <w:rsid w:val="00F53806"/>
    <w:rsid w:val="00F54422"/>
    <w:rsid w:val="00F54516"/>
    <w:rsid w:val="00F546FB"/>
    <w:rsid w:val="00F547F7"/>
    <w:rsid w:val="00F55335"/>
    <w:rsid w:val="00F55CF7"/>
    <w:rsid w:val="00F55DCF"/>
    <w:rsid w:val="00F5656E"/>
    <w:rsid w:val="00F576AF"/>
    <w:rsid w:val="00F57D1C"/>
    <w:rsid w:val="00F6077A"/>
    <w:rsid w:val="00F6086A"/>
    <w:rsid w:val="00F6169B"/>
    <w:rsid w:val="00F618AE"/>
    <w:rsid w:val="00F62824"/>
    <w:rsid w:val="00F62D7C"/>
    <w:rsid w:val="00F631CB"/>
    <w:rsid w:val="00F634C8"/>
    <w:rsid w:val="00F63C7D"/>
    <w:rsid w:val="00F656F7"/>
    <w:rsid w:val="00F662F0"/>
    <w:rsid w:val="00F6671C"/>
    <w:rsid w:val="00F67063"/>
    <w:rsid w:val="00F67155"/>
    <w:rsid w:val="00F7058F"/>
    <w:rsid w:val="00F70ADD"/>
    <w:rsid w:val="00F70D21"/>
    <w:rsid w:val="00F70FEF"/>
    <w:rsid w:val="00F728A3"/>
    <w:rsid w:val="00F73F06"/>
    <w:rsid w:val="00F74F3A"/>
    <w:rsid w:val="00F75C02"/>
    <w:rsid w:val="00F76A94"/>
    <w:rsid w:val="00F77ECB"/>
    <w:rsid w:val="00F80602"/>
    <w:rsid w:val="00F808C5"/>
    <w:rsid w:val="00F80BAA"/>
    <w:rsid w:val="00F81936"/>
    <w:rsid w:val="00F81BF8"/>
    <w:rsid w:val="00F81E47"/>
    <w:rsid w:val="00F824EF"/>
    <w:rsid w:val="00F8250A"/>
    <w:rsid w:val="00F83B28"/>
    <w:rsid w:val="00F84408"/>
    <w:rsid w:val="00F84892"/>
    <w:rsid w:val="00F84F65"/>
    <w:rsid w:val="00F86474"/>
    <w:rsid w:val="00F868B4"/>
    <w:rsid w:val="00F8730A"/>
    <w:rsid w:val="00F9016F"/>
    <w:rsid w:val="00F90601"/>
    <w:rsid w:val="00F910BB"/>
    <w:rsid w:val="00F91517"/>
    <w:rsid w:val="00F9179B"/>
    <w:rsid w:val="00F918D3"/>
    <w:rsid w:val="00F91BE7"/>
    <w:rsid w:val="00F92F99"/>
    <w:rsid w:val="00F93703"/>
    <w:rsid w:val="00F94D64"/>
    <w:rsid w:val="00F952AC"/>
    <w:rsid w:val="00F95887"/>
    <w:rsid w:val="00F9644B"/>
    <w:rsid w:val="00F9755F"/>
    <w:rsid w:val="00FA06E8"/>
    <w:rsid w:val="00FA0BC6"/>
    <w:rsid w:val="00FA0E52"/>
    <w:rsid w:val="00FA6093"/>
    <w:rsid w:val="00FA6871"/>
    <w:rsid w:val="00FA78FD"/>
    <w:rsid w:val="00FB11BE"/>
    <w:rsid w:val="00FB1357"/>
    <w:rsid w:val="00FB1799"/>
    <w:rsid w:val="00FB1956"/>
    <w:rsid w:val="00FB1B56"/>
    <w:rsid w:val="00FB27F1"/>
    <w:rsid w:val="00FB2960"/>
    <w:rsid w:val="00FB4476"/>
    <w:rsid w:val="00FB4C6F"/>
    <w:rsid w:val="00FB732E"/>
    <w:rsid w:val="00FC0A8F"/>
    <w:rsid w:val="00FC1A06"/>
    <w:rsid w:val="00FC5E76"/>
    <w:rsid w:val="00FC69CF"/>
    <w:rsid w:val="00FC7214"/>
    <w:rsid w:val="00FC7FB3"/>
    <w:rsid w:val="00FD04D9"/>
    <w:rsid w:val="00FD058F"/>
    <w:rsid w:val="00FD06C1"/>
    <w:rsid w:val="00FD08DB"/>
    <w:rsid w:val="00FD0B16"/>
    <w:rsid w:val="00FD0B70"/>
    <w:rsid w:val="00FD0D27"/>
    <w:rsid w:val="00FD11B8"/>
    <w:rsid w:val="00FD1440"/>
    <w:rsid w:val="00FD1489"/>
    <w:rsid w:val="00FD1494"/>
    <w:rsid w:val="00FD17D7"/>
    <w:rsid w:val="00FD1910"/>
    <w:rsid w:val="00FD1A54"/>
    <w:rsid w:val="00FD2DA9"/>
    <w:rsid w:val="00FD31AD"/>
    <w:rsid w:val="00FD35FA"/>
    <w:rsid w:val="00FD5158"/>
    <w:rsid w:val="00FD59F1"/>
    <w:rsid w:val="00FD66A4"/>
    <w:rsid w:val="00FD6DB8"/>
    <w:rsid w:val="00FD6FE2"/>
    <w:rsid w:val="00FD74CB"/>
    <w:rsid w:val="00FD7543"/>
    <w:rsid w:val="00FD7B1D"/>
    <w:rsid w:val="00FD7BF5"/>
    <w:rsid w:val="00FE185C"/>
    <w:rsid w:val="00FE1BD0"/>
    <w:rsid w:val="00FE1C12"/>
    <w:rsid w:val="00FE2E0F"/>
    <w:rsid w:val="00FE3C5F"/>
    <w:rsid w:val="00FE401B"/>
    <w:rsid w:val="00FE4705"/>
    <w:rsid w:val="00FE52F9"/>
    <w:rsid w:val="00FE557C"/>
    <w:rsid w:val="00FE6BA1"/>
    <w:rsid w:val="00FF01BC"/>
    <w:rsid w:val="00FF04F8"/>
    <w:rsid w:val="00FF1386"/>
    <w:rsid w:val="00FF3E40"/>
    <w:rsid w:val="00FF4C3A"/>
    <w:rsid w:val="00FF55C8"/>
    <w:rsid w:val="00FF62F4"/>
    <w:rsid w:val="00FF6519"/>
    <w:rsid w:val="00FF7BB9"/>
    <w:rsid w:val="6C5854CE"/>
    <w:rsid w:val="6DB8F870"/>
    <w:rsid w:val="799F65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36DC"/>
  <w15:docId w15:val="{9D9E2CDC-143A-4211-B82B-57C9AA21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00D"/>
    <w:pPr>
      <w:tabs>
        <w:tab w:val="left" w:pos="567"/>
      </w:tabs>
      <w:spacing w:line="260" w:lineRule="exact"/>
    </w:pPr>
    <w:rPr>
      <w:rFonts w:eastAsia="Times New Roman"/>
      <w:sz w:val="24"/>
      <w:lang w:eastAsia="en-US"/>
    </w:rPr>
  </w:style>
  <w:style w:type="paragraph" w:styleId="Heading1">
    <w:name w:val="heading 1"/>
    <w:basedOn w:val="ListParagraph"/>
    <w:next w:val="Normal"/>
    <w:link w:val="Heading1Char"/>
    <w:qFormat/>
    <w:rsid w:val="0054700D"/>
    <w:pPr>
      <w:numPr>
        <w:numId w:val="27"/>
      </w:numPr>
      <w:tabs>
        <w:tab w:val="clear" w:pos="567"/>
      </w:tabs>
      <w:suppressAutoHyphens/>
      <w:spacing w:line="240" w:lineRule="auto"/>
      <w:ind w:left="567" w:hanging="567"/>
      <w:outlineLvl w:val="0"/>
    </w:pPr>
    <w:rPr>
      <w:b/>
      <w:bCs/>
    </w:rPr>
  </w:style>
  <w:style w:type="paragraph" w:styleId="Heading2">
    <w:name w:val="heading 2"/>
    <w:basedOn w:val="Heading1"/>
    <w:next w:val="Normal"/>
    <w:link w:val="Heading2Char"/>
    <w:unhideWhenUsed/>
    <w:qFormat/>
    <w:rsid w:val="0054700D"/>
    <w:pPr>
      <w:numPr>
        <w:ilvl w:val="1"/>
      </w:numPr>
      <w:ind w:left="567" w:hanging="567"/>
      <w:outlineLvl w:val="1"/>
    </w:pPr>
    <w:rPr>
      <w:caps/>
    </w:rPr>
  </w:style>
  <w:style w:type="paragraph" w:styleId="Heading3">
    <w:name w:val="heading 3"/>
    <w:basedOn w:val="Normal"/>
    <w:next w:val="Normal"/>
    <w:link w:val="Heading3Char"/>
    <w:unhideWhenUsed/>
    <w:qFormat/>
    <w:rsid w:val="005812DA"/>
    <w:pPr>
      <w:spacing w:line="240" w:lineRule="auto"/>
      <w:outlineLvl w:val="2"/>
    </w:pPr>
    <w:rPr>
      <w:b/>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 H19,Comment Text Char1,Comment Text Char1 Char,Comment Text Char1 Char Char,Comment Text Char1 Char Char Char,Comment Text Char1 Char Char Char Char,Comment Text Char1 Char Char Char Char Char,Comment Text Char2 Char"/>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H19 Char,Comment Text Char1 Char1,Comment Text Char1 Char Char1,Comment Text Char1 Char Char Char1,Comment Text Char1 Char Char Char Char1,Comment Text Char1 Char Char Char Char Char1,Comment Text Char2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Default">
    <w:name w:val="Default"/>
    <w:rsid w:val="003D1271"/>
    <w:pPr>
      <w:autoSpaceDE w:val="0"/>
      <w:autoSpaceDN w:val="0"/>
      <w:adjustRightInd w:val="0"/>
    </w:pPr>
    <w:rPr>
      <w:color w:val="000000"/>
      <w:sz w:val="24"/>
      <w:szCs w:val="24"/>
      <w:lang w:val="de-CH"/>
    </w:rPr>
  </w:style>
  <w:style w:type="paragraph" w:styleId="NormalWeb">
    <w:name w:val="Normal (Web)"/>
    <w:basedOn w:val="Normal"/>
    <w:uiPriority w:val="99"/>
    <w:unhideWhenUsed/>
    <w:rsid w:val="00A455AE"/>
    <w:pPr>
      <w:tabs>
        <w:tab w:val="clear" w:pos="567"/>
      </w:tabs>
      <w:spacing w:before="100" w:beforeAutospacing="1" w:after="100" w:afterAutospacing="1" w:line="240" w:lineRule="auto"/>
    </w:pPr>
    <w:rPr>
      <w:szCs w:val="24"/>
      <w:lang w:val="de-CH" w:eastAsia="zh-CN"/>
    </w:rPr>
  </w:style>
  <w:style w:type="paragraph" w:styleId="Caption">
    <w:name w:val="caption"/>
    <w:basedOn w:val="Normal"/>
    <w:next w:val="Normal"/>
    <w:unhideWhenUsed/>
    <w:qFormat/>
    <w:rsid w:val="00A455AE"/>
    <w:pPr>
      <w:spacing w:after="200" w:line="240" w:lineRule="auto"/>
    </w:pPr>
    <w:rPr>
      <w:i/>
      <w:iCs/>
      <w:color w:val="44546A" w:themeColor="text2"/>
      <w:sz w:val="18"/>
      <w:szCs w:val="18"/>
    </w:rPr>
  </w:style>
  <w:style w:type="table" w:styleId="TableGrid">
    <w:name w:val="Table Grid"/>
    <w:basedOn w:val="TableNormal"/>
    <w:uiPriority w:val="59"/>
    <w:rsid w:val="004532A0"/>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1"/>
    <w:next w:val="Normal"/>
    <w:qFormat/>
    <w:rsid w:val="004532A0"/>
    <w:pPr>
      <w:ind w:left="1138" w:hanging="1138"/>
    </w:pPr>
    <w:rPr>
      <w:rFonts w:eastAsia="SimSun"/>
      <w:b w:val="0"/>
      <w:bCs w:val="0"/>
      <w:sz w:val="22"/>
      <w:szCs w:val="22"/>
      <w:lang w:eastAsia="zh-CN"/>
    </w:rPr>
  </w:style>
  <w:style w:type="character" w:customStyle="1" w:styleId="Heading1Char">
    <w:name w:val="Heading 1 Char"/>
    <w:basedOn w:val="DefaultParagraphFont"/>
    <w:link w:val="Heading1"/>
    <w:rsid w:val="0054700D"/>
    <w:rPr>
      <w:rFonts w:eastAsia="Times New Roman"/>
      <w:b/>
      <w:bCs/>
      <w:sz w:val="24"/>
      <w:lang w:eastAsia="en-US"/>
    </w:rPr>
  </w:style>
  <w:style w:type="paragraph" w:customStyle="1" w:styleId="NormalCentred">
    <w:name w:val="Normal Centred"/>
    <w:basedOn w:val="Normal"/>
    <w:qFormat/>
    <w:rsid w:val="00F618AE"/>
    <w:pPr>
      <w:tabs>
        <w:tab w:val="clear" w:pos="567"/>
      </w:tabs>
      <w:suppressAutoHyphens/>
      <w:spacing w:line="240" w:lineRule="auto"/>
      <w:jc w:val="center"/>
    </w:pPr>
    <w:rPr>
      <w:rFonts w:eastAsia="SimSun"/>
      <w:szCs w:val="22"/>
      <w:lang w:eastAsia="zh-CN"/>
    </w:rPr>
  </w:style>
  <w:style w:type="paragraph" w:customStyle="1" w:styleId="Bullet">
    <w:name w:val="Bullet •"/>
    <w:basedOn w:val="Normal"/>
    <w:qFormat/>
    <w:rsid w:val="00F618AE"/>
    <w:pPr>
      <w:numPr>
        <w:numId w:val="26"/>
      </w:numPr>
      <w:tabs>
        <w:tab w:val="clear" w:pos="567"/>
      </w:tabs>
      <w:suppressAutoHyphens/>
      <w:spacing w:line="240" w:lineRule="auto"/>
    </w:pPr>
    <w:rPr>
      <w:rFonts w:eastAsia="SimSun"/>
      <w:szCs w:val="22"/>
      <w:lang w:eastAsia="zh-CN"/>
    </w:rPr>
  </w:style>
  <w:style w:type="paragraph" w:customStyle="1" w:styleId="HeadingStrong">
    <w:name w:val="Heading Strong"/>
    <w:basedOn w:val="Normal"/>
    <w:next w:val="Normal"/>
    <w:link w:val="HeadingStrongChar"/>
    <w:qFormat/>
    <w:rsid w:val="00F618AE"/>
    <w:pPr>
      <w:keepNext/>
      <w:keepLines/>
      <w:tabs>
        <w:tab w:val="clear" w:pos="567"/>
      </w:tabs>
      <w:suppressAutoHyphens/>
      <w:spacing w:line="240" w:lineRule="auto"/>
    </w:pPr>
    <w:rPr>
      <w:rFonts w:eastAsia="SimSun"/>
      <w:b/>
      <w:bCs/>
      <w:szCs w:val="22"/>
      <w:lang w:eastAsia="zh-CN"/>
    </w:rPr>
  </w:style>
  <w:style w:type="character" w:customStyle="1" w:styleId="HeadingStrongChar">
    <w:name w:val="Heading Strong Char"/>
    <w:link w:val="HeadingStrong"/>
    <w:locked/>
    <w:rsid w:val="00F618AE"/>
    <w:rPr>
      <w:b/>
      <w:bCs/>
      <w:sz w:val="22"/>
      <w:szCs w:val="22"/>
      <w:lang w:eastAsia="zh-CN"/>
    </w:rPr>
  </w:style>
  <w:style w:type="paragraph" w:styleId="ListParagraph">
    <w:name w:val="List Paragraph"/>
    <w:basedOn w:val="Normal"/>
    <w:uiPriority w:val="34"/>
    <w:qFormat/>
    <w:rsid w:val="00F618AE"/>
    <w:pPr>
      <w:ind w:left="720"/>
      <w:contextualSpacing/>
    </w:pPr>
  </w:style>
  <w:style w:type="paragraph" w:customStyle="1" w:styleId="NormalKeep">
    <w:name w:val="Normal Keep"/>
    <w:basedOn w:val="Normal"/>
    <w:link w:val="NormalKeepChar"/>
    <w:qFormat/>
    <w:rsid w:val="000452BA"/>
    <w:pPr>
      <w:keepNext/>
      <w:tabs>
        <w:tab w:val="clear" w:pos="567"/>
      </w:tabs>
      <w:suppressAutoHyphens/>
      <w:spacing w:line="240" w:lineRule="auto"/>
    </w:pPr>
    <w:rPr>
      <w:rFonts w:eastAsia="SimSun"/>
      <w:szCs w:val="22"/>
      <w:lang w:eastAsia="zh-CN"/>
    </w:rPr>
  </w:style>
  <w:style w:type="character" w:customStyle="1" w:styleId="NormalKeepChar">
    <w:name w:val="Normal Keep Char"/>
    <w:link w:val="NormalKeep"/>
    <w:locked/>
    <w:rsid w:val="000452BA"/>
    <w:rPr>
      <w:sz w:val="22"/>
      <w:szCs w:val="22"/>
      <w:lang w:eastAsia="zh-CN"/>
    </w:rPr>
  </w:style>
  <w:style w:type="character" w:styleId="Strong">
    <w:name w:val="Strong"/>
    <w:uiPriority w:val="22"/>
    <w:qFormat/>
    <w:rsid w:val="00D4558A"/>
    <w:rPr>
      <w:b/>
      <w:bCs/>
    </w:rPr>
  </w:style>
  <w:style w:type="character" w:customStyle="1" w:styleId="normaltextrun">
    <w:name w:val="normaltextrun"/>
    <w:basedOn w:val="DefaultParagraphFont"/>
    <w:rsid w:val="00D4558A"/>
  </w:style>
  <w:style w:type="character" w:customStyle="1" w:styleId="Heading2Char">
    <w:name w:val="Heading 2 Char"/>
    <w:basedOn w:val="DefaultParagraphFont"/>
    <w:link w:val="Heading2"/>
    <w:uiPriority w:val="9"/>
    <w:rsid w:val="0054700D"/>
    <w:rPr>
      <w:rFonts w:eastAsia="Times New Roman"/>
      <w:b/>
      <w:bCs/>
      <w:caps/>
      <w:sz w:val="24"/>
      <w:lang w:eastAsia="en-US"/>
    </w:rPr>
  </w:style>
  <w:style w:type="character" w:customStyle="1" w:styleId="Heading3Char">
    <w:name w:val="Heading 3 Char"/>
    <w:basedOn w:val="DefaultParagraphFont"/>
    <w:link w:val="Heading3"/>
    <w:rsid w:val="005812DA"/>
    <w:rPr>
      <w:rFonts w:eastAsia="Times New Roman"/>
      <w:b/>
      <w:bCs/>
      <w:noProof/>
      <w:sz w:val="24"/>
      <w:szCs w:val="22"/>
      <w:lang w:eastAsia="en-US"/>
    </w:rPr>
  </w:style>
  <w:style w:type="character" w:customStyle="1" w:styleId="Mention1">
    <w:name w:val="Mention1"/>
    <w:basedOn w:val="DefaultParagraphFont"/>
    <w:uiPriority w:val="99"/>
    <w:unhideWhenUsed/>
    <w:rsid w:val="00305201"/>
    <w:rPr>
      <w:color w:val="2B579A"/>
      <w:shd w:val="clear" w:color="auto" w:fill="E1DFDD"/>
    </w:rPr>
  </w:style>
  <w:style w:type="character" w:customStyle="1" w:styleId="UnresolvedMention1">
    <w:name w:val="Unresolved Mention1"/>
    <w:basedOn w:val="DefaultParagraphFont"/>
    <w:uiPriority w:val="99"/>
    <w:semiHidden/>
    <w:unhideWhenUsed/>
    <w:rsid w:val="00305201"/>
    <w:rPr>
      <w:color w:val="605E5C"/>
      <w:shd w:val="clear" w:color="auto" w:fill="E1DFDD"/>
    </w:rPr>
  </w:style>
  <w:style w:type="paragraph" w:customStyle="1" w:styleId="C-TableText">
    <w:name w:val="C-Table Text"/>
    <w:rsid w:val="002F2468"/>
    <w:pPr>
      <w:spacing w:before="60" w:after="60"/>
    </w:pPr>
    <w:rPr>
      <w:rFonts w:eastAsia="Times New Roman"/>
      <w:sz w:val="22"/>
      <w:lang w:val="en-US" w:eastAsia="en-US"/>
    </w:rPr>
  </w:style>
  <w:style w:type="paragraph" w:customStyle="1" w:styleId="C-TableFootnote">
    <w:name w:val="C-Table Footnote"/>
    <w:next w:val="Normal"/>
    <w:rsid w:val="002F2468"/>
    <w:pPr>
      <w:tabs>
        <w:tab w:val="left" w:pos="144"/>
      </w:tabs>
      <w:ind w:left="144" w:hanging="144"/>
    </w:pPr>
    <w:rPr>
      <w:rFonts w:eastAsia="Times New Roman" w:cs="Arial"/>
      <w:lang w:val="en-US" w:eastAsia="en-US"/>
    </w:rPr>
  </w:style>
  <w:style w:type="paragraph" w:customStyle="1" w:styleId="paragraph">
    <w:name w:val="paragraph"/>
    <w:basedOn w:val="Normal"/>
    <w:rsid w:val="00133EA6"/>
    <w:pPr>
      <w:tabs>
        <w:tab w:val="clear" w:pos="567"/>
      </w:tabs>
      <w:spacing w:before="100" w:beforeAutospacing="1" w:after="100" w:afterAutospacing="1" w:line="240" w:lineRule="auto"/>
    </w:pPr>
    <w:rPr>
      <w:szCs w:val="24"/>
      <w:lang w:val="en-AU" w:eastAsia="en-AU"/>
    </w:rPr>
  </w:style>
  <w:style w:type="character" w:customStyle="1" w:styleId="scxw122717507">
    <w:name w:val="scxw122717507"/>
    <w:basedOn w:val="DefaultParagraphFont"/>
    <w:rsid w:val="00133EA6"/>
  </w:style>
  <w:style w:type="character" w:customStyle="1" w:styleId="eop">
    <w:name w:val="eop"/>
    <w:basedOn w:val="DefaultParagraphFont"/>
    <w:rsid w:val="00133EA6"/>
  </w:style>
  <w:style w:type="character" w:styleId="Emphasis">
    <w:name w:val="Emphasis"/>
    <w:basedOn w:val="DefaultParagraphFont"/>
    <w:uiPriority w:val="20"/>
    <w:qFormat/>
    <w:rsid w:val="00133EA6"/>
    <w:rPr>
      <w:i/>
      <w:iCs/>
    </w:rPr>
  </w:style>
  <w:style w:type="paragraph" w:customStyle="1" w:styleId="Body12">
    <w:name w:val="Body 12"/>
    <w:link w:val="Body12Char"/>
    <w:qFormat/>
    <w:rsid w:val="005468EC"/>
    <w:pPr>
      <w:spacing w:after="240" w:line="264" w:lineRule="auto"/>
      <w:jc w:val="both"/>
    </w:pPr>
    <w:rPr>
      <w:rFonts w:asciiTheme="minorHAnsi" w:hAnsiTheme="minorHAnsi" w:cstheme="minorHAnsi"/>
      <w:sz w:val="24"/>
      <w:szCs w:val="24"/>
      <w:lang w:eastAsia="zh-CN"/>
    </w:rPr>
  </w:style>
  <w:style w:type="character" w:customStyle="1" w:styleId="Body12Char">
    <w:name w:val="Body 12 Char"/>
    <w:basedOn w:val="DefaultParagraphFont"/>
    <w:link w:val="Body12"/>
    <w:rsid w:val="005468EC"/>
    <w:rPr>
      <w:rFonts w:asciiTheme="minorHAnsi" w:hAnsiTheme="minorHAnsi" w:cstheme="minorHAnsi"/>
      <w:sz w:val="24"/>
      <w:szCs w:val="24"/>
      <w:lang w:eastAsia="zh-CN"/>
    </w:rPr>
  </w:style>
  <w:style w:type="character" w:styleId="UnresolvedMention">
    <w:name w:val="Unresolved Mention"/>
    <w:basedOn w:val="DefaultParagraphFont"/>
    <w:uiPriority w:val="99"/>
    <w:unhideWhenUsed/>
    <w:rsid w:val="001852A2"/>
    <w:rPr>
      <w:color w:val="605E5C"/>
      <w:shd w:val="clear" w:color="auto" w:fill="E1DFDD"/>
    </w:rPr>
  </w:style>
  <w:style w:type="character" w:styleId="Mention">
    <w:name w:val="Mention"/>
    <w:basedOn w:val="DefaultParagraphFont"/>
    <w:uiPriority w:val="99"/>
    <w:unhideWhenUsed/>
    <w:rsid w:val="001852A2"/>
    <w:rPr>
      <w:color w:val="2B579A"/>
      <w:shd w:val="clear" w:color="auto" w:fill="E1DFDD"/>
    </w:rPr>
  </w:style>
  <w:style w:type="character" w:customStyle="1" w:styleId="FooterChar">
    <w:name w:val="Footer Char"/>
    <w:basedOn w:val="DefaultParagraphFont"/>
    <w:link w:val="Footer"/>
    <w:rsid w:val="003F1506"/>
    <w:rPr>
      <w:rFonts w:ascii="Arial" w:eastAsia="Times New Roman" w:hAnsi="Arial"/>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059">
      <w:bodyDiv w:val="1"/>
      <w:marLeft w:val="0"/>
      <w:marRight w:val="0"/>
      <w:marTop w:val="0"/>
      <w:marBottom w:val="0"/>
      <w:divBdr>
        <w:top w:val="none" w:sz="0" w:space="0" w:color="auto"/>
        <w:left w:val="none" w:sz="0" w:space="0" w:color="auto"/>
        <w:bottom w:val="none" w:sz="0" w:space="0" w:color="auto"/>
        <w:right w:val="none" w:sz="0" w:space="0" w:color="auto"/>
      </w:divBdr>
    </w:div>
    <w:div w:id="177307511">
      <w:bodyDiv w:val="1"/>
      <w:marLeft w:val="0"/>
      <w:marRight w:val="0"/>
      <w:marTop w:val="0"/>
      <w:marBottom w:val="0"/>
      <w:divBdr>
        <w:top w:val="none" w:sz="0" w:space="0" w:color="auto"/>
        <w:left w:val="none" w:sz="0" w:space="0" w:color="auto"/>
        <w:bottom w:val="none" w:sz="0" w:space="0" w:color="auto"/>
        <w:right w:val="none" w:sz="0" w:space="0" w:color="auto"/>
      </w:divBdr>
    </w:div>
    <w:div w:id="197471996">
      <w:bodyDiv w:val="1"/>
      <w:marLeft w:val="0"/>
      <w:marRight w:val="0"/>
      <w:marTop w:val="0"/>
      <w:marBottom w:val="0"/>
      <w:divBdr>
        <w:top w:val="none" w:sz="0" w:space="0" w:color="auto"/>
        <w:left w:val="none" w:sz="0" w:space="0" w:color="auto"/>
        <w:bottom w:val="none" w:sz="0" w:space="0" w:color="auto"/>
        <w:right w:val="none" w:sz="0" w:space="0" w:color="auto"/>
      </w:divBdr>
    </w:div>
    <w:div w:id="343020861">
      <w:bodyDiv w:val="1"/>
      <w:marLeft w:val="0"/>
      <w:marRight w:val="0"/>
      <w:marTop w:val="0"/>
      <w:marBottom w:val="0"/>
      <w:divBdr>
        <w:top w:val="none" w:sz="0" w:space="0" w:color="auto"/>
        <w:left w:val="none" w:sz="0" w:space="0" w:color="auto"/>
        <w:bottom w:val="none" w:sz="0" w:space="0" w:color="auto"/>
        <w:right w:val="none" w:sz="0" w:space="0" w:color="auto"/>
      </w:divBdr>
    </w:div>
    <w:div w:id="386150293">
      <w:bodyDiv w:val="1"/>
      <w:marLeft w:val="0"/>
      <w:marRight w:val="0"/>
      <w:marTop w:val="0"/>
      <w:marBottom w:val="0"/>
      <w:divBdr>
        <w:top w:val="none" w:sz="0" w:space="0" w:color="auto"/>
        <w:left w:val="none" w:sz="0" w:space="0" w:color="auto"/>
        <w:bottom w:val="none" w:sz="0" w:space="0" w:color="auto"/>
        <w:right w:val="none" w:sz="0" w:space="0" w:color="auto"/>
      </w:divBdr>
    </w:div>
    <w:div w:id="435828324">
      <w:bodyDiv w:val="1"/>
      <w:marLeft w:val="0"/>
      <w:marRight w:val="0"/>
      <w:marTop w:val="0"/>
      <w:marBottom w:val="0"/>
      <w:divBdr>
        <w:top w:val="none" w:sz="0" w:space="0" w:color="auto"/>
        <w:left w:val="none" w:sz="0" w:space="0" w:color="auto"/>
        <w:bottom w:val="none" w:sz="0" w:space="0" w:color="auto"/>
        <w:right w:val="none" w:sz="0" w:space="0" w:color="auto"/>
      </w:divBdr>
    </w:div>
    <w:div w:id="518202463">
      <w:bodyDiv w:val="1"/>
      <w:marLeft w:val="0"/>
      <w:marRight w:val="0"/>
      <w:marTop w:val="0"/>
      <w:marBottom w:val="0"/>
      <w:divBdr>
        <w:top w:val="none" w:sz="0" w:space="0" w:color="auto"/>
        <w:left w:val="none" w:sz="0" w:space="0" w:color="auto"/>
        <w:bottom w:val="none" w:sz="0" w:space="0" w:color="auto"/>
        <w:right w:val="none" w:sz="0" w:space="0" w:color="auto"/>
      </w:divBdr>
    </w:div>
    <w:div w:id="520779864">
      <w:bodyDiv w:val="1"/>
      <w:marLeft w:val="0"/>
      <w:marRight w:val="0"/>
      <w:marTop w:val="0"/>
      <w:marBottom w:val="0"/>
      <w:divBdr>
        <w:top w:val="none" w:sz="0" w:space="0" w:color="auto"/>
        <w:left w:val="none" w:sz="0" w:space="0" w:color="auto"/>
        <w:bottom w:val="none" w:sz="0" w:space="0" w:color="auto"/>
        <w:right w:val="none" w:sz="0" w:space="0" w:color="auto"/>
      </w:divBdr>
    </w:div>
    <w:div w:id="528104611">
      <w:bodyDiv w:val="1"/>
      <w:marLeft w:val="0"/>
      <w:marRight w:val="0"/>
      <w:marTop w:val="0"/>
      <w:marBottom w:val="0"/>
      <w:divBdr>
        <w:top w:val="none" w:sz="0" w:space="0" w:color="auto"/>
        <w:left w:val="none" w:sz="0" w:space="0" w:color="auto"/>
        <w:bottom w:val="none" w:sz="0" w:space="0" w:color="auto"/>
        <w:right w:val="none" w:sz="0" w:space="0" w:color="auto"/>
      </w:divBdr>
    </w:div>
    <w:div w:id="557210344">
      <w:bodyDiv w:val="1"/>
      <w:marLeft w:val="0"/>
      <w:marRight w:val="0"/>
      <w:marTop w:val="0"/>
      <w:marBottom w:val="0"/>
      <w:divBdr>
        <w:top w:val="none" w:sz="0" w:space="0" w:color="auto"/>
        <w:left w:val="none" w:sz="0" w:space="0" w:color="auto"/>
        <w:bottom w:val="none" w:sz="0" w:space="0" w:color="auto"/>
        <w:right w:val="none" w:sz="0" w:space="0" w:color="auto"/>
      </w:divBdr>
    </w:div>
    <w:div w:id="563294887">
      <w:bodyDiv w:val="1"/>
      <w:marLeft w:val="0"/>
      <w:marRight w:val="0"/>
      <w:marTop w:val="0"/>
      <w:marBottom w:val="0"/>
      <w:divBdr>
        <w:top w:val="none" w:sz="0" w:space="0" w:color="auto"/>
        <w:left w:val="none" w:sz="0" w:space="0" w:color="auto"/>
        <w:bottom w:val="none" w:sz="0" w:space="0" w:color="auto"/>
        <w:right w:val="none" w:sz="0" w:space="0" w:color="auto"/>
      </w:divBdr>
    </w:div>
    <w:div w:id="605816504">
      <w:bodyDiv w:val="1"/>
      <w:marLeft w:val="0"/>
      <w:marRight w:val="0"/>
      <w:marTop w:val="0"/>
      <w:marBottom w:val="0"/>
      <w:divBdr>
        <w:top w:val="none" w:sz="0" w:space="0" w:color="auto"/>
        <w:left w:val="none" w:sz="0" w:space="0" w:color="auto"/>
        <w:bottom w:val="none" w:sz="0" w:space="0" w:color="auto"/>
        <w:right w:val="none" w:sz="0" w:space="0" w:color="auto"/>
      </w:divBdr>
    </w:div>
    <w:div w:id="808059178">
      <w:bodyDiv w:val="1"/>
      <w:marLeft w:val="0"/>
      <w:marRight w:val="0"/>
      <w:marTop w:val="0"/>
      <w:marBottom w:val="0"/>
      <w:divBdr>
        <w:top w:val="none" w:sz="0" w:space="0" w:color="auto"/>
        <w:left w:val="none" w:sz="0" w:space="0" w:color="auto"/>
        <w:bottom w:val="none" w:sz="0" w:space="0" w:color="auto"/>
        <w:right w:val="none" w:sz="0" w:space="0" w:color="auto"/>
      </w:divBdr>
    </w:div>
    <w:div w:id="945502827">
      <w:bodyDiv w:val="1"/>
      <w:marLeft w:val="0"/>
      <w:marRight w:val="0"/>
      <w:marTop w:val="0"/>
      <w:marBottom w:val="0"/>
      <w:divBdr>
        <w:top w:val="none" w:sz="0" w:space="0" w:color="auto"/>
        <w:left w:val="none" w:sz="0" w:space="0" w:color="auto"/>
        <w:bottom w:val="none" w:sz="0" w:space="0" w:color="auto"/>
        <w:right w:val="none" w:sz="0" w:space="0" w:color="auto"/>
      </w:divBdr>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132669170">
      <w:bodyDiv w:val="1"/>
      <w:marLeft w:val="0"/>
      <w:marRight w:val="0"/>
      <w:marTop w:val="0"/>
      <w:marBottom w:val="0"/>
      <w:divBdr>
        <w:top w:val="none" w:sz="0" w:space="0" w:color="auto"/>
        <w:left w:val="none" w:sz="0" w:space="0" w:color="auto"/>
        <w:bottom w:val="none" w:sz="0" w:space="0" w:color="auto"/>
        <w:right w:val="none" w:sz="0" w:space="0" w:color="auto"/>
      </w:divBdr>
    </w:div>
    <w:div w:id="1177691762">
      <w:bodyDiv w:val="1"/>
      <w:marLeft w:val="0"/>
      <w:marRight w:val="0"/>
      <w:marTop w:val="0"/>
      <w:marBottom w:val="0"/>
      <w:divBdr>
        <w:top w:val="none" w:sz="0" w:space="0" w:color="auto"/>
        <w:left w:val="none" w:sz="0" w:space="0" w:color="auto"/>
        <w:bottom w:val="none" w:sz="0" w:space="0" w:color="auto"/>
        <w:right w:val="none" w:sz="0" w:space="0" w:color="auto"/>
      </w:divBdr>
    </w:div>
    <w:div w:id="1399479696">
      <w:bodyDiv w:val="1"/>
      <w:marLeft w:val="0"/>
      <w:marRight w:val="0"/>
      <w:marTop w:val="0"/>
      <w:marBottom w:val="0"/>
      <w:divBdr>
        <w:top w:val="none" w:sz="0" w:space="0" w:color="auto"/>
        <w:left w:val="none" w:sz="0" w:space="0" w:color="auto"/>
        <w:bottom w:val="none" w:sz="0" w:space="0" w:color="auto"/>
        <w:right w:val="none" w:sz="0" w:space="0" w:color="auto"/>
      </w:divBdr>
    </w:div>
    <w:div w:id="1466777577">
      <w:bodyDiv w:val="1"/>
      <w:marLeft w:val="0"/>
      <w:marRight w:val="0"/>
      <w:marTop w:val="0"/>
      <w:marBottom w:val="0"/>
      <w:divBdr>
        <w:top w:val="none" w:sz="0" w:space="0" w:color="auto"/>
        <w:left w:val="none" w:sz="0" w:space="0" w:color="auto"/>
        <w:bottom w:val="none" w:sz="0" w:space="0" w:color="auto"/>
        <w:right w:val="none" w:sz="0" w:space="0" w:color="auto"/>
      </w:divBdr>
    </w:div>
    <w:div w:id="1576548008">
      <w:bodyDiv w:val="1"/>
      <w:marLeft w:val="0"/>
      <w:marRight w:val="0"/>
      <w:marTop w:val="0"/>
      <w:marBottom w:val="0"/>
      <w:divBdr>
        <w:top w:val="none" w:sz="0" w:space="0" w:color="auto"/>
        <w:left w:val="none" w:sz="0" w:space="0" w:color="auto"/>
        <w:bottom w:val="none" w:sz="0" w:space="0" w:color="auto"/>
        <w:right w:val="none" w:sz="0" w:space="0" w:color="auto"/>
      </w:divBdr>
    </w:div>
    <w:div w:id="1602910750">
      <w:bodyDiv w:val="1"/>
      <w:marLeft w:val="0"/>
      <w:marRight w:val="0"/>
      <w:marTop w:val="0"/>
      <w:marBottom w:val="0"/>
      <w:divBdr>
        <w:top w:val="none" w:sz="0" w:space="0" w:color="auto"/>
        <w:left w:val="none" w:sz="0" w:space="0" w:color="auto"/>
        <w:bottom w:val="none" w:sz="0" w:space="0" w:color="auto"/>
        <w:right w:val="none" w:sz="0" w:space="0" w:color="auto"/>
      </w:divBdr>
    </w:div>
    <w:div w:id="1633242224">
      <w:bodyDiv w:val="1"/>
      <w:marLeft w:val="0"/>
      <w:marRight w:val="0"/>
      <w:marTop w:val="0"/>
      <w:marBottom w:val="0"/>
      <w:divBdr>
        <w:top w:val="none" w:sz="0" w:space="0" w:color="auto"/>
        <w:left w:val="none" w:sz="0" w:space="0" w:color="auto"/>
        <w:bottom w:val="none" w:sz="0" w:space="0" w:color="auto"/>
        <w:right w:val="none" w:sz="0" w:space="0" w:color="auto"/>
      </w:divBdr>
    </w:div>
    <w:div w:id="1885822926">
      <w:bodyDiv w:val="1"/>
      <w:marLeft w:val="0"/>
      <w:marRight w:val="0"/>
      <w:marTop w:val="0"/>
      <w:marBottom w:val="0"/>
      <w:divBdr>
        <w:top w:val="none" w:sz="0" w:space="0" w:color="auto"/>
        <w:left w:val="none" w:sz="0" w:space="0" w:color="auto"/>
        <w:bottom w:val="none" w:sz="0" w:space="0" w:color="auto"/>
        <w:right w:val="none" w:sz="0" w:space="0" w:color="auto"/>
      </w:divBdr>
    </w:div>
    <w:div w:id="1892419470">
      <w:bodyDiv w:val="1"/>
      <w:marLeft w:val="0"/>
      <w:marRight w:val="0"/>
      <w:marTop w:val="0"/>
      <w:marBottom w:val="0"/>
      <w:divBdr>
        <w:top w:val="none" w:sz="0" w:space="0" w:color="auto"/>
        <w:left w:val="none" w:sz="0" w:space="0" w:color="auto"/>
        <w:bottom w:val="none" w:sz="0" w:space="0" w:color="auto"/>
        <w:right w:val="none" w:sz="0" w:space="0" w:color="auto"/>
      </w:divBdr>
    </w:div>
    <w:div w:id="1932857975">
      <w:bodyDiv w:val="1"/>
      <w:marLeft w:val="0"/>
      <w:marRight w:val="0"/>
      <w:marTop w:val="0"/>
      <w:marBottom w:val="0"/>
      <w:divBdr>
        <w:top w:val="none" w:sz="0" w:space="0" w:color="auto"/>
        <w:left w:val="none" w:sz="0" w:space="0" w:color="auto"/>
        <w:bottom w:val="none" w:sz="0" w:space="0" w:color="auto"/>
        <w:right w:val="none" w:sz="0" w:space="0" w:color="auto"/>
      </w:divBdr>
    </w:div>
    <w:div w:id="1946889218">
      <w:bodyDiv w:val="1"/>
      <w:marLeft w:val="0"/>
      <w:marRight w:val="0"/>
      <w:marTop w:val="0"/>
      <w:marBottom w:val="0"/>
      <w:divBdr>
        <w:top w:val="none" w:sz="0" w:space="0" w:color="auto"/>
        <w:left w:val="none" w:sz="0" w:space="0" w:color="auto"/>
        <w:bottom w:val="none" w:sz="0" w:space="0" w:color="auto"/>
        <w:right w:val="none" w:sz="0" w:space="0" w:color="auto"/>
      </w:divBdr>
    </w:div>
    <w:div w:id="1953629085">
      <w:bodyDiv w:val="1"/>
      <w:marLeft w:val="0"/>
      <w:marRight w:val="0"/>
      <w:marTop w:val="0"/>
      <w:marBottom w:val="0"/>
      <w:divBdr>
        <w:top w:val="none" w:sz="0" w:space="0" w:color="auto"/>
        <w:left w:val="none" w:sz="0" w:space="0" w:color="auto"/>
        <w:bottom w:val="none" w:sz="0" w:space="0" w:color="auto"/>
        <w:right w:val="none" w:sz="0" w:space="0" w:color="auto"/>
      </w:divBdr>
    </w:div>
    <w:div w:id="1962876301">
      <w:bodyDiv w:val="1"/>
      <w:marLeft w:val="0"/>
      <w:marRight w:val="0"/>
      <w:marTop w:val="0"/>
      <w:marBottom w:val="0"/>
      <w:divBdr>
        <w:top w:val="none" w:sz="0" w:space="0" w:color="auto"/>
        <w:left w:val="none" w:sz="0" w:space="0" w:color="auto"/>
        <w:bottom w:val="none" w:sz="0" w:space="0" w:color="auto"/>
        <w:right w:val="none" w:sz="0" w:space="0" w:color="auto"/>
      </w:divBdr>
    </w:div>
    <w:div w:id="2022314714">
      <w:bodyDiv w:val="1"/>
      <w:marLeft w:val="0"/>
      <w:marRight w:val="0"/>
      <w:marTop w:val="0"/>
      <w:marBottom w:val="0"/>
      <w:divBdr>
        <w:top w:val="none" w:sz="0" w:space="0" w:color="auto"/>
        <w:left w:val="none" w:sz="0" w:space="0" w:color="auto"/>
        <w:bottom w:val="none" w:sz="0" w:space="0" w:color="auto"/>
        <w:right w:val="none" w:sz="0" w:space="0" w:color="auto"/>
      </w:divBdr>
      <w:divsChild>
        <w:div w:id="114301507">
          <w:marLeft w:val="0"/>
          <w:marRight w:val="0"/>
          <w:marTop w:val="0"/>
          <w:marBottom w:val="0"/>
          <w:divBdr>
            <w:top w:val="none" w:sz="0" w:space="0" w:color="auto"/>
            <w:left w:val="none" w:sz="0" w:space="0" w:color="auto"/>
            <w:bottom w:val="none" w:sz="0" w:space="0" w:color="auto"/>
            <w:right w:val="none" w:sz="0" w:space="0" w:color="auto"/>
          </w:divBdr>
          <w:divsChild>
            <w:div w:id="997926278">
              <w:marLeft w:val="0"/>
              <w:marRight w:val="0"/>
              <w:marTop w:val="0"/>
              <w:marBottom w:val="0"/>
              <w:divBdr>
                <w:top w:val="none" w:sz="0" w:space="0" w:color="auto"/>
                <w:left w:val="none" w:sz="0" w:space="0" w:color="auto"/>
                <w:bottom w:val="none" w:sz="0" w:space="0" w:color="auto"/>
                <w:right w:val="none" w:sz="0" w:space="0" w:color="auto"/>
              </w:divBdr>
            </w:div>
          </w:divsChild>
        </w:div>
        <w:div w:id="134688200">
          <w:marLeft w:val="0"/>
          <w:marRight w:val="0"/>
          <w:marTop w:val="0"/>
          <w:marBottom w:val="0"/>
          <w:divBdr>
            <w:top w:val="none" w:sz="0" w:space="0" w:color="auto"/>
            <w:left w:val="none" w:sz="0" w:space="0" w:color="auto"/>
            <w:bottom w:val="none" w:sz="0" w:space="0" w:color="auto"/>
            <w:right w:val="none" w:sz="0" w:space="0" w:color="auto"/>
          </w:divBdr>
          <w:divsChild>
            <w:div w:id="864055711">
              <w:marLeft w:val="0"/>
              <w:marRight w:val="0"/>
              <w:marTop w:val="0"/>
              <w:marBottom w:val="0"/>
              <w:divBdr>
                <w:top w:val="none" w:sz="0" w:space="0" w:color="auto"/>
                <w:left w:val="none" w:sz="0" w:space="0" w:color="auto"/>
                <w:bottom w:val="none" w:sz="0" w:space="0" w:color="auto"/>
                <w:right w:val="none" w:sz="0" w:space="0" w:color="auto"/>
              </w:divBdr>
            </w:div>
          </w:divsChild>
        </w:div>
        <w:div w:id="160244290">
          <w:marLeft w:val="0"/>
          <w:marRight w:val="0"/>
          <w:marTop w:val="0"/>
          <w:marBottom w:val="0"/>
          <w:divBdr>
            <w:top w:val="none" w:sz="0" w:space="0" w:color="auto"/>
            <w:left w:val="none" w:sz="0" w:space="0" w:color="auto"/>
            <w:bottom w:val="none" w:sz="0" w:space="0" w:color="auto"/>
            <w:right w:val="none" w:sz="0" w:space="0" w:color="auto"/>
          </w:divBdr>
          <w:divsChild>
            <w:div w:id="1656369793">
              <w:marLeft w:val="0"/>
              <w:marRight w:val="0"/>
              <w:marTop w:val="0"/>
              <w:marBottom w:val="0"/>
              <w:divBdr>
                <w:top w:val="none" w:sz="0" w:space="0" w:color="auto"/>
                <w:left w:val="none" w:sz="0" w:space="0" w:color="auto"/>
                <w:bottom w:val="none" w:sz="0" w:space="0" w:color="auto"/>
                <w:right w:val="none" w:sz="0" w:space="0" w:color="auto"/>
              </w:divBdr>
            </w:div>
          </w:divsChild>
        </w:div>
        <w:div w:id="243685439">
          <w:marLeft w:val="0"/>
          <w:marRight w:val="0"/>
          <w:marTop w:val="0"/>
          <w:marBottom w:val="0"/>
          <w:divBdr>
            <w:top w:val="none" w:sz="0" w:space="0" w:color="auto"/>
            <w:left w:val="none" w:sz="0" w:space="0" w:color="auto"/>
            <w:bottom w:val="none" w:sz="0" w:space="0" w:color="auto"/>
            <w:right w:val="none" w:sz="0" w:space="0" w:color="auto"/>
          </w:divBdr>
          <w:divsChild>
            <w:div w:id="625626324">
              <w:marLeft w:val="0"/>
              <w:marRight w:val="0"/>
              <w:marTop w:val="0"/>
              <w:marBottom w:val="0"/>
              <w:divBdr>
                <w:top w:val="none" w:sz="0" w:space="0" w:color="auto"/>
                <w:left w:val="none" w:sz="0" w:space="0" w:color="auto"/>
                <w:bottom w:val="none" w:sz="0" w:space="0" w:color="auto"/>
                <w:right w:val="none" w:sz="0" w:space="0" w:color="auto"/>
              </w:divBdr>
            </w:div>
          </w:divsChild>
        </w:div>
        <w:div w:id="244338363">
          <w:marLeft w:val="0"/>
          <w:marRight w:val="0"/>
          <w:marTop w:val="0"/>
          <w:marBottom w:val="0"/>
          <w:divBdr>
            <w:top w:val="none" w:sz="0" w:space="0" w:color="auto"/>
            <w:left w:val="none" w:sz="0" w:space="0" w:color="auto"/>
            <w:bottom w:val="none" w:sz="0" w:space="0" w:color="auto"/>
            <w:right w:val="none" w:sz="0" w:space="0" w:color="auto"/>
          </w:divBdr>
          <w:divsChild>
            <w:div w:id="136339863">
              <w:marLeft w:val="0"/>
              <w:marRight w:val="0"/>
              <w:marTop w:val="0"/>
              <w:marBottom w:val="0"/>
              <w:divBdr>
                <w:top w:val="none" w:sz="0" w:space="0" w:color="auto"/>
                <w:left w:val="none" w:sz="0" w:space="0" w:color="auto"/>
                <w:bottom w:val="none" w:sz="0" w:space="0" w:color="auto"/>
                <w:right w:val="none" w:sz="0" w:space="0" w:color="auto"/>
              </w:divBdr>
            </w:div>
          </w:divsChild>
        </w:div>
        <w:div w:id="362559795">
          <w:marLeft w:val="0"/>
          <w:marRight w:val="0"/>
          <w:marTop w:val="0"/>
          <w:marBottom w:val="0"/>
          <w:divBdr>
            <w:top w:val="none" w:sz="0" w:space="0" w:color="auto"/>
            <w:left w:val="none" w:sz="0" w:space="0" w:color="auto"/>
            <w:bottom w:val="none" w:sz="0" w:space="0" w:color="auto"/>
            <w:right w:val="none" w:sz="0" w:space="0" w:color="auto"/>
          </w:divBdr>
          <w:divsChild>
            <w:div w:id="1844858185">
              <w:marLeft w:val="0"/>
              <w:marRight w:val="0"/>
              <w:marTop w:val="0"/>
              <w:marBottom w:val="0"/>
              <w:divBdr>
                <w:top w:val="none" w:sz="0" w:space="0" w:color="auto"/>
                <w:left w:val="none" w:sz="0" w:space="0" w:color="auto"/>
                <w:bottom w:val="none" w:sz="0" w:space="0" w:color="auto"/>
                <w:right w:val="none" w:sz="0" w:space="0" w:color="auto"/>
              </w:divBdr>
            </w:div>
          </w:divsChild>
        </w:div>
        <w:div w:id="408816182">
          <w:marLeft w:val="0"/>
          <w:marRight w:val="0"/>
          <w:marTop w:val="0"/>
          <w:marBottom w:val="0"/>
          <w:divBdr>
            <w:top w:val="none" w:sz="0" w:space="0" w:color="auto"/>
            <w:left w:val="none" w:sz="0" w:space="0" w:color="auto"/>
            <w:bottom w:val="none" w:sz="0" w:space="0" w:color="auto"/>
            <w:right w:val="none" w:sz="0" w:space="0" w:color="auto"/>
          </w:divBdr>
          <w:divsChild>
            <w:div w:id="24646518">
              <w:marLeft w:val="0"/>
              <w:marRight w:val="0"/>
              <w:marTop w:val="0"/>
              <w:marBottom w:val="0"/>
              <w:divBdr>
                <w:top w:val="none" w:sz="0" w:space="0" w:color="auto"/>
                <w:left w:val="none" w:sz="0" w:space="0" w:color="auto"/>
                <w:bottom w:val="none" w:sz="0" w:space="0" w:color="auto"/>
                <w:right w:val="none" w:sz="0" w:space="0" w:color="auto"/>
              </w:divBdr>
            </w:div>
          </w:divsChild>
        </w:div>
        <w:div w:id="432287180">
          <w:marLeft w:val="0"/>
          <w:marRight w:val="0"/>
          <w:marTop w:val="0"/>
          <w:marBottom w:val="0"/>
          <w:divBdr>
            <w:top w:val="none" w:sz="0" w:space="0" w:color="auto"/>
            <w:left w:val="none" w:sz="0" w:space="0" w:color="auto"/>
            <w:bottom w:val="none" w:sz="0" w:space="0" w:color="auto"/>
            <w:right w:val="none" w:sz="0" w:space="0" w:color="auto"/>
          </w:divBdr>
          <w:divsChild>
            <w:div w:id="115569753">
              <w:marLeft w:val="0"/>
              <w:marRight w:val="0"/>
              <w:marTop w:val="0"/>
              <w:marBottom w:val="0"/>
              <w:divBdr>
                <w:top w:val="none" w:sz="0" w:space="0" w:color="auto"/>
                <w:left w:val="none" w:sz="0" w:space="0" w:color="auto"/>
                <w:bottom w:val="none" w:sz="0" w:space="0" w:color="auto"/>
                <w:right w:val="none" w:sz="0" w:space="0" w:color="auto"/>
              </w:divBdr>
            </w:div>
          </w:divsChild>
        </w:div>
        <w:div w:id="442843665">
          <w:marLeft w:val="0"/>
          <w:marRight w:val="0"/>
          <w:marTop w:val="0"/>
          <w:marBottom w:val="0"/>
          <w:divBdr>
            <w:top w:val="none" w:sz="0" w:space="0" w:color="auto"/>
            <w:left w:val="none" w:sz="0" w:space="0" w:color="auto"/>
            <w:bottom w:val="none" w:sz="0" w:space="0" w:color="auto"/>
            <w:right w:val="none" w:sz="0" w:space="0" w:color="auto"/>
          </w:divBdr>
          <w:divsChild>
            <w:div w:id="1146706197">
              <w:marLeft w:val="0"/>
              <w:marRight w:val="0"/>
              <w:marTop w:val="0"/>
              <w:marBottom w:val="0"/>
              <w:divBdr>
                <w:top w:val="none" w:sz="0" w:space="0" w:color="auto"/>
                <w:left w:val="none" w:sz="0" w:space="0" w:color="auto"/>
                <w:bottom w:val="none" w:sz="0" w:space="0" w:color="auto"/>
                <w:right w:val="none" w:sz="0" w:space="0" w:color="auto"/>
              </w:divBdr>
            </w:div>
          </w:divsChild>
        </w:div>
        <w:div w:id="442924377">
          <w:marLeft w:val="0"/>
          <w:marRight w:val="0"/>
          <w:marTop w:val="0"/>
          <w:marBottom w:val="0"/>
          <w:divBdr>
            <w:top w:val="none" w:sz="0" w:space="0" w:color="auto"/>
            <w:left w:val="none" w:sz="0" w:space="0" w:color="auto"/>
            <w:bottom w:val="none" w:sz="0" w:space="0" w:color="auto"/>
            <w:right w:val="none" w:sz="0" w:space="0" w:color="auto"/>
          </w:divBdr>
          <w:divsChild>
            <w:div w:id="802428777">
              <w:marLeft w:val="0"/>
              <w:marRight w:val="0"/>
              <w:marTop w:val="0"/>
              <w:marBottom w:val="0"/>
              <w:divBdr>
                <w:top w:val="none" w:sz="0" w:space="0" w:color="auto"/>
                <w:left w:val="none" w:sz="0" w:space="0" w:color="auto"/>
                <w:bottom w:val="none" w:sz="0" w:space="0" w:color="auto"/>
                <w:right w:val="none" w:sz="0" w:space="0" w:color="auto"/>
              </w:divBdr>
            </w:div>
          </w:divsChild>
        </w:div>
        <w:div w:id="476649548">
          <w:marLeft w:val="0"/>
          <w:marRight w:val="0"/>
          <w:marTop w:val="0"/>
          <w:marBottom w:val="0"/>
          <w:divBdr>
            <w:top w:val="none" w:sz="0" w:space="0" w:color="auto"/>
            <w:left w:val="none" w:sz="0" w:space="0" w:color="auto"/>
            <w:bottom w:val="none" w:sz="0" w:space="0" w:color="auto"/>
            <w:right w:val="none" w:sz="0" w:space="0" w:color="auto"/>
          </w:divBdr>
          <w:divsChild>
            <w:div w:id="2020890414">
              <w:marLeft w:val="0"/>
              <w:marRight w:val="0"/>
              <w:marTop w:val="0"/>
              <w:marBottom w:val="0"/>
              <w:divBdr>
                <w:top w:val="none" w:sz="0" w:space="0" w:color="auto"/>
                <w:left w:val="none" w:sz="0" w:space="0" w:color="auto"/>
                <w:bottom w:val="none" w:sz="0" w:space="0" w:color="auto"/>
                <w:right w:val="none" w:sz="0" w:space="0" w:color="auto"/>
              </w:divBdr>
            </w:div>
          </w:divsChild>
        </w:div>
        <w:div w:id="501968306">
          <w:marLeft w:val="0"/>
          <w:marRight w:val="0"/>
          <w:marTop w:val="0"/>
          <w:marBottom w:val="0"/>
          <w:divBdr>
            <w:top w:val="none" w:sz="0" w:space="0" w:color="auto"/>
            <w:left w:val="none" w:sz="0" w:space="0" w:color="auto"/>
            <w:bottom w:val="none" w:sz="0" w:space="0" w:color="auto"/>
            <w:right w:val="none" w:sz="0" w:space="0" w:color="auto"/>
          </w:divBdr>
          <w:divsChild>
            <w:div w:id="214006800">
              <w:marLeft w:val="0"/>
              <w:marRight w:val="0"/>
              <w:marTop w:val="0"/>
              <w:marBottom w:val="0"/>
              <w:divBdr>
                <w:top w:val="none" w:sz="0" w:space="0" w:color="auto"/>
                <w:left w:val="none" w:sz="0" w:space="0" w:color="auto"/>
                <w:bottom w:val="none" w:sz="0" w:space="0" w:color="auto"/>
                <w:right w:val="none" w:sz="0" w:space="0" w:color="auto"/>
              </w:divBdr>
            </w:div>
          </w:divsChild>
        </w:div>
        <w:div w:id="777918425">
          <w:marLeft w:val="0"/>
          <w:marRight w:val="0"/>
          <w:marTop w:val="0"/>
          <w:marBottom w:val="0"/>
          <w:divBdr>
            <w:top w:val="none" w:sz="0" w:space="0" w:color="auto"/>
            <w:left w:val="none" w:sz="0" w:space="0" w:color="auto"/>
            <w:bottom w:val="none" w:sz="0" w:space="0" w:color="auto"/>
            <w:right w:val="none" w:sz="0" w:space="0" w:color="auto"/>
          </w:divBdr>
          <w:divsChild>
            <w:div w:id="2014525859">
              <w:marLeft w:val="0"/>
              <w:marRight w:val="0"/>
              <w:marTop w:val="0"/>
              <w:marBottom w:val="0"/>
              <w:divBdr>
                <w:top w:val="none" w:sz="0" w:space="0" w:color="auto"/>
                <w:left w:val="none" w:sz="0" w:space="0" w:color="auto"/>
                <w:bottom w:val="none" w:sz="0" w:space="0" w:color="auto"/>
                <w:right w:val="none" w:sz="0" w:space="0" w:color="auto"/>
              </w:divBdr>
            </w:div>
          </w:divsChild>
        </w:div>
        <w:div w:id="839464016">
          <w:marLeft w:val="0"/>
          <w:marRight w:val="0"/>
          <w:marTop w:val="0"/>
          <w:marBottom w:val="0"/>
          <w:divBdr>
            <w:top w:val="none" w:sz="0" w:space="0" w:color="auto"/>
            <w:left w:val="none" w:sz="0" w:space="0" w:color="auto"/>
            <w:bottom w:val="none" w:sz="0" w:space="0" w:color="auto"/>
            <w:right w:val="none" w:sz="0" w:space="0" w:color="auto"/>
          </w:divBdr>
          <w:divsChild>
            <w:div w:id="407192632">
              <w:marLeft w:val="0"/>
              <w:marRight w:val="0"/>
              <w:marTop w:val="0"/>
              <w:marBottom w:val="0"/>
              <w:divBdr>
                <w:top w:val="none" w:sz="0" w:space="0" w:color="auto"/>
                <w:left w:val="none" w:sz="0" w:space="0" w:color="auto"/>
                <w:bottom w:val="none" w:sz="0" w:space="0" w:color="auto"/>
                <w:right w:val="none" w:sz="0" w:space="0" w:color="auto"/>
              </w:divBdr>
            </w:div>
          </w:divsChild>
        </w:div>
        <w:div w:id="847908503">
          <w:marLeft w:val="0"/>
          <w:marRight w:val="0"/>
          <w:marTop w:val="0"/>
          <w:marBottom w:val="0"/>
          <w:divBdr>
            <w:top w:val="none" w:sz="0" w:space="0" w:color="auto"/>
            <w:left w:val="none" w:sz="0" w:space="0" w:color="auto"/>
            <w:bottom w:val="none" w:sz="0" w:space="0" w:color="auto"/>
            <w:right w:val="none" w:sz="0" w:space="0" w:color="auto"/>
          </w:divBdr>
          <w:divsChild>
            <w:div w:id="1379889732">
              <w:marLeft w:val="0"/>
              <w:marRight w:val="0"/>
              <w:marTop w:val="0"/>
              <w:marBottom w:val="0"/>
              <w:divBdr>
                <w:top w:val="none" w:sz="0" w:space="0" w:color="auto"/>
                <w:left w:val="none" w:sz="0" w:space="0" w:color="auto"/>
                <w:bottom w:val="none" w:sz="0" w:space="0" w:color="auto"/>
                <w:right w:val="none" w:sz="0" w:space="0" w:color="auto"/>
              </w:divBdr>
            </w:div>
          </w:divsChild>
        </w:div>
        <w:div w:id="856581138">
          <w:marLeft w:val="0"/>
          <w:marRight w:val="0"/>
          <w:marTop w:val="0"/>
          <w:marBottom w:val="0"/>
          <w:divBdr>
            <w:top w:val="none" w:sz="0" w:space="0" w:color="auto"/>
            <w:left w:val="none" w:sz="0" w:space="0" w:color="auto"/>
            <w:bottom w:val="none" w:sz="0" w:space="0" w:color="auto"/>
            <w:right w:val="none" w:sz="0" w:space="0" w:color="auto"/>
          </w:divBdr>
          <w:divsChild>
            <w:div w:id="1717852608">
              <w:marLeft w:val="0"/>
              <w:marRight w:val="0"/>
              <w:marTop w:val="0"/>
              <w:marBottom w:val="0"/>
              <w:divBdr>
                <w:top w:val="none" w:sz="0" w:space="0" w:color="auto"/>
                <w:left w:val="none" w:sz="0" w:space="0" w:color="auto"/>
                <w:bottom w:val="none" w:sz="0" w:space="0" w:color="auto"/>
                <w:right w:val="none" w:sz="0" w:space="0" w:color="auto"/>
              </w:divBdr>
            </w:div>
          </w:divsChild>
        </w:div>
        <w:div w:id="885069787">
          <w:marLeft w:val="0"/>
          <w:marRight w:val="0"/>
          <w:marTop w:val="0"/>
          <w:marBottom w:val="0"/>
          <w:divBdr>
            <w:top w:val="none" w:sz="0" w:space="0" w:color="auto"/>
            <w:left w:val="none" w:sz="0" w:space="0" w:color="auto"/>
            <w:bottom w:val="none" w:sz="0" w:space="0" w:color="auto"/>
            <w:right w:val="none" w:sz="0" w:space="0" w:color="auto"/>
          </w:divBdr>
          <w:divsChild>
            <w:div w:id="1678726538">
              <w:marLeft w:val="0"/>
              <w:marRight w:val="0"/>
              <w:marTop w:val="0"/>
              <w:marBottom w:val="0"/>
              <w:divBdr>
                <w:top w:val="none" w:sz="0" w:space="0" w:color="auto"/>
                <w:left w:val="none" w:sz="0" w:space="0" w:color="auto"/>
                <w:bottom w:val="none" w:sz="0" w:space="0" w:color="auto"/>
                <w:right w:val="none" w:sz="0" w:space="0" w:color="auto"/>
              </w:divBdr>
            </w:div>
          </w:divsChild>
        </w:div>
        <w:div w:id="1004745994">
          <w:marLeft w:val="0"/>
          <w:marRight w:val="0"/>
          <w:marTop w:val="0"/>
          <w:marBottom w:val="0"/>
          <w:divBdr>
            <w:top w:val="none" w:sz="0" w:space="0" w:color="auto"/>
            <w:left w:val="none" w:sz="0" w:space="0" w:color="auto"/>
            <w:bottom w:val="none" w:sz="0" w:space="0" w:color="auto"/>
            <w:right w:val="none" w:sz="0" w:space="0" w:color="auto"/>
          </w:divBdr>
          <w:divsChild>
            <w:div w:id="1668054767">
              <w:marLeft w:val="0"/>
              <w:marRight w:val="0"/>
              <w:marTop w:val="0"/>
              <w:marBottom w:val="0"/>
              <w:divBdr>
                <w:top w:val="none" w:sz="0" w:space="0" w:color="auto"/>
                <w:left w:val="none" w:sz="0" w:space="0" w:color="auto"/>
                <w:bottom w:val="none" w:sz="0" w:space="0" w:color="auto"/>
                <w:right w:val="none" w:sz="0" w:space="0" w:color="auto"/>
              </w:divBdr>
            </w:div>
          </w:divsChild>
        </w:div>
        <w:div w:id="1093472177">
          <w:marLeft w:val="0"/>
          <w:marRight w:val="0"/>
          <w:marTop w:val="0"/>
          <w:marBottom w:val="0"/>
          <w:divBdr>
            <w:top w:val="none" w:sz="0" w:space="0" w:color="auto"/>
            <w:left w:val="none" w:sz="0" w:space="0" w:color="auto"/>
            <w:bottom w:val="none" w:sz="0" w:space="0" w:color="auto"/>
            <w:right w:val="none" w:sz="0" w:space="0" w:color="auto"/>
          </w:divBdr>
          <w:divsChild>
            <w:div w:id="898781341">
              <w:marLeft w:val="0"/>
              <w:marRight w:val="0"/>
              <w:marTop w:val="0"/>
              <w:marBottom w:val="0"/>
              <w:divBdr>
                <w:top w:val="none" w:sz="0" w:space="0" w:color="auto"/>
                <w:left w:val="none" w:sz="0" w:space="0" w:color="auto"/>
                <w:bottom w:val="none" w:sz="0" w:space="0" w:color="auto"/>
                <w:right w:val="none" w:sz="0" w:space="0" w:color="auto"/>
              </w:divBdr>
            </w:div>
          </w:divsChild>
        </w:div>
        <w:div w:id="1180041771">
          <w:marLeft w:val="0"/>
          <w:marRight w:val="0"/>
          <w:marTop w:val="0"/>
          <w:marBottom w:val="0"/>
          <w:divBdr>
            <w:top w:val="none" w:sz="0" w:space="0" w:color="auto"/>
            <w:left w:val="none" w:sz="0" w:space="0" w:color="auto"/>
            <w:bottom w:val="none" w:sz="0" w:space="0" w:color="auto"/>
            <w:right w:val="none" w:sz="0" w:space="0" w:color="auto"/>
          </w:divBdr>
          <w:divsChild>
            <w:div w:id="1990405385">
              <w:marLeft w:val="0"/>
              <w:marRight w:val="0"/>
              <w:marTop w:val="0"/>
              <w:marBottom w:val="0"/>
              <w:divBdr>
                <w:top w:val="none" w:sz="0" w:space="0" w:color="auto"/>
                <w:left w:val="none" w:sz="0" w:space="0" w:color="auto"/>
                <w:bottom w:val="none" w:sz="0" w:space="0" w:color="auto"/>
                <w:right w:val="none" w:sz="0" w:space="0" w:color="auto"/>
              </w:divBdr>
            </w:div>
          </w:divsChild>
        </w:div>
        <w:div w:id="1262449436">
          <w:marLeft w:val="0"/>
          <w:marRight w:val="0"/>
          <w:marTop w:val="0"/>
          <w:marBottom w:val="0"/>
          <w:divBdr>
            <w:top w:val="none" w:sz="0" w:space="0" w:color="auto"/>
            <w:left w:val="none" w:sz="0" w:space="0" w:color="auto"/>
            <w:bottom w:val="none" w:sz="0" w:space="0" w:color="auto"/>
            <w:right w:val="none" w:sz="0" w:space="0" w:color="auto"/>
          </w:divBdr>
          <w:divsChild>
            <w:div w:id="1293243987">
              <w:marLeft w:val="0"/>
              <w:marRight w:val="0"/>
              <w:marTop w:val="0"/>
              <w:marBottom w:val="0"/>
              <w:divBdr>
                <w:top w:val="none" w:sz="0" w:space="0" w:color="auto"/>
                <w:left w:val="none" w:sz="0" w:space="0" w:color="auto"/>
                <w:bottom w:val="none" w:sz="0" w:space="0" w:color="auto"/>
                <w:right w:val="none" w:sz="0" w:space="0" w:color="auto"/>
              </w:divBdr>
            </w:div>
          </w:divsChild>
        </w:div>
        <w:div w:id="1281841365">
          <w:marLeft w:val="0"/>
          <w:marRight w:val="0"/>
          <w:marTop w:val="0"/>
          <w:marBottom w:val="0"/>
          <w:divBdr>
            <w:top w:val="none" w:sz="0" w:space="0" w:color="auto"/>
            <w:left w:val="none" w:sz="0" w:space="0" w:color="auto"/>
            <w:bottom w:val="none" w:sz="0" w:space="0" w:color="auto"/>
            <w:right w:val="none" w:sz="0" w:space="0" w:color="auto"/>
          </w:divBdr>
          <w:divsChild>
            <w:div w:id="1659846759">
              <w:marLeft w:val="0"/>
              <w:marRight w:val="0"/>
              <w:marTop w:val="0"/>
              <w:marBottom w:val="0"/>
              <w:divBdr>
                <w:top w:val="none" w:sz="0" w:space="0" w:color="auto"/>
                <w:left w:val="none" w:sz="0" w:space="0" w:color="auto"/>
                <w:bottom w:val="none" w:sz="0" w:space="0" w:color="auto"/>
                <w:right w:val="none" w:sz="0" w:space="0" w:color="auto"/>
              </w:divBdr>
            </w:div>
          </w:divsChild>
        </w:div>
        <w:div w:id="1318606026">
          <w:marLeft w:val="0"/>
          <w:marRight w:val="0"/>
          <w:marTop w:val="0"/>
          <w:marBottom w:val="0"/>
          <w:divBdr>
            <w:top w:val="none" w:sz="0" w:space="0" w:color="auto"/>
            <w:left w:val="none" w:sz="0" w:space="0" w:color="auto"/>
            <w:bottom w:val="none" w:sz="0" w:space="0" w:color="auto"/>
            <w:right w:val="none" w:sz="0" w:space="0" w:color="auto"/>
          </w:divBdr>
          <w:divsChild>
            <w:div w:id="1471508550">
              <w:marLeft w:val="0"/>
              <w:marRight w:val="0"/>
              <w:marTop w:val="0"/>
              <w:marBottom w:val="0"/>
              <w:divBdr>
                <w:top w:val="none" w:sz="0" w:space="0" w:color="auto"/>
                <w:left w:val="none" w:sz="0" w:space="0" w:color="auto"/>
                <w:bottom w:val="none" w:sz="0" w:space="0" w:color="auto"/>
                <w:right w:val="none" w:sz="0" w:space="0" w:color="auto"/>
              </w:divBdr>
            </w:div>
          </w:divsChild>
        </w:div>
        <w:div w:id="1368529931">
          <w:marLeft w:val="0"/>
          <w:marRight w:val="0"/>
          <w:marTop w:val="0"/>
          <w:marBottom w:val="0"/>
          <w:divBdr>
            <w:top w:val="none" w:sz="0" w:space="0" w:color="auto"/>
            <w:left w:val="none" w:sz="0" w:space="0" w:color="auto"/>
            <w:bottom w:val="none" w:sz="0" w:space="0" w:color="auto"/>
            <w:right w:val="none" w:sz="0" w:space="0" w:color="auto"/>
          </w:divBdr>
          <w:divsChild>
            <w:div w:id="1626155854">
              <w:marLeft w:val="0"/>
              <w:marRight w:val="0"/>
              <w:marTop w:val="0"/>
              <w:marBottom w:val="0"/>
              <w:divBdr>
                <w:top w:val="none" w:sz="0" w:space="0" w:color="auto"/>
                <w:left w:val="none" w:sz="0" w:space="0" w:color="auto"/>
                <w:bottom w:val="none" w:sz="0" w:space="0" w:color="auto"/>
                <w:right w:val="none" w:sz="0" w:space="0" w:color="auto"/>
              </w:divBdr>
            </w:div>
          </w:divsChild>
        </w:div>
        <w:div w:id="1432429879">
          <w:marLeft w:val="0"/>
          <w:marRight w:val="0"/>
          <w:marTop w:val="0"/>
          <w:marBottom w:val="0"/>
          <w:divBdr>
            <w:top w:val="none" w:sz="0" w:space="0" w:color="auto"/>
            <w:left w:val="none" w:sz="0" w:space="0" w:color="auto"/>
            <w:bottom w:val="none" w:sz="0" w:space="0" w:color="auto"/>
            <w:right w:val="none" w:sz="0" w:space="0" w:color="auto"/>
          </w:divBdr>
          <w:divsChild>
            <w:div w:id="946891042">
              <w:marLeft w:val="0"/>
              <w:marRight w:val="0"/>
              <w:marTop w:val="0"/>
              <w:marBottom w:val="0"/>
              <w:divBdr>
                <w:top w:val="none" w:sz="0" w:space="0" w:color="auto"/>
                <w:left w:val="none" w:sz="0" w:space="0" w:color="auto"/>
                <w:bottom w:val="none" w:sz="0" w:space="0" w:color="auto"/>
                <w:right w:val="none" w:sz="0" w:space="0" w:color="auto"/>
              </w:divBdr>
            </w:div>
          </w:divsChild>
        </w:div>
        <w:div w:id="1441224595">
          <w:marLeft w:val="0"/>
          <w:marRight w:val="0"/>
          <w:marTop w:val="0"/>
          <w:marBottom w:val="0"/>
          <w:divBdr>
            <w:top w:val="none" w:sz="0" w:space="0" w:color="auto"/>
            <w:left w:val="none" w:sz="0" w:space="0" w:color="auto"/>
            <w:bottom w:val="none" w:sz="0" w:space="0" w:color="auto"/>
            <w:right w:val="none" w:sz="0" w:space="0" w:color="auto"/>
          </w:divBdr>
          <w:divsChild>
            <w:div w:id="282079147">
              <w:marLeft w:val="0"/>
              <w:marRight w:val="0"/>
              <w:marTop w:val="0"/>
              <w:marBottom w:val="0"/>
              <w:divBdr>
                <w:top w:val="none" w:sz="0" w:space="0" w:color="auto"/>
                <w:left w:val="none" w:sz="0" w:space="0" w:color="auto"/>
                <w:bottom w:val="none" w:sz="0" w:space="0" w:color="auto"/>
                <w:right w:val="none" w:sz="0" w:space="0" w:color="auto"/>
              </w:divBdr>
            </w:div>
          </w:divsChild>
        </w:div>
        <w:div w:id="1469787913">
          <w:marLeft w:val="0"/>
          <w:marRight w:val="0"/>
          <w:marTop w:val="0"/>
          <w:marBottom w:val="0"/>
          <w:divBdr>
            <w:top w:val="none" w:sz="0" w:space="0" w:color="auto"/>
            <w:left w:val="none" w:sz="0" w:space="0" w:color="auto"/>
            <w:bottom w:val="none" w:sz="0" w:space="0" w:color="auto"/>
            <w:right w:val="none" w:sz="0" w:space="0" w:color="auto"/>
          </w:divBdr>
          <w:divsChild>
            <w:div w:id="726073356">
              <w:marLeft w:val="0"/>
              <w:marRight w:val="0"/>
              <w:marTop w:val="0"/>
              <w:marBottom w:val="0"/>
              <w:divBdr>
                <w:top w:val="none" w:sz="0" w:space="0" w:color="auto"/>
                <w:left w:val="none" w:sz="0" w:space="0" w:color="auto"/>
                <w:bottom w:val="none" w:sz="0" w:space="0" w:color="auto"/>
                <w:right w:val="none" w:sz="0" w:space="0" w:color="auto"/>
              </w:divBdr>
            </w:div>
          </w:divsChild>
        </w:div>
        <w:div w:id="1560287635">
          <w:marLeft w:val="0"/>
          <w:marRight w:val="0"/>
          <w:marTop w:val="0"/>
          <w:marBottom w:val="0"/>
          <w:divBdr>
            <w:top w:val="none" w:sz="0" w:space="0" w:color="auto"/>
            <w:left w:val="none" w:sz="0" w:space="0" w:color="auto"/>
            <w:bottom w:val="none" w:sz="0" w:space="0" w:color="auto"/>
            <w:right w:val="none" w:sz="0" w:space="0" w:color="auto"/>
          </w:divBdr>
          <w:divsChild>
            <w:div w:id="1132871113">
              <w:marLeft w:val="0"/>
              <w:marRight w:val="0"/>
              <w:marTop w:val="0"/>
              <w:marBottom w:val="0"/>
              <w:divBdr>
                <w:top w:val="none" w:sz="0" w:space="0" w:color="auto"/>
                <w:left w:val="none" w:sz="0" w:space="0" w:color="auto"/>
                <w:bottom w:val="none" w:sz="0" w:space="0" w:color="auto"/>
                <w:right w:val="none" w:sz="0" w:space="0" w:color="auto"/>
              </w:divBdr>
            </w:div>
          </w:divsChild>
        </w:div>
        <w:div w:id="1575967655">
          <w:marLeft w:val="0"/>
          <w:marRight w:val="0"/>
          <w:marTop w:val="0"/>
          <w:marBottom w:val="0"/>
          <w:divBdr>
            <w:top w:val="none" w:sz="0" w:space="0" w:color="auto"/>
            <w:left w:val="none" w:sz="0" w:space="0" w:color="auto"/>
            <w:bottom w:val="none" w:sz="0" w:space="0" w:color="auto"/>
            <w:right w:val="none" w:sz="0" w:space="0" w:color="auto"/>
          </w:divBdr>
          <w:divsChild>
            <w:div w:id="329600842">
              <w:marLeft w:val="0"/>
              <w:marRight w:val="0"/>
              <w:marTop w:val="0"/>
              <w:marBottom w:val="0"/>
              <w:divBdr>
                <w:top w:val="none" w:sz="0" w:space="0" w:color="auto"/>
                <w:left w:val="none" w:sz="0" w:space="0" w:color="auto"/>
                <w:bottom w:val="none" w:sz="0" w:space="0" w:color="auto"/>
                <w:right w:val="none" w:sz="0" w:space="0" w:color="auto"/>
              </w:divBdr>
            </w:div>
          </w:divsChild>
        </w:div>
        <w:div w:id="1576477957">
          <w:marLeft w:val="0"/>
          <w:marRight w:val="0"/>
          <w:marTop w:val="0"/>
          <w:marBottom w:val="0"/>
          <w:divBdr>
            <w:top w:val="none" w:sz="0" w:space="0" w:color="auto"/>
            <w:left w:val="none" w:sz="0" w:space="0" w:color="auto"/>
            <w:bottom w:val="none" w:sz="0" w:space="0" w:color="auto"/>
            <w:right w:val="none" w:sz="0" w:space="0" w:color="auto"/>
          </w:divBdr>
          <w:divsChild>
            <w:div w:id="2099323138">
              <w:marLeft w:val="0"/>
              <w:marRight w:val="0"/>
              <w:marTop w:val="0"/>
              <w:marBottom w:val="0"/>
              <w:divBdr>
                <w:top w:val="none" w:sz="0" w:space="0" w:color="auto"/>
                <w:left w:val="none" w:sz="0" w:space="0" w:color="auto"/>
                <w:bottom w:val="none" w:sz="0" w:space="0" w:color="auto"/>
                <w:right w:val="none" w:sz="0" w:space="0" w:color="auto"/>
              </w:divBdr>
            </w:div>
          </w:divsChild>
        </w:div>
        <w:div w:id="1622110796">
          <w:marLeft w:val="0"/>
          <w:marRight w:val="0"/>
          <w:marTop w:val="0"/>
          <w:marBottom w:val="0"/>
          <w:divBdr>
            <w:top w:val="none" w:sz="0" w:space="0" w:color="auto"/>
            <w:left w:val="none" w:sz="0" w:space="0" w:color="auto"/>
            <w:bottom w:val="none" w:sz="0" w:space="0" w:color="auto"/>
            <w:right w:val="none" w:sz="0" w:space="0" w:color="auto"/>
          </w:divBdr>
          <w:divsChild>
            <w:div w:id="944966879">
              <w:marLeft w:val="0"/>
              <w:marRight w:val="0"/>
              <w:marTop w:val="0"/>
              <w:marBottom w:val="0"/>
              <w:divBdr>
                <w:top w:val="none" w:sz="0" w:space="0" w:color="auto"/>
                <w:left w:val="none" w:sz="0" w:space="0" w:color="auto"/>
                <w:bottom w:val="none" w:sz="0" w:space="0" w:color="auto"/>
                <w:right w:val="none" w:sz="0" w:space="0" w:color="auto"/>
              </w:divBdr>
            </w:div>
          </w:divsChild>
        </w:div>
        <w:div w:id="1744176045">
          <w:marLeft w:val="0"/>
          <w:marRight w:val="0"/>
          <w:marTop w:val="0"/>
          <w:marBottom w:val="0"/>
          <w:divBdr>
            <w:top w:val="none" w:sz="0" w:space="0" w:color="auto"/>
            <w:left w:val="none" w:sz="0" w:space="0" w:color="auto"/>
            <w:bottom w:val="none" w:sz="0" w:space="0" w:color="auto"/>
            <w:right w:val="none" w:sz="0" w:space="0" w:color="auto"/>
          </w:divBdr>
          <w:divsChild>
            <w:div w:id="1304315658">
              <w:marLeft w:val="0"/>
              <w:marRight w:val="0"/>
              <w:marTop w:val="0"/>
              <w:marBottom w:val="0"/>
              <w:divBdr>
                <w:top w:val="none" w:sz="0" w:space="0" w:color="auto"/>
                <w:left w:val="none" w:sz="0" w:space="0" w:color="auto"/>
                <w:bottom w:val="none" w:sz="0" w:space="0" w:color="auto"/>
                <w:right w:val="none" w:sz="0" w:space="0" w:color="auto"/>
              </w:divBdr>
            </w:div>
          </w:divsChild>
        </w:div>
        <w:div w:id="1808738583">
          <w:marLeft w:val="0"/>
          <w:marRight w:val="0"/>
          <w:marTop w:val="0"/>
          <w:marBottom w:val="0"/>
          <w:divBdr>
            <w:top w:val="none" w:sz="0" w:space="0" w:color="auto"/>
            <w:left w:val="none" w:sz="0" w:space="0" w:color="auto"/>
            <w:bottom w:val="none" w:sz="0" w:space="0" w:color="auto"/>
            <w:right w:val="none" w:sz="0" w:space="0" w:color="auto"/>
          </w:divBdr>
          <w:divsChild>
            <w:div w:id="1093017481">
              <w:marLeft w:val="0"/>
              <w:marRight w:val="0"/>
              <w:marTop w:val="0"/>
              <w:marBottom w:val="0"/>
              <w:divBdr>
                <w:top w:val="none" w:sz="0" w:space="0" w:color="auto"/>
                <w:left w:val="none" w:sz="0" w:space="0" w:color="auto"/>
                <w:bottom w:val="none" w:sz="0" w:space="0" w:color="auto"/>
                <w:right w:val="none" w:sz="0" w:space="0" w:color="auto"/>
              </w:divBdr>
            </w:div>
          </w:divsChild>
        </w:div>
        <w:div w:id="1832406080">
          <w:marLeft w:val="0"/>
          <w:marRight w:val="0"/>
          <w:marTop w:val="0"/>
          <w:marBottom w:val="0"/>
          <w:divBdr>
            <w:top w:val="none" w:sz="0" w:space="0" w:color="auto"/>
            <w:left w:val="none" w:sz="0" w:space="0" w:color="auto"/>
            <w:bottom w:val="none" w:sz="0" w:space="0" w:color="auto"/>
            <w:right w:val="none" w:sz="0" w:space="0" w:color="auto"/>
          </w:divBdr>
          <w:divsChild>
            <w:div w:id="1078331065">
              <w:marLeft w:val="0"/>
              <w:marRight w:val="0"/>
              <w:marTop w:val="0"/>
              <w:marBottom w:val="0"/>
              <w:divBdr>
                <w:top w:val="none" w:sz="0" w:space="0" w:color="auto"/>
                <w:left w:val="none" w:sz="0" w:space="0" w:color="auto"/>
                <w:bottom w:val="none" w:sz="0" w:space="0" w:color="auto"/>
                <w:right w:val="none" w:sz="0" w:space="0" w:color="auto"/>
              </w:divBdr>
            </w:div>
          </w:divsChild>
        </w:div>
        <w:div w:id="1942910612">
          <w:marLeft w:val="0"/>
          <w:marRight w:val="0"/>
          <w:marTop w:val="0"/>
          <w:marBottom w:val="0"/>
          <w:divBdr>
            <w:top w:val="none" w:sz="0" w:space="0" w:color="auto"/>
            <w:left w:val="none" w:sz="0" w:space="0" w:color="auto"/>
            <w:bottom w:val="none" w:sz="0" w:space="0" w:color="auto"/>
            <w:right w:val="none" w:sz="0" w:space="0" w:color="auto"/>
          </w:divBdr>
          <w:divsChild>
            <w:div w:id="1897080137">
              <w:marLeft w:val="0"/>
              <w:marRight w:val="0"/>
              <w:marTop w:val="0"/>
              <w:marBottom w:val="0"/>
              <w:divBdr>
                <w:top w:val="none" w:sz="0" w:space="0" w:color="auto"/>
                <w:left w:val="none" w:sz="0" w:space="0" w:color="auto"/>
                <w:bottom w:val="none" w:sz="0" w:space="0" w:color="auto"/>
                <w:right w:val="none" w:sz="0" w:space="0" w:color="auto"/>
              </w:divBdr>
            </w:div>
          </w:divsChild>
        </w:div>
        <w:div w:id="2021464432">
          <w:marLeft w:val="0"/>
          <w:marRight w:val="0"/>
          <w:marTop w:val="0"/>
          <w:marBottom w:val="0"/>
          <w:divBdr>
            <w:top w:val="none" w:sz="0" w:space="0" w:color="auto"/>
            <w:left w:val="none" w:sz="0" w:space="0" w:color="auto"/>
            <w:bottom w:val="none" w:sz="0" w:space="0" w:color="auto"/>
            <w:right w:val="none" w:sz="0" w:space="0" w:color="auto"/>
          </w:divBdr>
          <w:divsChild>
            <w:div w:id="21204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1416F5-E015-44DA-ADA6-BBCE2C2EA31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7c5d8-3a5f-4192-b806-53dcd7ae2640">
      <Terms xmlns="http://schemas.microsoft.com/office/infopath/2007/PartnerControls"/>
    </lcf76f155ced4ddcb4097134ff3c332f>
    <TaxCatchAll xmlns="fac71284-9f27-4cd8-a8f2-4e0cc7bcd5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4AF84B1C405D45978A8071637D454B" ma:contentTypeVersion="12" ma:contentTypeDescription="Create a new document." ma:contentTypeScope="" ma:versionID="82571606a835ca5f26f17aea614e614d">
  <xsd:schema xmlns:xsd="http://www.w3.org/2001/XMLSchema" xmlns:xs="http://www.w3.org/2001/XMLSchema" xmlns:p="http://schemas.microsoft.com/office/2006/metadata/properties" xmlns:ns2="eb27c5d8-3a5f-4192-b806-53dcd7ae2640" xmlns:ns3="fac71284-9f27-4cd8-a8f2-4e0cc7bcd502" targetNamespace="http://schemas.microsoft.com/office/2006/metadata/properties" ma:root="true" ma:fieldsID="9c3bbaabf82876cc59f63947c2437319" ns2:_="" ns3:_="">
    <xsd:import namespace="eb27c5d8-3a5f-4192-b806-53dcd7ae2640"/>
    <xsd:import namespace="fac71284-9f27-4cd8-a8f2-4e0cc7bcd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7c5d8-3a5f-4192-b806-53dcd7ae2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78178-8f5c-4004-b428-9c55b20ccf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71284-9f27-4cd8-a8f2-4e0cc7bcd5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3c285d-fc20-4a85-9ab7-c72ab2f02ec9}" ma:internalName="TaxCatchAll" ma:showField="CatchAllData" ma:web="fac71284-9f27-4cd8-a8f2-4e0cc7bcd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B844C-B2A8-4875-B7A9-7A7A70018059}">
  <ds:schemaRefs>
    <ds:schemaRef ds:uri="http://schemas.microsoft.com/office/2006/metadata/properties"/>
    <ds:schemaRef ds:uri="http://schemas.microsoft.com/office/infopath/2007/PartnerControls"/>
    <ds:schemaRef ds:uri="eb27c5d8-3a5f-4192-b806-53dcd7ae2640"/>
    <ds:schemaRef ds:uri="fac71284-9f27-4cd8-a8f2-4e0cc7bcd502"/>
  </ds:schemaRefs>
</ds:datastoreItem>
</file>

<file path=customXml/itemProps2.xml><?xml version="1.0" encoding="utf-8"?>
<ds:datastoreItem xmlns:ds="http://schemas.openxmlformats.org/officeDocument/2006/customXml" ds:itemID="{4665BF14-0278-4B66-BABF-03C2D91AA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7c5d8-3a5f-4192-b806-53dcd7ae2640"/>
    <ds:schemaRef ds:uri="fac71284-9f27-4cd8-a8f2-4e0cc7bcd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640E3-9A4E-4803-814A-072D0AF9D147}">
  <ds:schemaRefs>
    <ds:schemaRef ds:uri="http://schemas.openxmlformats.org/officeDocument/2006/bibliography"/>
  </ds:schemaRefs>
</ds:datastoreItem>
</file>

<file path=customXml/itemProps4.xml><?xml version="1.0" encoding="utf-8"?>
<ds:datastoreItem xmlns:ds="http://schemas.openxmlformats.org/officeDocument/2006/customXml" ds:itemID="{0D6D95EF-1CD3-4977-84BC-BCBD7DB4D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4640</Words>
  <Characters>26805</Characters>
  <Application>Microsoft Office Word</Application>
  <DocSecurity>0</DocSecurity>
  <Lines>496</Lines>
  <Paragraphs>255</Paragraphs>
  <ScaleCrop>false</ScaleCrop>
  <HeadingPairs>
    <vt:vector size="2" baseType="variant">
      <vt:variant>
        <vt:lpstr>Title</vt:lpstr>
      </vt:variant>
      <vt:variant>
        <vt:i4>1</vt:i4>
      </vt:variant>
    </vt:vector>
  </HeadingPairs>
  <TitlesOfParts>
    <vt:vector size="1" baseType="lpstr">
      <vt:lpstr>Attachment Product information for Korsuva</vt:lpstr>
    </vt:vector>
  </TitlesOfParts>
  <Company>European Medicines Agency</Company>
  <LinksUpToDate>false</LinksUpToDate>
  <CharactersWithSpaces>31190</CharactersWithSpaces>
  <SharedDoc>false</SharedDoc>
  <HLinks>
    <vt:vector size="24" baseType="variant">
      <vt:variant>
        <vt:i4>5898317</vt:i4>
      </vt:variant>
      <vt:variant>
        <vt:i4>21</vt:i4>
      </vt:variant>
      <vt:variant>
        <vt:i4>0</vt:i4>
      </vt:variant>
      <vt:variant>
        <vt:i4>5</vt:i4>
      </vt:variant>
      <vt:variant>
        <vt:lpwstr>http://www.tga.gov.au/reporting-problems</vt:lpwstr>
      </vt:variant>
      <vt:variant>
        <vt:lpwstr/>
      </vt:variant>
      <vt:variant>
        <vt:i4>7798795</vt:i4>
      </vt:variant>
      <vt:variant>
        <vt:i4>6</vt:i4>
      </vt:variant>
      <vt:variant>
        <vt:i4>0</vt:i4>
      </vt:variant>
      <vt:variant>
        <vt:i4>5</vt:i4>
      </vt:variant>
      <vt:variant>
        <vt:lpwstr>mailto:desiree.schoenenberger@viforpharma.com</vt:lpwstr>
      </vt:variant>
      <vt:variant>
        <vt:lpwstr/>
      </vt:variant>
      <vt:variant>
        <vt:i4>65633</vt:i4>
      </vt:variant>
      <vt:variant>
        <vt:i4>3</vt:i4>
      </vt:variant>
      <vt:variant>
        <vt:i4>0</vt:i4>
      </vt:variant>
      <vt:variant>
        <vt:i4>5</vt:i4>
      </vt:variant>
      <vt:variant>
        <vt:lpwstr>mailto:despina.ruessmann@viforpharma.com</vt:lpwstr>
      </vt:variant>
      <vt:variant>
        <vt:lpwstr/>
      </vt:variant>
      <vt:variant>
        <vt:i4>1376365</vt:i4>
      </vt:variant>
      <vt:variant>
        <vt:i4>0</vt:i4>
      </vt:variant>
      <vt:variant>
        <vt:i4>0</vt:i4>
      </vt:variant>
      <vt:variant>
        <vt:i4>5</vt:i4>
      </vt:variant>
      <vt:variant>
        <vt:lpwstr>mailto:huong.kortus@viforpharma.com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Korsuva</dc:title>
  <dc:subject>prescription medicines</dc:subject>
  <dc:creator>European Medicines Agency</dc:creator>
  <cp:keywords/>
  <cp:lastModifiedBy>LACK, Janet</cp:lastModifiedBy>
  <cp:revision>3</cp:revision>
  <cp:lastPrinted>2022-11-15T02:02:00Z</cp:lastPrinted>
  <dcterms:created xsi:type="dcterms:W3CDTF">2023-11-14T00:33:00Z</dcterms:created>
  <dcterms:modified xsi:type="dcterms:W3CDTF">2023-11-14T00:41:00Z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30/11/2020 09:54:03</vt:lpwstr>
  </property>
  <property fmtid="{D5CDD505-2E9C-101B-9397-08002B2CF9AE}" pid="7" name="DM_Creator_Name">
    <vt:lpwstr>Akhtar Timea</vt:lpwstr>
  </property>
  <property fmtid="{D5CDD505-2E9C-101B-9397-08002B2CF9AE}" pid="8" name="DM_DocRefId">
    <vt:lpwstr>EMA/645865/2020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EMA/645865/2020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10:40:31</vt:lpwstr>
  </property>
  <property fmtid="{D5CDD505-2E9C-101B-9397-08002B2CF9AE}" pid="35" name="DM_Modifier_Name">
    <vt:lpwstr>Akhtar Timea</vt:lpwstr>
  </property>
  <property fmtid="{D5CDD505-2E9C-101B-9397-08002B2CF9AE}" pid="36" name="DM_Modify_Date">
    <vt:lpwstr>30/11/2020 10:40:31</vt:lpwstr>
  </property>
  <property fmtid="{D5CDD505-2E9C-101B-9397-08002B2CF9AE}" pid="37" name="DM_Name">
    <vt:lpwstr>Hqrdtemplateclean_en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d2b37d8f-3dd6-4de5-ba27-5b9c45178579</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monica.buch@ema.europa.eu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2020-11-26T12:55:39.3103256Z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d2b37d8f-3dd6-4de5-ba27-5b9c45178579</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2020-11-26T12:55:39.3103256Z</vt:lpwstr>
  </property>
  <property fmtid="{D5CDD505-2E9C-101B-9397-08002B2CF9AE}" pid="61" name="MSIP_Label_afe1b31d-cec0-4074-b4bd-f07689e43d84_SiteId">
    <vt:lpwstr>bc9dc15c-61bc-4f03-b60b-e5b6d8922839</vt:lpwstr>
  </property>
  <property fmtid="{D5CDD505-2E9C-101B-9397-08002B2CF9AE}" pid="62" name="ContentTypeId">
    <vt:lpwstr>0x010100A72BA4E02018C0438127A142B708EA92</vt:lpwstr>
  </property>
  <property fmtid="{D5CDD505-2E9C-101B-9397-08002B2CF9AE}" pid="63" name="MediaServiceImageTags">
    <vt:lpwstr/>
  </property>
  <property fmtid="{D5CDD505-2E9C-101B-9397-08002B2CF9AE}" pid="64" name="MSIP_Label_cd146789-9338-440e-9bc2-d4582d10ca66_Enabled">
    <vt:lpwstr>true</vt:lpwstr>
  </property>
  <property fmtid="{D5CDD505-2E9C-101B-9397-08002B2CF9AE}" pid="65" name="MSIP_Label_cd146789-9338-440e-9bc2-d4582d10ca66_SetDate">
    <vt:lpwstr>2022-09-20T07:55:31Z</vt:lpwstr>
  </property>
  <property fmtid="{D5CDD505-2E9C-101B-9397-08002B2CF9AE}" pid="66" name="MSIP_Label_cd146789-9338-440e-9bc2-d4582d10ca66_Method">
    <vt:lpwstr>Standard</vt:lpwstr>
  </property>
  <property fmtid="{D5CDD505-2E9C-101B-9397-08002B2CF9AE}" pid="67" name="MSIP_Label_cd146789-9338-440e-9bc2-d4582d10ca66_Name">
    <vt:lpwstr>Business Use</vt:lpwstr>
  </property>
  <property fmtid="{D5CDD505-2E9C-101B-9397-08002B2CF9AE}" pid="68" name="MSIP_Label_cd146789-9338-440e-9bc2-d4582d10ca66_SiteId">
    <vt:lpwstr>6836a9c5-69f0-4135-9e6b-43d1f616b550</vt:lpwstr>
  </property>
  <property fmtid="{D5CDD505-2E9C-101B-9397-08002B2CF9AE}" pid="69" name="MSIP_Label_cd146789-9338-440e-9bc2-d4582d10ca66_ActionId">
    <vt:lpwstr>f9d1dbaf-55af-461f-87d5-2e8a29f21ae7</vt:lpwstr>
  </property>
  <property fmtid="{D5CDD505-2E9C-101B-9397-08002B2CF9AE}" pid="70" name="MSIP_Label_cd146789-9338-440e-9bc2-d4582d10ca66_ContentBits">
    <vt:lpwstr>2</vt:lpwstr>
  </property>
</Properties>
</file>